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21406" w14:textId="77777777" w:rsidR="00A769B0" w:rsidRPr="004B5178" w:rsidRDefault="00A769B0" w:rsidP="00A769B0">
      <w:pPr>
        <w:jc w:val="center"/>
        <w:rPr>
          <w:b/>
          <w:bCs/>
          <w:sz w:val="28"/>
          <w:szCs w:val="28"/>
        </w:rPr>
      </w:pPr>
      <w:r w:rsidRPr="004B5178">
        <w:rPr>
          <w:b/>
          <w:bCs/>
          <w:sz w:val="28"/>
          <w:szCs w:val="28"/>
        </w:rPr>
        <w:t>NHS Digital</w:t>
      </w:r>
    </w:p>
    <w:p w14:paraId="76871F37" w14:textId="77777777" w:rsidR="00A769B0" w:rsidRPr="004B5178" w:rsidRDefault="00A769B0" w:rsidP="00A769B0">
      <w:pPr>
        <w:jc w:val="center"/>
        <w:rPr>
          <w:b/>
          <w:bCs/>
          <w:sz w:val="28"/>
          <w:szCs w:val="28"/>
        </w:rPr>
      </w:pPr>
      <w:r w:rsidRPr="004B5178">
        <w:rPr>
          <w:b/>
          <w:bCs/>
          <w:sz w:val="28"/>
          <w:szCs w:val="28"/>
        </w:rPr>
        <w:t>Indicator Supporting Documentation</w:t>
      </w:r>
    </w:p>
    <w:p w14:paraId="06A91474" w14:textId="2B004001" w:rsidR="00A769B0" w:rsidRPr="004B5178" w:rsidRDefault="00A769B0" w:rsidP="00A769B0">
      <w:pPr>
        <w:jc w:val="center"/>
        <w:rPr>
          <w:b/>
          <w:bCs/>
          <w:sz w:val="28"/>
          <w:szCs w:val="28"/>
        </w:rPr>
      </w:pPr>
      <w:r w:rsidRPr="004B5178">
        <w:rPr>
          <w:b/>
          <w:bCs/>
          <w:sz w:val="28"/>
          <w:szCs w:val="28"/>
        </w:rPr>
        <w:t>IAP00119 Proportion of people feeling supported to manage their conditions (NHSOF)</w:t>
      </w:r>
    </w:p>
    <w:p w14:paraId="6686D623" w14:textId="5DD1F1AD" w:rsidR="00A769B0" w:rsidRPr="004B5178" w:rsidRDefault="00A769B0"/>
    <w:p w14:paraId="5A316871" w14:textId="77777777" w:rsidR="00A769B0" w:rsidRPr="004B5178" w:rsidRDefault="00A769B0"/>
    <w:tbl>
      <w:tblPr>
        <w:tblStyle w:val="ListTable3-Accent1"/>
        <w:tblW w:w="15593" w:type="dxa"/>
        <w:tblInd w:w="-856" w:type="dxa"/>
        <w:tblLayout w:type="fixed"/>
        <w:tblLook w:val="04A0" w:firstRow="1" w:lastRow="0" w:firstColumn="1" w:lastColumn="0" w:noHBand="0" w:noVBand="1"/>
      </w:tblPr>
      <w:tblGrid>
        <w:gridCol w:w="1763"/>
        <w:gridCol w:w="13830"/>
      </w:tblGrid>
      <w:tr w:rsidR="00A769B0" w:rsidRPr="004B5178" w14:paraId="5804B8DF" w14:textId="77777777" w:rsidTr="002D36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tcPr>
          <w:p w14:paraId="327F7463" w14:textId="4D846969" w:rsidR="00A769B0" w:rsidRPr="004B5178" w:rsidRDefault="00A769B0" w:rsidP="00A769B0">
            <w:pPr>
              <w:rPr>
                <w:bCs w:val="0"/>
                <w:color w:val="auto"/>
              </w:rPr>
            </w:pPr>
            <w:r w:rsidRPr="004B5178">
              <w:rPr>
                <w:bCs w:val="0"/>
                <w:color w:val="auto"/>
              </w:rPr>
              <w:t>FIELD</w:t>
            </w:r>
          </w:p>
        </w:tc>
        <w:tc>
          <w:tcPr>
            <w:tcW w:w="13830" w:type="dxa"/>
            <w:tcBorders>
              <w:bottom w:val="single" w:sz="4" w:space="0" w:color="4F81BD" w:themeColor="accent1"/>
            </w:tcBorders>
          </w:tcPr>
          <w:p w14:paraId="5EA0C079" w14:textId="614C8205" w:rsidR="00A769B0" w:rsidRPr="004B5178" w:rsidRDefault="00A769B0" w:rsidP="00A769B0">
            <w:pPr>
              <w:cnfStyle w:val="100000000000" w:firstRow="1" w:lastRow="0" w:firstColumn="0" w:lastColumn="0" w:oddVBand="0" w:evenVBand="0" w:oddHBand="0" w:evenHBand="0" w:firstRowFirstColumn="0" w:firstRowLastColumn="0" w:lastRowFirstColumn="0" w:lastRowLastColumn="0"/>
              <w:rPr>
                <w:bCs w:val="0"/>
                <w:color w:val="auto"/>
              </w:rPr>
            </w:pPr>
            <w:r w:rsidRPr="004B5178">
              <w:rPr>
                <w:bCs w:val="0"/>
                <w:color w:val="auto"/>
              </w:rPr>
              <w:t>CONTENTS</w:t>
            </w:r>
          </w:p>
        </w:tc>
      </w:tr>
      <w:tr w:rsidR="00A769B0" w:rsidRPr="004B5178" w14:paraId="5489D00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C6EE05F" w14:textId="3079C9EF" w:rsidR="00A769B0" w:rsidRPr="004B5178" w:rsidRDefault="00A769B0" w:rsidP="00A769B0">
            <w:pPr>
              <w:rPr>
                <w:b w:val="0"/>
              </w:rPr>
            </w:pPr>
            <w:r w:rsidRPr="004B5178">
              <w:t>IAP Code</w:t>
            </w:r>
          </w:p>
        </w:tc>
        <w:tc>
          <w:tcPr>
            <w:tcW w:w="13830" w:type="dxa"/>
            <w:tcBorders>
              <w:left w:val="single" w:sz="4" w:space="0" w:color="auto"/>
            </w:tcBorders>
          </w:tcPr>
          <w:p w14:paraId="34A261AC" w14:textId="10C6B77A"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IAP00119</w:t>
            </w:r>
          </w:p>
        </w:tc>
      </w:tr>
      <w:tr w:rsidR="00A769B0" w:rsidRPr="004B5178" w14:paraId="6629A3E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997C39" w14:textId="77777777" w:rsidR="00A769B0" w:rsidRPr="004B5178" w:rsidRDefault="00A769B0" w:rsidP="00A769B0">
            <w:pPr>
              <w:rPr>
                <w:b w:val="0"/>
              </w:rPr>
            </w:pPr>
            <w:r w:rsidRPr="004B5178">
              <w:t>Title</w:t>
            </w:r>
          </w:p>
        </w:tc>
        <w:tc>
          <w:tcPr>
            <w:tcW w:w="13830" w:type="dxa"/>
            <w:tcBorders>
              <w:left w:val="single" w:sz="4" w:space="0" w:color="auto"/>
            </w:tcBorders>
          </w:tcPr>
          <w:p w14:paraId="523F6C46" w14:textId="33739782"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Proportion of people feeling supported to manage their conditions</w:t>
            </w:r>
          </w:p>
        </w:tc>
      </w:tr>
      <w:tr w:rsidR="00A769B0" w:rsidRPr="004B5178" w14:paraId="28621C4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052110F3" w14:textId="77777777" w:rsidR="00A769B0" w:rsidRPr="004B5178" w:rsidRDefault="00A769B0" w:rsidP="00A769B0">
            <w:pPr>
              <w:rPr>
                <w:b w:val="0"/>
              </w:rPr>
            </w:pPr>
            <w:r w:rsidRPr="004B5178">
              <w:t>Published by</w:t>
            </w:r>
          </w:p>
        </w:tc>
        <w:tc>
          <w:tcPr>
            <w:tcW w:w="13830" w:type="dxa"/>
            <w:tcBorders>
              <w:left w:val="single" w:sz="4" w:space="0" w:color="auto"/>
            </w:tcBorders>
          </w:tcPr>
          <w:p w14:paraId="6093FD1D" w14:textId="640BEB24"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NHS Digital</w:t>
            </w:r>
          </w:p>
        </w:tc>
      </w:tr>
      <w:tr w:rsidR="00A769B0" w:rsidRPr="004B5178" w14:paraId="5181966B"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CFA607F" w14:textId="77777777" w:rsidR="00A769B0" w:rsidRPr="004B5178" w:rsidRDefault="00A769B0" w:rsidP="00A769B0">
            <w:pPr>
              <w:rPr>
                <w:b w:val="0"/>
              </w:rPr>
            </w:pPr>
            <w:r w:rsidRPr="004B5178">
              <w:t>Reporting period</w:t>
            </w:r>
          </w:p>
        </w:tc>
        <w:tc>
          <w:tcPr>
            <w:tcW w:w="13830" w:type="dxa"/>
            <w:tcBorders>
              <w:left w:val="single" w:sz="4" w:space="0" w:color="auto"/>
            </w:tcBorders>
          </w:tcPr>
          <w:p w14:paraId="2C54EFD5" w14:textId="78A15060"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Biannual</w:t>
            </w:r>
          </w:p>
        </w:tc>
      </w:tr>
      <w:tr w:rsidR="00A769B0" w:rsidRPr="004B5178" w14:paraId="1B9AB23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4ECB6F" w14:textId="77777777" w:rsidR="00A769B0" w:rsidRPr="004B5178" w:rsidRDefault="00A769B0" w:rsidP="00A769B0">
            <w:pPr>
              <w:rPr>
                <w:b w:val="0"/>
              </w:rPr>
            </w:pPr>
            <w:r w:rsidRPr="004B5178">
              <w:t>Geographical Coverage</w:t>
            </w:r>
          </w:p>
        </w:tc>
        <w:tc>
          <w:tcPr>
            <w:tcW w:w="13830" w:type="dxa"/>
            <w:tcBorders>
              <w:left w:val="single" w:sz="4" w:space="0" w:color="auto"/>
            </w:tcBorders>
          </w:tcPr>
          <w:p w14:paraId="50DF24FC" w14:textId="334447F4"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England</w:t>
            </w:r>
          </w:p>
        </w:tc>
      </w:tr>
      <w:tr w:rsidR="00A769B0" w:rsidRPr="004B5178" w14:paraId="64620C9C"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55C73694" w14:textId="77777777" w:rsidR="00A769B0" w:rsidRPr="004B5178" w:rsidRDefault="00A769B0" w:rsidP="00A769B0">
            <w:pPr>
              <w:rPr>
                <w:b w:val="0"/>
              </w:rPr>
            </w:pPr>
            <w:r w:rsidRPr="004B5178">
              <w:t>Reporting level(s)</w:t>
            </w:r>
          </w:p>
        </w:tc>
        <w:tc>
          <w:tcPr>
            <w:tcW w:w="13830" w:type="dxa"/>
            <w:tcBorders>
              <w:left w:val="single" w:sz="4" w:space="0" w:color="auto"/>
            </w:tcBorders>
          </w:tcPr>
          <w:p w14:paraId="5685C1A0" w14:textId="238663C7"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CCG, National</w:t>
            </w:r>
          </w:p>
        </w:tc>
      </w:tr>
      <w:tr w:rsidR="00A769B0" w:rsidRPr="004B5178" w14:paraId="7A68395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C73D882" w14:textId="77777777" w:rsidR="00A769B0" w:rsidRPr="004B5178" w:rsidRDefault="00A769B0" w:rsidP="00A769B0">
            <w:pPr>
              <w:rPr>
                <w:b w:val="0"/>
              </w:rPr>
            </w:pPr>
            <w:r w:rsidRPr="004B5178">
              <w:t>Based on data from</w:t>
            </w:r>
          </w:p>
        </w:tc>
        <w:tc>
          <w:tcPr>
            <w:tcW w:w="13830" w:type="dxa"/>
            <w:tcBorders>
              <w:left w:val="single" w:sz="4" w:space="0" w:color="auto"/>
            </w:tcBorders>
          </w:tcPr>
          <w:p w14:paraId="1345DE27" w14:textId="08D4F5D1"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GP Patient Survey</w:t>
            </w:r>
          </w:p>
        </w:tc>
      </w:tr>
      <w:tr w:rsidR="00A769B0" w:rsidRPr="004B5178" w14:paraId="1B0918A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7B4A4E" w14:textId="77777777" w:rsidR="00A769B0" w:rsidRPr="004B5178" w:rsidRDefault="00A769B0" w:rsidP="00A769B0">
            <w:pPr>
              <w:rPr>
                <w:b w:val="0"/>
              </w:rPr>
            </w:pPr>
            <w:r w:rsidRPr="004B5178">
              <w:t>Contact Author Name</w:t>
            </w:r>
          </w:p>
        </w:tc>
        <w:tc>
          <w:tcPr>
            <w:tcW w:w="13830" w:type="dxa"/>
            <w:tcBorders>
              <w:left w:val="single" w:sz="4" w:space="0" w:color="auto"/>
            </w:tcBorders>
          </w:tcPr>
          <w:p w14:paraId="7BDE5252" w14:textId="56EEEB51"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NHS Digital Clinical Indicators team</w:t>
            </w:r>
          </w:p>
        </w:tc>
      </w:tr>
      <w:tr w:rsidR="00A769B0" w:rsidRPr="004B5178" w14:paraId="12572889"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6C94C25" w14:textId="77777777" w:rsidR="00A769B0" w:rsidRPr="004B5178" w:rsidRDefault="00A769B0" w:rsidP="00A769B0">
            <w:pPr>
              <w:rPr>
                <w:b w:val="0"/>
              </w:rPr>
            </w:pPr>
            <w:r w:rsidRPr="004B5178">
              <w:t>Contact Author Email</w:t>
            </w:r>
          </w:p>
        </w:tc>
        <w:tc>
          <w:tcPr>
            <w:tcW w:w="13830" w:type="dxa"/>
            <w:tcBorders>
              <w:left w:val="single" w:sz="4" w:space="0" w:color="auto"/>
            </w:tcBorders>
          </w:tcPr>
          <w:p w14:paraId="337B0AB9" w14:textId="0B697DB5"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Clinical.indicators@nhs.net</w:t>
            </w:r>
          </w:p>
        </w:tc>
      </w:tr>
      <w:tr w:rsidR="00A769B0" w:rsidRPr="004B5178" w14:paraId="146CE663"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471F2F3" w14:textId="77777777" w:rsidR="00A769B0" w:rsidRPr="004B5178" w:rsidRDefault="00A769B0" w:rsidP="00A769B0">
            <w:pPr>
              <w:rPr>
                <w:b w:val="0"/>
              </w:rPr>
            </w:pPr>
            <w:r w:rsidRPr="004B5178">
              <w:t>Rating</w:t>
            </w:r>
          </w:p>
        </w:tc>
        <w:tc>
          <w:tcPr>
            <w:tcW w:w="13830" w:type="dxa"/>
            <w:tcBorders>
              <w:left w:val="single" w:sz="4" w:space="0" w:color="auto"/>
            </w:tcBorders>
          </w:tcPr>
          <w:p w14:paraId="42821BAF" w14:textId="6DFE7509"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Fit for use</w:t>
            </w:r>
          </w:p>
        </w:tc>
      </w:tr>
      <w:tr w:rsidR="00A769B0" w:rsidRPr="004B5178" w14:paraId="36C90CD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DDE63CB" w14:textId="77777777" w:rsidR="00A769B0" w:rsidRPr="004B5178" w:rsidRDefault="00A769B0" w:rsidP="00A769B0">
            <w:pPr>
              <w:rPr>
                <w:b w:val="0"/>
              </w:rPr>
            </w:pPr>
            <w:r w:rsidRPr="004B5178">
              <w:t>Assurance date</w:t>
            </w:r>
          </w:p>
        </w:tc>
        <w:tc>
          <w:tcPr>
            <w:tcW w:w="13830" w:type="dxa"/>
            <w:tcBorders>
              <w:left w:val="single" w:sz="4" w:space="0" w:color="auto"/>
            </w:tcBorders>
          </w:tcPr>
          <w:p w14:paraId="07A7432F" w14:textId="449CB004"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13/09/2018</w:t>
            </w:r>
          </w:p>
        </w:tc>
      </w:tr>
      <w:tr w:rsidR="00A769B0" w:rsidRPr="004B5178" w14:paraId="2FD2A140"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1690B01" w14:textId="77777777" w:rsidR="00A769B0" w:rsidRPr="004B5178" w:rsidRDefault="00A769B0" w:rsidP="00A769B0">
            <w:pPr>
              <w:rPr>
                <w:b w:val="0"/>
              </w:rPr>
            </w:pPr>
            <w:r w:rsidRPr="004B5178">
              <w:t>Review date</w:t>
            </w:r>
          </w:p>
        </w:tc>
        <w:tc>
          <w:tcPr>
            <w:tcW w:w="13830" w:type="dxa"/>
            <w:tcBorders>
              <w:left w:val="single" w:sz="4" w:space="0" w:color="auto"/>
            </w:tcBorders>
          </w:tcPr>
          <w:p w14:paraId="65D82364" w14:textId="0C16E9FD"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28/04/2019</w:t>
            </w:r>
          </w:p>
        </w:tc>
      </w:tr>
      <w:tr w:rsidR="00A769B0" w:rsidRPr="004B5178" w14:paraId="5F25EAD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54752B2" w14:textId="77777777" w:rsidR="00A769B0" w:rsidRPr="004B5178" w:rsidRDefault="00A769B0" w:rsidP="00A769B0">
            <w:pPr>
              <w:rPr>
                <w:b w:val="0"/>
              </w:rPr>
            </w:pPr>
            <w:r w:rsidRPr="004B5178">
              <w:t>Indicator set</w:t>
            </w:r>
          </w:p>
        </w:tc>
        <w:tc>
          <w:tcPr>
            <w:tcW w:w="13830" w:type="dxa"/>
            <w:tcBorders>
              <w:left w:val="single" w:sz="4" w:space="0" w:color="auto"/>
            </w:tcBorders>
          </w:tcPr>
          <w:p w14:paraId="6C3C44BD" w14:textId="1748FBB0"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NHS Outcomes Framework</w:t>
            </w:r>
          </w:p>
        </w:tc>
      </w:tr>
      <w:tr w:rsidR="00A769B0" w:rsidRPr="004B5178" w14:paraId="6F4A3701"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2EBDFE1" w14:textId="77777777" w:rsidR="00A769B0" w:rsidRPr="004B5178" w:rsidRDefault="00A769B0" w:rsidP="00A769B0">
            <w:pPr>
              <w:rPr>
                <w:b w:val="0"/>
              </w:rPr>
            </w:pPr>
            <w:r w:rsidRPr="004B5178">
              <w:t xml:space="preserve">Brief Description </w:t>
            </w:r>
          </w:p>
          <w:p w14:paraId="71948065" w14:textId="12F4584B" w:rsidR="00A769B0" w:rsidRPr="004B5178" w:rsidRDefault="00A769B0" w:rsidP="00A769B0">
            <w:pPr>
              <w:rPr>
                <w:b w:val="0"/>
              </w:rPr>
            </w:pPr>
            <w:r w:rsidRPr="004B5178">
              <w:t>[This appears as a blurb in search results]</w:t>
            </w:r>
          </w:p>
        </w:tc>
        <w:tc>
          <w:tcPr>
            <w:tcW w:w="13830" w:type="dxa"/>
            <w:tcBorders>
              <w:left w:val="single" w:sz="4" w:space="0" w:color="auto"/>
            </w:tcBorders>
          </w:tcPr>
          <w:p w14:paraId="690E93D5" w14:textId="5A987D70"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 xml:space="preserve">Proportion of people feeling supported to manage their condition, measured based on responses to question 32 of the GP Patient Survey; </w:t>
            </w:r>
            <w:r w:rsidRPr="004B5178">
              <w:rPr>
                <w:i/>
              </w:rPr>
              <w:t>In the last 6 months, have you had enough support from local services or organisations to help you manage your long term condition(s)? Please think about all services and organisations, not just health services.</w:t>
            </w:r>
          </w:p>
        </w:tc>
      </w:tr>
      <w:tr w:rsidR="00A769B0" w:rsidRPr="004B5178" w14:paraId="30049EB2"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DB2E955" w14:textId="77777777" w:rsidR="00A769B0" w:rsidRPr="004B5178" w:rsidRDefault="00A769B0" w:rsidP="00A769B0">
            <w:pPr>
              <w:rPr>
                <w:b w:val="0"/>
              </w:rPr>
            </w:pPr>
            <w:r w:rsidRPr="004B5178">
              <w:lastRenderedPageBreak/>
              <w:t>Purpose</w:t>
            </w:r>
          </w:p>
        </w:tc>
        <w:tc>
          <w:tcPr>
            <w:tcW w:w="13830" w:type="dxa"/>
            <w:tcBorders>
              <w:left w:val="single" w:sz="4" w:space="0" w:color="auto"/>
            </w:tcBorders>
          </w:tcPr>
          <w:p w14:paraId="002479BA" w14:textId="77777777"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The vast majority of the population visit their GP each year, and the average person will visit their GP more than five times a year. This will particularly be the case for people with long-term conditions. Often it is the experience people have of primary care that determines their overall view of the NHS.  This indicator uses survey results to look specifically at whether people are feeling supported to manage their long-term condition.</w:t>
            </w:r>
          </w:p>
          <w:p w14:paraId="63AE47C8" w14:textId="0CB570FE"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p>
        </w:tc>
      </w:tr>
      <w:tr w:rsidR="00A769B0" w:rsidRPr="004B5178" w14:paraId="54849C45"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0E47248" w14:textId="77777777" w:rsidR="00A769B0" w:rsidRPr="004B5178" w:rsidRDefault="00A769B0" w:rsidP="00A769B0">
            <w:pPr>
              <w:rPr>
                <w:bCs w:val="0"/>
              </w:rPr>
            </w:pPr>
            <w:r w:rsidRPr="004B5178">
              <w:rPr>
                <w:bCs w:val="0"/>
              </w:rPr>
              <w:t>Definition</w:t>
            </w:r>
          </w:p>
        </w:tc>
        <w:tc>
          <w:tcPr>
            <w:tcW w:w="13830" w:type="dxa"/>
            <w:tcBorders>
              <w:left w:val="single" w:sz="4" w:space="0" w:color="auto"/>
            </w:tcBorders>
          </w:tcPr>
          <w:p w14:paraId="6EAEF723" w14:textId="77777777"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rPr>
                <w:i/>
              </w:rPr>
            </w:pPr>
            <w:r w:rsidRPr="004B5178">
              <w:t xml:space="preserve">Proportion of people feeling supported to manage their condition, measured based on responses to question 32 of the GP Patient Survey; </w:t>
            </w:r>
            <w:r w:rsidRPr="004B5178">
              <w:rPr>
                <w:i/>
              </w:rPr>
              <w:t>In the last 6 months, have you had enough support from local services or organisations to help you manage your long term condition(s)? Please think about all services and organisations, not just health services.</w:t>
            </w:r>
          </w:p>
          <w:p w14:paraId="07013616" w14:textId="43675830"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p>
        </w:tc>
      </w:tr>
      <w:tr w:rsidR="00A769B0" w:rsidRPr="004B5178" w14:paraId="6E1036B1"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3CE98FA2" w14:textId="77777777" w:rsidR="00A769B0" w:rsidRPr="004B5178" w:rsidRDefault="00A769B0" w:rsidP="00A769B0">
            <w:pPr>
              <w:rPr>
                <w:b w:val="0"/>
              </w:rPr>
            </w:pPr>
            <w:r w:rsidRPr="004B5178">
              <w:t>Data Source</w:t>
            </w:r>
          </w:p>
        </w:tc>
        <w:tc>
          <w:tcPr>
            <w:tcW w:w="13830" w:type="dxa"/>
            <w:tcBorders>
              <w:left w:val="single" w:sz="4" w:space="0" w:color="auto"/>
            </w:tcBorders>
          </w:tcPr>
          <w:p w14:paraId="6738187C" w14:textId="67FB7FE4"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p>
        </w:tc>
      </w:tr>
      <w:tr w:rsidR="00A769B0" w:rsidRPr="004B5178" w14:paraId="1EF5CCA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5E42FA3" w14:textId="77777777" w:rsidR="00A769B0" w:rsidRPr="004B5178" w:rsidRDefault="00A769B0" w:rsidP="00A769B0">
            <w:pPr>
              <w:rPr>
                <w:b w:val="0"/>
              </w:rPr>
            </w:pPr>
            <w:r w:rsidRPr="004B5178">
              <w:t>Numerator</w:t>
            </w:r>
          </w:p>
        </w:tc>
        <w:tc>
          <w:tcPr>
            <w:tcW w:w="13830" w:type="dxa"/>
            <w:tcBorders>
              <w:left w:val="single" w:sz="4" w:space="0" w:color="auto"/>
            </w:tcBorders>
          </w:tcPr>
          <w:p w14:paraId="1F5B31A5" w14:textId="77777777"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Total number of ‘Yes, definitely’ or ‘Yes, to some extent’ answers to Question 32 (see below) for those having answered yes to the Question 30 “Do you have a long-standing health condition?”</w:t>
            </w:r>
          </w:p>
          <w:p w14:paraId="080B7CA4" w14:textId="77777777"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p>
          <w:p w14:paraId="3F4957D7" w14:textId="77777777"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GP Patient Survey Question 32</w:t>
            </w:r>
          </w:p>
          <w:p w14:paraId="4E048882" w14:textId="7BBBA9F2"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In the last 6 months, have you had enough support from local services or organisations to help you manage your long-term condition(s)? Please think about all services and organisations, not just health services</w:t>
            </w:r>
          </w:p>
        </w:tc>
      </w:tr>
      <w:tr w:rsidR="00A769B0" w:rsidRPr="004B5178" w14:paraId="22216F2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B547D53" w14:textId="77777777" w:rsidR="00A769B0" w:rsidRPr="004B5178" w:rsidRDefault="00A769B0" w:rsidP="00A769B0">
            <w:pPr>
              <w:rPr>
                <w:b w:val="0"/>
              </w:rPr>
            </w:pPr>
            <w:r w:rsidRPr="004B5178">
              <w:t>Denominator</w:t>
            </w:r>
          </w:p>
        </w:tc>
        <w:tc>
          <w:tcPr>
            <w:tcW w:w="13830" w:type="dxa"/>
            <w:tcBorders>
              <w:left w:val="single" w:sz="4" w:space="0" w:color="auto"/>
            </w:tcBorders>
          </w:tcPr>
          <w:p w14:paraId="3F360BBF" w14:textId="77777777"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The denominator is the total number of ‘Yes, definitely’, ‘Yes, to some extent’ and ‘No’ answers to Question 32 (see below) for those having answered yes to the Question 30 “Do you have a long-standing health condition?”</w:t>
            </w:r>
          </w:p>
          <w:p w14:paraId="5B00D964" w14:textId="77777777"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p>
          <w:p w14:paraId="4AA0BC53" w14:textId="77777777"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GP Patient Survey Question 32</w:t>
            </w:r>
          </w:p>
          <w:p w14:paraId="2358D649" w14:textId="1365A4AE"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r w:rsidRPr="004B5178">
              <w:t>In the last 6 months, have you had enough support from local services or organisations to help you manage your long-term condition(s)? Please think about all services and organisations, not just health services</w:t>
            </w:r>
          </w:p>
        </w:tc>
      </w:tr>
      <w:tr w:rsidR="00A769B0" w:rsidRPr="004B5178" w14:paraId="5FC03589"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1F9D9B3" w14:textId="6258CCEF" w:rsidR="00A769B0" w:rsidRPr="004B5178" w:rsidRDefault="00A769B0" w:rsidP="00A769B0">
            <w:r w:rsidRPr="004B5178">
              <w:t>Calculation</w:t>
            </w:r>
          </w:p>
        </w:tc>
        <w:tc>
          <w:tcPr>
            <w:tcW w:w="13830" w:type="dxa"/>
            <w:tcBorders>
              <w:left w:val="single" w:sz="4" w:space="0" w:color="auto"/>
            </w:tcBorders>
          </w:tcPr>
          <w:p w14:paraId="09215B82" w14:textId="5F31AF1C"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r w:rsidRPr="004B5178">
              <w:t>Percentage (weighted numerator/denominator)</w:t>
            </w:r>
          </w:p>
        </w:tc>
      </w:tr>
      <w:tr w:rsidR="00A769B0" w:rsidRPr="004B5178" w14:paraId="4E697DFD"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31E676E" w14:textId="77777777" w:rsidR="00A769B0" w:rsidRPr="004B5178" w:rsidRDefault="00A769B0" w:rsidP="00A769B0">
            <w:pPr>
              <w:rPr>
                <w:b w:val="0"/>
              </w:rPr>
            </w:pPr>
            <w:r w:rsidRPr="004B5178">
              <w:t>Interpretation Guidelines</w:t>
            </w:r>
          </w:p>
        </w:tc>
        <w:tc>
          <w:tcPr>
            <w:tcW w:w="13830" w:type="dxa"/>
            <w:tcBorders>
              <w:left w:val="single" w:sz="4" w:space="0" w:color="auto"/>
            </w:tcBorders>
          </w:tcPr>
          <w:p w14:paraId="0072C7D9" w14:textId="72C9A50B" w:rsidR="00A769B0" w:rsidRPr="004B5178" w:rsidRDefault="00A769B0" w:rsidP="00A769B0">
            <w:pPr>
              <w:cnfStyle w:val="000000100000" w:firstRow="0" w:lastRow="0" w:firstColumn="0" w:lastColumn="0" w:oddVBand="0" w:evenVBand="0" w:oddHBand="1" w:evenHBand="0" w:firstRowFirstColumn="0" w:firstRowLastColumn="0" w:lastRowFirstColumn="0" w:lastRowLastColumn="0"/>
            </w:pPr>
          </w:p>
        </w:tc>
      </w:tr>
      <w:tr w:rsidR="00A769B0" w:rsidRPr="004B5178" w14:paraId="0E3B777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26D945" w14:textId="77777777" w:rsidR="00A769B0" w:rsidRPr="004B5178" w:rsidRDefault="00A769B0" w:rsidP="00A769B0">
            <w:pPr>
              <w:rPr>
                <w:b w:val="0"/>
              </w:rPr>
            </w:pPr>
            <w:r w:rsidRPr="004B5178">
              <w:t>Caveats</w:t>
            </w:r>
          </w:p>
        </w:tc>
        <w:tc>
          <w:tcPr>
            <w:tcW w:w="13830" w:type="dxa"/>
            <w:tcBorders>
              <w:left w:val="single" w:sz="4" w:space="0" w:color="auto"/>
            </w:tcBorders>
          </w:tcPr>
          <w:p w14:paraId="2469E9CF" w14:textId="77777777" w:rsidR="00A769B0" w:rsidRPr="004B5178" w:rsidRDefault="00A769B0" w:rsidP="00A769B0">
            <w:pPr>
              <w:cnfStyle w:val="000000000000" w:firstRow="0" w:lastRow="0" w:firstColumn="0" w:lastColumn="0" w:oddVBand="0" w:evenVBand="0" w:oddHBand="0" w:evenHBand="0" w:firstRowFirstColumn="0" w:firstRowLastColumn="0" w:lastRowFirstColumn="0" w:lastRowLastColumn="0"/>
            </w:pPr>
          </w:p>
        </w:tc>
      </w:tr>
    </w:tbl>
    <w:p w14:paraId="0F0CA932" w14:textId="38A5BE98" w:rsidR="000C1C47" w:rsidRPr="004B5178" w:rsidRDefault="000C1C47" w:rsidP="00BD69FE">
      <w:pPr>
        <w:rPr>
          <w:b/>
        </w:rPr>
      </w:pPr>
    </w:p>
    <w:p w14:paraId="498DA329" w14:textId="77777777" w:rsidR="000C1C47" w:rsidRPr="004B5178" w:rsidRDefault="000C1C47">
      <w:pPr>
        <w:rPr>
          <w:b/>
        </w:rPr>
      </w:pPr>
      <w:r w:rsidRPr="004B5178">
        <w:rPr>
          <w:b/>
        </w:rPr>
        <w:br w:type="page"/>
      </w:r>
    </w:p>
    <w:p w14:paraId="6D93B5CF" w14:textId="77777777" w:rsidR="000C1C47" w:rsidRPr="004B5178" w:rsidRDefault="000C1C47" w:rsidP="000C1C47"/>
    <w:p w14:paraId="4994D216" w14:textId="77777777" w:rsidR="000C1C47" w:rsidRPr="004B5178" w:rsidRDefault="000C1C47" w:rsidP="000C1C47">
      <w:pPr>
        <w:rPr>
          <w:sz w:val="28"/>
          <w:szCs w:val="28"/>
        </w:rPr>
      </w:pPr>
    </w:p>
    <w:p w14:paraId="6D4C75AC" w14:textId="77777777" w:rsidR="000C1C47" w:rsidRPr="004B5178" w:rsidRDefault="000C1C47" w:rsidP="000C1C47">
      <w:pPr>
        <w:rPr>
          <w:sz w:val="28"/>
          <w:szCs w:val="28"/>
        </w:rPr>
      </w:pPr>
    </w:p>
    <w:p w14:paraId="294B45F7" w14:textId="77777777" w:rsidR="000C1C47" w:rsidRPr="004B5178" w:rsidRDefault="000C1C47" w:rsidP="000C1C47">
      <w:pPr>
        <w:spacing w:after="60"/>
        <w:jc w:val="center"/>
        <w:rPr>
          <w:sz w:val="28"/>
          <w:szCs w:val="28"/>
        </w:rPr>
      </w:pPr>
      <w:r w:rsidRPr="004B5178">
        <w:rPr>
          <w:sz w:val="28"/>
          <w:szCs w:val="28"/>
        </w:rPr>
        <w:t>Indicator Assurance Service</w:t>
      </w:r>
    </w:p>
    <w:p w14:paraId="47C7DF95" w14:textId="77777777" w:rsidR="000C1C47" w:rsidRPr="004B5178" w:rsidRDefault="000C1C47" w:rsidP="000C1C47">
      <w:pPr>
        <w:spacing w:after="60"/>
        <w:jc w:val="center"/>
        <w:rPr>
          <w:b/>
          <w:sz w:val="28"/>
          <w:szCs w:val="28"/>
        </w:rPr>
      </w:pPr>
      <w:r w:rsidRPr="004B5178">
        <w:rPr>
          <w:b/>
          <w:sz w:val="28"/>
          <w:szCs w:val="28"/>
        </w:rPr>
        <w:t xml:space="preserve"> Methodology Review Group</w:t>
      </w:r>
    </w:p>
    <w:p w14:paraId="562E4BE6" w14:textId="77777777" w:rsidR="000C1C47" w:rsidRPr="004B5178" w:rsidRDefault="000C1C47" w:rsidP="000C1C47">
      <w:pPr>
        <w:spacing w:after="60"/>
        <w:jc w:val="center"/>
        <w:rPr>
          <w:b/>
          <w:sz w:val="28"/>
          <w:szCs w:val="28"/>
        </w:rPr>
      </w:pPr>
      <w:r w:rsidRPr="004B5178">
        <w:rPr>
          <w:b/>
          <w:sz w:val="28"/>
          <w:szCs w:val="28"/>
        </w:rPr>
        <w:t xml:space="preserve">Applications for consideration </w:t>
      </w:r>
    </w:p>
    <w:p w14:paraId="49229018" w14:textId="77777777" w:rsidR="000C1C47" w:rsidRPr="004B5178" w:rsidRDefault="000C1C47" w:rsidP="000C1C47">
      <w:pPr>
        <w:spacing w:after="60"/>
        <w:jc w:val="center"/>
        <w:rPr>
          <w:b/>
          <w:sz w:val="28"/>
          <w:szCs w:val="28"/>
        </w:rPr>
      </w:pPr>
      <w:r w:rsidRPr="004B5178">
        <w:rPr>
          <w:b/>
          <w:sz w:val="28"/>
          <w:szCs w:val="28"/>
        </w:rPr>
        <w:t>17</w:t>
      </w:r>
      <w:r w:rsidRPr="004B5178">
        <w:rPr>
          <w:b/>
          <w:sz w:val="28"/>
          <w:szCs w:val="28"/>
          <w:vertAlign w:val="superscript"/>
        </w:rPr>
        <w:t>th</w:t>
      </w:r>
      <w:r w:rsidRPr="004B5178">
        <w:rPr>
          <w:b/>
          <w:sz w:val="28"/>
          <w:szCs w:val="28"/>
        </w:rPr>
        <w:t xml:space="preserve"> January 2014</w:t>
      </w:r>
    </w:p>
    <w:p w14:paraId="4DFEC4E1" w14:textId="77777777" w:rsidR="000C1C47" w:rsidRPr="004B5178" w:rsidRDefault="000C1C47" w:rsidP="000C1C47">
      <w:pPr>
        <w:tabs>
          <w:tab w:val="left" w:pos="8340"/>
        </w:tabs>
        <w:spacing w:after="60"/>
        <w:jc w:val="both"/>
        <w:rPr>
          <w:sz w:val="28"/>
          <w:szCs w:val="28"/>
        </w:rPr>
      </w:pPr>
      <w:r w:rsidRPr="004B5178">
        <w:rPr>
          <w:sz w:val="28"/>
          <w:szCs w:val="28"/>
        </w:rPr>
        <w:tab/>
      </w:r>
    </w:p>
    <w:p w14:paraId="41D3D59D" w14:textId="77777777" w:rsidR="000C1C47" w:rsidRPr="004B5178" w:rsidRDefault="000C1C47" w:rsidP="000C1C47">
      <w:pPr>
        <w:spacing w:after="60"/>
        <w:jc w:val="both"/>
        <w:rPr>
          <w:sz w:val="28"/>
          <w:szCs w:val="28"/>
        </w:rPr>
      </w:pPr>
    </w:p>
    <w:tbl>
      <w:tblPr>
        <w:tblStyle w:val="TableGrid"/>
        <w:tblpPr w:leftFromText="180" w:rightFromText="180" w:vertAnchor="text" w:horzAnchor="margin" w:tblpXSpec="center" w:tblpY="130"/>
        <w:tblW w:w="5399" w:type="pct"/>
        <w:tblLook w:val="01E0" w:firstRow="1" w:lastRow="1" w:firstColumn="1" w:lastColumn="1" w:noHBand="0" w:noVBand="0"/>
      </w:tblPr>
      <w:tblGrid>
        <w:gridCol w:w="10760"/>
        <w:gridCol w:w="4301"/>
      </w:tblGrid>
      <w:tr w:rsidR="00A769B0" w:rsidRPr="004B5178" w14:paraId="75D25522" w14:textId="77777777" w:rsidTr="004B5178">
        <w:tc>
          <w:tcPr>
            <w:tcW w:w="3572" w:type="pct"/>
          </w:tcPr>
          <w:p w14:paraId="238A3D1D" w14:textId="77777777" w:rsidR="00A769B0" w:rsidRPr="004B5178" w:rsidRDefault="00A769B0" w:rsidP="00A769B0">
            <w:pPr>
              <w:spacing w:before="120" w:after="120"/>
              <w:rPr>
                <w:b/>
              </w:rPr>
            </w:pPr>
            <w:r w:rsidRPr="004B5178">
              <w:rPr>
                <w:b/>
              </w:rPr>
              <w:t>Document Author:</w:t>
            </w:r>
          </w:p>
        </w:tc>
        <w:tc>
          <w:tcPr>
            <w:tcW w:w="1428" w:type="pct"/>
          </w:tcPr>
          <w:p w14:paraId="09575130" w14:textId="77777777" w:rsidR="00A769B0" w:rsidRPr="004B5178" w:rsidRDefault="00A769B0" w:rsidP="00A769B0">
            <w:pPr>
              <w:spacing w:before="120" w:after="120"/>
              <w:jc w:val="right"/>
              <w:rPr>
                <w:i/>
              </w:rPr>
            </w:pPr>
            <w:r w:rsidRPr="004B5178">
              <w:rPr>
                <w:i/>
              </w:rPr>
              <w:t>Lydia Gomersall</w:t>
            </w:r>
          </w:p>
        </w:tc>
      </w:tr>
      <w:tr w:rsidR="004B5178" w:rsidRPr="004B5178" w14:paraId="7CF9FDC2" w14:textId="77777777" w:rsidTr="004B5178">
        <w:tc>
          <w:tcPr>
            <w:tcW w:w="3572" w:type="pct"/>
          </w:tcPr>
          <w:p w14:paraId="2118EA1F" w14:textId="77777777" w:rsidR="00A769B0" w:rsidRPr="004B5178" w:rsidRDefault="00A769B0" w:rsidP="00A769B0">
            <w:pPr>
              <w:spacing w:before="120" w:after="120"/>
              <w:rPr>
                <w:b/>
              </w:rPr>
            </w:pPr>
            <w:r w:rsidRPr="004B5178">
              <w:rPr>
                <w:b/>
              </w:rPr>
              <w:t>Document Owner:</w:t>
            </w:r>
          </w:p>
        </w:tc>
        <w:tc>
          <w:tcPr>
            <w:tcW w:w="1428" w:type="pct"/>
          </w:tcPr>
          <w:p w14:paraId="53DA68F9" w14:textId="77777777" w:rsidR="00A769B0" w:rsidRPr="004B5178" w:rsidRDefault="00A769B0" w:rsidP="00A769B0">
            <w:pPr>
              <w:spacing w:before="120" w:after="120"/>
              <w:jc w:val="right"/>
              <w:rPr>
                <w:i/>
              </w:rPr>
            </w:pPr>
            <w:r w:rsidRPr="004B5178">
              <w:rPr>
                <w:i/>
              </w:rPr>
              <w:t>Chris Wilson</w:t>
            </w:r>
          </w:p>
        </w:tc>
      </w:tr>
      <w:tr w:rsidR="00A769B0" w:rsidRPr="004B5178" w14:paraId="499D25FA" w14:textId="77777777" w:rsidTr="004B5178">
        <w:tc>
          <w:tcPr>
            <w:tcW w:w="3572" w:type="pct"/>
          </w:tcPr>
          <w:p w14:paraId="1D88EB7F" w14:textId="77777777" w:rsidR="00A769B0" w:rsidRPr="004B5178" w:rsidRDefault="00A769B0" w:rsidP="00A769B0">
            <w:pPr>
              <w:spacing w:before="120" w:after="120"/>
              <w:rPr>
                <w:b/>
              </w:rPr>
            </w:pPr>
            <w:r w:rsidRPr="004B5178">
              <w:rPr>
                <w:b/>
              </w:rPr>
              <w:t>Created Date:</w:t>
            </w:r>
          </w:p>
        </w:tc>
        <w:tc>
          <w:tcPr>
            <w:tcW w:w="1428" w:type="pct"/>
          </w:tcPr>
          <w:p w14:paraId="28BF2FE5" w14:textId="77777777" w:rsidR="00A769B0" w:rsidRPr="004B5178" w:rsidRDefault="00A769B0" w:rsidP="00A769B0">
            <w:pPr>
              <w:spacing w:before="120" w:after="120"/>
              <w:jc w:val="right"/>
              <w:rPr>
                <w:i/>
              </w:rPr>
            </w:pPr>
          </w:p>
        </w:tc>
      </w:tr>
      <w:tr w:rsidR="00A769B0" w:rsidRPr="004B5178" w14:paraId="7C9D20AA" w14:textId="77777777" w:rsidTr="004B5178">
        <w:tc>
          <w:tcPr>
            <w:tcW w:w="3572" w:type="pct"/>
          </w:tcPr>
          <w:p w14:paraId="2CC6D418" w14:textId="77777777" w:rsidR="00A769B0" w:rsidRPr="004B5178" w:rsidRDefault="00A769B0" w:rsidP="00A769B0">
            <w:pPr>
              <w:spacing w:before="120" w:after="120"/>
              <w:rPr>
                <w:b/>
              </w:rPr>
            </w:pPr>
            <w:r w:rsidRPr="004B5178">
              <w:rPr>
                <w:b/>
              </w:rPr>
              <w:t>Current Issue Date:</w:t>
            </w:r>
          </w:p>
        </w:tc>
        <w:tc>
          <w:tcPr>
            <w:tcW w:w="1428" w:type="pct"/>
          </w:tcPr>
          <w:p w14:paraId="62C36240" w14:textId="77777777" w:rsidR="00A769B0" w:rsidRPr="004B5178" w:rsidRDefault="00A769B0" w:rsidP="00A769B0">
            <w:pPr>
              <w:spacing w:before="120" w:after="120"/>
              <w:jc w:val="right"/>
              <w:rPr>
                <w:i/>
              </w:rPr>
            </w:pPr>
          </w:p>
        </w:tc>
      </w:tr>
      <w:tr w:rsidR="004B5178" w:rsidRPr="004B5178" w14:paraId="63BD6530" w14:textId="77777777" w:rsidTr="004B5178">
        <w:tc>
          <w:tcPr>
            <w:tcW w:w="3572" w:type="pct"/>
          </w:tcPr>
          <w:p w14:paraId="32FB1DC8" w14:textId="77777777" w:rsidR="00A769B0" w:rsidRPr="004B5178" w:rsidRDefault="00A769B0" w:rsidP="00A769B0">
            <w:pPr>
              <w:spacing w:before="120" w:after="120"/>
              <w:rPr>
                <w:b/>
              </w:rPr>
            </w:pPr>
            <w:r w:rsidRPr="004B5178">
              <w:rPr>
                <w:b/>
              </w:rPr>
              <w:t>Responses expected by:</w:t>
            </w:r>
          </w:p>
        </w:tc>
        <w:tc>
          <w:tcPr>
            <w:tcW w:w="1428" w:type="pct"/>
          </w:tcPr>
          <w:p w14:paraId="66B25D97" w14:textId="77777777" w:rsidR="00A769B0" w:rsidRPr="004B5178" w:rsidRDefault="00A769B0" w:rsidP="00A769B0">
            <w:pPr>
              <w:spacing w:before="120" w:after="120"/>
              <w:jc w:val="right"/>
              <w:rPr>
                <w:i/>
              </w:rPr>
            </w:pPr>
            <w:r w:rsidRPr="004B5178">
              <w:rPr>
                <w:i/>
              </w:rPr>
              <w:t>n/a</w:t>
            </w:r>
          </w:p>
        </w:tc>
      </w:tr>
      <w:tr w:rsidR="00A769B0" w:rsidRPr="004B5178" w14:paraId="0BB8A8B8" w14:textId="77777777" w:rsidTr="004B5178">
        <w:tc>
          <w:tcPr>
            <w:tcW w:w="3572" w:type="pct"/>
          </w:tcPr>
          <w:p w14:paraId="73DFBB86" w14:textId="77777777" w:rsidR="00A769B0" w:rsidRPr="004B5178" w:rsidRDefault="00A769B0" w:rsidP="00A769B0">
            <w:pPr>
              <w:spacing w:before="120" w:after="120"/>
              <w:rPr>
                <w:b/>
              </w:rPr>
            </w:pPr>
            <w:r w:rsidRPr="004B5178">
              <w:rPr>
                <w:b/>
              </w:rPr>
              <w:t>Version Number:</w:t>
            </w:r>
          </w:p>
        </w:tc>
        <w:tc>
          <w:tcPr>
            <w:tcW w:w="1428" w:type="pct"/>
          </w:tcPr>
          <w:p w14:paraId="692A02C2" w14:textId="77777777" w:rsidR="00A769B0" w:rsidRPr="004B5178" w:rsidRDefault="00A769B0" w:rsidP="00A769B0">
            <w:pPr>
              <w:spacing w:before="120" w:after="120"/>
              <w:jc w:val="right"/>
              <w:rPr>
                <w:i/>
              </w:rPr>
            </w:pPr>
            <w:r w:rsidRPr="004B5178">
              <w:rPr>
                <w:i/>
              </w:rPr>
              <w:t>v0.1</w:t>
            </w:r>
          </w:p>
        </w:tc>
      </w:tr>
    </w:tbl>
    <w:p w14:paraId="26928508" w14:textId="77777777" w:rsidR="000C1C47" w:rsidRPr="004B5178" w:rsidRDefault="000C1C47" w:rsidP="000C1C47">
      <w:pPr>
        <w:spacing w:after="60"/>
        <w:jc w:val="both"/>
      </w:pPr>
    </w:p>
    <w:p w14:paraId="0A6F4E36" w14:textId="5E1C7A9A" w:rsidR="000C1C47" w:rsidRPr="004B5178" w:rsidRDefault="000C1C47" w:rsidP="000C1C47"/>
    <w:p w14:paraId="05985EF5" w14:textId="417F9DE4" w:rsidR="000967BB" w:rsidRPr="004B5178" w:rsidRDefault="000967BB">
      <w:r w:rsidRPr="004B5178">
        <w:br w:type="page"/>
      </w:r>
    </w:p>
    <w:p w14:paraId="61D6CAE2" w14:textId="77777777" w:rsidR="000C1C47" w:rsidRPr="004B5178" w:rsidRDefault="000C1C47" w:rsidP="000C1C47">
      <w:pPr>
        <w:spacing w:after="60"/>
        <w:jc w:val="both"/>
        <w:rPr>
          <w:b/>
        </w:rPr>
      </w:pPr>
      <w:r w:rsidRPr="004B5178">
        <w:rPr>
          <w:b/>
        </w:rPr>
        <w:lastRenderedPageBreak/>
        <w:t>Contents</w:t>
      </w:r>
    </w:p>
    <w:p w14:paraId="08321CB7" w14:textId="77777777" w:rsidR="000C1C47" w:rsidRPr="004B5178" w:rsidRDefault="000C1C47" w:rsidP="000C1C47">
      <w:pPr>
        <w:spacing w:after="60"/>
        <w:jc w:val="both"/>
      </w:pPr>
      <w:bookmarkStart w:id="0" w:name="_Toc198517718"/>
      <w:bookmarkStart w:id="1" w:name="_Toc198518225"/>
      <w:bookmarkStart w:id="2" w:name="_Toc301271292"/>
    </w:p>
    <w:p w14:paraId="1703D1CE" w14:textId="77777777" w:rsidR="00BF002A" w:rsidRPr="004B5178" w:rsidRDefault="00BF002A" w:rsidP="00BF002A">
      <w:pPr>
        <w:pStyle w:val="Heading1"/>
        <w:keepNext/>
        <w:spacing w:before="0" w:after="120"/>
        <w:rPr>
          <w:sz w:val="22"/>
          <w:szCs w:val="22"/>
        </w:rPr>
      </w:pPr>
      <w:r w:rsidRPr="004B5178">
        <w:rPr>
          <w:sz w:val="22"/>
          <w:szCs w:val="22"/>
        </w:rPr>
        <w:t>0. Document Control.....................................................................................................</w:t>
      </w:r>
      <w:r w:rsidRPr="004B5178">
        <w:rPr>
          <w:sz w:val="22"/>
          <w:szCs w:val="22"/>
        </w:rPr>
        <w:tab/>
        <w:t>2</w:t>
      </w:r>
    </w:p>
    <w:p w14:paraId="08947726" w14:textId="77777777" w:rsidR="00BF002A" w:rsidRPr="004B5178" w:rsidRDefault="00BF002A" w:rsidP="00BF002A">
      <w:pPr>
        <w:pStyle w:val="Heading1"/>
        <w:keepNext/>
        <w:spacing w:before="0" w:after="120"/>
        <w:rPr>
          <w:sz w:val="22"/>
          <w:szCs w:val="22"/>
        </w:rPr>
      </w:pPr>
      <w:r w:rsidRPr="004B5178">
        <w:rPr>
          <w:sz w:val="22"/>
          <w:szCs w:val="22"/>
        </w:rPr>
        <w:tab/>
        <w:t>0.1 Version History……………………………………………………………..</w:t>
      </w:r>
      <w:r w:rsidRPr="004B5178">
        <w:rPr>
          <w:sz w:val="22"/>
          <w:szCs w:val="22"/>
        </w:rPr>
        <w:tab/>
        <w:t>2</w:t>
      </w:r>
    </w:p>
    <w:p w14:paraId="42AB9FD5" w14:textId="77777777" w:rsidR="00BF002A" w:rsidRPr="004B5178" w:rsidRDefault="00BF002A" w:rsidP="00BF002A">
      <w:pPr>
        <w:pStyle w:val="Heading1"/>
        <w:keepNext/>
        <w:spacing w:before="0" w:after="120"/>
        <w:rPr>
          <w:sz w:val="22"/>
          <w:szCs w:val="22"/>
        </w:rPr>
      </w:pPr>
      <w:r w:rsidRPr="004B5178">
        <w:rPr>
          <w:sz w:val="22"/>
          <w:szCs w:val="22"/>
        </w:rPr>
        <w:tab/>
        <w:t>0.2 Approvals……………………………………………………………………</w:t>
      </w:r>
      <w:r w:rsidRPr="004B5178">
        <w:rPr>
          <w:sz w:val="22"/>
          <w:szCs w:val="22"/>
        </w:rPr>
        <w:tab/>
        <w:t>2</w:t>
      </w:r>
    </w:p>
    <w:p w14:paraId="4D1F7C9B" w14:textId="77777777" w:rsidR="00BF002A" w:rsidRPr="004B5178" w:rsidRDefault="00BF002A" w:rsidP="00BF002A">
      <w:pPr>
        <w:pStyle w:val="Heading1"/>
        <w:keepNext/>
        <w:spacing w:before="0" w:after="120"/>
        <w:rPr>
          <w:sz w:val="22"/>
          <w:szCs w:val="22"/>
        </w:rPr>
      </w:pPr>
      <w:r w:rsidRPr="004B5178">
        <w:rPr>
          <w:sz w:val="22"/>
          <w:szCs w:val="22"/>
        </w:rPr>
        <w:tab/>
        <w:t>0.3 Distribution………………………………………………………………….</w:t>
      </w:r>
      <w:r w:rsidRPr="004B5178">
        <w:rPr>
          <w:sz w:val="22"/>
          <w:szCs w:val="22"/>
        </w:rPr>
        <w:tab/>
        <w:t>2</w:t>
      </w:r>
    </w:p>
    <w:p w14:paraId="4BFC1210" w14:textId="77777777" w:rsidR="00BF002A" w:rsidRPr="004B5178" w:rsidRDefault="00BF002A" w:rsidP="00BF002A">
      <w:pPr>
        <w:pStyle w:val="Heading1"/>
        <w:keepNext/>
        <w:spacing w:before="0" w:after="120"/>
        <w:rPr>
          <w:sz w:val="22"/>
          <w:szCs w:val="22"/>
        </w:rPr>
      </w:pPr>
      <w:r w:rsidRPr="004B5178">
        <w:rPr>
          <w:sz w:val="22"/>
          <w:szCs w:val="22"/>
        </w:rPr>
        <w:t>1. Introduction…………………………………………………………………………………</w:t>
      </w:r>
      <w:r w:rsidRPr="004B5178">
        <w:rPr>
          <w:sz w:val="22"/>
          <w:szCs w:val="22"/>
        </w:rPr>
        <w:tab/>
        <w:t>3</w:t>
      </w:r>
    </w:p>
    <w:p w14:paraId="204DBBCB" w14:textId="77777777" w:rsidR="00BF002A" w:rsidRPr="004B5178" w:rsidRDefault="00BF002A" w:rsidP="00BF002A">
      <w:pPr>
        <w:pStyle w:val="Heading1"/>
        <w:keepNext/>
        <w:spacing w:before="0" w:after="120"/>
        <w:rPr>
          <w:sz w:val="22"/>
          <w:szCs w:val="22"/>
        </w:rPr>
      </w:pPr>
      <w:r w:rsidRPr="004B5178">
        <w:rPr>
          <w:sz w:val="22"/>
          <w:szCs w:val="22"/>
        </w:rPr>
        <w:t>2. Indicators for consideration:</w:t>
      </w:r>
      <w:r w:rsidRPr="004B5178">
        <w:rPr>
          <w:sz w:val="22"/>
          <w:szCs w:val="22"/>
        </w:rPr>
        <w:tab/>
      </w:r>
    </w:p>
    <w:p w14:paraId="612A1543" w14:textId="77777777" w:rsidR="00BF002A" w:rsidRPr="004B5178" w:rsidRDefault="00BF002A" w:rsidP="00BF002A">
      <w:pPr>
        <w:pStyle w:val="Heading1"/>
        <w:keepNext/>
        <w:spacing w:before="0" w:after="120"/>
        <w:rPr>
          <w:sz w:val="22"/>
          <w:szCs w:val="22"/>
        </w:rPr>
      </w:pPr>
      <w:r w:rsidRPr="004B5178">
        <w:rPr>
          <w:sz w:val="22"/>
          <w:szCs w:val="22"/>
        </w:rPr>
        <w:tab/>
        <w:t>Cancer Survival indicators</w:t>
      </w:r>
      <w:r w:rsidRPr="004B5178">
        <w:rPr>
          <w:sz w:val="22"/>
          <w:szCs w:val="22"/>
        </w:rPr>
        <w:tab/>
        <w:t>4</w:t>
      </w:r>
    </w:p>
    <w:p w14:paraId="267EA639" w14:textId="77777777" w:rsidR="00BF002A" w:rsidRPr="004B5178" w:rsidRDefault="00BF002A" w:rsidP="00BF002A">
      <w:pPr>
        <w:pStyle w:val="Heading1"/>
        <w:spacing w:before="0"/>
        <w:rPr>
          <w:sz w:val="22"/>
          <w:szCs w:val="22"/>
        </w:rPr>
      </w:pPr>
      <w:r w:rsidRPr="004B5178">
        <w:rPr>
          <w:sz w:val="22"/>
          <w:szCs w:val="22"/>
        </w:rPr>
        <w:tab/>
        <w:t>NHS OF 3.3 Proportion of people who recover from major trauma</w:t>
      </w:r>
      <w:r w:rsidRPr="004B5178">
        <w:rPr>
          <w:sz w:val="22"/>
          <w:szCs w:val="22"/>
        </w:rPr>
        <w:tab/>
        <w:t>8</w:t>
      </w:r>
    </w:p>
    <w:p w14:paraId="05845F71" w14:textId="77777777" w:rsidR="000C1C47" w:rsidRPr="004B5178" w:rsidRDefault="000C1C47" w:rsidP="000C1C47">
      <w:pPr>
        <w:spacing w:after="60"/>
        <w:jc w:val="both"/>
      </w:pPr>
    </w:p>
    <w:p w14:paraId="450D9231" w14:textId="77777777" w:rsidR="000C1C47" w:rsidRPr="004B5178" w:rsidRDefault="000C1C47" w:rsidP="000C1C47">
      <w:pPr>
        <w:spacing w:after="60"/>
        <w:jc w:val="both"/>
      </w:pPr>
    </w:p>
    <w:p w14:paraId="34AE4741" w14:textId="77777777" w:rsidR="000C1C47" w:rsidRPr="004B5178" w:rsidRDefault="000C1C47" w:rsidP="000C1C47">
      <w:pPr>
        <w:spacing w:after="60"/>
        <w:jc w:val="both"/>
      </w:pPr>
    </w:p>
    <w:p w14:paraId="1CF06035" w14:textId="6209B0FD" w:rsidR="000C1C47" w:rsidRPr="004B5178" w:rsidRDefault="000C1C47">
      <w:r w:rsidRPr="004B5178">
        <w:br w:type="page"/>
      </w:r>
    </w:p>
    <w:p w14:paraId="667461C8" w14:textId="77777777" w:rsidR="000C1C47" w:rsidRPr="004B5178" w:rsidRDefault="000C1C47" w:rsidP="000C1C47">
      <w:pPr>
        <w:spacing w:after="60"/>
        <w:jc w:val="both"/>
      </w:pPr>
    </w:p>
    <w:p w14:paraId="19D81E55" w14:textId="77777777" w:rsidR="000C1C47" w:rsidRPr="004B5178" w:rsidRDefault="000C1C47" w:rsidP="000C1C47">
      <w:pPr>
        <w:spacing w:after="60"/>
        <w:jc w:val="both"/>
        <w:rPr>
          <w:b/>
        </w:rPr>
      </w:pPr>
      <w:r w:rsidRPr="004B5178">
        <w:rPr>
          <w:b/>
        </w:rPr>
        <w:t>0. Document Control</w:t>
      </w:r>
      <w:bookmarkEnd w:id="0"/>
      <w:bookmarkEnd w:id="1"/>
      <w:bookmarkEnd w:id="2"/>
    </w:p>
    <w:p w14:paraId="13107335" w14:textId="77777777" w:rsidR="000C1C47" w:rsidRPr="004B5178" w:rsidRDefault="000C1C47" w:rsidP="000C1C47">
      <w:pPr>
        <w:keepNext/>
        <w:numPr>
          <w:ilvl w:val="1"/>
          <w:numId w:val="0"/>
        </w:numPr>
        <w:tabs>
          <w:tab w:val="num" w:pos="576"/>
        </w:tabs>
        <w:spacing w:before="240" w:after="60"/>
        <w:jc w:val="both"/>
        <w:outlineLvl w:val="1"/>
        <w:rPr>
          <w:b/>
          <w:bCs/>
          <w:i/>
          <w:iCs/>
        </w:rPr>
      </w:pPr>
      <w:bookmarkStart w:id="3" w:name="_Version_History"/>
      <w:bookmarkStart w:id="4" w:name="_Toc198517719"/>
      <w:bookmarkStart w:id="5" w:name="_Toc198518226"/>
      <w:bookmarkStart w:id="6" w:name="_Toc301271293"/>
      <w:bookmarkEnd w:id="3"/>
      <w:r w:rsidRPr="004B5178">
        <w:rPr>
          <w:b/>
          <w:bCs/>
          <w:i/>
          <w:iCs/>
        </w:rPr>
        <w:t>Version History</w:t>
      </w:r>
      <w:bookmarkEnd w:id="4"/>
      <w:bookmarkEnd w:id="5"/>
      <w:bookmarkEnd w:id="6"/>
    </w:p>
    <w:tbl>
      <w:tblPr>
        <w:tblStyle w:val="TableGrid"/>
        <w:tblW w:w="9923" w:type="dxa"/>
        <w:tblLook w:val="01E0" w:firstRow="1" w:lastRow="1" w:firstColumn="1" w:lastColumn="1" w:noHBand="0" w:noVBand="0"/>
      </w:tblPr>
      <w:tblGrid>
        <w:gridCol w:w="1973"/>
        <w:gridCol w:w="1398"/>
        <w:gridCol w:w="1871"/>
        <w:gridCol w:w="4681"/>
      </w:tblGrid>
      <w:tr w:rsidR="004B5178" w:rsidRPr="004B5178" w14:paraId="0E182E04" w14:textId="77777777" w:rsidTr="004B5178">
        <w:tc>
          <w:tcPr>
            <w:tcW w:w="1973" w:type="dxa"/>
          </w:tcPr>
          <w:p w14:paraId="792060F0" w14:textId="77777777" w:rsidR="000C1C47" w:rsidRPr="004B5178" w:rsidRDefault="000C1C47" w:rsidP="000C1C47">
            <w:pPr>
              <w:spacing w:after="60"/>
              <w:jc w:val="both"/>
              <w:rPr>
                <w:b/>
                <w:bCs/>
              </w:rPr>
            </w:pPr>
            <w:r w:rsidRPr="004B5178">
              <w:rPr>
                <w:b/>
                <w:bCs/>
              </w:rPr>
              <w:t>Version</w:t>
            </w:r>
          </w:p>
        </w:tc>
        <w:tc>
          <w:tcPr>
            <w:tcW w:w="1398" w:type="dxa"/>
          </w:tcPr>
          <w:p w14:paraId="6A33C93A" w14:textId="77777777" w:rsidR="000C1C47" w:rsidRPr="004B5178" w:rsidRDefault="000C1C47" w:rsidP="000C1C47">
            <w:pPr>
              <w:spacing w:after="60"/>
              <w:jc w:val="both"/>
              <w:rPr>
                <w:b/>
                <w:bCs/>
              </w:rPr>
            </w:pPr>
            <w:r w:rsidRPr="004B5178">
              <w:rPr>
                <w:b/>
                <w:bCs/>
              </w:rPr>
              <w:t>Date</w:t>
            </w:r>
          </w:p>
        </w:tc>
        <w:tc>
          <w:tcPr>
            <w:tcW w:w="1871" w:type="dxa"/>
          </w:tcPr>
          <w:p w14:paraId="5FBBA197" w14:textId="77777777" w:rsidR="000C1C47" w:rsidRPr="004B5178" w:rsidRDefault="000C1C47" w:rsidP="000C1C47">
            <w:pPr>
              <w:spacing w:after="60"/>
              <w:jc w:val="both"/>
              <w:rPr>
                <w:b/>
                <w:bCs/>
              </w:rPr>
            </w:pPr>
            <w:r w:rsidRPr="004B5178">
              <w:rPr>
                <w:b/>
                <w:bCs/>
              </w:rPr>
              <w:t>Changed By</w:t>
            </w:r>
          </w:p>
        </w:tc>
        <w:tc>
          <w:tcPr>
            <w:tcW w:w="4681" w:type="dxa"/>
          </w:tcPr>
          <w:p w14:paraId="3C3310CC" w14:textId="77777777" w:rsidR="000C1C47" w:rsidRPr="004B5178" w:rsidRDefault="000C1C47" w:rsidP="000C1C47">
            <w:pPr>
              <w:spacing w:after="60"/>
              <w:jc w:val="both"/>
              <w:rPr>
                <w:b/>
                <w:bCs/>
              </w:rPr>
            </w:pPr>
            <w:r w:rsidRPr="004B5178">
              <w:rPr>
                <w:b/>
                <w:bCs/>
              </w:rPr>
              <w:t>Summary of Changes</w:t>
            </w:r>
          </w:p>
        </w:tc>
      </w:tr>
      <w:tr w:rsidR="004B5178" w:rsidRPr="004B5178" w14:paraId="0DAF4C73" w14:textId="77777777" w:rsidTr="004B5178">
        <w:tc>
          <w:tcPr>
            <w:tcW w:w="1973" w:type="dxa"/>
          </w:tcPr>
          <w:p w14:paraId="50AA0301" w14:textId="77777777" w:rsidR="000C1C47" w:rsidRPr="004B5178" w:rsidRDefault="000C1C47" w:rsidP="000C1C47">
            <w:pPr>
              <w:spacing w:after="60"/>
              <w:jc w:val="both"/>
            </w:pPr>
            <w:r w:rsidRPr="004B5178">
              <w:t>V 0.1</w:t>
            </w:r>
          </w:p>
        </w:tc>
        <w:tc>
          <w:tcPr>
            <w:tcW w:w="1398" w:type="dxa"/>
          </w:tcPr>
          <w:p w14:paraId="25421601" w14:textId="77777777" w:rsidR="000C1C47" w:rsidRPr="004B5178" w:rsidRDefault="000C1C47" w:rsidP="000C1C47">
            <w:pPr>
              <w:spacing w:after="60"/>
              <w:jc w:val="both"/>
            </w:pPr>
          </w:p>
        </w:tc>
        <w:tc>
          <w:tcPr>
            <w:tcW w:w="1871" w:type="dxa"/>
          </w:tcPr>
          <w:p w14:paraId="7352F9A1" w14:textId="77777777" w:rsidR="000C1C47" w:rsidRPr="004B5178" w:rsidRDefault="000C1C47" w:rsidP="000C1C47">
            <w:pPr>
              <w:spacing w:after="60"/>
              <w:jc w:val="both"/>
            </w:pPr>
          </w:p>
        </w:tc>
        <w:tc>
          <w:tcPr>
            <w:tcW w:w="4681" w:type="dxa"/>
          </w:tcPr>
          <w:p w14:paraId="513F8A73" w14:textId="77777777" w:rsidR="000C1C47" w:rsidRPr="004B5178" w:rsidRDefault="000C1C47" w:rsidP="000C1C47">
            <w:pPr>
              <w:spacing w:after="60"/>
              <w:jc w:val="both"/>
            </w:pPr>
            <w:r w:rsidRPr="004B5178">
              <w:t>Initial Draft</w:t>
            </w:r>
          </w:p>
        </w:tc>
      </w:tr>
      <w:tr w:rsidR="004B5178" w:rsidRPr="004B5178" w14:paraId="3FDB2245" w14:textId="77777777" w:rsidTr="004B5178">
        <w:tc>
          <w:tcPr>
            <w:tcW w:w="1973" w:type="dxa"/>
          </w:tcPr>
          <w:p w14:paraId="1914961F" w14:textId="77777777" w:rsidR="000C1C47" w:rsidRPr="004B5178" w:rsidRDefault="000C1C47" w:rsidP="000C1C47">
            <w:pPr>
              <w:spacing w:after="60"/>
              <w:jc w:val="both"/>
            </w:pPr>
          </w:p>
        </w:tc>
        <w:tc>
          <w:tcPr>
            <w:tcW w:w="1398" w:type="dxa"/>
          </w:tcPr>
          <w:p w14:paraId="45CFDB88" w14:textId="77777777" w:rsidR="000C1C47" w:rsidRPr="004B5178" w:rsidRDefault="000C1C47" w:rsidP="000C1C47">
            <w:pPr>
              <w:spacing w:after="60"/>
              <w:jc w:val="both"/>
            </w:pPr>
          </w:p>
        </w:tc>
        <w:tc>
          <w:tcPr>
            <w:tcW w:w="1871" w:type="dxa"/>
          </w:tcPr>
          <w:p w14:paraId="5225DA0E" w14:textId="77777777" w:rsidR="000C1C47" w:rsidRPr="004B5178" w:rsidRDefault="000C1C47" w:rsidP="000C1C47">
            <w:pPr>
              <w:spacing w:after="60"/>
              <w:jc w:val="both"/>
            </w:pPr>
          </w:p>
        </w:tc>
        <w:tc>
          <w:tcPr>
            <w:tcW w:w="4681" w:type="dxa"/>
          </w:tcPr>
          <w:p w14:paraId="112B2946" w14:textId="77777777" w:rsidR="000C1C47" w:rsidRPr="004B5178" w:rsidRDefault="000C1C47" w:rsidP="000C1C47">
            <w:pPr>
              <w:spacing w:after="60"/>
              <w:jc w:val="both"/>
            </w:pPr>
          </w:p>
        </w:tc>
      </w:tr>
    </w:tbl>
    <w:p w14:paraId="54BE819D" w14:textId="77777777" w:rsidR="000C1C47" w:rsidRPr="004B5178" w:rsidRDefault="000C1C47" w:rsidP="000C1C47">
      <w:pPr>
        <w:keepNext/>
        <w:numPr>
          <w:ilvl w:val="1"/>
          <w:numId w:val="0"/>
        </w:numPr>
        <w:tabs>
          <w:tab w:val="num" w:pos="576"/>
        </w:tabs>
        <w:spacing w:before="240" w:after="60"/>
        <w:jc w:val="both"/>
        <w:outlineLvl w:val="1"/>
        <w:rPr>
          <w:b/>
          <w:bCs/>
          <w:i/>
          <w:iCs/>
        </w:rPr>
      </w:pPr>
      <w:bookmarkStart w:id="7" w:name="_Approvals"/>
      <w:bookmarkStart w:id="8" w:name="_Toc198517720"/>
      <w:bookmarkStart w:id="9" w:name="_Toc198518227"/>
      <w:bookmarkStart w:id="10" w:name="_Toc301271294"/>
      <w:bookmarkEnd w:id="7"/>
      <w:r w:rsidRPr="004B5178">
        <w:rPr>
          <w:b/>
          <w:bCs/>
          <w:i/>
          <w:iCs/>
        </w:rPr>
        <w:t>Approvals</w:t>
      </w:r>
      <w:bookmarkEnd w:id="8"/>
      <w:bookmarkEnd w:id="9"/>
      <w:bookmarkEnd w:id="10"/>
    </w:p>
    <w:tbl>
      <w:tblPr>
        <w:tblStyle w:val="TableGrid"/>
        <w:tblW w:w="9932" w:type="dxa"/>
        <w:tblLook w:val="01E0" w:firstRow="1" w:lastRow="1" w:firstColumn="1" w:lastColumn="1" w:noHBand="0" w:noVBand="0"/>
      </w:tblPr>
      <w:tblGrid>
        <w:gridCol w:w="2886"/>
        <w:gridCol w:w="3188"/>
        <w:gridCol w:w="1209"/>
        <w:gridCol w:w="1069"/>
        <w:gridCol w:w="1580"/>
      </w:tblGrid>
      <w:tr w:rsidR="004B5178" w:rsidRPr="004B5178" w14:paraId="2FC605C0" w14:textId="77777777" w:rsidTr="004B5178">
        <w:tc>
          <w:tcPr>
            <w:tcW w:w="2886" w:type="dxa"/>
          </w:tcPr>
          <w:p w14:paraId="2B7F47FE" w14:textId="77777777" w:rsidR="000C1C47" w:rsidRPr="004B5178" w:rsidRDefault="000C1C47" w:rsidP="000C1C47">
            <w:pPr>
              <w:spacing w:after="60"/>
              <w:jc w:val="both"/>
              <w:rPr>
                <w:b/>
                <w:bCs/>
              </w:rPr>
            </w:pPr>
            <w:r w:rsidRPr="004B5178">
              <w:rPr>
                <w:b/>
                <w:bCs/>
              </w:rPr>
              <w:t>Name</w:t>
            </w:r>
          </w:p>
        </w:tc>
        <w:tc>
          <w:tcPr>
            <w:tcW w:w="3188" w:type="dxa"/>
          </w:tcPr>
          <w:p w14:paraId="4CF99A96" w14:textId="77777777" w:rsidR="000C1C47" w:rsidRPr="004B5178" w:rsidRDefault="000C1C47" w:rsidP="000C1C47">
            <w:pPr>
              <w:spacing w:after="60"/>
              <w:jc w:val="both"/>
              <w:rPr>
                <w:b/>
                <w:bCs/>
              </w:rPr>
            </w:pPr>
            <w:r w:rsidRPr="004B5178">
              <w:rPr>
                <w:b/>
                <w:bCs/>
              </w:rPr>
              <w:t>Title</w:t>
            </w:r>
          </w:p>
        </w:tc>
        <w:tc>
          <w:tcPr>
            <w:tcW w:w="1209" w:type="dxa"/>
          </w:tcPr>
          <w:p w14:paraId="1EAC58FE" w14:textId="77777777" w:rsidR="000C1C47" w:rsidRPr="004B5178" w:rsidRDefault="000C1C47" w:rsidP="000C1C47">
            <w:pPr>
              <w:spacing w:after="60"/>
              <w:jc w:val="both"/>
              <w:rPr>
                <w:b/>
                <w:bCs/>
              </w:rPr>
            </w:pPr>
            <w:r w:rsidRPr="004B5178">
              <w:rPr>
                <w:b/>
                <w:bCs/>
              </w:rPr>
              <w:t>Date</w:t>
            </w:r>
          </w:p>
        </w:tc>
        <w:tc>
          <w:tcPr>
            <w:tcW w:w="1069" w:type="dxa"/>
          </w:tcPr>
          <w:p w14:paraId="54DEBC59" w14:textId="77777777" w:rsidR="000C1C47" w:rsidRPr="004B5178" w:rsidRDefault="000C1C47" w:rsidP="000C1C47">
            <w:pPr>
              <w:spacing w:after="60"/>
              <w:jc w:val="both"/>
              <w:rPr>
                <w:b/>
                <w:bCs/>
              </w:rPr>
            </w:pPr>
            <w:r w:rsidRPr="004B5178">
              <w:rPr>
                <w:b/>
                <w:bCs/>
              </w:rPr>
              <w:t>Version</w:t>
            </w:r>
          </w:p>
        </w:tc>
        <w:tc>
          <w:tcPr>
            <w:tcW w:w="1580" w:type="dxa"/>
          </w:tcPr>
          <w:p w14:paraId="7FEC8562" w14:textId="77777777" w:rsidR="000C1C47" w:rsidRPr="004B5178" w:rsidRDefault="000C1C47" w:rsidP="000C1C47">
            <w:pPr>
              <w:spacing w:after="60"/>
              <w:jc w:val="both"/>
              <w:rPr>
                <w:b/>
                <w:bCs/>
              </w:rPr>
            </w:pPr>
            <w:r w:rsidRPr="004B5178">
              <w:rPr>
                <w:b/>
                <w:bCs/>
              </w:rPr>
              <w:t>Signature</w:t>
            </w:r>
          </w:p>
        </w:tc>
      </w:tr>
      <w:tr w:rsidR="004B5178" w:rsidRPr="004B5178" w14:paraId="4D964976" w14:textId="77777777" w:rsidTr="004B5178">
        <w:tc>
          <w:tcPr>
            <w:tcW w:w="2886" w:type="dxa"/>
          </w:tcPr>
          <w:p w14:paraId="5AD7680C" w14:textId="77777777" w:rsidR="000C1C47" w:rsidRPr="004B5178" w:rsidRDefault="000C1C47" w:rsidP="000C1C47">
            <w:pPr>
              <w:spacing w:after="60"/>
              <w:jc w:val="both"/>
            </w:pPr>
          </w:p>
        </w:tc>
        <w:tc>
          <w:tcPr>
            <w:tcW w:w="3188" w:type="dxa"/>
          </w:tcPr>
          <w:p w14:paraId="14BF7146" w14:textId="77777777" w:rsidR="000C1C47" w:rsidRPr="004B5178" w:rsidRDefault="000C1C47" w:rsidP="000C1C47">
            <w:pPr>
              <w:spacing w:after="60"/>
            </w:pPr>
          </w:p>
        </w:tc>
        <w:tc>
          <w:tcPr>
            <w:tcW w:w="1209" w:type="dxa"/>
          </w:tcPr>
          <w:p w14:paraId="0F6946E6" w14:textId="77777777" w:rsidR="000C1C47" w:rsidRPr="004B5178" w:rsidRDefault="000C1C47" w:rsidP="000C1C47">
            <w:pPr>
              <w:spacing w:after="60"/>
              <w:jc w:val="both"/>
            </w:pPr>
          </w:p>
        </w:tc>
        <w:tc>
          <w:tcPr>
            <w:tcW w:w="1069" w:type="dxa"/>
          </w:tcPr>
          <w:p w14:paraId="54D1AF6F" w14:textId="77777777" w:rsidR="000C1C47" w:rsidRPr="004B5178" w:rsidRDefault="000C1C47" w:rsidP="000C1C47">
            <w:pPr>
              <w:spacing w:after="60"/>
              <w:jc w:val="both"/>
            </w:pPr>
          </w:p>
        </w:tc>
        <w:tc>
          <w:tcPr>
            <w:tcW w:w="1580" w:type="dxa"/>
          </w:tcPr>
          <w:p w14:paraId="0B4412EA" w14:textId="77777777" w:rsidR="000C1C47" w:rsidRPr="004B5178" w:rsidRDefault="000C1C47" w:rsidP="000C1C47">
            <w:pPr>
              <w:spacing w:after="60"/>
              <w:jc w:val="both"/>
            </w:pPr>
          </w:p>
        </w:tc>
      </w:tr>
    </w:tbl>
    <w:p w14:paraId="198D2563" w14:textId="77777777" w:rsidR="000C1C47" w:rsidRPr="004B5178" w:rsidRDefault="000C1C47" w:rsidP="000C1C47">
      <w:pPr>
        <w:keepNext/>
        <w:numPr>
          <w:ilvl w:val="1"/>
          <w:numId w:val="0"/>
        </w:numPr>
        <w:tabs>
          <w:tab w:val="num" w:pos="576"/>
        </w:tabs>
        <w:spacing w:before="240" w:after="60"/>
        <w:jc w:val="both"/>
        <w:outlineLvl w:val="1"/>
        <w:rPr>
          <w:b/>
          <w:bCs/>
          <w:i/>
          <w:iCs/>
        </w:rPr>
      </w:pPr>
      <w:bookmarkStart w:id="11" w:name="_Distribution"/>
      <w:bookmarkStart w:id="12" w:name="_Toc198517721"/>
      <w:bookmarkStart w:id="13" w:name="_Toc198518228"/>
      <w:bookmarkStart w:id="14" w:name="_Toc301271295"/>
      <w:bookmarkEnd w:id="11"/>
      <w:r w:rsidRPr="004B5178">
        <w:rPr>
          <w:b/>
          <w:bCs/>
          <w:i/>
          <w:iCs/>
        </w:rPr>
        <w:t>Distribution</w:t>
      </w:r>
      <w:bookmarkEnd w:id="12"/>
      <w:bookmarkEnd w:id="13"/>
      <w:bookmarkEnd w:id="14"/>
    </w:p>
    <w:tbl>
      <w:tblPr>
        <w:tblStyle w:val="TableGrid"/>
        <w:tblW w:w="9923" w:type="dxa"/>
        <w:tblLook w:val="01E0" w:firstRow="1" w:lastRow="1" w:firstColumn="1" w:lastColumn="1" w:noHBand="0" w:noVBand="0"/>
      </w:tblPr>
      <w:tblGrid>
        <w:gridCol w:w="2845"/>
        <w:gridCol w:w="1111"/>
        <w:gridCol w:w="5967"/>
      </w:tblGrid>
      <w:tr w:rsidR="004B5178" w:rsidRPr="004B5178" w14:paraId="74AA2B11" w14:textId="77777777" w:rsidTr="004B5178">
        <w:tc>
          <w:tcPr>
            <w:tcW w:w="2845" w:type="dxa"/>
          </w:tcPr>
          <w:p w14:paraId="56E0018F" w14:textId="77777777" w:rsidR="000C1C47" w:rsidRPr="004B5178" w:rsidRDefault="000C1C47" w:rsidP="000C1C47">
            <w:pPr>
              <w:spacing w:after="60"/>
              <w:jc w:val="both"/>
              <w:rPr>
                <w:b/>
                <w:bCs/>
              </w:rPr>
            </w:pPr>
            <w:r w:rsidRPr="004B5178">
              <w:rPr>
                <w:b/>
                <w:bCs/>
              </w:rPr>
              <w:t>Version</w:t>
            </w:r>
          </w:p>
        </w:tc>
        <w:tc>
          <w:tcPr>
            <w:tcW w:w="1111" w:type="dxa"/>
          </w:tcPr>
          <w:p w14:paraId="6AA8A66F" w14:textId="77777777" w:rsidR="000C1C47" w:rsidRPr="004B5178" w:rsidRDefault="000C1C47" w:rsidP="000C1C47">
            <w:pPr>
              <w:spacing w:after="60"/>
              <w:jc w:val="both"/>
              <w:rPr>
                <w:b/>
                <w:bCs/>
              </w:rPr>
            </w:pPr>
            <w:r w:rsidRPr="004B5178">
              <w:rPr>
                <w:b/>
                <w:bCs/>
              </w:rPr>
              <w:t>Date</w:t>
            </w:r>
          </w:p>
        </w:tc>
        <w:tc>
          <w:tcPr>
            <w:tcW w:w="5967" w:type="dxa"/>
          </w:tcPr>
          <w:p w14:paraId="6305E835" w14:textId="77777777" w:rsidR="000C1C47" w:rsidRPr="004B5178" w:rsidRDefault="000C1C47" w:rsidP="000C1C47">
            <w:pPr>
              <w:spacing w:after="60"/>
              <w:jc w:val="both"/>
              <w:rPr>
                <w:b/>
                <w:bCs/>
              </w:rPr>
            </w:pPr>
            <w:r w:rsidRPr="004B5178">
              <w:rPr>
                <w:b/>
                <w:bCs/>
              </w:rPr>
              <w:t>Distribution List</w:t>
            </w:r>
          </w:p>
        </w:tc>
      </w:tr>
      <w:tr w:rsidR="004B5178" w:rsidRPr="004B5178" w14:paraId="1E733D79" w14:textId="77777777" w:rsidTr="004B5178">
        <w:tc>
          <w:tcPr>
            <w:tcW w:w="2845" w:type="dxa"/>
          </w:tcPr>
          <w:p w14:paraId="3F432802" w14:textId="77777777" w:rsidR="000C1C47" w:rsidRPr="004B5178" w:rsidRDefault="000C1C47" w:rsidP="000C1C47">
            <w:pPr>
              <w:spacing w:after="60"/>
              <w:jc w:val="both"/>
            </w:pPr>
          </w:p>
        </w:tc>
        <w:tc>
          <w:tcPr>
            <w:tcW w:w="1111" w:type="dxa"/>
          </w:tcPr>
          <w:p w14:paraId="0E629FE2" w14:textId="77777777" w:rsidR="000C1C47" w:rsidRPr="004B5178" w:rsidRDefault="000C1C47" w:rsidP="000C1C47">
            <w:pPr>
              <w:spacing w:after="60"/>
              <w:jc w:val="both"/>
            </w:pPr>
          </w:p>
        </w:tc>
        <w:tc>
          <w:tcPr>
            <w:tcW w:w="5967" w:type="dxa"/>
          </w:tcPr>
          <w:p w14:paraId="789C5BB1" w14:textId="77777777" w:rsidR="000C1C47" w:rsidRPr="004B5178" w:rsidRDefault="000C1C47" w:rsidP="000C1C47">
            <w:pPr>
              <w:spacing w:after="60"/>
              <w:jc w:val="both"/>
            </w:pPr>
            <w:r w:rsidRPr="004B5178">
              <w:t>HSCIC: Julie Stroud (chair), Andy Sutherland, Alyson Whitmarsh, Julie Henderson, Chris Dew (vice chair), Jonathan Hope, Paul Iggulden, Julie Henderson, John Sharp</w:t>
            </w:r>
          </w:p>
          <w:p w14:paraId="21769727" w14:textId="77777777" w:rsidR="000C1C47" w:rsidRPr="004B5178" w:rsidRDefault="000C1C47" w:rsidP="000C1C47">
            <w:pPr>
              <w:spacing w:after="60"/>
              <w:jc w:val="both"/>
            </w:pPr>
            <w:r w:rsidRPr="004B5178">
              <w:t xml:space="preserve">Irena Begaj (UHB), Daniel Sutcliffe (NICE), Paul Fryers (PHE), Gerry Firkins (ISB) </w:t>
            </w:r>
          </w:p>
          <w:p w14:paraId="5D9184C3" w14:textId="77777777" w:rsidR="000C1C47" w:rsidRPr="004B5178" w:rsidRDefault="000C1C47" w:rsidP="000C1C47">
            <w:pPr>
              <w:spacing w:after="60"/>
              <w:jc w:val="both"/>
            </w:pPr>
          </w:p>
          <w:p w14:paraId="329F25A0" w14:textId="77777777" w:rsidR="000C1C47" w:rsidRPr="004B5178" w:rsidRDefault="000C1C47" w:rsidP="000C1C47">
            <w:pPr>
              <w:spacing w:after="60"/>
              <w:jc w:val="both"/>
            </w:pPr>
            <w:r w:rsidRPr="004B5178">
              <w:t xml:space="preserve">cc </w:t>
            </w:r>
          </w:p>
        </w:tc>
      </w:tr>
    </w:tbl>
    <w:p w14:paraId="460A1656" w14:textId="77777777" w:rsidR="000C1C47" w:rsidRPr="004B5178" w:rsidRDefault="000C1C47" w:rsidP="000967BB">
      <w:pPr>
        <w:pStyle w:val="ListParagraph"/>
        <w:keepNext/>
        <w:pageBreakBefore/>
        <w:numPr>
          <w:ilvl w:val="0"/>
          <w:numId w:val="1"/>
        </w:numPr>
        <w:tabs>
          <w:tab w:val="num" w:pos="432"/>
        </w:tabs>
        <w:spacing w:before="240" w:after="60" w:line="240" w:lineRule="auto"/>
        <w:jc w:val="both"/>
        <w:outlineLvl w:val="0"/>
        <w:rPr>
          <w:rFonts w:ascii="Arial" w:hAnsi="Arial" w:cs="Arial"/>
          <w:b/>
          <w:bCs/>
          <w:kern w:val="32"/>
        </w:rPr>
      </w:pPr>
      <w:bookmarkStart w:id="15" w:name="_Toc301271296"/>
      <w:r w:rsidRPr="004B5178">
        <w:rPr>
          <w:rFonts w:ascii="Arial" w:hAnsi="Arial" w:cs="Arial"/>
          <w:b/>
          <w:bCs/>
          <w:kern w:val="32"/>
        </w:rPr>
        <w:lastRenderedPageBreak/>
        <w:t>Introduction</w:t>
      </w:r>
      <w:bookmarkEnd w:id="15"/>
    </w:p>
    <w:p w14:paraId="0C07B0BF" w14:textId="77777777" w:rsidR="000C1C47" w:rsidRPr="004B5178" w:rsidRDefault="000C1C47" w:rsidP="000C1C47">
      <w:pPr>
        <w:spacing w:after="60"/>
        <w:jc w:val="both"/>
      </w:pPr>
    </w:p>
    <w:p w14:paraId="1E143826" w14:textId="77777777" w:rsidR="000C1C47" w:rsidRPr="004B5178" w:rsidRDefault="000C1C47" w:rsidP="000C1C47">
      <w:pPr>
        <w:tabs>
          <w:tab w:val="left" w:pos="1605"/>
        </w:tabs>
      </w:pPr>
      <w:r w:rsidRPr="004B5178">
        <w:t>Indicators to discuss:</w:t>
      </w:r>
    </w:p>
    <w:p w14:paraId="08BADC74" w14:textId="77777777" w:rsidR="000C1C47" w:rsidRPr="004B5178" w:rsidRDefault="000C1C47" w:rsidP="000C1C47"/>
    <w:p w14:paraId="03A80F08" w14:textId="77777777" w:rsidR="000C1C47" w:rsidRPr="004B5178" w:rsidRDefault="000C1C47" w:rsidP="000C1C47"/>
    <w:p w14:paraId="615564EB" w14:textId="77777777" w:rsidR="000C1C47" w:rsidRPr="004B5178" w:rsidRDefault="000C1C47" w:rsidP="000967BB">
      <w:pPr>
        <w:pStyle w:val="ListParagraph"/>
        <w:numPr>
          <w:ilvl w:val="0"/>
          <w:numId w:val="5"/>
        </w:numPr>
        <w:tabs>
          <w:tab w:val="left" w:pos="1605"/>
        </w:tabs>
        <w:spacing w:after="0" w:line="240" w:lineRule="auto"/>
        <w:rPr>
          <w:rFonts w:ascii="Arial" w:hAnsi="Arial" w:cs="Arial"/>
        </w:rPr>
      </w:pPr>
      <w:r w:rsidRPr="004B5178">
        <w:rPr>
          <w:rFonts w:ascii="Arial" w:hAnsi="Arial" w:cs="Arial"/>
        </w:rPr>
        <w:t>Revision to Cancer Survival indicators for use in the NHS Outcomes Framework and CCG Outcomes Indicator Set</w:t>
      </w:r>
    </w:p>
    <w:p w14:paraId="240D825C" w14:textId="77777777" w:rsidR="000C1C47" w:rsidRPr="004B5178" w:rsidRDefault="000C1C47" w:rsidP="000C1C47">
      <w:pPr>
        <w:pStyle w:val="ListParagraph"/>
        <w:tabs>
          <w:tab w:val="left" w:pos="1605"/>
        </w:tabs>
        <w:ind w:left="1800"/>
        <w:rPr>
          <w:rFonts w:ascii="Arial" w:hAnsi="Arial" w:cs="Arial"/>
        </w:rPr>
      </w:pPr>
    </w:p>
    <w:p w14:paraId="354EC7FB" w14:textId="77777777" w:rsidR="000C1C47" w:rsidRPr="004B5178" w:rsidRDefault="000C1C47" w:rsidP="000C1C47">
      <w:pPr>
        <w:pStyle w:val="ListParagraph"/>
        <w:tabs>
          <w:tab w:val="left" w:pos="1605"/>
        </w:tabs>
        <w:ind w:left="1800"/>
        <w:rPr>
          <w:rFonts w:ascii="Arial" w:hAnsi="Arial" w:cs="Arial"/>
        </w:rPr>
      </w:pPr>
    </w:p>
    <w:p w14:paraId="2A5AC9BE" w14:textId="77777777" w:rsidR="000C1C47" w:rsidRPr="004B5178" w:rsidRDefault="000C1C47" w:rsidP="000967BB">
      <w:pPr>
        <w:pStyle w:val="ListParagraph"/>
        <w:numPr>
          <w:ilvl w:val="0"/>
          <w:numId w:val="5"/>
        </w:numPr>
        <w:tabs>
          <w:tab w:val="left" w:pos="1605"/>
        </w:tabs>
        <w:spacing w:after="0" w:line="240" w:lineRule="auto"/>
        <w:rPr>
          <w:rFonts w:ascii="Arial" w:hAnsi="Arial" w:cs="Arial"/>
        </w:rPr>
      </w:pPr>
      <w:r w:rsidRPr="004B5178">
        <w:rPr>
          <w:rFonts w:ascii="Arial" w:hAnsi="Arial" w:cs="Arial"/>
        </w:rPr>
        <w:t>NHSOF Domain 2 Standardisation Methodology</w:t>
      </w:r>
    </w:p>
    <w:p w14:paraId="77FA4487" w14:textId="77777777" w:rsidR="000C1C47" w:rsidRPr="004B5178" w:rsidRDefault="000C1C47" w:rsidP="000C1C47">
      <w:pPr>
        <w:tabs>
          <w:tab w:val="left" w:pos="1605"/>
        </w:tabs>
        <w:ind w:left="1605"/>
      </w:pPr>
    </w:p>
    <w:p w14:paraId="5723EC52" w14:textId="77777777" w:rsidR="000C1C47" w:rsidRPr="004B5178" w:rsidRDefault="000C1C47" w:rsidP="000C1C47">
      <w:pPr>
        <w:tabs>
          <w:tab w:val="left" w:pos="1605"/>
        </w:tabs>
        <w:ind w:left="1605"/>
      </w:pPr>
    </w:p>
    <w:p w14:paraId="182DFA9B" w14:textId="77777777" w:rsidR="000C1C47" w:rsidRPr="004B5178" w:rsidRDefault="000C1C47" w:rsidP="000967BB">
      <w:pPr>
        <w:pStyle w:val="ListParagraph"/>
        <w:numPr>
          <w:ilvl w:val="0"/>
          <w:numId w:val="5"/>
        </w:numPr>
        <w:tabs>
          <w:tab w:val="left" w:pos="1605"/>
        </w:tabs>
        <w:spacing w:after="0" w:line="240" w:lineRule="auto"/>
        <w:rPr>
          <w:rFonts w:ascii="Arial" w:hAnsi="Arial" w:cs="Arial"/>
        </w:rPr>
      </w:pPr>
      <w:r w:rsidRPr="004B5178">
        <w:rPr>
          <w:rFonts w:ascii="Arial" w:hAnsi="Arial" w:cs="Arial"/>
        </w:rPr>
        <w:t>NHSOF 3.3 Proportion of people who recover from major trauma</w:t>
      </w:r>
    </w:p>
    <w:p w14:paraId="36F3C69B" w14:textId="77777777" w:rsidR="000C1C47" w:rsidRPr="004B5178" w:rsidRDefault="000C1C47" w:rsidP="000C1C47">
      <w:pPr>
        <w:pStyle w:val="ListParagraph"/>
        <w:tabs>
          <w:tab w:val="left" w:pos="1605"/>
        </w:tabs>
        <w:ind w:left="1965"/>
        <w:rPr>
          <w:rFonts w:ascii="Arial" w:hAnsi="Arial" w:cs="Arial"/>
        </w:rPr>
      </w:pPr>
    </w:p>
    <w:p w14:paraId="4116E7EC" w14:textId="77777777" w:rsidR="000C1C47" w:rsidRPr="004B5178" w:rsidRDefault="000C1C47" w:rsidP="000C1C47">
      <w:pPr>
        <w:tabs>
          <w:tab w:val="left" w:pos="1605"/>
        </w:tabs>
      </w:pPr>
    </w:p>
    <w:p w14:paraId="26CC2ABE" w14:textId="77777777" w:rsidR="000C1C47" w:rsidRPr="004B5178" w:rsidRDefault="000C1C47" w:rsidP="000C1C47">
      <w:pPr>
        <w:tabs>
          <w:tab w:val="left" w:pos="1605"/>
        </w:tabs>
      </w:pPr>
    </w:p>
    <w:p w14:paraId="019084FB" w14:textId="77777777" w:rsidR="000C1C47" w:rsidRPr="004B5178" w:rsidRDefault="000C1C47" w:rsidP="000C1C47">
      <w:pPr>
        <w:tabs>
          <w:tab w:val="left" w:pos="1605"/>
        </w:tabs>
      </w:pPr>
    </w:p>
    <w:p w14:paraId="204A4F60" w14:textId="77777777" w:rsidR="000C1C47" w:rsidRPr="004B5178" w:rsidRDefault="000C1C47" w:rsidP="000C1C47">
      <w:pPr>
        <w:tabs>
          <w:tab w:val="left" w:pos="1605"/>
        </w:tabs>
      </w:pPr>
    </w:p>
    <w:p w14:paraId="5DD3E693" w14:textId="77777777" w:rsidR="000C1C47" w:rsidRPr="004B5178" w:rsidRDefault="000C1C47" w:rsidP="000C1C47">
      <w:pPr>
        <w:tabs>
          <w:tab w:val="left" w:pos="1605"/>
        </w:tabs>
      </w:pPr>
    </w:p>
    <w:p w14:paraId="25416C6F" w14:textId="77777777" w:rsidR="000C1C47" w:rsidRPr="004B5178" w:rsidRDefault="000C1C47" w:rsidP="000C1C47">
      <w:pPr>
        <w:tabs>
          <w:tab w:val="left" w:pos="1605"/>
        </w:tabs>
      </w:pPr>
    </w:p>
    <w:p w14:paraId="59E9A402" w14:textId="77777777" w:rsidR="000C1C47" w:rsidRPr="004B5178" w:rsidRDefault="000C1C47" w:rsidP="000C1C47">
      <w:pPr>
        <w:tabs>
          <w:tab w:val="left" w:pos="1605"/>
        </w:tabs>
      </w:pPr>
    </w:p>
    <w:p w14:paraId="7345B7B7" w14:textId="77777777" w:rsidR="000C1C47" w:rsidRPr="004B5178" w:rsidRDefault="000C1C47">
      <w:pPr>
        <w:spacing w:after="200" w:line="276" w:lineRule="auto"/>
      </w:pPr>
      <w:r w:rsidRPr="004B5178">
        <w:br w:type="page"/>
      </w:r>
    </w:p>
    <w:p w14:paraId="54A5E343" w14:textId="77777777" w:rsidR="000C1C47" w:rsidRPr="004B5178" w:rsidRDefault="000C1C47" w:rsidP="000C1C47">
      <w:pPr>
        <w:ind w:left="-284"/>
      </w:pPr>
    </w:p>
    <w:p w14:paraId="7B0C5DDF" w14:textId="77777777" w:rsidR="000C1C47" w:rsidRPr="004B5178" w:rsidRDefault="000C1C47" w:rsidP="000967BB">
      <w:pPr>
        <w:pStyle w:val="ListParagraph"/>
        <w:numPr>
          <w:ilvl w:val="0"/>
          <w:numId w:val="7"/>
        </w:numPr>
        <w:spacing w:after="0" w:line="240" w:lineRule="auto"/>
        <w:rPr>
          <w:rFonts w:ascii="Arial" w:hAnsi="Arial" w:cs="Arial"/>
        </w:rPr>
      </w:pPr>
      <w:r w:rsidRPr="004B5178">
        <w:rPr>
          <w:rFonts w:ascii="Arial" w:hAnsi="Arial" w:cs="Arial"/>
        </w:rPr>
        <w:t xml:space="preserve">Revision to Cancer Survival indicators for use in the NHS Outcomes Framework </w:t>
      </w:r>
    </w:p>
    <w:p w14:paraId="247A40BB" w14:textId="77777777" w:rsidR="000C1C47" w:rsidRPr="004B5178" w:rsidRDefault="000C1C47">
      <w:pPr>
        <w:spacing w:after="200" w:line="276" w:lineRule="auto"/>
      </w:pPr>
    </w:p>
    <w:tbl>
      <w:tblPr>
        <w:tblStyle w:val="TableGrid"/>
        <w:tblW w:w="14620" w:type="dxa"/>
        <w:tblLayout w:type="fixed"/>
        <w:tblLook w:val="01E0" w:firstRow="1" w:lastRow="1" w:firstColumn="1" w:lastColumn="1" w:noHBand="0" w:noVBand="0"/>
      </w:tblPr>
      <w:tblGrid>
        <w:gridCol w:w="14620"/>
      </w:tblGrid>
      <w:tr w:rsidR="00FA1F3C" w:rsidRPr="004B5178" w14:paraId="26055E52" w14:textId="77777777" w:rsidTr="00FA1F3C">
        <w:tc>
          <w:tcPr>
            <w:tcW w:w="14620" w:type="dxa"/>
          </w:tcPr>
          <w:p w14:paraId="2A51FA8B" w14:textId="1D5D300A" w:rsidR="00FA1F3C" w:rsidRPr="004B5178" w:rsidRDefault="00FA1F3C" w:rsidP="000C1C47">
            <w:r w:rsidRPr="004B5178">
              <w:t>Introduction</w:t>
            </w:r>
          </w:p>
        </w:tc>
      </w:tr>
      <w:tr w:rsidR="004B5178" w:rsidRPr="004B5178" w14:paraId="769BF53A" w14:textId="77777777" w:rsidTr="004B5178">
        <w:tc>
          <w:tcPr>
            <w:tcW w:w="14620" w:type="dxa"/>
          </w:tcPr>
          <w:p w14:paraId="37003B21" w14:textId="77777777" w:rsidR="000C1C47" w:rsidRPr="004B5178" w:rsidRDefault="000C1C47" w:rsidP="000C1C47"/>
          <w:p w14:paraId="1EE94030" w14:textId="77777777" w:rsidR="000C1C47" w:rsidRPr="004B5178" w:rsidRDefault="000C1C47" w:rsidP="000C1C47">
            <w:r w:rsidRPr="004B5178">
              <w:t>The ONS has published cancer survival figures for a number of years. The methodology currently used was agreed in 2009 and has remained in place since. There are currently 6 indicators within the NHS Outcomes Framework, which are based on ONS cancer survival publications:</w:t>
            </w:r>
          </w:p>
          <w:p w14:paraId="75502F7A" w14:textId="77777777" w:rsidR="000C1C47" w:rsidRPr="004B5178" w:rsidRDefault="000C1C47" w:rsidP="000C1C47"/>
          <w:p w14:paraId="203A4472" w14:textId="77777777" w:rsidR="000C1C47" w:rsidRPr="004B5178" w:rsidRDefault="000C1C47" w:rsidP="000C1C47">
            <w:r w:rsidRPr="004B5178">
              <w:t xml:space="preserve">NHS OF 1.4.i One-year survival from colorectal cancer </w:t>
            </w:r>
          </w:p>
          <w:p w14:paraId="76609D41" w14:textId="77777777" w:rsidR="000C1C47" w:rsidRPr="004B5178" w:rsidRDefault="000C1C47" w:rsidP="000C1C47">
            <w:r w:rsidRPr="004B5178">
              <w:t xml:space="preserve">NHS OF 1.4.ii Five-year survival from colorectal cancer </w:t>
            </w:r>
          </w:p>
          <w:p w14:paraId="737DD0A1" w14:textId="77777777" w:rsidR="000C1C47" w:rsidRPr="004B5178" w:rsidRDefault="000C1C47" w:rsidP="000C1C47">
            <w:r w:rsidRPr="004B5178">
              <w:t xml:space="preserve">NHS OF 1.4.iii One-year survival from breast cancer </w:t>
            </w:r>
          </w:p>
          <w:p w14:paraId="3CB9A0CE" w14:textId="77777777" w:rsidR="000C1C47" w:rsidRPr="004B5178" w:rsidRDefault="000C1C47" w:rsidP="000C1C47">
            <w:r w:rsidRPr="004B5178">
              <w:t xml:space="preserve">NHS OF 1.4.iv Five-year survival from breast cancer </w:t>
            </w:r>
          </w:p>
          <w:p w14:paraId="385AE377" w14:textId="77777777" w:rsidR="000C1C47" w:rsidRPr="004B5178" w:rsidRDefault="000C1C47" w:rsidP="000C1C47">
            <w:r w:rsidRPr="004B5178">
              <w:t xml:space="preserve">NHS OF 1.4.v One-year survival from lung cancer </w:t>
            </w:r>
          </w:p>
          <w:p w14:paraId="11D523E6" w14:textId="77777777" w:rsidR="000C1C47" w:rsidRPr="004B5178" w:rsidRDefault="000C1C47" w:rsidP="000C1C47">
            <w:r w:rsidRPr="004B5178">
              <w:t xml:space="preserve">NHS OF 1.4.vi Five-year survival from lung cancer </w:t>
            </w:r>
          </w:p>
          <w:p w14:paraId="38CEF5F6" w14:textId="77777777" w:rsidR="000C1C47" w:rsidRPr="004B5178" w:rsidRDefault="000C1C47" w:rsidP="000C1C47"/>
          <w:p w14:paraId="76BEBC2D" w14:textId="77777777" w:rsidR="000C1C47" w:rsidRPr="004B5178" w:rsidRDefault="000C1C47" w:rsidP="000C1C47">
            <w:r w:rsidRPr="004B5178">
              <w:t>These indicators have been previously assured by the Methodology Review Group in March 2011  (see IAS applications IAP00020-IAP00025)</w:t>
            </w:r>
          </w:p>
          <w:p w14:paraId="0E45F413" w14:textId="77777777" w:rsidR="000C1C47" w:rsidRPr="004B5178" w:rsidRDefault="000C1C47" w:rsidP="000C1C47"/>
          <w:p w14:paraId="2CB13BC5" w14:textId="77777777" w:rsidR="000C1C47" w:rsidRPr="004B5178" w:rsidRDefault="000C1C47" w:rsidP="000C1C47"/>
          <w:p w14:paraId="264EB741" w14:textId="77777777" w:rsidR="000C1C47" w:rsidRPr="004B5178" w:rsidRDefault="000C1C47" w:rsidP="000C1C47">
            <w:r w:rsidRPr="004B5178">
              <w:t>It is proposed that these 6 indicators are removed from the NHS Outcomes Framework and replaced with 4 new indicators:</w:t>
            </w:r>
          </w:p>
          <w:p w14:paraId="34D9056A" w14:textId="77777777" w:rsidR="000C1C47" w:rsidRPr="004B5178" w:rsidRDefault="000C1C47" w:rsidP="000C1C47"/>
          <w:p w14:paraId="04B19452" w14:textId="77777777" w:rsidR="000C1C47" w:rsidRPr="004B5178" w:rsidRDefault="000C1C47" w:rsidP="000C1C47">
            <w:pPr>
              <w:rPr>
                <w:b/>
              </w:rPr>
            </w:pPr>
            <w:r w:rsidRPr="004B5178">
              <w:rPr>
                <w:b/>
              </w:rPr>
              <w:t>NHS OF 1.4.i One year survival for all cancers</w:t>
            </w:r>
          </w:p>
          <w:p w14:paraId="2B93B4FA" w14:textId="77777777" w:rsidR="000C1C47" w:rsidRPr="004B5178" w:rsidRDefault="000C1C47" w:rsidP="000C1C47">
            <w:pPr>
              <w:rPr>
                <w:b/>
              </w:rPr>
            </w:pPr>
            <w:r w:rsidRPr="004B5178">
              <w:rPr>
                <w:b/>
              </w:rPr>
              <w:t>NHS OF 1.4.ii Five year survival for all cancers</w:t>
            </w:r>
          </w:p>
          <w:p w14:paraId="5C92B495" w14:textId="77777777" w:rsidR="000C1C47" w:rsidRPr="004B5178" w:rsidRDefault="000C1C47" w:rsidP="000C1C47">
            <w:pPr>
              <w:rPr>
                <w:b/>
              </w:rPr>
            </w:pPr>
            <w:r w:rsidRPr="004B5178">
              <w:rPr>
                <w:b/>
              </w:rPr>
              <w:t>NHS OF 1.4.iii One-year survival from breast, lung and colorectal cancer</w:t>
            </w:r>
          </w:p>
          <w:p w14:paraId="0326A933" w14:textId="77777777" w:rsidR="000C1C47" w:rsidRPr="004B5178" w:rsidRDefault="000C1C47" w:rsidP="000C1C47">
            <w:pPr>
              <w:rPr>
                <w:b/>
              </w:rPr>
            </w:pPr>
            <w:r w:rsidRPr="004B5178">
              <w:rPr>
                <w:b/>
              </w:rPr>
              <w:t>NHS OF 1.4.iv Five-year survival breast, lung and colorectal cancer</w:t>
            </w:r>
          </w:p>
          <w:p w14:paraId="7D35C0AC" w14:textId="77777777" w:rsidR="000C1C47" w:rsidRPr="004B5178" w:rsidRDefault="000C1C47" w:rsidP="000C1C47"/>
          <w:p w14:paraId="122D7AB4" w14:textId="77777777" w:rsidR="000C1C47" w:rsidRPr="004B5178" w:rsidRDefault="000C1C47" w:rsidP="000C1C47">
            <w:r w:rsidRPr="004B5178">
              <w:t>All figures for these revised indicators come pre calculated as they are already published by ONS and are available here:</w:t>
            </w:r>
          </w:p>
          <w:p w14:paraId="75C90B4D" w14:textId="77777777" w:rsidR="000C1C47" w:rsidRPr="004B5178" w:rsidRDefault="0025757D" w:rsidP="000C1C47">
            <w:pPr>
              <w:spacing w:after="200" w:line="276" w:lineRule="auto"/>
            </w:pPr>
            <w:hyperlink r:id="rId8" w:history="1">
              <w:r w:rsidR="000C1C47" w:rsidRPr="004B5178">
                <w:rPr>
                  <w:rStyle w:val="Hyperlink"/>
                  <w:color w:val="auto"/>
                </w:rPr>
                <w:t>http://www.ons.gov.uk/ons/publications/re-reference-tables.html?edition=tcm%3A77-331274</w:t>
              </w:r>
            </w:hyperlink>
          </w:p>
          <w:p w14:paraId="3CC386DA" w14:textId="77777777" w:rsidR="000C1C47" w:rsidRPr="004B5178" w:rsidRDefault="000C1C47" w:rsidP="000C1C47"/>
          <w:p w14:paraId="34193908" w14:textId="77777777" w:rsidR="000C1C47" w:rsidRPr="004B5178" w:rsidRDefault="000C1C47" w:rsidP="000C1C47">
            <w:r w:rsidRPr="004B5178">
              <w:t>Alongside these new survival indicators, it is proposed to the following indicator which looks at cancer survival in children,</w:t>
            </w:r>
          </w:p>
          <w:p w14:paraId="46ADA798" w14:textId="77777777" w:rsidR="000C1C47" w:rsidRPr="004B5178" w:rsidRDefault="000C1C47" w:rsidP="000C1C47"/>
          <w:p w14:paraId="0F035B32" w14:textId="77777777" w:rsidR="000C1C47" w:rsidRPr="004B5178" w:rsidRDefault="000C1C47" w:rsidP="000C1C47">
            <w:pPr>
              <w:rPr>
                <w:b/>
              </w:rPr>
            </w:pPr>
            <w:r w:rsidRPr="004B5178">
              <w:rPr>
                <w:b/>
              </w:rPr>
              <w:t>NHS OF 1.6.iii Five-year survival from all cancers in children</w:t>
            </w:r>
          </w:p>
          <w:p w14:paraId="0ECE5300" w14:textId="77777777" w:rsidR="000C1C47" w:rsidRPr="004B5178" w:rsidRDefault="000C1C47" w:rsidP="000C1C47"/>
          <w:p w14:paraId="1C52E591" w14:textId="5747CA25" w:rsidR="000C1C47" w:rsidRPr="004B5178" w:rsidRDefault="007D5709" w:rsidP="000C1C47">
            <w:r w:rsidRPr="004B5178">
              <w:lastRenderedPageBreak/>
              <w:t>Again,</w:t>
            </w:r>
            <w:r w:rsidR="000C1C47" w:rsidRPr="004B5178">
              <w:t xml:space="preserve"> this is already published by ONS and available here:</w:t>
            </w:r>
          </w:p>
          <w:p w14:paraId="333DB8DA" w14:textId="77777777" w:rsidR="000C1C47" w:rsidRPr="004B5178" w:rsidRDefault="000C1C47" w:rsidP="000C1C47"/>
          <w:p w14:paraId="61E9607B" w14:textId="77777777" w:rsidR="000C1C47" w:rsidRPr="004B5178" w:rsidRDefault="0025757D" w:rsidP="000C1C47">
            <w:hyperlink r:id="rId9" w:history="1">
              <w:r w:rsidR="000C1C47" w:rsidRPr="004B5178">
                <w:rPr>
                  <w:rStyle w:val="Hyperlink"/>
                  <w:rFonts w:eastAsiaTheme="majorEastAsia"/>
                  <w:color w:val="auto"/>
                </w:rPr>
                <w:t>http://www.ons.gov.uk/ons/rel/cancer-unit/cancer-survival-for-children-in-england/children-diagnosed-1990-2006-and-followed-upto-2011/stb---childhood-cancer-survival.html</w:t>
              </w:r>
            </w:hyperlink>
          </w:p>
          <w:p w14:paraId="51272DFE" w14:textId="77777777" w:rsidR="000C1C47" w:rsidRPr="004B5178" w:rsidRDefault="000C1C47" w:rsidP="000C1C47"/>
          <w:p w14:paraId="671C44E9" w14:textId="77777777" w:rsidR="000C1C47" w:rsidRPr="004B5178" w:rsidRDefault="000C1C47" w:rsidP="000C1C47">
            <w:r w:rsidRPr="004B5178">
              <w:t>Cancer is responsible for 21% of all deaths in children aged 1–14 and causes more death of children in this age group than any other cause.</w:t>
            </w:r>
          </w:p>
          <w:p w14:paraId="428C7E1A" w14:textId="77777777" w:rsidR="000C1C47" w:rsidRPr="004B5178" w:rsidRDefault="000C1C47" w:rsidP="000C1C47"/>
          <w:p w14:paraId="22CE9505" w14:textId="77777777" w:rsidR="000C1C47" w:rsidRPr="004B5178" w:rsidRDefault="000C1C47" w:rsidP="000C1C47">
            <w:r w:rsidRPr="004B5178">
              <w:t>A recent Children and Young People's Health Outcomes Forum report, recommended outcomes for children and young people were sufficiently considered. Following consultation with ONS and the LSHTM, which concluded that this indicator to be robust at England level, it was concluded that it should be included in the framework.</w:t>
            </w:r>
          </w:p>
          <w:p w14:paraId="6A37B808" w14:textId="77777777" w:rsidR="000C1C47" w:rsidRPr="004B5178" w:rsidRDefault="000C1C47" w:rsidP="000C1C47"/>
        </w:tc>
      </w:tr>
    </w:tbl>
    <w:p w14:paraId="581BA89B" w14:textId="0908BA4E" w:rsidR="000C1C47" w:rsidRDefault="000C1C47" w:rsidP="000C1C47">
      <w:pPr>
        <w:spacing w:after="200" w:line="276" w:lineRule="auto"/>
      </w:pPr>
    </w:p>
    <w:p w14:paraId="2EDFF66A" w14:textId="77777777" w:rsidR="00FE4EB4" w:rsidRPr="004B5178" w:rsidRDefault="00FE4EB4" w:rsidP="000C1C47">
      <w:pPr>
        <w:spacing w:after="200" w:line="276" w:lineRule="auto"/>
      </w:pPr>
    </w:p>
    <w:tbl>
      <w:tblPr>
        <w:tblStyle w:val="TableGrid"/>
        <w:tblW w:w="14737" w:type="dxa"/>
        <w:tblLayout w:type="fixed"/>
        <w:tblLook w:val="01E0" w:firstRow="1" w:lastRow="1" w:firstColumn="1" w:lastColumn="1" w:noHBand="0" w:noVBand="0"/>
      </w:tblPr>
      <w:tblGrid>
        <w:gridCol w:w="1702"/>
        <w:gridCol w:w="13035"/>
      </w:tblGrid>
      <w:tr w:rsidR="00FE4EB4" w:rsidRPr="004B5178" w14:paraId="6A01C16C" w14:textId="400BB9E2" w:rsidTr="00FE4EB4">
        <w:tc>
          <w:tcPr>
            <w:tcW w:w="1702" w:type="dxa"/>
          </w:tcPr>
          <w:p w14:paraId="382029EF" w14:textId="77777777" w:rsidR="00FE4EB4" w:rsidRPr="004B5178" w:rsidRDefault="00FE4EB4" w:rsidP="000C1C47">
            <w:pPr>
              <w:rPr>
                <w:b/>
              </w:rPr>
            </w:pPr>
            <w:r w:rsidRPr="004B5178">
              <w:rPr>
                <w:b/>
              </w:rPr>
              <w:t>Indicator Titles</w:t>
            </w:r>
          </w:p>
        </w:tc>
        <w:tc>
          <w:tcPr>
            <w:tcW w:w="13035" w:type="dxa"/>
          </w:tcPr>
          <w:p w14:paraId="44F597AE" w14:textId="77777777" w:rsidR="00FE4EB4" w:rsidRPr="004B5178" w:rsidRDefault="00FE4EB4" w:rsidP="000C1C47">
            <w:pPr>
              <w:rPr>
                <w:b/>
              </w:rPr>
            </w:pPr>
            <w:r w:rsidRPr="004B5178">
              <w:rPr>
                <w:b/>
              </w:rPr>
              <w:t>NHS OF 1.4.i One year survival for all cancers</w:t>
            </w:r>
          </w:p>
          <w:p w14:paraId="1CC8D098" w14:textId="77777777" w:rsidR="00FE4EB4" w:rsidRPr="004B5178" w:rsidRDefault="00FE4EB4" w:rsidP="000C1C47">
            <w:pPr>
              <w:rPr>
                <w:b/>
              </w:rPr>
            </w:pPr>
            <w:r w:rsidRPr="004B5178">
              <w:rPr>
                <w:b/>
              </w:rPr>
              <w:t>NHS OF 1.4.ii Five year survival for all cancers</w:t>
            </w:r>
          </w:p>
          <w:p w14:paraId="5EF71DA6" w14:textId="77777777" w:rsidR="00FE4EB4" w:rsidRPr="004B5178" w:rsidRDefault="00FE4EB4" w:rsidP="000C1C47">
            <w:pPr>
              <w:rPr>
                <w:b/>
              </w:rPr>
            </w:pPr>
            <w:r w:rsidRPr="004B5178">
              <w:rPr>
                <w:b/>
              </w:rPr>
              <w:t>NHS OF 1.4.iii One-year survival from breast, lung and colorectal cancer</w:t>
            </w:r>
          </w:p>
          <w:p w14:paraId="49395F9E" w14:textId="77777777" w:rsidR="00FE4EB4" w:rsidRPr="004B5178" w:rsidRDefault="00FE4EB4" w:rsidP="000C1C47">
            <w:pPr>
              <w:rPr>
                <w:b/>
              </w:rPr>
            </w:pPr>
            <w:r w:rsidRPr="004B5178">
              <w:rPr>
                <w:b/>
              </w:rPr>
              <w:t>NHS OF 1.4.iv Five-year survival breast, lung and colorectal cancer</w:t>
            </w:r>
          </w:p>
          <w:p w14:paraId="391602F8" w14:textId="77777777" w:rsidR="00FE4EB4" w:rsidRPr="004B5178" w:rsidRDefault="00FE4EB4" w:rsidP="000C1C47"/>
          <w:p w14:paraId="1C7CC461" w14:textId="77777777" w:rsidR="00FE4EB4" w:rsidRPr="004B5178" w:rsidRDefault="00FE4EB4" w:rsidP="000C1C47">
            <w:pPr>
              <w:rPr>
                <w:b/>
              </w:rPr>
            </w:pPr>
            <w:r w:rsidRPr="004B5178">
              <w:rPr>
                <w:b/>
              </w:rPr>
              <w:t>NHS OF 1.6.iii Five-year survival from all cancers in children</w:t>
            </w:r>
          </w:p>
          <w:p w14:paraId="7986805F" w14:textId="77777777" w:rsidR="00FE4EB4" w:rsidRPr="004B5178" w:rsidRDefault="00FE4EB4" w:rsidP="000C1C47"/>
        </w:tc>
      </w:tr>
      <w:tr w:rsidR="00FE4EB4" w:rsidRPr="004B5178" w14:paraId="023D6B6B" w14:textId="613F552E" w:rsidTr="00FE4EB4">
        <w:tc>
          <w:tcPr>
            <w:tcW w:w="1702" w:type="dxa"/>
          </w:tcPr>
          <w:p w14:paraId="6066331C" w14:textId="77777777" w:rsidR="00FE4EB4" w:rsidRPr="004B5178" w:rsidRDefault="00FE4EB4" w:rsidP="000C1C47">
            <w:r w:rsidRPr="004B5178">
              <w:t>Indicator Set</w:t>
            </w:r>
          </w:p>
        </w:tc>
        <w:tc>
          <w:tcPr>
            <w:tcW w:w="13035" w:type="dxa"/>
          </w:tcPr>
          <w:p w14:paraId="4BC3A212" w14:textId="77777777" w:rsidR="00FE4EB4" w:rsidRPr="004B5178" w:rsidRDefault="00FE4EB4" w:rsidP="000C1C47">
            <w:r w:rsidRPr="004B5178">
              <w:t>NHSOF</w:t>
            </w:r>
          </w:p>
        </w:tc>
      </w:tr>
    </w:tbl>
    <w:p w14:paraId="094EA252" w14:textId="77777777" w:rsidR="000C1C47" w:rsidRPr="004B5178" w:rsidRDefault="000C1C47" w:rsidP="000C1C47"/>
    <w:p w14:paraId="28B5CAFB" w14:textId="77777777" w:rsidR="000C1C47" w:rsidRPr="004B5178" w:rsidRDefault="000C1C47" w:rsidP="000C1C47">
      <w:pPr>
        <w:ind w:left="-851"/>
      </w:pPr>
    </w:p>
    <w:tbl>
      <w:tblPr>
        <w:tblStyle w:val="TableGrid"/>
        <w:tblW w:w="14620" w:type="dxa"/>
        <w:tblLayout w:type="fixed"/>
        <w:tblLook w:val="01E0" w:firstRow="1" w:lastRow="1" w:firstColumn="1" w:lastColumn="1" w:noHBand="0" w:noVBand="0"/>
      </w:tblPr>
      <w:tblGrid>
        <w:gridCol w:w="2125"/>
        <w:gridCol w:w="12495"/>
      </w:tblGrid>
      <w:tr w:rsidR="004B5178" w:rsidRPr="004B5178" w14:paraId="63C05218" w14:textId="77777777" w:rsidTr="004B5178">
        <w:tc>
          <w:tcPr>
            <w:tcW w:w="2125" w:type="dxa"/>
          </w:tcPr>
          <w:p w14:paraId="6138C994" w14:textId="77777777" w:rsidR="000C1C47" w:rsidRPr="004B5178" w:rsidRDefault="000C1C47" w:rsidP="000C1C47">
            <w:r w:rsidRPr="004B5178">
              <w:t>Revision Date:</w:t>
            </w:r>
          </w:p>
        </w:tc>
        <w:tc>
          <w:tcPr>
            <w:tcW w:w="12495" w:type="dxa"/>
          </w:tcPr>
          <w:p w14:paraId="5A9A0B84" w14:textId="77777777" w:rsidR="000C1C47" w:rsidRPr="004B5178" w:rsidRDefault="000C1C47" w:rsidP="000C1C47">
            <w:r w:rsidRPr="004B5178">
              <w:t>17/01/2014</w:t>
            </w:r>
          </w:p>
          <w:p w14:paraId="62B8B9E4" w14:textId="77777777" w:rsidR="000C1C47" w:rsidRPr="004B5178" w:rsidRDefault="000C1C47" w:rsidP="000C1C47"/>
        </w:tc>
      </w:tr>
      <w:tr w:rsidR="004B5178" w:rsidRPr="004B5178" w14:paraId="5AD62258" w14:textId="77777777" w:rsidTr="004B5178">
        <w:tc>
          <w:tcPr>
            <w:tcW w:w="2125" w:type="dxa"/>
          </w:tcPr>
          <w:p w14:paraId="641A3CA1" w14:textId="77777777" w:rsidR="000C1C47" w:rsidRPr="004B5178" w:rsidRDefault="000C1C47" w:rsidP="000C1C47">
            <w:r w:rsidRPr="004B5178">
              <w:t>Rationale for Revision:</w:t>
            </w:r>
          </w:p>
          <w:p w14:paraId="5D94EB7E" w14:textId="77777777" w:rsidR="000C1C47" w:rsidRPr="004B5178" w:rsidRDefault="000C1C47" w:rsidP="000C1C47"/>
          <w:p w14:paraId="351B160B" w14:textId="77777777" w:rsidR="000C1C47" w:rsidRPr="004B5178" w:rsidRDefault="000C1C47" w:rsidP="000C1C47"/>
        </w:tc>
        <w:tc>
          <w:tcPr>
            <w:tcW w:w="12495" w:type="dxa"/>
          </w:tcPr>
          <w:p w14:paraId="6B297298" w14:textId="77777777" w:rsidR="000C1C47" w:rsidRPr="004B5178" w:rsidRDefault="000C1C47" w:rsidP="000C1C47">
            <w:r w:rsidRPr="004B5178">
              <w:t>There are three main reasons for changing the cancer survival indicators within the NHS Outcomes Framework.</w:t>
            </w:r>
          </w:p>
          <w:p w14:paraId="301E1FD0" w14:textId="77777777" w:rsidR="000C1C47" w:rsidRPr="004B5178" w:rsidRDefault="000C1C47" w:rsidP="000C1C47"/>
          <w:p w14:paraId="0EB74C4D" w14:textId="77777777" w:rsidR="000C1C47" w:rsidRPr="004B5178" w:rsidRDefault="000C1C47" w:rsidP="000967BB">
            <w:pPr>
              <w:pStyle w:val="ListParagraph"/>
              <w:numPr>
                <w:ilvl w:val="0"/>
                <w:numId w:val="6"/>
              </w:numPr>
              <w:spacing w:after="0" w:line="240" w:lineRule="auto"/>
              <w:rPr>
                <w:rFonts w:ascii="Arial" w:hAnsi="Arial" w:cs="Arial"/>
                <w:b/>
              </w:rPr>
            </w:pPr>
            <w:r w:rsidRPr="004B5178">
              <w:rPr>
                <w:rFonts w:ascii="Arial" w:hAnsi="Arial" w:cs="Arial"/>
                <w:b/>
              </w:rPr>
              <w:t>Rarer Cancers</w:t>
            </w:r>
          </w:p>
          <w:p w14:paraId="28F6E25E" w14:textId="77777777" w:rsidR="000C1C47" w:rsidRPr="004B5178" w:rsidRDefault="000C1C47" w:rsidP="000C1C47"/>
          <w:p w14:paraId="2256F310" w14:textId="77777777" w:rsidR="000C1C47" w:rsidRPr="004B5178" w:rsidRDefault="000C1C47" w:rsidP="000C1C47">
            <w:pPr>
              <w:rPr>
                <w:i/>
              </w:rPr>
            </w:pPr>
            <w:r w:rsidRPr="004B5178">
              <w:rPr>
                <w:i/>
              </w:rPr>
              <w:t>RATIONALE: It is important that we have a set of survival rate indicators that reflect performance across all cancers.</w:t>
            </w:r>
          </w:p>
          <w:p w14:paraId="7CB76827" w14:textId="77777777" w:rsidR="000C1C47" w:rsidRPr="004B5178" w:rsidRDefault="000C1C47" w:rsidP="000C1C47"/>
          <w:p w14:paraId="23239AFA" w14:textId="77777777" w:rsidR="000C1C47" w:rsidRPr="004B5178" w:rsidRDefault="000C1C47" w:rsidP="000C1C47">
            <w:r w:rsidRPr="004B5178">
              <w:lastRenderedPageBreak/>
              <w:t xml:space="preserve">Although there were seven indicators relating to cancer in this year’s NHS Outcomes Framework, stakeholders felt that more attention needed to be given to rarer cancers. The All Party Parliamentary Group for Cancer in particular recommended that the cancer survival indicators in the NHS Outcomes Framework should be extended to measure survival from all cancers. </w:t>
            </w:r>
          </w:p>
          <w:p w14:paraId="27FD3792" w14:textId="77777777" w:rsidR="000C1C47" w:rsidRPr="004B5178" w:rsidRDefault="000C1C47" w:rsidP="000C1C47"/>
          <w:p w14:paraId="3849B235" w14:textId="77777777" w:rsidR="000C1C47" w:rsidRPr="004B5178" w:rsidRDefault="000C1C47" w:rsidP="000C1C47">
            <w:r w:rsidRPr="004B5178">
              <w:t>Although the ‘big 3’ cancers captured by this year’s Framework are responsible for 39% of deaths, DH agreed with the APPG that it is important to track progress for survival from other cancers. The Government’s commitment to saving an additional 5,000 lives from cancer by 2014/15 is predicated on increasing survival from all cancers.</w:t>
            </w:r>
          </w:p>
          <w:p w14:paraId="7E4670BE" w14:textId="77777777" w:rsidR="000C1C47" w:rsidRPr="004B5178" w:rsidRDefault="000C1C47" w:rsidP="000C1C47"/>
          <w:p w14:paraId="6F6032E4" w14:textId="77777777" w:rsidR="000C1C47" w:rsidRPr="004B5178" w:rsidRDefault="000C1C47" w:rsidP="000967BB">
            <w:pPr>
              <w:pStyle w:val="ListParagraph"/>
              <w:numPr>
                <w:ilvl w:val="0"/>
                <w:numId w:val="6"/>
              </w:numPr>
              <w:spacing w:after="0" w:line="240" w:lineRule="auto"/>
              <w:rPr>
                <w:rFonts w:ascii="Arial" w:hAnsi="Arial" w:cs="Arial"/>
                <w:b/>
              </w:rPr>
            </w:pPr>
            <w:r w:rsidRPr="004B5178">
              <w:rPr>
                <w:rFonts w:ascii="Arial" w:hAnsi="Arial" w:cs="Arial"/>
                <w:b/>
              </w:rPr>
              <w:t>Balance</w:t>
            </w:r>
          </w:p>
          <w:p w14:paraId="588D370F" w14:textId="77777777" w:rsidR="000C1C47" w:rsidRPr="004B5178" w:rsidRDefault="000C1C47" w:rsidP="000C1C47"/>
          <w:p w14:paraId="3C861962" w14:textId="334179E6" w:rsidR="000C1C47" w:rsidRPr="004B5178" w:rsidRDefault="000C1C47" w:rsidP="000C1C47">
            <w:pPr>
              <w:rPr>
                <w:i/>
              </w:rPr>
            </w:pPr>
            <w:r w:rsidRPr="004B5178">
              <w:rPr>
                <w:i/>
              </w:rPr>
              <w:t xml:space="preserve">RATIONALE: Any new indicators must not affect the overall balance of the NHS Outcomes </w:t>
            </w:r>
            <w:r w:rsidR="004F579E" w:rsidRPr="004B5178">
              <w:rPr>
                <w:i/>
              </w:rPr>
              <w:t>Framework;</w:t>
            </w:r>
            <w:r w:rsidRPr="004B5178">
              <w:rPr>
                <w:i/>
              </w:rPr>
              <w:t xml:space="preserve"> </w:t>
            </w:r>
            <w:r w:rsidR="004F579E">
              <w:rPr>
                <w:i/>
              </w:rPr>
              <w:t>.</w:t>
            </w:r>
            <w:r w:rsidR="007D5709" w:rsidRPr="004B5178">
              <w:rPr>
                <w:i/>
              </w:rPr>
              <w:t>i.e.</w:t>
            </w:r>
            <w:r w:rsidRPr="004B5178">
              <w:rPr>
                <w:i/>
              </w:rPr>
              <w:t xml:space="preserve"> existing site specific indicators have to be replaced by the new ones. </w:t>
            </w:r>
          </w:p>
          <w:p w14:paraId="7F88A3C2" w14:textId="77777777" w:rsidR="000C1C47" w:rsidRPr="004B5178" w:rsidRDefault="000C1C47" w:rsidP="000C1C47"/>
          <w:p w14:paraId="37FF3D8B" w14:textId="77777777" w:rsidR="000C1C47" w:rsidRPr="004B5178" w:rsidRDefault="000C1C47" w:rsidP="000C1C47">
            <w:r w:rsidRPr="004B5178">
              <w:t>Within NHS OF, there are more outcomes indicators for cancer than for any other condition: seven cancer specific ones out of a total 60, as well as overarching indicators on years of life lost from causes amenable to health care that includes cancer. The NHS Outcomes Framework needs to be balanced and comprehensive across the full range of NHS activity. The Framework has been structured to deliver five high-level goals that matter most to patients: reducing premature mortality, supporting people with long-term conditions, helping people to recover, maximising patient experience and safety. The indicators it contains illustrate these different outcomes and the aim is for the NHS to improve across all of them.</w:t>
            </w:r>
          </w:p>
          <w:p w14:paraId="55E8BEE8" w14:textId="77777777" w:rsidR="000C1C47" w:rsidRPr="004B5178" w:rsidRDefault="000C1C47" w:rsidP="000C1C47"/>
          <w:p w14:paraId="5CF0BA13" w14:textId="77777777" w:rsidR="000C1C47" w:rsidRPr="004B5178" w:rsidRDefault="000C1C47" w:rsidP="000C1C47">
            <w:r w:rsidRPr="004B5178">
              <w:t xml:space="preserve">Whilst some stakeholders may prefer to have indicators for rarer cancers in addition to the site-specific indicators that are already in place, this would have increased the number of cancer indicators and affected the overall balance of the Framework. </w:t>
            </w:r>
          </w:p>
          <w:p w14:paraId="1A1F450B" w14:textId="77777777" w:rsidR="000C1C47" w:rsidRPr="004B5178" w:rsidRDefault="000C1C47" w:rsidP="000C1C47"/>
          <w:p w14:paraId="3CA87E2E" w14:textId="77777777" w:rsidR="000C1C47" w:rsidRPr="004B5178" w:rsidRDefault="000C1C47" w:rsidP="000C1C47">
            <w:r w:rsidRPr="004B5178">
              <w:t>As ONS will continue to publish survival data showing individual cancers, we do not feel that a shift to composite indicators should dilute the NHS’s focus on each of the big three cancers. For example, charities and health bodies will still be able to monitor if performance is improving or stalling for each site.</w:t>
            </w:r>
          </w:p>
          <w:p w14:paraId="26FD739E" w14:textId="77777777" w:rsidR="000C1C47" w:rsidRPr="004B5178" w:rsidRDefault="000C1C47" w:rsidP="000C1C47"/>
          <w:p w14:paraId="6449441F" w14:textId="77777777" w:rsidR="000C1C47" w:rsidRPr="004B5178" w:rsidRDefault="000C1C47" w:rsidP="000C1C47"/>
          <w:p w14:paraId="69C73D4A" w14:textId="77777777" w:rsidR="000C1C47" w:rsidRPr="004B5178" w:rsidRDefault="000C1C47" w:rsidP="000967BB">
            <w:pPr>
              <w:pStyle w:val="ListParagraph"/>
              <w:numPr>
                <w:ilvl w:val="0"/>
                <w:numId w:val="6"/>
              </w:numPr>
              <w:spacing w:after="0" w:line="240" w:lineRule="auto"/>
              <w:rPr>
                <w:rFonts w:ascii="Arial" w:hAnsi="Arial" w:cs="Arial"/>
                <w:b/>
              </w:rPr>
            </w:pPr>
            <w:r w:rsidRPr="004B5178">
              <w:rPr>
                <w:rFonts w:ascii="Arial" w:hAnsi="Arial" w:cs="Arial"/>
                <w:b/>
              </w:rPr>
              <w:t>Clinical Commissioning Groups</w:t>
            </w:r>
          </w:p>
          <w:p w14:paraId="1B872C88" w14:textId="77777777" w:rsidR="000C1C47" w:rsidRPr="004B5178" w:rsidRDefault="000C1C47" w:rsidP="000C1C47"/>
          <w:p w14:paraId="2BC41F6B" w14:textId="77777777" w:rsidR="000C1C47" w:rsidRPr="004B5178" w:rsidRDefault="000C1C47" w:rsidP="000C1C47">
            <w:pPr>
              <w:rPr>
                <w:i/>
              </w:rPr>
            </w:pPr>
            <w:r w:rsidRPr="004B5178">
              <w:rPr>
                <w:i/>
              </w:rPr>
              <w:t>RATIONALE: There is an intention to have viable CCG level breakdowns in order to monitor performance at that level - (These indicators will be assured separately).</w:t>
            </w:r>
          </w:p>
          <w:p w14:paraId="1DF626B0" w14:textId="77777777" w:rsidR="000C1C47" w:rsidRPr="004B5178" w:rsidRDefault="000C1C47" w:rsidP="000C1C47"/>
          <w:p w14:paraId="0736E71D" w14:textId="77777777" w:rsidR="000C1C47" w:rsidRPr="004B5178" w:rsidRDefault="000C1C47" w:rsidP="000C1C47">
            <w:r w:rsidRPr="004B5178">
              <w:lastRenderedPageBreak/>
              <w:t xml:space="preserve">The Health and Social Care Act requires the NHS Commissioning Board to carry out an annual assessment of how clinical commissioning groups (CCGs) have performed their functions. It is envisaged that the Board will draw on the national measures set out in the NHS OF to hold CCGs to account for effective commissioning and to promote the improvements in quality and outcomes that they are achieving for their local populations. </w:t>
            </w:r>
          </w:p>
          <w:p w14:paraId="604CE759" w14:textId="77777777" w:rsidR="000C1C47" w:rsidRPr="004B5178" w:rsidRDefault="000C1C47" w:rsidP="000C1C47"/>
          <w:p w14:paraId="01543ACC" w14:textId="77777777" w:rsidR="000C1C47" w:rsidRPr="004B5178" w:rsidRDefault="000C1C47" w:rsidP="000C1C47">
            <w:r w:rsidRPr="004B5178">
              <w:t xml:space="preserve">NICE ran a consultation on what indicators would be suitable to hold CCGs to account, and published recommendations for the NHSCB Authority to consider. NICE did not recommend any of the existing site-specific cancer survival rate indicators as it had not been possible to develop a valid and reliable methodology for breaking down these measures to CCG population level. </w:t>
            </w:r>
          </w:p>
          <w:p w14:paraId="17604215" w14:textId="77777777" w:rsidR="000C1C47" w:rsidRPr="004B5178" w:rsidRDefault="000C1C47" w:rsidP="000C1C47"/>
          <w:p w14:paraId="62D3EC48" w14:textId="77777777" w:rsidR="000C1C47" w:rsidRPr="004B5178" w:rsidRDefault="000C1C47" w:rsidP="000C1C47">
            <w:r w:rsidRPr="004B5178">
              <w:t xml:space="preserve">It is important that where possible NHSOF indicators can be disaggregated to CCG population level. Advice from LSHT echoed the concerns of NICE, but it stated it would be possible to have CCG level indicators for composite cancer survival rates that were meaningful.  </w:t>
            </w:r>
          </w:p>
          <w:p w14:paraId="771C6487" w14:textId="77777777" w:rsidR="000C1C47" w:rsidRPr="004B5178" w:rsidRDefault="000C1C47" w:rsidP="000C1C47"/>
          <w:p w14:paraId="17497373" w14:textId="77777777" w:rsidR="000C1C47" w:rsidRPr="004B5178" w:rsidRDefault="000C1C47" w:rsidP="000C1C47"/>
          <w:p w14:paraId="77DEC589" w14:textId="77777777" w:rsidR="000C1C47" w:rsidRPr="004B5178" w:rsidRDefault="000C1C47" w:rsidP="000967BB">
            <w:pPr>
              <w:pStyle w:val="ListParagraph"/>
              <w:numPr>
                <w:ilvl w:val="0"/>
                <w:numId w:val="6"/>
              </w:numPr>
              <w:spacing w:after="0" w:line="240" w:lineRule="auto"/>
              <w:rPr>
                <w:rFonts w:ascii="Arial" w:hAnsi="Arial" w:cs="Arial"/>
              </w:rPr>
            </w:pPr>
            <w:r w:rsidRPr="004B5178">
              <w:rPr>
                <w:rFonts w:ascii="Arial" w:hAnsi="Arial" w:cs="Arial"/>
                <w:b/>
              </w:rPr>
              <w:t xml:space="preserve">Creation of Children’s Indicator: </w:t>
            </w:r>
            <w:r w:rsidRPr="004B5178">
              <w:rPr>
                <w:rFonts w:ascii="Arial" w:hAnsi="Arial" w:cs="Arial"/>
                <w:b/>
                <w:i/>
              </w:rPr>
              <w:t>NHS OF 1.6.iii Five-year survival from all cancers in children</w:t>
            </w:r>
          </w:p>
          <w:p w14:paraId="384D12E7" w14:textId="77777777" w:rsidR="000C1C47" w:rsidRPr="004B5178" w:rsidRDefault="000C1C47" w:rsidP="000C1C47"/>
          <w:p w14:paraId="7FDB04C0" w14:textId="77777777" w:rsidR="000C1C47" w:rsidRPr="004B5178" w:rsidRDefault="000C1C47" w:rsidP="000C1C47">
            <w:r w:rsidRPr="004B5178">
              <w:t>Cancer is responsible for 21% of all deaths in children aged 1–14 and causes more death of children in this age group than any other cause.</w:t>
            </w:r>
          </w:p>
          <w:p w14:paraId="10523BFB" w14:textId="77777777" w:rsidR="000C1C47" w:rsidRPr="004B5178" w:rsidRDefault="000C1C47" w:rsidP="000C1C47"/>
          <w:p w14:paraId="3DD3B3F9" w14:textId="77777777" w:rsidR="000C1C47" w:rsidRPr="004B5178" w:rsidRDefault="000C1C47" w:rsidP="000C1C47">
            <w:r w:rsidRPr="004B5178">
              <w:t>A recent Children and Young People's Health Outcomes Forum report, recommended outcomes for children and young people were sufficiently considered. Following consultation with ONS and the LSHTM, which concluded that this indicator to be robust at England level, it was concluded that it should be included in the framework.</w:t>
            </w:r>
          </w:p>
          <w:p w14:paraId="7DAC1C3D" w14:textId="77777777" w:rsidR="000C1C47" w:rsidRPr="004B5178" w:rsidRDefault="000C1C47" w:rsidP="000C1C47"/>
          <w:p w14:paraId="4EC4469F" w14:textId="77777777" w:rsidR="000C1C47" w:rsidRPr="004B5178" w:rsidRDefault="000C1C47" w:rsidP="000C1C47"/>
        </w:tc>
      </w:tr>
      <w:tr w:rsidR="004B5178" w:rsidRPr="004B5178" w14:paraId="02AE47DC" w14:textId="77777777" w:rsidTr="004B5178">
        <w:tc>
          <w:tcPr>
            <w:tcW w:w="2125" w:type="dxa"/>
          </w:tcPr>
          <w:p w14:paraId="63F068FA" w14:textId="77777777" w:rsidR="000C1C47" w:rsidRPr="004B5178" w:rsidRDefault="000C1C47" w:rsidP="000C1C47">
            <w:r w:rsidRPr="004B5178">
              <w:lastRenderedPageBreak/>
              <w:t>Revisions:</w:t>
            </w:r>
          </w:p>
        </w:tc>
        <w:tc>
          <w:tcPr>
            <w:tcW w:w="12495" w:type="dxa"/>
          </w:tcPr>
          <w:p w14:paraId="18F824F3" w14:textId="77777777" w:rsidR="000C1C47" w:rsidRPr="004B5178" w:rsidRDefault="000C1C47" w:rsidP="000C1C47"/>
        </w:tc>
      </w:tr>
      <w:tr w:rsidR="004B5178" w:rsidRPr="004B5178" w14:paraId="1E8CED1D" w14:textId="77777777" w:rsidTr="004B5178">
        <w:tc>
          <w:tcPr>
            <w:tcW w:w="2125" w:type="dxa"/>
          </w:tcPr>
          <w:p w14:paraId="730784A2" w14:textId="77777777" w:rsidR="000C1C47" w:rsidRPr="004B5178" w:rsidRDefault="000C1C47" w:rsidP="000C1C47">
            <w:r w:rsidRPr="004B5178">
              <w:t>Indicator Title</w:t>
            </w:r>
          </w:p>
        </w:tc>
        <w:tc>
          <w:tcPr>
            <w:tcW w:w="12495" w:type="dxa"/>
          </w:tcPr>
          <w:p w14:paraId="02782029" w14:textId="77777777" w:rsidR="000C1C47" w:rsidRPr="004B5178" w:rsidRDefault="000C1C47" w:rsidP="000C1C47">
            <w:r w:rsidRPr="004B5178">
              <w:t>It is proposed to change how cancer survival indicators are presented in the NHS Outcomes Framework (NHS OF).</w:t>
            </w:r>
          </w:p>
          <w:p w14:paraId="55767F43" w14:textId="77777777" w:rsidR="000C1C47" w:rsidRPr="004B5178" w:rsidRDefault="000C1C47" w:rsidP="000C1C47"/>
          <w:p w14:paraId="3DFD1A4A" w14:textId="77777777" w:rsidR="000C1C47" w:rsidRPr="004B5178" w:rsidRDefault="000C1C47" w:rsidP="000C1C47">
            <w:r w:rsidRPr="004B5178">
              <w:t>The proposed new indicators are:</w:t>
            </w:r>
          </w:p>
          <w:p w14:paraId="31E65769" w14:textId="77777777" w:rsidR="000C1C47" w:rsidRPr="004B5178" w:rsidRDefault="000C1C47" w:rsidP="000C1C47"/>
          <w:p w14:paraId="6CB41868" w14:textId="77777777" w:rsidR="000C1C47" w:rsidRPr="004B5178" w:rsidRDefault="000C1C47" w:rsidP="000C1C47">
            <w:r w:rsidRPr="004B5178">
              <w:t>NHS OF 1.4.i One year survival for all cancers</w:t>
            </w:r>
          </w:p>
          <w:p w14:paraId="54192FA3" w14:textId="77777777" w:rsidR="000C1C47" w:rsidRPr="004B5178" w:rsidRDefault="000C1C47" w:rsidP="000C1C47">
            <w:r w:rsidRPr="004B5178">
              <w:t>NHS OF 1.4.ii Five year survival for all cancers</w:t>
            </w:r>
          </w:p>
          <w:p w14:paraId="654562BE" w14:textId="77777777" w:rsidR="000C1C47" w:rsidRPr="004B5178" w:rsidRDefault="000C1C47" w:rsidP="000C1C47">
            <w:r w:rsidRPr="004B5178">
              <w:t>NHS OF 1.4.iii One-year survival from breast, lung and colorectal cancer</w:t>
            </w:r>
          </w:p>
          <w:p w14:paraId="31EA0DC2" w14:textId="77777777" w:rsidR="000C1C47" w:rsidRPr="004B5178" w:rsidRDefault="000C1C47" w:rsidP="000C1C47">
            <w:r w:rsidRPr="004B5178">
              <w:t>NHS OF 1.4.iv Five-year survival breast, lung and colorectal cancer</w:t>
            </w:r>
          </w:p>
          <w:p w14:paraId="7B1E932E" w14:textId="77777777" w:rsidR="000C1C47" w:rsidRPr="004B5178" w:rsidRDefault="000C1C47" w:rsidP="000C1C47"/>
          <w:p w14:paraId="5F014565" w14:textId="77777777" w:rsidR="000C1C47" w:rsidRPr="004B5178" w:rsidRDefault="000C1C47" w:rsidP="000C1C47">
            <w:r w:rsidRPr="004B5178">
              <w:t>NHS OF 1.6.iii Five-year survival from all cancers in children</w:t>
            </w:r>
          </w:p>
          <w:p w14:paraId="4ED00CEE" w14:textId="77777777" w:rsidR="000C1C47" w:rsidRPr="004B5178" w:rsidRDefault="000C1C47" w:rsidP="000C1C47"/>
        </w:tc>
      </w:tr>
      <w:tr w:rsidR="004B5178" w:rsidRPr="004B5178" w14:paraId="15B74C48" w14:textId="77777777" w:rsidTr="004B5178">
        <w:tc>
          <w:tcPr>
            <w:tcW w:w="2125" w:type="dxa"/>
          </w:tcPr>
          <w:p w14:paraId="1F714588" w14:textId="77777777" w:rsidR="000C1C47" w:rsidRPr="004B5178" w:rsidRDefault="000C1C47" w:rsidP="000C1C47">
            <w:r w:rsidRPr="004B5178">
              <w:lastRenderedPageBreak/>
              <w:t>Data source</w:t>
            </w:r>
          </w:p>
        </w:tc>
        <w:tc>
          <w:tcPr>
            <w:tcW w:w="12495" w:type="dxa"/>
          </w:tcPr>
          <w:p w14:paraId="57853DA2" w14:textId="77777777" w:rsidR="000C1C47" w:rsidRPr="004B5178" w:rsidRDefault="000C1C47" w:rsidP="000C1C47">
            <w:r w:rsidRPr="004B5178">
              <w:t xml:space="preserve">Data were obtained from the National Cancer Registry at the Office for National Statistics (ONS), which has collated data from regional cancer registries covering the entire population of England since the 1960s. Each year, more than 270,000 patients are newly diagnosed with cancer in England. The National Health Service Central Register routinely updates these individual cancer records with information on each patient’s vital status (alive, emigrated, dead or not traced). </w:t>
            </w:r>
          </w:p>
          <w:p w14:paraId="2D9A57C7" w14:textId="77777777" w:rsidR="000C1C47" w:rsidRPr="004B5178" w:rsidRDefault="000C1C47" w:rsidP="000C1C47"/>
          <w:p w14:paraId="152644AA" w14:textId="77777777" w:rsidR="000C1C47" w:rsidRPr="004B5178" w:rsidRDefault="000C1C47" w:rsidP="000C1C47">
            <w:r w:rsidRPr="004B5178">
              <w:t>For the most recent figures, data were extracted from the National Cancer Registry on 2 July 2013 for patients diagnosed during 1996–2011: the vital status at 31 December 2012 was known for 99 per cent of these patients.</w:t>
            </w:r>
          </w:p>
          <w:p w14:paraId="7824D94A" w14:textId="77777777" w:rsidR="000C1C47" w:rsidRPr="004B5178" w:rsidRDefault="000C1C47" w:rsidP="000C1C47"/>
          <w:p w14:paraId="38B0DA2E" w14:textId="77777777" w:rsidR="000C1C47" w:rsidRPr="004B5178" w:rsidRDefault="000C1C47" w:rsidP="000C1C47">
            <w:r w:rsidRPr="004B5178">
              <w:t>ONS commissions cancer survival figures from the Cancer Survival Group at the London School of Hygiene &amp; Tropical Medicine (LSHTM), who ONS describe as a recognised as a centre of excellence within the UK for the production of cancer survival statistics.</w:t>
            </w:r>
          </w:p>
          <w:p w14:paraId="73AED892" w14:textId="77777777" w:rsidR="000C1C47" w:rsidRPr="004B5178" w:rsidRDefault="000C1C47" w:rsidP="000C1C47"/>
        </w:tc>
      </w:tr>
      <w:tr w:rsidR="004B5178" w:rsidRPr="004B5178" w14:paraId="679863D1" w14:textId="77777777" w:rsidTr="004B5178">
        <w:tc>
          <w:tcPr>
            <w:tcW w:w="2125" w:type="dxa"/>
          </w:tcPr>
          <w:p w14:paraId="33F627B8" w14:textId="77777777" w:rsidR="000C1C47" w:rsidRPr="004B5178" w:rsidRDefault="000C1C47" w:rsidP="000C1C47">
            <w:r w:rsidRPr="004B5178">
              <w:t>Construction</w:t>
            </w:r>
          </w:p>
        </w:tc>
        <w:tc>
          <w:tcPr>
            <w:tcW w:w="12495" w:type="dxa"/>
          </w:tcPr>
          <w:p w14:paraId="055E9537" w14:textId="77777777" w:rsidR="000C1C47" w:rsidRPr="004B5178" w:rsidRDefault="000C1C47" w:rsidP="000C1C47">
            <w:r w:rsidRPr="004B5178">
              <w:t xml:space="preserve">A comprehensive discussion of the methodology and approach taken to calculate cancer survival indices is given in the supporting documents. </w:t>
            </w:r>
          </w:p>
          <w:p w14:paraId="188F0A84" w14:textId="77777777" w:rsidR="000C1C47" w:rsidRPr="004B5178" w:rsidRDefault="000C1C47" w:rsidP="000C1C47"/>
          <w:p w14:paraId="429331E2" w14:textId="77777777" w:rsidR="000C1C47" w:rsidRPr="004B5178" w:rsidRDefault="000C1C47" w:rsidP="000967BB">
            <w:pPr>
              <w:pStyle w:val="ListParagraph"/>
              <w:numPr>
                <w:ilvl w:val="0"/>
                <w:numId w:val="4"/>
              </w:numPr>
              <w:spacing w:after="0" w:line="240" w:lineRule="auto"/>
              <w:ind w:left="360"/>
              <w:rPr>
                <w:rFonts w:ascii="Arial" w:hAnsi="Arial" w:cs="Arial"/>
              </w:rPr>
            </w:pPr>
            <w:r w:rsidRPr="004B5178">
              <w:rPr>
                <w:rFonts w:ascii="Arial" w:hAnsi="Arial" w:cs="Arial"/>
                <w:b/>
              </w:rPr>
              <w:t>[Cancer Survival Indicators for Clinical Commissioning Groups - feasibility report - updated 18 June 2013.pdf]</w:t>
            </w:r>
            <w:r w:rsidRPr="004B5178">
              <w:rPr>
                <w:rFonts w:ascii="Arial" w:hAnsi="Arial" w:cs="Arial"/>
              </w:rPr>
              <w:t xml:space="preserve"> discusses the validity of calculating each of the 5 proposed indicators at national level. Much of this paper alludes to CCG level indicators, which will be brought through the IAS in the near future.</w:t>
            </w:r>
          </w:p>
          <w:p w14:paraId="23ED9354" w14:textId="77777777" w:rsidR="000C1C47" w:rsidRPr="004B5178" w:rsidRDefault="000C1C47" w:rsidP="000C1C47">
            <w:pPr>
              <w:pStyle w:val="ListParagraph"/>
              <w:ind w:left="360"/>
              <w:rPr>
                <w:rFonts w:ascii="Arial" w:hAnsi="Arial" w:cs="Arial"/>
              </w:rPr>
            </w:pPr>
          </w:p>
          <w:p w14:paraId="6C39CA64" w14:textId="77777777" w:rsidR="000C1C47" w:rsidRPr="004B5178" w:rsidRDefault="000C1C47" w:rsidP="000967BB">
            <w:pPr>
              <w:pStyle w:val="ListParagraph"/>
              <w:numPr>
                <w:ilvl w:val="0"/>
                <w:numId w:val="4"/>
              </w:numPr>
              <w:spacing w:after="0" w:line="240" w:lineRule="auto"/>
              <w:ind w:left="360"/>
              <w:rPr>
                <w:rFonts w:ascii="Arial" w:hAnsi="Arial" w:cs="Arial"/>
              </w:rPr>
            </w:pPr>
            <w:r w:rsidRPr="004B5178">
              <w:rPr>
                <w:rFonts w:ascii="Arial" w:hAnsi="Arial" w:cs="Arial"/>
                <w:b/>
              </w:rPr>
              <w:t>[Index of cancer survival in England.pdf]</w:t>
            </w:r>
            <w:r w:rsidRPr="004B5178">
              <w:rPr>
                <w:rFonts w:ascii="Arial" w:hAnsi="Arial" w:cs="Arial"/>
              </w:rPr>
              <w:t xml:space="preserve"> is the ONS documentation which was released alongside the data in December for adult survival from all cancers and adult survival from three cancers combined.</w:t>
            </w:r>
          </w:p>
          <w:p w14:paraId="0016461C" w14:textId="77777777" w:rsidR="000C1C47" w:rsidRPr="004B5178" w:rsidRDefault="000C1C47" w:rsidP="000C1C47">
            <w:pPr>
              <w:pStyle w:val="ListParagraph"/>
              <w:ind w:left="360"/>
              <w:rPr>
                <w:rFonts w:ascii="Arial" w:hAnsi="Arial" w:cs="Arial"/>
              </w:rPr>
            </w:pPr>
          </w:p>
          <w:p w14:paraId="718C4350" w14:textId="77777777" w:rsidR="000C1C47" w:rsidRPr="004B5178" w:rsidRDefault="000C1C47" w:rsidP="000967BB">
            <w:pPr>
              <w:pStyle w:val="ListParagraph"/>
              <w:numPr>
                <w:ilvl w:val="0"/>
                <w:numId w:val="4"/>
              </w:numPr>
              <w:spacing w:after="0" w:line="240" w:lineRule="auto"/>
              <w:ind w:left="360"/>
              <w:rPr>
                <w:rFonts w:ascii="Arial" w:hAnsi="Arial" w:cs="Arial"/>
              </w:rPr>
            </w:pPr>
            <w:r w:rsidRPr="004B5178">
              <w:rPr>
                <w:rFonts w:ascii="Arial" w:hAnsi="Arial" w:cs="Arial"/>
                <w:b/>
              </w:rPr>
              <w:t>[Index of cancer survival for children.pdf]</w:t>
            </w:r>
            <w:r w:rsidRPr="004B5178">
              <w:rPr>
                <w:rFonts w:ascii="Arial" w:hAnsi="Arial" w:cs="Arial"/>
              </w:rPr>
              <w:t xml:space="preserve"> is the ONS documentation which was released alongside the childhood survival data.</w:t>
            </w:r>
          </w:p>
          <w:p w14:paraId="2CFF352C" w14:textId="77777777" w:rsidR="000C1C47" w:rsidRPr="004B5178" w:rsidRDefault="000C1C47" w:rsidP="000C1C47"/>
          <w:p w14:paraId="55A7A9D5" w14:textId="77777777" w:rsidR="000C1C47" w:rsidRPr="004B5178" w:rsidRDefault="000C1C47" w:rsidP="000C1C47">
            <w:r w:rsidRPr="004B5178">
              <w:t xml:space="preserve">Survival estimates are the percentage of patients that are still alive a specified time after their diagnosis of cancer. Background mortality that patients would have normally experienced, if they did not have cancer, is taken into account, so that net survival is an estimate of the probability of survival from the cancer alone. </w:t>
            </w:r>
          </w:p>
          <w:p w14:paraId="1C2B29D9" w14:textId="77777777" w:rsidR="000C1C47" w:rsidRPr="004B5178" w:rsidRDefault="000C1C47" w:rsidP="000C1C47"/>
          <w:p w14:paraId="3EF118AA" w14:textId="77777777" w:rsidR="000C1C47" w:rsidRPr="004B5178" w:rsidRDefault="000C1C47" w:rsidP="000C1C47">
            <w:r w:rsidRPr="004B5178">
              <w:t>When building a cancer survival index, separate estimates of survival were required for each combination of;</w:t>
            </w:r>
          </w:p>
          <w:p w14:paraId="424BF964" w14:textId="77777777" w:rsidR="000C1C47" w:rsidRPr="004B5178" w:rsidRDefault="000C1C47" w:rsidP="000C1C47"/>
          <w:p w14:paraId="77AB3DAD" w14:textId="77777777" w:rsidR="000C1C47" w:rsidRPr="004B5178" w:rsidRDefault="000C1C47" w:rsidP="000967BB">
            <w:pPr>
              <w:pStyle w:val="ListParagraph"/>
              <w:numPr>
                <w:ilvl w:val="0"/>
                <w:numId w:val="3"/>
              </w:numPr>
              <w:spacing w:after="0" w:line="240" w:lineRule="auto"/>
              <w:rPr>
                <w:rFonts w:ascii="Arial" w:hAnsi="Arial" w:cs="Arial"/>
              </w:rPr>
            </w:pPr>
            <w:r w:rsidRPr="004B5178">
              <w:rPr>
                <w:rFonts w:ascii="Arial" w:hAnsi="Arial" w:cs="Arial"/>
              </w:rPr>
              <w:t>Cancer or group of cancers, defined as</w:t>
            </w:r>
          </w:p>
          <w:p w14:paraId="7F6A1991"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Breast (women)</w:t>
            </w:r>
          </w:p>
          <w:p w14:paraId="2463DC78"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Colon and rectum combined</w:t>
            </w:r>
          </w:p>
          <w:p w14:paraId="260DA6C3"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Lung</w:t>
            </w:r>
          </w:p>
          <w:p w14:paraId="74C33F08"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 xml:space="preserve">All other cancers combined </w:t>
            </w:r>
          </w:p>
          <w:p w14:paraId="01561EF4" w14:textId="77777777" w:rsidR="000C1C47" w:rsidRPr="004B5178" w:rsidRDefault="000C1C47" w:rsidP="000967BB">
            <w:pPr>
              <w:pStyle w:val="ListParagraph"/>
              <w:numPr>
                <w:ilvl w:val="0"/>
                <w:numId w:val="3"/>
              </w:numPr>
              <w:spacing w:after="0" w:line="240" w:lineRule="auto"/>
              <w:rPr>
                <w:rFonts w:ascii="Arial" w:hAnsi="Arial" w:cs="Arial"/>
              </w:rPr>
            </w:pPr>
            <w:r w:rsidRPr="004B5178">
              <w:rPr>
                <w:rFonts w:ascii="Arial" w:hAnsi="Arial" w:cs="Arial"/>
              </w:rPr>
              <w:t>Age group: two configurations were selected</w:t>
            </w:r>
          </w:p>
          <w:p w14:paraId="5FEE32A8"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Configuration 1: 15 – 44, 45 – 54, 55 – 65, 65 – 74, 75 – 99 (At national level)</w:t>
            </w:r>
          </w:p>
          <w:p w14:paraId="501A43D4" w14:textId="77777777" w:rsidR="000C1C47" w:rsidRPr="004B5178" w:rsidRDefault="000C1C47" w:rsidP="000967BB">
            <w:pPr>
              <w:pStyle w:val="ListParagraph"/>
              <w:numPr>
                <w:ilvl w:val="0"/>
                <w:numId w:val="3"/>
              </w:numPr>
              <w:spacing w:after="0" w:line="240" w:lineRule="auto"/>
              <w:rPr>
                <w:rFonts w:ascii="Arial" w:hAnsi="Arial" w:cs="Arial"/>
              </w:rPr>
            </w:pPr>
            <w:r w:rsidRPr="004B5178">
              <w:rPr>
                <w:rFonts w:ascii="Arial" w:hAnsi="Arial" w:cs="Arial"/>
              </w:rPr>
              <w:t>Sex</w:t>
            </w:r>
          </w:p>
          <w:p w14:paraId="1AA8F76E"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Male</w:t>
            </w:r>
          </w:p>
          <w:p w14:paraId="5F290183"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Female</w:t>
            </w:r>
          </w:p>
          <w:p w14:paraId="432BF487" w14:textId="77777777" w:rsidR="000C1C47" w:rsidRPr="004B5178" w:rsidRDefault="000C1C47" w:rsidP="000967BB">
            <w:pPr>
              <w:pStyle w:val="ListParagraph"/>
              <w:numPr>
                <w:ilvl w:val="0"/>
                <w:numId w:val="3"/>
              </w:numPr>
              <w:spacing w:after="0" w:line="240" w:lineRule="auto"/>
              <w:rPr>
                <w:rFonts w:ascii="Arial" w:hAnsi="Arial" w:cs="Arial"/>
              </w:rPr>
            </w:pPr>
            <w:r w:rsidRPr="004B5178">
              <w:rPr>
                <w:rFonts w:ascii="Arial" w:hAnsi="Arial" w:cs="Arial"/>
              </w:rPr>
              <w:t>Year of diagnosis</w:t>
            </w:r>
          </w:p>
          <w:p w14:paraId="0850B524"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Individual years in 1996 – 2010 for the one year survival indices</w:t>
            </w:r>
          </w:p>
          <w:p w14:paraId="1B41CE3E" w14:textId="77777777" w:rsidR="000C1C47" w:rsidRPr="004B5178" w:rsidRDefault="000C1C47" w:rsidP="000967BB">
            <w:pPr>
              <w:pStyle w:val="ListParagraph"/>
              <w:numPr>
                <w:ilvl w:val="1"/>
                <w:numId w:val="3"/>
              </w:numPr>
              <w:spacing w:after="0" w:line="240" w:lineRule="auto"/>
              <w:rPr>
                <w:rFonts w:ascii="Arial" w:hAnsi="Arial" w:cs="Arial"/>
              </w:rPr>
            </w:pPr>
            <w:r w:rsidRPr="004B5178">
              <w:rPr>
                <w:rFonts w:ascii="Arial" w:hAnsi="Arial" w:cs="Arial"/>
              </w:rPr>
              <w:t>Individual years in 1996 – 2007 for the five – year survival index, to allow for a potential five – year follow – up period for all patients.</w:t>
            </w:r>
          </w:p>
          <w:p w14:paraId="4691E1C9" w14:textId="77777777" w:rsidR="000C1C47" w:rsidRPr="004B5178" w:rsidRDefault="000C1C47" w:rsidP="000C1C47"/>
          <w:p w14:paraId="658FBDE0" w14:textId="0580EEFD" w:rsidR="000C1C47" w:rsidRPr="004B5178" w:rsidRDefault="000C1C47" w:rsidP="000C1C47">
            <w:r w:rsidRPr="004B5178">
              <w:t xml:space="preserve">The precision of the cancer survival index will </w:t>
            </w:r>
            <w:r w:rsidR="00C36CDF" w:rsidRPr="004B5178">
              <w:t>be published</w:t>
            </w:r>
            <w:r w:rsidRPr="004B5178">
              <w:t xml:space="preserve"> alongside it. The precision is the inverse of the variance of the survival </w:t>
            </w:r>
            <w:r w:rsidR="00C36CDF" w:rsidRPr="004B5178">
              <w:t>index and</w:t>
            </w:r>
            <w:r w:rsidRPr="004B5178">
              <w:t xml:space="preserve"> is made available as gives context to the measure.</w:t>
            </w:r>
          </w:p>
          <w:p w14:paraId="56741CC1" w14:textId="77777777" w:rsidR="000C1C47" w:rsidRPr="004B5178" w:rsidRDefault="000C1C47" w:rsidP="000C1C47"/>
          <w:p w14:paraId="3F8004E9" w14:textId="77777777" w:rsidR="000C1C47" w:rsidRPr="004B5178" w:rsidRDefault="000C1C47" w:rsidP="000C1C47"/>
          <w:p w14:paraId="2D492E98" w14:textId="77777777" w:rsidR="000C1C47" w:rsidRPr="004B5178" w:rsidRDefault="000C1C47" w:rsidP="000C1C47"/>
          <w:p w14:paraId="6B8D4FCA" w14:textId="77777777" w:rsidR="000C1C47" w:rsidRPr="004B5178" w:rsidRDefault="000C1C47" w:rsidP="000C1C47">
            <w:r w:rsidRPr="004B5178">
              <w:rPr>
                <w:b/>
              </w:rPr>
              <w:t>Combined breast, lung and colorectal cancer</w:t>
            </w:r>
            <w:r w:rsidRPr="004B5178">
              <w:t xml:space="preserve"> is defined as all adults (15 – 99 years) who were diagnosed with a first, primary, invasive malignancy coded as C18-C20, C21.8 (colorectal), C50 (breast) or C33-C34 (lung).</w:t>
            </w:r>
          </w:p>
          <w:p w14:paraId="273AD8AB" w14:textId="77777777" w:rsidR="000C1C47" w:rsidRPr="004B5178" w:rsidRDefault="000C1C47" w:rsidP="000C1C47"/>
          <w:p w14:paraId="1796DB56" w14:textId="77777777" w:rsidR="000C1C47" w:rsidRPr="004B5178" w:rsidRDefault="000C1C47" w:rsidP="000C1C47">
            <w:r w:rsidRPr="004B5178">
              <w:t>All Cancers are defined as all adults (15 – 99 years) who were diagnosed with a first, primary, invasive malignancy.</w:t>
            </w:r>
          </w:p>
          <w:p w14:paraId="11692319" w14:textId="77777777" w:rsidR="000C1C47" w:rsidRPr="004B5178" w:rsidRDefault="000C1C47" w:rsidP="000C1C47"/>
          <w:p w14:paraId="09743A0C" w14:textId="77777777" w:rsidR="000C1C47" w:rsidRPr="004B5178" w:rsidRDefault="000C1C47" w:rsidP="000C1C47">
            <w:r w:rsidRPr="004B5178">
              <w:t>There are two exclusions:</w:t>
            </w:r>
          </w:p>
          <w:p w14:paraId="4AE3882B" w14:textId="77777777" w:rsidR="000C1C47" w:rsidRPr="004B5178" w:rsidRDefault="000C1C47" w:rsidP="000C1C47"/>
          <w:p w14:paraId="15EBC11A" w14:textId="77777777" w:rsidR="000C1C47" w:rsidRPr="004B5178" w:rsidRDefault="000C1C47" w:rsidP="000C1C47">
            <w:r w:rsidRPr="004B5178">
              <w:t>Non non-melanoma skin cancer (ICD-10 C44) is excluded, as ONS has been advised by expert epidemiologists and members of the former Steering Committee on Cancer Registration, that non-melanoma skin cancer is greatly under-registered. Registration varies widely depending on a registry’s degree of access to out-patient records and general practitioners. This under-registration of non-melanoma skin cancer is not just a problem for the cancer registries in England. Cancer Incidence in Five Continents Volume VI8 reported that cancer registries in the United States, Australia, and parts of Europe, also collected very limited information on these skin cancers. In the commentary that follows, the figures for ‘all malignancies’ (ICD-10 C00–</w:t>
            </w:r>
            <w:r w:rsidRPr="004B5178">
              <w:lastRenderedPageBreak/>
              <w:t xml:space="preserve">C97) exclude non-melanoma skin cancer (nmsc). Also, it is not mandatory to register hydatidiform mole (ICD-10 O010). Therefore, these registrations are excluded from the figures, since they are not collected by all the registries." </w:t>
            </w:r>
          </w:p>
          <w:p w14:paraId="105BB001" w14:textId="77777777" w:rsidR="000C1C47" w:rsidRPr="004B5178" w:rsidRDefault="000C1C47" w:rsidP="000C1C47"/>
          <w:p w14:paraId="287BDAA0" w14:textId="77777777" w:rsidR="000C1C47" w:rsidRPr="004B5178" w:rsidRDefault="000C1C47" w:rsidP="000C1C47">
            <w:r w:rsidRPr="004B5178">
              <w:t>Cancer of the prostate (C61) is excluded due the widespread introduction of prostate-specific antigen (PSA) testing since the early 1990s has led to difficulty in the interpretation of survival trends.</w:t>
            </w:r>
          </w:p>
          <w:p w14:paraId="327EF1CF" w14:textId="77777777" w:rsidR="000C1C47" w:rsidRPr="004B5178" w:rsidRDefault="000C1C47" w:rsidP="000C1C47"/>
          <w:p w14:paraId="4B0F6931" w14:textId="77777777" w:rsidR="000C1C47" w:rsidRPr="004B5178" w:rsidRDefault="000C1C47" w:rsidP="000C1C47">
            <w:pPr>
              <w:rPr>
                <w:b/>
              </w:rPr>
            </w:pPr>
          </w:p>
          <w:p w14:paraId="29435239" w14:textId="77777777" w:rsidR="000C1C47" w:rsidRPr="004B5178" w:rsidRDefault="000C1C47" w:rsidP="000C1C47">
            <w:r w:rsidRPr="004B5178">
              <w:rPr>
                <w:b/>
              </w:rPr>
              <w:t>Childhood cancers</w:t>
            </w:r>
            <w:r w:rsidRPr="004B5178">
              <w:t xml:space="preserve"> in this instance are defined as all children (0 – 14 years) with a malignant neoplasm (ICD-10 C00-C97 excluding C44 excluding non-melanoma skin cancers), or a non</w:t>
            </w:r>
            <w:r w:rsidRPr="004B5178">
              <w:rPr>
                <w:rFonts w:ascii="Cambria Math" w:hAnsi="Cambria Math" w:cs="Cambria Math"/>
              </w:rPr>
              <w:t>‐</w:t>
            </w:r>
            <w:r w:rsidRPr="004B5178">
              <w:t>malignant CNS tumour (ICD-10 D32-D33, D35.2-D35.4, D42-D43 and D44.3-D44.5.</w:t>
            </w:r>
          </w:p>
          <w:p w14:paraId="16B60AE2" w14:textId="77777777" w:rsidR="000C1C47" w:rsidRPr="004B5178" w:rsidRDefault="000C1C47" w:rsidP="000C1C47">
            <w:pPr>
              <w:rPr>
                <w:b/>
              </w:rPr>
            </w:pPr>
          </w:p>
          <w:p w14:paraId="60CC4017" w14:textId="77777777" w:rsidR="000C1C47" w:rsidRPr="004B5178" w:rsidRDefault="000C1C47" w:rsidP="000C1C47">
            <w:r w:rsidRPr="004B5178">
              <w:t xml:space="preserve">More detail around ONS approach to calculating 5 year survival in children can be found in the accompanying document, </w:t>
            </w:r>
            <w:r w:rsidRPr="004B5178">
              <w:rPr>
                <w:b/>
              </w:rPr>
              <w:t>[Index of cancer survival for children.pdf]</w:t>
            </w:r>
            <w:r w:rsidRPr="004B5178">
              <w:t xml:space="preserve"> which ONS released alongside the childhood survival data.</w:t>
            </w:r>
          </w:p>
          <w:p w14:paraId="16C390D8" w14:textId="77777777" w:rsidR="000C1C47" w:rsidRPr="004B5178" w:rsidRDefault="000C1C47" w:rsidP="000C1C47">
            <w:pPr>
              <w:autoSpaceDE w:val="0"/>
              <w:autoSpaceDN w:val="0"/>
              <w:adjustRightInd w:val="0"/>
            </w:pPr>
          </w:p>
        </w:tc>
      </w:tr>
      <w:tr w:rsidR="004B5178" w:rsidRPr="004B5178" w14:paraId="1019AB7F" w14:textId="77777777" w:rsidTr="004B5178">
        <w:tc>
          <w:tcPr>
            <w:tcW w:w="2125" w:type="dxa"/>
          </w:tcPr>
          <w:p w14:paraId="5C3A2F5A" w14:textId="77777777" w:rsidR="000C1C47" w:rsidRPr="004B5178" w:rsidRDefault="000C1C47" w:rsidP="000C1C47">
            <w:r w:rsidRPr="004B5178">
              <w:lastRenderedPageBreak/>
              <w:t>Updated Potential Issues</w:t>
            </w:r>
          </w:p>
        </w:tc>
        <w:tc>
          <w:tcPr>
            <w:tcW w:w="12495" w:type="dxa"/>
          </w:tcPr>
          <w:p w14:paraId="3F377526" w14:textId="77777777" w:rsidR="000C1C47" w:rsidRPr="004B5178" w:rsidRDefault="000C1C47" w:rsidP="000C1C47">
            <w:r w:rsidRPr="004B5178">
              <w:t xml:space="preserve">The statistical reliability of net survival estimates depends strongly on the number of events (deaths) that contribute to the estimate. In turn, this depends on both the number of patients who are diagnosed (the incidence rate and the sex and age (sex) distribution of the underlying population) and the lethality of the tumour, which also varies with age and sex, and over time, as well as between geographic areas. </w:t>
            </w:r>
          </w:p>
          <w:p w14:paraId="4D960A65" w14:textId="77777777" w:rsidR="000C1C47" w:rsidRPr="004B5178" w:rsidRDefault="000C1C47" w:rsidP="000C1C47"/>
        </w:tc>
      </w:tr>
    </w:tbl>
    <w:p w14:paraId="43D4E2B4" w14:textId="77777777" w:rsidR="000C1C47" w:rsidRPr="004B5178" w:rsidRDefault="000C1C47" w:rsidP="000C1C47">
      <w:pPr>
        <w:rPr>
          <w:b/>
        </w:rPr>
      </w:pPr>
    </w:p>
    <w:p w14:paraId="5909FCBD" w14:textId="77777777" w:rsidR="000C1C47" w:rsidRPr="004B5178" w:rsidRDefault="000C1C47" w:rsidP="000C1C47">
      <w:pPr>
        <w:spacing w:after="200" w:line="276" w:lineRule="auto"/>
      </w:pPr>
      <w:r w:rsidRPr="004B5178">
        <w:br w:type="page"/>
      </w:r>
    </w:p>
    <w:p w14:paraId="6F31C755" w14:textId="77777777" w:rsidR="000C1C47" w:rsidRPr="004B5178" w:rsidRDefault="000C1C47" w:rsidP="000967BB">
      <w:pPr>
        <w:pStyle w:val="ListParagraph"/>
        <w:numPr>
          <w:ilvl w:val="0"/>
          <w:numId w:val="7"/>
        </w:numPr>
        <w:spacing w:after="0" w:line="240" w:lineRule="auto"/>
        <w:rPr>
          <w:rFonts w:ascii="Arial" w:hAnsi="Arial" w:cs="Arial"/>
        </w:rPr>
      </w:pPr>
      <w:r w:rsidRPr="004B5178">
        <w:rPr>
          <w:rFonts w:ascii="Arial" w:hAnsi="Arial" w:cs="Arial"/>
        </w:rPr>
        <w:lastRenderedPageBreak/>
        <w:t>Update - Domain 2 indicators for NHS OF &amp; CCG OIS</w:t>
      </w:r>
    </w:p>
    <w:p w14:paraId="63B8FE90" w14:textId="77777777" w:rsidR="000C1C47" w:rsidRPr="004B5178" w:rsidRDefault="000C1C47" w:rsidP="000C1C47">
      <w:pPr>
        <w:spacing w:before="60"/>
        <w:textboxTightWrap w:val="lastLineOnly"/>
      </w:pPr>
    </w:p>
    <w:p w14:paraId="4B0ACFBA" w14:textId="77777777" w:rsidR="000C1C47" w:rsidRPr="004B5178" w:rsidRDefault="000C1C47" w:rsidP="000C1C47">
      <w:pPr>
        <w:spacing w:before="60"/>
        <w:ind w:left="-284"/>
        <w:textboxTightWrap w:val="lastLineOnly"/>
      </w:pPr>
      <w:r w:rsidRPr="004B5178">
        <w:t>This response provided by the applicant aims to answer the recommendations made at the last MRG regarding the domain 2 indicators in the NHS Outcomes Framework and the CCG OIS.</w:t>
      </w:r>
    </w:p>
    <w:p w14:paraId="78CFDE3F" w14:textId="662FBC6A" w:rsidR="000C1C47" w:rsidRDefault="000C1C47" w:rsidP="000C1C47">
      <w:pPr>
        <w:spacing w:before="60"/>
        <w:textboxTightWrap w:val="lastLineOnly"/>
      </w:pPr>
    </w:p>
    <w:p w14:paraId="505C0E0A" w14:textId="77777777" w:rsidR="00FE4EB4" w:rsidRPr="004B5178" w:rsidRDefault="00FE4EB4" w:rsidP="000C1C47">
      <w:pPr>
        <w:spacing w:before="60"/>
        <w:textboxTightWrap w:val="lastLineOnly"/>
      </w:pPr>
    </w:p>
    <w:tbl>
      <w:tblPr>
        <w:tblStyle w:val="TableGrid"/>
        <w:tblW w:w="14596" w:type="dxa"/>
        <w:tblLayout w:type="fixed"/>
        <w:tblLook w:val="01E0" w:firstRow="1" w:lastRow="1" w:firstColumn="1" w:lastColumn="1" w:noHBand="0" w:noVBand="0"/>
      </w:tblPr>
      <w:tblGrid>
        <w:gridCol w:w="1702"/>
        <w:gridCol w:w="12894"/>
      </w:tblGrid>
      <w:tr w:rsidR="00FE4EB4" w:rsidRPr="004B5178" w14:paraId="14C3096A" w14:textId="77777777" w:rsidTr="00FE4EB4">
        <w:tc>
          <w:tcPr>
            <w:tcW w:w="1702" w:type="dxa"/>
          </w:tcPr>
          <w:p w14:paraId="598E0242" w14:textId="77777777" w:rsidR="00FE4EB4" w:rsidRPr="004B5178" w:rsidRDefault="00FE4EB4" w:rsidP="000C1C47">
            <w:pPr>
              <w:rPr>
                <w:b/>
              </w:rPr>
            </w:pPr>
            <w:r w:rsidRPr="004B5178">
              <w:rPr>
                <w:b/>
              </w:rPr>
              <w:t>Indicator Titles</w:t>
            </w:r>
          </w:p>
        </w:tc>
        <w:tc>
          <w:tcPr>
            <w:tcW w:w="12894" w:type="dxa"/>
          </w:tcPr>
          <w:p w14:paraId="37F9830E" w14:textId="77777777" w:rsidR="00FE4EB4" w:rsidRPr="004B5178" w:rsidRDefault="00FE4EB4" w:rsidP="000967BB">
            <w:pPr>
              <w:numPr>
                <w:ilvl w:val="4"/>
                <w:numId w:val="9"/>
              </w:numPr>
              <w:spacing w:after="140"/>
              <w:ind w:left="317" w:hanging="317"/>
              <w:textboxTightWrap w:val="lastLineOnly"/>
            </w:pPr>
            <w:r w:rsidRPr="004B5178">
              <w:t>NHS OF 2 Health-related quality of life for people with long term conditions</w:t>
            </w:r>
          </w:p>
          <w:p w14:paraId="7A258B32" w14:textId="77777777" w:rsidR="00FE4EB4" w:rsidRPr="004B5178" w:rsidRDefault="00FE4EB4" w:rsidP="000C1C47"/>
          <w:p w14:paraId="0D59F893" w14:textId="77777777" w:rsidR="00FE4EB4" w:rsidRPr="004B5178" w:rsidRDefault="00FE4EB4" w:rsidP="000967BB">
            <w:pPr>
              <w:numPr>
                <w:ilvl w:val="4"/>
                <w:numId w:val="9"/>
              </w:numPr>
              <w:spacing w:after="140"/>
              <w:ind w:left="317" w:hanging="317"/>
              <w:textboxTightWrap w:val="lastLineOnly"/>
            </w:pPr>
            <w:r w:rsidRPr="004B5178">
              <w:t xml:space="preserve">NHS OF 2.1 </w:t>
            </w:r>
            <w:r w:rsidRPr="004B5178">
              <w:rPr>
                <w:b/>
              </w:rPr>
              <w:t xml:space="preserve">(IAP00119) </w:t>
            </w:r>
            <w:r w:rsidRPr="004B5178">
              <w:t>Proportion of people who feel supported to manage their condition</w:t>
            </w:r>
          </w:p>
          <w:p w14:paraId="4FA1D92C" w14:textId="77777777" w:rsidR="00FE4EB4" w:rsidRPr="004B5178" w:rsidRDefault="00FE4EB4" w:rsidP="000967BB">
            <w:pPr>
              <w:numPr>
                <w:ilvl w:val="4"/>
                <w:numId w:val="9"/>
              </w:numPr>
              <w:spacing w:after="140"/>
              <w:ind w:left="317" w:hanging="317"/>
              <w:textboxTightWrap w:val="lastLineOnly"/>
            </w:pPr>
            <w:r w:rsidRPr="004B5178">
              <w:t>CCG OIS 2.2 Proportion of people who feel supported to manage their condition</w:t>
            </w:r>
          </w:p>
          <w:p w14:paraId="0F15488D" w14:textId="77777777" w:rsidR="00FE4EB4" w:rsidRPr="004B5178" w:rsidRDefault="00FE4EB4" w:rsidP="000C1C47"/>
          <w:p w14:paraId="3E8CFB5A" w14:textId="77777777" w:rsidR="00FE4EB4" w:rsidRPr="004B5178" w:rsidRDefault="00FE4EB4" w:rsidP="000967BB">
            <w:pPr>
              <w:numPr>
                <w:ilvl w:val="4"/>
                <w:numId w:val="9"/>
              </w:numPr>
              <w:spacing w:after="140"/>
              <w:ind w:left="317" w:hanging="317"/>
              <w:textboxTightWrap w:val="lastLineOnly"/>
            </w:pPr>
            <w:r w:rsidRPr="004B5178">
              <w:t>NHS OF 2.4 Health-related quality of life for carers, aged over 18 years</w:t>
            </w:r>
          </w:p>
          <w:p w14:paraId="41937307" w14:textId="77777777" w:rsidR="00FE4EB4" w:rsidRPr="004B5178" w:rsidRDefault="00FE4EB4" w:rsidP="000967BB">
            <w:pPr>
              <w:numPr>
                <w:ilvl w:val="4"/>
                <w:numId w:val="9"/>
              </w:numPr>
              <w:spacing w:after="140"/>
              <w:ind w:left="317" w:hanging="317"/>
              <w:textboxTightWrap w:val="lastLineOnly"/>
            </w:pPr>
            <w:r w:rsidRPr="004B5178">
              <w:t>CCG OIS 2.15 Health-related quality of life for carers, aged over 18 years</w:t>
            </w:r>
          </w:p>
          <w:p w14:paraId="50B0AA62" w14:textId="77777777" w:rsidR="00FE4EB4" w:rsidRPr="004B5178" w:rsidRDefault="00FE4EB4" w:rsidP="000C1C47"/>
          <w:p w14:paraId="24855F73" w14:textId="77777777" w:rsidR="00FE4EB4" w:rsidRPr="004B5178" w:rsidRDefault="00FE4EB4" w:rsidP="000967BB">
            <w:pPr>
              <w:numPr>
                <w:ilvl w:val="4"/>
                <w:numId w:val="9"/>
              </w:numPr>
              <w:spacing w:after="140"/>
              <w:ind w:left="317" w:hanging="317"/>
              <w:textboxTightWrap w:val="lastLineOnly"/>
            </w:pPr>
            <w:r w:rsidRPr="004B5178">
              <w:t>CCG OIS 2.1 Health-related quality of life for people with long term conditions</w:t>
            </w:r>
          </w:p>
          <w:p w14:paraId="2BAB7D32" w14:textId="77777777" w:rsidR="00FE4EB4" w:rsidRPr="004B5178" w:rsidRDefault="00FE4EB4" w:rsidP="000C1C47"/>
          <w:p w14:paraId="6CEEA667" w14:textId="77777777" w:rsidR="00FE4EB4" w:rsidRPr="004B5178" w:rsidRDefault="00FE4EB4" w:rsidP="000967BB">
            <w:pPr>
              <w:numPr>
                <w:ilvl w:val="4"/>
                <w:numId w:val="9"/>
              </w:numPr>
              <w:spacing w:after="140"/>
              <w:ind w:left="317" w:hanging="317"/>
              <w:textboxTightWrap w:val="lastLineOnly"/>
            </w:pPr>
            <w:r w:rsidRPr="004B5178">
              <w:t>CCG OIS 2.16 Health related quality of life for people with a long term mental health condition</w:t>
            </w:r>
          </w:p>
          <w:p w14:paraId="1A72A2F3" w14:textId="77777777" w:rsidR="00FE4EB4" w:rsidRPr="004B5178" w:rsidRDefault="00FE4EB4" w:rsidP="000C1C47"/>
        </w:tc>
      </w:tr>
      <w:tr w:rsidR="00FE4EB4" w:rsidRPr="004B5178" w14:paraId="77594A50" w14:textId="77777777" w:rsidTr="00FE4EB4">
        <w:tc>
          <w:tcPr>
            <w:tcW w:w="1702" w:type="dxa"/>
          </w:tcPr>
          <w:p w14:paraId="194CE759" w14:textId="77777777" w:rsidR="00FE4EB4" w:rsidRPr="004B5178" w:rsidRDefault="00FE4EB4" w:rsidP="000C1C47">
            <w:r w:rsidRPr="004B5178">
              <w:t>Indicator Set</w:t>
            </w:r>
          </w:p>
        </w:tc>
        <w:tc>
          <w:tcPr>
            <w:tcW w:w="12894" w:type="dxa"/>
          </w:tcPr>
          <w:p w14:paraId="365411E2" w14:textId="77777777" w:rsidR="00FE4EB4" w:rsidRPr="004B5178" w:rsidRDefault="00FE4EB4" w:rsidP="000C1C47">
            <w:r w:rsidRPr="004B5178">
              <w:t>NHSOF / CCGOIS</w:t>
            </w:r>
          </w:p>
        </w:tc>
      </w:tr>
    </w:tbl>
    <w:p w14:paraId="3784DFDD" w14:textId="77777777" w:rsidR="000C1C47" w:rsidRPr="004B5178" w:rsidRDefault="000C1C47" w:rsidP="000C1C47">
      <w:pPr>
        <w:spacing w:before="60"/>
        <w:textboxTightWrap w:val="lastLineOnly"/>
      </w:pPr>
    </w:p>
    <w:p w14:paraId="7F8D0469" w14:textId="4DAAF877" w:rsidR="000C1C47" w:rsidRPr="004B5178" w:rsidRDefault="000C1C47" w:rsidP="000C1C47">
      <w:pPr>
        <w:spacing w:before="60"/>
        <w:textboxTightWrap w:val="lastLineOnly"/>
      </w:pPr>
    </w:p>
    <w:p w14:paraId="330AD190" w14:textId="77777777" w:rsidR="000967BB" w:rsidRPr="004B5178" w:rsidRDefault="000967BB" w:rsidP="000C1C47">
      <w:pPr>
        <w:spacing w:before="60"/>
        <w:textboxTightWrap w:val="lastLineOnly"/>
      </w:pPr>
    </w:p>
    <w:tbl>
      <w:tblPr>
        <w:tblStyle w:val="TableGrid"/>
        <w:tblW w:w="14620" w:type="dxa"/>
        <w:tblLayout w:type="fixed"/>
        <w:tblLook w:val="01E0" w:firstRow="1" w:lastRow="1" w:firstColumn="1" w:lastColumn="1" w:noHBand="0" w:noVBand="0"/>
      </w:tblPr>
      <w:tblGrid>
        <w:gridCol w:w="1844"/>
        <w:gridCol w:w="12776"/>
      </w:tblGrid>
      <w:tr w:rsidR="004B5178" w:rsidRPr="004B5178" w14:paraId="1322019F" w14:textId="77777777" w:rsidTr="004B5178">
        <w:tc>
          <w:tcPr>
            <w:tcW w:w="1844" w:type="dxa"/>
          </w:tcPr>
          <w:p w14:paraId="5FEF3C42" w14:textId="77777777" w:rsidR="000C1C47" w:rsidRPr="004B5178" w:rsidRDefault="000C1C47" w:rsidP="000C1C47">
            <w:pPr>
              <w:spacing w:before="60"/>
            </w:pPr>
            <w:r w:rsidRPr="004B5178">
              <w:t>Ref code</w:t>
            </w:r>
          </w:p>
          <w:p w14:paraId="77E7A396" w14:textId="77777777" w:rsidR="000C1C47" w:rsidRPr="004B5178" w:rsidRDefault="000C1C47" w:rsidP="000C1C47">
            <w:pPr>
              <w:rPr>
                <w:b/>
              </w:rPr>
            </w:pPr>
            <w:r w:rsidRPr="004B5178">
              <w:rPr>
                <w:b/>
              </w:rPr>
              <w:t>IAP00000-01</w:t>
            </w:r>
          </w:p>
          <w:p w14:paraId="0C7BBC1D" w14:textId="77777777" w:rsidR="000C1C47" w:rsidRPr="004B5178" w:rsidRDefault="000C1C47" w:rsidP="000C1C47">
            <w:pPr>
              <w:spacing w:before="60"/>
            </w:pPr>
            <w:r w:rsidRPr="004B5178">
              <w:t>Made: 18/10/13</w:t>
            </w:r>
          </w:p>
        </w:tc>
        <w:tc>
          <w:tcPr>
            <w:tcW w:w="12776" w:type="dxa"/>
          </w:tcPr>
          <w:p w14:paraId="01EC5983" w14:textId="77777777" w:rsidR="000C1C47" w:rsidRPr="004B5178" w:rsidRDefault="000C1C47" w:rsidP="000C1C47">
            <w:pPr>
              <w:spacing w:before="60" w:after="140"/>
              <w:textboxTightWrap w:val="lastLineOnly"/>
            </w:pPr>
            <w:r w:rsidRPr="004B5178">
              <w:t xml:space="preserve">The developer is asked to investigate if direct standardisation can be made to work through combining years or some of the initially proposed breakdown groups. </w:t>
            </w:r>
          </w:p>
          <w:p w14:paraId="6332BA2C" w14:textId="77777777" w:rsidR="000C1C47" w:rsidRPr="004B5178" w:rsidRDefault="000C1C47" w:rsidP="000C1C47">
            <w:pPr>
              <w:spacing w:before="60" w:after="140"/>
              <w:textboxTightWrap w:val="lastLineOnly"/>
            </w:pPr>
            <w:r w:rsidRPr="004B5178">
              <w:t>If the results of the investigation determine that this is too weak a standardisation then the developer should test whether indirect standardisation is valid, for instance determining if indirect standardisation holds valid in terms of populations being comparable.</w:t>
            </w:r>
          </w:p>
          <w:p w14:paraId="2C1D240C" w14:textId="7BEE8FD1" w:rsidR="000C1C47" w:rsidRPr="004B5178" w:rsidRDefault="00C36CDF" w:rsidP="000C1C47">
            <w:pPr>
              <w:spacing w:before="60" w:after="140"/>
              <w:textboxTightWrap w:val="lastLineOnly"/>
            </w:pPr>
            <w:r w:rsidRPr="004B5178">
              <w:lastRenderedPageBreak/>
              <w:t>Finally,</w:t>
            </w:r>
            <w:r w:rsidR="000C1C47" w:rsidRPr="004B5178">
              <w:t xml:space="preserve"> if indirect standardisation is arrived at as being valid, supporting metadata would have to be very clear about the limitations of use of the indicator in terms of comparison.</w:t>
            </w:r>
          </w:p>
          <w:p w14:paraId="74FCA6B7" w14:textId="77777777" w:rsidR="000C1C47" w:rsidRPr="004B5178" w:rsidRDefault="000C1C47" w:rsidP="000C1C47">
            <w:pPr>
              <w:spacing w:before="60" w:after="140"/>
              <w:textboxTightWrap w:val="lastLineOnly"/>
            </w:pPr>
          </w:p>
          <w:p w14:paraId="1B94A9D4" w14:textId="77777777" w:rsidR="000C1C47" w:rsidRPr="004B5178" w:rsidRDefault="000C1C47" w:rsidP="000C1C47">
            <w:r w:rsidRPr="004B5178">
              <w:t>Consideration should also be given as to whether crude rates should be published alongside denominator values</w:t>
            </w:r>
          </w:p>
          <w:p w14:paraId="3143DA7F" w14:textId="77777777" w:rsidR="000C1C47" w:rsidRPr="004B5178" w:rsidRDefault="000C1C47" w:rsidP="000C1C47"/>
        </w:tc>
      </w:tr>
      <w:tr w:rsidR="004B5178" w:rsidRPr="004B5178" w14:paraId="1CCB17D9" w14:textId="77777777" w:rsidTr="004B5178">
        <w:tc>
          <w:tcPr>
            <w:tcW w:w="1844" w:type="dxa"/>
          </w:tcPr>
          <w:p w14:paraId="1AA4EF2E" w14:textId="77777777" w:rsidR="000C1C47" w:rsidRPr="004B5178" w:rsidRDefault="000C1C47" w:rsidP="000C1C47">
            <w:r w:rsidRPr="004B5178">
              <w:lastRenderedPageBreak/>
              <w:t xml:space="preserve">Update: </w:t>
            </w:r>
          </w:p>
          <w:p w14:paraId="447876F3" w14:textId="77777777" w:rsidR="000C1C47" w:rsidRPr="004B5178" w:rsidRDefault="000C1C47" w:rsidP="000C1C47">
            <w:r w:rsidRPr="004B5178">
              <w:t>Made: 09/01/14</w:t>
            </w:r>
          </w:p>
        </w:tc>
        <w:tc>
          <w:tcPr>
            <w:tcW w:w="12776" w:type="dxa"/>
          </w:tcPr>
          <w:p w14:paraId="5C782DCE" w14:textId="77777777" w:rsidR="000C1C47" w:rsidRPr="004B5178" w:rsidRDefault="000C1C47" w:rsidP="000C1C47">
            <w:pPr>
              <w:spacing w:before="60"/>
              <w:textboxTightWrap w:val="lastLineOnly"/>
            </w:pPr>
            <w:r w:rsidRPr="004B5178">
              <w:t>The first recommendation was to look whether direct standardisation can be made to work as this was felt to be preferable to indirect standardisation.</w:t>
            </w:r>
          </w:p>
          <w:p w14:paraId="09821666" w14:textId="77777777" w:rsidR="000C1C47" w:rsidRPr="004B5178" w:rsidRDefault="000C1C47" w:rsidP="000C1C47">
            <w:pPr>
              <w:spacing w:before="60"/>
              <w:textboxTightWrap w:val="lastLineOnly"/>
            </w:pPr>
          </w:p>
          <w:p w14:paraId="5EA2035F" w14:textId="77777777" w:rsidR="000C1C47" w:rsidRPr="004B5178" w:rsidRDefault="000C1C47" w:rsidP="000C1C47">
            <w:pPr>
              <w:spacing w:before="60"/>
              <w:textboxTightWrap w:val="lastLineOnly"/>
              <w:rPr>
                <w:b/>
              </w:rPr>
            </w:pPr>
            <w:r w:rsidRPr="004B5178">
              <w:rPr>
                <w:b/>
              </w:rPr>
              <w:t>NHS Outcomes Framework indicators (NHS OF 2, 2.1 and 2.4) (CCGOIS 2.1, 2.2, 2.15)</w:t>
            </w:r>
          </w:p>
          <w:p w14:paraId="086835D2" w14:textId="77777777" w:rsidR="000C1C47" w:rsidRPr="004B5178" w:rsidRDefault="000C1C47" w:rsidP="000C1C47">
            <w:pPr>
              <w:spacing w:before="60"/>
              <w:textboxTightWrap w:val="lastLineOnly"/>
              <w:rPr>
                <w:i/>
              </w:rPr>
            </w:pPr>
            <w:r w:rsidRPr="004B5178">
              <w:rPr>
                <w:i/>
              </w:rPr>
              <w:t>CCG OIS 2.16 Health related quality of life for people with a long term mental health condition (issues around this indicator are discussed separately – see below)</w:t>
            </w:r>
          </w:p>
          <w:p w14:paraId="20E578C1" w14:textId="77777777" w:rsidR="000C1C47" w:rsidRPr="004B5178" w:rsidRDefault="000C1C47" w:rsidP="000C1C47">
            <w:pPr>
              <w:spacing w:before="60"/>
              <w:textboxTightWrap w:val="lastLineOnly"/>
              <w:rPr>
                <w:b/>
              </w:rPr>
            </w:pPr>
          </w:p>
          <w:p w14:paraId="1E56582F" w14:textId="77777777" w:rsidR="000C1C47" w:rsidRPr="004B5178" w:rsidRDefault="000C1C47" w:rsidP="000C1C47">
            <w:pPr>
              <w:spacing w:before="60"/>
              <w:textboxTightWrap w:val="lastLineOnly"/>
            </w:pPr>
            <w:r w:rsidRPr="004B5178">
              <w:t>Direct standardisation has been carried out for NHS OF indicators 2 and 2.4 for 2011/12 GPPS data to assess whether this approach is feasible.</w:t>
            </w:r>
          </w:p>
          <w:p w14:paraId="7181D545" w14:textId="77777777" w:rsidR="000C1C47" w:rsidRPr="004B5178" w:rsidRDefault="000C1C47" w:rsidP="000C1C47">
            <w:pPr>
              <w:textboxTightWrap w:val="lastLineOnly"/>
            </w:pPr>
            <w:r w:rsidRPr="004B5178">
              <w:t>It needs to be highlighted that the principles of NHS OF indicator 2 also apply to NHS OF indicator 2.1 as the population in question (people who identify themselves as having a long-term condition) are the same for both indicators.</w:t>
            </w:r>
          </w:p>
          <w:p w14:paraId="1CDF9BE0" w14:textId="77777777" w:rsidR="000C1C47" w:rsidRPr="004B5178" w:rsidRDefault="000C1C47" w:rsidP="000C1C47">
            <w:pPr>
              <w:spacing w:before="60"/>
              <w:textboxTightWrap w:val="lastLineOnly"/>
            </w:pPr>
          </w:p>
          <w:p w14:paraId="496B91C1" w14:textId="77777777" w:rsidR="000C1C47" w:rsidRPr="004B5178" w:rsidRDefault="000C1C47" w:rsidP="000C1C47">
            <w:pPr>
              <w:spacing w:before="60"/>
              <w:textboxTightWrap w:val="lastLineOnly"/>
            </w:pPr>
            <w:r w:rsidRPr="004B5178">
              <w:t>For NHS OF indicators  2 and 2.4 DSR values have been calculated at national level and broken down by age, gender and particularly ethnicity and local authority where small cell counts looked to be an issue.</w:t>
            </w:r>
          </w:p>
          <w:p w14:paraId="3EC3677D" w14:textId="77777777" w:rsidR="000C1C47" w:rsidRPr="004B5178" w:rsidRDefault="000C1C47" w:rsidP="000C1C47">
            <w:pPr>
              <w:spacing w:before="60"/>
              <w:textboxTightWrap w:val="lastLineOnly"/>
            </w:pPr>
          </w:p>
          <w:p w14:paraId="69660019" w14:textId="77777777" w:rsidR="000C1C47" w:rsidRPr="004B5178" w:rsidRDefault="000C1C47" w:rsidP="000C1C47">
            <w:pPr>
              <w:textboxTightWrap w:val="lastLineOnly"/>
            </w:pPr>
            <w:r w:rsidRPr="004B5178">
              <w:t xml:space="preserve">For NHS OF indicator 2 only the LA district breakdown had empty cells when looking at the age, gender and LA combinations needed to be able to calculate the DSR values. However, there were only 6 empty cells for 4 selected LAs (City of London, Isles of Scilly, Rother and South Bucks). Please see spread sheet NHSOF_2_Data_Lower_Tier_LA in the accompanying Excel file </w:t>
            </w:r>
            <w:r w:rsidRPr="004B5178">
              <w:rPr>
                <w:b/>
              </w:rPr>
              <w:t>NHSOF_2_2.4_DSRCalc.xls</w:t>
            </w:r>
            <w:r w:rsidRPr="004B5178">
              <w:t xml:space="preserve"> with the sample data where empty cells were highlighted in orange. DSR values were still calculated for those LAs.</w:t>
            </w:r>
          </w:p>
          <w:p w14:paraId="091EA92F" w14:textId="77777777" w:rsidR="000C1C47" w:rsidRPr="004B5178" w:rsidRDefault="000C1C47" w:rsidP="000C1C47">
            <w:pPr>
              <w:textboxTightWrap w:val="lastLineOnly"/>
            </w:pPr>
            <w:r w:rsidRPr="004B5178">
              <w:t>When calculating values for the upper tier LA breakdown empty cells reduce to four across 2 authorities (City of London and Isles of Scilly). See spread sheet NHSOF_2.4_Data_Upper_Tier_LA.</w:t>
            </w:r>
          </w:p>
          <w:p w14:paraId="784D2B57" w14:textId="77777777" w:rsidR="000C1C47" w:rsidRPr="004B5178" w:rsidRDefault="000C1C47" w:rsidP="000C1C47">
            <w:pPr>
              <w:spacing w:before="60"/>
              <w:textboxTightWrap w:val="lastLineOnly"/>
            </w:pPr>
          </w:p>
          <w:p w14:paraId="43849C72" w14:textId="19B61B93" w:rsidR="000C1C47" w:rsidRPr="004B5178" w:rsidRDefault="000C1C47" w:rsidP="000C1C47">
            <w:pPr>
              <w:spacing w:before="60"/>
              <w:textboxTightWrap w:val="lastLineOnly"/>
            </w:pPr>
            <w:r w:rsidRPr="004B5178">
              <w:t xml:space="preserve">For NHS OF indicator 2.4 two breakdowns had empty cells when looking at the individual combinations. The breakdowns in question were ethnicity and LA. </w:t>
            </w:r>
            <w:r w:rsidR="00C36CDF" w:rsidRPr="004B5178">
              <w:t>Similarly,</w:t>
            </w:r>
            <w:r w:rsidRPr="004B5178">
              <w:t xml:space="preserve"> to the scenario with LAs for NHS OF indicator 2 there were only 7 empty cells for the </w:t>
            </w:r>
            <w:r w:rsidRPr="004B5178">
              <w:lastRenderedPageBreak/>
              <w:t xml:space="preserve">ethnicity breakdown for NHS OF indicator 2.4 (see orange highlighted cells in spread sheet NHSOF_2.4_Data_Ethnicity in the attached file). The LA breakdown for NHS OF indicator 2.4 produced 112 empty cells across 83 LAs (see cells highlighted in orange in spread sheet NHSOF_2.4_Data_LA. </w:t>
            </w:r>
          </w:p>
          <w:p w14:paraId="5172945C" w14:textId="77777777" w:rsidR="000C1C47" w:rsidRPr="004B5178" w:rsidRDefault="000C1C47" w:rsidP="000C1C47">
            <w:pPr>
              <w:spacing w:before="60"/>
              <w:textboxTightWrap w:val="lastLineOnly"/>
            </w:pPr>
            <w:r w:rsidRPr="004B5178">
              <w:t>When looking at the upper tier LA breakdown for indicator 2.4 empty cells reduce to 28 across 15 authorities.</w:t>
            </w:r>
          </w:p>
          <w:p w14:paraId="33B26A2F" w14:textId="77777777" w:rsidR="000C1C47" w:rsidRPr="004B5178" w:rsidRDefault="000C1C47" w:rsidP="000C1C47">
            <w:pPr>
              <w:spacing w:before="60"/>
              <w:textboxTightWrap w:val="lastLineOnly"/>
            </w:pPr>
          </w:p>
          <w:p w14:paraId="5EA061F7" w14:textId="77777777" w:rsidR="000C1C47" w:rsidRPr="004B5178" w:rsidRDefault="000C1C47" w:rsidP="000C1C47">
            <w:pPr>
              <w:spacing w:before="60"/>
              <w:textboxTightWrap w:val="lastLineOnly"/>
            </w:pPr>
            <w:r w:rsidRPr="004B5178">
              <w:t>Based on the findings the proposal for the domain 2 NHS Outcomes Framework indicators is as follows:</w:t>
            </w:r>
          </w:p>
          <w:p w14:paraId="49DB3937" w14:textId="77777777" w:rsidR="000C1C47" w:rsidRPr="004B5178" w:rsidRDefault="000C1C47" w:rsidP="000967BB">
            <w:pPr>
              <w:numPr>
                <w:ilvl w:val="0"/>
                <w:numId w:val="8"/>
              </w:numPr>
              <w:spacing w:before="60" w:after="140"/>
              <w:contextualSpacing/>
              <w:textboxTightWrap w:val="lastLineOnly"/>
            </w:pPr>
            <w:r w:rsidRPr="004B5178">
              <w:t>Use direct standardisation as calculation method with the original age groups</w:t>
            </w:r>
          </w:p>
          <w:p w14:paraId="7A2ECFD0" w14:textId="77777777" w:rsidR="000C1C47" w:rsidRPr="004B5178" w:rsidRDefault="000C1C47" w:rsidP="000967BB">
            <w:pPr>
              <w:numPr>
                <w:ilvl w:val="0"/>
                <w:numId w:val="8"/>
              </w:numPr>
              <w:spacing w:before="60" w:after="140"/>
              <w:contextualSpacing/>
              <w:textboxTightWrap w:val="lastLineOnly"/>
            </w:pPr>
            <w:r w:rsidRPr="004B5178">
              <w:t>Where there are empty cells (at least 1) for any of the categories within a breakdown suppress the calculated indicator values for the category in question</w:t>
            </w:r>
          </w:p>
          <w:p w14:paraId="70E760C9" w14:textId="77777777" w:rsidR="000C1C47" w:rsidRPr="004B5178" w:rsidRDefault="000C1C47" w:rsidP="000967BB">
            <w:pPr>
              <w:numPr>
                <w:ilvl w:val="0"/>
                <w:numId w:val="8"/>
              </w:numPr>
              <w:spacing w:before="60" w:after="140"/>
              <w:contextualSpacing/>
              <w:textboxTightWrap w:val="lastLineOnly"/>
            </w:pPr>
            <w:r w:rsidRPr="004B5178">
              <w:t>Further, where the numerator for a breakdown category is less than 25 suppress the calculated indicator values, due to the fact small numbers would make the estimate unreliable. This is in line with what currently happens within the PHOF.</w:t>
            </w:r>
          </w:p>
          <w:p w14:paraId="7778F388" w14:textId="77777777" w:rsidR="000C1C47" w:rsidRPr="004B5178" w:rsidRDefault="000C1C47" w:rsidP="000967BB">
            <w:pPr>
              <w:numPr>
                <w:ilvl w:val="0"/>
                <w:numId w:val="8"/>
              </w:numPr>
              <w:spacing w:before="60" w:after="140"/>
              <w:contextualSpacing/>
              <w:textboxTightWrap w:val="lastLineOnly"/>
            </w:pPr>
            <w:r w:rsidRPr="004B5178">
              <w:t>In addition to the LA district breakdowns provide upper tier LA breakdowns. This would provide valuable additional information for local decision makers and would also  provide values for LAs where values are suppressed for the LA district breakdown</w:t>
            </w:r>
          </w:p>
          <w:p w14:paraId="762393A0" w14:textId="77777777" w:rsidR="000C1C47" w:rsidRPr="004B5178" w:rsidRDefault="000C1C47" w:rsidP="000967BB">
            <w:pPr>
              <w:numPr>
                <w:ilvl w:val="0"/>
                <w:numId w:val="8"/>
              </w:numPr>
              <w:spacing w:before="60" w:after="140"/>
              <w:contextualSpacing/>
              <w:textboxTightWrap w:val="lastLineOnly"/>
            </w:pPr>
            <w:r w:rsidRPr="004B5178">
              <w:t>Once 3-years’ worth of GPPS data are available it is proposed to additionally calculate an indicator value based on a rolling 3-year dataset</w:t>
            </w:r>
          </w:p>
          <w:p w14:paraId="4DE35EA1" w14:textId="77777777" w:rsidR="000C1C47" w:rsidRPr="004B5178" w:rsidRDefault="000C1C47" w:rsidP="000967BB">
            <w:pPr>
              <w:numPr>
                <w:ilvl w:val="0"/>
                <w:numId w:val="8"/>
              </w:numPr>
              <w:spacing w:before="60" w:after="140"/>
              <w:contextualSpacing/>
              <w:textboxTightWrap w:val="lastLineOnly"/>
            </w:pPr>
            <w:r w:rsidRPr="004B5178">
              <w:t>Publish numerator and denominator values in addition to the indicator values. It is proposed to also provide these for all indicator values that are suppressed unless the numerator values are below 5, which is in line with standard suppression rules.</w:t>
            </w:r>
          </w:p>
          <w:p w14:paraId="26B229EC" w14:textId="77777777" w:rsidR="000C1C47" w:rsidRPr="004B5178" w:rsidRDefault="000C1C47" w:rsidP="000C1C47">
            <w:pPr>
              <w:spacing w:before="60"/>
              <w:textboxTightWrap w:val="lastLineOnly"/>
            </w:pPr>
          </w:p>
          <w:p w14:paraId="1BFEF7A3" w14:textId="77777777" w:rsidR="000C1C47" w:rsidRPr="004B5178" w:rsidRDefault="000C1C47" w:rsidP="000C1C47">
            <w:pPr>
              <w:spacing w:before="60"/>
              <w:textboxTightWrap w:val="lastLineOnly"/>
            </w:pPr>
            <w:r w:rsidRPr="004B5178">
              <w:t>The proposal to suppress any breakdown category where there is at least 1 empty cell is conservative in its approach, however it is important that we are able to take steps to revise the data that has already been published to ensure that we are confident about its validity. A more comprehensive review of approaches to standardisation and how to apply them would be helpful to come to an expert view which could then be applied to these indicators and others in the NHSOF and CCG OIS, which then may result in further revisions.</w:t>
            </w:r>
          </w:p>
          <w:p w14:paraId="7C4D9731" w14:textId="70322ABE" w:rsidR="000C1C47" w:rsidRDefault="000C1C47" w:rsidP="000C1C47">
            <w:pPr>
              <w:spacing w:before="60"/>
              <w:textboxTightWrap w:val="lastLineOnly"/>
            </w:pPr>
            <w:r w:rsidRPr="004B5178">
              <w:t>In line with the current proposal the table below summarises the number of suppressed breakdown categories by indicator for 2011/12 data.</w:t>
            </w:r>
          </w:p>
          <w:p w14:paraId="4F9EA772" w14:textId="148A93F6" w:rsidR="00FE4EB4" w:rsidRDefault="00FE4EB4" w:rsidP="000C1C47">
            <w:pPr>
              <w:spacing w:before="60"/>
              <w:textboxTightWrap w:val="lastLineOnly"/>
            </w:pPr>
          </w:p>
          <w:p w14:paraId="235B0C27" w14:textId="76EDE817" w:rsidR="00FE4EB4" w:rsidRDefault="00FE4EB4" w:rsidP="000C1C47">
            <w:pPr>
              <w:spacing w:before="60"/>
              <w:textboxTightWrap w:val="lastLineOnly"/>
            </w:pPr>
          </w:p>
          <w:p w14:paraId="1FEDB5D7" w14:textId="7D65B9C4" w:rsidR="00FE4EB4" w:rsidRDefault="00FE4EB4" w:rsidP="000C1C47">
            <w:pPr>
              <w:spacing w:before="60"/>
              <w:textboxTightWrap w:val="lastLineOnly"/>
            </w:pPr>
          </w:p>
          <w:p w14:paraId="42948B0A" w14:textId="77777777" w:rsidR="00FE4EB4" w:rsidRPr="004B5178" w:rsidRDefault="00FE4EB4" w:rsidP="000C1C47">
            <w:pPr>
              <w:spacing w:before="60"/>
              <w:textboxTightWrap w:val="lastLineOnly"/>
            </w:pPr>
          </w:p>
          <w:p w14:paraId="47AE2E82" w14:textId="17E8BCB9" w:rsidR="000C1C47" w:rsidRDefault="000C1C47" w:rsidP="000C1C47">
            <w:pPr>
              <w:spacing w:before="60"/>
              <w:textboxTightWrap w:val="lastLineOnly"/>
            </w:pPr>
          </w:p>
          <w:p w14:paraId="569CB8E8" w14:textId="556E82DB" w:rsidR="00FE4EB4" w:rsidRDefault="00FE4EB4" w:rsidP="000C1C47">
            <w:pPr>
              <w:spacing w:before="60"/>
              <w:textboxTightWrap w:val="lastLineOnly"/>
            </w:pPr>
          </w:p>
          <w:p w14:paraId="0B9EFEF4" w14:textId="0E91C35A" w:rsidR="00FE4EB4" w:rsidRDefault="00FE4EB4" w:rsidP="000C1C47">
            <w:pPr>
              <w:spacing w:before="60"/>
              <w:textboxTightWrap w:val="lastLineOnly"/>
              <w:rPr>
                <w:b/>
              </w:rPr>
            </w:pPr>
            <w:r>
              <w:rPr>
                <w:b/>
              </w:rPr>
              <w:t xml:space="preserve">                                             N</w:t>
            </w:r>
            <w:r w:rsidRPr="004B5178">
              <w:rPr>
                <w:b/>
              </w:rPr>
              <w:t>umber suppressed</w:t>
            </w:r>
            <w:r>
              <w:rPr>
                <w:b/>
              </w:rPr>
              <w:t xml:space="preserve">               </w:t>
            </w:r>
            <w:r w:rsidRPr="004B5178">
              <w:rPr>
                <w:b/>
              </w:rPr>
              <w:t>Total number</w:t>
            </w:r>
          </w:p>
          <w:p w14:paraId="57A1D36B" w14:textId="77777777" w:rsidR="00FE4EB4" w:rsidRDefault="00FE4EB4" w:rsidP="000C1C47">
            <w:pPr>
              <w:spacing w:before="60"/>
              <w:textboxTightWrap w:val="lastLineOnly"/>
              <w:rPr>
                <w:b/>
              </w:rPr>
            </w:pPr>
          </w:p>
          <w:p w14:paraId="5072D526" w14:textId="7AC0F5C7" w:rsidR="00FE4EB4" w:rsidRDefault="00FE4EB4" w:rsidP="000C1C47">
            <w:pPr>
              <w:spacing w:before="60"/>
              <w:textboxTightWrap w:val="lastLineOnly"/>
              <w:rPr>
                <w:b/>
              </w:rPr>
            </w:pPr>
            <w:r w:rsidRPr="004B5178">
              <w:rPr>
                <w:b/>
              </w:rPr>
              <w:t>Indicators 2 and 2.1</w:t>
            </w:r>
          </w:p>
          <w:p w14:paraId="0D616DF4" w14:textId="6BB28573" w:rsidR="00FE4EB4" w:rsidRDefault="00FE4EB4" w:rsidP="000C1C47">
            <w:pPr>
              <w:spacing w:before="60"/>
              <w:textboxTightWrap w:val="lastLineOnly"/>
            </w:pPr>
            <w:r w:rsidRPr="004B5178">
              <w:t>Ethnicity</w:t>
            </w:r>
            <w:r w:rsidR="00CD2320">
              <w:t xml:space="preserve">                                              </w:t>
            </w:r>
            <w:r w:rsidR="00CD2320" w:rsidRPr="004B5178">
              <w:t>0</w:t>
            </w:r>
            <w:r w:rsidR="00CD2320">
              <w:t xml:space="preserve">                                          </w:t>
            </w:r>
            <w:r w:rsidR="00CD2320" w:rsidRPr="004B5178">
              <w:t>18</w:t>
            </w:r>
          </w:p>
          <w:p w14:paraId="1B006F77" w14:textId="456FB50F" w:rsidR="00FE4EB4" w:rsidRDefault="00CD2320" w:rsidP="000C1C47">
            <w:pPr>
              <w:spacing w:before="60"/>
              <w:textboxTightWrap w:val="lastLineOnly"/>
            </w:pPr>
            <w:r w:rsidRPr="00CD2320">
              <w:t>LA districts</w:t>
            </w:r>
            <w:r w:rsidRPr="00CD2320">
              <w:tab/>
            </w:r>
            <w:r>
              <w:t xml:space="preserve">                                    </w:t>
            </w:r>
            <w:r w:rsidRPr="00CD2320">
              <w:t>4</w:t>
            </w:r>
            <w:r w:rsidRPr="00CD2320">
              <w:tab/>
            </w:r>
            <w:r>
              <w:t xml:space="preserve">                                 </w:t>
            </w:r>
            <w:r w:rsidRPr="00CD2320">
              <w:t>326</w:t>
            </w:r>
          </w:p>
          <w:p w14:paraId="032F65B4" w14:textId="0CF05159" w:rsidR="00CD2320" w:rsidRDefault="00CD2320" w:rsidP="000C1C47">
            <w:pPr>
              <w:spacing w:before="60"/>
              <w:textboxTightWrap w:val="lastLineOnly"/>
            </w:pPr>
            <w:r w:rsidRPr="00CD2320">
              <w:t>LA upper tier</w:t>
            </w:r>
            <w:r>
              <w:t xml:space="preserve">                                       </w:t>
            </w:r>
            <w:r w:rsidRPr="00CD2320">
              <w:t>2</w:t>
            </w:r>
            <w:r w:rsidRPr="00CD2320">
              <w:tab/>
            </w:r>
            <w:r>
              <w:t xml:space="preserve">                                 </w:t>
            </w:r>
            <w:r w:rsidRPr="00CD2320">
              <w:t>152</w:t>
            </w:r>
          </w:p>
          <w:p w14:paraId="3420883F" w14:textId="11084431" w:rsidR="00CD2320" w:rsidRDefault="00CD2320" w:rsidP="000C1C47">
            <w:pPr>
              <w:spacing w:before="60"/>
              <w:textboxTightWrap w:val="lastLineOnly"/>
            </w:pPr>
            <w:r w:rsidRPr="004B5178">
              <w:rPr>
                <w:b/>
              </w:rPr>
              <w:t>Indicator 2.4</w:t>
            </w:r>
          </w:p>
          <w:p w14:paraId="2B305B3E" w14:textId="1B9BCA6F" w:rsidR="00CD2320" w:rsidRDefault="00CD2320" w:rsidP="000C1C47">
            <w:pPr>
              <w:spacing w:before="60"/>
              <w:textboxTightWrap w:val="lastLineOnly"/>
            </w:pPr>
            <w:r w:rsidRPr="00CD2320">
              <w:t>Ethnicity</w:t>
            </w:r>
            <w:r w:rsidRPr="00CD2320">
              <w:tab/>
            </w:r>
            <w:r>
              <w:t xml:space="preserve">                                    </w:t>
            </w:r>
            <w:r w:rsidRPr="00CD2320">
              <w:t>3</w:t>
            </w:r>
            <w:r w:rsidRPr="00CD2320">
              <w:tab/>
            </w:r>
            <w:r>
              <w:t xml:space="preserve">                                  </w:t>
            </w:r>
            <w:r w:rsidRPr="00CD2320">
              <w:t>18</w:t>
            </w:r>
          </w:p>
          <w:p w14:paraId="3C93093C" w14:textId="3C471E90" w:rsidR="00CD2320" w:rsidRDefault="00CD2320" w:rsidP="000C1C47">
            <w:pPr>
              <w:spacing w:before="60"/>
              <w:textboxTightWrap w:val="lastLineOnly"/>
            </w:pPr>
            <w:r w:rsidRPr="00CD2320">
              <w:t>LA districts</w:t>
            </w:r>
            <w:r w:rsidRPr="00CD2320">
              <w:tab/>
            </w:r>
            <w:r>
              <w:t xml:space="preserve">                                    </w:t>
            </w:r>
            <w:r w:rsidRPr="00CD2320">
              <w:t>83</w:t>
            </w:r>
            <w:r w:rsidRPr="00CD2320">
              <w:tab/>
            </w:r>
            <w:r>
              <w:t xml:space="preserve">                                  </w:t>
            </w:r>
            <w:r w:rsidRPr="00CD2320">
              <w:t>326</w:t>
            </w:r>
          </w:p>
          <w:p w14:paraId="01F90334" w14:textId="364755A7" w:rsidR="00CD2320" w:rsidRDefault="00CD2320" w:rsidP="000C1C47">
            <w:pPr>
              <w:spacing w:before="60"/>
              <w:textboxTightWrap w:val="lastLineOnly"/>
            </w:pPr>
            <w:r w:rsidRPr="00CD2320">
              <w:t>LA upper tier</w:t>
            </w:r>
            <w:r w:rsidRPr="00CD2320">
              <w:tab/>
            </w:r>
            <w:r>
              <w:t xml:space="preserve">                                    </w:t>
            </w:r>
            <w:r w:rsidRPr="00CD2320">
              <w:t>15</w:t>
            </w:r>
            <w:r w:rsidRPr="00CD2320">
              <w:tab/>
            </w:r>
            <w:r>
              <w:t xml:space="preserve">                                  </w:t>
            </w:r>
            <w:r w:rsidRPr="00CD2320">
              <w:t>152</w:t>
            </w:r>
          </w:p>
          <w:p w14:paraId="7A545533" w14:textId="10556D75" w:rsidR="00CD2320" w:rsidRDefault="00CD2320" w:rsidP="000C1C47">
            <w:pPr>
              <w:spacing w:before="60"/>
              <w:textboxTightWrap w:val="lastLineOnly"/>
            </w:pPr>
          </w:p>
          <w:p w14:paraId="3854D295" w14:textId="77777777" w:rsidR="00CD2320" w:rsidRDefault="00CD2320" w:rsidP="000C1C47">
            <w:pPr>
              <w:spacing w:before="60"/>
              <w:textboxTightWrap w:val="lastLineOnly"/>
            </w:pPr>
          </w:p>
          <w:p w14:paraId="392ED89B" w14:textId="77777777" w:rsidR="000C1C47" w:rsidRPr="004B5178" w:rsidRDefault="000C1C47" w:rsidP="000C1C47">
            <w:pPr>
              <w:spacing w:before="60"/>
              <w:textboxTightWrap w:val="lastLineOnly"/>
              <w:rPr>
                <w:b/>
              </w:rPr>
            </w:pPr>
            <w:r w:rsidRPr="004B5178">
              <w:rPr>
                <w:b/>
              </w:rPr>
              <w:t>CCG OIS equivalents (CCGOIS 2.1, 2.2, 2.15)</w:t>
            </w:r>
          </w:p>
          <w:p w14:paraId="553896F0" w14:textId="77777777" w:rsidR="000C1C47" w:rsidRPr="004B5178" w:rsidRDefault="000C1C47" w:rsidP="000C1C47">
            <w:pPr>
              <w:spacing w:before="60"/>
              <w:textboxTightWrap w:val="lastLineOnly"/>
            </w:pPr>
            <w:r w:rsidRPr="004B5178">
              <w:t>For CCGOIS 2.1, 2.2, 2.15 which are the equivalents we propose to use exactly the same methods as outlined above. For some cases, due to zero cells, CCG values will need to be supressed, it is less of a problem than at LA level as there are less of them.</w:t>
            </w:r>
          </w:p>
          <w:p w14:paraId="77034CDA" w14:textId="77777777" w:rsidR="000C1C47" w:rsidRPr="004B5178" w:rsidRDefault="000C1C47" w:rsidP="000C1C47">
            <w:pPr>
              <w:spacing w:before="60"/>
              <w:textboxTightWrap w:val="lastLineOnly"/>
            </w:pPr>
          </w:p>
          <w:p w14:paraId="54A834F7" w14:textId="77777777" w:rsidR="000C1C47" w:rsidRPr="004B5178" w:rsidRDefault="000C1C47" w:rsidP="000C1C47">
            <w:pPr>
              <w:spacing w:before="60"/>
              <w:textboxTightWrap w:val="lastLineOnly"/>
            </w:pPr>
            <w:r w:rsidRPr="004B5178">
              <w:t>However, there is a fourth GPPS indicator within the CCGOIS which requires a slight change in methodology.</w:t>
            </w:r>
          </w:p>
          <w:p w14:paraId="561E08BA" w14:textId="77777777" w:rsidR="000C1C47" w:rsidRPr="004B5178" w:rsidRDefault="000C1C47" w:rsidP="000C1C47">
            <w:pPr>
              <w:spacing w:before="60"/>
              <w:textboxTightWrap w:val="lastLineOnly"/>
              <w:rPr>
                <w:b/>
              </w:rPr>
            </w:pPr>
          </w:p>
          <w:p w14:paraId="5941A89A" w14:textId="77777777" w:rsidR="000C1C47" w:rsidRPr="004B5178" w:rsidRDefault="000C1C47" w:rsidP="000C1C47">
            <w:pPr>
              <w:spacing w:before="60"/>
              <w:textboxTightWrap w:val="lastLineOnly"/>
              <w:rPr>
                <w:b/>
              </w:rPr>
            </w:pPr>
            <w:r w:rsidRPr="004B5178">
              <w:rPr>
                <w:b/>
              </w:rPr>
              <w:t>CCGOIS Health related quality of life for patients with a long term mental health condition (2.16)</w:t>
            </w:r>
          </w:p>
          <w:p w14:paraId="46EDFE67" w14:textId="2BFEAC91" w:rsidR="000C1C47" w:rsidRPr="004B5178" w:rsidRDefault="000C1C47" w:rsidP="000C1C47">
            <w:pPr>
              <w:spacing w:before="60"/>
              <w:textboxTightWrap w:val="lastLineOnly"/>
            </w:pPr>
            <w:r w:rsidRPr="004B5178">
              <w:t>In comparison to the other GPPS indicators, this one has much smaller numbers. The attached file (</w:t>
            </w:r>
            <w:r w:rsidRPr="004B5178">
              <w:rPr>
                <w:b/>
              </w:rPr>
              <w:t>CCGOIS_MH_Zero_Cell_Example.xls</w:t>
            </w:r>
            <w:r w:rsidRPr="004B5178">
              <w:t xml:space="preserve">) gives a summary of counts for the indicator at CCG level, for a single year 2011/12 the smallest weighted sum of observed events was 43. </w:t>
            </w:r>
            <w:r w:rsidR="00C36CDF" w:rsidRPr="004B5178">
              <w:t>However,</w:t>
            </w:r>
            <w:r w:rsidRPr="004B5178">
              <w:t xml:space="preserve"> using the standard GPPS age bands led to large numbers of zero cells (336 across 162 of the 211 CCGs). Widening the age bands, as defined in the file, sees this change to 34 across 30 CCGs. This would lead to DSRs not being calculated for 30 CCGs, a figure which is more acceptable than 162. </w:t>
            </w:r>
            <w:r w:rsidR="00C36CDF" w:rsidRPr="004B5178">
              <w:t>Therefore,</w:t>
            </w:r>
            <w:r w:rsidRPr="004B5178">
              <w:t xml:space="preserve"> we propose using the combined age bands for this indicator.</w:t>
            </w:r>
          </w:p>
          <w:p w14:paraId="334582D2" w14:textId="77777777" w:rsidR="000C1C47" w:rsidRPr="004B5178" w:rsidRDefault="000C1C47" w:rsidP="000C1C47">
            <w:pPr>
              <w:spacing w:before="60"/>
              <w:textboxTightWrap w:val="lastLineOnly"/>
            </w:pPr>
          </w:p>
          <w:p w14:paraId="0CB87E1F" w14:textId="77777777" w:rsidR="000C1C47" w:rsidRPr="004B5178" w:rsidRDefault="000C1C47" w:rsidP="000C1C47"/>
        </w:tc>
      </w:tr>
    </w:tbl>
    <w:p w14:paraId="365E963B" w14:textId="41163D1B" w:rsidR="000C1C47" w:rsidRPr="004B5178" w:rsidRDefault="000C1C47" w:rsidP="000C1C47">
      <w:pPr>
        <w:spacing w:before="60"/>
        <w:textboxTightWrap w:val="lastLineOnly"/>
      </w:pPr>
    </w:p>
    <w:p w14:paraId="0D330CB4" w14:textId="7A7B0B56" w:rsidR="000967BB" w:rsidRPr="004B5178" w:rsidRDefault="000967BB" w:rsidP="000C1C47">
      <w:pPr>
        <w:spacing w:before="60"/>
        <w:textboxTightWrap w:val="lastLineOnly"/>
      </w:pPr>
    </w:p>
    <w:p w14:paraId="65B62A53" w14:textId="77777777" w:rsidR="000C1C47" w:rsidRPr="004B5178" w:rsidRDefault="000C1C47" w:rsidP="000C1C47">
      <w:pPr>
        <w:spacing w:before="60"/>
        <w:textboxTightWrap w:val="lastLineOnly"/>
      </w:pPr>
    </w:p>
    <w:tbl>
      <w:tblPr>
        <w:tblStyle w:val="TableGrid"/>
        <w:tblW w:w="14620" w:type="dxa"/>
        <w:tblLayout w:type="fixed"/>
        <w:tblLook w:val="01E0" w:firstRow="1" w:lastRow="1" w:firstColumn="1" w:lastColumn="1" w:noHBand="0" w:noVBand="0"/>
      </w:tblPr>
      <w:tblGrid>
        <w:gridCol w:w="1844"/>
        <w:gridCol w:w="12776"/>
      </w:tblGrid>
      <w:tr w:rsidR="00B863BC" w:rsidRPr="004B5178" w14:paraId="3D0AFBE3" w14:textId="77777777" w:rsidTr="00B863BC">
        <w:tc>
          <w:tcPr>
            <w:tcW w:w="1844" w:type="dxa"/>
          </w:tcPr>
          <w:p w14:paraId="1882AAA4" w14:textId="77777777" w:rsidR="000C1C47" w:rsidRPr="004B5178" w:rsidRDefault="000C1C47" w:rsidP="000C1C47">
            <w:pPr>
              <w:spacing w:before="60"/>
            </w:pPr>
            <w:r w:rsidRPr="004B5178">
              <w:t>Ref code</w:t>
            </w:r>
          </w:p>
          <w:p w14:paraId="67D90C0D" w14:textId="77777777" w:rsidR="000C1C47" w:rsidRPr="004B5178" w:rsidRDefault="000C1C47" w:rsidP="000C1C47">
            <w:pPr>
              <w:rPr>
                <w:b/>
              </w:rPr>
            </w:pPr>
            <w:r w:rsidRPr="004B5178">
              <w:rPr>
                <w:b/>
              </w:rPr>
              <w:t>IAP00000-02</w:t>
            </w:r>
          </w:p>
          <w:p w14:paraId="0CB02A97" w14:textId="77777777" w:rsidR="000C1C47" w:rsidRPr="004B5178" w:rsidRDefault="000C1C47" w:rsidP="000C1C47">
            <w:pPr>
              <w:spacing w:before="60"/>
            </w:pPr>
            <w:r w:rsidRPr="004B5178">
              <w:t>Made: 18/10/13</w:t>
            </w:r>
          </w:p>
        </w:tc>
        <w:tc>
          <w:tcPr>
            <w:tcW w:w="12776" w:type="dxa"/>
          </w:tcPr>
          <w:p w14:paraId="5D5E8A7E" w14:textId="77777777" w:rsidR="000C1C47" w:rsidRPr="004B5178" w:rsidRDefault="000C1C47" w:rsidP="000C1C47">
            <w:pPr>
              <w:spacing w:after="140"/>
              <w:textboxTightWrap w:val="lastLineOnly"/>
            </w:pPr>
            <w:r w:rsidRPr="004B5178">
              <w:t>A test is to be put in to address issue of handling zero, or near zero EQ-5D scores.</w:t>
            </w:r>
          </w:p>
          <w:p w14:paraId="0EF3E0FD" w14:textId="77777777" w:rsidR="000C1C47" w:rsidRPr="004B5178" w:rsidRDefault="000C1C47" w:rsidP="000C1C47"/>
        </w:tc>
      </w:tr>
      <w:tr w:rsidR="00B863BC" w:rsidRPr="004B5178" w14:paraId="7A9633D2" w14:textId="77777777" w:rsidTr="00B863BC">
        <w:tc>
          <w:tcPr>
            <w:tcW w:w="1844" w:type="dxa"/>
          </w:tcPr>
          <w:p w14:paraId="696E1339" w14:textId="77777777" w:rsidR="000C1C47" w:rsidRPr="004B5178" w:rsidRDefault="000C1C47" w:rsidP="000C1C47">
            <w:r w:rsidRPr="004B5178">
              <w:t xml:space="preserve">Update: </w:t>
            </w:r>
          </w:p>
          <w:p w14:paraId="3EE450CB" w14:textId="77777777" w:rsidR="000C1C47" w:rsidRPr="004B5178" w:rsidRDefault="000C1C47" w:rsidP="000C1C47">
            <w:r w:rsidRPr="004B5178">
              <w:t>Made: 09/01/14</w:t>
            </w:r>
          </w:p>
        </w:tc>
        <w:tc>
          <w:tcPr>
            <w:tcW w:w="12776" w:type="dxa"/>
          </w:tcPr>
          <w:p w14:paraId="57FC427A" w14:textId="77777777" w:rsidR="000C1C47" w:rsidRPr="004B5178" w:rsidRDefault="000C1C47" w:rsidP="000C1C47">
            <w:pPr>
              <w:spacing w:after="140"/>
              <w:textboxTightWrap w:val="lastLineOnly"/>
            </w:pPr>
            <w:r w:rsidRPr="004B5178">
              <w:t>When looking at the different breakdowns for all domain 2 indicators no zero or near 0 EQ-5D values were found for any of the breakdown categories.</w:t>
            </w:r>
          </w:p>
          <w:p w14:paraId="038F2E25" w14:textId="77777777" w:rsidR="000C1C47" w:rsidRPr="004B5178" w:rsidRDefault="000C1C47" w:rsidP="000C1C47">
            <w:pPr>
              <w:spacing w:after="140"/>
              <w:textboxTightWrap w:val="lastLineOnly"/>
            </w:pPr>
            <w:r w:rsidRPr="004B5178">
              <w:t>A test will be put in to check for the occurrence of 0 or near 0 EQ-5D values in future. If this will be the case suppression will be applied.</w:t>
            </w:r>
          </w:p>
          <w:p w14:paraId="26EA0388" w14:textId="77777777" w:rsidR="000C1C47" w:rsidRPr="004B5178" w:rsidRDefault="000C1C47" w:rsidP="000C1C47"/>
        </w:tc>
      </w:tr>
    </w:tbl>
    <w:p w14:paraId="6F4F0110" w14:textId="77777777" w:rsidR="000C1C47" w:rsidRPr="004B5178" w:rsidRDefault="000C1C47" w:rsidP="000C1C47">
      <w:pPr>
        <w:spacing w:before="60"/>
        <w:textboxTightWrap w:val="lastLineOnly"/>
      </w:pPr>
    </w:p>
    <w:p w14:paraId="44E8B3BB" w14:textId="77777777" w:rsidR="000C1C47" w:rsidRPr="004B5178" w:rsidRDefault="000C1C47" w:rsidP="000C1C47">
      <w:pPr>
        <w:spacing w:after="140"/>
        <w:textboxTightWrap w:val="lastLineOnly"/>
      </w:pPr>
    </w:p>
    <w:p w14:paraId="2E43DC95" w14:textId="77777777" w:rsidR="000C1C47" w:rsidRPr="004B5178" w:rsidRDefault="000C1C47" w:rsidP="000C1C47">
      <w:pPr>
        <w:ind w:left="-284"/>
      </w:pPr>
    </w:p>
    <w:p w14:paraId="7C721D30" w14:textId="77777777" w:rsidR="000C1C47" w:rsidRPr="004B5178" w:rsidRDefault="000C1C47" w:rsidP="000C1C47">
      <w:pPr>
        <w:rPr>
          <w:b/>
        </w:rPr>
      </w:pPr>
    </w:p>
    <w:p w14:paraId="40D6AB34" w14:textId="77777777" w:rsidR="000C1C47" w:rsidRPr="004B5178" w:rsidRDefault="000C1C47" w:rsidP="000C1C47">
      <w:pPr>
        <w:spacing w:after="200" w:line="276" w:lineRule="auto"/>
        <w:rPr>
          <w:b/>
        </w:rPr>
      </w:pPr>
    </w:p>
    <w:p w14:paraId="0672D1F8" w14:textId="77777777" w:rsidR="000C1C47" w:rsidRPr="004B5178" w:rsidRDefault="000C1C47">
      <w:pPr>
        <w:spacing w:after="200" w:line="276" w:lineRule="auto"/>
      </w:pPr>
      <w:r w:rsidRPr="004B5178">
        <w:br w:type="page"/>
      </w:r>
    </w:p>
    <w:p w14:paraId="7DEDD608" w14:textId="77777777" w:rsidR="000C1C47" w:rsidRPr="004B5178" w:rsidRDefault="000C1C47" w:rsidP="000967BB">
      <w:pPr>
        <w:pStyle w:val="ListParagraph"/>
        <w:numPr>
          <w:ilvl w:val="0"/>
          <w:numId w:val="7"/>
        </w:numPr>
        <w:spacing w:after="0" w:line="240" w:lineRule="auto"/>
        <w:rPr>
          <w:rFonts w:ascii="Arial" w:hAnsi="Arial" w:cs="Arial"/>
        </w:rPr>
      </w:pPr>
      <w:r w:rsidRPr="004B5178">
        <w:rPr>
          <w:rFonts w:ascii="Arial" w:hAnsi="Arial" w:cs="Arial"/>
        </w:rPr>
        <w:lastRenderedPageBreak/>
        <w:t xml:space="preserve">Update on MRG Recommendations for NHSOF indicator 3.3 - Proportion of people who recover from major trauma </w:t>
      </w:r>
    </w:p>
    <w:p w14:paraId="2838E0ED" w14:textId="77777777" w:rsidR="000C1C47" w:rsidRPr="004B5178" w:rsidRDefault="000C1C47" w:rsidP="000C1C47"/>
    <w:tbl>
      <w:tblPr>
        <w:tblStyle w:val="TableGrid"/>
        <w:tblW w:w="14478" w:type="dxa"/>
        <w:tblLayout w:type="fixed"/>
        <w:tblLook w:val="01E0" w:firstRow="1" w:lastRow="1" w:firstColumn="1" w:lastColumn="1" w:noHBand="0" w:noVBand="0"/>
      </w:tblPr>
      <w:tblGrid>
        <w:gridCol w:w="14478"/>
      </w:tblGrid>
      <w:tr w:rsidR="00CD2320" w:rsidRPr="004B5178" w14:paraId="4B9E8F3D" w14:textId="77777777" w:rsidTr="009E1F18">
        <w:tc>
          <w:tcPr>
            <w:tcW w:w="14478" w:type="dxa"/>
          </w:tcPr>
          <w:p w14:paraId="59090F58" w14:textId="2E9162BE" w:rsidR="00CD2320" w:rsidRPr="004B5178" w:rsidRDefault="00CD2320" w:rsidP="000C1C47">
            <w:r w:rsidRPr="004B5178">
              <w:t>Introduction</w:t>
            </w:r>
          </w:p>
        </w:tc>
      </w:tr>
      <w:tr w:rsidR="00B863BC" w:rsidRPr="004B5178" w14:paraId="37160F23" w14:textId="77777777" w:rsidTr="00B863BC">
        <w:tc>
          <w:tcPr>
            <w:tcW w:w="14478" w:type="dxa"/>
          </w:tcPr>
          <w:p w14:paraId="1CEA030F" w14:textId="77777777" w:rsidR="000C1C47" w:rsidRPr="004B5178" w:rsidRDefault="000C1C47" w:rsidP="000C1C47">
            <w:r w:rsidRPr="004B5178">
              <w:t xml:space="preserve">Indicator 3.3 was discussed by the group on 18/10/13.  The rationale put forward at the meeting was as below and is provided for context: </w:t>
            </w:r>
          </w:p>
          <w:p w14:paraId="58841F81" w14:textId="77777777" w:rsidR="000C1C47" w:rsidRPr="004B5178" w:rsidRDefault="000C1C47" w:rsidP="000C1C47"/>
          <w:p w14:paraId="5FB97586" w14:textId="77777777" w:rsidR="000C1C47" w:rsidRPr="004B5178" w:rsidRDefault="000C1C47" w:rsidP="000C1C47">
            <w:r w:rsidRPr="004B5178">
              <w:t>“The indicator aims to measure the effectiveness of a patients’ recovery from major trauma. Major trauma means multiple, serious injuries that could result in death or serious disability. These might include serious head injuries, severe gunshot wounds or road traffic accidents.  As trauma is the main cause of death in the first four decades of life and a leading cause of disability it is recognised that, while emergency care has improved, treatment for victims of major injury could be improved and coordinating trauma services is now a priority for the NHS.</w:t>
            </w:r>
          </w:p>
          <w:p w14:paraId="68DE7177" w14:textId="77777777" w:rsidR="000C1C47" w:rsidRPr="004B5178" w:rsidRDefault="000C1C47" w:rsidP="000C1C47">
            <w:r w:rsidRPr="004B5178">
              <w:t>One of the aims of trauma systems is to increase survival and reduce mortality from serious injury. The focus of domain 3 in the NHS Outcomes Framework is on helping people to recover from episodes of ill health or following injury. Although indicator 3.3 focuses on survival the research evidence below focuses on the inverse event – death, rather than survival.</w:t>
            </w:r>
          </w:p>
          <w:p w14:paraId="38B3CFA0" w14:textId="77777777" w:rsidR="000C1C47" w:rsidRPr="004B5178" w:rsidRDefault="000C1C47" w:rsidP="000C1C47"/>
          <w:p w14:paraId="65310E74" w14:textId="77777777" w:rsidR="000C1C47" w:rsidRPr="004B5178" w:rsidRDefault="000C1C47" w:rsidP="000C1C47">
            <w:r w:rsidRPr="004B5178">
              <w:t xml:space="preserve">The Victoria State Trauma System (VSTS) in Australia (on which the NHS England trauma networks are modelled) and international research favour an Adjusted Odds Ratio for simplicity and public comprehension. This is set at 1.0 at baseline and annual changes in comparative mortality are demonstrated against that.  </w:t>
            </w:r>
          </w:p>
          <w:p w14:paraId="26047679" w14:textId="77777777" w:rsidR="000C1C47" w:rsidRPr="004B5178" w:rsidRDefault="000C1C47" w:rsidP="000C1C47"/>
          <w:p w14:paraId="1441BCE0" w14:textId="77777777" w:rsidR="000C1C47" w:rsidRPr="004B5178" w:rsidRDefault="000C1C47" w:rsidP="000C1C47">
            <w:r w:rsidRPr="004B5178">
              <w:t xml:space="preserve">The VSTS uses reduction in odds ratio of death based on age, mechanism of injury and ISS. This demonstrated a significant reduction in deaths between 2001-2 and 2005-6 (adjusted odds ratio 0.62, 95% CI 0.48 – 0.8). </w:t>
            </w:r>
          </w:p>
          <w:p w14:paraId="38F7AAB4" w14:textId="77777777" w:rsidR="000C1C47" w:rsidRPr="004B5178" w:rsidRDefault="000C1C47" w:rsidP="000C1C47"/>
          <w:p w14:paraId="105C8041" w14:textId="77777777" w:rsidR="000C1C47" w:rsidRPr="004B5178" w:rsidRDefault="000C1C47" w:rsidP="000C1C47">
            <w:r w:rsidRPr="004B5178">
              <w:t>Prior work in the UK has adjusted on GCS (Glasgow Coma Score), ISS (injury severity score) and age and shown no improvement over time in the absence of system change. The London Trauma networks, which went live in 2010 two years ahead of the rest of the NHS trauma networks, reported a  reduction in the odds ratio of death with 58 more unexpected survivors in the first year.</w:t>
            </w:r>
          </w:p>
          <w:p w14:paraId="47B0EE51" w14:textId="77777777" w:rsidR="000C1C47" w:rsidRPr="004B5178" w:rsidRDefault="000C1C47" w:rsidP="000C1C47"/>
          <w:p w14:paraId="69B375CF" w14:textId="77777777" w:rsidR="000C1C47" w:rsidRPr="004B5178" w:rsidRDefault="000C1C47" w:rsidP="000C1C47">
            <w:r w:rsidRPr="004B5178">
              <w:t xml:space="preserve">The clinical governance and performance management of all NHS major trauma centres (MTCs) and their funding are dependent on the national clinical audit TARN (Trauma Audit Research Network) to which all MTCs are required to return data. </w:t>
            </w:r>
          </w:p>
          <w:p w14:paraId="24BB84FB" w14:textId="77777777" w:rsidR="000C1C47" w:rsidRPr="004B5178" w:rsidRDefault="000C1C47" w:rsidP="000C1C47">
            <w:r w:rsidRPr="004B5178">
              <w:t>TARN acts as the monitor of key performance indicators that are reported to commissioners and is the method by which the additional MTC income to cover the costs of the enhanced specifications is approved.  This reporting of compliance with these KPIs is the basis of the PbR Best Practice Tariff uplift. This ensures high levels of data completeness. TARN also undertakes separate data completion and data quality checks against SUS.”</w:t>
            </w:r>
          </w:p>
          <w:p w14:paraId="48E9518C" w14:textId="77777777" w:rsidR="000C1C47" w:rsidRPr="004B5178" w:rsidRDefault="000C1C47" w:rsidP="000C1C47"/>
          <w:p w14:paraId="39EA42D3" w14:textId="77777777" w:rsidR="000C1C47" w:rsidRPr="004B5178" w:rsidRDefault="000C1C47" w:rsidP="000C1C47"/>
          <w:p w14:paraId="6B125FC2" w14:textId="77777777" w:rsidR="000C1C47" w:rsidRPr="004B5178" w:rsidRDefault="000C1C47" w:rsidP="000C1C47">
            <w:r w:rsidRPr="004B5178">
              <w:t>Following discussion at MRG on 18/10/13  the following recommendations were made:</w:t>
            </w:r>
          </w:p>
          <w:p w14:paraId="3AF07DC7" w14:textId="77777777" w:rsidR="000C1C47" w:rsidRPr="004B5178" w:rsidRDefault="000C1C47" w:rsidP="000C1C47"/>
        </w:tc>
      </w:tr>
      <w:tr w:rsidR="00CD2320" w:rsidRPr="004B5178" w14:paraId="737994F7" w14:textId="77777777" w:rsidTr="009E1F18">
        <w:tc>
          <w:tcPr>
            <w:tcW w:w="14478" w:type="dxa"/>
          </w:tcPr>
          <w:p w14:paraId="1EB6E09E" w14:textId="77777777" w:rsidR="00CD2320" w:rsidRPr="004B5178" w:rsidRDefault="00CD2320" w:rsidP="000C1C47">
            <w:pPr>
              <w:spacing w:before="60"/>
            </w:pPr>
            <w:r w:rsidRPr="004B5178">
              <w:lastRenderedPageBreak/>
              <w:t>Ref code</w:t>
            </w:r>
          </w:p>
          <w:p w14:paraId="68D3DBB2" w14:textId="77777777" w:rsidR="00CD2320" w:rsidRPr="004B5178" w:rsidRDefault="00CD2320" w:rsidP="000C1C47">
            <w:pPr>
              <w:rPr>
                <w:b/>
              </w:rPr>
            </w:pPr>
            <w:r w:rsidRPr="004B5178">
              <w:rPr>
                <w:b/>
              </w:rPr>
              <w:t>IAP00337-01</w:t>
            </w:r>
          </w:p>
          <w:p w14:paraId="7714719A" w14:textId="77777777" w:rsidR="00CD2320" w:rsidRPr="004B5178" w:rsidRDefault="00CD2320" w:rsidP="000C1C47">
            <w:pPr>
              <w:spacing w:before="60"/>
            </w:pPr>
            <w:r w:rsidRPr="004B5178">
              <w:t>Made: 18/10/13</w:t>
            </w:r>
          </w:p>
          <w:p w14:paraId="4ED8EFEF" w14:textId="22A034C0" w:rsidR="00CD2320" w:rsidRPr="004B5178" w:rsidRDefault="00CD2320" w:rsidP="000C1C47">
            <w:r w:rsidRPr="004B5178">
              <w:t>Further investigation is needed as to whether expressing the indicator value as a proportion would be more meaningful and easier to understand than expressing it as an odds ratio.</w:t>
            </w:r>
          </w:p>
        </w:tc>
      </w:tr>
      <w:tr w:rsidR="00CD2320" w:rsidRPr="004B5178" w14:paraId="0831BB7F" w14:textId="77777777" w:rsidTr="009E1F18">
        <w:tc>
          <w:tcPr>
            <w:tcW w:w="14478" w:type="dxa"/>
          </w:tcPr>
          <w:p w14:paraId="1A5892A9" w14:textId="77777777" w:rsidR="00CD2320" w:rsidRPr="004B5178" w:rsidRDefault="00CD2320" w:rsidP="000C1C47">
            <w:pPr>
              <w:spacing w:before="60"/>
            </w:pPr>
            <w:r w:rsidRPr="004B5178">
              <w:t>Ref code</w:t>
            </w:r>
          </w:p>
          <w:p w14:paraId="52FF1BA9" w14:textId="77777777" w:rsidR="00CD2320" w:rsidRPr="004B5178" w:rsidRDefault="00CD2320" w:rsidP="000C1C47">
            <w:pPr>
              <w:spacing w:before="60"/>
              <w:rPr>
                <w:b/>
              </w:rPr>
            </w:pPr>
            <w:r w:rsidRPr="004B5178">
              <w:rPr>
                <w:b/>
              </w:rPr>
              <w:t>IAP00337-02</w:t>
            </w:r>
          </w:p>
          <w:p w14:paraId="4889FF38" w14:textId="77777777" w:rsidR="00CD2320" w:rsidRPr="004B5178" w:rsidRDefault="00CD2320" w:rsidP="000C1C47">
            <w:pPr>
              <w:spacing w:before="60"/>
            </w:pPr>
            <w:r w:rsidRPr="004B5178">
              <w:t>Made: 18/10/13</w:t>
            </w:r>
          </w:p>
          <w:p w14:paraId="3DFF5A23" w14:textId="1FD4FA10" w:rsidR="00CD2320" w:rsidRPr="004B5178" w:rsidRDefault="00CD2320" w:rsidP="000C1C47">
            <w:r w:rsidRPr="004B5178">
              <w:t xml:space="preserve">It was requested that the inclusion of “outcome” in the GCS imputation model be revisited. The variable should be taken out in order to see its effects in comparison to the current method. </w:t>
            </w:r>
          </w:p>
        </w:tc>
      </w:tr>
      <w:tr w:rsidR="00CD2320" w:rsidRPr="004B5178" w14:paraId="666E3A45" w14:textId="77777777" w:rsidTr="009E1F18">
        <w:tc>
          <w:tcPr>
            <w:tcW w:w="14478" w:type="dxa"/>
          </w:tcPr>
          <w:p w14:paraId="2CA90F85" w14:textId="77777777" w:rsidR="00CD2320" w:rsidRPr="004B5178" w:rsidRDefault="00CD2320" w:rsidP="000C1C47">
            <w:r w:rsidRPr="004B5178">
              <w:t>Ref code</w:t>
            </w:r>
          </w:p>
          <w:p w14:paraId="6CC51BC2" w14:textId="77777777" w:rsidR="00CD2320" w:rsidRPr="004B5178" w:rsidRDefault="00CD2320" w:rsidP="000C1C47">
            <w:pPr>
              <w:spacing w:before="60"/>
              <w:rPr>
                <w:b/>
              </w:rPr>
            </w:pPr>
            <w:r w:rsidRPr="004B5178">
              <w:rPr>
                <w:b/>
              </w:rPr>
              <w:t>IAP00337-03</w:t>
            </w:r>
          </w:p>
          <w:p w14:paraId="46F5372B" w14:textId="77777777" w:rsidR="00CD2320" w:rsidRPr="004B5178" w:rsidRDefault="00CD2320" w:rsidP="000C1C47">
            <w:r w:rsidRPr="004B5178">
              <w:t>Made: 18/10/13</w:t>
            </w:r>
          </w:p>
          <w:p w14:paraId="0DF0B576" w14:textId="60C6D564" w:rsidR="00CD2320" w:rsidRPr="004B5178" w:rsidRDefault="00CD2320" w:rsidP="000C1C47">
            <w:r w:rsidRPr="004B5178">
              <w:t xml:space="preserve">Evidence for the GCS imputation model used needs to be provided to MRG. </w:t>
            </w:r>
          </w:p>
        </w:tc>
      </w:tr>
      <w:tr w:rsidR="00CD2320" w:rsidRPr="004B5178" w14:paraId="7B590695" w14:textId="77777777" w:rsidTr="009E1F18">
        <w:tc>
          <w:tcPr>
            <w:tcW w:w="14478" w:type="dxa"/>
          </w:tcPr>
          <w:p w14:paraId="0D1D9BD1" w14:textId="77777777" w:rsidR="00CD2320" w:rsidRPr="004B5178" w:rsidRDefault="00CD2320" w:rsidP="000C1C47">
            <w:r w:rsidRPr="004B5178">
              <w:t>Ref code</w:t>
            </w:r>
          </w:p>
          <w:p w14:paraId="43EF5B72" w14:textId="77777777" w:rsidR="00CD2320" w:rsidRPr="004B5178" w:rsidRDefault="00CD2320" w:rsidP="000C1C47">
            <w:pPr>
              <w:rPr>
                <w:b/>
              </w:rPr>
            </w:pPr>
            <w:r w:rsidRPr="004B5178">
              <w:rPr>
                <w:b/>
              </w:rPr>
              <w:t>IAP00337-04</w:t>
            </w:r>
          </w:p>
          <w:p w14:paraId="57C1BE77" w14:textId="77777777" w:rsidR="00CD2320" w:rsidRPr="004B5178" w:rsidRDefault="00CD2320" w:rsidP="000C1C47">
            <w:r w:rsidRPr="004B5178">
              <w:t>Made: 18/10/13</w:t>
            </w:r>
          </w:p>
          <w:p w14:paraId="53B9009A" w14:textId="5093F8EF" w:rsidR="00CD2320" w:rsidRPr="004B5178" w:rsidRDefault="00CD2320" w:rsidP="000C1C47">
            <w:r w:rsidRPr="004B5178">
              <w:t>HSCIC to update the odds ratio equation in line with the update given by the applicant.</w:t>
            </w:r>
          </w:p>
        </w:tc>
      </w:tr>
    </w:tbl>
    <w:p w14:paraId="215E7EE3" w14:textId="19B56A81" w:rsidR="000967BB" w:rsidRPr="004B5178" w:rsidRDefault="000967BB">
      <w:pPr>
        <w:spacing w:after="200" w:line="276" w:lineRule="auto"/>
      </w:pPr>
    </w:p>
    <w:p w14:paraId="5FC38D56" w14:textId="77777777" w:rsidR="000967BB" w:rsidRPr="004B5178" w:rsidRDefault="000967BB">
      <w:r w:rsidRPr="004B5178">
        <w:br w:type="page"/>
      </w:r>
    </w:p>
    <w:p w14:paraId="65087B83" w14:textId="77777777" w:rsidR="000C1C47" w:rsidRPr="004B5178" w:rsidRDefault="000C1C47" w:rsidP="000C1C47">
      <w:pPr>
        <w:spacing w:before="60" w:after="60"/>
        <w:rPr>
          <w:rFonts w:eastAsia="MS Mincho"/>
        </w:rPr>
      </w:pPr>
      <w:r w:rsidRPr="004B5178">
        <w:rPr>
          <w:rFonts w:eastAsia="MS Mincho"/>
        </w:rPr>
        <w:lastRenderedPageBreak/>
        <w:t>Response from applicant</w:t>
      </w:r>
    </w:p>
    <w:p w14:paraId="11772FD4" w14:textId="77777777" w:rsidR="000C1C47" w:rsidRPr="004B5178" w:rsidRDefault="000C1C47" w:rsidP="000C1C47">
      <w:pPr>
        <w:spacing w:before="60" w:after="60"/>
        <w:rPr>
          <w:rFonts w:eastAsia="MS Mincho"/>
        </w:rPr>
      </w:pPr>
      <w:r w:rsidRPr="004B5178">
        <w:rPr>
          <w:rFonts w:eastAsia="MS Mincho"/>
        </w:rPr>
        <w:t>9 January 2014</w:t>
      </w:r>
    </w:p>
    <w:p w14:paraId="24728653" w14:textId="77777777" w:rsidR="000C1C47" w:rsidRPr="004B5178" w:rsidRDefault="000C1C47" w:rsidP="000C1C47">
      <w:pPr>
        <w:spacing w:before="60" w:after="60"/>
        <w:rPr>
          <w:rFonts w:eastAsia="MS Mincho"/>
        </w:rPr>
      </w:pPr>
    </w:p>
    <w:p w14:paraId="5897DB5E" w14:textId="77777777" w:rsidR="000C1C47" w:rsidRPr="004B5178" w:rsidRDefault="000C1C47" w:rsidP="000C1C47">
      <w:pPr>
        <w:spacing w:before="60" w:after="60"/>
        <w:rPr>
          <w:rFonts w:eastAsia="MS Mincho"/>
          <w:b/>
        </w:rPr>
      </w:pPr>
      <w:r w:rsidRPr="004B5178">
        <w:rPr>
          <w:rFonts w:eastAsia="MS Mincho"/>
          <w:b/>
        </w:rPr>
        <w:t>Summary</w:t>
      </w:r>
    </w:p>
    <w:p w14:paraId="54C78E59" w14:textId="77777777" w:rsidR="000C1C47" w:rsidRPr="004B5178" w:rsidRDefault="000C1C47" w:rsidP="000967BB">
      <w:pPr>
        <w:numPr>
          <w:ilvl w:val="0"/>
          <w:numId w:val="10"/>
        </w:numPr>
        <w:contextualSpacing/>
        <w:rPr>
          <w:rFonts w:eastAsia="MS Mincho"/>
        </w:rPr>
      </w:pPr>
      <w:r w:rsidRPr="004B5178">
        <w:rPr>
          <w:rFonts w:eastAsia="MS Mincho"/>
        </w:rPr>
        <w:t xml:space="preserve">The HSCIC Methodology Review Group assured the basic methodology for calculating </w:t>
      </w:r>
      <w:r w:rsidRPr="004B5178">
        <w:rPr>
          <w:rFonts w:eastAsia="MS Mincho"/>
          <w:b/>
        </w:rPr>
        <w:t>indicator 3.3 Survival from major trauma</w:t>
      </w:r>
      <w:r w:rsidRPr="004B5178">
        <w:rPr>
          <w:rFonts w:eastAsia="MS Mincho"/>
        </w:rPr>
        <w:t xml:space="preserve"> in the NHS Outcomes Framework on the 18th November 2013 meeting - a logistic regression model estimating the odds of survival when adjusting for </w:t>
      </w:r>
      <w:r w:rsidRPr="004B5178">
        <w:rPr>
          <w:rFonts w:eastAsia="MS Mincho"/>
          <w:lang w:val="en-US"/>
        </w:rPr>
        <w:t>age, injury severity score (ISS), Glasgow Coma Scale (GCS), gender, age by gender interaction and financial year</w:t>
      </w:r>
      <w:r w:rsidRPr="004B5178">
        <w:rPr>
          <w:rFonts w:eastAsia="MS Mincho"/>
        </w:rPr>
        <w:t>. The coefficients for the predictor 'year' will provide the odds ratio of surviving major trauma until 30 days after admission.</w:t>
      </w:r>
    </w:p>
    <w:p w14:paraId="06ACC713" w14:textId="77777777" w:rsidR="000C1C47" w:rsidRPr="004B5178" w:rsidRDefault="000C1C47" w:rsidP="000C1C47">
      <w:pPr>
        <w:ind w:left="360"/>
        <w:contextualSpacing/>
        <w:rPr>
          <w:rFonts w:eastAsia="MS Mincho"/>
        </w:rPr>
      </w:pPr>
    </w:p>
    <w:p w14:paraId="2D5DD61B" w14:textId="77777777" w:rsidR="000C1C47" w:rsidRPr="004B5178" w:rsidRDefault="000C1C47" w:rsidP="000967BB">
      <w:pPr>
        <w:numPr>
          <w:ilvl w:val="0"/>
          <w:numId w:val="10"/>
        </w:numPr>
        <w:contextualSpacing/>
        <w:rPr>
          <w:rFonts w:eastAsia="MS Mincho"/>
        </w:rPr>
      </w:pPr>
      <w:r w:rsidRPr="004B5178">
        <w:rPr>
          <w:rFonts w:eastAsia="MS Mincho"/>
        </w:rPr>
        <w:t>Progression in the assurance process is conditional on resolving two additional issues:</w:t>
      </w:r>
    </w:p>
    <w:p w14:paraId="03EB981D" w14:textId="77777777" w:rsidR="000C1C47" w:rsidRPr="004B5178" w:rsidRDefault="000C1C47" w:rsidP="000C1C47">
      <w:pPr>
        <w:pStyle w:val="ListParagraph"/>
        <w:rPr>
          <w:rFonts w:ascii="Arial" w:eastAsia="MS Mincho" w:hAnsi="Arial" w:cs="Arial"/>
        </w:rPr>
      </w:pPr>
    </w:p>
    <w:p w14:paraId="00373CE6" w14:textId="77777777" w:rsidR="000C1C47" w:rsidRPr="004B5178" w:rsidRDefault="000C1C47" w:rsidP="000967BB">
      <w:pPr>
        <w:numPr>
          <w:ilvl w:val="1"/>
          <w:numId w:val="10"/>
        </w:numPr>
        <w:contextualSpacing/>
        <w:rPr>
          <w:rFonts w:eastAsia="MS Mincho"/>
        </w:rPr>
      </w:pPr>
      <w:r w:rsidRPr="004B5178">
        <w:rPr>
          <w:rFonts w:eastAsia="MS Mincho"/>
        </w:rPr>
        <w:t>To make the indicator more meaningful to users, it was recommended that the odds ratio of survival from major trauma be converted to a proportion of patients surviving from major trauma.</w:t>
      </w:r>
    </w:p>
    <w:p w14:paraId="6227E50C" w14:textId="77777777" w:rsidR="000C1C47" w:rsidRPr="004B5178" w:rsidRDefault="000C1C47" w:rsidP="000967BB">
      <w:pPr>
        <w:numPr>
          <w:ilvl w:val="2"/>
          <w:numId w:val="10"/>
        </w:numPr>
        <w:contextualSpacing/>
        <w:rPr>
          <w:rFonts w:eastAsia="MS Mincho"/>
        </w:rPr>
      </w:pPr>
      <w:r w:rsidRPr="004B5178">
        <w:rPr>
          <w:rFonts w:eastAsia="MS Mincho"/>
          <w:b/>
        </w:rPr>
        <w:t xml:space="preserve">Proposal: </w:t>
      </w:r>
      <w:r w:rsidRPr="004B5178">
        <w:rPr>
          <w:rFonts w:eastAsia="MS Mincho"/>
        </w:rPr>
        <w:t>We propose that the simplest way to achieve this whilst ensuring that the interpretation is correct is to convert the odds of survival into the probability of survival. This is because odds can be converted to probabilities and probabilities to odds and probability is a concept more familiar to policy makers, patients and the wider public than odds.</w:t>
      </w:r>
    </w:p>
    <w:p w14:paraId="2F8ADE9E" w14:textId="77777777" w:rsidR="000C1C47" w:rsidRPr="004B5178" w:rsidRDefault="000C1C47" w:rsidP="000967BB">
      <w:pPr>
        <w:numPr>
          <w:ilvl w:val="1"/>
          <w:numId w:val="10"/>
        </w:numPr>
        <w:contextualSpacing/>
        <w:rPr>
          <w:rFonts w:eastAsia="MS Mincho"/>
        </w:rPr>
      </w:pPr>
      <w:r w:rsidRPr="004B5178">
        <w:rPr>
          <w:rFonts w:eastAsia="MS Mincho"/>
        </w:rPr>
        <w:t xml:space="preserve">To investigate the impact of including and excluding the outcome (surviving major trauma at 30 days) in the GCS scores and in the imputation model used to impute missing values in the GCS. </w:t>
      </w:r>
    </w:p>
    <w:p w14:paraId="7D8B32C7" w14:textId="77777777" w:rsidR="000C1C47" w:rsidRPr="004B5178" w:rsidRDefault="000C1C47" w:rsidP="000967BB">
      <w:pPr>
        <w:numPr>
          <w:ilvl w:val="2"/>
          <w:numId w:val="10"/>
        </w:numPr>
        <w:contextualSpacing/>
        <w:rPr>
          <w:rFonts w:eastAsia="MS Mincho"/>
        </w:rPr>
      </w:pPr>
      <w:r w:rsidRPr="004B5178">
        <w:rPr>
          <w:rFonts w:eastAsia="MS Mincho"/>
          <w:b/>
        </w:rPr>
        <w:t xml:space="preserve">Proposal: </w:t>
      </w:r>
      <w:r w:rsidRPr="004B5178">
        <w:rPr>
          <w:rFonts w:eastAsia="MS Mincho"/>
        </w:rPr>
        <w:t>Our investigation shows that  the values for all the GCS and for the imputed GCS are quite similar when including or not the outcome variable in the imputation model. Since the published research literature indicates that including the outcome variable in the imputation model produces estimates closer to the true values, we recommend using this approach when imputing missing values for the GCS</w:t>
      </w:r>
    </w:p>
    <w:p w14:paraId="60280543" w14:textId="77777777" w:rsidR="000C1C47" w:rsidRPr="004B5178" w:rsidRDefault="000C1C47" w:rsidP="000C1C47">
      <w:pPr>
        <w:ind w:left="1080"/>
        <w:contextualSpacing/>
        <w:rPr>
          <w:rFonts w:eastAsia="MS Mincho"/>
        </w:rPr>
      </w:pPr>
    </w:p>
    <w:p w14:paraId="7A5EB6AD" w14:textId="77777777" w:rsidR="000C1C47" w:rsidRPr="004B5178" w:rsidRDefault="000C1C47" w:rsidP="000967BB">
      <w:pPr>
        <w:numPr>
          <w:ilvl w:val="0"/>
          <w:numId w:val="10"/>
        </w:numPr>
        <w:contextualSpacing/>
        <w:rPr>
          <w:rFonts w:eastAsia="MS Mincho"/>
        </w:rPr>
      </w:pPr>
      <w:r w:rsidRPr="004B5178">
        <w:rPr>
          <w:rFonts w:eastAsia="MS Mincho"/>
        </w:rPr>
        <w:t>How to convert the odds ratio into the probability of survival and the impact on including or not the outcome in the imputation model are detailed below.</w:t>
      </w:r>
    </w:p>
    <w:p w14:paraId="1E92F4CC" w14:textId="77777777" w:rsidR="000C1C47" w:rsidRPr="004B5178" w:rsidRDefault="000C1C47" w:rsidP="000C1C47">
      <w:pPr>
        <w:spacing w:before="60" w:after="60"/>
        <w:rPr>
          <w:rFonts w:eastAsia="MS Mincho"/>
        </w:rPr>
      </w:pPr>
    </w:p>
    <w:p w14:paraId="06C609F5" w14:textId="6C11F81A" w:rsidR="000967BB" w:rsidRPr="004B5178" w:rsidRDefault="000967BB">
      <w:pPr>
        <w:rPr>
          <w:rFonts w:eastAsia="MS Mincho"/>
        </w:rPr>
      </w:pPr>
      <w:r w:rsidRPr="004B5178">
        <w:rPr>
          <w:rFonts w:eastAsia="MS Mincho"/>
        </w:rPr>
        <w:br w:type="page"/>
      </w:r>
    </w:p>
    <w:p w14:paraId="7678B94B" w14:textId="77777777" w:rsidR="000C1C47" w:rsidRPr="004B5178" w:rsidRDefault="000C1C47" w:rsidP="000C1C47">
      <w:pPr>
        <w:rPr>
          <w:rFonts w:eastAsia="MS Mincho"/>
          <w:b/>
        </w:rPr>
      </w:pPr>
      <w:r w:rsidRPr="004B5178">
        <w:rPr>
          <w:rFonts w:eastAsia="MS Mincho"/>
          <w:b/>
        </w:rPr>
        <w:lastRenderedPageBreak/>
        <w:t>A. Converting the odds ratio of surviving major trauma into the probability of surviving major trauma</w:t>
      </w:r>
    </w:p>
    <w:p w14:paraId="1069626B" w14:textId="77777777" w:rsidR="000C1C47" w:rsidRPr="004B5178" w:rsidRDefault="000C1C47" w:rsidP="000C1C47">
      <w:pPr>
        <w:rPr>
          <w:rFonts w:eastAsia="MS Mincho"/>
        </w:rPr>
      </w:pPr>
    </w:p>
    <w:p w14:paraId="35F15333" w14:textId="77777777" w:rsidR="000C1C47" w:rsidRPr="004B5178" w:rsidRDefault="000C1C47" w:rsidP="000967BB">
      <w:pPr>
        <w:numPr>
          <w:ilvl w:val="0"/>
          <w:numId w:val="10"/>
        </w:numPr>
        <w:contextualSpacing/>
        <w:rPr>
          <w:rFonts w:eastAsia="MS Mincho"/>
        </w:rPr>
      </w:pPr>
      <w:r w:rsidRPr="004B5178">
        <w:rPr>
          <w:rFonts w:eastAsia="MS Mincho"/>
        </w:rPr>
        <w:t xml:space="preserve">Odds can be converted to probabilities and probabilities to odds using the formula below. </w:t>
      </w:r>
    </w:p>
    <w:p w14:paraId="0611AB70" w14:textId="77777777" w:rsidR="000C1C47" w:rsidRPr="004B5178" w:rsidRDefault="000C1C47" w:rsidP="000C1C47">
      <w:pPr>
        <w:ind w:left="720"/>
        <w:contextualSpacing/>
        <w:rPr>
          <w:rFonts w:eastAsia="MS Mincho"/>
        </w:rPr>
      </w:pPr>
    </w:p>
    <w:p w14:paraId="6EEAAE58" w14:textId="77777777" w:rsidR="000C1C47" w:rsidRPr="004B5178" w:rsidRDefault="0025757D" w:rsidP="000C1C47">
      <w:pPr>
        <w:rPr>
          <w:rFonts w:eastAsia="MS Mincho"/>
        </w:rPr>
      </w:pPr>
      <m:oMathPara>
        <m:oMath>
          <m:sSub>
            <m:sSubPr>
              <m:ctrlPr>
                <w:rPr>
                  <w:rFonts w:ascii="Cambria Math" w:eastAsia="MS Mincho" w:hAnsi="Cambria Math"/>
                </w:rPr>
              </m:ctrlPr>
            </m:sSubPr>
            <m:e>
              <m:r>
                <w:rPr>
                  <w:rFonts w:ascii="Cambria Math" w:eastAsia="MS Mincho" w:hAnsi="Cambria Math"/>
                </w:rPr>
                <m:t>P</m:t>
              </m:r>
            </m:e>
            <m:sub>
              <m:r>
                <w:rPr>
                  <w:rFonts w:ascii="Cambria Math" w:eastAsia="MS Mincho" w:hAnsi="Cambria Math"/>
                </w:rPr>
                <m:t>s</m:t>
              </m:r>
            </m:sub>
          </m:sSub>
          <m:r>
            <m:rPr>
              <m:sty m:val="p"/>
            </m:rPr>
            <w:rPr>
              <w:rFonts w:ascii="Cambria Math" w:eastAsia="MS Mincho" w:hAnsi="Cambria Math"/>
            </w:rPr>
            <m:t>=</m:t>
          </m:r>
          <m:f>
            <m:fPr>
              <m:ctrlPr>
                <w:rPr>
                  <w:rFonts w:ascii="Cambria Math" w:eastAsia="MS Mincho" w:hAnsi="Cambria Math"/>
                </w:rPr>
              </m:ctrlPr>
            </m:fPr>
            <m:num>
              <m:r>
                <m:rPr>
                  <m:sty m:val="p"/>
                </m:rPr>
                <w:rPr>
                  <w:rFonts w:ascii="Cambria Math" w:eastAsia="MS Mincho" w:hAnsi="Cambria Math"/>
                </w:rPr>
                <m:t>odds</m:t>
              </m:r>
            </m:num>
            <m:den>
              <m:r>
                <m:rPr>
                  <m:sty m:val="p"/>
                </m:rPr>
                <w:rPr>
                  <w:rFonts w:ascii="Cambria Math" w:eastAsia="MS Mincho" w:hAnsi="Cambria Math"/>
                </w:rPr>
                <m:t>1+odds</m:t>
              </m:r>
            </m:den>
          </m:f>
        </m:oMath>
      </m:oMathPara>
    </w:p>
    <w:p w14:paraId="3C2F4AD3" w14:textId="77777777" w:rsidR="000C1C47" w:rsidRPr="004B5178" w:rsidRDefault="000C1C47" w:rsidP="000C1C47">
      <w:pPr>
        <w:rPr>
          <w:rFonts w:eastAsia="MS Mincho"/>
        </w:rPr>
      </w:pPr>
    </w:p>
    <w:p w14:paraId="7D564702" w14:textId="77777777" w:rsidR="000C1C47" w:rsidRPr="004B5178" w:rsidRDefault="000C1C47" w:rsidP="000967BB">
      <w:pPr>
        <w:numPr>
          <w:ilvl w:val="0"/>
          <w:numId w:val="10"/>
        </w:numPr>
        <w:contextualSpacing/>
        <w:rPr>
          <w:rFonts w:eastAsia="MS Mincho"/>
        </w:rPr>
      </w:pPr>
      <w:r w:rsidRPr="004B5178">
        <w:rPr>
          <w:rFonts w:eastAsia="MS Mincho"/>
        </w:rPr>
        <w:t>The probability of survival from major trauma in a given year (case mix adjusted) was calculated using this formula and is displayed in table 1. Figures in table 1 show that the probability of survival from major trauma has increased over the period 2007/08 to 2012/13 in relation to the reference year 2007/08: for example, the probability of survival from major trauma is 63% in 2012/13 (i.e., 63 patients out of 100), an increase of 13 percentage points (or 13 patients) from 2007/08.</w:t>
      </w:r>
    </w:p>
    <w:p w14:paraId="71EF0711" w14:textId="77777777" w:rsidR="000C1C47" w:rsidRPr="004B5178" w:rsidRDefault="000C1C47" w:rsidP="000C1C47">
      <w:pPr>
        <w:rPr>
          <w:rFonts w:eastAsia="MS Mincho"/>
        </w:rPr>
      </w:pPr>
    </w:p>
    <w:p w14:paraId="79EF1461" w14:textId="77777777" w:rsidR="000C1C47" w:rsidRPr="004B5178" w:rsidRDefault="000C1C47" w:rsidP="000C1C47">
      <w:pPr>
        <w:rPr>
          <w:rFonts w:eastAsia="MS Mincho"/>
        </w:rPr>
      </w:pPr>
    </w:p>
    <w:p w14:paraId="63EDBB28" w14:textId="1A85CCB9" w:rsidR="000C1C47" w:rsidRDefault="000C1C47" w:rsidP="000C1C47">
      <w:pPr>
        <w:rPr>
          <w:rFonts w:eastAsia="MS Mincho"/>
        </w:rPr>
      </w:pPr>
      <w:r w:rsidRPr="004B5178">
        <w:rPr>
          <w:rFonts w:eastAsia="MS Mincho"/>
        </w:rPr>
        <w:t xml:space="preserve">Table 1. Regression coefficients, odds ratio and probability of survival by ‘financial year’ from the model using a six-year data set (2007/08 to 2012/13) </w:t>
      </w:r>
    </w:p>
    <w:p w14:paraId="1A0B8371" w14:textId="77777777" w:rsidR="00CD2320" w:rsidRPr="004B5178" w:rsidRDefault="00CD2320" w:rsidP="000C1C47">
      <w:pPr>
        <w:rPr>
          <w:rFonts w:eastAsia="MS Mincho"/>
        </w:rPr>
      </w:pPr>
    </w:p>
    <w:tbl>
      <w:tblPr>
        <w:tblStyle w:val="GridTable4"/>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1366"/>
        <w:gridCol w:w="1332"/>
        <w:gridCol w:w="1134"/>
        <w:gridCol w:w="851"/>
        <w:gridCol w:w="847"/>
        <w:gridCol w:w="1274"/>
      </w:tblGrid>
      <w:tr w:rsidR="00CD2320" w:rsidRPr="004B5178" w14:paraId="3CD8AF47" w14:textId="77777777" w:rsidTr="009E1F1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58" w:type="dxa"/>
            <w:noWrap/>
          </w:tcPr>
          <w:p w14:paraId="3231D95B" w14:textId="77777777" w:rsidR="00CD2320" w:rsidRPr="004B5178" w:rsidRDefault="00CD2320" w:rsidP="000C1C47">
            <w:pPr>
              <w:rPr>
                <w:rFonts w:eastAsia="MS Mincho"/>
                <w:b w:val="0"/>
                <w:bCs w:val="0"/>
                <w:color w:val="auto"/>
              </w:rPr>
            </w:pPr>
            <w:r w:rsidRPr="004B5178">
              <w:rPr>
                <w:rFonts w:eastAsia="MS Mincho"/>
                <w:b w:val="0"/>
                <w:bCs w:val="0"/>
                <w:color w:val="auto"/>
              </w:rPr>
              <w:t>Predictors</w:t>
            </w:r>
          </w:p>
        </w:tc>
        <w:tc>
          <w:tcPr>
            <w:cnfStyle w:val="000010000000" w:firstRow="0" w:lastRow="0" w:firstColumn="0" w:lastColumn="0" w:oddVBand="1" w:evenVBand="0" w:oddHBand="0" w:evenHBand="0" w:firstRowFirstColumn="0" w:firstRowLastColumn="0" w:lastRowFirstColumn="0" w:lastRowLastColumn="0"/>
            <w:tcW w:w="1366" w:type="dxa"/>
            <w:noWrap/>
          </w:tcPr>
          <w:p w14:paraId="3D6C3A25" w14:textId="77777777" w:rsidR="00CD2320" w:rsidRPr="004B5178" w:rsidRDefault="00CD2320" w:rsidP="000C1C47">
            <w:pPr>
              <w:jc w:val="center"/>
              <w:rPr>
                <w:b w:val="0"/>
                <w:color w:val="auto"/>
              </w:rPr>
            </w:pPr>
            <w:r w:rsidRPr="004B5178">
              <w:rPr>
                <w:b w:val="0"/>
                <w:color w:val="auto"/>
              </w:rPr>
              <w:t>Coefficients</w:t>
            </w:r>
          </w:p>
          <w:p w14:paraId="7BFF7F38" w14:textId="77777777" w:rsidR="00CD2320" w:rsidRPr="004B5178" w:rsidRDefault="00CD2320" w:rsidP="000C1C47">
            <w:pPr>
              <w:jc w:val="center"/>
              <w:rPr>
                <w:b w:val="0"/>
                <w:color w:val="auto"/>
              </w:rPr>
            </w:pPr>
            <w:r w:rsidRPr="004B5178">
              <w:rPr>
                <w:b w:val="0"/>
                <w:color w:val="auto"/>
              </w:rPr>
              <w:t>(A)</w:t>
            </w:r>
          </w:p>
        </w:tc>
        <w:tc>
          <w:tcPr>
            <w:tcW w:w="1332" w:type="dxa"/>
          </w:tcPr>
          <w:p w14:paraId="13C0891F" w14:textId="77777777" w:rsidR="00CD2320" w:rsidRPr="004B5178" w:rsidRDefault="00CD2320" w:rsidP="000C1C47">
            <w:pPr>
              <w:jc w:val="center"/>
              <w:cnfStyle w:val="100000000000" w:firstRow="1" w:lastRow="0" w:firstColumn="0" w:lastColumn="0" w:oddVBand="0" w:evenVBand="0" w:oddHBand="0" w:evenHBand="0" w:firstRowFirstColumn="0" w:firstRowLastColumn="0" w:lastRowFirstColumn="0" w:lastRowLastColumn="0"/>
              <w:rPr>
                <w:b w:val="0"/>
                <w:color w:val="auto"/>
              </w:rPr>
            </w:pPr>
            <w:r w:rsidRPr="004B5178">
              <w:rPr>
                <w:b w:val="0"/>
                <w:color w:val="auto"/>
              </w:rPr>
              <w:t>Odds Rat.</w:t>
            </w:r>
          </w:p>
          <w:p w14:paraId="5C5934D0" w14:textId="77777777" w:rsidR="00CD2320" w:rsidRPr="004B5178" w:rsidRDefault="00CD2320" w:rsidP="000C1C47">
            <w:pPr>
              <w:jc w:val="center"/>
              <w:cnfStyle w:val="100000000000" w:firstRow="1" w:lastRow="0" w:firstColumn="0" w:lastColumn="0" w:oddVBand="0" w:evenVBand="0" w:oddHBand="0" w:evenHBand="0" w:firstRowFirstColumn="0" w:firstRowLastColumn="0" w:lastRowFirstColumn="0" w:lastRowLastColumn="0"/>
              <w:rPr>
                <w:b w:val="0"/>
                <w:color w:val="auto"/>
              </w:rPr>
            </w:pPr>
            <w:r w:rsidRPr="004B5178">
              <w:rPr>
                <w:b w:val="0"/>
                <w:color w:val="auto"/>
              </w:rPr>
              <w:t>(B)</w:t>
            </w:r>
          </w:p>
        </w:tc>
        <w:tc>
          <w:tcPr>
            <w:cnfStyle w:val="000010000000" w:firstRow="0" w:lastRow="0" w:firstColumn="0" w:lastColumn="0" w:oddVBand="1" w:evenVBand="0" w:oddHBand="0" w:evenHBand="0" w:firstRowFirstColumn="0" w:firstRowLastColumn="0" w:lastRowFirstColumn="0" w:lastRowLastColumn="0"/>
            <w:tcW w:w="1134" w:type="dxa"/>
            <w:noWrap/>
          </w:tcPr>
          <w:p w14:paraId="654C057F" w14:textId="77777777" w:rsidR="00CD2320" w:rsidRPr="004B5178" w:rsidRDefault="00CD2320" w:rsidP="000C1C47">
            <w:pPr>
              <w:jc w:val="center"/>
              <w:rPr>
                <w:b w:val="0"/>
                <w:color w:val="auto"/>
              </w:rPr>
            </w:pPr>
            <w:r w:rsidRPr="004B5178">
              <w:rPr>
                <w:b w:val="0"/>
                <w:color w:val="auto"/>
              </w:rPr>
              <w:t>p-value</w:t>
            </w:r>
          </w:p>
          <w:p w14:paraId="307BD598" w14:textId="77777777" w:rsidR="00CD2320" w:rsidRPr="004B5178" w:rsidRDefault="00CD2320" w:rsidP="000C1C47">
            <w:pPr>
              <w:jc w:val="center"/>
              <w:rPr>
                <w:b w:val="0"/>
                <w:color w:val="auto"/>
              </w:rPr>
            </w:pPr>
            <w:r w:rsidRPr="004B5178">
              <w:rPr>
                <w:b w:val="0"/>
                <w:color w:val="auto"/>
              </w:rPr>
              <w:t>(C)</w:t>
            </w:r>
          </w:p>
        </w:tc>
        <w:tc>
          <w:tcPr>
            <w:tcW w:w="848" w:type="dxa"/>
          </w:tcPr>
          <w:p w14:paraId="1D5E1C0F" w14:textId="77777777" w:rsidR="00CD2320" w:rsidRPr="004B5178" w:rsidRDefault="00CD2320" w:rsidP="000C1C47">
            <w:pPr>
              <w:jc w:val="center"/>
              <w:cnfStyle w:val="100000000000" w:firstRow="1" w:lastRow="0" w:firstColumn="0" w:lastColumn="0" w:oddVBand="0" w:evenVBand="0" w:oddHBand="0" w:evenHBand="0" w:firstRowFirstColumn="0" w:firstRowLastColumn="0" w:lastRowFirstColumn="0" w:lastRowLastColumn="0"/>
              <w:rPr>
                <w:bCs w:val="0"/>
              </w:rPr>
            </w:pPr>
            <w:r w:rsidRPr="004B5178">
              <w:rPr>
                <w:b w:val="0"/>
                <w:color w:val="auto"/>
              </w:rPr>
              <w:t>95% Conf. Int. for Odds Ratio</w:t>
            </w:r>
          </w:p>
        </w:tc>
        <w:tc>
          <w:tcPr>
            <w:cnfStyle w:val="000010000000" w:firstRow="0" w:lastRow="0" w:firstColumn="0" w:lastColumn="0" w:oddVBand="1" w:evenVBand="0" w:oddHBand="0" w:evenHBand="0" w:firstRowFirstColumn="0" w:firstRowLastColumn="0" w:lastRowFirstColumn="0" w:lastRowLastColumn="0"/>
            <w:tcW w:w="849" w:type="dxa"/>
          </w:tcPr>
          <w:p w14:paraId="27AFBEA7" w14:textId="09C9CA2F" w:rsidR="00CD2320" w:rsidRPr="004B5178" w:rsidRDefault="00CD2320" w:rsidP="000C1C47">
            <w:pPr>
              <w:jc w:val="center"/>
              <w:rPr>
                <w:b w:val="0"/>
                <w:color w:val="auto"/>
              </w:rPr>
            </w:pPr>
            <w:r w:rsidRPr="004B5178">
              <w:rPr>
                <w:b w:val="0"/>
                <w:color w:val="auto"/>
              </w:rPr>
              <w:t>(D)</w:t>
            </w:r>
          </w:p>
        </w:tc>
        <w:tc>
          <w:tcPr>
            <w:tcW w:w="1275" w:type="dxa"/>
          </w:tcPr>
          <w:p w14:paraId="1C31C82A" w14:textId="77777777" w:rsidR="00CD2320" w:rsidRPr="004B5178" w:rsidRDefault="00CD2320" w:rsidP="000C1C47">
            <w:pPr>
              <w:jc w:val="center"/>
              <w:cnfStyle w:val="100000000000" w:firstRow="1" w:lastRow="0" w:firstColumn="0" w:lastColumn="0" w:oddVBand="0" w:evenVBand="0" w:oddHBand="0" w:evenHBand="0" w:firstRowFirstColumn="0" w:firstRowLastColumn="0" w:lastRowFirstColumn="0" w:lastRowLastColumn="0"/>
              <w:rPr>
                <w:b w:val="0"/>
                <w:color w:val="auto"/>
              </w:rPr>
            </w:pPr>
            <w:r w:rsidRPr="004B5178">
              <w:rPr>
                <w:b w:val="0"/>
                <w:color w:val="auto"/>
              </w:rPr>
              <w:t>Probability of survival</w:t>
            </w:r>
          </w:p>
        </w:tc>
      </w:tr>
      <w:tr w:rsidR="00B863BC" w:rsidRPr="004B5178" w14:paraId="1700E5D1" w14:textId="77777777" w:rsidTr="00CD23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8" w:type="dxa"/>
            <w:noWrap/>
          </w:tcPr>
          <w:p w14:paraId="5FC8FD39" w14:textId="77777777" w:rsidR="000C1C47" w:rsidRPr="004B5178" w:rsidRDefault="000C1C47" w:rsidP="000C1C47">
            <w:pPr>
              <w:rPr>
                <w:rFonts w:eastAsia="MS Mincho"/>
              </w:rPr>
            </w:pPr>
            <w:r w:rsidRPr="004B5178">
              <w:rPr>
                <w:rFonts w:eastAsia="MS Mincho"/>
              </w:rPr>
              <w:t>Financial Year 2007/2008   Reference</w:t>
            </w:r>
          </w:p>
        </w:tc>
        <w:tc>
          <w:tcPr>
            <w:cnfStyle w:val="000010000000" w:firstRow="0" w:lastRow="0" w:firstColumn="0" w:lastColumn="0" w:oddVBand="1" w:evenVBand="0" w:oddHBand="0" w:evenHBand="0" w:firstRowFirstColumn="0" w:firstRowLastColumn="0" w:lastRowFirstColumn="0" w:lastRowLastColumn="0"/>
            <w:tcW w:w="1366" w:type="dxa"/>
            <w:noWrap/>
          </w:tcPr>
          <w:p w14:paraId="3CA76A05" w14:textId="77777777" w:rsidR="000C1C47" w:rsidRPr="004B5178" w:rsidRDefault="000C1C47" w:rsidP="000C1C47">
            <w:pPr>
              <w:jc w:val="center"/>
            </w:pPr>
            <w:r w:rsidRPr="004B5178">
              <w:t>0.000</w:t>
            </w:r>
          </w:p>
        </w:tc>
        <w:tc>
          <w:tcPr>
            <w:tcW w:w="1332" w:type="dxa"/>
            <w:noWrap/>
          </w:tcPr>
          <w:p w14:paraId="7D9B1462"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t>1.000</w:t>
            </w:r>
          </w:p>
        </w:tc>
        <w:tc>
          <w:tcPr>
            <w:cnfStyle w:val="000010000000" w:firstRow="0" w:lastRow="0" w:firstColumn="0" w:lastColumn="0" w:oddVBand="1" w:evenVBand="0" w:oddHBand="0" w:evenHBand="0" w:firstRowFirstColumn="0" w:firstRowLastColumn="0" w:lastRowFirstColumn="0" w:lastRowLastColumn="0"/>
            <w:tcW w:w="1134" w:type="dxa"/>
            <w:noWrap/>
          </w:tcPr>
          <w:p w14:paraId="4169FA3F" w14:textId="77777777" w:rsidR="000C1C47" w:rsidRPr="004B5178" w:rsidRDefault="000C1C47" w:rsidP="000C1C47">
            <w:pPr>
              <w:jc w:val="center"/>
            </w:pPr>
          </w:p>
        </w:tc>
        <w:tc>
          <w:tcPr>
            <w:tcW w:w="851" w:type="dxa"/>
            <w:noWrap/>
          </w:tcPr>
          <w:p w14:paraId="19B22C77"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46" w:type="dxa"/>
          </w:tcPr>
          <w:p w14:paraId="63608215" w14:textId="77777777" w:rsidR="000C1C47" w:rsidRPr="004B5178" w:rsidRDefault="000C1C47" w:rsidP="000C1C47">
            <w:pPr>
              <w:jc w:val="center"/>
            </w:pPr>
          </w:p>
        </w:tc>
        <w:tc>
          <w:tcPr>
            <w:tcW w:w="1275" w:type="dxa"/>
          </w:tcPr>
          <w:p w14:paraId="086B49F5"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rPr>
                <w:rFonts w:eastAsia="MS Mincho"/>
              </w:rPr>
              <w:t>50%</w:t>
            </w:r>
          </w:p>
        </w:tc>
      </w:tr>
      <w:tr w:rsidR="00B863BC" w:rsidRPr="004B5178" w14:paraId="2EDB6B25" w14:textId="77777777" w:rsidTr="00CD2320">
        <w:trPr>
          <w:trHeight w:val="300"/>
        </w:trPr>
        <w:tc>
          <w:tcPr>
            <w:cnfStyle w:val="001000000000" w:firstRow="0" w:lastRow="0" w:firstColumn="1" w:lastColumn="0" w:oddVBand="0" w:evenVBand="0" w:oddHBand="0" w:evenHBand="0" w:firstRowFirstColumn="0" w:firstRowLastColumn="0" w:lastRowFirstColumn="0" w:lastRowLastColumn="0"/>
            <w:tcW w:w="1858" w:type="dxa"/>
            <w:noWrap/>
          </w:tcPr>
          <w:p w14:paraId="187D440B" w14:textId="77777777" w:rsidR="000C1C47" w:rsidRPr="004B5178" w:rsidRDefault="000C1C47" w:rsidP="000C1C47">
            <w:pPr>
              <w:rPr>
                <w:rFonts w:eastAsia="MS Mincho"/>
              </w:rPr>
            </w:pPr>
            <w:r w:rsidRPr="004B5178">
              <w:rPr>
                <w:rFonts w:eastAsia="MS Mincho"/>
              </w:rPr>
              <w:t>Year 2008/2009</w:t>
            </w:r>
          </w:p>
        </w:tc>
        <w:tc>
          <w:tcPr>
            <w:cnfStyle w:val="000010000000" w:firstRow="0" w:lastRow="0" w:firstColumn="0" w:lastColumn="0" w:oddVBand="1" w:evenVBand="0" w:oddHBand="0" w:evenHBand="0" w:firstRowFirstColumn="0" w:firstRowLastColumn="0" w:lastRowFirstColumn="0" w:lastRowLastColumn="0"/>
            <w:tcW w:w="1366" w:type="dxa"/>
            <w:noWrap/>
          </w:tcPr>
          <w:p w14:paraId="18A8078E" w14:textId="77777777" w:rsidR="000C1C47" w:rsidRPr="004B5178" w:rsidRDefault="000C1C47" w:rsidP="000C1C47">
            <w:pPr>
              <w:jc w:val="center"/>
            </w:pPr>
            <w:r w:rsidRPr="004B5178">
              <w:t>0.031</w:t>
            </w:r>
          </w:p>
        </w:tc>
        <w:tc>
          <w:tcPr>
            <w:tcW w:w="1332" w:type="dxa"/>
            <w:noWrap/>
          </w:tcPr>
          <w:p w14:paraId="013696DA"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t>1.031</w:t>
            </w:r>
          </w:p>
        </w:tc>
        <w:tc>
          <w:tcPr>
            <w:cnfStyle w:val="000010000000" w:firstRow="0" w:lastRow="0" w:firstColumn="0" w:lastColumn="0" w:oddVBand="1" w:evenVBand="0" w:oddHBand="0" w:evenHBand="0" w:firstRowFirstColumn="0" w:firstRowLastColumn="0" w:lastRowFirstColumn="0" w:lastRowLastColumn="0"/>
            <w:tcW w:w="1134" w:type="dxa"/>
            <w:noWrap/>
          </w:tcPr>
          <w:p w14:paraId="2645C884" w14:textId="77777777" w:rsidR="000C1C47" w:rsidRPr="004B5178" w:rsidRDefault="000C1C47" w:rsidP="000C1C47">
            <w:pPr>
              <w:jc w:val="center"/>
            </w:pPr>
            <w:r w:rsidRPr="004B5178">
              <w:t>0.686</w:t>
            </w:r>
          </w:p>
        </w:tc>
        <w:tc>
          <w:tcPr>
            <w:tcW w:w="851" w:type="dxa"/>
            <w:noWrap/>
          </w:tcPr>
          <w:p w14:paraId="5E2A46F2"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t>0.888</w:t>
            </w:r>
          </w:p>
        </w:tc>
        <w:tc>
          <w:tcPr>
            <w:cnfStyle w:val="000010000000" w:firstRow="0" w:lastRow="0" w:firstColumn="0" w:lastColumn="0" w:oddVBand="1" w:evenVBand="0" w:oddHBand="0" w:evenHBand="0" w:firstRowFirstColumn="0" w:firstRowLastColumn="0" w:lastRowFirstColumn="0" w:lastRowLastColumn="0"/>
            <w:tcW w:w="846" w:type="dxa"/>
          </w:tcPr>
          <w:p w14:paraId="16F092D6" w14:textId="77777777" w:rsidR="000C1C47" w:rsidRPr="004B5178" w:rsidRDefault="000C1C47" w:rsidP="000C1C47">
            <w:pPr>
              <w:jc w:val="center"/>
            </w:pPr>
            <w:r w:rsidRPr="004B5178">
              <w:t>1.197</w:t>
            </w:r>
          </w:p>
        </w:tc>
        <w:tc>
          <w:tcPr>
            <w:tcW w:w="1275" w:type="dxa"/>
          </w:tcPr>
          <w:p w14:paraId="263DE087"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rPr>
                <w:rFonts w:eastAsia="MS Mincho"/>
              </w:rPr>
              <w:t>51%</w:t>
            </w:r>
          </w:p>
        </w:tc>
      </w:tr>
      <w:tr w:rsidR="00B863BC" w:rsidRPr="004B5178" w14:paraId="355F950B" w14:textId="77777777" w:rsidTr="00CD23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8" w:type="dxa"/>
            <w:noWrap/>
          </w:tcPr>
          <w:p w14:paraId="32AA2496" w14:textId="77777777" w:rsidR="000C1C47" w:rsidRPr="004B5178" w:rsidRDefault="000C1C47" w:rsidP="000C1C47">
            <w:pPr>
              <w:rPr>
                <w:rFonts w:eastAsia="MS Mincho"/>
              </w:rPr>
            </w:pPr>
            <w:r w:rsidRPr="004B5178">
              <w:rPr>
                <w:rFonts w:eastAsia="MS Mincho"/>
              </w:rPr>
              <w:t>Year 2009/2010</w:t>
            </w:r>
          </w:p>
        </w:tc>
        <w:tc>
          <w:tcPr>
            <w:cnfStyle w:val="000010000000" w:firstRow="0" w:lastRow="0" w:firstColumn="0" w:lastColumn="0" w:oddVBand="1" w:evenVBand="0" w:oddHBand="0" w:evenHBand="0" w:firstRowFirstColumn="0" w:firstRowLastColumn="0" w:lastRowFirstColumn="0" w:lastRowLastColumn="0"/>
            <w:tcW w:w="1366" w:type="dxa"/>
            <w:noWrap/>
          </w:tcPr>
          <w:p w14:paraId="444A6688" w14:textId="77777777" w:rsidR="000C1C47" w:rsidRPr="004B5178" w:rsidRDefault="000C1C47" w:rsidP="000C1C47">
            <w:pPr>
              <w:jc w:val="center"/>
            </w:pPr>
            <w:r w:rsidRPr="004B5178">
              <w:t>-0.003</w:t>
            </w:r>
          </w:p>
        </w:tc>
        <w:tc>
          <w:tcPr>
            <w:tcW w:w="1332" w:type="dxa"/>
            <w:noWrap/>
          </w:tcPr>
          <w:p w14:paraId="754C59A7"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t>0.997</w:t>
            </w:r>
          </w:p>
        </w:tc>
        <w:tc>
          <w:tcPr>
            <w:cnfStyle w:val="000010000000" w:firstRow="0" w:lastRow="0" w:firstColumn="0" w:lastColumn="0" w:oddVBand="1" w:evenVBand="0" w:oddHBand="0" w:evenHBand="0" w:firstRowFirstColumn="0" w:firstRowLastColumn="0" w:lastRowFirstColumn="0" w:lastRowLastColumn="0"/>
            <w:tcW w:w="1134" w:type="dxa"/>
            <w:noWrap/>
          </w:tcPr>
          <w:p w14:paraId="0D184B3D" w14:textId="77777777" w:rsidR="000C1C47" w:rsidRPr="004B5178" w:rsidRDefault="000C1C47" w:rsidP="000C1C47">
            <w:pPr>
              <w:jc w:val="center"/>
            </w:pPr>
            <w:r w:rsidRPr="004B5178">
              <w:t>0.970</w:t>
            </w:r>
          </w:p>
        </w:tc>
        <w:tc>
          <w:tcPr>
            <w:tcW w:w="851" w:type="dxa"/>
            <w:noWrap/>
          </w:tcPr>
          <w:p w14:paraId="780B2877"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t>0.869</w:t>
            </w:r>
          </w:p>
        </w:tc>
        <w:tc>
          <w:tcPr>
            <w:cnfStyle w:val="000010000000" w:firstRow="0" w:lastRow="0" w:firstColumn="0" w:lastColumn="0" w:oddVBand="1" w:evenVBand="0" w:oddHBand="0" w:evenHBand="0" w:firstRowFirstColumn="0" w:firstRowLastColumn="0" w:lastRowFirstColumn="0" w:lastRowLastColumn="0"/>
            <w:tcW w:w="846" w:type="dxa"/>
          </w:tcPr>
          <w:p w14:paraId="5F1C5E1B" w14:textId="77777777" w:rsidR="000C1C47" w:rsidRPr="004B5178" w:rsidRDefault="000C1C47" w:rsidP="000C1C47">
            <w:pPr>
              <w:jc w:val="center"/>
            </w:pPr>
            <w:r w:rsidRPr="004B5178">
              <w:t>1.145</w:t>
            </w:r>
          </w:p>
        </w:tc>
        <w:tc>
          <w:tcPr>
            <w:tcW w:w="1275" w:type="dxa"/>
          </w:tcPr>
          <w:p w14:paraId="5E531BD5"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rPr>
                <w:rFonts w:eastAsia="MS Mincho"/>
              </w:rPr>
              <w:t>50%</w:t>
            </w:r>
          </w:p>
        </w:tc>
      </w:tr>
      <w:tr w:rsidR="00B863BC" w:rsidRPr="004B5178" w14:paraId="0644BBE7" w14:textId="77777777" w:rsidTr="00CD2320">
        <w:trPr>
          <w:trHeight w:val="300"/>
        </w:trPr>
        <w:tc>
          <w:tcPr>
            <w:cnfStyle w:val="001000000000" w:firstRow="0" w:lastRow="0" w:firstColumn="1" w:lastColumn="0" w:oddVBand="0" w:evenVBand="0" w:oddHBand="0" w:evenHBand="0" w:firstRowFirstColumn="0" w:firstRowLastColumn="0" w:lastRowFirstColumn="0" w:lastRowLastColumn="0"/>
            <w:tcW w:w="1858" w:type="dxa"/>
            <w:noWrap/>
          </w:tcPr>
          <w:p w14:paraId="2EE59898" w14:textId="77777777" w:rsidR="000C1C47" w:rsidRPr="004B5178" w:rsidRDefault="000C1C47" w:rsidP="000C1C47">
            <w:pPr>
              <w:rPr>
                <w:rFonts w:eastAsia="MS Mincho"/>
              </w:rPr>
            </w:pPr>
            <w:r w:rsidRPr="004B5178">
              <w:rPr>
                <w:rFonts w:eastAsia="MS Mincho"/>
              </w:rPr>
              <w:t>Year 2010/2011</w:t>
            </w:r>
          </w:p>
        </w:tc>
        <w:tc>
          <w:tcPr>
            <w:cnfStyle w:val="000010000000" w:firstRow="0" w:lastRow="0" w:firstColumn="0" w:lastColumn="0" w:oddVBand="1" w:evenVBand="0" w:oddHBand="0" w:evenHBand="0" w:firstRowFirstColumn="0" w:firstRowLastColumn="0" w:lastRowFirstColumn="0" w:lastRowLastColumn="0"/>
            <w:tcW w:w="1366" w:type="dxa"/>
            <w:noWrap/>
          </w:tcPr>
          <w:p w14:paraId="391BD1A4" w14:textId="77777777" w:rsidR="000C1C47" w:rsidRPr="004B5178" w:rsidRDefault="000C1C47" w:rsidP="000C1C47">
            <w:pPr>
              <w:jc w:val="center"/>
            </w:pPr>
            <w:r w:rsidRPr="004B5178">
              <w:t>0.128</w:t>
            </w:r>
          </w:p>
        </w:tc>
        <w:tc>
          <w:tcPr>
            <w:tcW w:w="1332" w:type="dxa"/>
            <w:noWrap/>
          </w:tcPr>
          <w:p w14:paraId="7B4652EC"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t>1.137</w:t>
            </w:r>
          </w:p>
        </w:tc>
        <w:tc>
          <w:tcPr>
            <w:cnfStyle w:val="000010000000" w:firstRow="0" w:lastRow="0" w:firstColumn="0" w:lastColumn="0" w:oddVBand="1" w:evenVBand="0" w:oddHBand="0" w:evenHBand="0" w:firstRowFirstColumn="0" w:firstRowLastColumn="0" w:lastRowFirstColumn="0" w:lastRowLastColumn="0"/>
            <w:tcW w:w="1134" w:type="dxa"/>
            <w:noWrap/>
          </w:tcPr>
          <w:p w14:paraId="53E8197A" w14:textId="77777777" w:rsidR="000C1C47" w:rsidRPr="004B5178" w:rsidRDefault="000C1C47" w:rsidP="000C1C47">
            <w:pPr>
              <w:jc w:val="center"/>
            </w:pPr>
            <w:r w:rsidRPr="004B5178">
              <w:t>0.056</w:t>
            </w:r>
          </w:p>
        </w:tc>
        <w:tc>
          <w:tcPr>
            <w:tcW w:w="851" w:type="dxa"/>
            <w:noWrap/>
          </w:tcPr>
          <w:p w14:paraId="0A262CF9"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t>0.997</w:t>
            </w:r>
          </w:p>
        </w:tc>
        <w:tc>
          <w:tcPr>
            <w:cnfStyle w:val="000010000000" w:firstRow="0" w:lastRow="0" w:firstColumn="0" w:lastColumn="0" w:oddVBand="1" w:evenVBand="0" w:oddHBand="0" w:evenHBand="0" w:firstRowFirstColumn="0" w:firstRowLastColumn="0" w:lastRowFirstColumn="0" w:lastRowLastColumn="0"/>
            <w:tcW w:w="846" w:type="dxa"/>
          </w:tcPr>
          <w:p w14:paraId="75980327" w14:textId="77777777" w:rsidR="000C1C47" w:rsidRPr="004B5178" w:rsidRDefault="000C1C47" w:rsidP="000C1C47">
            <w:pPr>
              <w:jc w:val="center"/>
            </w:pPr>
            <w:r w:rsidRPr="004B5178">
              <w:t>1.296</w:t>
            </w:r>
          </w:p>
        </w:tc>
        <w:tc>
          <w:tcPr>
            <w:tcW w:w="1275" w:type="dxa"/>
          </w:tcPr>
          <w:p w14:paraId="63BDDFEF"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rPr>
                <w:rFonts w:eastAsia="MS Mincho"/>
              </w:rPr>
              <w:t>53%</w:t>
            </w:r>
          </w:p>
        </w:tc>
      </w:tr>
      <w:tr w:rsidR="00B863BC" w:rsidRPr="004B5178" w14:paraId="5CCFF9ED" w14:textId="77777777" w:rsidTr="00CD23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8" w:type="dxa"/>
            <w:noWrap/>
          </w:tcPr>
          <w:p w14:paraId="15E94BDC" w14:textId="77777777" w:rsidR="000C1C47" w:rsidRPr="004B5178" w:rsidRDefault="000C1C47" w:rsidP="000C1C47">
            <w:pPr>
              <w:rPr>
                <w:rFonts w:eastAsia="MS Mincho"/>
              </w:rPr>
            </w:pPr>
            <w:r w:rsidRPr="004B5178">
              <w:rPr>
                <w:rFonts w:eastAsia="MS Mincho"/>
              </w:rPr>
              <w:t>Year 2011/2012</w:t>
            </w:r>
          </w:p>
        </w:tc>
        <w:tc>
          <w:tcPr>
            <w:cnfStyle w:val="000010000000" w:firstRow="0" w:lastRow="0" w:firstColumn="0" w:lastColumn="0" w:oddVBand="1" w:evenVBand="0" w:oddHBand="0" w:evenHBand="0" w:firstRowFirstColumn="0" w:firstRowLastColumn="0" w:lastRowFirstColumn="0" w:lastRowLastColumn="0"/>
            <w:tcW w:w="1366" w:type="dxa"/>
            <w:noWrap/>
          </w:tcPr>
          <w:p w14:paraId="32100094" w14:textId="77777777" w:rsidR="000C1C47" w:rsidRPr="004B5178" w:rsidRDefault="000C1C47" w:rsidP="000C1C47">
            <w:pPr>
              <w:jc w:val="center"/>
            </w:pPr>
            <w:r w:rsidRPr="004B5178">
              <w:t>0.179</w:t>
            </w:r>
          </w:p>
        </w:tc>
        <w:tc>
          <w:tcPr>
            <w:tcW w:w="1332" w:type="dxa"/>
            <w:noWrap/>
          </w:tcPr>
          <w:p w14:paraId="2AF2F673"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t>1.196</w:t>
            </w:r>
          </w:p>
        </w:tc>
        <w:tc>
          <w:tcPr>
            <w:cnfStyle w:val="000010000000" w:firstRow="0" w:lastRow="0" w:firstColumn="0" w:lastColumn="0" w:oddVBand="1" w:evenVBand="0" w:oddHBand="0" w:evenHBand="0" w:firstRowFirstColumn="0" w:firstRowLastColumn="0" w:lastRowFirstColumn="0" w:lastRowLastColumn="0"/>
            <w:tcW w:w="1134" w:type="dxa"/>
            <w:noWrap/>
          </w:tcPr>
          <w:p w14:paraId="45E55499" w14:textId="77777777" w:rsidR="000C1C47" w:rsidRPr="004B5178" w:rsidRDefault="000C1C47" w:rsidP="000C1C47">
            <w:pPr>
              <w:jc w:val="center"/>
            </w:pPr>
            <w:r w:rsidRPr="004B5178">
              <w:t>0.006</w:t>
            </w:r>
          </w:p>
        </w:tc>
        <w:tc>
          <w:tcPr>
            <w:tcW w:w="851" w:type="dxa"/>
            <w:noWrap/>
          </w:tcPr>
          <w:p w14:paraId="09EB3B9D"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t>1.052</w:t>
            </w:r>
          </w:p>
        </w:tc>
        <w:tc>
          <w:tcPr>
            <w:cnfStyle w:val="000010000000" w:firstRow="0" w:lastRow="0" w:firstColumn="0" w:lastColumn="0" w:oddVBand="1" w:evenVBand="0" w:oddHBand="0" w:evenHBand="0" w:firstRowFirstColumn="0" w:firstRowLastColumn="0" w:lastRowFirstColumn="0" w:lastRowLastColumn="0"/>
            <w:tcW w:w="846" w:type="dxa"/>
          </w:tcPr>
          <w:p w14:paraId="205ABB32" w14:textId="77777777" w:rsidR="000C1C47" w:rsidRPr="004B5178" w:rsidRDefault="000C1C47" w:rsidP="000C1C47">
            <w:pPr>
              <w:jc w:val="center"/>
            </w:pPr>
            <w:r w:rsidRPr="004B5178">
              <w:t>1.359</w:t>
            </w:r>
          </w:p>
        </w:tc>
        <w:tc>
          <w:tcPr>
            <w:tcW w:w="1275" w:type="dxa"/>
          </w:tcPr>
          <w:p w14:paraId="53CC39BD" w14:textId="77777777" w:rsidR="000C1C47" w:rsidRPr="004B5178" w:rsidRDefault="000C1C47" w:rsidP="000C1C47">
            <w:pPr>
              <w:jc w:val="center"/>
              <w:cnfStyle w:val="000000100000" w:firstRow="0" w:lastRow="0" w:firstColumn="0" w:lastColumn="0" w:oddVBand="0" w:evenVBand="0" w:oddHBand="1" w:evenHBand="0" w:firstRowFirstColumn="0" w:firstRowLastColumn="0" w:lastRowFirstColumn="0" w:lastRowLastColumn="0"/>
            </w:pPr>
            <w:r w:rsidRPr="004B5178">
              <w:rPr>
                <w:rFonts w:eastAsia="MS Mincho"/>
              </w:rPr>
              <w:t>54%</w:t>
            </w:r>
          </w:p>
        </w:tc>
      </w:tr>
      <w:tr w:rsidR="00B863BC" w:rsidRPr="004B5178" w14:paraId="1ED83805" w14:textId="77777777" w:rsidTr="00CD2320">
        <w:trPr>
          <w:trHeight w:val="300"/>
        </w:trPr>
        <w:tc>
          <w:tcPr>
            <w:cnfStyle w:val="001000000000" w:firstRow="0" w:lastRow="0" w:firstColumn="1" w:lastColumn="0" w:oddVBand="0" w:evenVBand="0" w:oddHBand="0" w:evenHBand="0" w:firstRowFirstColumn="0" w:firstRowLastColumn="0" w:lastRowFirstColumn="0" w:lastRowLastColumn="0"/>
            <w:tcW w:w="1858" w:type="dxa"/>
            <w:noWrap/>
          </w:tcPr>
          <w:p w14:paraId="31B3D303" w14:textId="77777777" w:rsidR="000C1C47" w:rsidRPr="004B5178" w:rsidRDefault="000C1C47" w:rsidP="000C1C47">
            <w:pPr>
              <w:rPr>
                <w:rFonts w:eastAsia="MS Mincho"/>
              </w:rPr>
            </w:pPr>
            <w:r w:rsidRPr="004B5178">
              <w:rPr>
                <w:rFonts w:eastAsia="MS Mincho"/>
              </w:rPr>
              <w:t>Year 2012/2013</w:t>
            </w:r>
          </w:p>
        </w:tc>
        <w:tc>
          <w:tcPr>
            <w:cnfStyle w:val="000010000000" w:firstRow="0" w:lastRow="0" w:firstColumn="0" w:lastColumn="0" w:oddVBand="1" w:evenVBand="0" w:oddHBand="0" w:evenHBand="0" w:firstRowFirstColumn="0" w:firstRowLastColumn="0" w:lastRowFirstColumn="0" w:lastRowLastColumn="0"/>
            <w:tcW w:w="1366" w:type="dxa"/>
            <w:noWrap/>
          </w:tcPr>
          <w:p w14:paraId="5AB2F2BB" w14:textId="77777777" w:rsidR="000C1C47" w:rsidRPr="004B5178" w:rsidRDefault="000C1C47" w:rsidP="000C1C47">
            <w:pPr>
              <w:jc w:val="center"/>
            </w:pPr>
            <w:r w:rsidRPr="004B5178">
              <w:t>0.515</w:t>
            </w:r>
          </w:p>
        </w:tc>
        <w:tc>
          <w:tcPr>
            <w:tcW w:w="1332" w:type="dxa"/>
            <w:noWrap/>
          </w:tcPr>
          <w:p w14:paraId="1E16C534"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t>1.674</w:t>
            </w:r>
          </w:p>
        </w:tc>
        <w:tc>
          <w:tcPr>
            <w:cnfStyle w:val="000010000000" w:firstRow="0" w:lastRow="0" w:firstColumn="0" w:lastColumn="0" w:oddVBand="1" w:evenVBand="0" w:oddHBand="0" w:evenHBand="0" w:firstRowFirstColumn="0" w:firstRowLastColumn="0" w:lastRowFirstColumn="0" w:lastRowLastColumn="0"/>
            <w:tcW w:w="1134" w:type="dxa"/>
            <w:noWrap/>
          </w:tcPr>
          <w:p w14:paraId="6A982A7D" w14:textId="77777777" w:rsidR="000C1C47" w:rsidRPr="004B5178" w:rsidRDefault="000C1C47" w:rsidP="000C1C47">
            <w:pPr>
              <w:jc w:val="center"/>
            </w:pPr>
            <w:r w:rsidRPr="004B5178">
              <w:t>0.000</w:t>
            </w:r>
          </w:p>
        </w:tc>
        <w:tc>
          <w:tcPr>
            <w:tcW w:w="851" w:type="dxa"/>
            <w:noWrap/>
          </w:tcPr>
          <w:p w14:paraId="6AA2EC01"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t>1.450</w:t>
            </w:r>
          </w:p>
        </w:tc>
        <w:tc>
          <w:tcPr>
            <w:cnfStyle w:val="000010000000" w:firstRow="0" w:lastRow="0" w:firstColumn="0" w:lastColumn="0" w:oddVBand="1" w:evenVBand="0" w:oddHBand="0" w:evenHBand="0" w:firstRowFirstColumn="0" w:firstRowLastColumn="0" w:lastRowFirstColumn="0" w:lastRowLastColumn="0"/>
            <w:tcW w:w="846" w:type="dxa"/>
          </w:tcPr>
          <w:p w14:paraId="0744C01A" w14:textId="77777777" w:rsidR="000C1C47" w:rsidRPr="004B5178" w:rsidRDefault="000C1C47" w:rsidP="000C1C47">
            <w:pPr>
              <w:jc w:val="center"/>
            </w:pPr>
            <w:r w:rsidRPr="004B5178">
              <w:t>1.932</w:t>
            </w:r>
          </w:p>
        </w:tc>
        <w:tc>
          <w:tcPr>
            <w:tcW w:w="1275" w:type="dxa"/>
          </w:tcPr>
          <w:p w14:paraId="738A61D6" w14:textId="77777777" w:rsidR="000C1C47" w:rsidRPr="004B5178" w:rsidRDefault="000C1C47" w:rsidP="000C1C47">
            <w:pPr>
              <w:jc w:val="center"/>
              <w:cnfStyle w:val="000000000000" w:firstRow="0" w:lastRow="0" w:firstColumn="0" w:lastColumn="0" w:oddVBand="0" w:evenVBand="0" w:oddHBand="0" w:evenHBand="0" w:firstRowFirstColumn="0" w:firstRowLastColumn="0" w:lastRowFirstColumn="0" w:lastRowLastColumn="0"/>
            </w:pPr>
            <w:r w:rsidRPr="004B5178">
              <w:rPr>
                <w:rFonts w:eastAsia="MS Mincho"/>
              </w:rPr>
              <w:t>63%</w:t>
            </w:r>
          </w:p>
        </w:tc>
      </w:tr>
    </w:tbl>
    <w:p w14:paraId="10598036" w14:textId="1D7173B5" w:rsidR="000C1C47" w:rsidRPr="004B5178" w:rsidRDefault="000C1C47" w:rsidP="000C1C47">
      <w:pPr>
        <w:spacing w:before="60" w:after="60"/>
        <w:rPr>
          <w:rFonts w:eastAsia="MS Mincho"/>
        </w:rPr>
      </w:pPr>
    </w:p>
    <w:p w14:paraId="24709643" w14:textId="0E4141F7" w:rsidR="000C55A6" w:rsidRPr="004B5178" w:rsidRDefault="000C55A6" w:rsidP="000C1C47">
      <w:pPr>
        <w:spacing w:before="60" w:after="60"/>
        <w:rPr>
          <w:rFonts w:eastAsia="MS Mincho"/>
        </w:rPr>
      </w:pPr>
    </w:p>
    <w:p w14:paraId="788C47FD" w14:textId="38B2BC02" w:rsidR="000C55A6" w:rsidRPr="004B5178" w:rsidRDefault="000C55A6" w:rsidP="000C1C47">
      <w:pPr>
        <w:spacing w:before="60" w:after="60"/>
        <w:rPr>
          <w:rFonts w:eastAsia="MS Mincho"/>
        </w:rPr>
      </w:pPr>
    </w:p>
    <w:p w14:paraId="3BE35F62" w14:textId="77777777" w:rsidR="000C55A6" w:rsidRPr="004B5178" w:rsidRDefault="000C55A6" w:rsidP="000C1C47">
      <w:pPr>
        <w:spacing w:before="60" w:after="60"/>
        <w:rPr>
          <w:rFonts w:eastAsia="MS Mincho"/>
        </w:rPr>
      </w:pPr>
    </w:p>
    <w:p w14:paraId="5498622B" w14:textId="77777777" w:rsidR="000C1C47" w:rsidRPr="004B5178" w:rsidRDefault="000C1C47" w:rsidP="000C1C47">
      <w:pPr>
        <w:rPr>
          <w:rFonts w:eastAsia="MS Mincho"/>
          <w:b/>
        </w:rPr>
      </w:pPr>
      <w:r w:rsidRPr="004B5178">
        <w:rPr>
          <w:rFonts w:eastAsia="MS Mincho"/>
          <w:b/>
        </w:rPr>
        <w:t>B. Using or not the outcome to estimate missing values in the Glasgow Coma Scale</w:t>
      </w:r>
    </w:p>
    <w:p w14:paraId="74FB018E" w14:textId="77777777" w:rsidR="000C1C47" w:rsidRPr="004B5178" w:rsidRDefault="000C1C47" w:rsidP="000C1C47">
      <w:pPr>
        <w:rPr>
          <w:rFonts w:eastAsia="MS Mincho"/>
        </w:rPr>
      </w:pPr>
    </w:p>
    <w:p w14:paraId="5C77A10A" w14:textId="77777777" w:rsidR="000C1C47" w:rsidRPr="004B5178" w:rsidRDefault="000C1C47" w:rsidP="000967BB">
      <w:pPr>
        <w:numPr>
          <w:ilvl w:val="0"/>
          <w:numId w:val="10"/>
        </w:numPr>
        <w:contextualSpacing/>
        <w:rPr>
          <w:rFonts w:eastAsia="MS Mincho"/>
        </w:rPr>
      </w:pPr>
      <w:r w:rsidRPr="004B5178">
        <w:rPr>
          <w:rFonts w:eastAsia="MS Mincho"/>
        </w:rPr>
        <w:t xml:space="preserve">The Glasgow Coma Scale (GCS) is a clinical observation recording the conscious level of the patient. In 14.6% of cases in the period 2007/08 to 2012/13 the value for GCS is missing. One reason for this is that the patient has been intubated at the scene of the trauma incident but no GCS has been recorded – intubated patients represent 5.2% of the missing GCS in this same period. If that was the case a separate category was used as the variable value. For all other missing values for the GCS variable an </w:t>
      </w:r>
      <w:r w:rsidRPr="004B5178">
        <w:rPr>
          <w:rFonts w:eastAsia="MS Mincho"/>
          <w:b/>
        </w:rPr>
        <w:t xml:space="preserve">imputation method </w:t>
      </w:r>
      <w:r w:rsidRPr="004B5178">
        <w:rPr>
          <w:rFonts w:eastAsia="MS Mincho"/>
        </w:rPr>
        <w:t xml:space="preserve">is used.  </w:t>
      </w:r>
    </w:p>
    <w:p w14:paraId="7469F198" w14:textId="77777777" w:rsidR="000C1C47" w:rsidRPr="004B5178" w:rsidRDefault="000C1C47" w:rsidP="000C1C47">
      <w:pPr>
        <w:ind w:left="360"/>
        <w:contextualSpacing/>
        <w:rPr>
          <w:rFonts w:eastAsia="MS Mincho"/>
        </w:rPr>
      </w:pPr>
    </w:p>
    <w:p w14:paraId="1F6642D1" w14:textId="77777777" w:rsidR="000C1C47" w:rsidRPr="004B5178" w:rsidRDefault="000C1C47" w:rsidP="000967BB">
      <w:pPr>
        <w:numPr>
          <w:ilvl w:val="0"/>
          <w:numId w:val="10"/>
        </w:numPr>
        <w:contextualSpacing/>
        <w:rPr>
          <w:rFonts w:eastAsia="MS Mincho"/>
        </w:rPr>
      </w:pPr>
      <w:r w:rsidRPr="004B5178">
        <w:rPr>
          <w:rFonts w:eastAsia="MS Mincho"/>
          <w:b/>
        </w:rPr>
        <w:t>Imputation</w:t>
      </w:r>
      <w:r w:rsidRPr="004B5178">
        <w:rPr>
          <w:rFonts w:eastAsia="MS Mincho"/>
        </w:rPr>
        <w:t xml:space="preserve"> is the process of filling in ‘missing data’. To fill in missing data for the GCS variable the method of “multiple imputation” is used. Working with complete cases (excluding missing data) lead to biased regression estimates and as often the case, the patients with missing data are the ones with serious injuries and therefore need to be included in a model predicting outcome. The advantage of this method is that it produces standard errors that reflect the degree of uncertainty due to the multiple imputation procedure.</w:t>
      </w:r>
    </w:p>
    <w:p w14:paraId="311E034D" w14:textId="77777777" w:rsidR="000C1C47" w:rsidRPr="004B5178" w:rsidRDefault="000C1C47" w:rsidP="000C1C47">
      <w:pPr>
        <w:ind w:left="720"/>
        <w:contextualSpacing/>
        <w:rPr>
          <w:rFonts w:eastAsia="MS Mincho"/>
        </w:rPr>
      </w:pPr>
    </w:p>
    <w:p w14:paraId="67715D5D" w14:textId="77777777" w:rsidR="000C1C47" w:rsidRPr="004B5178" w:rsidRDefault="000C1C47" w:rsidP="000967BB">
      <w:pPr>
        <w:numPr>
          <w:ilvl w:val="0"/>
          <w:numId w:val="10"/>
        </w:numPr>
        <w:contextualSpacing/>
        <w:rPr>
          <w:rFonts w:eastAsia="MS Mincho"/>
        </w:rPr>
      </w:pPr>
      <w:r w:rsidRPr="004B5178">
        <w:rPr>
          <w:rFonts w:eastAsia="MS Mincho"/>
        </w:rPr>
        <w:t xml:space="preserve">The multiple imputation model used by TARN includes the outcome variable (surviving or not from major trauma at 30 days). The published literature suggests that using the outcome in the multiple imputation model produces estimates of missing values closer to the true values than estimates of missing values produced by excluding the outcome variable from the imputation model. </w:t>
      </w:r>
    </w:p>
    <w:p w14:paraId="0317A210" w14:textId="77777777" w:rsidR="000C1C47" w:rsidRPr="004B5178" w:rsidRDefault="000C1C47" w:rsidP="000C1C47">
      <w:pPr>
        <w:ind w:left="720"/>
        <w:contextualSpacing/>
        <w:rPr>
          <w:rFonts w:eastAsia="MS Mincho"/>
        </w:rPr>
      </w:pPr>
    </w:p>
    <w:p w14:paraId="3CB0FB28" w14:textId="77777777" w:rsidR="000C1C47" w:rsidRPr="004B5178" w:rsidRDefault="000C1C47" w:rsidP="000967BB">
      <w:pPr>
        <w:numPr>
          <w:ilvl w:val="0"/>
          <w:numId w:val="10"/>
        </w:numPr>
        <w:contextualSpacing/>
        <w:rPr>
          <w:rFonts w:eastAsia="MS Mincho"/>
        </w:rPr>
      </w:pPr>
      <w:r w:rsidRPr="004B5178">
        <w:rPr>
          <w:rFonts w:eastAsia="MS Mincho"/>
        </w:rPr>
        <w:t xml:space="preserve">For example, Moons et al. (2006; also cited by Sterne et al. 2009) used the regression coefficients and respective standards errors for </w:t>
      </w:r>
      <w:r w:rsidRPr="004B5178">
        <w:t>five predictors of pulmonary</w:t>
      </w:r>
      <w:r w:rsidRPr="004B5178">
        <w:rPr>
          <w:rFonts w:eastAsia="MS Mincho"/>
        </w:rPr>
        <w:t xml:space="preserve"> </w:t>
      </w:r>
      <w:r w:rsidRPr="004B5178">
        <w:t>embolism without missing values as a true set of values; assigned missing values to these predictors and then, using multiple imputation models including or not the outcome (a diagnosis of pulmonary embolism), compared the estimates of the outcome obtained with these imputation models with the true values. Their results showed that the imputation of missing predictor values using the outcome produced estimates of the outcome closer to the true values.</w:t>
      </w:r>
    </w:p>
    <w:p w14:paraId="6CA001FA" w14:textId="77777777" w:rsidR="000C1C47" w:rsidRPr="004B5178" w:rsidRDefault="000C1C47" w:rsidP="000C1C47">
      <w:pPr>
        <w:ind w:left="720"/>
        <w:contextualSpacing/>
        <w:rPr>
          <w:rFonts w:eastAsia="MS Mincho"/>
        </w:rPr>
      </w:pPr>
    </w:p>
    <w:p w14:paraId="5178B97F" w14:textId="77777777" w:rsidR="000C1C47" w:rsidRPr="004B5178" w:rsidRDefault="000C1C47" w:rsidP="000967BB">
      <w:pPr>
        <w:numPr>
          <w:ilvl w:val="0"/>
          <w:numId w:val="10"/>
        </w:numPr>
        <w:contextualSpacing/>
        <w:rPr>
          <w:rFonts w:eastAsia="MS Mincho"/>
        </w:rPr>
      </w:pPr>
      <w:r w:rsidRPr="004B5178">
        <w:rPr>
          <w:rFonts w:eastAsia="MS Mincho"/>
        </w:rPr>
        <w:t>Table 2 shows descriptive statistics for the all GCS values and imputed GCS values only when the outcome (survival from major trauma at 30 days of admission) is excluded from or included in the imputation of missing GCS values. Table 3 shows the coefficients, odds ratio and respective confidence intervals for the variables used to predict survival from major trauma when the outcome is excluded from or included in the imputation model.</w:t>
      </w:r>
    </w:p>
    <w:p w14:paraId="1F7129B6" w14:textId="77777777" w:rsidR="000C1C47" w:rsidRPr="004B5178" w:rsidRDefault="000C1C47" w:rsidP="000C1C47">
      <w:pPr>
        <w:ind w:left="720"/>
        <w:contextualSpacing/>
        <w:rPr>
          <w:rFonts w:eastAsia="MS Mincho"/>
        </w:rPr>
      </w:pPr>
    </w:p>
    <w:p w14:paraId="5359E629" w14:textId="77777777" w:rsidR="000C1C47" w:rsidRPr="004B5178" w:rsidRDefault="000C1C47" w:rsidP="000967BB">
      <w:pPr>
        <w:numPr>
          <w:ilvl w:val="0"/>
          <w:numId w:val="10"/>
        </w:numPr>
        <w:contextualSpacing/>
        <w:rPr>
          <w:rFonts w:eastAsia="MS Mincho"/>
        </w:rPr>
      </w:pPr>
      <w:r w:rsidRPr="004B5178">
        <w:rPr>
          <w:rFonts w:eastAsia="MS Mincho"/>
        </w:rPr>
        <w:t>Overall, the values for all the GCS and for the imputed GCS are quite similar when including or not the outcome variable in the imputation model (see table 2).</w:t>
      </w:r>
    </w:p>
    <w:p w14:paraId="3ADF91D4" w14:textId="77777777" w:rsidR="000C1C47" w:rsidRPr="004B5178" w:rsidRDefault="000C1C47" w:rsidP="000C1C47">
      <w:pPr>
        <w:pStyle w:val="ListParagraph"/>
        <w:rPr>
          <w:rFonts w:ascii="Arial" w:eastAsia="MS Mincho" w:hAnsi="Arial" w:cs="Arial"/>
        </w:rPr>
      </w:pPr>
    </w:p>
    <w:p w14:paraId="2DEA512D" w14:textId="77777777" w:rsidR="000C1C47" w:rsidRPr="004B5178" w:rsidRDefault="000C1C47" w:rsidP="000C1C47">
      <w:pPr>
        <w:contextualSpacing/>
        <w:rPr>
          <w:rFonts w:eastAsia="MS Mincho"/>
        </w:rPr>
        <w:sectPr w:rsidR="000C1C47" w:rsidRPr="004B5178" w:rsidSect="000C1C47">
          <w:headerReference w:type="default" r:id="rId10"/>
          <w:footerReference w:type="default" r:id="rId11"/>
          <w:pgSz w:w="16838" w:h="11906" w:orient="landscape"/>
          <w:pgMar w:top="851" w:right="1440" w:bottom="851" w:left="1440" w:header="709" w:footer="709" w:gutter="0"/>
          <w:cols w:space="708"/>
          <w:docGrid w:linePitch="360"/>
        </w:sectPr>
      </w:pPr>
    </w:p>
    <w:p w14:paraId="1138F90D" w14:textId="69FEA158" w:rsidR="000C1C47" w:rsidRDefault="000C1C47" w:rsidP="000C1C47">
      <w:pPr>
        <w:ind w:left="-567"/>
      </w:pPr>
      <w:r w:rsidRPr="004B5178">
        <w:rPr>
          <w:b/>
          <w:bCs/>
        </w:rPr>
        <w:lastRenderedPageBreak/>
        <w:t>Table 2.</w:t>
      </w:r>
      <w:r w:rsidRPr="004B5178">
        <w:rPr>
          <w:bCs/>
        </w:rPr>
        <w:t xml:space="preserve"> Descriptive statistics </w:t>
      </w:r>
      <w:r w:rsidRPr="004B5178">
        <w:t>for the all GCS values and imputed GCS values only when the outcome (survival from major trauma at 30 days of admission) is excluded from or included in the imputation of missing GCS values</w:t>
      </w:r>
    </w:p>
    <w:p w14:paraId="68809D49" w14:textId="291EDE13" w:rsidR="002F0E49" w:rsidRDefault="002F0E49" w:rsidP="000C1C47">
      <w:pPr>
        <w:ind w:left="-567"/>
        <w:rPr>
          <w:bCs/>
        </w:rPr>
      </w:pPr>
    </w:p>
    <w:p w14:paraId="005EAE7E" w14:textId="7A630B14" w:rsidR="002F0E49" w:rsidRDefault="002F0E49" w:rsidP="000C1C47">
      <w:pPr>
        <w:ind w:left="-567"/>
        <w:rPr>
          <w:b/>
          <w:bCs/>
        </w:rPr>
      </w:pPr>
      <w:r w:rsidRPr="004B5178">
        <w:rPr>
          <w:b/>
          <w:bCs/>
        </w:rPr>
        <w:t>Distribution of  All GCS excluding  Outcome from the imputation model</w:t>
      </w:r>
      <w:r w:rsidRPr="002F0E49">
        <w:rPr>
          <w:b/>
          <w:bCs/>
        </w:rPr>
        <w:t xml:space="preserve"> </w:t>
      </w:r>
      <w:r>
        <w:rPr>
          <w:b/>
          <w:bCs/>
        </w:rPr>
        <w:t xml:space="preserve">               </w:t>
      </w:r>
      <w:r w:rsidRPr="004B5178">
        <w:rPr>
          <w:b/>
          <w:bCs/>
        </w:rPr>
        <w:t xml:space="preserve">Distribution of  All GCS including  Outcome in </w:t>
      </w:r>
      <w:r>
        <w:rPr>
          <w:b/>
          <w:bCs/>
        </w:rPr>
        <w:t xml:space="preserve">    </w:t>
      </w:r>
    </w:p>
    <w:p w14:paraId="203A4F9A" w14:textId="3BED3071" w:rsidR="002F0E49" w:rsidRDefault="002F0E49" w:rsidP="000C1C47">
      <w:pPr>
        <w:ind w:left="-567"/>
        <w:rPr>
          <w:b/>
          <w:bCs/>
        </w:rPr>
      </w:pPr>
      <w:r>
        <w:rPr>
          <w:b/>
          <w:bCs/>
        </w:rPr>
        <w:t xml:space="preserve">                                                                                                                                          </w:t>
      </w:r>
      <w:r w:rsidRPr="004B5178">
        <w:rPr>
          <w:b/>
          <w:bCs/>
        </w:rPr>
        <w:t>the imputation model</w:t>
      </w:r>
    </w:p>
    <w:p w14:paraId="15683452" w14:textId="55A1BE52" w:rsidR="002F0E49" w:rsidRDefault="002F0E49" w:rsidP="000C1C47">
      <w:pPr>
        <w:ind w:left="-567"/>
        <w:rPr>
          <w:bCs/>
        </w:rPr>
      </w:pPr>
    </w:p>
    <w:p w14:paraId="757A54FA" w14:textId="113B92FC" w:rsidR="00DF3484" w:rsidRPr="00DF3484" w:rsidRDefault="00DF3484" w:rsidP="00DF3484">
      <w:pPr>
        <w:ind w:left="-567"/>
        <w:rPr>
          <w:bCs/>
        </w:rPr>
      </w:pPr>
      <w:r>
        <w:rPr>
          <w:bCs/>
        </w:rPr>
        <w:t xml:space="preserve">                                                                                       </w:t>
      </w:r>
      <w:r w:rsidRPr="00DF3484">
        <w:rPr>
          <w:bCs/>
        </w:rPr>
        <w:t>Percentiles</w:t>
      </w:r>
      <w:r w:rsidRPr="00DF3484">
        <w:rPr>
          <w:bCs/>
        </w:rPr>
        <w:tab/>
        <w:t>GCS Value</w:t>
      </w:r>
      <w:r w:rsidRPr="00DF3484">
        <w:rPr>
          <w:bCs/>
        </w:rPr>
        <w:tab/>
      </w:r>
      <w:r w:rsidRPr="00DF3484">
        <w:rPr>
          <w:bCs/>
        </w:rPr>
        <w:tab/>
      </w:r>
      <w:r w:rsidRPr="00DF3484">
        <w:rPr>
          <w:bCs/>
        </w:rPr>
        <w:tab/>
      </w:r>
      <w:r w:rsidRPr="00DF3484">
        <w:rPr>
          <w:bCs/>
        </w:rPr>
        <w:tab/>
        <w:t>Percentiles</w:t>
      </w:r>
      <w:r w:rsidRPr="00DF3484">
        <w:rPr>
          <w:bCs/>
        </w:rPr>
        <w:tab/>
        <w:t>GCS Value</w:t>
      </w:r>
    </w:p>
    <w:p w14:paraId="711AE1B2" w14:textId="77777777" w:rsidR="00DF3484" w:rsidRPr="00DF3484" w:rsidRDefault="00DF3484" w:rsidP="00DF3484">
      <w:pPr>
        <w:ind w:left="-567"/>
        <w:rPr>
          <w:bCs/>
        </w:rPr>
      </w:pPr>
      <w:r w:rsidRPr="00DF3484">
        <w:rPr>
          <w:bCs/>
        </w:rPr>
        <w:tab/>
      </w:r>
    </w:p>
    <w:p w14:paraId="2F516107" w14:textId="77777777" w:rsidR="00DF3484" w:rsidRPr="00DF3484" w:rsidRDefault="00DF3484" w:rsidP="00DF3484">
      <w:pPr>
        <w:ind w:left="-567"/>
        <w:rPr>
          <w:bCs/>
        </w:rPr>
      </w:pPr>
    </w:p>
    <w:p w14:paraId="60040AA7" w14:textId="77777777" w:rsidR="00DF3484" w:rsidRPr="00DF3484" w:rsidRDefault="00DF3484" w:rsidP="00DF3484">
      <w:pPr>
        <w:ind w:left="-567"/>
        <w:rPr>
          <w:bCs/>
        </w:rPr>
      </w:pPr>
    </w:p>
    <w:p w14:paraId="1619A2F4" w14:textId="77777777" w:rsidR="00DF3484" w:rsidRPr="00DF3484" w:rsidRDefault="00DF3484" w:rsidP="00DF3484">
      <w:pPr>
        <w:ind w:left="-567"/>
        <w:rPr>
          <w:bCs/>
        </w:rPr>
      </w:pPr>
    </w:p>
    <w:p w14:paraId="1C56B091" w14:textId="44C06DA9" w:rsidR="00DF3484" w:rsidRDefault="00DF3484" w:rsidP="000C1C47">
      <w:pPr>
        <w:ind w:left="-567"/>
        <w:rPr>
          <w:bCs/>
        </w:rPr>
      </w:pPr>
    </w:p>
    <w:p w14:paraId="253BD512" w14:textId="2FE4F63D" w:rsidR="00DF3484" w:rsidRPr="004B5178" w:rsidRDefault="000565DE" w:rsidP="000C1C47">
      <w:pPr>
        <w:ind w:left="-567"/>
        <w:rPr>
          <w:bCs/>
        </w:rPr>
      </w:pPr>
      <w:r>
        <w:t xml:space="preserve">                                                                                                   </w:t>
      </w:r>
      <w:r w:rsidRPr="004B5178">
        <w:t>Number of cases</w:t>
      </w:r>
      <w:r w:rsidRPr="000565DE">
        <w:t xml:space="preserve"> </w:t>
      </w:r>
      <w:r>
        <w:t xml:space="preserve">                                                             </w:t>
      </w:r>
      <w:r w:rsidRPr="002F0E49">
        <w:t xml:space="preserve">Number of cases                </w:t>
      </w:r>
      <w:r>
        <w:t xml:space="preserve">    </w:t>
      </w:r>
    </w:p>
    <w:tbl>
      <w:tblPr>
        <w:tblStyle w:val="PlainTable3"/>
        <w:tblW w:w="15934"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9"/>
        <w:gridCol w:w="2780"/>
        <w:gridCol w:w="1237"/>
        <w:gridCol w:w="326"/>
        <w:gridCol w:w="1814"/>
        <w:gridCol w:w="2144"/>
        <w:gridCol w:w="942"/>
        <w:gridCol w:w="1955"/>
        <w:gridCol w:w="873"/>
      </w:tblGrid>
      <w:tr w:rsidR="000565DE" w:rsidRPr="004B5178" w14:paraId="111EC410" w14:textId="2A633B23" w:rsidTr="000565DE">
        <w:trPr>
          <w:gridAfter w:val="2"/>
          <w:cnfStyle w:val="100000000000" w:firstRow="1" w:lastRow="0" w:firstColumn="0" w:lastColumn="0" w:oddVBand="0" w:evenVBand="0" w:oddHBand="0" w:evenHBand="0" w:firstRowFirstColumn="0" w:firstRowLastColumn="0" w:lastRowFirstColumn="0" w:lastRowLastColumn="0"/>
          <w:wAfter w:w="2828" w:type="dxa"/>
          <w:trHeight w:val="267"/>
        </w:trPr>
        <w:tc>
          <w:tcPr>
            <w:cnfStyle w:val="001000000100" w:firstRow="0" w:lastRow="0" w:firstColumn="1" w:lastColumn="0" w:oddVBand="0" w:evenVBand="0" w:oddHBand="0" w:evenHBand="0" w:firstRowFirstColumn="1" w:firstRowLastColumn="0" w:lastRowFirstColumn="0" w:lastRowLastColumn="0"/>
            <w:tcW w:w="1814" w:type="dxa"/>
            <w:noWrap/>
            <w:hideMark/>
          </w:tcPr>
          <w:p w14:paraId="253CAC58" w14:textId="77777777" w:rsidR="000565DE" w:rsidRPr="004B5178" w:rsidRDefault="000565DE" w:rsidP="000C1C47">
            <w:pPr>
              <w:jc w:val="center"/>
            </w:pPr>
            <w:r w:rsidRPr="004B5178">
              <w:t>1%</w:t>
            </w:r>
          </w:p>
        </w:tc>
        <w:tc>
          <w:tcPr>
            <w:tcW w:w="2049" w:type="dxa"/>
            <w:noWrap/>
            <w:hideMark/>
          </w:tcPr>
          <w:p w14:paraId="23AC8390" w14:textId="77777777" w:rsidR="000565DE" w:rsidRPr="004B5178" w:rsidRDefault="000565DE" w:rsidP="000C1C47">
            <w:pPr>
              <w:jc w:val="center"/>
              <w:cnfStyle w:val="100000000000" w:firstRow="1" w:lastRow="0" w:firstColumn="0" w:lastColumn="0" w:oddVBand="0" w:evenVBand="0" w:oddHBand="0" w:evenHBand="0" w:firstRowFirstColumn="0" w:firstRowLastColumn="0" w:lastRowFirstColumn="0" w:lastRowLastColumn="0"/>
            </w:pPr>
            <w:r w:rsidRPr="004B5178">
              <w:t>3</w:t>
            </w:r>
          </w:p>
        </w:tc>
        <w:tc>
          <w:tcPr>
            <w:tcW w:w="2780" w:type="dxa"/>
            <w:noWrap/>
            <w:hideMark/>
          </w:tcPr>
          <w:p w14:paraId="2C3FEBC1" w14:textId="77777777" w:rsidR="000565DE" w:rsidRPr="004B5178" w:rsidRDefault="000565DE" w:rsidP="000C1C47">
            <w:pPr>
              <w:jc w:val="center"/>
              <w:cnfStyle w:val="100000000000" w:firstRow="1" w:lastRow="0" w:firstColumn="0" w:lastColumn="0" w:oddVBand="0" w:evenVBand="0" w:oddHBand="0" w:evenHBand="0" w:firstRowFirstColumn="0" w:firstRowLastColumn="0" w:lastRowFirstColumn="0" w:lastRowLastColumn="0"/>
            </w:pPr>
          </w:p>
        </w:tc>
        <w:tc>
          <w:tcPr>
            <w:tcW w:w="1237" w:type="dxa"/>
            <w:noWrap/>
            <w:hideMark/>
          </w:tcPr>
          <w:p w14:paraId="2B4406AF" w14:textId="77777777" w:rsidR="000565DE" w:rsidRPr="004B5178" w:rsidRDefault="000565DE" w:rsidP="000C1C47">
            <w:pPr>
              <w:jc w:val="center"/>
              <w:cnfStyle w:val="100000000000" w:firstRow="1" w:lastRow="0" w:firstColumn="0" w:lastColumn="0" w:oddVBand="0" w:evenVBand="0" w:oddHBand="0" w:evenHBand="0" w:firstRowFirstColumn="0" w:firstRowLastColumn="0" w:lastRowFirstColumn="0" w:lastRowLastColumn="0"/>
            </w:pPr>
          </w:p>
        </w:tc>
        <w:tc>
          <w:tcPr>
            <w:tcW w:w="326" w:type="dxa"/>
            <w:noWrap/>
            <w:hideMark/>
          </w:tcPr>
          <w:p w14:paraId="6BC12A8F" w14:textId="77777777" w:rsidR="000565DE" w:rsidRPr="004B5178" w:rsidRDefault="000565DE" w:rsidP="000C1C47">
            <w:pPr>
              <w:cnfStyle w:val="100000000000" w:firstRow="1" w:lastRow="0" w:firstColumn="0" w:lastColumn="0" w:oddVBand="0" w:evenVBand="0" w:oddHBand="0" w:evenHBand="0" w:firstRowFirstColumn="0" w:firstRowLastColumn="0" w:lastRowFirstColumn="0" w:lastRowLastColumn="0"/>
            </w:pPr>
          </w:p>
        </w:tc>
        <w:tc>
          <w:tcPr>
            <w:tcW w:w="1814" w:type="dxa"/>
            <w:noWrap/>
            <w:hideMark/>
          </w:tcPr>
          <w:p w14:paraId="6C8A989F" w14:textId="77777777" w:rsidR="000565DE" w:rsidRPr="004B5178" w:rsidRDefault="000565DE" w:rsidP="000C1C47">
            <w:pPr>
              <w:jc w:val="center"/>
              <w:cnfStyle w:val="100000000000" w:firstRow="1" w:lastRow="0" w:firstColumn="0" w:lastColumn="0" w:oddVBand="0" w:evenVBand="0" w:oddHBand="0" w:evenHBand="0" w:firstRowFirstColumn="0" w:firstRowLastColumn="0" w:lastRowFirstColumn="0" w:lastRowLastColumn="0"/>
            </w:pPr>
            <w:r w:rsidRPr="004B5178">
              <w:t>1%</w:t>
            </w:r>
          </w:p>
        </w:tc>
        <w:tc>
          <w:tcPr>
            <w:tcW w:w="2144" w:type="dxa"/>
            <w:noWrap/>
            <w:hideMark/>
          </w:tcPr>
          <w:p w14:paraId="1C0E0287" w14:textId="77777777" w:rsidR="000565DE" w:rsidRPr="004B5178" w:rsidRDefault="000565DE" w:rsidP="000C1C47">
            <w:pPr>
              <w:jc w:val="center"/>
              <w:cnfStyle w:val="100000000000" w:firstRow="1" w:lastRow="0" w:firstColumn="0" w:lastColumn="0" w:oddVBand="0" w:evenVBand="0" w:oddHBand="0" w:evenHBand="0" w:firstRowFirstColumn="0" w:firstRowLastColumn="0" w:lastRowFirstColumn="0" w:lastRowLastColumn="0"/>
            </w:pPr>
            <w:r w:rsidRPr="004B5178">
              <w:t>3</w:t>
            </w:r>
          </w:p>
        </w:tc>
        <w:tc>
          <w:tcPr>
            <w:tcW w:w="942" w:type="dxa"/>
          </w:tcPr>
          <w:p w14:paraId="3BE088E7" w14:textId="77777777" w:rsidR="000565DE" w:rsidRPr="004B5178" w:rsidRDefault="000565DE" w:rsidP="000C1C47">
            <w:pPr>
              <w:jc w:val="center"/>
              <w:cnfStyle w:val="100000000000" w:firstRow="1" w:lastRow="0" w:firstColumn="0" w:lastColumn="0" w:oddVBand="0" w:evenVBand="0" w:oddHBand="0" w:evenHBand="0" w:firstRowFirstColumn="0" w:firstRowLastColumn="0" w:lastRowFirstColumn="0" w:lastRowLastColumn="0"/>
            </w:pPr>
          </w:p>
        </w:tc>
      </w:tr>
      <w:tr w:rsidR="000565DE" w:rsidRPr="004B5178" w14:paraId="4761DEE3" w14:textId="2FF0E1EE" w:rsidTr="000565DE">
        <w:trPr>
          <w:gridAfter w:val="2"/>
          <w:cnfStyle w:val="000000100000" w:firstRow="0" w:lastRow="0" w:firstColumn="0" w:lastColumn="0" w:oddVBand="0" w:evenVBand="0" w:oddHBand="1" w:evenHBand="0" w:firstRowFirstColumn="0" w:firstRowLastColumn="0" w:lastRowFirstColumn="0" w:lastRowLastColumn="0"/>
          <w:wAfter w:w="2828" w:type="dxa"/>
          <w:trHeight w:val="297"/>
        </w:trPr>
        <w:tc>
          <w:tcPr>
            <w:cnfStyle w:val="001000000000" w:firstRow="0" w:lastRow="0" w:firstColumn="1" w:lastColumn="0" w:oddVBand="0" w:evenVBand="0" w:oddHBand="0" w:evenHBand="0" w:firstRowFirstColumn="0" w:firstRowLastColumn="0" w:lastRowFirstColumn="0" w:lastRowLastColumn="0"/>
            <w:tcW w:w="1814" w:type="dxa"/>
            <w:noWrap/>
            <w:hideMark/>
          </w:tcPr>
          <w:p w14:paraId="645455D4" w14:textId="77777777" w:rsidR="000565DE" w:rsidRPr="004B5178" w:rsidRDefault="000565DE" w:rsidP="000C1C47">
            <w:pPr>
              <w:jc w:val="center"/>
            </w:pPr>
            <w:r w:rsidRPr="004B5178">
              <w:t>5%</w:t>
            </w:r>
          </w:p>
        </w:tc>
        <w:tc>
          <w:tcPr>
            <w:tcW w:w="2049" w:type="dxa"/>
            <w:noWrap/>
            <w:hideMark/>
          </w:tcPr>
          <w:p w14:paraId="126D92D1" w14:textId="77777777" w:rsidR="000565DE" w:rsidRPr="004B5178" w:rsidRDefault="000565DE" w:rsidP="000C1C47">
            <w:pPr>
              <w:jc w:val="center"/>
              <w:cnfStyle w:val="000000100000" w:firstRow="0" w:lastRow="0" w:firstColumn="0" w:lastColumn="0" w:oddVBand="0" w:evenVBand="0" w:oddHBand="1" w:evenHBand="0" w:firstRowFirstColumn="0" w:firstRowLastColumn="0" w:lastRowFirstColumn="0" w:lastRowLastColumn="0"/>
            </w:pPr>
            <w:r w:rsidRPr="004B5178">
              <w:t>6</w:t>
            </w:r>
          </w:p>
        </w:tc>
        <w:tc>
          <w:tcPr>
            <w:tcW w:w="2780" w:type="dxa"/>
            <w:noWrap/>
            <w:hideMark/>
          </w:tcPr>
          <w:p w14:paraId="10A60584" w14:textId="77777777" w:rsidR="000565DE" w:rsidRPr="004B5178" w:rsidRDefault="000565DE" w:rsidP="000C1C47">
            <w:pPr>
              <w:jc w:val="center"/>
              <w:cnfStyle w:val="000000100000" w:firstRow="0" w:lastRow="0" w:firstColumn="0" w:lastColumn="0" w:oddVBand="0" w:evenVBand="0" w:oddHBand="1" w:evenHBand="0" w:firstRowFirstColumn="0" w:firstRowLastColumn="0" w:lastRowFirstColumn="0" w:lastRowLastColumn="0"/>
            </w:pPr>
          </w:p>
        </w:tc>
        <w:tc>
          <w:tcPr>
            <w:tcW w:w="1237" w:type="dxa"/>
            <w:noWrap/>
            <w:hideMark/>
          </w:tcPr>
          <w:p w14:paraId="4C2E4529" w14:textId="77777777" w:rsidR="000565DE" w:rsidRPr="004B5178" w:rsidRDefault="000565DE" w:rsidP="000C1C47">
            <w:pPr>
              <w:jc w:val="center"/>
              <w:cnfStyle w:val="000000100000" w:firstRow="0" w:lastRow="0" w:firstColumn="0" w:lastColumn="0" w:oddVBand="0" w:evenVBand="0" w:oddHBand="1" w:evenHBand="0" w:firstRowFirstColumn="0" w:firstRowLastColumn="0" w:lastRowFirstColumn="0" w:lastRowLastColumn="0"/>
            </w:pPr>
          </w:p>
        </w:tc>
        <w:tc>
          <w:tcPr>
            <w:tcW w:w="326" w:type="dxa"/>
            <w:noWrap/>
            <w:hideMark/>
          </w:tcPr>
          <w:p w14:paraId="2620162E" w14:textId="77777777" w:rsidR="000565DE" w:rsidRPr="004B5178" w:rsidRDefault="000565DE" w:rsidP="000C1C47">
            <w:pPr>
              <w:cnfStyle w:val="000000100000" w:firstRow="0" w:lastRow="0" w:firstColumn="0" w:lastColumn="0" w:oddVBand="0" w:evenVBand="0" w:oddHBand="1" w:evenHBand="0" w:firstRowFirstColumn="0" w:firstRowLastColumn="0" w:lastRowFirstColumn="0" w:lastRowLastColumn="0"/>
            </w:pPr>
          </w:p>
        </w:tc>
        <w:tc>
          <w:tcPr>
            <w:tcW w:w="1814" w:type="dxa"/>
            <w:noWrap/>
            <w:hideMark/>
          </w:tcPr>
          <w:p w14:paraId="37FFA5D9" w14:textId="77777777" w:rsidR="000565DE" w:rsidRPr="004B5178" w:rsidRDefault="000565DE" w:rsidP="000C1C47">
            <w:pPr>
              <w:jc w:val="center"/>
              <w:cnfStyle w:val="000000100000" w:firstRow="0" w:lastRow="0" w:firstColumn="0" w:lastColumn="0" w:oddVBand="0" w:evenVBand="0" w:oddHBand="1" w:evenHBand="0" w:firstRowFirstColumn="0" w:firstRowLastColumn="0" w:lastRowFirstColumn="0" w:lastRowLastColumn="0"/>
            </w:pPr>
            <w:r w:rsidRPr="004B5178">
              <w:t>5%</w:t>
            </w:r>
          </w:p>
        </w:tc>
        <w:tc>
          <w:tcPr>
            <w:tcW w:w="2144" w:type="dxa"/>
            <w:noWrap/>
            <w:hideMark/>
          </w:tcPr>
          <w:p w14:paraId="658A4614" w14:textId="77777777" w:rsidR="000565DE" w:rsidRPr="004B5178" w:rsidRDefault="000565DE" w:rsidP="000C1C47">
            <w:pPr>
              <w:jc w:val="center"/>
              <w:cnfStyle w:val="000000100000" w:firstRow="0" w:lastRow="0" w:firstColumn="0" w:lastColumn="0" w:oddVBand="0" w:evenVBand="0" w:oddHBand="1" w:evenHBand="0" w:firstRowFirstColumn="0" w:firstRowLastColumn="0" w:lastRowFirstColumn="0" w:lastRowLastColumn="0"/>
            </w:pPr>
            <w:r w:rsidRPr="004B5178">
              <w:t>6</w:t>
            </w:r>
          </w:p>
        </w:tc>
        <w:tc>
          <w:tcPr>
            <w:tcW w:w="942" w:type="dxa"/>
          </w:tcPr>
          <w:p w14:paraId="47184366" w14:textId="77777777" w:rsidR="000565DE" w:rsidRPr="004B5178" w:rsidRDefault="000565DE" w:rsidP="000C1C47">
            <w:pPr>
              <w:jc w:val="center"/>
              <w:cnfStyle w:val="000000100000" w:firstRow="0" w:lastRow="0" w:firstColumn="0" w:lastColumn="0" w:oddVBand="0" w:evenVBand="0" w:oddHBand="1" w:evenHBand="0" w:firstRowFirstColumn="0" w:firstRowLastColumn="0" w:lastRowFirstColumn="0" w:lastRowLastColumn="0"/>
            </w:pPr>
          </w:p>
        </w:tc>
      </w:tr>
      <w:tr w:rsidR="000565DE" w:rsidRPr="004B5178" w14:paraId="4051B0AB" w14:textId="08DE7507" w:rsidTr="000565DE">
        <w:trPr>
          <w:gridAfter w:val="2"/>
          <w:wAfter w:w="2828" w:type="dxa"/>
          <w:trHeight w:val="297"/>
        </w:trPr>
        <w:tc>
          <w:tcPr>
            <w:cnfStyle w:val="001000000000" w:firstRow="0" w:lastRow="0" w:firstColumn="1" w:lastColumn="0" w:oddVBand="0" w:evenVBand="0" w:oddHBand="0" w:evenHBand="0" w:firstRowFirstColumn="0" w:firstRowLastColumn="0" w:lastRowFirstColumn="0" w:lastRowLastColumn="0"/>
            <w:tcW w:w="1814" w:type="dxa"/>
            <w:noWrap/>
            <w:hideMark/>
          </w:tcPr>
          <w:p w14:paraId="10B0934B" w14:textId="0452596C" w:rsidR="000565DE" w:rsidRPr="004B5178" w:rsidRDefault="000565DE" w:rsidP="002F0E49">
            <w:pPr>
              <w:jc w:val="center"/>
            </w:pPr>
            <w:r w:rsidRPr="004B5178">
              <w:t>10%</w:t>
            </w:r>
          </w:p>
        </w:tc>
        <w:tc>
          <w:tcPr>
            <w:tcW w:w="2049" w:type="dxa"/>
            <w:noWrap/>
            <w:hideMark/>
          </w:tcPr>
          <w:p w14:paraId="610F5C24"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11</w:t>
            </w:r>
          </w:p>
        </w:tc>
        <w:tc>
          <w:tcPr>
            <w:tcW w:w="2780" w:type="dxa"/>
            <w:noWrap/>
            <w:hideMark/>
          </w:tcPr>
          <w:p w14:paraId="254EBE40" w14:textId="299E1E20"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c>
          <w:tcPr>
            <w:tcW w:w="1237" w:type="dxa"/>
            <w:noWrap/>
            <w:hideMark/>
          </w:tcPr>
          <w:p w14:paraId="58E569AD"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80669</w:t>
            </w:r>
          </w:p>
        </w:tc>
        <w:tc>
          <w:tcPr>
            <w:tcW w:w="326" w:type="dxa"/>
            <w:noWrap/>
            <w:hideMark/>
          </w:tcPr>
          <w:p w14:paraId="7413F62C" w14:textId="77777777" w:rsidR="000565DE" w:rsidRPr="004B5178" w:rsidRDefault="000565DE" w:rsidP="002F0E49">
            <w:pPr>
              <w:cnfStyle w:val="000000000000" w:firstRow="0" w:lastRow="0" w:firstColumn="0" w:lastColumn="0" w:oddVBand="0" w:evenVBand="0" w:oddHBand="0" w:evenHBand="0" w:firstRowFirstColumn="0" w:firstRowLastColumn="0" w:lastRowFirstColumn="0" w:lastRowLastColumn="0"/>
            </w:pPr>
          </w:p>
        </w:tc>
        <w:tc>
          <w:tcPr>
            <w:tcW w:w="1814" w:type="dxa"/>
            <w:noWrap/>
            <w:hideMark/>
          </w:tcPr>
          <w:p w14:paraId="3CD7FE81"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10%</w:t>
            </w:r>
          </w:p>
        </w:tc>
        <w:tc>
          <w:tcPr>
            <w:tcW w:w="2144" w:type="dxa"/>
            <w:noWrap/>
            <w:hideMark/>
          </w:tcPr>
          <w:p w14:paraId="454B72E7"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11</w:t>
            </w:r>
          </w:p>
        </w:tc>
        <w:tc>
          <w:tcPr>
            <w:tcW w:w="942" w:type="dxa"/>
          </w:tcPr>
          <w:p w14:paraId="593C4045"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r>
      <w:tr w:rsidR="000565DE" w:rsidRPr="004B5178" w14:paraId="1A0BA933" w14:textId="77777777" w:rsidTr="000565D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14" w:type="dxa"/>
            <w:noWrap/>
            <w:hideMark/>
          </w:tcPr>
          <w:p w14:paraId="18F353C9" w14:textId="0FC71E49" w:rsidR="000565DE" w:rsidRPr="004B5178" w:rsidRDefault="000565DE" w:rsidP="002F0E49">
            <w:pPr>
              <w:jc w:val="center"/>
            </w:pPr>
            <w:r>
              <w:t xml:space="preserve"> </w:t>
            </w:r>
            <w:r w:rsidRPr="004B5178">
              <w:t>25% (Q1)</w:t>
            </w:r>
          </w:p>
        </w:tc>
        <w:tc>
          <w:tcPr>
            <w:tcW w:w="2049" w:type="dxa"/>
            <w:noWrap/>
            <w:hideMark/>
          </w:tcPr>
          <w:p w14:paraId="49E1FA52"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14</w:t>
            </w:r>
          </w:p>
        </w:tc>
        <w:tc>
          <w:tcPr>
            <w:tcW w:w="2780" w:type="dxa"/>
            <w:noWrap/>
            <w:hideMark/>
          </w:tcPr>
          <w:p w14:paraId="7D4CED62"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(excluding the 624 intubated patients with missing GCS)</w:t>
            </w:r>
          </w:p>
        </w:tc>
        <w:tc>
          <w:tcPr>
            <w:tcW w:w="1237" w:type="dxa"/>
            <w:noWrap/>
            <w:hideMark/>
          </w:tcPr>
          <w:p w14:paraId="0B3BC164"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p>
        </w:tc>
        <w:tc>
          <w:tcPr>
            <w:tcW w:w="326" w:type="dxa"/>
            <w:noWrap/>
            <w:hideMark/>
          </w:tcPr>
          <w:p w14:paraId="0E76C550" w14:textId="77777777" w:rsidR="000565DE" w:rsidRPr="004B5178" w:rsidRDefault="000565DE" w:rsidP="002F0E49">
            <w:pPr>
              <w:cnfStyle w:val="000000100000" w:firstRow="0" w:lastRow="0" w:firstColumn="0" w:lastColumn="0" w:oddVBand="0" w:evenVBand="0" w:oddHBand="1" w:evenHBand="0" w:firstRowFirstColumn="0" w:firstRowLastColumn="0" w:lastRowFirstColumn="0" w:lastRowLastColumn="0"/>
            </w:pPr>
          </w:p>
        </w:tc>
        <w:tc>
          <w:tcPr>
            <w:tcW w:w="1814" w:type="dxa"/>
            <w:noWrap/>
            <w:hideMark/>
          </w:tcPr>
          <w:p w14:paraId="7D7C5970"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25% (Q1)</w:t>
            </w:r>
          </w:p>
        </w:tc>
        <w:tc>
          <w:tcPr>
            <w:tcW w:w="2144" w:type="dxa"/>
            <w:noWrap/>
            <w:hideMark/>
          </w:tcPr>
          <w:p w14:paraId="2680138D"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14</w:t>
            </w:r>
          </w:p>
        </w:tc>
        <w:tc>
          <w:tcPr>
            <w:tcW w:w="942" w:type="dxa"/>
          </w:tcPr>
          <w:p w14:paraId="2F1F27E5" w14:textId="0910A325"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t>80669</w:t>
            </w:r>
          </w:p>
        </w:tc>
        <w:tc>
          <w:tcPr>
            <w:tcW w:w="1955" w:type="dxa"/>
            <w:noWrap/>
            <w:hideMark/>
          </w:tcPr>
          <w:p w14:paraId="1A7AD76D" w14:textId="777A6FC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(excluding the 624 intubated patients with missing GCS)</w:t>
            </w:r>
          </w:p>
        </w:tc>
        <w:tc>
          <w:tcPr>
            <w:tcW w:w="873" w:type="dxa"/>
            <w:noWrap/>
            <w:hideMark/>
          </w:tcPr>
          <w:p w14:paraId="75A723D8" w14:textId="77777777" w:rsidR="000565DE" w:rsidRPr="004B5178" w:rsidRDefault="000565DE" w:rsidP="002F0E49">
            <w:pPr>
              <w:cnfStyle w:val="000000100000" w:firstRow="0" w:lastRow="0" w:firstColumn="0" w:lastColumn="0" w:oddVBand="0" w:evenVBand="0" w:oddHBand="1" w:evenHBand="0" w:firstRowFirstColumn="0" w:firstRowLastColumn="0" w:lastRowFirstColumn="0" w:lastRowLastColumn="0"/>
            </w:pPr>
          </w:p>
        </w:tc>
      </w:tr>
      <w:tr w:rsidR="000565DE" w:rsidRPr="004B5178" w14:paraId="74BA23FD" w14:textId="77777777" w:rsidTr="000565DE">
        <w:trPr>
          <w:trHeight w:val="297"/>
        </w:trPr>
        <w:tc>
          <w:tcPr>
            <w:cnfStyle w:val="001000000000" w:firstRow="0" w:lastRow="0" w:firstColumn="1" w:lastColumn="0" w:oddVBand="0" w:evenVBand="0" w:oddHBand="0" w:evenHBand="0" w:firstRowFirstColumn="0" w:firstRowLastColumn="0" w:lastRowFirstColumn="0" w:lastRowLastColumn="0"/>
            <w:tcW w:w="1814" w:type="dxa"/>
            <w:noWrap/>
            <w:hideMark/>
          </w:tcPr>
          <w:p w14:paraId="4C66B73C" w14:textId="77777777" w:rsidR="000565DE" w:rsidRPr="004B5178" w:rsidRDefault="000565DE" w:rsidP="002F0E49">
            <w:pPr>
              <w:jc w:val="center"/>
            </w:pPr>
            <w:r w:rsidRPr="004B5178">
              <w:t>50% (Med)</w:t>
            </w:r>
          </w:p>
        </w:tc>
        <w:tc>
          <w:tcPr>
            <w:tcW w:w="2049" w:type="dxa"/>
            <w:noWrap/>
            <w:hideMark/>
          </w:tcPr>
          <w:p w14:paraId="1B904AFF"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15</w:t>
            </w:r>
          </w:p>
        </w:tc>
        <w:tc>
          <w:tcPr>
            <w:tcW w:w="2780" w:type="dxa"/>
            <w:noWrap/>
            <w:hideMark/>
          </w:tcPr>
          <w:p w14:paraId="0999D615"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Mean</w:t>
            </w:r>
          </w:p>
        </w:tc>
        <w:tc>
          <w:tcPr>
            <w:tcW w:w="1237" w:type="dxa"/>
            <w:noWrap/>
            <w:hideMark/>
          </w:tcPr>
          <w:p w14:paraId="6DB69501"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13.88</w:t>
            </w:r>
          </w:p>
        </w:tc>
        <w:tc>
          <w:tcPr>
            <w:tcW w:w="326" w:type="dxa"/>
            <w:noWrap/>
            <w:hideMark/>
          </w:tcPr>
          <w:p w14:paraId="107F3C1B" w14:textId="77777777" w:rsidR="000565DE" w:rsidRPr="004B5178" w:rsidRDefault="000565DE" w:rsidP="002F0E49">
            <w:pPr>
              <w:cnfStyle w:val="000000000000" w:firstRow="0" w:lastRow="0" w:firstColumn="0" w:lastColumn="0" w:oddVBand="0" w:evenVBand="0" w:oddHBand="0" w:evenHBand="0" w:firstRowFirstColumn="0" w:firstRowLastColumn="0" w:lastRowFirstColumn="0" w:lastRowLastColumn="0"/>
            </w:pPr>
          </w:p>
        </w:tc>
        <w:tc>
          <w:tcPr>
            <w:tcW w:w="1814" w:type="dxa"/>
            <w:noWrap/>
            <w:hideMark/>
          </w:tcPr>
          <w:p w14:paraId="7C318B48"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50% (Med)</w:t>
            </w:r>
          </w:p>
        </w:tc>
        <w:tc>
          <w:tcPr>
            <w:tcW w:w="2144" w:type="dxa"/>
            <w:noWrap/>
            <w:hideMark/>
          </w:tcPr>
          <w:p w14:paraId="13B94132"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15</w:t>
            </w:r>
          </w:p>
        </w:tc>
        <w:tc>
          <w:tcPr>
            <w:tcW w:w="942" w:type="dxa"/>
          </w:tcPr>
          <w:p w14:paraId="1188DCF7" w14:textId="77777777" w:rsidR="000565DE" w:rsidRPr="004B5178" w:rsidRDefault="000565DE" w:rsidP="002F0E49">
            <w:pPr>
              <w:ind w:right="-250"/>
              <w:jc w:val="center"/>
              <w:cnfStyle w:val="000000000000" w:firstRow="0" w:lastRow="0" w:firstColumn="0" w:lastColumn="0" w:oddVBand="0" w:evenVBand="0" w:oddHBand="0" w:evenHBand="0" w:firstRowFirstColumn="0" w:firstRowLastColumn="0" w:lastRowFirstColumn="0" w:lastRowLastColumn="0"/>
            </w:pPr>
          </w:p>
        </w:tc>
        <w:tc>
          <w:tcPr>
            <w:tcW w:w="1955" w:type="dxa"/>
            <w:noWrap/>
            <w:hideMark/>
          </w:tcPr>
          <w:p w14:paraId="4506CE57" w14:textId="594A46BE" w:rsidR="000565DE" w:rsidRPr="004B5178" w:rsidRDefault="000565DE" w:rsidP="002F0E49">
            <w:pPr>
              <w:ind w:right="-250"/>
              <w:jc w:val="center"/>
              <w:cnfStyle w:val="000000000000" w:firstRow="0" w:lastRow="0" w:firstColumn="0" w:lastColumn="0" w:oddVBand="0" w:evenVBand="0" w:oddHBand="0" w:evenHBand="0" w:firstRowFirstColumn="0" w:firstRowLastColumn="0" w:lastRowFirstColumn="0" w:lastRowLastColumn="0"/>
            </w:pPr>
            <w:r w:rsidRPr="004B5178">
              <w:t>Mean</w:t>
            </w:r>
          </w:p>
        </w:tc>
        <w:tc>
          <w:tcPr>
            <w:tcW w:w="873" w:type="dxa"/>
            <w:noWrap/>
            <w:hideMark/>
          </w:tcPr>
          <w:p w14:paraId="3126BBC5"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13.87</w:t>
            </w:r>
          </w:p>
        </w:tc>
      </w:tr>
      <w:tr w:rsidR="000565DE" w:rsidRPr="004B5178" w14:paraId="1C22B349" w14:textId="77777777" w:rsidTr="000565D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14" w:type="dxa"/>
            <w:noWrap/>
            <w:hideMark/>
          </w:tcPr>
          <w:p w14:paraId="2403A11D" w14:textId="77777777" w:rsidR="000565DE" w:rsidRPr="004B5178" w:rsidRDefault="000565DE" w:rsidP="002F0E49">
            <w:pPr>
              <w:jc w:val="center"/>
            </w:pPr>
            <w:r w:rsidRPr="004B5178">
              <w:t>75% (Q3)</w:t>
            </w:r>
          </w:p>
        </w:tc>
        <w:tc>
          <w:tcPr>
            <w:tcW w:w="2049" w:type="dxa"/>
            <w:noWrap/>
            <w:hideMark/>
          </w:tcPr>
          <w:p w14:paraId="3A48A748"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15</w:t>
            </w:r>
          </w:p>
        </w:tc>
        <w:tc>
          <w:tcPr>
            <w:tcW w:w="2780" w:type="dxa"/>
            <w:noWrap/>
            <w:hideMark/>
          </w:tcPr>
          <w:p w14:paraId="10465584"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Std. Dev.</w:t>
            </w:r>
          </w:p>
        </w:tc>
        <w:tc>
          <w:tcPr>
            <w:tcW w:w="1237" w:type="dxa"/>
            <w:noWrap/>
            <w:hideMark/>
          </w:tcPr>
          <w:p w14:paraId="754B730E"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2.77</w:t>
            </w:r>
          </w:p>
        </w:tc>
        <w:tc>
          <w:tcPr>
            <w:tcW w:w="326" w:type="dxa"/>
            <w:noWrap/>
            <w:hideMark/>
          </w:tcPr>
          <w:p w14:paraId="6A89D293" w14:textId="77777777" w:rsidR="000565DE" w:rsidRPr="004B5178" w:rsidRDefault="000565DE" w:rsidP="002F0E49">
            <w:pPr>
              <w:cnfStyle w:val="000000100000" w:firstRow="0" w:lastRow="0" w:firstColumn="0" w:lastColumn="0" w:oddVBand="0" w:evenVBand="0" w:oddHBand="1" w:evenHBand="0" w:firstRowFirstColumn="0" w:firstRowLastColumn="0" w:lastRowFirstColumn="0" w:lastRowLastColumn="0"/>
            </w:pPr>
          </w:p>
        </w:tc>
        <w:tc>
          <w:tcPr>
            <w:tcW w:w="1814" w:type="dxa"/>
            <w:noWrap/>
            <w:hideMark/>
          </w:tcPr>
          <w:p w14:paraId="44604039"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75% (Q3)</w:t>
            </w:r>
          </w:p>
        </w:tc>
        <w:tc>
          <w:tcPr>
            <w:tcW w:w="2144" w:type="dxa"/>
            <w:noWrap/>
            <w:hideMark/>
          </w:tcPr>
          <w:p w14:paraId="3B8C96FC"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15</w:t>
            </w:r>
          </w:p>
        </w:tc>
        <w:tc>
          <w:tcPr>
            <w:tcW w:w="942" w:type="dxa"/>
          </w:tcPr>
          <w:p w14:paraId="4F9F4064"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p>
        </w:tc>
        <w:tc>
          <w:tcPr>
            <w:tcW w:w="1955" w:type="dxa"/>
            <w:noWrap/>
            <w:hideMark/>
          </w:tcPr>
          <w:p w14:paraId="1B8917F1" w14:textId="4A919F76"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Std. Dev.</w:t>
            </w:r>
          </w:p>
        </w:tc>
        <w:tc>
          <w:tcPr>
            <w:tcW w:w="873" w:type="dxa"/>
            <w:noWrap/>
            <w:hideMark/>
          </w:tcPr>
          <w:p w14:paraId="75683C95"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2.78</w:t>
            </w:r>
          </w:p>
        </w:tc>
      </w:tr>
      <w:tr w:rsidR="000565DE" w:rsidRPr="004B5178" w14:paraId="7594419F" w14:textId="2B7623F5" w:rsidTr="000565DE">
        <w:trPr>
          <w:gridAfter w:val="2"/>
          <w:wAfter w:w="2828" w:type="dxa"/>
          <w:trHeight w:val="297"/>
        </w:trPr>
        <w:tc>
          <w:tcPr>
            <w:cnfStyle w:val="001000000000" w:firstRow="0" w:lastRow="0" w:firstColumn="1" w:lastColumn="0" w:oddVBand="0" w:evenVBand="0" w:oddHBand="0" w:evenHBand="0" w:firstRowFirstColumn="0" w:firstRowLastColumn="0" w:lastRowFirstColumn="0" w:lastRowLastColumn="0"/>
            <w:tcW w:w="1814" w:type="dxa"/>
            <w:noWrap/>
            <w:hideMark/>
          </w:tcPr>
          <w:p w14:paraId="7A44AC6A" w14:textId="77777777" w:rsidR="000565DE" w:rsidRPr="004B5178" w:rsidRDefault="000565DE" w:rsidP="002F0E49">
            <w:pPr>
              <w:jc w:val="center"/>
            </w:pPr>
            <w:r w:rsidRPr="004B5178">
              <w:t>90%</w:t>
            </w:r>
          </w:p>
        </w:tc>
        <w:tc>
          <w:tcPr>
            <w:tcW w:w="2049" w:type="dxa"/>
            <w:noWrap/>
            <w:hideMark/>
          </w:tcPr>
          <w:p w14:paraId="379767DA"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15</w:t>
            </w:r>
          </w:p>
        </w:tc>
        <w:tc>
          <w:tcPr>
            <w:tcW w:w="2780" w:type="dxa"/>
            <w:noWrap/>
            <w:hideMark/>
          </w:tcPr>
          <w:p w14:paraId="4677EE16"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c>
          <w:tcPr>
            <w:tcW w:w="1237" w:type="dxa"/>
            <w:noWrap/>
            <w:hideMark/>
          </w:tcPr>
          <w:p w14:paraId="01F59E4F"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c>
          <w:tcPr>
            <w:tcW w:w="326" w:type="dxa"/>
            <w:noWrap/>
            <w:hideMark/>
          </w:tcPr>
          <w:p w14:paraId="46C6E7C8" w14:textId="77777777" w:rsidR="000565DE" w:rsidRPr="004B5178" w:rsidRDefault="000565DE" w:rsidP="002F0E49">
            <w:pPr>
              <w:cnfStyle w:val="000000000000" w:firstRow="0" w:lastRow="0" w:firstColumn="0" w:lastColumn="0" w:oddVBand="0" w:evenVBand="0" w:oddHBand="0" w:evenHBand="0" w:firstRowFirstColumn="0" w:firstRowLastColumn="0" w:lastRowFirstColumn="0" w:lastRowLastColumn="0"/>
            </w:pPr>
          </w:p>
        </w:tc>
        <w:tc>
          <w:tcPr>
            <w:tcW w:w="1814" w:type="dxa"/>
            <w:noWrap/>
            <w:hideMark/>
          </w:tcPr>
          <w:p w14:paraId="57B6CE81"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90%</w:t>
            </w:r>
          </w:p>
        </w:tc>
        <w:tc>
          <w:tcPr>
            <w:tcW w:w="2144" w:type="dxa"/>
            <w:noWrap/>
            <w:hideMark/>
          </w:tcPr>
          <w:p w14:paraId="1B1D1C75"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15</w:t>
            </w:r>
          </w:p>
        </w:tc>
        <w:tc>
          <w:tcPr>
            <w:tcW w:w="942" w:type="dxa"/>
          </w:tcPr>
          <w:p w14:paraId="6E4E297F"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r>
      <w:tr w:rsidR="000565DE" w:rsidRPr="004B5178" w14:paraId="70769FBA" w14:textId="479ACF84" w:rsidTr="000565DE">
        <w:trPr>
          <w:gridAfter w:val="2"/>
          <w:cnfStyle w:val="000000100000" w:firstRow="0" w:lastRow="0" w:firstColumn="0" w:lastColumn="0" w:oddVBand="0" w:evenVBand="0" w:oddHBand="1" w:evenHBand="0" w:firstRowFirstColumn="0" w:firstRowLastColumn="0" w:lastRowFirstColumn="0" w:lastRowLastColumn="0"/>
          <w:wAfter w:w="2828" w:type="dxa"/>
          <w:trHeight w:val="297"/>
        </w:trPr>
        <w:tc>
          <w:tcPr>
            <w:cnfStyle w:val="001000000000" w:firstRow="0" w:lastRow="0" w:firstColumn="1" w:lastColumn="0" w:oddVBand="0" w:evenVBand="0" w:oddHBand="0" w:evenHBand="0" w:firstRowFirstColumn="0" w:firstRowLastColumn="0" w:lastRowFirstColumn="0" w:lastRowLastColumn="0"/>
            <w:tcW w:w="1814" w:type="dxa"/>
            <w:noWrap/>
            <w:hideMark/>
          </w:tcPr>
          <w:p w14:paraId="53A658FC" w14:textId="77777777" w:rsidR="000565DE" w:rsidRPr="004B5178" w:rsidRDefault="000565DE" w:rsidP="002F0E49">
            <w:pPr>
              <w:jc w:val="center"/>
            </w:pPr>
            <w:r w:rsidRPr="004B5178">
              <w:t>95%</w:t>
            </w:r>
          </w:p>
        </w:tc>
        <w:tc>
          <w:tcPr>
            <w:tcW w:w="2049" w:type="dxa"/>
            <w:noWrap/>
            <w:hideMark/>
          </w:tcPr>
          <w:p w14:paraId="2FB0AEDD"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15</w:t>
            </w:r>
          </w:p>
        </w:tc>
        <w:tc>
          <w:tcPr>
            <w:tcW w:w="2780" w:type="dxa"/>
            <w:noWrap/>
            <w:hideMark/>
          </w:tcPr>
          <w:p w14:paraId="28311CAB"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p>
        </w:tc>
        <w:tc>
          <w:tcPr>
            <w:tcW w:w="1237" w:type="dxa"/>
            <w:noWrap/>
            <w:hideMark/>
          </w:tcPr>
          <w:p w14:paraId="7F25916D"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p>
        </w:tc>
        <w:tc>
          <w:tcPr>
            <w:tcW w:w="326" w:type="dxa"/>
            <w:noWrap/>
            <w:hideMark/>
          </w:tcPr>
          <w:p w14:paraId="5F490379" w14:textId="77777777" w:rsidR="000565DE" w:rsidRPr="004B5178" w:rsidRDefault="000565DE" w:rsidP="002F0E49">
            <w:pPr>
              <w:cnfStyle w:val="000000100000" w:firstRow="0" w:lastRow="0" w:firstColumn="0" w:lastColumn="0" w:oddVBand="0" w:evenVBand="0" w:oddHBand="1" w:evenHBand="0" w:firstRowFirstColumn="0" w:firstRowLastColumn="0" w:lastRowFirstColumn="0" w:lastRowLastColumn="0"/>
            </w:pPr>
          </w:p>
        </w:tc>
        <w:tc>
          <w:tcPr>
            <w:tcW w:w="1814" w:type="dxa"/>
            <w:noWrap/>
            <w:hideMark/>
          </w:tcPr>
          <w:p w14:paraId="0F1722FC"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95%</w:t>
            </w:r>
          </w:p>
        </w:tc>
        <w:tc>
          <w:tcPr>
            <w:tcW w:w="2144" w:type="dxa"/>
            <w:noWrap/>
            <w:hideMark/>
          </w:tcPr>
          <w:p w14:paraId="05A5D1DA"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r w:rsidRPr="004B5178">
              <w:t>15</w:t>
            </w:r>
          </w:p>
        </w:tc>
        <w:tc>
          <w:tcPr>
            <w:tcW w:w="942" w:type="dxa"/>
          </w:tcPr>
          <w:p w14:paraId="1917E7D4" w14:textId="77777777" w:rsidR="000565DE" w:rsidRPr="004B5178" w:rsidRDefault="000565DE" w:rsidP="002F0E49">
            <w:pPr>
              <w:jc w:val="center"/>
              <w:cnfStyle w:val="000000100000" w:firstRow="0" w:lastRow="0" w:firstColumn="0" w:lastColumn="0" w:oddVBand="0" w:evenVBand="0" w:oddHBand="1" w:evenHBand="0" w:firstRowFirstColumn="0" w:firstRowLastColumn="0" w:lastRowFirstColumn="0" w:lastRowLastColumn="0"/>
            </w:pPr>
          </w:p>
        </w:tc>
      </w:tr>
      <w:tr w:rsidR="000565DE" w:rsidRPr="004B5178" w14:paraId="4B12F3B9" w14:textId="45256092" w:rsidTr="000565DE">
        <w:trPr>
          <w:gridAfter w:val="2"/>
          <w:wAfter w:w="2828" w:type="dxa"/>
          <w:trHeight w:val="297"/>
        </w:trPr>
        <w:tc>
          <w:tcPr>
            <w:cnfStyle w:val="001000000000" w:firstRow="0" w:lastRow="0" w:firstColumn="1" w:lastColumn="0" w:oddVBand="0" w:evenVBand="0" w:oddHBand="0" w:evenHBand="0" w:firstRowFirstColumn="0" w:firstRowLastColumn="0" w:lastRowFirstColumn="0" w:lastRowLastColumn="0"/>
            <w:tcW w:w="1814" w:type="dxa"/>
            <w:noWrap/>
            <w:hideMark/>
          </w:tcPr>
          <w:p w14:paraId="11DA9F67" w14:textId="77777777" w:rsidR="000565DE" w:rsidRPr="004B5178" w:rsidRDefault="000565DE" w:rsidP="002F0E49">
            <w:pPr>
              <w:jc w:val="center"/>
            </w:pPr>
            <w:r w:rsidRPr="004B5178">
              <w:t>99%</w:t>
            </w:r>
          </w:p>
        </w:tc>
        <w:tc>
          <w:tcPr>
            <w:tcW w:w="2049" w:type="dxa"/>
            <w:noWrap/>
            <w:hideMark/>
          </w:tcPr>
          <w:p w14:paraId="0B21FD93"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15</w:t>
            </w:r>
          </w:p>
        </w:tc>
        <w:tc>
          <w:tcPr>
            <w:tcW w:w="2780" w:type="dxa"/>
            <w:noWrap/>
            <w:hideMark/>
          </w:tcPr>
          <w:p w14:paraId="3209AAFF"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c>
          <w:tcPr>
            <w:tcW w:w="1237" w:type="dxa"/>
            <w:noWrap/>
            <w:hideMark/>
          </w:tcPr>
          <w:p w14:paraId="37F1D420"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c>
          <w:tcPr>
            <w:tcW w:w="326" w:type="dxa"/>
            <w:noWrap/>
            <w:hideMark/>
          </w:tcPr>
          <w:p w14:paraId="5363A125" w14:textId="77777777" w:rsidR="000565DE" w:rsidRPr="004B5178" w:rsidRDefault="000565DE" w:rsidP="002F0E49">
            <w:pPr>
              <w:cnfStyle w:val="000000000000" w:firstRow="0" w:lastRow="0" w:firstColumn="0" w:lastColumn="0" w:oddVBand="0" w:evenVBand="0" w:oddHBand="0" w:evenHBand="0" w:firstRowFirstColumn="0" w:firstRowLastColumn="0" w:lastRowFirstColumn="0" w:lastRowLastColumn="0"/>
            </w:pPr>
          </w:p>
        </w:tc>
        <w:tc>
          <w:tcPr>
            <w:tcW w:w="1814" w:type="dxa"/>
            <w:noWrap/>
            <w:hideMark/>
          </w:tcPr>
          <w:p w14:paraId="3029FA42"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99%</w:t>
            </w:r>
          </w:p>
        </w:tc>
        <w:tc>
          <w:tcPr>
            <w:tcW w:w="2144" w:type="dxa"/>
            <w:noWrap/>
            <w:hideMark/>
          </w:tcPr>
          <w:p w14:paraId="55728C71"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r w:rsidRPr="004B5178">
              <w:t>15</w:t>
            </w:r>
          </w:p>
        </w:tc>
        <w:tc>
          <w:tcPr>
            <w:tcW w:w="942" w:type="dxa"/>
          </w:tcPr>
          <w:p w14:paraId="45F68F7D" w14:textId="77777777" w:rsidR="000565DE" w:rsidRPr="004B5178" w:rsidRDefault="000565DE" w:rsidP="002F0E49">
            <w:pPr>
              <w:jc w:val="center"/>
              <w:cnfStyle w:val="000000000000" w:firstRow="0" w:lastRow="0" w:firstColumn="0" w:lastColumn="0" w:oddVBand="0" w:evenVBand="0" w:oddHBand="0" w:evenHBand="0" w:firstRowFirstColumn="0" w:firstRowLastColumn="0" w:lastRowFirstColumn="0" w:lastRowLastColumn="0"/>
            </w:pPr>
          </w:p>
        </w:tc>
      </w:tr>
    </w:tbl>
    <w:p w14:paraId="311CDE2B" w14:textId="32F12B03" w:rsidR="000565DE" w:rsidRDefault="000565DE" w:rsidP="000C1C47"/>
    <w:p w14:paraId="690BDE71" w14:textId="77777777" w:rsidR="000565DE" w:rsidRDefault="000565DE">
      <w:r>
        <w:br w:type="page"/>
      </w:r>
    </w:p>
    <w:p w14:paraId="529ED8D4" w14:textId="45FDADF5" w:rsidR="000C1C47" w:rsidRDefault="000C1C47" w:rsidP="000C1C47"/>
    <w:p w14:paraId="300761AD" w14:textId="263B033D" w:rsidR="000565DE" w:rsidRDefault="000565DE" w:rsidP="000C1C47"/>
    <w:p w14:paraId="716E6451" w14:textId="1248CB91" w:rsidR="000565DE" w:rsidRDefault="000565DE" w:rsidP="000C1C47">
      <w:pPr>
        <w:rPr>
          <w:b/>
          <w:bCs/>
        </w:rPr>
      </w:pPr>
      <w:r w:rsidRPr="004B5178">
        <w:rPr>
          <w:b/>
          <w:bCs/>
        </w:rPr>
        <w:t>Distribution of the imputed GCS values only,</w:t>
      </w:r>
      <w:r w:rsidRPr="000565DE">
        <w:rPr>
          <w:b/>
          <w:bCs/>
        </w:rPr>
        <w:t xml:space="preserve"> </w:t>
      </w:r>
      <w:r>
        <w:rPr>
          <w:b/>
          <w:bCs/>
        </w:rPr>
        <w:t xml:space="preserve">                                   </w:t>
      </w:r>
      <w:r w:rsidRPr="004B5178">
        <w:rPr>
          <w:b/>
          <w:bCs/>
        </w:rPr>
        <w:t>Distribution of the imputed GCS values only , Including outcome</w:t>
      </w:r>
      <w:r w:rsidRPr="000565DE">
        <w:rPr>
          <w:b/>
          <w:bCs/>
        </w:rPr>
        <w:t xml:space="preserve"> </w:t>
      </w:r>
      <w:r>
        <w:rPr>
          <w:b/>
          <w:bCs/>
        </w:rPr>
        <w:t xml:space="preserve">                                                                                                 </w:t>
      </w:r>
      <w:r w:rsidRPr="004B5178">
        <w:rPr>
          <w:b/>
          <w:bCs/>
        </w:rPr>
        <w:t>excluding outcome</w:t>
      </w:r>
    </w:p>
    <w:p w14:paraId="3BFDAE4E" w14:textId="77777777" w:rsidR="000565DE" w:rsidRDefault="000565DE" w:rsidP="000C1C47">
      <w:pPr>
        <w:rPr>
          <w:b/>
          <w:bCs/>
        </w:rPr>
      </w:pPr>
      <w:r>
        <w:rPr>
          <w:b/>
          <w:bCs/>
        </w:rPr>
        <w:t xml:space="preserve">                                                                              </w:t>
      </w:r>
    </w:p>
    <w:tbl>
      <w:tblPr>
        <w:tblStyle w:val="TableGrid"/>
        <w:tblW w:w="0" w:type="auto"/>
        <w:tblLook w:val="04A0" w:firstRow="1" w:lastRow="0" w:firstColumn="1" w:lastColumn="0" w:noHBand="0" w:noVBand="1"/>
      </w:tblPr>
      <w:tblGrid>
        <w:gridCol w:w="1590"/>
        <w:gridCol w:w="1590"/>
        <w:gridCol w:w="1590"/>
        <w:gridCol w:w="1591"/>
        <w:gridCol w:w="1591"/>
        <w:gridCol w:w="1591"/>
        <w:gridCol w:w="1591"/>
        <w:gridCol w:w="1591"/>
      </w:tblGrid>
      <w:tr w:rsidR="000565DE" w14:paraId="5F88E57A" w14:textId="77777777" w:rsidTr="000565DE">
        <w:tc>
          <w:tcPr>
            <w:tcW w:w="1590" w:type="dxa"/>
          </w:tcPr>
          <w:p w14:paraId="637845FE" w14:textId="15C87609" w:rsidR="000565DE" w:rsidRDefault="000565DE" w:rsidP="000565DE">
            <w:pPr>
              <w:rPr>
                <w:b/>
                <w:bCs/>
              </w:rPr>
            </w:pPr>
            <w:r w:rsidRPr="004B5178">
              <w:t>Percentiles</w:t>
            </w:r>
          </w:p>
        </w:tc>
        <w:tc>
          <w:tcPr>
            <w:tcW w:w="1590" w:type="dxa"/>
          </w:tcPr>
          <w:p w14:paraId="1822023C" w14:textId="4664FC0E" w:rsidR="000565DE" w:rsidRDefault="000565DE" w:rsidP="000565DE">
            <w:pPr>
              <w:rPr>
                <w:b/>
                <w:bCs/>
              </w:rPr>
            </w:pPr>
            <w:r w:rsidRPr="004B5178">
              <w:t>Imputed GCS Value</w:t>
            </w:r>
          </w:p>
        </w:tc>
        <w:tc>
          <w:tcPr>
            <w:tcW w:w="1590" w:type="dxa"/>
          </w:tcPr>
          <w:p w14:paraId="6BBC6CEB" w14:textId="77777777" w:rsidR="000565DE" w:rsidRDefault="000565DE" w:rsidP="000565DE">
            <w:pPr>
              <w:rPr>
                <w:b/>
                <w:bCs/>
              </w:rPr>
            </w:pPr>
          </w:p>
        </w:tc>
        <w:tc>
          <w:tcPr>
            <w:tcW w:w="1591" w:type="dxa"/>
          </w:tcPr>
          <w:p w14:paraId="36AB6B42" w14:textId="77777777" w:rsidR="000565DE" w:rsidRDefault="000565DE" w:rsidP="000565DE">
            <w:pPr>
              <w:rPr>
                <w:b/>
                <w:bCs/>
              </w:rPr>
            </w:pPr>
          </w:p>
        </w:tc>
        <w:tc>
          <w:tcPr>
            <w:tcW w:w="1591" w:type="dxa"/>
          </w:tcPr>
          <w:p w14:paraId="693E8E6D" w14:textId="26FB8374" w:rsidR="000565DE" w:rsidRDefault="000565DE" w:rsidP="000565DE">
            <w:pPr>
              <w:rPr>
                <w:b/>
                <w:bCs/>
              </w:rPr>
            </w:pPr>
            <w:r w:rsidRPr="004B5178">
              <w:t>Percentiles</w:t>
            </w:r>
          </w:p>
        </w:tc>
        <w:tc>
          <w:tcPr>
            <w:tcW w:w="1591" w:type="dxa"/>
          </w:tcPr>
          <w:p w14:paraId="1FEAE86E" w14:textId="19EEC86B" w:rsidR="000565DE" w:rsidRDefault="000565DE" w:rsidP="000565DE">
            <w:pPr>
              <w:rPr>
                <w:b/>
                <w:bCs/>
              </w:rPr>
            </w:pPr>
            <w:r w:rsidRPr="004B5178">
              <w:t>Imputed GCS Value</w:t>
            </w:r>
          </w:p>
        </w:tc>
        <w:tc>
          <w:tcPr>
            <w:tcW w:w="1591" w:type="dxa"/>
          </w:tcPr>
          <w:p w14:paraId="11E38EF8" w14:textId="77777777" w:rsidR="000565DE" w:rsidRDefault="000565DE" w:rsidP="000565DE">
            <w:pPr>
              <w:rPr>
                <w:b/>
                <w:bCs/>
              </w:rPr>
            </w:pPr>
          </w:p>
        </w:tc>
        <w:tc>
          <w:tcPr>
            <w:tcW w:w="1591" w:type="dxa"/>
          </w:tcPr>
          <w:p w14:paraId="61F06CC0" w14:textId="77777777" w:rsidR="000565DE" w:rsidRDefault="000565DE" w:rsidP="000565DE">
            <w:pPr>
              <w:rPr>
                <w:b/>
                <w:bCs/>
              </w:rPr>
            </w:pPr>
          </w:p>
        </w:tc>
      </w:tr>
      <w:tr w:rsidR="000565DE" w14:paraId="6061CA0F" w14:textId="77777777" w:rsidTr="000565DE">
        <w:tc>
          <w:tcPr>
            <w:tcW w:w="1590" w:type="dxa"/>
          </w:tcPr>
          <w:p w14:paraId="7FB827EF" w14:textId="0F4308E8" w:rsidR="000565DE" w:rsidRPr="000565DE" w:rsidRDefault="000565DE" w:rsidP="000565DE">
            <w:pPr>
              <w:rPr>
                <w:b/>
                <w:bCs/>
              </w:rPr>
            </w:pPr>
            <w:r w:rsidRPr="000565DE">
              <w:rPr>
                <w:b/>
                <w:bCs/>
              </w:rPr>
              <w:t>1%</w:t>
            </w:r>
          </w:p>
        </w:tc>
        <w:tc>
          <w:tcPr>
            <w:tcW w:w="1590" w:type="dxa"/>
          </w:tcPr>
          <w:p w14:paraId="56E1040B" w14:textId="19B9678D" w:rsidR="000565DE" w:rsidRPr="004B5178" w:rsidRDefault="000565DE" w:rsidP="000565DE">
            <w:r w:rsidRPr="004B5178">
              <w:t>4</w:t>
            </w:r>
          </w:p>
        </w:tc>
        <w:tc>
          <w:tcPr>
            <w:tcW w:w="1590" w:type="dxa"/>
          </w:tcPr>
          <w:p w14:paraId="1164FC88" w14:textId="77777777" w:rsidR="000565DE" w:rsidRDefault="000565DE" w:rsidP="000565DE">
            <w:pPr>
              <w:rPr>
                <w:b/>
                <w:bCs/>
              </w:rPr>
            </w:pPr>
          </w:p>
        </w:tc>
        <w:tc>
          <w:tcPr>
            <w:tcW w:w="1591" w:type="dxa"/>
          </w:tcPr>
          <w:p w14:paraId="6A389B69" w14:textId="77777777" w:rsidR="000565DE" w:rsidRDefault="000565DE" w:rsidP="000565DE">
            <w:pPr>
              <w:rPr>
                <w:b/>
                <w:bCs/>
              </w:rPr>
            </w:pPr>
          </w:p>
        </w:tc>
        <w:tc>
          <w:tcPr>
            <w:tcW w:w="1591" w:type="dxa"/>
          </w:tcPr>
          <w:p w14:paraId="18AEF938" w14:textId="24E00C48" w:rsidR="000565DE" w:rsidRPr="004B5178" w:rsidRDefault="000565DE" w:rsidP="000565DE">
            <w:r w:rsidRPr="004B5178">
              <w:t>1%</w:t>
            </w:r>
          </w:p>
        </w:tc>
        <w:tc>
          <w:tcPr>
            <w:tcW w:w="1591" w:type="dxa"/>
          </w:tcPr>
          <w:p w14:paraId="0B9B864E" w14:textId="4243E253" w:rsidR="000565DE" w:rsidRPr="004B5178" w:rsidRDefault="000565DE" w:rsidP="000565DE">
            <w:r w:rsidRPr="004B5178">
              <w:t>4</w:t>
            </w:r>
          </w:p>
        </w:tc>
        <w:tc>
          <w:tcPr>
            <w:tcW w:w="1591" w:type="dxa"/>
          </w:tcPr>
          <w:p w14:paraId="687C1136" w14:textId="77777777" w:rsidR="000565DE" w:rsidRDefault="000565DE" w:rsidP="000565DE">
            <w:pPr>
              <w:rPr>
                <w:b/>
                <w:bCs/>
              </w:rPr>
            </w:pPr>
          </w:p>
        </w:tc>
        <w:tc>
          <w:tcPr>
            <w:tcW w:w="1591" w:type="dxa"/>
          </w:tcPr>
          <w:p w14:paraId="7AAD2B44" w14:textId="77777777" w:rsidR="000565DE" w:rsidRDefault="000565DE" w:rsidP="000565DE">
            <w:pPr>
              <w:rPr>
                <w:b/>
                <w:bCs/>
              </w:rPr>
            </w:pPr>
          </w:p>
        </w:tc>
      </w:tr>
      <w:tr w:rsidR="000565DE" w14:paraId="63129269" w14:textId="77777777" w:rsidTr="000565DE">
        <w:tc>
          <w:tcPr>
            <w:tcW w:w="1590" w:type="dxa"/>
          </w:tcPr>
          <w:p w14:paraId="11E0FDAD" w14:textId="0514ED7E" w:rsidR="000565DE" w:rsidRPr="000565DE" w:rsidRDefault="000565DE" w:rsidP="000565DE">
            <w:pPr>
              <w:rPr>
                <w:b/>
                <w:bCs/>
              </w:rPr>
            </w:pPr>
            <w:r w:rsidRPr="000565DE">
              <w:rPr>
                <w:b/>
                <w:bCs/>
              </w:rPr>
              <w:t>5%</w:t>
            </w:r>
          </w:p>
        </w:tc>
        <w:tc>
          <w:tcPr>
            <w:tcW w:w="1590" w:type="dxa"/>
          </w:tcPr>
          <w:p w14:paraId="7F709981" w14:textId="49D2845A" w:rsidR="000565DE" w:rsidRPr="004B5178" w:rsidRDefault="000565DE" w:rsidP="000565DE">
            <w:r w:rsidRPr="004B5178">
              <w:t>10</w:t>
            </w:r>
          </w:p>
        </w:tc>
        <w:tc>
          <w:tcPr>
            <w:tcW w:w="1590" w:type="dxa"/>
          </w:tcPr>
          <w:p w14:paraId="1DBDEAE4" w14:textId="77777777" w:rsidR="000565DE" w:rsidRDefault="000565DE" w:rsidP="000565DE">
            <w:pPr>
              <w:rPr>
                <w:b/>
                <w:bCs/>
              </w:rPr>
            </w:pPr>
          </w:p>
        </w:tc>
        <w:tc>
          <w:tcPr>
            <w:tcW w:w="1591" w:type="dxa"/>
          </w:tcPr>
          <w:p w14:paraId="19E8FE94" w14:textId="77777777" w:rsidR="000565DE" w:rsidRDefault="000565DE" w:rsidP="000565DE">
            <w:pPr>
              <w:rPr>
                <w:b/>
                <w:bCs/>
              </w:rPr>
            </w:pPr>
          </w:p>
        </w:tc>
        <w:tc>
          <w:tcPr>
            <w:tcW w:w="1591" w:type="dxa"/>
          </w:tcPr>
          <w:p w14:paraId="1A7B2DC3" w14:textId="45915A94" w:rsidR="000565DE" w:rsidRPr="004B5178" w:rsidRDefault="000565DE" w:rsidP="000565DE">
            <w:r w:rsidRPr="004B5178">
              <w:t>5%</w:t>
            </w:r>
          </w:p>
        </w:tc>
        <w:tc>
          <w:tcPr>
            <w:tcW w:w="1591" w:type="dxa"/>
          </w:tcPr>
          <w:p w14:paraId="02975BF3" w14:textId="0CDD4ED1" w:rsidR="000565DE" w:rsidRPr="004B5178" w:rsidRDefault="000565DE" w:rsidP="000565DE">
            <w:r w:rsidRPr="004B5178">
              <w:t>10</w:t>
            </w:r>
          </w:p>
        </w:tc>
        <w:tc>
          <w:tcPr>
            <w:tcW w:w="1591" w:type="dxa"/>
          </w:tcPr>
          <w:p w14:paraId="03AF1F0C" w14:textId="77777777" w:rsidR="000565DE" w:rsidRDefault="000565DE" w:rsidP="000565DE">
            <w:pPr>
              <w:rPr>
                <w:b/>
                <w:bCs/>
              </w:rPr>
            </w:pPr>
          </w:p>
        </w:tc>
        <w:tc>
          <w:tcPr>
            <w:tcW w:w="1591" w:type="dxa"/>
          </w:tcPr>
          <w:p w14:paraId="7046B174" w14:textId="77777777" w:rsidR="000565DE" w:rsidRDefault="000565DE" w:rsidP="000565DE">
            <w:pPr>
              <w:rPr>
                <w:b/>
                <w:bCs/>
              </w:rPr>
            </w:pPr>
          </w:p>
        </w:tc>
      </w:tr>
      <w:tr w:rsidR="000565DE" w14:paraId="02516C9E" w14:textId="77777777" w:rsidTr="000565DE">
        <w:tc>
          <w:tcPr>
            <w:tcW w:w="1590" w:type="dxa"/>
          </w:tcPr>
          <w:p w14:paraId="6CDB3271" w14:textId="3B47DB9E" w:rsidR="000565DE" w:rsidRPr="000565DE" w:rsidRDefault="000565DE" w:rsidP="000565DE">
            <w:pPr>
              <w:rPr>
                <w:b/>
                <w:bCs/>
              </w:rPr>
            </w:pPr>
            <w:r w:rsidRPr="000565DE">
              <w:rPr>
                <w:b/>
                <w:bCs/>
              </w:rPr>
              <w:t>10%</w:t>
            </w:r>
          </w:p>
        </w:tc>
        <w:tc>
          <w:tcPr>
            <w:tcW w:w="1590" w:type="dxa"/>
          </w:tcPr>
          <w:p w14:paraId="302B16B5" w14:textId="4EC10886" w:rsidR="000565DE" w:rsidRPr="004B5178" w:rsidRDefault="000565DE" w:rsidP="000565DE">
            <w:r w:rsidRPr="004B5178">
              <w:t>13</w:t>
            </w:r>
          </w:p>
        </w:tc>
        <w:tc>
          <w:tcPr>
            <w:tcW w:w="1590" w:type="dxa"/>
          </w:tcPr>
          <w:p w14:paraId="0012E8C3" w14:textId="5E70EB7F" w:rsidR="000565DE" w:rsidRDefault="000565DE" w:rsidP="000565DE">
            <w:pPr>
              <w:rPr>
                <w:b/>
                <w:bCs/>
              </w:rPr>
            </w:pPr>
            <w:r w:rsidRPr="004B5178">
              <w:t>Number cases</w:t>
            </w:r>
          </w:p>
        </w:tc>
        <w:tc>
          <w:tcPr>
            <w:tcW w:w="1591" w:type="dxa"/>
          </w:tcPr>
          <w:p w14:paraId="70782D7F" w14:textId="2D0759C7" w:rsidR="000565DE" w:rsidRDefault="000565DE" w:rsidP="000565DE">
            <w:pPr>
              <w:rPr>
                <w:b/>
                <w:bCs/>
              </w:rPr>
            </w:pPr>
            <w:r w:rsidRPr="004B5178">
              <w:t>11297</w:t>
            </w:r>
          </w:p>
        </w:tc>
        <w:tc>
          <w:tcPr>
            <w:tcW w:w="1591" w:type="dxa"/>
          </w:tcPr>
          <w:p w14:paraId="4D7644DE" w14:textId="4C876E53" w:rsidR="000565DE" w:rsidRPr="004B5178" w:rsidRDefault="000565DE" w:rsidP="000565DE">
            <w:r w:rsidRPr="004B5178">
              <w:t>10%</w:t>
            </w:r>
          </w:p>
        </w:tc>
        <w:tc>
          <w:tcPr>
            <w:tcW w:w="1591" w:type="dxa"/>
          </w:tcPr>
          <w:p w14:paraId="4D3CD722" w14:textId="02A031FC" w:rsidR="000565DE" w:rsidRPr="004B5178" w:rsidRDefault="000565DE" w:rsidP="000565DE">
            <w:r w:rsidRPr="004B5178">
              <w:t>13</w:t>
            </w:r>
          </w:p>
        </w:tc>
        <w:tc>
          <w:tcPr>
            <w:tcW w:w="1591" w:type="dxa"/>
          </w:tcPr>
          <w:p w14:paraId="32160F11" w14:textId="56AA3D21" w:rsidR="000565DE" w:rsidRDefault="000565DE" w:rsidP="000565DE">
            <w:pPr>
              <w:rPr>
                <w:b/>
                <w:bCs/>
              </w:rPr>
            </w:pPr>
            <w:r w:rsidRPr="004B5178">
              <w:t>Obs</w:t>
            </w:r>
          </w:p>
        </w:tc>
        <w:tc>
          <w:tcPr>
            <w:tcW w:w="1591" w:type="dxa"/>
          </w:tcPr>
          <w:p w14:paraId="134CBF3E" w14:textId="5BF7F7C0" w:rsidR="000565DE" w:rsidRDefault="000565DE" w:rsidP="000565DE">
            <w:pPr>
              <w:rPr>
                <w:b/>
                <w:bCs/>
              </w:rPr>
            </w:pPr>
            <w:r w:rsidRPr="004B5178">
              <w:t>11297</w:t>
            </w:r>
          </w:p>
        </w:tc>
      </w:tr>
      <w:tr w:rsidR="000565DE" w14:paraId="072154E6" w14:textId="77777777" w:rsidTr="000565DE">
        <w:tc>
          <w:tcPr>
            <w:tcW w:w="1590" w:type="dxa"/>
          </w:tcPr>
          <w:p w14:paraId="60EC45A5" w14:textId="17C453DD" w:rsidR="000565DE" w:rsidRPr="000565DE" w:rsidRDefault="000565DE" w:rsidP="000565DE">
            <w:pPr>
              <w:rPr>
                <w:b/>
                <w:bCs/>
              </w:rPr>
            </w:pPr>
            <w:r w:rsidRPr="000565DE">
              <w:rPr>
                <w:b/>
                <w:bCs/>
              </w:rPr>
              <w:t>25% (Q1)</w:t>
            </w:r>
          </w:p>
        </w:tc>
        <w:tc>
          <w:tcPr>
            <w:tcW w:w="1590" w:type="dxa"/>
          </w:tcPr>
          <w:p w14:paraId="6338AF6B" w14:textId="61D1F7EF" w:rsidR="000565DE" w:rsidRPr="004B5178" w:rsidRDefault="000565DE" w:rsidP="000565DE">
            <w:r w:rsidRPr="004B5178">
              <w:t>14</w:t>
            </w:r>
          </w:p>
        </w:tc>
        <w:tc>
          <w:tcPr>
            <w:tcW w:w="1590" w:type="dxa"/>
          </w:tcPr>
          <w:p w14:paraId="10AE8BF8" w14:textId="77777777" w:rsidR="000565DE" w:rsidRDefault="000565DE" w:rsidP="000565DE">
            <w:pPr>
              <w:rPr>
                <w:b/>
                <w:bCs/>
              </w:rPr>
            </w:pPr>
          </w:p>
        </w:tc>
        <w:tc>
          <w:tcPr>
            <w:tcW w:w="1591" w:type="dxa"/>
          </w:tcPr>
          <w:p w14:paraId="133C5262" w14:textId="77777777" w:rsidR="000565DE" w:rsidRDefault="000565DE" w:rsidP="000565DE">
            <w:pPr>
              <w:rPr>
                <w:b/>
                <w:bCs/>
              </w:rPr>
            </w:pPr>
          </w:p>
        </w:tc>
        <w:tc>
          <w:tcPr>
            <w:tcW w:w="1591" w:type="dxa"/>
          </w:tcPr>
          <w:p w14:paraId="0C31304D" w14:textId="1A75CD8A" w:rsidR="000565DE" w:rsidRPr="004B5178" w:rsidRDefault="000565DE" w:rsidP="000565DE">
            <w:r w:rsidRPr="004B5178">
              <w:t>25% (Q1)</w:t>
            </w:r>
          </w:p>
        </w:tc>
        <w:tc>
          <w:tcPr>
            <w:tcW w:w="1591" w:type="dxa"/>
          </w:tcPr>
          <w:p w14:paraId="5616C460" w14:textId="345AE480" w:rsidR="000565DE" w:rsidRPr="004B5178" w:rsidRDefault="000565DE" w:rsidP="000565DE">
            <w:r w:rsidRPr="004B5178">
              <w:t>14</w:t>
            </w:r>
          </w:p>
        </w:tc>
        <w:tc>
          <w:tcPr>
            <w:tcW w:w="1591" w:type="dxa"/>
          </w:tcPr>
          <w:p w14:paraId="42787EE0" w14:textId="77777777" w:rsidR="000565DE" w:rsidRDefault="000565DE" w:rsidP="000565DE">
            <w:pPr>
              <w:rPr>
                <w:b/>
                <w:bCs/>
              </w:rPr>
            </w:pPr>
          </w:p>
        </w:tc>
        <w:tc>
          <w:tcPr>
            <w:tcW w:w="1591" w:type="dxa"/>
          </w:tcPr>
          <w:p w14:paraId="23A835B6" w14:textId="77777777" w:rsidR="000565DE" w:rsidRDefault="000565DE" w:rsidP="000565DE">
            <w:pPr>
              <w:rPr>
                <w:b/>
                <w:bCs/>
              </w:rPr>
            </w:pPr>
          </w:p>
        </w:tc>
      </w:tr>
      <w:tr w:rsidR="000565DE" w14:paraId="0977CFCB" w14:textId="77777777" w:rsidTr="000565DE">
        <w:tc>
          <w:tcPr>
            <w:tcW w:w="1590" w:type="dxa"/>
          </w:tcPr>
          <w:p w14:paraId="07BEBD3E" w14:textId="243E9CF6" w:rsidR="000565DE" w:rsidRPr="000565DE" w:rsidRDefault="000565DE" w:rsidP="000565DE">
            <w:pPr>
              <w:rPr>
                <w:b/>
                <w:bCs/>
              </w:rPr>
            </w:pPr>
            <w:r w:rsidRPr="000565DE">
              <w:rPr>
                <w:b/>
                <w:bCs/>
              </w:rPr>
              <w:t>50% (Med)</w:t>
            </w:r>
          </w:p>
        </w:tc>
        <w:tc>
          <w:tcPr>
            <w:tcW w:w="1590" w:type="dxa"/>
          </w:tcPr>
          <w:p w14:paraId="3B6EA0C8" w14:textId="11184B02" w:rsidR="000565DE" w:rsidRPr="004B5178" w:rsidRDefault="000565DE" w:rsidP="000565DE">
            <w:r w:rsidRPr="004B5178">
              <w:t>15</w:t>
            </w:r>
          </w:p>
        </w:tc>
        <w:tc>
          <w:tcPr>
            <w:tcW w:w="1590" w:type="dxa"/>
          </w:tcPr>
          <w:p w14:paraId="1E1AE769" w14:textId="6C0243B2" w:rsidR="000565DE" w:rsidRDefault="000565DE" w:rsidP="000565DE">
            <w:pPr>
              <w:rPr>
                <w:b/>
                <w:bCs/>
              </w:rPr>
            </w:pPr>
            <w:r w:rsidRPr="004B5178">
              <w:t>Mean</w:t>
            </w:r>
          </w:p>
        </w:tc>
        <w:tc>
          <w:tcPr>
            <w:tcW w:w="1591" w:type="dxa"/>
          </w:tcPr>
          <w:p w14:paraId="092C56F4" w14:textId="2DEBF7CE" w:rsidR="000565DE" w:rsidRDefault="000565DE" w:rsidP="000565DE">
            <w:pPr>
              <w:rPr>
                <w:b/>
                <w:bCs/>
              </w:rPr>
            </w:pPr>
            <w:r w:rsidRPr="004B5178">
              <w:t>14.23</w:t>
            </w:r>
          </w:p>
        </w:tc>
        <w:tc>
          <w:tcPr>
            <w:tcW w:w="1591" w:type="dxa"/>
          </w:tcPr>
          <w:p w14:paraId="05107DC6" w14:textId="56C7282F" w:rsidR="000565DE" w:rsidRPr="004B5178" w:rsidRDefault="000565DE" w:rsidP="000565DE">
            <w:r w:rsidRPr="004B5178">
              <w:t>50% (Med)</w:t>
            </w:r>
          </w:p>
        </w:tc>
        <w:tc>
          <w:tcPr>
            <w:tcW w:w="1591" w:type="dxa"/>
          </w:tcPr>
          <w:p w14:paraId="64B5D212" w14:textId="315D77C7" w:rsidR="000565DE" w:rsidRPr="004B5178" w:rsidRDefault="000565DE" w:rsidP="000565DE">
            <w:r w:rsidRPr="004B5178">
              <w:t>15</w:t>
            </w:r>
          </w:p>
        </w:tc>
        <w:tc>
          <w:tcPr>
            <w:tcW w:w="1591" w:type="dxa"/>
          </w:tcPr>
          <w:p w14:paraId="2E48DEC5" w14:textId="69C8EBED" w:rsidR="000565DE" w:rsidRDefault="000565DE" w:rsidP="000565DE">
            <w:pPr>
              <w:rPr>
                <w:b/>
                <w:bCs/>
              </w:rPr>
            </w:pPr>
            <w:r w:rsidRPr="004B5178">
              <w:t>Mean</w:t>
            </w:r>
          </w:p>
        </w:tc>
        <w:tc>
          <w:tcPr>
            <w:tcW w:w="1591" w:type="dxa"/>
          </w:tcPr>
          <w:p w14:paraId="3C970A6D" w14:textId="5C0FCCBF" w:rsidR="000565DE" w:rsidRDefault="000565DE" w:rsidP="000565DE">
            <w:pPr>
              <w:rPr>
                <w:b/>
                <w:bCs/>
              </w:rPr>
            </w:pPr>
            <w:r w:rsidRPr="004B5178">
              <w:t>14.15</w:t>
            </w:r>
          </w:p>
        </w:tc>
      </w:tr>
      <w:tr w:rsidR="000565DE" w14:paraId="3F5D5430" w14:textId="77777777" w:rsidTr="000565DE">
        <w:tc>
          <w:tcPr>
            <w:tcW w:w="1590" w:type="dxa"/>
          </w:tcPr>
          <w:p w14:paraId="6A121312" w14:textId="3D7233CC" w:rsidR="000565DE" w:rsidRPr="000565DE" w:rsidRDefault="000565DE" w:rsidP="000565DE">
            <w:pPr>
              <w:rPr>
                <w:b/>
                <w:bCs/>
              </w:rPr>
            </w:pPr>
            <w:r w:rsidRPr="000565DE">
              <w:rPr>
                <w:b/>
                <w:bCs/>
              </w:rPr>
              <w:t>75% (Q3)</w:t>
            </w:r>
          </w:p>
        </w:tc>
        <w:tc>
          <w:tcPr>
            <w:tcW w:w="1590" w:type="dxa"/>
          </w:tcPr>
          <w:p w14:paraId="52728549" w14:textId="6139E8AE" w:rsidR="000565DE" w:rsidRPr="004B5178" w:rsidRDefault="000565DE" w:rsidP="000565DE">
            <w:r w:rsidRPr="004B5178">
              <w:t>15</w:t>
            </w:r>
          </w:p>
        </w:tc>
        <w:tc>
          <w:tcPr>
            <w:tcW w:w="1590" w:type="dxa"/>
          </w:tcPr>
          <w:p w14:paraId="0E702301" w14:textId="05A057AC" w:rsidR="000565DE" w:rsidRDefault="000565DE" w:rsidP="000565DE">
            <w:pPr>
              <w:rPr>
                <w:b/>
                <w:bCs/>
              </w:rPr>
            </w:pPr>
            <w:r w:rsidRPr="004B5178">
              <w:t>Std. Dev.</w:t>
            </w:r>
          </w:p>
        </w:tc>
        <w:tc>
          <w:tcPr>
            <w:tcW w:w="1591" w:type="dxa"/>
          </w:tcPr>
          <w:p w14:paraId="7EFB9CE6" w14:textId="735009A5" w:rsidR="000565DE" w:rsidRDefault="000565DE" w:rsidP="000565DE">
            <w:pPr>
              <w:rPr>
                <w:b/>
                <w:bCs/>
              </w:rPr>
            </w:pPr>
            <w:r w:rsidRPr="004B5178">
              <w:t>1.98</w:t>
            </w:r>
          </w:p>
        </w:tc>
        <w:tc>
          <w:tcPr>
            <w:tcW w:w="1591" w:type="dxa"/>
          </w:tcPr>
          <w:p w14:paraId="15BF24F5" w14:textId="270B75E9" w:rsidR="000565DE" w:rsidRPr="004B5178" w:rsidRDefault="000565DE" w:rsidP="000565DE">
            <w:r w:rsidRPr="004B5178">
              <w:t>75% (Q3)</w:t>
            </w:r>
          </w:p>
        </w:tc>
        <w:tc>
          <w:tcPr>
            <w:tcW w:w="1591" w:type="dxa"/>
          </w:tcPr>
          <w:p w14:paraId="60F99927" w14:textId="7DB73E49" w:rsidR="000565DE" w:rsidRPr="004B5178" w:rsidRDefault="000565DE" w:rsidP="000565DE">
            <w:r w:rsidRPr="004B5178">
              <w:t>15</w:t>
            </w:r>
          </w:p>
        </w:tc>
        <w:tc>
          <w:tcPr>
            <w:tcW w:w="1591" w:type="dxa"/>
          </w:tcPr>
          <w:p w14:paraId="62755850" w14:textId="79DD8421" w:rsidR="000565DE" w:rsidRDefault="000565DE" w:rsidP="000565DE">
            <w:pPr>
              <w:rPr>
                <w:b/>
                <w:bCs/>
              </w:rPr>
            </w:pPr>
            <w:r w:rsidRPr="004B5178">
              <w:t>Std. Dev.</w:t>
            </w:r>
          </w:p>
        </w:tc>
        <w:tc>
          <w:tcPr>
            <w:tcW w:w="1591" w:type="dxa"/>
          </w:tcPr>
          <w:p w14:paraId="4AC9EB86" w14:textId="4222F1E1" w:rsidR="000565DE" w:rsidRDefault="000565DE" w:rsidP="000565DE">
            <w:pPr>
              <w:rPr>
                <w:b/>
                <w:bCs/>
              </w:rPr>
            </w:pPr>
            <w:r w:rsidRPr="004B5178">
              <w:t>2.06</w:t>
            </w:r>
          </w:p>
        </w:tc>
      </w:tr>
      <w:tr w:rsidR="000565DE" w14:paraId="261E89B4" w14:textId="77777777" w:rsidTr="000565DE">
        <w:tc>
          <w:tcPr>
            <w:tcW w:w="1590" w:type="dxa"/>
          </w:tcPr>
          <w:p w14:paraId="6C3409D5" w14:textId="472073F0" w:rsidR="000565DE" w:rsidRPr="000565DE" w:rsidRDefault="000565DE" w:rsidP="000565DE">
            <w:pPr>
              <w:rPr>
                <w:b/>
                <w:bCs/>
              </w:rPr>
            </w:pPr>
            <w:r w:rsidRPr="000565DE">
              <w:rPr>
                <w:b/>
                <w:bCs/>
              </w:rPr>
              <w:t>90%</w:t>
            </w:r>
          </w:p>
        </w:tc>
        <w:tc>
          <w:tcPr>
            <w:tcW w:w="1590" w:type="dxa"/>
          </w:tcPr>
          <w:p w14:paraId="236A27E4" w14:textId="430C8E36" w:rsidR="000565DE" w:rsidRPr="004B5178" w:rsidRDefault="000565DE" w:rsidP="000565DE">
            <w:r w:rsidRPr="004B5178">
              <w:t>15</w:t>
            </w:r>
          </w:p>
        </w:tc>
        <w:tc>
          <w:tcPr>
            <w:tcW w:w="1590" w:type="dxa"/>
          </w:tcPr>
          <w:p w14:paraId="3A8924E1" w14:textId="77777777" w:rsidR="000565DE" w:rsidRDefault="000565DE" w:rsidP="000565DE">
            <w:pPr>
              <w:rPr>
                <w:b/>
                <w:bCs/>
              </w:rPr>
            </w:pPr>
          </w:p>
        </w:tc>
        <w:tc>
          <w:tcPr>
            <w:tcW w:w="1591" w:type="dxa"/>
          </w:tcPr>
          <w:p w14:paraId="3A58976B" w14:textId="77777777" w:rsidR="000565DE" w:rsidRDefault="000565DE" w:rsidP="000565DE">
            <w:pPr>
              <w:rPr>
                <w:b/>
                <w:bCs/>
              </w:rPr>
            </w:pPr>
          </w:p>
        </w:tc>
        <w:tc>
          <w:tcPr>
            <w:tcW w:w="1591" w:type="dxa"/>
          </w:tcPr>
          <w:p w14:paraId="73B5A8E1" w14:textId="06619660" w:rsidR="000565DE" w:rsidRPr="004B5178" w:rsidRDefault="000565DE" w:rsidP="000565DE">
            <w:r w:rsidRPr="004B5178">
              <w:t>90%</w:t>
            </w:r>
          </w:p>
        </w:tc>
        <w:tc>
          <w:tcPr>
            <w:tcW w:w="1591" w:type="dxa"/>
          </w:tcPr>
          <w:p w14:paraId="1B1CA4BF" w14:textId="68D29300" w:rsidR="000565DE" w:rsidRPr="004B5178" w:rsidRDefault="000565DE" w:rsidP="000565DE">
            <w:r w:rsidRPr="004B5178">
              <w:t>15</w:t>
            </w:r>
          </w:p>
        </w:tc>
        <w:tc>
          <w:tcPr>
            <w:tcW w:w="1591" w:type="dxa"/>
          </w:tcPr>
          <w:p w14:paraId="34E8E12B" w14:textId="77777777" w:rsidR="000565DE" w:rsidRDefault="000565DE" w:rsidP="000565DE">
            <w:pPr>
              <w:rPr>
                <w:b/>
                <w:bCs/>
              </w:rPr>
            </w:pPr>
          </w:p>
        </w:tc>
        <w:tc>
          <w:tcPr>
            <w:tcW w:w="1591" w:type="dxa"/>
          </w:tcPr>
          <w:p w14:paraId="651307C9" w14:textId="77777777" w:rsidR="000565DE" w:rsidRDefault="000565DE" w:rsidP="000565DE">
            <w:pPr>
              <w:rPr>
                <w:b/>
                <w:bCs/>
              </w:rPr>
            </w:pPr>
          </w:p>
        </w:tc>
      </w:tr>
      <w:tr w:rsidR="000565DE" w14:paraId="5DF80D0A" w14:textId="77777777" w:rsidTr="000565DE">
        <w:tc>
          <w:tcPr>
            <w:tcW w:w="1590" w:type="dxa"/>
          </w:tcPr>
          <w:p w14:paraId="37867000" w14:textId="13145045" w:rsidR="000565DE" w:rsidRPr="000565DE" w:rsidRDefault="000565DE" w:rsidP="000565DE">
            <w:pPr>
              <w:rPr>
                <w:b/>
                <w:bCs/>
              </w:rPr>
            </w:pPr>
            <w:r w:rsidRPr="000565DE">
              <w:rPr>
                <w:b/>
                <w:bCs/>
              </w:rPr>
              <w:t>95%</w:t>
            </w:r>
          </w:p>
        </w:tc>
        <w:tc>
          <w:tcPr>
            <w:tcW w:w="1590" w:type="dxa"/>
          </w:tcPr>
          <w:p w14:paraId="3B8388DE" w14:textId="0D5810BB" w:rsidR="000565DE" w:rsidRPr="004B5178" w:rsidRDefault="000565DE" w:rsidP="000565DE">
            <w:r w:rsidRPr="004B5178">
              <w:t>15</w:t>
            </w:r>
          </w:p>
        </w:tc>
        <w:tc>
          <w:tcPr>
            <w:tcW w:w="1590" w:type="dxa"/>
          </w:tcPr>
          <w:p w14:paraId="40267075" w14:textId="77777777" w:rsidR="000565DE" w:rsidRDefault="000565DE" w:rsidP="000565DE">
            <w:pPr>
              <w:rPr>
                <w:b/>
                <w:bCs/>
              </w:rPr>
            </w:pPr>
          </w:p>
        </w:tc>
        <w:tc>
          <w:tcPr>
            <w:tcW w:w="1591" w:type="dxa"/>
          </w:tcPr>
          <w:p w14:paraId="1DB5211B" w14:textId="77777777" w:rsidR="000565DE" w:rsidRDefault="000565DE" w:rsidP="000565DE">
            <w:pPr>
              <w:rPr>
                <w:b/>
                <w:bCs/>
              </w:rPr>
            </w:pPr>
          </w:p>
        </w:tc>
        <w:tc>
          <w:tcPr>
            <w:tcW w:w="1591" w:type="dxa"/>
          </w:tcPr>
          <w:p w14:paraId="48C3D22A" w14:textId="0FCCA966" w:rsidR="000565DE" w:rsidRPr="004B5178" w:rsidRDefault="000565DE" w:rsidP="000565DE">
            <w:r w:rsidRPr="004B5178">
              <w:t>95%</w:t>
            </w:r>
          </w:p>
        </w:tc>
        <w:tc>
          <w:tcPr>
            <w:tcW w:w="1591" w:type="dxa"/>
          </w:tcPr>
          <w:p w14:paraId="1B62686E" w14:textId="398B7024" w:rsidR="000565DE" w:rsidRPr="004B5178" w:rsidRDefault="000565DE" w:rsidP="000565DE">
            <w:r w:rsidRPr="004B5178">
              <w:t>15</w:t>
            </w:r>
          </w:p>
        </w:tc>
        <w:tc>
          <w:tcPr>
            <w:tcW w:w="1591" w:type="dxa"/>
          </w:tcPr>
          <w:p w14:paraId="294D0F44" w14:textId="77777777" w:rsidR="000565DE" w:rsidRDefault="000565DE" w:rsidP="000565DE">
            <w:pPr>
              <w:rPr>
                <w:b/>
                <w:bCs/>
              </w:rPr>
            </w:pPr>
          </w:p>
        </w:tc>
        <w:tc>
          <w:tcPr>
            <w:tcW w:w="1591" w:type="dxa"/>
          </w:tcPr>
          <w:p w14:paraId="0C4F6C3D" w14:textId="77777777" w:rsidR="000565DE" w:rsidRDefault="000565DE" w:rsidP="000565DE">
            <w:pPr>
              <w:rPr>
                <w:b/>
                <w:bCs/>
              </w:rPr>
            </w:pPr>
          </w:p>
        </w:tc>
      </w:tr>
      <w:tr w:rsidR="000565DE" w14:paraId="5294BEB8" w14:textId="77777777" w:rsidTr="000565DE">
        <w:tc>
          <w:tcPr>
            <w:tcW w:w="1590" w:type="dxa"/>
          </w:tcPr>
          <w:p w14:paraId="20498105" w14:textId="739933A3" w:rsidR="000565DE" w:rsidRPr="000565DE" w:rsidRDefault="000565DE" w:rsidP="000565DE">
            <w:pPr>
              <w:rPr>
                <w:b/>
                <w:bCs/>
              </w:rPr>
            </w:pPr>
            <w:r w:rsidRPr="000565DE">
              <w:rPr>
                <w:b/>
                <w:bCs/>
              </w:rPr>
              <w:t>99%</w:t>
            </w:r>
          </w:p>
        </w:tc>
        <w:tc>
          <w:tcPr>
            <w:tcW w:w="1590" w:type="dxa"/>
          </w:tcPr>
          <w:p w14:paraId="3EE76592" w14:textId="575EF88A" w:rsidR="000565DE" w:rsidRPr="004B5178" w:rsidRDefault="000565DE" w:rsidP="000565DE">
            <w:r w:rsidRPr="004B5178">
              <w:t>15</w:t>
            </w:r>
          </w:p>
        </w:tc>
        <w:tc>
          <w:tcPr>
            <w:tcW w:w="1590" w:type="dxa"/>
          </w:tcPr>
          <w:p w14:paraId="4E307A30" w14:textId="77777777" w:rsidR="000565DE" w:rsidRDefault="000565DE" w:rsidP="000565DE">
            <w:pPr>
              <w:rPr>
                <w:b/>
                <w:bCs/>
              </w:rPr>
            </w:pPr>
          </w:p>
        </w:tc>
        <w:tc>
          <w:tcPr>
            <w:tcW w:w="1591" w:type="dxa"/>
          </w:tcPr>
          <w:p w14:paraId="34CC6FB6" w14:textId="77777777" w:rsidR="000565DE" w:rsidRDefault="000565DE" w:rsidP="000565DE">
            <w:pPr>
              <w:rPr>
                <w:b/>
                <w:bCs/>
              </w:rPr>
            </w:pPr>
          </w:p>
        </w:tc>
        <w:tc>
          <w:tcPr>
            <w:tcW w:w="1591" w:type="dxa"/>
          </w:tcPr>
          <w:p w14:paraId="21E65EA7" w14:textId="169E638F" w:rsidR="000565DE" w:rsidRPr="004B5178" w:rsidRDefault="000565DE" w:rsidP="000565DE">
            <w:r w:rsidRPr="004B5178">
              <w:t>99%</w:t>
            </w:r>
          </w:p>
        </w:tc>
        <w:tc>
          <w:tcPr>
            <w:tcW w:w="1591" w:type="dxa"/>
          </w:tcPr>
          <w:p w14:paraId="1DC9F5BA" w14:textId="555E222A" w:rsidR="000565DE" w:rsidRPr="004B5178" w:rsidRDefault="000565DE" w:rsidP="000565DE">
            <w:r w:rsidRPr="004B5178">
              <w:t>15</w:t>
            </w:r>
          </w:p>
        </w:tc>
        <w:tc>
          <w:tcPr>
            <w:tcW w:w="1591" w:type="dxa"/>
          </w:tcPr>
          <w:p w14:paraId="67E497DE" w14:textId="77777777" w:rsidR="000565DE" w:rsidRDefault="000565DE" w:rsidP="000565DE">
            <w:pPr>
              <w:rPr>
                <w:b/>
                <w:bCs/>
              </w:rPr>
            </w:pPr>
          </w:p>
        </w:tc>
        <w:tc>
          <w:tcPr>
            <w:tcW w:w="1591" w:type="dxa"/>
          </w:tcPr>
          <w:p w14:paraId="47A2FB6F" w14:textId="77777777" w:rsidR="000565DE" w:rsidRDefault="000565DE" w:rsidP="000565DE">
            <w:pPr>
              <w:rPr>
                <w:b/>
                <w:bCs/>
              </w:rPr>
            </w:pPr>
          </w:p>
        </w:tc>
      </w:tr>
    </w:tbl>
    <w:p w14:paraId="4EE09BB7" w14:textId="77777777" w:rsidR="000565DE" w:rsidRDefault="000565DE" w:rsidP="000C1C47">
      <w:pPr>
        <w:rPr>
          <w:b/>
          <w:bCs/>
        </w:rPr>
      </w:pPr>
    </w:p>
    <w:p w14:paraId="599C5450" w14:textId="77777777" w:rsidR="000565DE" w:rsidRDefault="000565DE" w:rsidP="000C1C47">
      <w:pPr>
        <w:rPr>
          <w:b/>
          <w:bCs/>
        </w:rPr>
      </w:pPr>
    </w:p>
    <w:p w14:paraId="40F80963" w14:textId="19C29A0B" w:rsidR="000565DE" w:rsidRPr="004B5178" w:rsidRDefault="000565DE" w:rsidP="000C1C47">
      <w:r>
        <w:rPr>
          <w:b/>
          <w:bCs/>
        </w:rPr>
        <w:t xml:space="preserve">                                            </w:t>
      </w:r>
    </w:p>
    <w:p w14:paraId="00C8FDBB" w14:textId="77777777" w:rsidR="000C1C47" w:rsidRPr="004B5178" w:rsidRDefault="000C1C47" w:rsidP="000967BB">
      <w:pPr>
        <w:pStyle w:val="ListParagraph"/>
        <w:numPr>
          <w:ilvl w:val="0"/>
          <w:numId w:val="10"/>
        </w:numPr>
        <w:spacing w:after="0" w:line="240" w:lineRule="auto"/>
        <w:rPr>
          <w:rFonts w:ascii="Arial" w:hAnsi="Arial" w:cs="Arial"/>
        </w:rPr>
        <w:sectPr w:rsidR="000C1C47" w:rsidRPr="004B5178" w:rsidSect="000C1C47">
          <w:pgSz w:w="16838" w:h="11906" w:orient="landscape"/>
          <w:pgMar w:top="1440" w:right="2663" w:bottom="1440" w:left="1440" w:header="708" w:footer="708" w:gutter="0"/>
          <w:cols w:space="708"/>
          <w:docGrid w:linePitch="360"/>
        </w:sectPr>
      </w:pPr>
    </w:p>
    <w:p w14:paraId="39BAA362" w14:textId="7BA7F47C" w:rsidR="000C1C47" w:rsidRPr="004B5178" w:rsidRDefault="000C1C47" w:rsidP="000967BB">
      <w:pPr>
        <w:pStyle w:val="ListParagraph"/>
        <w:numPr>
          <w:ilvl w:val="0"/>
          <w:numId w:val="10"/>
        </w:numPr>
        <w:spacing w:after="0" w:line="240" w:lineRule="auto"/>
        <w:rPr>
          <w:rFonts w:ascii="Arial" w:hAnsi="Arial" w:cs="Arial"/>
        </w:rPr>
      </w:pPr>
      <w:r w:rsidRPr="004B5178">
        <w:rPr>
          <w:rFonts w:ascii="Arial" w:hAnsi="Arial" w:cs="Arial"/>
        </w:rPr>
        <w:lastRenderedPageBreak/>
        <w:t xml:space="preserve">When the outcome is excluded from the imputation model, the odds ratios of survival from major trauma are higher for individual </w:t>
      </w:r>
      <w:r w:rsidR="00C36CDF" w:rsidRPr="004B5178">
        <w:rPr>
          <w:rFonts w:ascii="Arial" w:hAnsi="Arial" w:cs="Arial"/>
        </w:rPr>
        <w:t>variables and</w:t>
      </w:r>
      <w:r w:rsidRPr="004B5178">
        <w:rPr>
          <w:rFonts w:ascii="Arial" w:hAnsi="Arial" w:cs="Arial"/>
        </w:rPr>
        <w:t xml:space="preserve"> are lower for the age-gender interaction (see table 3). That is, the odds of surviving from major trauma are better when the outcome is excluded from the imputation model than when it is included.  For the variable ‘year’, whose regression coefficients are used to calculate the indicator values, the odds ratio obtained by including or not the outcome in the imputation model are similar, but still slightly higher when excluding the outcome variable from the imputation model. </w:t>
      </w:r>
    </w:p>
    <w:p w14:paraId="481AC623" w14:textId="77777777" w:rsidR="000C1C47" w:rsidRPr="004B5178" w:rsidRDefault="000C1C47" w:rsidP="000C1C47">
      <w:pPr>
        <w:pStyle w:val="ListParagraph"/>
        <w:ind w:left="360"/>
        <w:rPr>
          <w:rFonts w:ascii="Arial" w:hAnsi="Arial" w:cs="Arial"/>
        </w:rPr>
      </w:pPr>
    </w:p>
    <w:p w14:paraId="4630025C" w14:textId="77777777" w:rsidR="000C1C47" w:rsidRPr="004B5178" w:rsidRDefault="000C1C47" w:rsidP="000967BB">
      <w:pPr>
        <w:pStyle w:val="ListParagraph"/>
        <w:numPr>
          <w:ilvl w:val="0"/>
          <w:numId w:val="10"/>
        </w:numPr>
        <w:spacing w:after="0" w:line="240" w:lineRule="auto"/>
        <w:rPr>
          <w:rFonts w:ascii="Arial" w:hAnsi="Arial" w:cs="Arial"/>
        </w:rPr>
      </w:pPr>
      <w:r w:rsidRPr="004B5178">
        <w:rPr>
          <w:rFonts w:ascii="Arial" w:hAnsi="Arial" w:cs="Arial"/>
        </w:rPr>
        <w:t>The levels of significance are also similar when including or excluding the outcome, with a slight difference for 2010/11:</w:t>
      </w:r>
    </w:p>
    <w:p w14:paraId="3AD74E80" w14:textId="77777777" w:rsidR="000C1C47" w:rsidRPr="004B5178" w:rsidRDefault="000C1C47" w:rsidP="000967BB">
      <w:pPr>
        <w:pStyle w:val="ListParagraph"/>
        <w:numPr>
          <w:ilvl w:val="1"/>
          <w:numId w:val="10"/>
        </w:numPr>
        <w:spacing w:after="0" w:line="240" w:lineRule="auto"/>
        <w:rPr>
          <w:rFonts w:ascii="Arial" w:hAnsi="Arial" w:cs="Arial"/>
        </w:rPr>
      </w:pPr>
      <w:r w:rsidRPr="004B5178">
        <w:rPr>
          <w:rFonts w:ascii="Arial" w:hAnsi="Arial" w:cs="Arial"/>
        </w:rPr>
        <w:t xml:space="preserve"> the odds of surviving from major trauma in 2008/09 and 2009/10 are not significantly different from 2007/08 (the reference year in this illustrative data) for both models (including/excluding the outcome);</w:t>
      </w:r>
    </w:p>
    <w:p w14:paraId="70EB5E7C" w14:textId="77777777" w:rsidR="000C1C47" w:rsidRPr="004B5178" w:rsidRDefault="000C1C47" w:rsidP="000967BB">
      <w:pPr>
        <w:pStyle w:val="ListParagraph"/>
        <w:numPr>
          <w:ilvl w:val="1"/>
          <w:numId w:val="10"/>
        </w:numPr>
        <w:spacing w:after="0" w:line="240" w:lineRule="auto"/>
        <w:rPr>
          <w:rFonts w:ascii="Arial" w:hAnsi="Arial" w:cs="Arial"/>
        </w:rPr>
      </w:pPr>
      <w:r w:rsidRPr="004B5178">
        <w:rPr>
          <w:rFonts w:ascii="Arial" w:hAnsi="Arial" w:cs="Arial"/>
        </w:rPr>
        <w:t>the odds of survival in 2011/12 and 2012/13 are significantly higher than in 2007/08 in both models;</w:t>
      </w:r>
    </w:p>
    <w:p w14:paraId="1094C106" w14:textId="77777777" w:rsidR="000C1C47" w:rsidRPr="004B5178" w:rsidRDefault="000C1C47" w:rsidP="000967BB">
      <w:pPr>
        <w:pStyle w:val="ListParagraph"/>
        <w:numPr>
          <w:ilvl w:val="1"/>
          <w:numId w:val="10"/>
        </w:numPr>
        <w:spacing w:after="0" w:line="240" w:lineRule="auto"/>
        <w:rPr>
          <w:rFonts w:ascii="Arial" w:hAnsi="Arial" w:cs="Arial"/>
        </w:rPr>
      </w:pPr>
      <w:r w:rsidRPr="004B5178">
        <w:rPr>
          <w:rFonts w:ascii="Arial" w:hAnsi="Arial" w:cs="Arial"/>
        </w:rPr>
        <w:t>however, the odds of survival from major trauma in 2010/11 are significantly higher than in 2007/08 when the outcome is excluded but are not significantly different from 2007/08 when the outcome is included.</w:t>
      </w:r>
    </w:p>
    <w:p w14:paraId="35BDADF7" w14:textId="77777777" w:rsidR="000C1C47" w:rsidRPr="004B5178" w:rsidRDefault="000C1C47" w:rsidP="000C1C47">
      <w:pPr>
        <w:ind w:left="720"/>
      </w:pPr>
    </w:p>
    <w:p w14:paraId="48C7ABB4" w14:textId="77777777" w:rsidR="000C1C47" w:rsidRPr="004B5178" w:rsidRDefault="000C1C47" w:rsidP="000967BB">
      <w:pPr>
        <w:pStyle w:val="ListParagraph"/>
        <w:numPr>
          <w:ilvl w:val="0"/>
          <w:numId w:val="10"/>
        </w:numPr>
        <w:spacing w:after="0" w:line="240" w:lineRule="auto"/>
        <w:rPr>
          <w:rFonts w:ascii="Arial" w:hAnsi="Arial" w:cs="Arial"/>
        </w:rPr>
      </w:pPr>
      <w:r w:rsidRPr="004B5178">
        <w:rPr>
          <w:rFonts w:ascii="Arial" w:hAnsi="Arial" w:cs="Arial"/>
        </w:rPr>
        <w:t>Overall, including the outcome in the imputation model seems to provide a more conservative estimate of survival from major trauma.</w:t>
      </w:r>
    </w:p>
    <w:p w14:paraId="2F130377" w14:textId="77777777" w:rsidR="000C1C47" w:rsidRPr="004B5178" w:rsidRDefault="000C1C47" w:rsidP="000C1C47">
      <w:pPr>
        <w:pStyle w:val="ListParagraph"/>
        <w:ind w:left="360"/>
        <w:rPr>
          <w:rFonts w:ascii="Arial" w:hAnsi="Arial" w:cs="Arial"/>
        </w:rPr>
      </w:pPr>
    </w:p>
    <w:p w14:paraId="0778B55D" w14:textId="77777777" w:rsidR="000C1C47" w:rsidRPr="004B5178" w:rsidRDefault="000C1C47" w:rsidP="000967BB">
      <w:pPr>
        <w:pStyle w:val="ListParagraph"/>
        <w:numPr>
          <w:ilvl w:val="0"/>
          <w:numId w:val="10"/>
        </w:numPr>
        <w:spacing w:after="0" w:line="240" w:lineRule="auto"/>
        <w:rPr>
          <w:rFonts w:ascii="Arial" w:hAnsi="Arial" w:cs="Arial"/>
        </w:rPr>
      </w:pPr>
      <w:r w:rsidRPr="004B5178">
        <w:rPr>
          <w:rFonts w:ascii="Arial" w:hAnsi="Arial" w:cs="Arial"/>
        </w:rPr>
        <w:t xml:space="preserve">Since the published research literature indicates that including the outcome variable in the imputation model produces estimates closer to the true values, we recommend using this approach when imputing missing values for the GCS.  </w:t>
      </w:r>
    </w:p>
    <w:p w14:paraId="0FA34CBD" w14:textId="77777777" w:rsidR="000C1C47" w:rsidRPr="004B5178" w:rsidRDefault="000C1C47" w:rsidP="000C1C47"/>
    <w:p w14:paraId="06C3A630" w14:textId="77777777" w:rsidR="000C1C47" w:rsidRPr="004B5178" w:rsidRDefault="000C1C47" w:rsidP="000C1C47">
      <w:pPr>
        <w:spacing w:before="60" w:after="60"/>
        <w:rPr>
          <w:b/>
        </w:rPr>
      </w:pPr>
      <w:r w:rsidRPr="004B5178">
        <w:rPr>
          <w:b/>
        </w:rPr>
        <w:t>References</w:t>
      </w:r>
    </w:p>
    <w:p w14:paraId="1ACB2368" w14:textId="77777777" w:rsidR="000C1C47" w:rsidRPr="004B5178" w:rsidRDefault="000C1C47" w:rsidP="000C1C47">
      <w:pPr>
        <w:autoSpaceDE w:val="0"/>
        <w:autoSpaceDN w:val="0"/>
        <w:adjustRightInd w:val="0"/>
      </w:pPr>
      <w:r w:rsidRPr="004B5178">
        <w:t xml:space="preserve">Moons, K.G.M., Donders, R.A.R.T., Stijnen, T. &amp; Harrell, F.E. (2006). Using the outcome for imputation of missing predictor values was preferred. </w:t>
      </w:r>
      <w:r w:rsidRPr="004B5178">
        <w:rPr>
          <w:i/>
        </w:rPr>
        <w:t>Journal of Clinical Epidemiology 59</w:t>
      </w:r>
      <w:r w:rsidRPr="004B5178">
        <w:t xml:space="preserve">: 1092–1101. </w:t>
      </w:r>
    </w:p>
    <w:p w14:paraId="7E1A0772" w14:textId="77777777" w:rsidR="000C1C47" w:rsidRPr="004B5178" w:rsidRDefault="000C1C47" w:rsidP="000C1C47">
      <w:pPr>
        <w:spacing w:before="60" w:after="60"/>
      </w:pPr>
    </w:p>
    <w:p w14:paraId="479CA93C" w14:textId="77777777" w:rsidR="000C1C47" w:rsidRPr="004B5178" w:rsidRDefault="000C1C47" w:rsidP="000C1C47">
      <w:pPr>
        <w:pStyle w:val="Default"/>
        <w:rPr>
          <w:color w:val="auto"/>
          <w:sz w:val="22"/>
          <w:szCs w:val="22"/>
        </w:rPr>
      </w:pPr>
      <w:r w:rsidRPr="004B5178">
        <w:rPr>
          <w:color w:val="auto"/>
          <w:sz w:val="22"/>
          <w:szCs w:val="22"/>
        </w:rPr>
        <w:t>Sterne, J.A.C., White, I.R.,</w:t>
      </w:r>
      <w:r w:rsidRPr="004B5178">
        <w:rPr>
          <w:rStyle w:val="A6"/>
          <w:rFonts w:ascii="Arial" w:hAnsi="Arial" w:cs="Arial"/>
          <w:color w:val="auto"/>
          <w:sz w:val="22"/>
          <w:szCs w:val="22"/>
        </w:rPr>
        <w:t xml:space="preserve"> </w:t>
      </w:r>
      <w:r w:rsidRPr="004B5178">
        <w:rPr>
          <w:color w:val="auto"/>
          <w:sz w:val="22"/>
          <w:szCs w:val="22"/>
        </w:rPr>
        <w:t>Carlin, J.B.,</w:t>
      </w:r>
      <w:r w:rsidRPr="004B5178">
        <w:rPr>
          <w:rStyle w:val="A6"/>
          <w:rFonts w:ascii="Arial" w:hAnsi="Arial" w:cs="Arial"/>
          <w:color w:val="auto"/>
          <w:sz w:val="22"/>
          <w:szCs w:val="22"/>
        </w:rPr>
        <w:t xml:space="preserve"> </w:t>
      </w:r>
      <w:r w:rsidRPr="004B5178">
        <w:rPr>
          <w:color w:val="auto"/>
          <w:sz w:val="22"/>
          <w:szCs w:val="22"/>
        </w:rPr>
        <w:t>Spratt, M., Royston, P.,</w:t>
      </w:r>
      <w:r w:rsidRPr="004B5178">
        <w:rPr>
          <w:rStyle w:val="A6"/>
          <w:rFonts w:ascii="Arial" w:hAnsi="Arial" w:cs="Arial"/>
          <w:color w:val="auto"/>
          <w:sz w:val="22"/>
          <w:szCs w:val="22"/>
        </w:rPr>
        <w:t xml:space="preserve"> </w:t>
      </w:r>
      <w:r w:rsidRPr="004B5178">
        <w:rPr>
          <w:color w:val="auto"/>
          <w:sz w:val="22"/>
          <w:szCs w:val="22"/>
        </w:rPr>
        <w:t>Kenward, M.G.,</w:t>
      </w:r>
      <w:r w:rsidRPr="004B5178">
        <w:rPr>
          <w:rStyle w:val="A6"/>
          <w:rFonts w:ascii="Arial" w:hAnsi="Arial" w:cs="Arial"/>
          <w:color w:val="auto"/>
          <w:sz w:val="22"/>
          <w:szCs w:val="22"/>
        </w:rPr>
        <w:t xml:space="preserve"> </w:t>
      </w:r>
      <w:r w:rsidRPr="004B5178">
        <w:rPr>
          <w:color w:val="auto"/>
          <w:sz w:val="22"/>
          <w:szCs w:val="22"/>
        </w:rPr>
        <w:t>Wood, A.M. &amp;</w:t>
      </w:r>
      <w:r w:rsidRPr="004B5178">
        <w:rPr>
          <w:rStyle w:val="A6"/>
          <w:rFonts w:ascii="Arial" w:hAnsi="Arial" w:cs="Arial"/>
          <w:color w:val="auto"/>
          <w:sz w:val="22"/>
          <w:szCs w:val="22"/>
        </w:rPr>
        <w:t xml:space="preserve"> </w:t>
      </w:r>
      <w:r w:rsidRPr="004B5178">
        <w:rPr>
          <w:color w:val="auto"/>
          <w:sz w:val="22"/>
          <w:szCs w:val="22"/>
        </w:rPr>
        <w:t xml:space="preserve">Carpenter, J.R. (2009). Multiple imputation for missing data in epidemiological and clinical research: potential and pitfalls. </w:t>
      </w:r>
      <w:r w:rsidRPr="004B5178">
        <w:rPr>
          <w:i/>
          <w:iCs/>
          <w:color w:val="auto"/>
          <w:sz w:val="22"/>
          <w:szCs w:val="22"/>
        </w:rPr>
        <w:t xml:space="preserve">BMJ </w:t>
      </w:r>
      <w:r w:rsidRPr="004B5178">
        <w:rPr>
          <w:color w:val="auto"/>
          <w:sz w:val="22"/>
          <w:szCs w:val="22"/>
        </w:rPr>
        <w:t>2009;338:b2393  doi: 10.1136/bmj.b2393</w:t>
      </w:r>
    </w:p>
    <w:p w14:paraId="60153059" w14:textId="77777777" w:rsidR="000C1C47" w:rsidRPr="004B5178" w:rsidRDefault="000C1C47" w:rsidP="000967BB">
      <w:pPr>
        <w:numPr>
          <w:ilvl w:val="0"/>
          <w:numId w:val="10"/>
        </w:numPr>
        <w:contextualSpacing/>
        <w:rPr>
          <w:rFonts w:eastAsia="MS Mincho"/>
        </w:rPr>
        <w:sectPr w:rsidR="000C1C47" w:rsidRPr="004B5178" w:rsidSect="000C55A6">
          <w:pgSz w:w="16838" w:h="11906" w:orient="landscape"/>
          <w:pgMar w:top="1440" w:right="1440" w:bottom="1440" w:left="1440" w:header="709" w:footer="709" w:gutter="0"/>
          <w:cols w:space="708"/>
          <w:docGrid w:linePitch="360"/>
        </w:sectPr>
      </w:pPr>
    </w:p>
    <w:p w14:paraId="27ECA019" w14:textId="77777777" w:rsidR="000C1C47" w:rsidRPr="004B5178" w:rsidRDefault="000C1C47" w:rsidP="000C1C47">
      <w:r w:rsidRPr="004B5178">
        <w:lastRenderedPageBreak/>
        <w:t>Table 3. Model parameters for survival from major trauma using imputed GCS values obtained with and without the outcome</w:t>
      </w:r>
    </w:p>
    <w:p w14:paraId="3BC6A9C9" w14:textId="77777777" w:rsidR="000C1C47" w:rsidRPr="004B5178" w:rsidRDefault="000C1C47" w:rsidP="000C1C47"/>
    <w:p w14:paraId="4F6C6188" w14:textId="3FDA4227" w:rsidR="000C1C47" w:rsidRDefault="000C1C47" w:rsidP="000C1C47">
      <w:bookmarkStart w:id="17" w:name="_Hlk35859635"/>
    </w:p>
    <w:p w14:paraId="3328B2AD" w14:textId="77788682" w:rsidR="003B54E3" w:rsidRDefault="003B54E3" w:rsidP="003B54E3">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B5178">
        <w:rPr>
          <w:b/>
          <w:bCs/>
        </w:rPr>
        <w:t>Imputed GCS without Outcome in the imputation model</w:t>
      </w:r>
      <w:r w:rsidRPr="003B54E3">
        <w:rPr>
          <w:b/>
          <w:bCs/>
        </w:rPr>
        <w:t xml:space="preserve"> </w:t>
      </w:r>
      <w:r>
        <w:rPr>
          <w:b/>
          <w:bCs/>
        </w:rPr>
        <w:t xml:space="preserve">                                </w:t>
      </w:r>
      <w:r w:rsidRPr="004B5178">
        <w:rPr>
          <w:b/>
          <w:bCs/>
        </w:rPr>
        <w:t>Imputed GCS with Outcome in the imputation model</w:t>
      </w:r>
    </w:p>
    <w:p w14:paraId="65CD0DDA" w14:textId="0699624E" w:rsidR="003B54E3" w:rsidRDefault="003B54E3" w:rsidP="000C1C47">
      <w:pPr>
        <w:rPr>
          <w:b/>
          <w:bCs/>
        </w:rPr>
      </w:pPr>
    </w:p>
    <w:p w14:paraId="0C4BA11E" w14:textId="1311C403" w:rsidR="003B54E3" w:rsidRPr="009E1F18" w:rsidRDefault="00E15152" w:rsidP="000C1C47">
      <w:r w:rsidRPr="009E1F18">
        <w:t xml:space="preserve">Logistic regression                                     N =   81293                      </w:t>
      </w:r>
      <w:r w:rsidR="009E1F18" w:rsidRPr="009E1F18">
        <w:t xml:space="preserve">                  </w:t>
      </w:r>
      <w:r w:rsidRPr="009E1F18">
        <w:t xml:space="preserve">  Logistic regression</w:t>
      </w:r>
      <w:r w:rsidRPr="009E1F18">
        <w:tab/>
      </w:r>
      <w:r w:rsidR="009E1F18" w:rsidRPr="009E1F18">
        <w:t xml:space="preserve">                                       </w:t>
      </w:r>
      <w:r w:rsidRPr="009E1F18">
        <w:t xml:space="preserve">N=81293                   </w:t>
      </w:r>
    </w:p>
    <w:tbl>
      <w:tblPr>
        <w:tblStyle w:val="TableGrid"/>
        <w:tblW w:w="15122" w:type="dxa"/>
        <w:tblLook w:val="04A0" w:firstRow="1" w:lastRow="0" w:firstColumn="1" w:lastColumn="0" w:noHBand="0" w:noVBand="1"/>
      </w:tblPr>
      <w:tblGrid>
        <w:gridCol w:w="1824"/>
        <w:gridCol w:w="1439"/>
        <w:gridCol w:w="1134"/>
        <w:gridCol w:w="896"/>
        <w:gridCol w:w="1134"/>
        <w:gridCol w:w="1134"/>
        <w:gridCol w:w="1824"/>
        <w:gridCol w:w="1439"/>
        <w:gridCol w:w="1134"/>
        <w:gridCol w:w="896"/>
        <w:gridCol w:w="1134"/>
        <w:gridCol w:w="1134"/>
      </w:tblGrid>
      <w:tr w:rsidR="009E1F18" w14:paraId="21A9A1E5" w14:textId="5861A537" w:rsidTr="009E1F18">
        <w:tc>
          <w:tcPr>
            <w:tcW w:w="1824" w:type="dxa"/>
          </w:tcPr>
          <w:p w14:paraId="7974398A" w14:textId="0EC4A523" w:rsidR="009E1F18" w:rsidRDefault="009E1F18" w:rsidP="009E1F18">
            <w:pPr>
              <w:rPr>
                <w:b/>
                <w:bCs/>
              </w:rPr>
            </w:pPr>
            <w:r w:rsidRPr="004B5178">
              <w:rPr>
                <w:b/>
              </w:rPr>
              <w:t>Outcome30D~s</w:t>
            </w:r>
          </w:p>
        </w:tc>
        <w:tc>
          <w:tcPr>
            <w:tcW w:w="1439" w:type="dxa"/>
          </w:tcPr>
          <w:p w14:paraId="7AD05CC7" w14:textId="28FFED62" w:rsidR="009E1F18" w:rsidRDefault="009E1F18" w:rsidP="009E1F18">
            <w:pPr>
              <w:rPr>
                <w:b/>
                <w:bCs/>
              </w:rPr>
            </w:pPr>
            <w:r w:rsidRPr="004B5178">
              <w:rPr>
                <w:b/>
              </w:rPr>
              <w:t>coefficients</w:t>
            </w:r>
          </w:p>
        </w:tc>
        <w:tc>
          <w:tcPr>
            <w:tcW w:w="1134" w:type="dxa"/>
          </w:tcPr>
          <w:p w14:paraId="26842745" w14:textId="7D428EE2" w:rsidR="009E1F18" w:rsidRDefault="009E1F18" w:rsidP="009E1F18">
            <w:pPr>
              <w:rPr>
                <w:b/>
                <w:bCs/>
              </w:rPr>
            </w:pPr>
            <w:r w:rsidRPr="004B5178">
              <w:rPr>
                <w:b/>
              </w:rPr>
              <w:t>Odds Rat.</w:t>
            </w:r>
          </w:p>
        </w:tc>
        <w:tc>
          <w:tcPr>
            <w:tcW w:w="896" w:type="dxa"/>
          </w:tcPr>
          <w:p w14:paraId="36E347FA" w14:textId="7D705C79" w:rsidR="009E1F18" w:rsidRDefault="009E1F18" w:rsidP="009E1F18">
            <w:pPr>
              <w:rPr>
                <w:b/>
                <w:bCs/>
              </w:rPr>
            </w:pPr>
            <w:r w:rsidRPr="004B5178">
              <w:rPr>
                <w:b/>
              </w:rPr>
              <w:t>p-value</w:t>
            </w:r>
          </w:p>
        </w:tc>
        <w:tc>
          <w:tcPr>
            <w:tcW w:w="1134" w:type="dxa"/>
          </w:tcPr>
          <w:p w14:paraId="484D075B" w14:textId="5A988F35" w:rsidR="009E1F18" w:rsidRDefault="009E1F18" w:rsidP="009E1F18">
            <w:pPr>
              <w:rPr>
                <w:b/>
                <w:bCs/>
              </w:rPr>
            </w:pPr>
            <w:r w:rsidRPr="004B5178">
              <w:rPr>
                <w:b/>
              </w:rPr>
              <w:t>[95% Conf. Int.] for OR</w:t>
            </w:r>
          </w:p>
        </w:tc>
        <w:tc>
          <w:tcPr>
            <w:tcW w:w="1134" w:type="dxa"/>
          </w:tcPr>
          <w:p w14:paraId="4E1FF71D" w14:textId="69D738E4" w:rsidR="009E1F18" w:rsidRDefault="009E1F18" w:rsidP="009E1F18">
            <w:pPr>
              <w:rPr>
                <w:b/>
                <w:bCs/>
              </w:rPr>
            </w:pPr>
            <w:r w:rsidRPr="004B5178">
              <w:rPr>
                <w:b/>
              </w:rPr>
              <w:t>[95% Conf. Int.] for OR</w:t>
            </w:r>
          </w:p>
        </w:tc>
        <w:tc>
          <w:tcPr>
            <w:tcW w:w="1824" w:type="dxa"/>
          </w:tcPr>
          <w:p w14:paraId="3B57F132" w14:textId="730AC750" w:rsidR="009E1F18" w:rsidRDefault="009E1F18" w:rsidP="009E1F18">
            <w:pPr>
              <w:rPr>
                <w:b/>
                <w:bCs/>
              </w:rPr>
            </w:pPr>
            <w:r w:rsidRPr="004B5178">
              <w:rPr>
                <w:b/>
              </w:rPr>
              <w:t>Outcome30D~s</w:t>
            </w:r>
          </w:p>
        </w:tc>
        <w:tc>
          <w:tcPr>
            <w:tcW w:w="1439" w:type="dxa"/>
          </w:tcPr>
          <w:p w14:paraId="37CCE6F4" w14:textId="7465044A" w:rsidR="009E1F18" w:rsidRDefault="009E1F18" w:rsidP="009E1F18">
            <w:pPr>
              <w:rPr>
                <w:b/>
                <w:bCs/>
              </w:rPr>
            </w:pPr>
            <w:r w:rsidRPr="004B5178">
              <w:rPr>
                <w:b/>
              </w:rPr>
              <w:t>coefficients</w:t>
            </w:r>
          </w:p>
        </w:tc>
        <w:tc>
          <w:tcPr>
            <w:tcW w:w="1134" w:type="dxa"/>
          </w:tcPr>
          <w:p w14:paraId="4AC4E5AC" w14:textId="514806BE" w:rsidR="009E1F18" w:rsidRDefault="009E1F18" w:rsidP="009E1F18">
            <w:pPr>
              <w:rPr>
                <w:b/>
                <w:bCs/>
              </w:rPr>
            </w:pPr>
            <w:r w:rsidRPr="004B5178">
              <w:rPr>
                <w:b/>
              </w:rPr>
              <w:t>Odds Rat.</w:t>
            </w:r>
          </w:p>
        </w:tc>
        <w:tc>
          <w:tcPr>
            <w:tcW w:w="896" w:type="dxa"/>
          </w:tcPr>
          <w:p w14:paraId="7EABD8D0" w14:textId="624111CC" w:rsidR="009E1F18" w:rsidRDefault="009E1F18" w:rsidP="009E1F18">
            <w:pPr>
              <w:rPr>
                <w:b/>
                <w:bCs/>
              </w:rPr>
            </w:pPr>
            <w:r w:rsidRPr="004B5178">
              <w:rPr>
                <w:b/>
              </w:rPr>
              <w:t>p-value</w:t>
            </w:r>
          </w:p>
        </w:tc>
        <w:tc>
          <w:tcPr>
            <w:tcW w:w="1134" w:type="dxa"/>
          </w:tcPr>
          <w:p w14:paraId="5EA07B3F" w14:textId="77777777" w:rsidR="009E1F18" w:rsidRDefault="009E1F18" w:rsidP="009E1F18">
            <w:pPr>
              <w:rPr>
                <w:b/>
                <w:bCs/>
              </w:rPr>
            </w:pPr>
            <w:r w:rsidRPr="004B5178">
              <w:rPr>
                <w:b/>
              </w:rPr>
              <w:t>[95% Conf. Int.] for OR</w:t>
            </w:r>
          </w:p>
        </w:tc>
        <w:tc>
          <w:tcPr>
            <w:tcW w:w="1134" w:type="dxa"/>
          </w:tcPr>
          <w:p w14:paraId="350C1B54" w14:textId="4F82A9EB" w:rsidR="009E1F18" w:rsidRDefault="009E1F18" w:rsidP="009E1F18">
            <w:pPr>
              <w:rPr>
                <w:b/>
                <w:bCs/>
              </w:rPr>
            </w:pPr>
            <w:r w:rsidRPr="004B5178">
              <w:rPr>
                <w:b/>
              </w:rPr>
              <w:t>[95% Conf. Int.] for OR</w:t>
            </w:r>
          </w:p>
        </w:tc>
      </w:tr>
      <w:tr w:rsidR="009E1F18" w14:paraId="4D90EC7B" w14:textId="77777777" w:rsidTr="009E1F18">
        <w:tc>
          <w:tcPr>
            <w:tcW w:w="1824" w:type="dxa"/>
          </w:tcPr>
          <w:p w14:paraId="04465BF4" w14:textId="60E57ED2" w:rsidR="009E1F18" w:rsidRPr="004B5178" w:rsidRDefault="009E1F18" w:rsidP="009E1F18">
            <w:pPr>
              <w:rPr>
                <w:b/>
              </w:rPr>
            </w:pPr>
            <w:r w:rsidRPr="004B5178">
              <w:t>ISS_1</w:t>
            </w:r>
          </w:p>
        </w:tc>
        <w:tc>
          <w:tcPr>
            <w:tcW w:w="1439" w:type="dxa"/>
          </w:tcPr>
          <w:p w14:paraId="1A4250B9" w14:textId="5F3F35CC" w:rsidR="009E1F18" w:rsidRPr="004B5178" w:rsidRDefault="009E1F18" w:rsidP="009E1F18">
            <w:pPr>
              <w:rPr>
                <w:b/>
              </w:rPr>
            </w:pPr>
            <w:r w:rsidRPr="004B5178">
              <w:t>3.652</w:t>
            </w:r>
          </w:p>
        </w:tc>
        <w:tc>
          <w:tcPr>
            <w:tcW w:w="1134" w:type="dxa"/>
          </w:tcPr>
          <w:p w14:paraId="7D1F7BB5" w14:textId="16FFC873" w:rsidR="009E1F18" w:rsidRPr="004B5178" w:rsidRDefault="009E1F18" w:rsidP="009E1F18">
            <w:pPr>
              <w:rPr>
                <w:b/>
              </w:rPr>
            </w:pPr>
            <w:r w:rsidRPr="004B5178">
              <w:t>38.563</w:t>
            </w:r>
          </w:p>
        </w:tc>
        <w:tc>
          <w:tcPr>
            <w:tcW w:w="896" w:type="dxa"/>
          </w:tcPr>
          <w:p w14:paraId="3BD9B8EE" w14:textId="6DB9A87C" w:rsidR="009E1F18" w:rsidRPr="004B5178" w:rsidRDefault="009E1F18" w:rsidP="009E1F18">
            <w:pPr>
              <w:rPr>
                <w:b/>
              </w:rPr>
            </w:pPr>
            <w:r w:rsidRPr="004B5178">
              <w:t>&lt;0.001</w:t>
            </w:r>
          </w:p>
        </w:tc>
        <w:tc>
          <w:tcPr>
            <w:tcW w:w="1134" w:type="dxa"/>
          </w:tcPr>
          <w:p w14:paraId="2A9844C6" w14:textId="06818C8B" w:rsidR="009E1F18" w:rsidRPr="004B5178" w:rsidRDefault="009E1F18" w:rsidP="009E1F18">
            <w:pPr>
              <w:rPr>
                <w:b/>
              </w:rPr>
            </w:pPr>
            <w:r w:rsidRPr="004B5178">
              <w:t>32.768</w:t>
            </w:r>
          </w:p>
        </w:tc>
        <w:tc>
          <w:tcPr>
            <w:tcW w:w="1134" w:type="dxa"/>
          </w:tcPr>
          <w:p w14:paraId="2E933041" w14:textId="32F96EC3" w:rsidR="009E1F18" w:rsidRPr="004B5178" w:rsidRDefault="009E1F18" w:rsidP="009E1F18">
            <w:pPr>
              <w:rPr>
                <w:b/>
              </w:rPr>
            </w:pPr>
            <w:r w:rsidRPr="004B5178">
              <w:t>45.383</w:t>
            </w:r>
          </w:p>
        </w:tc>
        <w:tc>
          <w:tcPr>
            <w:tcW w:w="1824" w:type="dxa"/>
          </w:tcPr>
          <w:p w14:paraId="5FAEFCA9" w14:textId="261B0682" w:rsidR="009E1F18" w:rsidRPr="004B5178" w:rsidRDefault="009E1F18" w:rsidP="009E1F18">
            <w:pPr>
              <w:rPr>
                <w:b/>
              </w:rPr>
            </w:pPr>
            <w:r w:rsidRPr="004B5178">
              <w:t>ISS_1</w:t>
            </w:r>
          </w:p>
        </w:tc>
        <w:tc>
          <w:tcPr>
            <w:tcW w:w="1439" w:type="dxa"/>
          </w:tcPr>
          <w:p w14:paraId="571FD16F" w14:textId="75D570A1" w:rsidR="009E1F18" w:rsidRPr="004B5178" w:rsidRDefault="009E1F18" w:rsidP="009E1F18">
            <w:pPr>
              <w:rPr>
                <w:b/>
              </w:rPr>
            </w:pPr>
            <w:r w:rsidRPr="004B5178">
              <w:t>3.552</w:t>
            </w:r>
          </w:p>
        </w:tc>
        <w:tc>
          <w:tcPr>
            <w:tcW w:w="1134" w:type="dxa"/>
          </w:tcPr>
          <w:p w14:paraId="7AB27AB1" w14:textId="184ED4AA" w:rsidR="009E1F18" w:rsidRPr="004B5178" w:rsidRDefault="009E1F18" w:rsidP="009E1F18">
            <w:pPr>
              <w:rPr>
                <w:b/>
              </w:rPr>
            </w:pPr>
            <w:r w:rsidRPr="004B5178">
              <w:t>34.889</w:t>
            </w:r>
          </w:p>
        </w:tc>
        <w:tc>
          <w:tcPr>
            <w:tcW w:w="896" w:type="dxa"/>
          </w:tcPr>
          <w:p w14:paraId="2C19E3AB" w14:textId="72EF044E" w:rsidR="009E1F18" w:rsidRPr="004B5178" w:rsidRDefault="009E1F18" w:rsidP="009E1F18">
            <w:pPr>
              <w:rPr>
                <w:b/>
              </w:rPr>
            </w:pPr>
          </w:p>
        </w:tc>
        <w:tc>
          <w:tcPr>
            <w:tcW w:w="1134" w:type="dxa"/>
          </w:tcPr>
          <w:p w14:paraId="783FEB43" w14:textId="37044C1B" w:rsidR="009E1F18" w:rsidRDefault="009E1F18" w:rsidP="009E1F18">
            <w:pPr>
              <w:rPr>
                <w:b/>
                <w:bCs/>
              </w:rPr>
            </w:pPr>
            <w:r w:rsidRPr="004B5178">
              <w:t>&lt;0.001</w:t>
            </w:r>
          </w:p>
        </w:tc>
        <w:tc>
          <w:tcPr>
            <w:tcW w:w="1134" w:type="dxa"/>
          </w:tcPr>
          <w:p w14:paraId="473168DE" w14:textId="5F7131CD" w:rsidR="009E1F18" w:rsidRDefault="009E1F18" w:rsidP="009E1F18">
            <w:pPr>
              <w:rPr>
                <w:b/>
                <w:bCs/>
              </w:rPr>
            </w:pPr>
            <w:r w:rsidRPr="004B5178">
              <w:t>41.128</w:t>
            </w:r>
          </w:p>
        </w:tc>
      </w:tr>
      <w:tr w:rsidR="009E1F18" w14:paraId="2FC580E1" w14:textId="77777777" w:rsidTr="009E1F18">
        <w:tc>
          <w:tcPr>
            <w:tcW w:w="1824" w:type="dxa"/>
          </w:tcPr>
          <w:p w14:paraId="3A884874" w14:textId="44BE97C1" w:rsidR="009E1F18" w:rsidRPr="004B5178" w:rsidRDefault="009E1F18" w:rsidP="009E1F18">
            <w:r w:rsidRPr="004B5178">
              <w:t>ISS_2</w:t>
            </w:r>
          </w:p>
        </w:tc>
        <w:tc>
          <w:tcPr>
            <w:tcW w:w="1439" w:type="dxa"/>
          </w:tcPr>
          <w:p w14:paraId="19506747" w14:textId="5ED0AF90" w:rsidR="009E1F18" w:rsidRPr="004B5178" w:rsidRDefault="009E1F18" w:rsidP="009E1F18">
            <w:r w:rsidRPr="004B5178">
              <w:t>8.153</w:t>
            </w:r>
          </w:p>
        </w:tc>
        <w:tc>
          <w:tcPr>
            <w:tcW w:w="1134" w:type="dxa"/>
          </w:tcPr>
          <w:p w14:paraId="3C96E02A" w14:textId="06EC0919" w:rsidR="009E1F18" w:rsidRPr="004B5178" w:rsidRDefault="009E1F18" w:rsidP="009E1F18">
            <w:r w:rsidRPr="004B5178">
              <w:t>3472.300</w:t>
            </w:r>
          </w:p>
        </w:tc>
        <w:tc>
          <w:tcPr>
            <w:tcW w:w="896" w:type="dxa"/>
          </w:tcPr>
          <w:p w14:paraId="03228F24" w14:textId="2825B922" w:rsidR="009E1F18" w:rsidRPr="004B5178" w:rsidRDefault="009E1F18" w:rsidP="009E1F18">
            <w:r w:rsidRPr="004B5178">
              <w:t>&lt;0.001</w:t>
            </w:r>
          </w:p>
        </w:tc>
        <w:tc>
          <w:tcPr>
            <w:tcW w:w="1134" w:type="dxa"/>
          </w:tcPr>
          <w:p w14:paraId="5FDA106C" w14:textId="4A3C17E8" w:rsidR="009E1F18" w:rsidRPr="004B5178" w:rsidRDefault="009E1F18" w:rsidP="009E1F18">
            <w:r w:rsidRPr="004B5178">
              <w:t>1923.340</w:t>
            </w:r>
          </w:p>
        </w:tc>
        <w:tc>
          <w:tcPr>
            <w:tcW w:w="1134" w:type="dxa"/>
          </w:tcPr>
          <w:p w14:paraId="4BB4EFDB" w14:textId="7E6DEEDA" w:rsidR="009E1F18" w:rsidRPr="004B5178" w:rsidRDefault="009E1F18" w:rsidP="009E1F18">
            <w:r w:rsidRPr="004B5178">
              <w:t>6268.730</w:t>
            </w:r>
          </w:p>
        </w:tc>
        <w:tc>
          <w:tcPr>
            <w:tcW w:w="1824" w:type="dxa"/>
          </w:tcPr>
          <w:p w14:paraId="77626F42" w14:textId="5A711DA6" w:rsidR="009E1F18" w:rsidRPr="004B5178" w:rsidRDefault="009E1F18" w:rsidP="009E1F18">
            <w:r w:rsidRPr="004B5178">
              <w:t>ISS_2</w:t>
            </w:r>
          </w:p>
        </w:tc>
        <w:tc>
          <w:tcPr>
            <w:tcW w:w="1439" w:type="dxa"/>
          </w:tcPr>
          <w:p w14:paraId="16533ADA" w14:textId="408B5E45" w:rsidR="009E1F18" w:rsidRPr="004B5178" w:rsidRDefault="009E1F18" w:rsidP="009E1F18">
            <w:r w:rsidRPr="004B5178">
              <w:t>8.040</w:t>
            </w:r>
          </w:p>
        </w:tc>
        <w:tc>
          <w:tcPr>
            <w:tcW w:w="1134" w:type="dxa"/>
          </w:tcPr>
          <w:p w14:paraId="12058B0D" w14:textId="3DAC454C" w:rsidR="009E1F18" w:rsidRPr="004B5178" w:rsidRDefault="009E1F18" w:rsidP="009E1F18">
            <w:r w:rsidRPr="004B5178">
              <w:t>3102.760</w:t>
            </w:r>
          </w:p>
        </w:tc>
        <w:tc>
          <w:tcPr>
            <w:tcW w:w="896" w:type="dxa"/>
          </w:tcPr>
          <w:p w14:paraId="79B41AA1" w14:textId="14EB5259" w:rsidR="009E1F18" w:rsidRPr="004B5178" w:rsidRDefault="009E1F18" w:rsidP="009E1F18">
            <w:r w:rsidRPr="004B5178">
              <w:t>&lt;0.001</w:t>
            </w:r>
          </w:p>
        </w:tc>
        <w:tc>
          <w:tcPr>
            <w:tcW w:w="1134" w:type="dxa"/>
          </w:tcPr>
          <w:p w14:paraId="0D6E9970" w14:textId="22C2DCBA" w:rsidR="009E1F18" w:rsidRPr="004B5178" w:rsidRDefault="009E1F18" w:rsidP="009E1F18">
            <w:r w:rsidRPr="004B5178">
              <w:t>1715.880</w:t>
            </w:r>
          </w:p>
        </w:tc>
        <w:tc>
          <w:tcPr>
            <w:tcW w:w="1134" w:type="dxa"/>
          </w:tcPr>
          <w:p w14:paraId="67011668" w14:textId="289A8E7C" w:rsidR="009E1F18" w:rsidRPr="004B5178" w:rsidRDefault="009E1F18" w:rsidP="009E1F18">
            <w:r w:rsidRPr="004B5178">
              <w:t>5610.590</w:t>
            </w:r>
          </w:p>
        </w:tc>
      </w:tr>
      <w:tr w:rsidR="009E1F18" w14:paraId="7CB5555A" w14:textId="77777777" w:rsidTr="009E1F18">
        <w:tc>
          <w:tcPr>
            <w:tcW w:w="1824" w:type="dxa"/>
          </w:tcPr>
          <w:p w14:paraId="69CD620A" w14:textId="2D7BBDD8" w:rsidR="009E1F18" w:rsidRPr="004B5178" w:rsidRDefault="009E1F18" w:rsidP="009E1F18">
            <w:r w:rsidRPr="004B5178">
              <w:t>GCS 13 - 15 (reference)</w:t>
            </w:r>
          </w:p>
        </w:tc>
        <w:tc>
          <w:tcPr>
            <w:tcW w:w="1439" w:type="dxa"/>
          </w:tcPr>
          <w:p w14:paraId="0736FD25" w14:textId="77777777" w:rsidR="009E1F18" w:rsidRPr="004B5178" w:rsidRDefault="009E1F18" w:rsidP="009E1F18"/>
        </w:tc>
        <w:tc>
          <w:tcPr>
            <w:tcW w:w="1134" w:type="dxa"/>
          </w:tcPr>
          <w:p w14:paraId="639A20F2" w14:textId="77777777" w:rsidR="009E1F18" w:rsidRPr="004B5178" w:rsidRDefault="009E1F18" w:rsidP="009E1F18"/>
        </w:tc>
        <w:tc>
          <w:tcPr>
            <w:tcW w:w="896" w:type="dxa"/>
          </w:tcPr>
          <w:p w14:paraId="2AEEE012" w14:textId="77777777" w:rsidR="009E1F18" w:rsidRPr="004B5178" w:rsidRDefault="009E1F18" w:rsidP="009E1F18"/>
        </w:tc>
        <w:tc>
          <w:tcPr>
            <w:tcW w:w="1134" w:type="dxa"/>
          </w:tcPr>
          <w:p w14:paraId="2916EB8E" w14:textId="77777777" w:rsidR="009E1F18" w:rsidRPr="004B5178" w:rsidRDefault="009E1F18" w:rsidP="009E1F18"/>
        </w:tc>
        <w:tc>
          <w:tcPr>
            <w:tcW w:w="1134" w:type="dxa"/>
          </w:tcPr>
          <w:p w14:paraId="6F577855" w14:textId="77777777" w:rsidR="009E1F18" w:rsidRPr="004B5178" w:rsidRDefault="009E1F18" w:rsidP="009E1F18"/>
        </w:tc>
        <w:tc>
          <w:tcPr>
            <w:tcW w:w="1824" w:type="dxa"/>
          </w:tcPr>
          <w:p w14:paraId="09B0353E" w14:textId="7F2ED0D2" w:rsidR="009E1F18" w:rsidRPr="004B5178" w:rsidRDefault="009E1F18" w:rsidP="009E1F18">
            <w:r w:rsidRPr="004B5178">
              <w:t>GCS 13 - 15 (reference)</w:t>
            </w:r>
          </w:p>
        </w:tc>
        <w:tc>
          <w:tcPr>
            <w:tcW w:w="1439" w:type="dxa"/>
          </w:tcPr>
          <w:p w14:paraId="47F72F6A" w14:textId="77777777" w:rsidR="009E1F18" w:rsidRPr="004B5178" w:rsidRDefault="009E1F18" w:rsidP="009E1F18"/>
        </w:tc>
        <w:tc>
          <w:tcPr>
            <w:tcW w:w="1134" w:type="dxa"/>
          </w:tcPr>
          <w:p w14:paraId="70E2CF92" w14:textId="420E01D3" w:rsidR="009E1F18" w:rsidRPr="004B5178" w:rsidRDefault="009E1F18" w:rsidP="009E1F18">
            <w:r w:rsidRPr="004B5178">
              <w:t>1.000</w:t>
            </w:r>
          </w:p>
        </w:tc>
        <w:tc>
          <w:tcPr>
            <w:tcW w:w="896" w:type="dxa"/>
          </w:tcPr>
          <w:p w14:paraId="4841FA9E" w14:textId="77777777" w:rsidR="009E1F18" w:rsidRPr="004B5178" w:rsidRDefault="009E1F18" w:rsidP="009E1F18"/>
        </w:tc>
        <w:tc>
          <w:tcPr>
            <w:tcW w:w="1134" w:type="dxa"/>
          </w:tcPr>
          <w:p w14:paraId="26384C80" w14:textId="77777777" w:rsidR="009E1F18" w:rsidRPr="004B5178" w:rsidRDefault="009E1F18" w:rsidP="009E1F18"/>
        </w:tc>
        <w:tc>
          <w:tcPr>
            <w:tcW w:w="1134" w:type="dxa"/>
          </w:tcPr>
          <w:p w14:paraId="58DBA0D1" w14:textId="77777777" w:rsidR="009E1F18" w:rsidRPr="004B5178" w:rsidRDefault="009E1F18" w:rsidP="009E1F18"/>
        </w:tc>
      </w:tr>
      <w:tr w:rsidR="009E1F18" w14:paraId="4C5585FC" w14:textId="77777777" w:rsidTr="009E1F18">
        <w:tc>
          <w:tcPr>
            <w:tcW w:w="1824" w:type="dxa"/>
          </w:tcPr>
          <w:p w14:paraId="486DC260" w14:textId="0A249F97" w:rsidR="009E1F18" w:rsidRPr="004B5178" w:rsidRDefault="009E1F18" w:rsidP="009E1F18">
            <w:r w:rsidRPr="004B5178">
              <w:t>GCS=3</w:t>
            </w:r>
          </w:p>
        </w:tc>
        <w:tc>
          <w:tcPr>
            <w:tcW w:w="1439" w:type="dxa"/>
          </w:tcPr>
          <w:p w14:paraId="35C6B3DE" w14:textId="3A0B0B1E" w:rsidR="009E1F18" w:rsidRPr="004B5178" w:rsidRDefault="009E1F18" w:rsidP="009E1F18">
            <w:r w:rsidRPr="004B5178">
              <w:t>-3.555</w:t>
            </w:r>
          </w:p>
        </w:tc>
        <w:tc>
          <w:tcPr>
            <w:tcW w:w="1134" w:type="dxa"/>
          </w:tcPr>
          <w:p w14:paraId="22EF2112" w14:textId="54B65EA1" w:rsidR="009E1F18" w:rsidRPr="004B5178" w:rsidRDefault="009E1F18" w:rsidP="009E1F18">
            <w:r w:rsidRPr="004B5178">
              <w:t>0.029</w:t>
            </w:r>
          </w:p>
        </w:tc>
        <w:tc>
          <w:tcPr>
            <w:tcW w:w="896" w:type="dxa"/>
          </w:tcPr>
          <w:p w14:paraId="4AD465B6" w14:textId="7359336E" w:rsidR="009E1F18" w:rsidRPr="004B5178" w:rsidRDefault="009E1F18" w:rsidP="009E1F18">
            <w:r w:rsidRPr="004B5178">
              <w:t>&lt;0.001</w:t>
            </w:r>
          </w:p>
        </w:tc>
        <w:tc>
          <w:tcPr>
            <w:tcW w:w="1134" w:type="dxa"/>
          </w:tcPr>
          <w:p w14:paraId="514EDD78" w14:textId="40170736" w:rsidR="009E1F18" w:rsidRPr="004B5178" w:rsidRDefault="009E1F18" w:rsidP="009E1F18">
            <w:r w:rsidRPr="004B5178">
              <w:t>0.025</w:t>
            </w:r>
          </w:p>
        </w:tc>
        <w:tc>
          <w:tcPr>
            <w:tcW w:w="1134" w:type="dxa"/>
          </w:tcPr>
          <w:p w14:paraId="59932314" w14:textId="4E7C6D05" w:rsidR="009E1F18" w:rsidRPr="004B5178" w:rsidRDefault="009E1F18" w:rsidP="009E1F18">
            <w:r w:rsidRPr="004B5178">
              <w:t>0.032</w:t>
            </w:r>
          </w:p>
        </w:tc>
        <w:tc>
          <w:tcPr>
            <w:tcW w:w="1824" w:type="dxa"/>
          </w:tcPr>
          <w:p w14:paraId="7CB591F9" w14:textId="166F40D2" w:rsidR="009E1F18" w:rsidRPr="004B5178" w:rsidRDefault="009E1F18" w:rsidP="009E1F18">
            <w:r w:rsidRPr="004B5178">
              <w:t>GCS=3</w:t>
            </w:r>
          </w:p>
        </w:tc>
        <w:tc>
          <w:tcPr>
            <w:tcW w:w="1439" w:type="dxa"/>
          </w:tcPr>
          <w:p w14:paraId="5CAE0A3F" w14:textId="45167043" w:rsidR="009E1F18" w:rsidRPr="004B5178" w:rsidRDefault="009E1F18" w:rsidP="009E1F18">
            <w:r w:rsidRPr="004B5178">
              <w:t>-3.747</w:t>
            </w:r>
          </w:p>
        </w:tc>
        <w:tc>
          <w:tcPr>
            <w:tcW w:w="1134" w:type="dxa"/>
          </w:tcPr>
          <w:p w14:paraId="1BCBF86B" w14:textId="08DD881E" w:rsidR="009E1F18" w:rsidRPr="004B5178" w:rsidRDefault="009E1F18" w:rsidP="009E1F18">
            <w:r w:rsidRPr="004B5178">
              <w:t>0.024</w:t>
            </w:r>
          </w:p>
        </w:tc>
        <w:tc>
          <w:tcPr>
            <w:tcW w:w="896" w:type="dxa"/>
          </w:tcPr>
          <w:p w14:paraId="7B05D910" w14:textId="35BBAF35" w:rsidR="009E1F18" w:rsidRPr="004B5178" w:rsidRDefault="009E1F18" w:rsidP="009E1F18">
            <w:r w:rsidRPr="004B5178">
              <w:t>&lt;0.001</w:t>
            </w:r>
          </w:p>
        </w:tc>
        <w:tc>
          <w:tcPr>
            <w:tcW w:w="1134" w:type="dxa"/>
          </w:tcPr>
          <w:p w14:paraId="2A6543DC" w14:textId="7C3D4297" w:rsidR="009E1F18" w:rsidRPr="004B5178" w:rsidRDefault="009E1F18" w:rsidP="009E1F18">
            <w:r w:rsidRPr="004B5178">
              <w:t>0.021</w:t>
            </w:r>
          </w:p>
        </w:tc>
        <w:tc>
          <w:tcPr>
            <w:tcW w:w="1134" w:type="dxa"/>
          </w:tcPr>
          <w:p w14:paraId="09E90AF1" w14:textId="55309FDA" w:rsidR="009E1F18" w:rsidRPr="004B5178" w:rsidRDefault="009E1F18" w:rsidP="009E1F18">
            <w:r w:rsidRPr="004B5178">
              <w:t>0.027</w:t>
            </w:r>
          </w:p>
        </w:tc>
      </w:tr>
      <w:tr w:rsidR="009E1F18" w14:paraId="460F3490" w14:textId="77777777" w:rsidTr="009E1F18">
        <w:tc>
          <w:tcPr>
            <w:tcW w:w="1824" w:type="dxa"/>
          </w:tcPr>
          <w:p w14:paraId="152E9EE5" w14:textId="618F8EFE" w:rsidR="009E1F18" w:rsidRPr="004B5178" w:rsidRDefault="009E1F18" w:rsidP="009E1F18">
            <w:r w:rsidRPr="004B5178">
              <w:t>GCS 4 - 5</w:t>
            </w:r>
          </w:p>
        </w:tc>
        <w:tc>
          <w:tcPr>
            <w:tcW w:w="1439" w:type="dxa"/>
          </w:tcPr>
          <w:p w14:paraId="389279E1" w14:textId="5B6D8402" w:rsidR="009E1F18" w:rsidRPr="004B5178" w:rsidRDefault="009E1F18" w:rsidP="009E1F18">
            <w:r w:rsidRPr="004B5178">
              <w:t>-2.435</w:t>
            </w:r>
          </w:p>
        </w:tc>
        <w:tc>
          <w:tcPr>
            <w:tcW w:w="1134" w:type="dxa"/>
          </w:tcPr>
          <w:p w14:paraId="665A798A" w14:textId="136E237C" w:rsidR="009E1F18" w:rsidRPr="004B5178" w:rsidRDefault="009E1F18" w:rsidP="009E1F18">
            <w:r w:rsidRPr="004B5178">
              <w:t>0.088</w:t>
            </w:r>
          </w:p>
        </w:tc>
        <w:tc>
          <w:tcPr>
            <w:tcW w:w="896" w:type="dxa"/>
          </w:tcPr>
          <w:p w14:paraId="37F583F1" w14:textId="03540EF6" w:rsidR="009E1F18" w:rsidRPr="004B5178" w:rsidRDefault="009E1F18" w:rsidP="009E1F18">
            <w:r w:rsidRPr="004B5178">
              <w:t>&lt;0.001</w:t>
            </w:r>
          </w:p>
        </w:tc>
        <w:tc>
          <w:tcPr>
            <w:tcW w:w="1134" w:type="dxa"/>
          </w:tcPr>
          <w:p w14:paraId="60D3821A" w14:textId="4ACEAEB6" w:rsidR="009E1F18" w:rsidRPr="004B5178" w:rsidRDefault="009E1F18" w:rsidP="009E1F18">
            <w:r w:rsidRPr="004B5178">
              <w:t>0.075</w:t>
            </w:r>
          </w:p>
        </w:tc>
        <w:tc>
          <w:tcPr>
            <w:tcW w:w="1134" w:type="dxa"/>
          </w:tcPr>
          <w:p w14:paraId="2D32F936" w14:textId="76115090" w:rsidR="009E1F18" w:rsidRPr="004B5178" w:rsidRDefault="009E1F18" w:rsidP="009E1F18">
            <w:r w:rsidRPr="004B5178">
              <w:t>0.103</w:t>
            </w:r>
          </w:p>
        </w:tc>
        <w:tc>
          <w:tcPr>
            <w:tcW w:w="1824" w:type="dxa"/>
          </w:tcPr>
          <w:p w14:paraId="178F5753" w14:textId="114C89FE" w:rsidR="009E1F18" w:rsidRPr="004B5178" w:rsidRDefault="009E1F18" w:rsidP="009E1F18">
            <w:r w:rsidRPr="004B5178">
              <w:t>GCS 4 - 5</w:t>
            </w:r>
          </w:p>
        </w:tc>
        <w:tc>
          <w:tcPr>
            <w:tcW w:w="1439" w:type="dxa"/>
          </w:tcPr>
          <w:p w14:paraId="7115C24C" w14:textId="40569B7B" w:rsidR="009E1F18" w:rsidRPr="004B5178" w:rsidRDefault="009E1F18" w:rsidP="009E1F18">
            <w:r w:rsidRPr="004B5178">
              <w:t>-2.628</w:t>
            </w:r>
          </w:p>
        </w:tc>
        <w:tc>
          <w:tcPr>
            <w:tcW w:w="1134" w:type="dxa"/>
          </w:tcPr>
          <w:p w14:paraId="6ACBD1D2" w14:textId="55979F17" w:rsidR="009E1F18" w:rsidRPr="004B5178" w:rsidRDefault="009E1F18" w:rsidP="009E1F18">
            <w:r w:rsidRPr="004B5178">
              <w:t>0.072</w:t>
            </w:r>
          </w:p>
        </w:tc>
        <w:tc>
          <w:tcPr>
            <w:tcW w:w="896" w:type="dxa"/>
          </w:tcPr>
          <w:p w14:paraId="283D5B01" w14:textId="34BF144A" w:rsidR="009E1F18" w:rsidRPr="004B5178" w:rsidRDefault="009E1F18" w:rsidP="009E1F18">
            <w:r w:rsidRPr="004B5178">
              <w:t>&lt;0.001</w:t>
            </w:r>
          </w:p>
        </w:tc>
        <w:tc>
          <w:tcPr>
            <w:tcW w:w="1134" w:type="dxa"/>
          </w:tcPr>
          <w:p w14:paraId="54D8F6A0" w14:textId="217A3A0B" w:rsidR="009E1F18" w:rsidRPr="004B5178" w:rsidRDefault="009E1F18" w:rsidP="009E1F18">
            <w:r w:rsidRPr="004B5178">
              <w:t>0.061</w:t>
            </w:r>
          </w:p>
        </w:tc>
        <w:tc>
          <w:tcPr>
            <w:tcW w:w="1134" w:type="dxa"/>
          </w:tcPr>
          <w:p w14:paraId="227A39FC" w14:textId="691185B2" w:rsidR="009E1F18" w:rsidRPr="004B5178" w:rsidRDefault="009E1F18" w:rsidP="009E1F18">
            <w:r w:rsidRPr="004B5178">
              <w:t>0.085</w:t>
            </w:r>
          </w:p>
        </w:tc>
      </w:tr>
      <w:tr w:rsidR="009E1F18" w14:paraId="639233A7" w14:textId="77777777" w:rsidTr="009E1F18">
        <w:tc>
          <w:tcPr>
            <w:tcW w:w="1824" w:type="dxa"/>
          </w:tcPr>
          <w:p w14:paraId="484A0962" w14:textId="30C50B83" w:rsidR="009E1F18" w:rsidRPr="004B5178" w:rsidRDefault="009E1F18" w:rsidP="009E1F18">
            <w:r w:rsidRPr="004B5178">
              <w:t>GCS 6 - 8</w:t>
            </w:r>
          </w:p>
        </w:tc>
        <w:tc>
          <w:tcPr>
            <w:tcW w:w="1439" w:type="dxa"/>
          </w:tcPr>
          <w:p w14:paraId="5B56CD04" w14:textId="12576886" w:rsidR="009E1F18" w:rsidRPr="004B5178" w:rsidRDefault="009E1F18" w:rsidP="009E1F18">
            <w:r w:rsidRPr="004B5178">
              <w:t>-1.481</w:t>
            </w:r>
          </w:p>
        </w:tc>
        <w:tc>
          <w:tcPr>
            <w:tcW w:w="1134" w:type="dxa"/>
          </w:tcPr>
          <w:p w14:paraId="2C03F92E" w14:textId="3E519E8B" w:rsidR="009E1F18" w:rsidRPr="004B5178" w:rsidRDefault="009E1F18" w:rsidP="009E1F18">
            <w:r w:rsidRPr="004B5178">
              <w:t>0.227</w:t>
            </w:r>
          </w:p>
        </w:tc>
        <w:tc>
          <w:tcPr>
            <w:tcW w:w="896" w:type="dxa"/>
          </w:tcPr>
          <w:p w14:paraId="2F7B34AD" w14:textId="5C3C075F" w:rsidR="009E1F18" w:rsidRPr="004B5178" w:rsidRDefault="009E1F18" w:rsidP="009E1F18">
            <w:r w:rsidRPr="004B5178">
              <w:t>&lt;0.001</w:t>
            </w:r>
          </w:p>
        </w:tc>
        <w:tc>
          <w:tcPr>
            <w:tcW w:w="1134" w:type="dxa"/>
          </w:tcPr>
          <w:p w14:paraId="24A097F5" w14:textId="05F3AF4B" w:rsidR="009E1F18" w:rsidRPr="004B5178" w:rsidRDefault="009E1F18" w:rsidP="009E1F18">
            <w:r w:rsidRPr="004B5178">
              <w:t>0.199</w:t>
            </w:r>
          </w:p>
        </w:tc>
        <w:tc>
          <w:tcPr>
            <w:tcW w:w="1134" w:type="dxa"/>
          </w:tcPr>
          <w:p w14:paraId="3FF253F1" w14:textId="7098734F" w:rsidR="009E1F18" w:rsidRPr="004B5178" w:rsidRDefault="009E1F18" w:rsidP="009E1F18">
            <w:r w:rsidRPr="004B5178">
              <w:t>0.259</w:t>
            </w:r>
          </w:p>
        </w:tc>
        <w:tc>
          <w:tcPr>
            <w:tcW w:w="1824" w:type="dxa"/>
          </w:tcPr>
          <w:p w14:paraId="4E8B1865" w14:textId="238C9E34" w:rsidR="009E1F18" w:rsidRPr="004B5178" w:rsidRDefault="009E1F18" w:rsidP="009E1F18">
            <w:r w:rsidRPr="004B5178">
              <w:t>GCS 6 - 8</w:t>
            </w:r>
          </w:p>
        </w:tc>
        <w:tc>
          <w:tcPr>
            <w:tcW w:w="1439" w:type="dxa"/>
          </w:tcPr>
          <w:p w14:paraId="4933BE59" w14:textId="649DF825" w:rsidR="009E1F18" w:rsidRPr="004B5178" w:rsidRDefault="009E1F18" w:rsidP="009E1F18">
            <w:r w:rsidRPr="004B5178">
              <w:t>-1.739</w:t>
            </w:r>
          </w:p>
        </w:tc>
        <w:tc>
          <w:tcPr>
            <w:tcW w:w="1134" w:type="dxa"/>
          </w:tcPr>
          <w:p w14:paraId="611A2622" w14:textId="1B4599AE" w:rsidR="009E1F18" w:rsidRPr="004B5178" w:rsidRDefault="009E1F18" w:rsidP="009E1F18">
            <w:r w:rsidRPr="004B5178">
              <w:t>0.176</w:t>
            </w:r>
          </w:p>
        </w:tc>
        <w:tc>
          <w:tcPr>
            <w:tcW w:w="896" w:type="dxa"/>
          </w:tcPr>
          <w:p w14:paraId="4335E355" w14:textId="582573D0" w:rsidR="009E1F18" w:rsidRPr="004B5178" w:rsidRDefault="009E1F18" w:rsidP="009E1F18">
            <w:r w:rsidRPr="004B5178">
              <w:t>&lt;0.001</w:t>
            </w:r>
          </w:p>
        </w:tc>
        <w:tc>
          <w:tcPr>
            <w:tcW w:w="1134" w:type="dxa"/>
          </w:tcPr>
          <w:p w14:paraId="055F0CD3" w14:textId="2FD8D6F8" w:rsidR="009E1F18" w:rsidRPr="004B5178" w:rsidRDefault="009E1F18" w:rsidP="009E1F18">
            <w:r w:rsidRPr="004B5178">
              <w:t>0.152</w:t>
            </w:r>
          </w:p>
        </w:tc>
        <w:tc>
          <w:tcPr>
            <w:tcW w:w="1134" w:type="dxa"/>
          </w:tcPr>
          <w:p w14:paraId="2A7B9F12" w14:textId="2CBBAADB" w:rsidR="009E1F18" w:rsidRPr="004B5178" w:rsidRDefault="009E1F18" w:rsidP="009E1F18">
            <w:r w:rsidRPr="004B5178">
              <w:t>0.203</w:t>
            </w:r>
          </w:p>
        </w:tc>
      </w:tr>
      <w:tr w:rsidR="009E1F18" w14:paraId="710E1DB0" w14:textId="77777777" w:rsidTr="009E1F18">
        <w:tc>
          <w:tcPr>
            <w:tcW w:w="1824" w:type="dxa"/>
          </w:tcPr>
          <w:p w14:paraId="20BE73AE" w14:textId="36966754" w:rsidR="009E1F18" w:rsidRPr="004B5178" w:rsidRDefault="009E1F18" w:rsidP="009E1F18">
            <w:r w:rsidRPr="004B5178">
              <w:t>GCS 9 - 12</w:t>
            </w:r>
          </w:p>
        </w:tc>
        <w:tc>
          <w:tcPr>
            <w:tcW w:w="1439" w:type="dxa"/>
          </w:tcPr>
          <w:p w14:paraId="45689E19" w14:textId="4306DE34" w:rsidR="009E1F18" w:rsidRPr="004B5178" w:rsidRDefault="009E1F18" w:rsidP="009E1F18">
            <w:r w:rsidRPr="004B5178">
              <w:t>-1.075</w:t>
            </w:r>
          </w:p>
        </w:tc>
        <w:tc>
          <w:tcPr>
            <w:tcW w:w="1134" w:type="dxa"/>
          </w:tcPr>
          <w:p w14:paraId="5985EE49" w14:textId="79873ED0" w:rsidR="009E1F18" w:rsidRPr="004B5178" w:rsidRDefault="009E1F18" w:rsidP="009E1F18">
            <w:r w:rsidRPr="004B5178">
              <w:t>0.341</w:t>
            </w:r>
          </w:p>
        </w:tc>
        <w:tc>
          <w:tcPr>
            <w:tcW w:w="896" w:type="dxa"/>
          </w:tcPr>
          <w:p w14:paraId="0213521F" w14:textId="5481AE2B" w:rsidR="009E1F18" w:rsidRPr="004B5178" w:rsidRDefault="009E1F18" w:rsidP="009E1F18">
            <w:r w:rsidRPr="004B5178">
              <w:t>&lt;0.001</w:t>
            </w:r>
          </w:p>
        </w:tc>
        <w:tc>
          <w:tcPr>
            <w:tcW w:w="1134" w:type="dxa"/>
          </w:tcPr>
          <w:p w14:paraId="3A421C72" w14:textId="0E038429" w:rsidR="009E1F18" w:rsidRPr="004B5178" w:rsidRDefault="009E1F18" w:rsidP="009E1F18">
            <w:r w:rsidRPr="004B5178">
              <w:t>0.304</w:t>
            </w:r>
          </w:p>
        </w:tc>
        <w:tc>
          <w:tcPr>
            <w:tcW w:w="1134" w:type="dxa"/>
          </w:tcPr>
          <w:p w14:paraId="154A0933" w14:textId="37F1D8E2" w:rsidR="009E1F18" w:rsidRPr="004B5178" w:rsidRDefault="009E1F18" w:rsidP="009E1F18">
            <w:r w:rsidRPr="004B5178">
              <w:t>0.384</w:t>
            </w:r>
          </w:p>
        </w:tc>
        <w:tc>
          <w:tcPr>
            <w:tcW w:w="1824" w:type="dxa"/>
          </w:tcPr>
          <w:p w14:paraId="544FB474" w14:textId="541A3496" w:rsidR="009E1F18" w:rsidRPr="004B5178" w:rsidRDefault="009E1F18" w:rsidP="009E1F18">
            <w:r w:rsidRPr="004B5178">
              <w:t>GCS 9 - 12</w:t>
            </w:r>
          </w:p>
        </w:tc>
        <w:tc>
          <w:tcPr>
            <w:tcW w:w="1439" w:type="dxa"/>
          </w:tcPr>
          <w:p w14:paraId="10CAB88F" w14:textId="0C603A35" w:rsidR="009E1F18" w:rsidRPr="004B5178" w:rsidRDefault="009E1F18" w:rsidP="009E1F18">
            <w:r w:rsidRPr="004B5178">
              <w:t>-1.296</w:t>
            </w:r>
          </w:p>
        </w:tc>
        <w:tc>
          <w:tcPr>
            <w:tcW w:w="1134" w:type="dxa"/>
          </w:tcPr>
          <w:p w14:paraId="4C170770" w14:textId="62A5C351" w:rsidR="009E1F18" w:rsidRPr="004B5178" w:rsidRDefault="009E1F18" w:rsidP="009E1F18">
            <w:r w:rsidRPr="004B5178">
              <w:t>0.274</w:t>
            </w:r>
          </w:p>
        </w:tc>
        <w:tc>
          <w:tcPr>
            <w:tcW w:w="896" w:type="dxa"/>
          </w:tcPr>
          <w:p w14:paraId="2A852416" w14:textId="0C42DFE2" w:rsidR="009E1F18" w:rsidRPr="004B5178" w:rsidRDefault="009E1F18" w:rsidP="009E1F18">
            <w:r w:rsidRPr="004B5178">
              <w:t>&lt;0.001</w:t>
            </w:r>
          </w:p>
        </w:tc>
        <w:tc>
          <w:tcPr>
            <w:tcW w:w="1134" w:type="dxa"/>
          </w:tcPr>
          <w:p w14:paraId="50C63602" w14:textId="7C939253" w:rsidR="009E1F18" w:rsidRPr="004B5178" w:rsidRDefault="009E1F18" w:rsidP="009E1F18">
            <w:r w:rsidRPr="004B5178">
              <w:t>0.243</w:t>
            </w:r>
          </w:p>
        </w:tc>
        <w:tc>
          <w:tcPr>
            <w:tcW w:w="1134" w:type="dxa"/>
          </w:tcPr>
          <w:p w14:paraId="5F12D8A5" w14:textId="44618751" w:rsidR="009E1F18" w:rsidRPr="004B5178" w:rsidRDefault="009E1F18" w:rsidP="009E1F18">
            <w:r w:rsidRPr="004B5178">
              <w:t>0.308</w:t>
            </w:r>
          </w:p>
        </w:tc>
      </w:tr>
      <w:tr w:rsidR="009E1F18" w14:paraId="489C7233" w14:textId="77777777" w:rsidTr="009E1F18">
        <w:tc>
          <w:tcPr>
            <w:tcW w:w="1824" w:type="dxa"/>
          </w:tcPr>
          <w:p w14:paraId="6F7EB486" w14:textId="6C91105B" w:rsidR="009E1F18" w:rsidRPr="004B5178" w:rsidRDefault="009E1F18" w:rsidP="009E1F18">
            <w:r w:rsidRPr="004B5178">
              <w:t>GCS  Intubation</w:t>
            </w:r>
          </w:p>
        </w:tc>
        <w:tc>
          <w:tcPr>
            <w:tcW w:w="1439" w:type="dxa"/>
          </w:tcPr>
          <w:p w14:paraId="6AE0633A" w14:textId="142D5C69" w:rsidR="009E1F18" w:rsidRPr="004B5178" w:rsidRDefault="009E1F18" w:rsidP="009E1F18">
            <w:r w:rsidRPr="004B5178">
              <w:t>-2.385</w:t>
            </w:r>
          </w:p>
        </w:tc>
        <w:tc>
          <w:tcPr>
            <w:tcW w:w="1134" w:type="dxa"/>
          </w:tcPr>
          <w:p w14:paraId="3D4B8D4D" w14:textId="2B3EEA9C" w:rsidR="009E1F18" w:rsidRPr="004B5178" w:rsidRDefault="009E1F18" w:rsidP="009E1F18">
            <w:r w:rsidRPr="004B5178">
              <w:t>0.092</w:t>
            </w:r>
          </w:p>
        </w:tc>
        <w:tc>
          <w:tcPr>
            <w:tcW w:w="896" w:type="dxa"/>
          </w:tcPr>
          <w:p w14:paraId="167885BD" w14:textId="27BB1A92" w:rsidR="009E1F18" w:rsidRPr="004B5178" w:rsidRDefault="009E1F18" w:rsidP="009E1F18">
            <w:r w:rsidRPr="004B5178">
              <w:t>&lt;0.001</w:t>
            </w:r>
          </w:p>
        </w:tc>
        <w:tc>
          <w:tcPr>
            <w:tcW w:w="1134" w:type="dxa"/>
          </w:tcPr>
          <w:p w14:paraId="28AF5112" w14:textId="4FF719D8" w:rsidR="009E1F18" w:rsidRPr="004B5178" w:rsidRDefault="009E1F18" w:rsidP="009E1F18">
            <w:r w:rsidRPr="004B5178">
              <w:t>0.075</w:t>
            </w:r>
          </w:p>
        </w:tc>
        <w:tc>
          <w:tcPr>
            <w:tcW w:w="1134" w:type="dxa"/>
          </w:tcPr>
          <w:p w14:paraId="68C5D5DC" w14:textId="55A76642" w:rsidR="009E1F18" w:rsidRPr="004B5178" w:rsidRDefault="009E1F18" w:rsidP="009E1F18">
            <w:r w:rsidRPr="004B5178">
              <w:t>0.113</w:t>
            </w:r>
          </w:p>
        </w:tc>
        <w:tc>
          <w:tcPr>
            <w:tcW w:w="1824" w:type="dxa"/>
          </w:tcPr>
          <w:p w14:paraId="08AA4D37" w14:textId="120AD64F" w:rsidR="009E1F18" w:rsidRPr="004B5178" w:rsidRDefault="009E1F18" w:rsidP="009E1F18">
            <w:r w:rsidRPr="004B5178">
              <w:t>GCS  Intubation</w:t>
            </w:r>
          </w:p>
        </w:tc>
        <w:tc>
          <w:tcPr>
            <w:tcW w:w="1439" w:type="dxa"/>
          </w:tcPr>
          <w:p w14:paraId="0860E6DD" w14:textId="44CC507E" w:rsidR="009E1F18" w:rsidRPr="004B5178" w:rsidRDefault="009E1F18" w:rsidP="009E1F18">
            <w:r w:rsidRPr="004B5178">
              <w:t>-2.527</w:t>
            </w:r>
          </w:p>
        </w:tc>
        <w:tc>
          <w:tcPr>
            <w:tcW w:w="1134" w:type="dxa"/>
          </w:tcPr>
          <w:p w14:paraId="08856263" w14:textId="6D38C9A9" w:rsidR="009E1F18" w:rsidRPr="004B5178" w:rsidRDefault="009E1F18" w:rsidP="009E1F18">
            <w:r w:rsidRPr="004B5178">
              <w:t>0.080</w:t>
            </w:r>
          </w:p>
        </w:tc>
        <w:tc>
          <w:tcPr>
            <w:tcW w:w="896" w:type="dxa"/>
          </w:tcPr>
          <w:p w14:paraId="001C28FD" w14:textId="369D5B12" w:rsidR="009E1F18" w:rsidRPr="004B5178" w:rsidRDefault="009E1F18" w:rsidP="009E1F18">
            <w:r w:rsidRPr="004B5178">
              <w:t>&lt;0.001</w:t>
            </w:r>
          </w:p>
        </w:tc>
        <w:tc>
          <w:tcPr>
            <w:tcW w:w="1134" w:type="dxa"/>
          </w:tcPr>
          <w:p w14:paraId="535D2E27" w14:textId="4DBB92FC" w:rsidR="009E1F18" w:rsidRPr="004B5178" w:rsidRDefault="009E1F18" w:rsidP="009E1F18">
            <w:r w:rsidRPr="004B5178">
              <w:t>0.065</w:t>
            </w:r>
          </w:p>
        </w:tc>
        <w:tc>
          <w:tcPr>
            <w:tcW w:w="1134" w:type="dxa"/>
          </w:tcPr>
          <w:p w14:paraId="38C06982" w14:textId="3002B865" w:rsidR="009E1F18" w:rsidRPr="004B5178" w:rsidRDefault="009E1F18" w:rsidP="009E1F18">
            <w:r w:rsidRPr="004B5178">
              <w:t>0.098</w:t>
            </w:r>
          </w:p>
        </w:tc>
      </w:tr>
      <w:tr w:rsidR="009E1F18" w14:paraId="3BDE0939" w14:textId="77777777" w:rsidTr="009E1F18">
        <w:tc>
          <w:tcPr>
            <w:tcW w:w="1824" w:type="dxa"/>
          </w:tcPr>
          <w:p w14:paraId="27982DAE" w14:textId="7368D547" w:rsidR="009E1F18" w:rsidRPr="004B5178" w:rsidRDefault="009E1F18" w:rsidP="009E1F18">
            <w:r w:rsidRPr="004B5178">
              <w:t>2007/2008 (reference)</w:t>
            </w:r>
          </w:p>
        </w:tc>
        <w:tc>
          <w:tcPr>
            <w:tcW w:w="1439" w:type="dxa"/>
          </w:tcPr>
          <w:p w14:paraId="141D45FA" w14:textId="17CAF5CA" w:rsidR="009E1F18" w:rsidRPr="004B5178" w:rsidRDefault="009E1F18" w:rsidP="009E1F18">
            <w:r w:rsidRPr="004B5178">
              <w:t>0.000</w:t>
            </w:r>
          </w:p>
        </w:tc>
        <w:tc>
          <w:tcPr>
            <w:tcW w:w="1134" w:type="dxa"/>
          </w:tcPr>
          <w:p w14:paraId="42125286" w14:textId="6043F68F" w:rsidR="009E1F18" w:rsidRPr="004B5178" w:rsidRDefault="009E1F18" w:rsidP="009E1F18">
            <w:r w:rsidRPr="004B5178">
              <w:t>1.000</w:t>
            </w:r>
          </w:p>
        </w:tc>
        <w:tc>
          <w:tcPr>
            <w:tcW w:w="896" w:type="dxa"/>
          </w:tcPr>
          <w:p w14:paraId="53F4BC30" w14:textId="77777777" w:rsidR="009E1F18" w:rsidRPr="004B5178" w:rsidRDefault="009E1F18" w:rsidP="009E1F18"/>
        </w:tc>
        <w:tc>
          <w:tcPr>
            <w:tcW w:w="1134" w:type="dxa"/>
          </w:tcPr>
          <w:p w14:paraId="6EE471A6" w14:textId="77777777" w:rsidR="009E1F18" w:rsidRPr="004B5178" w:rsidRDefault="009E1F18" w:rsidP="009E1F18"/>
        </w:tc>
        <w:tc>
          <w:tcPr>
            <w:tcW w:w="1134" w:type="dxa"/>
          </w:tcPr>
          <w:p w14:paraId="4CE8E2F1" w14:textId="77777777" w:rsidR="009E1F18" w:rsidRPr="004B5178" w:rsidRDefault="009E1F18" w:rsidP="009E1F18"/>
        </w:tc>
        <w:tc>
          <w:tcPr>
            <w:tcW w:w="1824" w:type="dxa"/>
          </w:tcPr>
          <w:p w14:paraId="1D571849" w14:textId="2A56C449" w:rsidR="009E1F18" w:rsidRPr="004B5178" w:rsidRDefault="009E1F18" w:rsidP="009E1F18">
            <w:r w:rsidRPr="004B5178">
              <w:t>2007/2008 (reference)</w:t>
            </w:r>
          </w:p>
        </w:tc>
        <w:tc>
          <w:tcPr>
            <w:tcW w:w="1439" w:type="dxa"/>
          </w:tcPr>
          <w:p w14:paraId="314B6F1A" w14:textId="5DB4F36B" w:rsidR="009E1F18" w:rsidRPr="004B5178" w:rsidRDefault="009E1F18" w:rsidP="009E1F18">
            <w:r w:rsidRPr="004B5178">
              <w:t>0.000</w:t>
            </w:r>
          </w:p>
        </w:tc>
        <w:tc>
          <w:tcPr>
            <w:tcW w:w="1134" w:type="dxa"/>
          </w:tcPr>
          <w:p w14:paraId="35F21655" w14:textId="01EB33FB" w:rsidR="009E1F18" w:rsidRPr="004B5178" w:rsidRDefault="009E1F18" w:rsidP="009E1F18">
            <w:r w:rsidRPr="004B5178">
              <w:t>1.000</w:t>
            </w:r>
          </w:p>
        </w:tc>
        <w:tc>
          <w:tcPr>
            <w:tcW w:w="896" w:type="dxa"/>
          </w:tcPr>
          <w:p w14:paraId="234F8536" w14:textId="77777777" w:rsidR="009E1F18" w:rsidRPr="004B5178" w:rsidRDefault="009E1F18" w:rsidP="009E1F18"/>
        </w:tc>
        <w:tc>
          <w:tcPr>
            <w:tcW w:w="1134" w:type="dxa"/>
          </w:tcPr>
          <w:p w14:paraId="3CB62349" w14:textId="77777777" w:rsidR="009E1F18" w:rsidRPr="004B5178" w:rsidRDefault="009E1F18" w:rsidP="009E1F18"/>
        </w:tc>
        <w:tc>
          <w:tcPr>
            <w:tcW w:w="1134" w:type="dxa"/>
          </w:tcPr>
          <w:p w14:paraId="327489FA" w14:textId="77777777" w:rsidR="009E1F18" w:rsidRPr="004B5178" w:rsidRDefault="009E1F18" w:rsidP="009E1F18"/>
        </w:tc>
      </w:tr>
      <w:tr w:rsidR="009E1F18" w14:paraId="44C6D02B" w14:textId="77777777" w:rsidTr="009E1F18">
        <w:tc>
          <w:tcPr>
            <w:tcW w:w="1824" w:type="dxa"/>
          </w:tcPr>
          <w:p w14:paraId="6D262A14" w14:textId="3735CB12" w:rsidR="009E1F18" w:rsidRPr="004B5178" w:rsidRDefault="009E1F18" w:rsidP="009E1F18">
            <w:r w:rsidRPr="004B5178">
              <w:t>2008/2009</w:t>
            </w:r>
          </w:p>
        </w:tc>
        <w:tc>
          <w:tcPr>
            <w:tcW w:w="1439" w:type="dxa"/>
          </w:tcPr>
          <w:p w14:paraId="6C293939" w14:textId="25BC55CC" w:rsidR="009E1F18" w:rsidRPr="004B5178" w:rsidRDefault="009E1F18" w:rsidP="009E1F18">
            <w:r w:rsidRPr="004B5178">
              <w:t>0.037</w:t>
            </w:r>
          </w:p>
        </w:tc>
        <w:tc>
          <w:tcPr>
            <w:tcW w:w="1134" w:type="dxa"/>
          </w:tcPr>
          <w:p w14:paraId="04853892" w14:textId="45343EF0" w:rsidR="009E1F18" w:rsidRPr="004B5178" w:rsidRDefault="009E1F18" w:rsidP="009E1F18">
            <w:r w:rsidRPr="004B5178">
              <w:t>1.037</w:t>
            </w:r>
          </w:p>
        </w:tc>
        <w:tc>
          <w:tcPr>
            <w:tcW w:w="896" w:type="dxa"/>
          </w:tcPr>
          <w:p w14:paraId="05D7EC12" w14:textId="005F5023" w:rsidR="009E1F18" w:rsidRPr="004B5178" w:rsidRDefault="009E1F18" w:rsidP="009E1F18">
            <w:r w:rsidRPr="004B5178">
              <w:t>0.625</w:t>
            </w:r>
          </w:p>
        </w:tc>
        <w:tc>
          <w:tcPr>
            <w:tcW w:w="1134" w:type="dxa"/>
          </w:tcPr>
          <w:p w14:paraId="47881667" w14:textId="6392051C" w:rsidR="009E1F18" w:rsidRPr="004B5178" w:rsidRDefault="009E1F18" w:rsidP="009E1F18">
            <w:r w:rsidRPr="004B5178">
              <w:t>0.895</w:t>
            </w:r>
          </w:p>
        </w:tc>
        <w:tc>
          <w:tcPr>
            <w:tcW w:w="1134" w:type="dxa"/>
          </w:tcPr>
          <w:p w14:paraId="4AD0392C" w14:textId="73DAFE6D" w:rsidR="009E1F18" w:rsidRPr="004B5178" w:rsidRDefault="009E1F18" w:rsidP="009E1F18">
            <w:r w:rsidRPr="004B5178">
              <w:t>1.202</w:t>
            </w:r>
          </w:p>
        </w:tc>
        <w:tc>
          <w:tcPr>
            <w:tcW w:w="1824" w:type="dxa"/>
          </w:tcPr>
          <w:p w14:paraId="312E18F7" w14:textId="335FA278" w:rsidR="009E1F18" w:rsidRPr="004B5178" w:rsidRDefault="009E1F18" w:rsidP="009E1F18">
            <w:r w:rsidRPr="004B5178">
              <w:t>2008/2009</w:t>
            </w:r>
          </w:p>
        </w:tc>
        <w:tc>
          <w:tcPr>
            <w:tcW w:w="1439" w:type="dxa"/>
          </w:tcPr>
          <w:p w14:paraId="50807640" w14:textId="76E8ADA2" w:rsidR="009E1F18" w:rsidRPr="004B5178" w:rsidRDefault="009E1F18" w:rsidP="009E1F18">
            <w:r w:rsidRPr="004B5178">
              <w:t>0.031</w:t>
            </w:r>
          </w:p>
        </w:tc>
        <w:tc>
          <w:tcPr>
            <w:tcW w:w="1134" w:type="dxa"/>
          </w:tcPr>
          <w:p w14:paraId="6B4549C4" w14:textId="575A0A19" w:rsidR="009E1F18" w:rsidRPr="004B5178" w:rsidRDefault="009E1F18" w:rsidP="009E1F18">
            <w:r w:rsidRPr="004B5178">
              <w:t>1.031</w:t>
            </w:r>
          </w:p>
        </w:tc>
        <w:tc>
          <w:tcPr>
            <w:tcW w:w="896" w:type="dxa"/>
          </w:tcPr>
          <w:p w14:paraId="5C2BE035" w14:textId="344250CD" w:rsidR="009E1F18" w:rsidRPr="004B5178" w:rsidRDefault="009E1F18" w:rsidP="009E1F18">
            <w:r w:rsidRPr="004B5178">
              <w:t>0.686</w:t>
            </w:r>
          </w:p>
        </w:tc>
        <w:tc>
          <w:tcPr>
            <w:tcW w:w="1134" w:type="dxa"/>
          </w:tcPr>
          <w:p w14:paraId="1A4542C6" w14:textId="6F229BA4" w:rsidR="009E1F18" w:rsidRPr="004B5178" w:rsidRDefault="009E1F18" w:rsidP="009E1F18">
            <w:r w:rsidRPr="004B5178">
              <w:t>0.888</w:t>
            </w:r>
          </w:p>
        </w:tc>
        <w:tc>
          <w:tcPr>
            <w:tcW w:w="1134" w:type="dxa"/>
          </w:tcPr>
          <w:p w14:paraId="6E1F6085" w14:textId="1DB9D43F" w:rsidR="009E1F18" w:rsidRPr="004B5178" w:rsidRDefault="009E1F18" w:rsidP="009E1F18">
            <w:r w:rsidRPr="004B5178">
              <w:t>1.197</w:t>
            </w:r>
          </w:p>
        </w:tc>
      </w:tr>
      <w:tr w:rsidR="009E1F18" w14:paraId="3E4173FA" w14:textId="77777777" w:rsidTr="009E1F18">
        <w:tc>
          <w:tcPr>
            <w:tcW w:w="1824" w:type="dxa"/>
          </w:tcPr>
          <w:p w14:paraId="118B0E67" w14:textId="7D103D7D" w:rsidR="009E1F18" w:rsidRPr="004B5178" w:rsidRDefault="009E1F18" w:rsidP="009E1F18">
            <w:r w:rsidRPr="004B5178">
              <w:t>2009/2010</w:t>
            </w:r>
          </w:p>
        </w:tc>
        <w:tc>
          <w:tcPr>
            <w:tcW w:w="1439" w:type="dxa"/>
          </w:tcPr>
          <w:p w14:paraId="1EB433F3" w14:textId="7313E4FC" w:rsidR="009E1F18" w:rsidRPr="004B5178" w:rsidRDefault="009E1F18" w:rsidP="009E1F18">
            <w:r w:rsidRPr="004B5178">
              <w:t>0.005</w:t>
            </w:r>
          </w:p>
        </w:tc>
        <w:tc>
          <w:tcPr>
            <w:tcW w:w="1134" w:type="dxa"/>
          </w:tcPr>
          <w:p w14:paraId="0239C367" w14:textId="5D448C0F" w:rsidR="009E1F18" w:rsidRPr="004B5178" w:rsidRDefault="009E1F18" w:rsidP="009E1F18">
            <w:r w:rsidRPr="004B5178">
              <w:t>1.005</w:t>
            </w:r>
          </w:p>
        </w:tc>
        <w:tc>
          <w:tcPr>
            <w:tcW w:w="896" w:type="dxa"/>
          </w:tcPr>
          <w:p w14:paraId="7D09FCE3" w14:textId="29BE06AC" w:rsidR="009E1F18" w:rsidRPr="004B5178" w:rsidRDefault="009E1F18" w:rsidP="009E1F18">
            <w:r w:rsidRPr="004B5178">
              <w:t>0.947</w:t>
            </w:r>
          </w:p>
        </w:tc>
        <w:tc>
          <w:tcPr>
            <w:tcW w:w="1134" w:type="dxa"/>
          </w:tcPr>
          <w:p w14:paraId="033792B2" w14:textId="7A12CB8C" w:rsidR="009E1F18" w:rsidRPr="004B5178" w:rsidRDefault="009E1F18" w:rsidP="009E1F18">
            <w:r w:rsidRPr="004B5178">
              <w:t>0.876</w:t>
            </w:r>
          </w:p>
        </w:tc>
        <w:tc>
          <w:tcPr>
            <w:tcW w:w="1134" w:type="dxa"/>
          </w:tcPr>
          <w:p w14:paraId="06037562" w14:textId="3E17BC9C" w:rsidR="009E1F18" w:rsidRPr="004B5178" w:rsidRDefault="009E1F18" w:rsidP="009E1F18">
            <w:r w:rsidRPr="004B5178">
              <w:t>1.152</w:t>
            </w:r>
          </w:p>
        </w:tc>
        <w:tc>
          <w:tcPr>
            <w:tcW w:w="1824" w:type="dxa"/>
          </w:tcPr>
          <w:p w14:paraId="4DBAE55A" w14:textId="2FAB852A" w:rsidR="009E1F18" w:rsidRPr="004B5178" w:rsidRDefault="009E1F18" w:rsidP="009E1F18">
            <w:r w:rsidRPr="004B5178">
              <w:t>2009/2010</w:t>
            </w:r>
          </w:p>
        </w:tc>
        <w:tc>
          <w:tcPr>
            <w:tcW w:w="1439" w:type="dxa"/>
          </w:tcPr>
          <w:p w14:paraId="15FD99BC" w14:textId="62206396" w:rsidR="009E1F18" w:rsidRPr="004B5178" w:rsidRDefault="009E1F18" w:rsidP="009E1F18">
            <w:r w:rsidRPr="004B5178">
              <w:t>-0.003</w:t>
            </w:r>
          </w:p>
        </w:tc>
        <w:tc>
          <w:tcPr>
            <w:tcW w:w="1134" w:type="dxa"/>
          </w:tcPr>
          <w:p w14:paraId="3CFF8901" w14:textId="0F996EB3" w:rsidR="009E1F18" w:rsidRPr="004B5178" w:rsidRDefault="009E1F18" w:rsidP="009E1F18">
            <w:r w:rsidRPr="004B5178">
              <w:t>0.997</w:t>
            </w:r>
          </w:p>
        </w:tc>
        <w:tc>
          <w:tcPr>
            <w:tcW w:w="896" w:type="dxa"/>
          </w:tcPr>
          <w:p w14:paraId="3237BEAF" w14:textId="0C389083" w:rsidR="009E1F18" w:rsidRPr="004B5178" w:rsidRDefault="009E1F18" w:rsidP="009E1F18">
            <w:r w:rsidRPr="004B5178">
              <w:t>0.970</w:t>
            </w:r>
          </w:p>
        </w:tc>
        <w:tc>
          <w:tcPr>
            <w:tcW w:w="1134" w:type="dxa"/>
          </w:tcPr>
          <w:p w14:paraId="1F9B18D1" w14:textId="710CB001" w:rsidR="009E1F18" w:rsidRPr="004B5178" w:rsidRDefault="009E1F18" w:rsidP="009E1F18">
            <w:r w:rsidRPr="004B5178">
              <w:t>0.869</w:t>
            </w:r>
          </w:p>
        </w:tc>
        <w:tc>
          <w:tcPr>
            <w:tcW w:w="1134" w:type="dxa"/>
          </w:tcPr>
          <w:p w14:paraId="1C13CA37" w14:textId="0EC8FBF8" w:rsidR="009E1F18" w:rsidRPr="004B5178" w:rsidRDefault="009E1F18" w:rsidP="009E1F18">
            <w:r w:rsidRPr="004B5178">
              <w:t>1.145</w:t>
            </w:r>
          </w:p>
        </w:tc>
      </w:tr>
      <w:tr w:rsidR="009E1F18" w14:paraId="59239B13" w14:textId="77777777" w:rsidTr="009E1F18">
        <w:tc>
          <w:tcPr>
            <w:tcW w:w="1824" w:type="dxa"/>
          </w:tcPr>
          <w:p w14:paraId="5B27B95F" w14:textId="4F771842" w:rsidR="009E1F18" w:rsidRPr="004B5178" w:rsidRDefault="009E1F18" w:rsidP="009E1F18">
            <w:r w:rsidRPr="004B5178">
              <w:t>2010/2011</w:t>
            </w:r>
          </w:p>
        </w:tc>
        <w:tc>
          <w:tcPr>
            <w:tcW w:w="1439" w:type="dxa"/>
          </w:tcPr>
          <w:p w14:paraId="1DFF5FBC" w14:textId="26EA7A8A" w:rsidR="009E1F18" w:rsidRPr="004B5178" w:rsidRDefault="009E1F18" w:rsidP="009E1F18">
            <w:r w:rsidRPr="004B5178">
              <w:t>0.134</w:t>
            </w:r>
          </w:p>
        </w:tc>
        <w:tc>
          <w:tcPr>
            <w:tcW w:w="1134" w:type="dxa"/>
          </w:tcPr>
          <w:p w14:paraId="69086A30" w14:textId="0C6BBC74" w:rsidR="009E1F18" w:rsidRPr="004B5178" w:rsidRDefault="009E1F18" w:rsidP="009E1F18">
            <w:r w:rsidRPr="004B5178">
              <w:t>1.143</w:t>
            </w:r>
          </w:p>
        </w:tc>
        <w:tc>
          <w:tcPr>
            <w:tcW w:w="896" w:type="dxa"/>
          </w:tcPr>
          <w:p w14:paraId="02DEAACD" w14:textId="1C296A16" w:rsidR="009E1F18" w:rsidRPr="004B5178" w:rsidRDefault="009E1F18" w:rsidP="009E1F18">
            <w:r w:rsidRPr="004B5178">
              <w:t>0.043</w:t>
            </w:r>
          </w:p>
        </w:tc>
        <w:tc>
          <w:tcPr>
            <w:tcW w:w="1134" w:type="dxa"/>
          </w:tcPr>
          <w:p w14:paraId="334B3B83" w14:textId="7BD78D74" w:rsidR="009E1F18" w:rsidRPr="004B5178" w:rsidRDefault="009E1F18" w:rsidP="009E1F18">
            <w:r w:rsidRPr="004B5178">
              <w:t>1.004</w:t>
            </w:r>
          </w:p>
        </w:tc>
        <w:tc>
          <w:tcPr>
            <w:tcW w:w="1134" w:type="dxa"/>
          </w:tcPr>
          <w:p w14:paraId="6836DD8B" w14:textId="175A9594" w:rsidR="009E1F18" w:rsidRPr="004B5178" w:rsidRDefault="009E1F18" w:rsidP="009E1F18">
            <w:r w:rsidRPr="004B5178">
              <w:t>1.301</w:t>
            </w:r>
          </w:p>
        </w:tc>
        <w:tc>
          <w:tcPr>
            <w:tcW w:w="1824" w:type="dxa"/>
          </w:tcPr>
          <w:p w14:paraId="1BDDFCE2" w14:textId="0928FAC1" w:rsidR="009E1F18" w:rsidRPr="004B5178" w:rsidRDefault="009E1F18" w:rsidP="009E1F18">
            <w:r w:rsidRPr="004B5178">
              <w:t>2010/2011</w:t>
            </w:r>
          </w:p>
        </w:tc>
        <w:tc>
          <w:tcPr>
            <w:tcW w:w="1439" w:type="dxa"/>
          </w:tcPr>
          <w:p w14:paraId="2E3B2658" w14:textId="04286322" w:rsidR="009E1F18" w:rsidRPr="004B5178" w:rsidRDefault="009E1F18" w:rsidP="009E1F18">
            <w:r w:rsidRPr="004B5178">
              <w:t>0.128</w:t>
            </w:r>
          </w:p>
        </w:tc>
        <w:tc>
          <w:tcPr>
            <w:tcW w:w="1134" w:type="dxa"/>
          </w:tcPr>
          <w:p w14:paraId="2E3AD94F" w14:textId="1C6FB87D" w:rsidR="009E1F18" w:rsidRPr="004B5178" w:rsidRDefault="009E1F18" w:rsidP="009E1F18">
            <w:r w:rsidRPr="004B5178">
              <w:t>1.137</w:t>
            </w:r>
          </w:p>
        </w:tc>
        <w:tc>
          <w:tcPr>
            <w:tcW w:w="896" w:type="dxa"/>
          </w:tcPr>
          <w:p w14:paraId="22AF6F49" w14:textId="0505628A" w:rsidR="009E1F18" w:rsidRPr="004B5178" w:rsidRDefault="009E1F18" w:rsidP="009E1F18">
            <w:r w:rsidRPr="004B5178">
              <w:t>0.056</w:t>
            </w:r>
          </w:p>
        </w:tc>
        <w:tc>
          <w:tcPr>
            <w:tcW w:w="1134" w:type="dxa"/>
          </w:tcPr>
          <w:p w14:paraId="3F4D1737" w14:textId="3AA1F46B" w:rsidR="009E1F18" w:rsidRPr="004B5178" w:rsidRDefault="009E1F18" w:rsidP="009E1F18">
            <w:r w:rsidRPr="004B5178">
              <w:t>0.997</w:t>
            </w:r>
          </w:p>
        </w:tc>
        <w:tc>
          <w:tcPr>
            <w:tcW w:w="1134" w:type="dxa"/>
          </w:tcPr>
          <w:p w14:paraId="0B806EB4" w14:textId="722A6DC2" w:rsidR="009E1F18" w:rsidRPr="004B5178" w:rsidRDefault="009E1F18" w:rsidP="009E1F18">
            <w:r w:rsidRPr="004B5178">
              <w:t>1.296</w:t>
            </w:r>
          </w:p>
        </w:tc>
      </w:tr>
      <w:tr w:rsidR="009E1F18" w14:paraId="46C67697" w14:textId="77777777" w:rsidTr="009E1F18">
        <w:tc>
          <w:tcPr>
            <w:tcW w:w="1824" w:type="dxa"/>
          </w:tcPr>
          <w:p w14:paraId="2D969724" w14:textId="60C190DA" w:rsidR="009E1F18" w:rsidRPr="004B5178" w:rsidRDefault="009E1F18" w:rsidP="009E1F18">
            <w:r w:rsidRPr="004B5178">
              <w:t>2011/2012</w:t>
            </w:r>
          </w:p>
        </w:tc>
        <w:tc>
          <w:tcPr>
            <w:tcW w:w="1439" w:type="dxa"/>
          </w:tcPr>
          <w:p w14:paraId="0530FA9A" w14:textId="7CDEF241" w:rsidR="009E1F18" w:rsidRPr="004B5178" w:rsidRDefault="009E1F18" w:rsidP="009E1F18">
            <w:r w:rsidRPr="004B5178">
              <w:t>0.189</w:t>
            </w:r>
          </w:p>
        </w:tc>
        <w:tc>
          <w:tcPr>
            <w:tcW w:w="1134" w:type="dxa"/>
          </w:tcPr>
          <w:p w14:paraId="430A941A" w14:textId="10009982" w:rsidR="009E1F18" w:rsidRPr="004B5178" w:rsidRDefault="009E1F18" w:rsidP="009E1F18">
            <w:r w:rsidRPr="004B5178">
              <w:t>1.208</w:t>
            </w:r>
          </w:p>
        </w:tc>
        <w:tc>
          <w:tcPr>
            <w:tcW w:w="896" w:type="dxa"/>
          </w:tcPr>
          <w:p w14:paraId="07E07F18" w14:textId="020DC74E" w:rsidR="009E1F18" w:rsidRPr="004B5178" w:rsidRDefault="009E1F18" w:rsidP="009E1F18">
            <w:r w:rsidRPr="004B5178">
              <w:t>0.003</w:t>
            </w:r>
          </w:p>
        </w:tc>
        <w:tc>
          <w:tcPr>
            <w:tcW w:w="1134" w:type="dxa"/>
          </w:tcPr>
          <w:p w14:paraId="4A78606F" w14:textId="65A39BDA" w:rsidR="009E1F18" w:rsidRPr="004B5178" w:rsidRDefault="009E1F18" w:rsidP="009E1F18">
            <w:r w:rsidRPr="004B5178">
              <w:t>1.065</w:t>
            </w:r>
          </w:p>
        </w:tc>
        <w:tc>
          <w:tcPr>
            <w:tcW w:w="1134" w:type="dxa"/>
          </w:tcPr>
          <w:p w14:paraId="07185C51" w14:textId="509EF3F5" w:rsidR="009E1F18" w:rsidRPr="004B5178" w:rsidRDefault="009E1F18" w:rsidP="009E1F18">
            <w:r w:rsidRPr="004B5178">
              <w:t>1.371</w:t>
            </w:r>
          </w:p>
        </w:tc>
        <w:tc>
          <w:tcPr>
            <w:tcW w:w="1824" w:type="dxa"/>
          </w:tcPr>
          <w:p w14:paraId="4C9A48AC" w14:textId="7D01CED9" w:rsidR="009E1F18" w:rsidRPr="004B5178" w:rsidRDefault="009E1F18" w:rsidP="009E1F18">
            <w:r w:rsidRPr="004B5178">
              <w:t>2011/2012</w:t>
            </w:r>
          </w:p>
        </w:tc>
        <w:tc>
          <w:tcPr>
            <w:tcW w:w="1439" w:type="dxa"/>
          </w:tcPr>
          <w:p w14:paraId="55E2BFA1" w14:textId="49695AA9" w:rsidR="009E1F18" w:rsidRPr="004B5178" w:rsidRDefault="009E1F18" w:rsidP="009E1F18">
            <w:r w:rsidRPr="004B5178">
              <w:t>0.179</w:t>
            </w:r>
          </w:p>
        </w:tc>
        <w:tc>
          <w:tcPr>
            <w:tcW w:w="1134" w:type="dxa"/>
          </w:tcPr>
          <w:p w14:paraId="76DE78D3" w14:textId="69C7DABC" w:rsidR="009E1F18" w:rsidRPr="004B5178" w:rsidRDefault="009E1F18" w:rsidP="009E1F18">
            <w:r w:rsidRPr="004B5178">
              <w:t>1.196</w:t>
            </w:r>
          </w:p>
        </w:tc>
        <w:tc>
          <w:tcPr>
            <w:tcW w:w="896" w:type="dxa"/>
          </w:tcPr>
          <w:p w14:paraId="4FCE21B9" w14:textId="331F5A3B" w:rsidR="009E1F18" w:rsidRPr="004B5178" w:rsidRDefault="009E1F18" w:rsidP="009E1F18">
            <w:r w:rsidRPr="004B5178">
              <w:t>0.006</w:t>
            </w:r>
          </w:p>
        </w:tc>
        <w:tc>
          <w:tcPr>
            <w:tcW w:w="1134" w:type="dxa"/>
          </w:tcPr>
          <w:p w14:paraId="31F0A5C7" w14:textId="54D54D8B" w:rsidR="009E1F18" w:rsidRPr="004B5178" w:rsidRDefault="009E1F18" w:rsidP="009E1F18">
            <w:r w:rsidRPr="004B5178">
              <w:t>1.052</w:t>
            </w:r>
          </w:p>
        </w:tc>
        <w:tc>
          <w:tcPr>
            <w:tcW w:w="1134" w:type="dxa"/>
          </w:tcPr>
          <w:p w14:paraId="78148886" w14:textId="160CAB9C" w:rsidR="009E1F18" w:rsidRPr="004B5178" w:rsidRDefault="009E1F18" w:rsidP="009E1F18">
            <w:r w:rsidRPr="004B5178">
              <w:t>1.359</w:t>
            </w:r>
          </w:p>
        </w:tc>
      </w:tr>
      <w:tr w:rsidR="009E1F18" w14:paraId="6A73E664" w14:textId="77777777" w:rsidTr="009E1F18">
        <w:tc>
          <w:tcPr>
            <w:tcW w:w="1824" w:type="dxa"/>
          </w:tcPr>
          <w:p w14:paraId="252DFDA2" w14:textId="7F20388A" w:rsidR="009E1F18" w:rsidRPr="004B5178" w:rsidRDefault="009E1F18" w:rsidP="009E1F18">
            <w:r w:rsidRPr="004B5178">
              <w:t>2012/2013</w:t>
            </w:r>
          </w:p>
        </w:tc>
        <w:tc>
          <w:tcPr>
            <w:tcW w:w="1439" w:type="dxa"/>
          </w:tcPr>
          <w:p w14:paraId="706803B2" w14:textId="1226012B" w:rsidR="009E1F18" w:rsidRPr="004B5178" w:rsidRDefault="009E1F18" w:rsidP="009E1F18">
            <w:r w:rsidRPr="004B5178">
              <w:t>0.523</w:t>
            </w:r>
          </w:p>
        </w:tc>
        <w:tc>
          <w:tcPr>
            <w:tcW w:w="1134" w:type="dxa"/>
          </w:tcPr>
          <w:p w14:paraId="6162A751" w14:textId="57078BFC" w:rsidR="009E1F18" w:rsidRPr="004B5178" w:rsidRDefault="009E1F18" w:rsidP="009E1F18">
            <w:r w:rsidRPr="004B5178">
              <w:t>1.687</w:t>
            </w:r>
          </w:p>
        </w:tc>
        <w:tc>
          <w:tcPr>
            <w:tcW w:w="896" w:type="dxa"/>
          </w:tcPr>
          <w:p w14:paraId="20B9BEBF" w14:textId="579239AF" w:rsidR="009E1F18" w:rsidRPr="004B5178" w:rsidRDefault="009E1F18" w:rsidP="009E1F18">
            <w:r w:rsidRPr="004B5178">
              <w:t>&lt;0.001</w:t>
            </w:r>
          </w:p>
        </w:tc>
        <w:tc>
          <w:tcPr>
            <w:tcW w:w="1134" w:type="dxa"/>
          </w:tcPr>
          <w:p w14:paraId="10D76395" w14:textId="1FBBC113" w:rsidR="009E1F18" w:rsidRPr="004B5178" w:rsidRDefault="009E1F18" w:rsidP="009E1F18">
            <w:r w:rsidRPr="004B5178">
              <w:t>1.465</w:t>
            </w:r>
          </w:p>
        </w:tc>
        <w:tc>
          <w:tcPr>
            <w:tcW w:w="1134" w:type="dxa"/>
          </w:tcPr>
          <w:p w14:paraId="3213F577" w14:textId="00EAA8DC" w:rsidR="009E1F18" w:rsidRPr="004B5178" w:rsidRDefault="009E1F18" w:rsidP="009E1F18">
            <w:r w:rsidRPr="004B5178">
              <w:t>1.942</w:t>
            </w:r>
          </w:p>
        </w:tc>
        <w:tc>
          <w:tcPr>
            <w:tcW w:w="1824" w:type="dxa"/>
          </w:tcPr>
          <w:p w14:paraId="42BCA1C2" w14:textId="455CA0D1" w:rsidR="009E1F18" w:rsidRPr="004B5178" w:rsidRDefault="009E1F18" w:rsidP="009E1F18">
            <w:r w:rsidRPr="004B5178">
              <w:t>2012/2013</w:t>
            </w:r>
          </w:p>
        </w:tc>
        <w:tc>
          <w:tcPr>
            <w:tcW w:w="1439" w:type="dxa"/>
          </w:tcPr>
          <w:p w14:paraId="59966CE9" w14:textId="0D9241CE" w:rsidR="009E1F18" w:rsidRPr="004B5178" w:rsidRDefault="009E1F18" w:rsidP="009E1F18">
            <w:r w:rsidRPr="004B5178">
              <w:t>0.515</w:t>
            </w:r>
          </w:p>
        </w:tc>
        <w:tc>
          <w:tcPr>
            <w:tcW w:w="1134" w:type="dxa"/>
          </w:tcPr>
          <w:p w14:paraId="7ADD13E3" w14:textId="3EF32C8A" w:rsidR="009E1F18" w:rsidRPr="004B5178" w:rsidRDefault="009E1F18" w:rsidP="009E1F18">
            <w:r w:rsidRPr="004B5178">
              <w:t>1.674</w:t>
            </w:r>
          </w:p>
        </w:tc>
        <w:tc>
          <w:tcPr>
            <w:tcW w:w="896" w:type="dxa"/>
          </w:tcPr>
          <w:p w14:paraId="0E50E53A" w14:textId="12008686" w:rsidR="009E1F18" w:rsidRPr="004B5178" w:rsidRDefault="009E1F18" w:rsidP="009E1F18">
            <w:r w:rsidRPr="004B5178">
              <w:t>0.000</w:t>
            </w:r>
          </w:p>
        </w:tc>
        <w:tc>
          <w:tcPr>
            <w:tcW w:w="1134" w:type="dxa"/>
          </w:tcPr>
          <w:p w14:paraId="50769BFD" w14:textId="393574BC" w:rsidR="009E1F18" w:rsidRPr="004B5178" w:rsidRDefault="009E1F18" w:rsidP="009E1F18">
            <w:r w:rsidRPr="004B5178">
              <w:t>1.450</w:t>
            </w:r>
          </w:p>
        </w:tc>
        <w:tc>
          <w:tcPr>
            <w:tcW w:w="1134" w:type="dxa"/>
          </w:tcPr>
          <w:p w14:paraId="714B2268" w14:textId="52CC10A9" w:rsidR="009E1F18" w:rsidRPr="004B5178" w:rsidRDefault="009E1F18" w:rsidP="009E1F18">
            <w:r w:rsidRPr="004B5178">
              <w:t>1.932</w:t>
            </w:r>
          </w:p>
        </w:tc>
      </w:tr>
    </w:tbl>
    <w:p w14:paraId="1A4404B4" w14:textId="000A2E9E" w:rsidR="003B54E3" w:rsidRDefault="003B54E3" w:rsidP="000C1C47">
      <w:pPr>
        <w:rPr>
          <w:b/>
          <w:bCs/>
        </w:rPr>
      </w:pPr>
    </w:p>
    <w:p w14:paraId="21AB13A8" w14:textId="39097AA8" w:rsidR="003B54E3" w:rsidRDefault="003B54E3" w:rsidP="000C1C47">
      <w:pPr>
        <w:rPr>
          <w:b/>
          <w:bCs/>
        </w:rPr>
      </w:pPr>
    </w:p>
    <w:p w14:paraId="00592717" w14:textId="117E6586" w:rsidR="003B54E3" w:rsidRDefault="003B54E3" w:rsidP="000C1C47">
      <w:pPr>
        <w:rPr>
          <w:b/>
          <w:bCs/>
        </w:rPr>
      </w:pPr>
    </w:p>
    <w:bookmarkEnd w:id="17"/>
    <w:p w14:paraId="084136D0" w14:textId="1AA3A0E3" w:rsidR="003B54E3" w:rsidRDefault="003B54E3" w:rsidP="000C1C47">
      <w:pPr>
        <w:rPr>
          <w:b/>
          <w:bCs/>
        </w:rPr>
      </w:pPr>
    </w:p>
    <w:p w14:paraId="32128CF0" w14:textId="17F01E69" w:rsidR="003B54E3" w:rsidRPr="004B5178" w:rsidRDefault="003B54E3" w:rsidP="000C1C47"/>
    <w:p w14:paraId="62D756D9" w14:textId="57F21D70" w:rsidR="000C1C47" w:rsidRPr="004B5178" w:rsidRDefault="000C1C47" w:rsidP="000C1C47"/>
    <w:p w14:paraId="7A2BA1EA" w14:textId="67A6BF01" w:rsidR="000C1C47" w:rsidRDefault="000C1C47" w:rsidP="000C1C47"/>
    <w:p w14:paraId="02FA7AF5" w14:textId="77777777" w:rsidR="007E2565" w:rsidRPr="004B5178" w:rsidRDefault="007E2565" w:rsidP="000C1C47"/>
    <w:p w14:paraId="5C528044" w14:textId="21533EA6" w:rsidR="000C1C47" w:rsidRPr="004B5178" w:rsidRDefault="000C1C47" w:rsidP="000C1C47">
      <w:r w:rsidRPr="004B5178">
        <w:lastRenderedPageBreak/>
        <w:t>Table 3. (cont).</w:t>
      </w:r>
    </w:p>
    <w:p w14:paraId="35B52231" w14:textId="1CC0B373" w:rsidR="009E1F18" w:rsidRDefault="009E1F18" w:rsidP="009E1F18">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B5178">
        <w:rPr>
          <w:b/>
          <w:bCs/>
        </w:rPr>
        <w:t>Imputed GCS without Outcome in the imputation model</w:t>
      </w:r>
      <w:r w:rsidRPr="003B54E3">
        <w:rPr>
          <w:b/>
          <w:bCs/>
        </w:rPr>
        <w:t xml:space="preserve"> </w:t>
      </w:r>
      <w:r>
        <w:rPr>
          <w:b/>
          <w:bCs/>
        </w:rPr>
        <w:t xml:space="preserve">                                </w:t>
      </w:r>
      <w:r w:rsidRPr="004B5178">
        <w:rPr>
          <w:b/>
          <w:bCs/>
        </w:rPr>
        <w:t>Imputed GCS with Outcome in the imputation model</w:t>
      </w:r>
      <w:r>
        <w:rPr>
          <w:b/>
          <w:bCs/>
        </w:rPr>
        <w:t xml:space="preserve">               </w:t>
      </w:r>
    </w:p>
    <w:p w14:paraId="3526D7D6" w14:textId="77777777" w:rsidR="009E1F18" w:rsidRPr="009E1F18" w:rsidRDefault="009E1F18" w:rsidP="009E1F18">
      <w:r w:rsidRPr="009E1F18">
        <w:t>Logistic regression                                     N =   81293                                          Logistic regression</w:t>
      </w:r>
      <w:r w:rsidRPr="009E1F18">
        <w:tab/>
        <w:t xml:space="preserve">                                       N=81293                   </w:t>
      </w:r>
    </w:p>
    <w:tbl>
      <w:tblPr>
        <w:tblStyle w:val="TableGrid"/>
        <w:tblW w:w="15594" w:type="dxa"/>
        <w:tblInd w:w="-826" w:type="dxa"/>
        <w:tblLayout w:type="fixed"/>
        <w:tblLook w:val="04A0" w:firstRow="1" w:lastRow="0" w:firstColumn="1" w:lastColumn="0" w:noHBand="0" w:noVBand="1"/>
      </w:tblPr>
      <w:tblGrid>
        <w:gridCol w:w="1824"/>
        <w:gridCol w:w="1439"/>
        <w:gridCol w:w="872"/>
        <w:gridCol w:w="896"/>
        <w:gridCol w:w="1319"/>
        <w:gridCol w:w="1275"/>
        <w:gridCol w:w="1843"/>
        <w:gridCol w:w="1684"/>
        <w:gridCol w:w="874"/>
        <w:gridCol w:w="986"/>
        <w:gridCol w:w="1264"/>
        <w:gridCol w:w="1318"/>
      </w:tblGrid>
      <w:tr w:rsidR="009E1F18" w14:paraId="25E2EE59" w14:textId="77777777" w:rsidTr="007E2565">
        <w:tc>
          <w:tcPr>
            <w:tcW w:w="1824" w:type="dxa"/>
          </w:tcPr>
          <w:p w14:paraId="2E32FA25" w14:textId="77777777" w:rsidR="009E1F18" w:rsidRDefault="009E1F18" w:rsidP="009E1F18">
            <w:pPr>
              <w:rPr>
                <w:b/>
                <w:bCs/>
              </w:rPr>
            </w:pPr>
            <w:r w:rsidRPr="004B5178">
              <w:rPr>
                <w:b/>
              </w:rPr>
              <w:t>Outcome30D~s</w:t>
            </w:r>
          </w:p>
        </w:tc>
        <w:tc>
          <w:tcPr>
            <w:tcW w:w="1439" w:type="dxa"/>
          </w:tcPr>
          <w:p w14:paraId="74B334C4" w14:textId="77777777" w:rsidR="009E1F18" w:rsidRDefault="009E1F18" w:rsidP="009E1F18">
            <w:pPr>
              <w:rPr>
                <w:b/>
                <w:bCs/>
              </w:rPr>
            </w:pPr>
            <w:r w:rsidRPr="004B5178">
              <w:rPr>
                <w:b/>
              </w:rPr>
              <w:t>coefficients</w:t>
            </w:r>
          </w:p>
        </w:tc>
        <w:tc>
          <w:tcPr>
            <w:tcW w:w="872" w:type="dxa"/>
          </w:tcPr>
          <w:p w14:paraId="19FC4B2A" w14:textId="77777777" w:rsidR="009E1F18" w:rsidRDefault="009E1F18" w:rsidP="009E1F18">
            <w:pPr>
              <w:rPr>
                <w:b/>
                <w:bCs/>
              </w:rPr>
            </w:pPr>
            <w:r w:rsidRPr="004B5178">
              <w:rPr>
                <w:b/>
              </w:rPr>
              <w:t>Odds Rat.</w:t>
            </w:r>
          </w:p>
        </w:tc>
        <w:tc>
          <w:tcPr>
            <w:tcW w:w="896" w:type="dxa"/>
          </w:tcPr>
          <w:p w14:paraId="7EDC412D" w14:textId="77777777" w:rsidR="009E1F18" w:rsidRDefault="009E1F18" w:rsidP="009E1F18">
            <w:pPr>
              <w:rPr>
                <w:b/>
                <w:bCs/>
              </w:rPr>
            </w:pPr>
            <w:r w:rsidRPr="004B5178">
              <w:rPr>
                <w:b/>
              </w:rPr>
              <w:t>p-value</w:t>
            </w:r>
          </w:p>
        </w:tc>
        <w:tc>
          <w:tcPr>
            <w:tcW w:w="1319" w:type="dxa"/>
          </w:tcPr>
          <w:p w14:paraId="62BD6105" w14:textId="77777777" w:rsidR="009E1F18" w:rsidRDefault="009E1F18" w:rsidP="009E1F18">
            <w:pPr>
              <w:rPr>
                <w:b/>
                <w:bCs/>
              </w:rPr>
            </w:pPr>
            <w:r w:rsidRPr="004B5178">
              <w:rPr>
                <w:b/>
              </w:rPr>
              <w:t>[95% Conf. Int.] for OR</w:t>
            </w:r>
          </w:p>
        </w:tc>
        <w:tc>
          <w:tcPr>
            <w:tcW w:w="1275" w:type="dxa"/>
          </w:tcPr>
          <w:p w14:paraId="163FD875" w14:textId="77777777" w:rsidR="009E1F18" w:rsidRDefault="009E1F18" w:rsidP="009E1F18">
            <w:pPr>
              <w:rPr>
                <w:b/>
                <w:bCs/>
              </w:rPr>
            </w:pPr>
            <w:r w:rsidRPr="004B5178">
              <w:rPr>
                <w:b/>
              </w:rPr>
              <w:t>[95% Conf. Int.] for OR</w:t>
            </w:r>
          </w:p>
        </w:tc>
        <w:tc>
          <w:tcPr>
            <w:tcW w:w="1843" w:type="dxa"/>
          </w:tcPr>
          <w:p w14:paraId="2A5FB99A" w14:textId="77777777" w:rsidR="009E1F18" w:rsidRDefault="009E1F18" w:rsidP="009E1F18">
            <w:pPr>
              <w:rPr>
                <w:b/>
                <w:bCs/>
              </w:rPr>
            </w:pPr>
            <w:r w:rsidRPr="004B5178">
              <w:rPr>
                <w:b/>
              </w:rPr>
              <w:t>Outcome30D~s</w:t>
            </w:r>
          </w:p>
        </w:tc>
        <w:tc>
          <w:tcPr>
            <w:tcW w:w="1684" w:type="dxa"/>
          </w:tcPr>
          <w:p w14:paraId="35600C28" w14:textId="77777777" w:rsidR="009E1F18" w:rsidRDefault="009E1F18" w:rsidP="009E1F18">
            <w:pPr>
              <w:rPr>
                <w:b/>
                <w:bCs/>
              </w:rPr>
            </w:pPr>
            <w:r w:rsidRPr="004B5178">
              <w:rPr>
                <w:b/>
              </w:rPr>
              <w:t>coefficients</w:t>
            </w:r>
          </w:p>
        </w:tc>
        <w:tc>
          <w:tcPr>
            <w:tcW w:w="874" w:type="dxa"/>
          </w:tcPr>
          <w:p w14:paraId="40BF31C0" w14:textId="77777777" w:rsidR="009E1F18" w:rsidRDefault="009E1F18" w:rsidP="009E1F18">
            <w:pPr>
              <w:rPr>
                <w:b/>
                <w:bCs/>
              </w:rPr>
            </w:pPr>
            <w:r w:rsidRPr="004B5178">
              <w:rPr>
                <w:b/>
              </w:rPr>
              <w:t>Odds Rat.</w:t>
            </w:r>
          </w:p>
        </w:tc>
        <w:tc>
          <w:tcPr>
            <w:tcW w:w="986" w:type="dxa"/>
          </w:tcPr>
          <w:p w14:paraId="01E456B7" w14:textId="77777777" w:rsidR="009E1F18" w:rsidRDefault="009E1F18" w:rsidP="009E1F18">
            <w:pPr>
              <w:rPr>
                <w:b/>
                <w:bCs/>
              </w:rPr>
            </w:pPr>
            <w:r w:rsidRPr="004B5178">
              <w:rPr>
                <w:b/>
              </w:rPr>
              <w:t>p-value</w:t>
            </w:r>
          </w:p>
        </w:tc>
        <w:tc>
          <w:tcPr>
            <w:tcW w:w="1264" w:type="dxa"/>
          </w:tcPr>
          <w:p w14:paraId="2FDF544B" w14:textId="77777777" w:rsidR="009E1F18" w:rsidRDefault="009E1F18" w:rsidP="009E1F18">
            <w:pPr>
              <w:rPr>
                <w:b/>
                <w:bCs/>
              </w:rPr>
            </w:pPr>
            <w:r w:rsidRPr="004B5178">
              <w:rPr>
                <w:b/>
              </w:rPr>
              <w:t>[95% Conf. Int.] for OR</w:t>
            </w:r>
          </w:p>
        </w:tc>
        <w:tc>
          <w:tcPr>
            <w:tcW w:w="1318" w:type="dxa"/>
          </w:tcPr>
          <w:p w14:paraId="25B1825D" w14:textId="77777777" w:rsidR="009E1F18" w:rsidRDefault="009E1F18" w:rsidP="009E1F18">
            <w:pPr>
              <w:rPr>
                <w:b/>
                <w:bCs/>
              </w:rPr>
            </w:pPr>
            <w:r w:rsidRPr="004B5178">
              <w:rPr>
                <w:b/>
              </w:rPr>
              <w:t>[95% Conf. Int.] for OR</w:t>
            </w:r>
          </w:p>
        </w:tc>
      </w:tr>
      <w:tr w:rsidR="009E1F18" w14:paraId="22184130" w14:textId="77777777" w:rsidTr="007E2565">
        <w:tc>
          <w:tcPr>
            <w:tcW w:w="1824" w:type="dxa"/>
            <w:tcBorders>
              <w:top w:val="single" w:sz="2" w:space="0" w:color="auto"/>
              <w:left w:val="single" w:sz="4" w:space="0" w:color="auto"/>
              <w:bottom w:val="single" w:sz="4" w:space="0" w:color="auto"/>
              <w:right w:val="single" w:sz="4" w:space="0" w:color="auto"/>
            </w:tcBorders>
            <w:shd w:val="clear" w:color="auto" w:fill="F2F2F2"/>
            <w:vAlign w:val="center"/>
          </w:tcPr>
          <w:p w14:paraId="0DDE8787" w14:textId="55C303C8" w:rsidR="009E1F18" w:rsidRPr="004B5178" w:rsidRDefault="009E1F18" w:rsidP="009E1F18">
            <w:pPr>
              <w:rPr>
                <w:b/>
              </w:rPr>
            </w:pPr>
            <w:r w:rsidRPr="00803DEA">
              <w:rPr>
                <w:rFonts w:eastAsia="Calibri"/>
              </w:rPr>
              <w:t>Age 16 - 44 (reference)</w:t>
            </w:r>
          </w:p>
        </w:tc>
        <w:tc>
          <w:tcPr>
            <w:tcW w:w="1439" w:type="dxa"/>
            <w:tcBorders>
              <w:top w:val="single" w:sz="2" w:space="0" w:color="auto"/>
              <w:left w:val="nil"/>
              <w:bottom w:val="single" w:sz="4" w:space="0" w:color="auto"/>
              <w:right w:val="single" w:sz="4" w:space="0" w:color="auto"/>
            </w:tcBorders>
            <w:shd w:val="clear" w:color="auto" w:fill="F2F2F2"/>
            <w:vAlign w:val="center"/>
          </w:tcPr>
          <w:p w14:paraId="2D020C8D" w14:textId="3574FCD4" w:rsidR="009E1F18" w:rsidRPr="004B5178" w:rsidRDefault="009E1F18" w:rsidP="009E1F18">
            <w:pPr>
              <w:rPr>
                <w:b/>
              </w:rPr>
            </w:pPr>
            <w:r w:rsidRPr="00803DEA">
              <w:rPr>
                <w:rFonts w:eastAsia="Calibri"/>
              </w:rPr>
              <w:t>0.000</w:t>
            </w:r>
          </w:p>
        </w:tc>
        <w:tc>
          <w:tcPr>
            <w:tcW w:w="872" w:type="dxa"/>
            <w:tcBorders>
              <w:top w:val="single" w:sz="2" w:space="0" w:color="auto"/>
              <w:left w:val="nil"/>
              <w:bottom w:val="single" w:sz="4" w:space="0" w:color="auto"/>
              <w:right w:val="single" w:sz="4" w:space="0" w:color="auto"/>
            </w:tcBorders>
            <w:shd w:val="clear" w:color="auto" w:fill="F2F2F2"/>
            <w:vAlign w:val="center"/>
          </w:tcPr>
          <w:p w14:paraId="42A85424" w14:textId="64141D71" w:rsidR="009E1F18" w:rsidRPr="004B5178" w:rsidRDefault="009E1F18" w:rsidP="009E1F18">
            <w:pPr>
              <w:rPr>
                <w:b/>
              </w:rPr>
            </w:pPr>
            <w:r w:rsidRPr="00803DEA">
              <w:rPr>
                <w:rFonts w:eastAsia="Calibri"/>
              </w:rPr>
              <w:t>1.000</w:t>
            </w:r>
          </w:p>
        </w:tc>
        <w:tc>
          <w:tcPr>
            <w:tcW w:w="896" w:type="dxa"/>
            <w:tcBorders>
              <w:top w:val="single" w:sz="2" w:space="0" w:color="auto"/>
              <w:left w:val="nil"/>
              <w:bottom w:val="single" w:sz="4" w:space="0" w:color="auto"/>
              <w:right w:val="single" w:sz="4" w:space="0" w:color="auto"/>
            </w:tcBorders>
            <w:shd w:val="clear" w:color="auto" w:fill="F2F2F2"/>
            <w:vAlign w:val="center"/>
          </w:tcPr>
          <w:p w14:paraId="4EB0B787" w14:textId="05EB5C1B" w:rsidR="009E1F18" w:rsidRPr="004B5178" w:rsidRDefault="009E1F18" w:rsidP="009E1F18">
            <w:pPr>
              <w:rPr>
                <w:b/>
              </w:rPr>
            </w:pPr>
          </w:p>
        </w:tc>
        <w:tc>
          <w:tcPr>
            <w:tcW w:w="1319" w:type="dxa"/>
            <w:tcBorders>
              <w:top w:val="single" w:sz="2" w:space="0" w:color="auto"/>
              <w:left w:val="nil"/>
              <w:bottom w:val="single" w:sz="4" w:space="0" w:color="auto"/>
              <w:right w:val="single" w:sz="4" w:space="0" w:color="auto"/>
            </w:tcBorders>
            <w:shd w:val="clear" w:color="auto" w:fill="F2F2F2"/>
            <w:vAlign w:val="center"/>
          </w:tcPr>
          <w:p w14:paraId="6C7D96B3" w14:textId="2F4F07CF" w:rsidR="009E1F18" w:rsidRPr="004B5178" w:rsidRDefault="009E1F18" w:rsidP="009E1F18">
            <w:pPr>
              <w:rPr>
                <w:b/>
              </w:rPr>
            </w:pPr>
          </w:p>
        </w:tc>
        <w:tc>
          <w:tcPr>
            <w:tcW w:w="1275" w:type="dxa"/>
            <w:tcBorders>
              <w:top w:val="single" w:sz="2" w:space="0" w:color="auto"/>
              <w:left w:val="nil"/>
              <w:bottom w:val="single" w:sz="4" w:space="0" w:color="auto"/>
              <w:right w:val="single" w:sz="18" w:space="0" w:color="auto"/>
            </w:tcBorders>
            <w:shd w:val="clear" w:color="auto" w:fill="F2F2F2"/>
            <w:vAlign w:val="center"/>
          </w:tcPr>
          <w:p w14:paraId="290B3702" w14:textId="405F9E77" w:rsidR="009E1F18" w:rsidRPr="004B5178" w:rsidRDefault="009E1F18" w:rsidP="009E1F18">
            <w:pPr>
              <w:rPr>
                <w:b/>
              </w:rPr>
            </w:pPr>
          </w:p>
        </w:tc>
        <w:tc>
          <w:tcPr>
            <w:tcW w:w="1843" w:type="dxa"/>
            <w:tcBorders>
              <w:top w:val="single" w:sz="2" w:space="0" w:color="auto"/>
              <w:left w:val="single" w:sz="18" w:space="0" w:color="auto"/>
              <w:bottom w:val="single" w:sz="4" w:space="0" w:color="auto"/>
              <w:right w:val="single" w:sz="4" w:space="0" w:color="auto"/>
            </w:tcBorders>
            <w:shd w:val="clear" w:color="auto" w:fill="F2F2F2"/>
            <w:vAlign w:val="center"/>
          </w:tcPr>
          <w:p w14:paraId="2E4A0372" w14:textId="18F675AC" w:rsidR="009E1F18" w:rsidRPr="004B5178" w:rsidRDefault="009E1F18" w:rsidP="009E1F18">
            <w:pPr>
              <w:rPr>
                <w:b/>
              </w:rPr>
            </w:pPr>
            <w:r w:rsidRPr="00803DEA">
              <w:rPr>
                <w:rFonts w:eastAsia="Calibri"/>
              </w:rPr>
              <w:t>Age 16 - 44 (reference)</w:t>
            </w:r>
          </w:p>
        </w:tc>
        <w:tc>
          <w:tcPr>
            <w:tcW w:w="1684" w:type="dxa"/>
            <w:tcBorders>
              <w:top w:val="single" w:sz="2" w:space="0" w:color="auto"/>
              <w:left w:val="nil"/>
              <w:bottom w:val="single" w:sz="4" w:space="0" w:color="auto"/>
              <w:right w:val="single" w:sz="4" w:space="0" w:color="auto"/>
            </w:tcBorders>
            <w:shd w:val="clear" w:color="auto" w:fill="F2F2F2"/>
            <w:vAlign w:val="center"/>
          </w:tcPr>
          <w:p w14:paraId="6872FD56" w14:textId="420D0E4B" w:rsidR="009E1F18" w:rsidRPr="004B5178" w:rsidRDefault="009E1F18" w:rsidP="009E1F18">
            <w:pPr>
              <w:rPr>
                <w:b/>
              </w:rPr>
            </w:pPr>
            <w:r w:rsidRPr="00803DEA">
              <w:rPr>
                <w:rFonts w:eastAsia="Calibri"/>
              </w:rPr>
              <w:t>0.000</w:t>
            </w:r>
          </w:p>
        </w:tc>
        <w:tc>
          <w:tcPr>
            <w:tcW w:w="874" w:type="dxa"/>
            <w:tcBorders>
              <w:top w:val="single" w:sz="2" w:space="0" w:color="auto"/>
              <w:left w:val="nil"/>
              <w:bottom w:val="single" w:sz="4" w:space="0" w:color="auto"/>
              <w:right w:val="single" w:sz="4" w:space="0" w:color="auto"/>
            </w:tcBorders>
            <w:shd w:val="clear" w:color="auto" w:fill="F2F2F2"/>
            <w:vAlign w:val="center"/>
          </w:tcPr>
          <w:p w14:paraId="1E6DACAD" w14:textId="09EA1FAD" w:rsidR="009E1F18" w:rsidRPr="004B5178" w:rsidRDefault="009E1F18" w:rsidP="009E1F18">
            <w:pPr>
              <w:rPr>
                <w:b/>
              </w:rPr>
            </w:pPr>
            <w:r w:rsidRPr="00803DEA">
              <w:rPr>
                <w:rFonts w:eastAsia="Calibri"/>
              </w:rPr>
              <w:t>1.000</w:t>
            </w:r>
          </w:p>
        </w:tc>
        <w:tc>
          <w:tcPr>
            <w:tcW w:w="986" w:type="dxa"/>
            <w:tcBorders>
              <w:top w:val="single" w:sz="2" w:space="0" w:color="auto"/>
              <w:left w:val="nil"/>
              <w:bottom w:val="single" w:sz="4" w:space="0" w:color="auto"/>
              <w:right w:val="single" w:sz="4" w:space="0" w:color="auto"/>
            </w:tcBorders>
            <w:shd w:val="clear" w:color="auto" w:fill="F2F2F2"/>
            <w:vAlign w:val="center"/>
          </w:tcPr>
          <w:p w14:paraId="708639EB" w14:textId="77777777" w:rsidR="009E1F18" w:rsidRPr="004B5178" w:rsidRDefault="009E1F18" w:rsidP="009E1F18">
            <w:pPr>
              <w:rPr>
                <w:b/>
              </w:rPr>
            </w:pPr>
          </w:p>
        </w:tc>
        <w:tc>
          <w:tcPr>
            <w:tcW w:w="1264" w:type="dxa"/>
            <w:tcBorders>
              <w:top w:val="single" w:sz="2" w:space="0" w:color="auto"/>
              <w:left w:val="nil"/>
              <w:bottom w:val="single" w:sz="4" w:space="0" w:color="auto"/>
              <w:right w:val="single" w:sz="4" w:space="0" w:color="auto"/>
            </w:tcBorders>
            <w:shd w:val="clear" w:color="auto" w:fill="F2F2F2"/>
            <w:vAlign w:val="center"/>
          </w:tcPr>
          <w:p w14:paraId="6868DABD" w14:textId="4FC934E6" w:rsidR="009E1F18" w:rsidRDefault="009E1F18" w:rsidP="009E1F18">
            <w:pPr>
              <w:rPr>
                <w:b/>
                <w:bCs/>
              </w:rPr>
            </w:pPr>
          </w:p>
        </w:tc>
        <w:tc>
          <w:tcPr>
            <w:tcW w:w="1318" w:type="dxa"/>
            <w:tcBorders>
              <w:top w:val="single" w:sz="2" w:space="0" w:color="auto"/>
              <w:left w:val="nil"/>
              <w:bottom w:val="single" w:sz="4" w:space="0" w:color="auto"/>
              <w:right w:val="single" w:sz="4" w:space="0" w:color="auto"/>
            </w:tcBorders>
            <w:shd w:val="clear" w:color="auto" w:fill="F2F2F2"/>
            <w:vAlign w:val="center"/>
          </w:tcPr>
          <w:p w14:paraId="199C73EE" w14:textId="27B116EC" w:rsidR="009E1F18" w:rsidRDefault="009E1F18" w:rsidP="009E1F18">
            <w:pPr>
              <w:rPr>
                <w:b/>
                <w:bCs/>
              </w:rPr>
            </w:pPr>
          </w:p>
        </w:tc>
      </w:tr>
      <w:tr w:rsidR="009E1F18" w14:paraId="45757A68"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17898C1B" w14:textId="72BA5C61" w:rsidR="009E1F18" w:rsidRPr="004B5178" w:rsidRDefault="009E1F18" w:rsidP="009E1F18">
            <w:r w:rsidRPr="00803DEA">
              <w:rPr>
                <w:rFonts w:eastAsia="Calibri"/>
              </w:rPr>
              <w:t>Age 0- 5</w:t>
            </w:r>
          </w:p>
        </w:tc>
        <w:tc>
          <w:tcPr>
            <w:tcW w:w="1439" w:type="dxa"/>
            <w:tcBorders>
              <w:top w:val="nil"/>
              <w:left w:val="nil"/>
              <w:bottom w:val="single" w:sz="4" w:space="0" w:color="auto"/>
              <w:right w:val="single" w:sz="4" w:space="0" w:color="auto"/>
            </w:tcBorders>
            <w:shd w:val="clear" w:color="auto" w:fill="auto"/>
            <w:vAlign w:val="center"/>
          </w:tcPr>
          <w:p w14:paraId="12D0AE18" w14:textId="7276D764" w:rsidR="009E1F18" w:rsidRPr="004B5178" w:rsidRDefault="009E1F18" w:rsidP="009E1F18">
            <w:r w:rsidRPr="00803DEA">
              <w:rPr>
                <w:rFonts w:eastAsia="Calibri"/>
              </w:rPr>
              <w:t>0.031</w:t>
            </w:r>
          </w:p>
        </w:tc>
        <w:tc>
          <w:tcPr>
            <w:tcW w:w="872" w:type="dxa"/>
            <w:tcBorders>
              <w:top w:val="nil"/>
              <w:left w:val="nil"/>
              <w:bottom w:val="single" w:sz="4" w:space="0" w:color="auto"/>
              <w:right w:val="single" w:sz="4" w:space="0" w:color="auto"/>
            </w:tcBorders>
            <w:shd w:val="clear" w:color="auto" w:fill="auto"/>
            <w:vAlign w:val="center"/>
          </w:tcPr>
          <w:p w14:paraId="6AB390BA" w14:textId="543215BB" w:rsidR="009E1F18" w:rsidRPr="004B5178" w:rsidRDefault="009E1F18" w:rsidP="009E1F18">
            <w:r w:rsidRPr="00803DEA">
              <w:rPr>
                <w:rFonts w:eastAsia="Calibri"/>
              </w:rPr>
              <w:t>1.032</w:t>
            </w:r>
          </w:p>
        </w:tc>
        <w:tc>
          <w:tcPr>
            <w:tcW w:w="896" w:type="dxa"/>
            <w:tcBorders>
              <w:top w:val="nil"/>
              <w:left w:val="nil"/>
              <w:bottom w:val="single" w:sz="4" w:space="0" w:color="auto"/>
              <w:right w:val="single" w:sz="4" w:space="0" w:color="auto"/>
            </w:tcBorders>
            <w:shd w:val="clear" w:color="auto" w:fill="auto"/>
            <w:vAlign w:val="center"/>
          </w:tcPr>
          <w:p w14:paraId="05C430C0" w14:textId="20789142" w:rsidR="009E1F18" w:rsidRPr="004B5178" w:rsidRDefault="009E1F18" w:rsidP="009E1F18">
            <w:r w:rsidRPr="00803DEA">
              <w:rPr>
                <w:rFonts w:eastAsia="Calibri"/>
              </w:rPr>
              <w:t>0.864</w:t>
            </w:r>
          </w:p>
        </w:tc>
        <w:tc>
          <w:tcPr>
            <w:tcW w:w="1319" w:type="dxa"/>
            <w:tcBorders>
              <w:top w:val="nil"/>
              <w:left w:val="nil"/>
              <w:bottom w:val="single" w:sz="4" w:space="0" w:color="auto"/>
              <w:right w:val="single" w:sz="4" w:space="0" w:color="auto"/>
            </w:tcBorders>
            <w:shd w:val="clear" w:color="auto" w:fill="auto"/>
            <w:vAlign w:val="center"/>
          </w:tcPr>
          <w:p w14:paraId="528EEEEB" w14:textId="4C696126" w:rsidR="009E1F18" w:rsidRPr="004B5178" w:rsidRDefault="009E1F18" w:rsidP="009E1F18">
            <w:r w:rsidRPr="00803DEA">
              <w:rPr>
                <w:rFonts w:eastAsia="Calibri"/>
              </w:rPr>
              <w:t>0.721</w:t>
            </w:r>
          </w:p>
        </w:tc>
        <w:tc>
          <w:tcPr>
            <w:tcW w:w="1275" w:type="dxa"/>
            <w:tcBorders>
              <w:top w:val="nil"/>
              <w:left w:val="nil"/>
              <w:bottom w:val="single" w:sz="4" w:space="0" w:color="auto"/>
              <w:right w:val="single" w:sz="18" w:space="0" w:color="auto"/>
            </w:tcBorders>
            <w:shd w:val="clear" w:color="auto" w:fill="auto"/>
            <w:vAlign w:val="center"/>
          </w:tcPr>
          <w:p w14:paraId="50709DEA" w14:textId="01C0D649" w:rsidR="009E1F18" w:rsidRPr="004B5178" w:rsidRDefault="009E1F18" w:rsidP="009E1F18">
            <w:r w:rsidRPr="00803DEA">
              <w:rPr>
                <w:rFonts w:eastAsia="Calibri"/>
              </w:rPr>
              <w:t>1.477</w:t>
            </w:r>
          </w:p>
        </w:tc>
        <w:tc>
          <w:tcPr>
            <w:tcW w:w="1843" w:type="dxa"/>
            <w:tcBorders>
              <w:top w:val="nil"/>
              <w:left w:val="single" w:sz="18" w:space="0" w:color="auto"/>
              <w:bottom w:val="single" w:sz="4" w:space="0" w:color="auto"/>
              <w:right w:val="single" w:sz="4" w:space="0" w:color="auto"/>
            </w:tcBorders>
            <w:shd w:val="clear" w:color="auto" w:fill="auto"/>
            <w:vAlign w:val="center"/>
          </w:tcPr>
          <w:p w14:paraId="0B66ED1B" w14:textId="75CDEDCF" w:rsidR="009E1F18" w:rsidRPr="004B5178" w:rsidRDefault="009E1F18" w:rsidP="009E1F18">
            <w:r w:rsidRPr="00803DEA">
              <w:rPr>
                <w:rFonts w:eastAsia="Calibri"/>
              </w:rPr>
              <w:t>Age 0- 5</w:t>
            </w:r>
          </w:p>
        </w:tc>
        <w:tc>
          <w:tcPr>
            <w:tcW w:w="1684" w:type="dxa"/>
            <w:tcBorders>
              <w:top w:val="nil"/>
              <w:left w:val="nil"/>
              <w:bottom w:val="single" w:sz="4" w:space="0" w:color="auto"/>
              <w:right w:val="single" w:sz="4" w:space="0" w:color="auto"/>
            </w:tcBorders>
            <w:shd w:val="clear" w:color="auto" w:fill="auto"/>
            <w:vAlign w:val="center"/>
          </w:tcPr>
          <w:p w14:paraId="06A2E926" w14:textId="782926B7" w:rsidR="009E1F18" w:rsidRPr="004B5178" w:rsidRDefault="009E1F18" w:rsidP="009E1F18">
            <w:r w:rsidRPr="00803DEA">
              <w:rPr>
                <w:rFonts w:eastAsia="Calibri"/>
              </w:rPr>
              <w:t>0.017</w:t>
            </w:r>
          </w:p>
        </w:tc>
        <w:tc>
          <w:tcPr>
            <w:tcW w:w="874" w:type="dxa"/>
            <w:tcBorders>
              <w:top w:val="nil"/>
              <w:left w:val="nil"/>
              <w:bottom w:val="single" w:sz="4" w:space="0" w:color="auto"/>
              <w:right w:val="single" w:sz="4" w:space="0" w:color="auto"/>
            </w:tcBorders>
            <w:shd w:val="clear" w:color="auto" w:fill="auto"/>
            <w:vAlign w:val="center"/>
          </w:tcPr>
          <w:p w14:paraId="32D6FD18" w14:textId="5DBF38E2" w:rsidR="009E1F18" w:rsidRPr="004B5178" w:rsidRDefault="009E1F18" w:rsidP="009E1F18">
            <w:r w:rsidRPr="00803DEA">
              <w:rPr>
                <w:rFonts w:eastAsia="Calibri"/>
              </w:rPr>
              <w:t>1.017</w:t>
            </w:r>
          </w:p>
        </w:tc>
        <w:tc>
          <w:tcPr>
            <w:tcW w:w="986" w:type="dxa"/>
            <w:tcBorders>
              <w:top w:val="nil"/>
              <w:left w:val="nil"/>
              <w:bottom w:val="single" w:sz="4" w:space="0" w:color="auto"/>
              <w:right w:val="single" w:sz="4" w:space="0" w:color="auto"/>
            </w:tcBorders>
            <w:shd w:val="clear" w:color="auto" w:fill="auto"/>
            <w:vAlign w:val="center"/>
          </w:tcPr>
          <w:p w14:paraId="7CB85496" w14:textId="0BF6206E" w:rsidR="009E1F18" w:rsidRPr="004B5178" w:rsidRDefault="009E1F18" w:rsidP="009E1F18">
            <w:r w:rsidRPr="00803DEA">
              <w:rPr>
                <w:rFonts w:eastAsia="Calibri"/>
              </w:rPr>
              <w:t>0.928</w:t>
            </w:r>
          </w:p>
        </w:tc>
        <w:tc>
          <w:tcPr>
            <w:tcW w:w="1264" w:type="dxa"/>
            <w:tcBorders>
              <w:top w:val="nil"/>
              <w:left w:val="nil"/>
              <w:bottom w:val="single" w:sz="4" w:space="0" w:color="auto"/>
              <w:right w:val="single" w:sz="4" w:space="0" w:color="auto"/>
            </w:tcBorders>
            <w:shd w:val="clear" w:color="auto" w:fill="auto"/>
            <w:vAlign w:val="center"/>
          </w:tcPr>
          <w:p w14:paraId="4691FAA6" w14:textId="7C46C5C4" w:rsidR="009E1F18" w:rsidRPr="004B5178" w:rsidRDefault="009E1F18" w:rsidP="009E1F18">
            <w:r w:rsidRPr="00803DEA">
              <w:rPr>
                <w:rFonts w:eastAsia="Calibri"/>
              </w:rPr>
              <w:t>0.708</w:t>
            </w:r>
          </w:p>
        </w:tc>
        <w:tc>
          <w:tcPr>
            <w:tcW w:w="1318" w:type="dxa"/>
            <w:tcBorders>
              <w:top w:val="nil"/>
              <w:left w:val="nil"/>
              <w:bottom w:val="single" w:sz="4" w:space="0" w:color="auto"/>
              <w:right w:val="single" w:sz="4" w:space="0" w:color="auto"/>
            </w:tcBorders>
            <w:shd w:val="clear" w:color="auto" w:fill="auto"/>
            <w:vAlign w:val="center"/>
          </w:tcPr>
          <w:p w14:paraId="69498B64" w14:textId="421DFE0B" w:rsidR="009E1F18" w:rsidRPr="004B5178" w:rsidRDefault="009E1F18" w:rsidP="009E1F18">
            <w:r w:rsidRPr="00803DEA">
              <w:rPr>
                <w:rFonts w:eastAsia="Calibri"/>
              </w:rPr>
              <w:t>1.460</w:t>
            </w:r>
          </w:p>
        </w:tc>
      </w:tr>
      <w:tr w:rsidR="009E1F18" w14:paraId="704DD8DD"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46E5C405" w14:textId="5DE95C13" w:rsidR="009E1F18" w:rsidRPr="004B5178" w:rsidRDefault="009E1F18" w:rsidP="009E1F18">
            <w:r w:rsidRPr="00803DEA">
              <w:rPr>
                <w:rFonts w:eastAsia="Calibri"/>
              </w:rPr>
              <w:t>Age 6 - 10</w:t>
            </w:r>
          </w:p>
        </w:tc>
        <w:tc>
          <w:tcPr>
            <w:tcW w:w="1439" w:type="dxa"/>
            <w:tcBorders>
              <w:top w:val="nil"/>
              <w:left w:val="nil"/>
              <w:bottom w:val="single" w:sz="4" w:space="0" w:color="auto"/>
              <w:right w:val="single" w:sz="4" w:space="0" w:color="auto"/>
            </w:tcBorders>
            <w:shd w:val="clear" w:color="auto" w:fill="auto"/>
            <w:vAlign w:val="center"/>
          </w:tcPr>
          <w:p w14:paraId="779DBE4B" w14:textId="5C7E2F87" w:rsidR="009E1F18" w:rsidRPr="004B5178" w:rsidRDefault="009E1F18" w:rsidP="009E1F18">
            <w:r w:rsidRPr="00803DEA">
              <w:rPr>
                <w:rFonts w:eastAsia="Calibri"/>
              </w:rPr>
              <w:t>0.304</w:t>
            </w:r>
          </w:p>
        </w:tc>
        <w:tc>
          <w:tcPr>
            <w:tcW w:w="872" w:type="dxa"/>
            <w:tcBorders>
              <w:top w:val="nil"/>
              <w:left w:val="nil"/>
              <w:bottom w:val="single" w:sz="4" w:space="0" w:color="auto"/>
              <w:right w:val="single" w:sz="4" w:space="0" w:color="auto"/>
            </w:tcBorders>
            <w:shd w:val="clear" w:color="auto" w:fill="auto"/>
            <w:vAlign w:val="center"/>
          </w:tcPr>
          <w:p w14:paraId="799A3236" w14:textId="6FF22ABA" w:rsidR="009E1F18" w:rsidRPr="004B5178" w:rsidRDefault="009E1F18" w:rsidP="009E1F18">
            <w:r w:rsidRPr="00803DEA">
              <w:rPr>
                <w:rFonts w:eastAsia="Calibri"/>
              </w:rPr>
              <w:t>1.355</w:t>
            </w:r>
          </w:p>
        </w:tc>
        <w:tc>
          <w:tcPr>
            <w:tcW w:w="896" w:type="dxa"/>
            <w:tcBorders>
              <w:top w:val="nil"/>
              <w:left w:val="nil"/>
              <w:bottom w:val="single" w:sz="4" w:space="0" w:color="auto"/>
              <w:right w:val="single" w:sz="4" w:space="0" w:color="auto"/>
            </w:tcBorders>
            <w:shd w:val="clear" w:color="auto" w:fill="auto"/>
            <w:vAlign w:val="center"/>
          </w:tcPr>
          <w:p w14:paraId="2B854245" w14:textId="385E15DC" w:rsidR="009E1F18" w:rsidRPr="004B5178" w:rsidRDefault="009E1F18" w:rsidP="009E1F18">
            <w:r w:rsidRPr="00803DEA">
              <w:rPr>
                <w:rFonts w:eastAsia="Calibri"/>
              </w:rPr>
              <w:t>0.233</w:t>
            </w:r>
          </w:p>
        </w:tc>
        <w:tc>
          <w:tcPr>
            <w:tcW w:w="1319" w:type="dxa"/>
            <w:tcBorders>
              <w:top w:val="nil"/>
              <w:left w:val="nil"/>
              <w:bottom w:val="single" w:sz="4" w:space="0" w:color="auto"/>
              <w:right w:val="single" w:sz="4" w:space="0" w:color="auto"/>
            </w:tcBorders>
            <w:shd w:val="clear" w:color="auto" w:fill="auto"/>
            <w:vAlign w:val="center"/>
          </w:tcPr>
          <w:p w14:paraId="324C2643" w14:textId="0C796F2B" w:rsidR="009E1F18" w:rsidRPr="004B5178" w:rsidRDefault="009E1F18" w:rsidP="009E1F18">
            <w:r w:rsidRPr="00803DEA">
              <w:rPr>
                <w:rFonts w:eastAsia="Calibri"/>
              </w:rPr>
              <w:t>0.822</w:t>
            </w:r>
          </w:p>
        </w:tc>
        <w:tc>
          <w:tcPr>
            <w:tcW w:w="1275" w:type="dxa"/>
            <w:tcBorders>
              <w:top w:val="nil"/>
              <w:left w:val="nil"/>
              <w:bottom w:val="single" w:sz="4" w:space="0" w:color="auto"/>
              <w:right w:val="single" w:sz="18" w:space="0" w:color="auto"/>
            </w:tcBorders>
            <w:shd w:val="clear" w:color="auto" w:fill="auto"/>
            <w:vAlign w:val="center"/>
          </w:tcPr>
          <w:p w14:paraId="2E649FF9" w14:textId="29AA7AB9" w:rsidR="009E1F18" w:rsidRPr="004B5178" w:rsidRDefault="009E1F18" w:rsidP="009E1F18">
            <w:r w:rsidRPr="00803DEA">
              <w:rPr>
                <w:rFonts w:eastAsia="Calibri"/>
              </w:rPr>
              <w:t>2.234</w:t>
            </w:r>
          </w:p>
        </w:tc>
        <w:tc>
          <w:tcPr>
            <w:tcW w:w="1843" w:type="dxa"/>
            <w:tcBorders>
              <w:top w:val="nil"/>
              <w:left w:val="single" w:sz="18" w:space="0" w:color="auto"/>
              <w:bottom w:val="single" w:sz="4" w:space="0" w:color="auto"/>
              <w:right w:val="single" w:sz="4" w:space="0" w:color="auto"/>
            </w:tcBorders>
            <w:shd w:val="clear" w:color="auto" w:fill="auto"/>
            <w:vAlign w:val="center"/>
          </w:tcPr>
          <w:p w14:paraId="6559DFCF" w14:textId="13A7BFFE" w:rsidR="009E1F18" w:rsidRPr="004B5178" w:rsidRDefault="009E1F18" w:rsidP="009E1F18">
            <w:r w:rsidRPr="00803DEA">
              <w:rPr>
                <w:rFonts w:eastAsia="Calibri"/>
              </w:rPr>
              <w:t>Age 6 - 10</w:t>
            </w:r>
          </w:p>
        </w:tc>
        <w:tc>
          <w:tcPr>
            <w:tcW w:w="1684" w:type="dxa"/>
            <w:tcBorders>
              <w:top w:val="nil"/>
              <w:left w:val="nil"/>
              <w:bottom w:val="single" w:sz="4" w:space="0" w:color="auto"/>
              <w:right w:val="single" w:sz="4" w:space="0" w:color="auto"/>
            </w:tcBorders>
            <w:shd w:val="clear" w:color="auto" w:fill="auto"/>
            <w:vAlign w:val="center"/>
          </w:tcPr>
          <w:p w14:paraId="43EBE58F" w14:textId="257D3E81" w:rsidR="009E1F18" w:rsidRPr="004B5178" w:rsidRDefault="009E1F18" w:rsidP="009E1F18">
            <w:r w:rsidRPr="00803DEA">
              <w:rPr>
                <w:rFonts w:eastAsia="Calibri"/>
              </w:rPr>
              <w:t>0.289</w:t>
            </w:r>
          </w:p>
        </w:tc>
        <w:tc>
          <w:tcPr>
            <w:tcW w:w="874" w:type="dxa"/>
            <w:tcBorders>
              <w:top w:val="nil"/>
              <w:left w:val="nil"/>
              <w:bottom w:val="single" w:sz="4" w:space="0" w:color="auto"/>
              <w:right w:val="single" w:sz="4" w:space="0" w:color="auto"/>
            </w:tcBorders>
            <w:shd w:val="clear" w:color="auto" w:fill="auto"/>
            <w:vAlign w:val="center"/>
          </w:tcPr>
          <w:p w14:paraId="4BD2853A" w14:textId="50D39C6D" w:rsidR="009E1F18" w:rsidRPr="004B5178" w:rsidRDefault="009E1F18" w:rsidP="009E1F18">
            <w:r w:rsidRPr="00803DEA">
              <w:rPr>
                <w:rFonts w:eastAsia="Calibri"/>
              </w:rPr>
              <w:t>1.335</w:t>
            </w:r>
          </w:p>
        </w:tc>
        <w:tc>
          <w:tcPr>
            <w:tcW w:w="986" w:type="dxa"/>
            <w:tcBorders>
              <w:top w:val="nil"/>
              <w:left w:val="nil"/>
              <w:bottom w:val="single" w:sz="4" w:space="0" w:color="auto"/>
              <w:right w:val="single" w:sz="4" w:space="0" w:color="auto"/>
            </w:tcBorders>
            <w:shd w:val="clear" w:color="auto" w:fill="auto"/>
            <w:vAlign w:val="center"/>
          </w:tcPr>
          <w:p w14:paraId="664DD996" w14:textId="6124D8F6" w:rsidR="009E1F18" w:rsidRPr="004B5178" w:rsidRDefault="009E1F18" w:rsidP="009E1F18">
            <w:r w:rsidRPr="00803DEA">
              <w:rPr>
                <w:rFonts w:eastAsia="Calibri"/>
              </w:rPr>
              <w:t>0.253</w:t>
            </w:r>
          </w:p>
        </w:tc>
        <w:tc>
          <w:tcPr>
            <w:tcW w:w="1264" w:type="dxa"/>
            <w:tcBorders>
              <w:top w:val="nil"/>
              <w:left w:val="nil"/>
              <w:bottom w:val="single" w:sz="4" w:space="0" w:color="auto"/>
              <w:right w:val="single" w:sz="4" w:space="0" w:color="auto"/>
            </w:tcBorders>
            <w:shd w:val="clear" w:color="auto" w:fill="auto"/>
            <w:vAlign w:val="center"/>
          </w:tcPr>
          <w:p w14:paraId="53A12F53" w14:textId="5DA44DA0" w:rsidR="009E1F18" w:rsidRPr="004B5178" w:rsidRDefault="009E1F18" w:rsidP="009E1F18">
            <w:r w:rsidRPr="00803DEA">
              <w:rPr>
                <w:rFonts w:eastAsia="Calibri"/>
              </w:rPr>
              <w:t>0.813</w:t>
            </w:r>
          </w:p>
        </w:tc>
        <w:tc>
          <w:tcPr>
            <w:tcW w:w="1318" w:type="dxa"/>
            <w:tcBorders>
              <w:top w:val="nil"/>
              <w:left w:val="nil"/>
              <w:bottom w:val="single" w:sz="4" w:space="0" w:color="auto"/>
              <w:right w:val="single" w:sz="4" w:space="0" w:color="auto"/>
            </w:tcBorders>
            <w:shd w:val="clear" w:color="auto" w:fill="auto"/>
            <w:vAlign w:val="center"/>
          </w:tcPr>
          <w:p w14:paraId="69A16934" w14:textId="0342E16C" w:rsidR="009E1F18" w:rsidRPr="004B5178" w:rsidRDefault="009E1F18" w:rsidP="009E1F18">
            <w:r w:rsidRPr="00803DEA">
              <w:rPr>
                <w:rFonts w:eastAsia="Calibri"/>
              </w:rPr>
              <w:t>2.193</w:t>
            </w:r>
          </w:p>
        </w:tc>
      </w:tr>
      <w:tr w:rsidR="009E1F18" w14:paraId="173A3ED9"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7585827B" w14:textId="0C32C43B" w:rsidR="009E1F18" w:rsidRPr="004B5178" w:rsidRDefault="009E1F18" w:rsidP="009E1F18">
            <w:r w:rsidRPr="00803DEA">
              <w:rPr>
                <w:rFonts w:eastAsia="Calibri"/>
              </w:rPr>
              <w:t>Age 11 - 15</w:t>
            </w:r>
          </w:p>
        </w:tc>
        <w:tc>
          <w:tcPr>
            <w:tcW w:w="1439" w:type="dxa"/>
            <w:tcBorders>
              <w:top w:val="nil"/>
              <w:left w:val="nil"/>
              <w:bottom w:val="single" w:sz="4" w:space="0" w:color="auto"/>
              <w:right w:val="single" w:sz="4" w:space="0" w:color="auto"/>
            </w:tcBorders>
            <w:shd w:val="clear" w:color="auto" w:fill="auto"/>
            <w:vAlign w:val="center"/>
          </w:tcPr>
          <w:p w14:paraId="1DEB8D9D" w14:textId="129EC7AE" w:rsidR="009E1F18" w:rsidRPr="004B5178" w:rsidRDefault="009E1F18" w:rsidP="009E1F18">
            <w:r w:rsidRPr="00803DEA">
              <w:rPr>
                <w:rFonts w:eastAsia="Calibri"/>
              </w:rPr>
              <w:t>0.180</w:t>
            </w:r>
          </w:p>
        </w:tc>
        <w:tc>
          <w:tcPr>
            <w:tcW w:w="872" w:type="dxa"/>
            <w:tcBorders>
              <w:top w:val="nil"/>
              <w:left w:val="nil"/>
              <w:bottom w:val="single" w:sz="4" w:space="0" w:color="auto"/>
              <w:right w:val="single" w:sz="4" w:space="0" w:color="auto"/>
            </w:tcBorders>
            <w:shd w:val="clear" w:color="auto" w:fill="auto"/>
            <w:vAlign w:val="center"/>
          </w:tcPr>
          <w:p w14:paraId="70A48D49" w14:textId="705F132F" w:rsidR="009E1F18" w:rsidRPr="004B5178" w:rsidRDefault="009E1F18" w:rsidP="009E1F18">
            <w:r w:rsidRPr="00803DEA">
              <w:rPr>
                <w:rFonts w:eastAsia="Calibri"/>
              </w:rPr>
              <w:t>1.197</w:t>
            </w:r>
          </w:p>
        </w:tc>
        <w:tc>
          <w:tcPr>
            <w:tcW w:w="896" w:type="dxa"/>
            <w:tcBorders>
              <w:top w:val="nil"/>
              <w:left w:val="nil"/>
              <w:bottom w:val="single" w:sz="4" w:space="0" w:color="auto"/>
              <w:right w:val="single" w:sz="4" w:space="0" w:color="auto"/>
            </w:tcBorders>
            <w:shd w:val="clear" w:color="auto" w:fill="auto"/>
            <w:vAlign w:val="center"/>
          </w:tcPr>
          <w:p w14:paraId="73CD0DC5" w14:textId="0A6FDC07" w:rsidR="009E1F18" w:rsidRPr="004B5178" w:rsidRDefault="009E1F18" w:rsidP="009E1F18">
            <w:r w:rsidRPr="00803DEA">
              <w:rPr>
                <w:rFonts w:eastAsia="Calibri"/>
              </w:rPr>
              <w:t>0.285</w:t>
            </w:r>
          </w:p>
        </w:tc>
        <w:tc>
          <w:tcPr>
            <w:tcW w:w="1319" w:type="dxa"/>
            <w:tcBorders>
              <w:top w:val="nil"/>
              <w:left w:val="nil"/>
              <w:bottom w:val="single" w:sz="4" w:space="0" w:color="auto"/>
              <w:right w:val="single" w:sz="4" w:space="0" w:color="auto"/>
            </w:tcBorders>
            <w:shd w:val="clear" w:color="auto" w:fill="auto"/>
            <w:vAlign w:val="center"/>
          </w:tcPr>
          <w:p w14:paraId="1C964045" w14:textId="0058A607" w:rsidR="009E1F18" w:rsidRPr="004B5178" w:rsidRDefault="009E1F18" w:rsidP="009E1F18">
            <w:r w:rsidRPr="00803DEA">
              <w:rPr>
                <w:rFonts w:eastAsia="Calibri"/>
              </w:rPr>
              <w:t>0.860</w:t>
            </w:r>
          </w:p>
        </w:tc>
        <w:tc>
          <w:tcPr>
            <w:tcW w:w="1275" w:type="dxa"/>
            <w:tcBorders>
              <w:top w:val="nil"/>
              <w:left w:val="nil"/>
              <w:bottom w:val="single" w:sz="4" w:space="0" w:color="auto"/>
              <w:right w:val="single" w:sz="18" w:space="0" w:color="auto"/>
            </w:tcBorders>
            <w:shd w:val="clear" w:color="auto" w:fill="auto"/>
            <w:vAlign w:val="center"/>
          </w:tcPr>
          <w:p w14:paraId="4B2C5ABA" w14:textId="63E617D5" w:rsidR="009E1F18" w:rsidRPr="004B5178" w:rsidRDefault="009E1F18" w:rsidP="009E1F18">
            <w:r w:rsidRPr="00803DEA">
              <w:rPr>
                <w:rFonts w:eastAsia="Calibri"/>
              </w:rPr>
              <w:t>1.666</w:t>
            </w:r>
          </w:p>
        </w:tc>
        <w:tc>
          <w:tcPr>
            <w:tcW w:w="1843" w:type="dxa"/>
            <w:tcBorders>
              <w:top w:val="nil"/>
              <w:left w:val="single" w:sz="18" w:space="0" w:color="auto"/>
              <w:bottom w:val="single" w:sz="4" w:space="0" w:color="auto"/>
              <w:right w:val="single" w:sz="4" w:space="0" w:color="auto"/>
            </w:tcBorders>
            <w:shd w:val="clear" w:color="auto" w:fill="auto"/>
            <w:vAlign w:val="center"/>
          </w:tcPr>
          <w:p w14:paraId="7FA16C3B" w14:textId="37CEAE19" w:rsidR="009E1F18" w:rsidRPr="004B5178" w:rsidRDefault="009E1F18" w:rsidP="009E1F18">
            <w:r w:rsidRPr="00803DEA">
              <w:rPr>
                <w:rFonts w:eastAsia="Calibri"/>
              </w:rPr>
              <w:t>Age 11 - 15</w:t>
            </w:r>
          </w:p>
        </w:tc>
        <w:tc>
          <w:tcPr>
            <w:tcW w:w="1684" w:type="dxa"/>
            <w:tcBorders>
              <w:top w:val="nil"/>
              <w:left w:val="nil"/>
              <w:bottom w:val="single" w:sz="4" w:space="0" w:color="auto"/>
              <w:right w:val="single" w:sz="4" w:space="0" w:color="auto"/>
            </w:tcBorders>
            <w:shd w:val="clear" w:color="auto" w:fill="auto"/>
            <w:vAlign w:val="center"/>
          </w:tcPr>
          <w:p w14:paraId="6EC20B64" w14:textId="0EF9C1F7" w:rsidR="009E1F18" w:rsidRPr="004B5178" w:rsidRDefault="009E1F18" w:rsidP="009E1F18">
            <w:r w:rsidRPr="00803DEA">
              <w:rPr>
                <w:rFonts w:eastAsia="Calibri"/>
              </w:rPr>
              <w:t>0.177</w:t>
            </w:r>
          </w:p>
        </w:tc>
        <w:tc>
          <w:tcPr>
            <w:tcW w:w="874" w:type="dxa"/>
            <w:tcBorders>
              <w:top w:val="nil"/>
              <w:left w:val="nil"/>
              <w:bottom w:val="single" w:sz="4" w:space="0" w:color="auto"/>
              <w:right w:val="single" w:sz="4" w:space="0" w:color="auto"/>
            </w:tcBorders>
            <w:shd w:val="clear" w:color="auto" w:fill="auto"/>
            <w:vAlign w:val="center"/>
          </w:tcPr>
          <w:p w14:paraId="253BF430" w14:textId="1E92D2C9" w:rsidR="009E1F18" w:rsidRPr="004B5178" w:rsidRDefault="009E1F18" w:rsidP="009E1F18">
            <w:r w:rsidRPr="00803DEA">
              <w:rPr>
                <w:rFonts w:eastAsia="Calibri"/>
              </w:rPr>
              <w:t>1.193</w:t>
            </w:r>
          </w:p>
        </w:tc>
        <w:tc>
          <w:tcPr>
            <w:tcW w:w="986" w:type="dxa"/>
            <w:tcBorders>
              <w:top w:val="nil"/>
              <w:left w:val="nil"/>
              <w:bottom w:val="single" w:sz="4" w:space="0" w:color="auto"/>
              <w:right w:val="single" w:sz="4" w:space="0" w:color="auto"/>
            </w:tcBorders>
            <w:shd w:val="clear" w:color="auto" w:fill="auto"/>
            <w:vAlign w:val="center"/>
          </w:tcPr>
          <w:p w14:paraId="0813AED5" w14:textId="01AD2963" w:rsidR="009E1F18" w:rsidRPr="004B5178" w:rsidRDefault="009E1F18" w:rsidP="009E1F18">
            <w:r w:rsidRPr="00803DEA">
              <w:rPr>
                <w:rFonts w:eastAsia="Calibri"/>
              </w:rPr>
              <w:t>0.298</w:t>
            </w:r>
          </w:p>
        </w:tc>
        <w:tc>
          <w:tcPr>
            <w:tcW w:w="1264" w:type="dxa"/>
            <w:tcBorders>
              <w:top w:val="nil"/>
              <w:left w:val="nil"/>
              <w:bottom w:val="single" w:sz="4" w:space="0" w:color="auto"/>
              <w:right w:val="single" w:sz="4" w:space="0" w:color="auto"/>
            </w:tcBorders>
            <w:shd w:val="clear" w:color="auto" w:fill="auto"/>
            <w:vAlign w:val="center"/>
          </w:tcPr>
          <w:p w14:paraId="7626C93D" w14:textId="6B196F90" w:rsidR="009E1F18" w:rsidRPr="004B5178" w:rsidRDefault="009E1F18" w:rsidP="009E1F18">
            <w:r w:rsidRPr="00803DEA">
              <w:rPr>
                <w:rFonts w:eastAsia="Calibri"/>
              </w:rPr>
              <w:t>0.855</w:t>
            </w:r>
          </w:p>
        </w:tc>
        <w:tc>
          <w:tcPr>
            <w:tcW w:w="1318" w:type="dxa"/>
            <w:tcBorders>
              <w:top w:val="nil"/>
              <w:left w:val="nil"/>
              <w:bottom w:val="single" w:sz="4" w:space="0" w:color="auto"/>
              <w:right w:val="single" w:sz="4" w:space="0" w:color="auto"/>
            </w:tcBorders>
            <w:shd w:val="clear" w:color="auto" w:fill="auto"/>
            <w:vAlign w:val="center"/>
          </w:tcPr>
          <w:p w14:paraId="49031B47" w14:textId="49D9D4C9" w:rsidR="009E1F18" w:rsidRPr="004B5178" w:rsidRDefault="009E1F18" w:rsidP="009E1F18">
            <w:r w:rsidRPr="00803DEA">
              <w:rPr>
                <w:rFonts w:eastAsia="Calibri"/>
              </w:rPr>
              <w:t>1.666</w:t>
            </w:r>
          </w:p>
        </w:tc>
      </w:tr>
      <w:tr w:rsidR="009E1F18" w14:paraId="2AF0030D"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3089CC52" w14:textId="0D2D368D" w:rsidR="009E1F18" w:rsidRPr="004B5178" w:rsidRDefault="009E1F18" w:rsidP="009E1F18">
            <w:r w:rsidRPr="00803DEA">
              <w:rPr>
                <w:rFonts w:eastAsia="Calibri"/>
              </w:rPr>
              <w:t>Age 45 - 54</w:t>
            </w:r>
          </w:p>
        </w:tc>
        <w:tc>
          <w:tcPr>
            <w:tcW w:w="1439" w:type="dxa"/>
            <w:tcBorders>
              <w:top w:val="nil"/>
              <w:left w:val="nil"/>
              <w:bottom w:val="single" w:sz="4" w:space="0" w:color="auto"/>
              <w:right w:val="single" w:sz="4" w:space="0" w:color="auto"/>
            </w:tcBorders>
            <w:shd w:val="clear" w:color="auto" w:fill="auto"/>
            <w:vAlign w:val="center"/>
          </w:tcPr>
          <w:p w14:paraId="31703630" w14:textId="1A927DDE" w:rsidR="009E1F18" w:rsidRPr="004B5178" w:rsidRDefault="009E1F18" w:rsidP="009E1F18">
            <w:r w:rsidRPr="00803DEA">
              <w:rPr>
                <w:rFonts w:eastAsia="Calibri"/>
              </w:rPr>
              <w:t>-0.479</w:t>
            </w:r>
          </w:p>
        </w:tc>
        <w:tc>
          <w:tcPr>
            <w:tcW w:w="872" w:type="dxa"/>
            <w:tcBorders>
              <w:top w:val="nil"/>
              <w:left w:val="nil"/>
              <w:bottom w:val="single" w:sz="4" w:space="0" w:color="auto"/>
              <w:right w:val="single" w:sz="4" w:space="0" w:color="auto"/>
            </w:tcBorders>
            <w:shd w:val="clear" w:color="auto" w:fill="auto"/>
            <w:vAlign w:val="center"/>
          </w:tcPr>
          <w:p w14:paraId="38DBA575" w14:textId="00F35B6F" w:rsidR="009E1F18" w:rsidRPr="004B5178" w:rsidRDefault="009E1F18" w:rsidP="009E1F18">
            <w:r w:rsidRPr="00803DEA">
              <w:rPr>
                <w:rFonts w:eastAsia="Calibri"/>
              </w:rPr>
              <w:t>0.619</w:t>
            </w:r>
          </w:p>
        </w:tc>
        <w:tc>
          <w:tcPr>
            <w:tcW w:w="896" w:type="dxa"/>
            <w:tcBorders>
              <w:top w:val="nil"/>
              <w:left w:val="nil"/>
              <w:bottom w:val="single" w:sz="4" w:space="0" w:color="auto"/>
              <w:right w:val="single" w:sz="4" w:space="0" w:color="auto"/>
            </w:tcBorders>
            <w:shd w:val="clear" w:color="auto" w:fill="auto"/>
            <w:vAlign w:val="center"/>
          </w:tcPr>
          <w:p w14:paraId="5D67410F" w14:textId="13076421" w:rsidR="009E1F18" w:rsidRPr="004B5178" w:rsidRDefault="009E1F18" w:rsidP="009E1F18">
            <w:r w:rsidRPr="00803DEA">
              <w:rPr>
                <w:rFonts w:eastAsia="Calibri"/>
              </w:rPr>
              <w:t>&lt;0.001</w:t>
            </w:r>
          </w:p>
        </w:tc>
        <w:tc>
          <w:tcPr>
            <w:tcW w:w="1319" w:type="dxa"/>
            <w:tcBorders>
              <w:top w:val="nil"/>
              <w:left w:val="nil"/>
              <w:bottom w:val="single" w:sz="4" w:space="0" w:color="auto"/>
              <w:right w:val="single" w:sz="4" w:space="0" w:color="auto"/>
            </w:tcBorders>
            <w:shd w:val="clear" w:color="auto" w:fill="auto"/>
            <w:vAlign w:val="center"/>
          </w:tcPr>
          <w:p w14:paraId="5D37C832" w14:textId="1D98FF50" w:rsidR="009E1F18" w:rsidRPr="004B5178" w:rsidRDefault="009E1F18" w:rsidP="009E1F18">
            <w:r w:rsidRPr="00803DEA">
              <w:rPr>
                <w:rFonts w:eastAsia="Calibri"/>
              </w:rPr>
              <w:t>0.534</w:t>
            </w:r>
          </w:p>
        </w:tc>
        <w:tc>
          <w:tcPr>
            <w:tcW w:w="1275" w:type="dxa"/>
            <w:tcBorders>
              <w:top w:val="nil"/>
              <w:left w:val="nil"/>
              <w:bottom w:val="single" w:sz="4" w:space="0" w:color="auto"/>
              <w:right w:val="single" w:sz="18" w:space="0" w:color="auto"/>
            </w:tcBorders>
            <w:shd w:val="clear" w:color="auto" w:fill="auto"/>
            <w:vAlign w:val="center"/>
          </w:tcPr>
          <w:p w14:paraId="400807A5" w14:textId="11875D52" w:rsidR="009E1F18" w:rsidRPr="004B5178" w:rsidRDefault="009E1F18" w:rsidP="009E1F18">
            <w:r w:rsidRPr="00803DEA">
              <w:rPr>
                <w:rFonts w:eastAsia="Calibri"/>
              </w:rPr>
              <w:t>0.718</w:t>
            </w:r>
          </w:p>
        </w:tc>
        <w:tc>
          <w:tcPr>
            <w:tcW w:w="1843" w:type="dxa"/>
            <w:tcBorders>
              <w:top w:val="nil"/>
              <w:left w:val="single" w:sz="18" w:space="0" w:color="auto"/>
              <w:bottom w:val="single" w:sz="4" w:space="0" w:color="auto"/>
              <w:right w:val="single" w:sz="4" w:space="0" w:color="auto"/>
            </w:tcBorders>
            <w:shd w:val="clear" w:color="auto" w:fill="auto"/>
            <w:vAlign w:val="center"/>
          </w:tcPr>
          <w:p w14:paraId="0F1A2AD9" w14:textId="44C4FBF6" w:rsidR="009E1F18" w:rsidRPr="004B5178" w:rsidRDefault="009E1F18" w:rsidP="009E1F18">
            <w:r w:rsidRPr="00803DEA">
              <w:rPr>
                <w:rFonts w:eastAsia="Calibri"/>
              </w:rPr>
              <w:t>Age 45 - 54</w:t>
            </w:r>
          </w:p>
        </w:tc>
        <w:tc>
          <w:tcPr>
            <w:tcW w:w="1684" w:type="dxa"/>
            <w:tcBorders>
              <w:top w:val="nil"/>
              <w:left w:val="nil"/>
              <w:bottom w:val="single" w:sz="4" w:space="0" w:color="auto"/>
              <w:right w:val="single" w:sz="4" w:space="0" w:color="auto"/>
            </w:tcBorders>
            <w:shd w:val="clear" w:color="auto" w:fill="auto"/>
            <w:vAlign w:val="center"/>
          </w:tcPr>
          <w:p w14:paraId="79EA7B81" w14:textId="5402D725" w:rsidR="009E1F18" w:rsidRPr="004B5178" w:rsidRDefault="009E1F18" w:rsidP="009E1F18">
            <w:r w:rsidRPr="00803DEA">
              <w:rPr>
                <w:rFonts w:eastAsia="Calibri"/>
              </w:rPr>
              <w:t>-0.498</w:t>
            </w:r>
          </w:p>
        </w:tc>
        <w:tc>
          <w:tcPr>
            <w:tcW w:w="874" w:type="dxa"/>
            <w:tcBorders>
              <w:top w:val="nil"/>
              <w:left w:val="nil"/>
              <w:bottom w:val="single" w:sz="4" w:space="0" w:color="auto"/>
              <w:right w:val="single" w:sz="4" w:space="0" w:color="auto"/>
            </w:tcBorders>
            <w:shd w:val="clear" w:color="auto" w:fill="auto"/>
            <w:vAlign w:val="center"/>
          </w:tcPr>
          <w:p w14:paraId="3390F84E" w14:textId="0C048AEC" w:rsidR="009E1F18" w:rsidRPr="004B5178" w:rsidRDefault="009E1F18" w:rsidP="009E1F18">
            <w:r w:rsidRPr="00803DEA">
              <w:rPr>
                <w:rFonts w:eastAsia="Calibri"/>
              </w:rPr>
              <w:t>0.608</w:t>
            </w:r>
          </w:p>
        </w:tc>
        <w:tc>
          <w:tcPr>
            <w:tcW w:w="986" w:type="dxa"/>
            <w:tcBorders>
              <w:top w:val="nil"/>
              <w:left w:val="nil"/>
              <w:bottom w:val="single" w:sz="4" w:space="0" w:color="auto"/>
              <w:right w:val="single" w:sz="4" w:space="0" w:color="auto"/>
            </w:tcBorders>
            <w:shd w:val="clear" w:color="auto" w:fill="auto"/>
            <w:vAlign w:val="center"/>
          </w:tcPr>
          <w:p w14:paraId="5B92864D" w14:textId="25524977" w:rsidR="009E1F18" w:rsidRPr="004B5178" w:rsidRDefault="009E1F18" w:rsidP="009E1F18">
            <w:r w:rsidRPr="00803DEA">
              <w:rPr>
                <w:rFonts w:eastAsia="Calibri"/>
              </w:rPr>
              <w:t>&lt;0.001</w:t>
            </w:r>
          </w:p>
        </w:tc>
        <w:tc>
          <w:tcPr>
            <w:tcW w:w="1264" w:type="dxa"/>
            <w:tcBorders>
              <w:top w:val="nil"/>
              <w:left w:val="nil"/>
              <w:bottom w:val="single" w:sz="4" w:space="0" w:color="auto"/>
              <w:right w:val="single" w:sz="4" w:space="0" w:color="auto"/>
            </w:tcBorders>
            <w:shd w:val="clear" w:color="auto" w:fill="auto"/>
            <w:vAlign w:val="center"/>
          </w:tcPr>
          <w:p w14:paraId="1F371A22" w14:textId="60D929E1" w:rsidR="009E1F18" w:rsidRPr="004B5178" w:rsidRDefault="009E1F18" w:rsidP="009E1F18">
            <w:r w:rsidRPr="00803DEA">
              <w:rPr>
                <w:rFonts w:eastAsia="Calibri"/>
              </w:rPr>
              <w:t>0.522</w:t>
            </w:r>
          </w:p>
        </w:tc>
        <w:tc>
          <w:tcPr>
            <w:tcW w:w="1318" w:type="dxa"/>
            <w:tcBorders>
              <w:top w:val="nil"/>
              <w:left w:val="nil"/>
              <w:bottom w:val="single" w:sz="4" w:space="0" w:color="auto"/>
              <w:right w:val="single" w:sz="4" w:space="0" w:color="auto"/>
            </w:tcBorders>
            <w:shd w:val="clear" w:color="auto" w:fill="auto"/>
            <w:vAlign w:val="center"/>
          </w:tcPr>
          <w:p w14:paraId="1FF23BE2" w14:textId="062879CE" w:rsidR="009E1F18" w:rsidRPr="004B5178" w:rsidRDefault="009E1F18" w:rsidP="009E1F18">
            <w:r w:rsidRPr="00803DEA">
              <w:rPr>
                <w:rFonts w:eastAsia="Calibri"/>
              </w:rPr>
              <w:t>0.708</w:t>
            </w:r>
          </w:p>
        </w:tc>
      </w:tr>
      <w:tr w:rsidR="009E1F18" w14:paraId="4528E655"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54B1DB2B" w14:textId="1113C5EE" w:rsidR="009E1F18" w:rsidRPr="004B5178" w:rsidRDefault="009E1F18" w:rsidP="009E1F18">
            <w:r w:rsidRPr="00803DEA">
              <w:rPr>
                <w:rFonts w:eastAsia="Calibri"/>
              </w:rPr>
              <w:t>Age 55 - 64</w:t>
            </w:r>
          </w:p>
        </w:tc>
        <w:tc>
          <w:tcPr>
            <w:tcW w:w="1439" w:type="dxa"/>
            <w:tcBorders>
              <w:top w:val="nil"/>
              <w:left w:val="nil"/>
              <w:bottom w:val="single" w:sz="4" w:space="0" w:color="auto"/>
              <w:right w:val="single" w:sz="4" w:space="0" w:color="auto"/>
            </w:tcBorders>
            <w:shd w:val="clear" w:color="auto" w:fill="auto"/>
            <w:vAlign w:val="center"/>
          </w:tcPr>
          <w:p w14:paraId="4631EB78" w14:textId="3E9D00F5" w:rsidR="009E1F18" w:rsidRPr="004B5178" w:rsidRDefault="009E1F18" w:rsidP="009E1F18">
            <w:r w:rsidRPr="00803DEA">
              <w:rPr>
                <w:rFonts w:eastAsia="Calibri"/>
              </w:rPr>
              <w:t>-0.961</w:t>
            </w:r>
          </w:p>
        </w:tc>
        <w:tc>
          <w:tcPr>
            <w:tcW w:w="872" w:type="dxa"/>
            <w:tcBorders>
              <w:top w:val="nil"/>
              <w:left w:val="nil"/>
              <w:bottom w:val="single" w:sz="4" w:space="0" w:color="auto"/>
              <w:right w:val="single" w:sz="4" w:space="0" w:color="auto"/>
            </w:tcBorders>
            <w:shd w:val="clear" w:color="auto" w:fill="auto"/>
            <w:vAlign w:val="center"/>
          </w:tcPr>
          <w:p w14:paraId="04233530" w14:textId="283A8FC2" w:rsidR="009E1F18" w:rsidRPr="004B5178" w:rsidRDefault="009E1F18" w:rsidP="009E1F18">
            <w:r w:rsidRPr="00803DEA">
              <w:rPr>
                <w:rFonts w:eastAsia="Calibri"/>
              </w:rPr>
              <w:t>0.383</w:t>
            </w:r>
          </w:p>
        </w:tc>
        <w:tc>
          <w:tcPr>
            <w:tcW w:w="896" w:type="dxa"/>
            <w:tcBorders>
              <w:top w:val="nil"/>
              <w:left w:val="nil"/>
              <w:bottom w:val="single" w:sz="4" w:space="0" w:color="auto"/>
              <w:right w:val="single" w:sz="4" w:space="0" w:color="auto"/>
            </w:tcBorders>
            <w:shd w:val="clear" w:color="auto" w:fill="auto"/>
            <w:vAlign w:val="center"/>
          </w:tcPr>
          <w:p w14:paraId="55BC16B4" w14:textId="69A9D20D" w:rsidR="009E1F18" w:rsidRPr="004B5178" w:rsidRDefault="009E1F18" w:rsidP="009E1F18">
            <w:r w:rsidRPr="00803DEA">
              <w:rPr>
                <w:rFonts w:eastAsia="Calibri"/>
              </w:rPr>
              <w:t>&lt;0.001</w:t>
            </w:r>
          </w:p>
        </w:tc>
        <w:tc>
          <w:tcPr>
            <w:tcW w:w="1319" w:type="dxa"/>
            <w:tcBorders>
              <w:top w:val="nil"/>
              <w:left w:val="nil"/>
              <w:bottom w:val="single" w:sz="4" w:space="0" w:color="auto"/>
              <w:right w:val="single" w:sz="4" w:space="0" w:color="auto"/>
            </w:tcBorders>
            <w:shd w:val="clear" w:color="auto" w:fill="auto"/>
            <w:vAlign w:val="center"/>
          </w:tcPr>
          <w:p w14:paraId="2BBFCDEF" w14:textId="32EC2EFD" w:rsidR="009E1F18" w:rsidRPr="004B5178" w:rsidRDefault="009E1F18" w:rsidP="009E1F18">
            <w:r w:rsidRPr="00803DEA">
              <w:rPr>
                <w:rFonts w:eastAsia="Calibri"/>
              </w:rPr>
              <w:t>0.330</w:t>
            </w:r>
          </w:p>
        </w:tc>
        <w:tc>
          <w:tcPr>
            <w:tcW w:w="1275" w:type="dxa"/>
            <w:tcBorders>
              <w:top w:val="nil"/>
              <w:left w:val="nil"/>
              <w:bottom w:val="single" w:sz="4" w:space="0" w:color="auto"/>
              <w:right w:val="single" w:sz="18" w:space="0" w:color="auto"/>
            </w:tcBorders>
            <w:shd w:val="clear" w:color="auto" w:fill="auto"/>
            <w:vAlign w:val="center"/>
          </w:tcPr>
          <w:p w14:paraId="784C1BCB" w14:textId="29D379D3" w:rsidR="009E1F18" w:rsidRPr="004B5178" w:rsidRDefault="009E1F18" w:rsidP="009E1F18">
            <w:r w:rsidRPr="00803DEA">
              <w:rPr>
                <w:rFonts w:eastAsia="Calibri"/>
              </w:rPr>
              <w:t>0.444</w:t>
            </w:r>
          </w:p>
        </w:tc>
        <w:tc>
          <w:tcPr>
            <w:tcW w:w="1843" w:type="dxa"/>
            <w:tcBorders>
              <w:top w:val="nil"/>
              <w:left w:val="single" w:sz="18" w:space="0" w:color="auto"/>
              <w:bottom w:val="single" w:sz="4" w:space="0" w:color="auto"/>
              <w:right w:val="single" w:sz="4" w:space="0" w:color="auto"/>
            </w:tcBorders>
            <w:shd w:val="clear" w:color="auto" w:fill="auto"/>
            <w:vAlign w:val="center"/>
          </w:tcPr>
          <w:p w14:paraId="1AD33003" w14:textId="59D577E0" w:rsidR="009E1F18" w:rsidRPr="004B5178" w:rsidRDefault="009E1F18" w:rsidP="009E1F18">
            <w:r w:rsidRPr="00803DEA">
              <w:rPr>
                <w:rFonts w:eastAsia="Calibri"/>
              </w:rPr>
              <w:t>Age 55 - 64</w:t>
            </w:r>
          </w:p>
        </w:tc>
        <w:tc>
          <w:tcPr>
            <w:tcW w:w="1684" w:type="dxa"/>
            <w:tcBorders>
              <w:top w:val="nil"/>
              <w:left w:val="nil"/>
              <w:bottom w:val="single" w:sz="4" w:space="0" w:color="auto"/>
              <w:right w:val="single" w:sz="4" w:space="0" w:color="auto"/>
            </w:tcBorders>
            <w:shd w:val="clear" w:color="auto" w:fill="auto"/>
            <w:vAlign w:val="center"/>
          </w:tcPr>
          <w:p w14:paraId="32E5A0E8" w14:textId="6D64B45F" w:rsidR="009E1F18" w:rsidRPr="004B5178" w:rsidRDefault="009E1F18" w:rsidP="009E1F18">
            <w:r w:rsidRPr="00803DEA">
              <w:rPr>
                <w:rFonts w:eastAsia="Calibri"/>
              </w:rPr>
              <w:t>-1.005</w:t>
            </w:r>
          </w:p>
        </w:tc>
        <w:tc>
          <w:tcPr>
            <w:tcW w:w="874" w:type="dxa"/>
            <w:tcBorders>
              <w:top w:val="nil"/>
              <w:left w:val="nil"/>
              <w:bottom w:val="single" w:sz="4" w:space="0" w:color="auto"/>
              <w:right w:val="single" w:sz="4" w:space="0" w:color="auto"/>
            </w:tcBorders>
            <w:shd w:val="clear" w:color="auto" w:fill="auto"/>
            <w:vAlign w:val="center"/>
          </w:tcPr>
          <w:p w14:paraId="2E5AB881" w14:textId="4B68A536" w:rsidR="009E1F18" w:rsidRPr="004B5178" w:rsidRDefault="009E1F18" w:rsidP="009E1F18">
            <w:r w:rsidRPr="00803DEA">
              <w:rPr>
                <w:rFonts w:eastAsia="Calibri"/>
              </w:rPr>
              <w:t>0.366</w:t>
            </w:r>
          </w:p>
        </w:tc>
        <w:tc>
          <w:tcPr>
            <w:tcW w:w="986" w:type="dxa"/>
            <w:tcBorders>
              <w:top w:val="nil"/>
              <w:left w:val="nil"/>
              <w:bottom w:val="single" w:sz="4" w:space="0" w:color="auto"/>
              <w:right w:val="single" w:sz="4" w:space="0" w:color="auto"/>
            </w:tcBorders>
            <w:shd w:val="clear" w:color="auto" w:fill="auto"/>
            <w:vAlign w:val="center"/>
          </w:tcPr>
          <w:p w14:paraId="6964E6A1" w14:textId="0896D679" w:rsidR="009E1F18" w:rsidRPr="004B5178" w:rsidRDefault="009E1F18" w:rsidP="009E1F18">
            <w:r w:rsidRPr="00803DEA">
              <w:rPr>
                <w:rFonts w:eastAsia="Calibri"/>
              </w:rPr>
              <w:t>&lt;0.001</w:t>
            </w:r>
          </w:p>
        </w:tc>
        <w:tc>
          <w:tcPr>
            <w:tcW w:w="1264" w:type="dxa"/>
            <w:tcBorders>
              <w:top w:val="nil"/>
              <w:left w:val="nil"/>
              <w:bottom w:val="single" w:sz="4" w:space="0" w:color="auto"/>
              <w:right w:val="single" w:sz="4" w:space="0" w:color="auto"/>
            </w:tcBorders>
            <w:shd w:val="clear" w:color="auto" w:fill="auto"/>
            <w:vAlign w:val="center"/>
          </w:tcPr>
          <w:p w14:paraId="5EF0B06A" w14:textId="1DAE88DF" w:rsidR="009E1F18" w:rsidRPr="004B5178" w:rsidRDefault="009E1F18" w:rsidP="009E1F18">
            <w:r w:rsidRPr="00803DEA">
              <w:rPr>
                <w:rFonts w:eastAsia="Calibri"/>
              </w:rPr>
              <w:t>0.315</w:t>
            </w:r>
          </w:p>
        </w:tc>
        <w:tc>
          <w:tcPr>
            <w:tcW w:w="1318" w:type="dxa"/>
            <w:tcBorders>
              <w:top w:val="nil"/>
              <w:left w:val="nil"/>
              <w:bottom w:val="single" w:sz="4" w:space="0" w:color="auto"/>
              <w:right w:val="single" w:sz="4" w:space="0" w:color="auto"/>
            </w:tcBorders>
            <w:shd w:val="clear" w:color="auto" w:fill="auto"/>
            <w:vAlign w:val="center"/>
          </w:tcPr>
          <w:p w14:paraId="52ACAAFF" w14:textId="4BC58D3B" w:rsidR="009E1F18" w:rsidRPr="004B5178" w:rsidRDefault="009E1F18" w:rsidP="009E1F18">
            <w:r w:rsidRPr="00803DEA">
              <w:rPr>
                <w:rFonts w:eastAsia="Calibri"/>
              </w:rPr>
              <w:t>0.426</w:t>
            </w:r>
          </w:p>
        </w:tc>
      </w:tr>
      <w:tr w:rsidR="009E1F18" w14:paraId="5D56B65A"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4D1921B8" w14:textId="30F56C4B" w:rsidR="009E1F18" w:rsidRPr="004B5178" w:rsidRDefault="009E1F18" w:rsidP="009E1F18">
            <w:r w:rsidRPr="00803DEA">
              <w:rPr>
                <w:rFonts w:eastAsia="Calibri"/>
              </w:rPr>
              <w:t>Age 65 - 75</w:t>
            </w:r>
          </w:p>
        </w:tc>
        <w:tc>
          <w:tcPr>
            <w:tcW w:w="1439" w:type="dxa"/>
            <w:tcBorders>
              <w:top w:val="nil"/>
              <w:left w:val="nil"/>
              <w:bottom w:val="single" w:sz="4" w:space="0" w:color="auto"/>
              <w:right w:val="single" w:sz="4" w:space="0" w:color="auto"/>
            </w:tcBorders>
            <w:shd w:val="clear" w:color="auto" w:fill="auto"/>
            <w:vAlign w:val="center"/>
          </w:tcPr>
          <w:p w14:paraId="582F7DB0" w14:textId="52484E84" w:rsidR="009E1F18" w:rsidRPr="004B5178" w:rsidRDefault="009E1F18" w:rsidP="009E1F18">
            <w:r w:rsidRPr="00803DEA">
              <w:rPr>
                <w:rFonts w:eastAsia="Calibri"/>
              </w:rPr>
              <w:t>-1.671</w:t>
            </w:r>
          </w:p>
        </w:tc>
        <w:tc>
          <w:tcPr>
            <w:tcW w:w="872" w:type="dxa"/>
            <w:tcBorders>
              <w:top w:val="nil"/>
              <w:left w:val="nil"/>
              <w:bottom w:val="single" w:sz="4" w:space="0" w:color="auto"/>
              <w:right w:val="single" w:sz="4" w:space="0" w:color="auto"/>
            </w:tcBorders>
            <w:shd w:val="clear" w:color="auto" w:fill="auto"/>
            <w:vAlign w:val="center"/>
          </w:tcPr>
          <w:p w14:paraId="30F5ADB8" w14:textId="3AF8EC8E" w:rsidR="009E1F18" w:rsidRPr="004B5178" w:rsidRDefault="009E1F18" w:rsidP="009E1F18">
            <w:r w:rsidRPr="00803DEA">
              <w:rPr>
                <w:rFonts w:eastAsia="Calibri"/>
              </w:rPr>
              <w:t>0.188</w:t>
            </w:r>
          </w:p>
        </w:tc>
        <w:tc>
          <w:tcPr>
            <w:tcW w:w="896" w:type="dxa"/>
            <w:tcBorders>
              <w:top w:val="nil"/>
              <w:left w:val="nil"/>
              <w:bottom w:val="single" w:sz="4" w:space="0" w:color="auto"/>
              <w:right w:val="single" w:sz="4" w:space="0" w:color="auto"/>
            </w:tcBorders>
            <w:shd w:val="clear" w:color="auto" w:fill="auto"/>
            <w:vAlign w:val="center"/>
          </w:tcPr>
          <w:p w14:paraId="5C162B15" w14:textId="7A97CBD0" w:rsidR="009E1F18" w:rsidRPr="004B5178" w:rsidRDefault="009E1F18" w:rsidP="009E1F18">
            <w:r w:rsidRPr="00803DEA">
              <w:rPr>
                <w:rFonts w:eastAsia="Calibri"/>
              </w:rPr>
              <w:t>&lt;0.001</w:t>
            </w:r>
          </w:p>
        </w:tc>
        <w:tc>
          <w:tcPr>
            <w:tcW w:w="1319" w:type="dxa"/>
            <w:tcBorders>
              <w:top w:val="nil"/>
              <w:left w:val="nil"/>
              <w:bottom w:val="single" w:sz="4" w:space="0" w:color="auto"/>
              <w:right w:val="single" w:sz="4" w:space="0" w:color="auto"/>
            </w:tcBorders>
            <w:shd w:val="clear" w:color="auto" w:fill="auto"/>
            <w:vAlign w:val="center"/>
          </w:tcPr>
          <w:p w14:paraId="597FAA28" w14:textId="2C72EEAA" w:rsidR="009E1F18" w:rsidRPr="004B5178" w:rsidRDefault="009E1F18" w:rsidP="009E1F18">
            <w:r w:rsidRPr="00803DEA">
              <w:rPr>
                <w:rFonts w:eastAsia="Calibri"/>
              </w:rPr>
              <w:t>0.162</w:t>
            </w:r>
          </w:p>
        </w:tc>
        <w:tc>
          <w:tcPr>
            <w:tcW w:w="1275" w:type="dxa"/>
            <w:tcBorders>
              <w:top w:val="nil"/>
              <w:left w:val="nil"/>
              <w:bottom w:val="single" w:sz="4" w:space="0" w:color="auto"/>
              <w:right w:val="single" w:sz="18" w:space="0" w:color="auto"/>
            </w:tcBorders>
            <w:shd w:val="clear" w:color="auto" w:fill="auto"/>
            <w:vAlign w:val="center"/>
          </w:tcPr>
          <w:p w14:paraId="11AF9F18" w14:textId="503AAC39" w:rsidR="009E1F18" w:rsidRPr="004B5178" w:rsidRDefault="009E1F18" w:rsidP="009E1F18">
            <w:r w:rsidRPr="00803DEA">
              <w:rPr>
                <w:rFonts w:eastAsia="Calibri"/>
              </w:rPr>
              <w:t>0.218</w:t>
            </w:r>
          </w:p>
        </w:tc>
        <w:tc>
          <w:tcPr>
            <w:tcW w:w="1843" w:type="dxa"/>
            <w:tcBorders>
              <w:top w:val="nil"/>
              <w:left w:val="single" w:sz="18" w:space="0" w:color="auto"/>
              <w:bottom w:val="single" w:sz="4" w:space="0" w:color="auto"/>
              <w:right w:val="single" w:sz="4" w:space="0" w:color="auto"/>
            </w:tcBorders>
            <w:shd w:val="clear" w:color="auto" w:fill="auto"/>
            <w:vAlign w:val="center"/>
          </w:tcPr>
          <w:p w14:paraId="1977180A" w14:textId="74C7EF71" w:rsidR="009E1F18" w:rsidRPr="004B5178" w:rsidRDefault="009E1F18" w:rsidP="009E1F18">
            <w:r w:rsidRPr="00803DEA">
              <w:rPr>
                <w:rFonts w:eastAsia="Calibri"/>
              </w:rPr>
              <w:t>Age 65 - 75</w:t>
            </w:r>
          </w:p>
        </w:tc>
        <w:tc>
          <w:tcPr>
            <w:tcW w:w="1684" w:type="dxa"/>
            <w:tcBorders>
              <w:top w:val="nil"/>
              <w:left w:val="nil"/>
              <w:bottom w:val="single" w:sz="4" w:space="0" w:color="auto"/>
              <w:right w:val="single" w:sz="4" w:space="0" w:color="auto"/>
            </w:tcBorders>
            <w:shd w:val="clear" w:color="auto" w:fill="auto"/>
            <w:vAlign w:val="center"/>
          </w:tcPr>
          <w:p w14:paraId="08E1F394" w14:textId="3539A82E" w:rsidR="009E1F18" w:rsidRPr="004B5178" w:rsidRDefault="009E1F18" w:rsidP="009E1F18">
            <w:r w:rsidRPr="00803DEA">
              <w:rPr>
                <w:rFonts w:eastAsia="Calibri"/>
              </w:rPr>
              <w:t>-1.732</w:t>
            </w:r>
          </w:p>
        </w:tc>
        <w:tc>
          <w:tcPr>
            <w:tcW w:w="874" w:type="dxa"/>
            <w:tcBorders>
              <w:top w:val="nil"/>
              <w:left w:val="nil"/>
              <w:bottom w:val="single" w:sz="4" w:space="0" w:color="auto"/>
              <w:right w:val="single" w:sz="4" w:space="0" w:color="auto"/>
            </w:tcBorders>
            <w:shd w:val="clear" w:color="auto" w:fill="auto"/>
            <w:vAlign w:val="center"/>
          </w:tcPr>
          <w:p w14:paraId="5F4A343A" w14:textId="7FF5B65D" w:rsidR="009E1F18" w:rsidRPr="004B5178" w:rsidRDefault="009E1F18" w:rsidP="009E1F18">
            <w:r w:rsidRPr="00803DEA">
              <w:rPr>
                <w:rFonts w:eastAsia="Calibri"/>
              </w:rPr>
              <w:t>0.177</w:t>
            </w:r>
          </w:p>
        </w:tc>
        <w:tc>
          <w:tcPr>
            <w:tcW w:w="986" w:type="dxa"/>
            <w:tcBorders>
              <w:top w:val="nil"/>
              <w:left w:val="nil"/>
              <w:bottom w:val="single" w:sz="4" w:space="0" w:color="auto"/>
              <w:right w:val="single" w:sz="4" w:space="0" w:color="auto"/>
            </w:tcBorders>
            <w:shd w:val="clear" w:color="auto" w:fill="auto"/>
            <w:vAlign w:val="center"/>
          </w:tcPr>
          <w:p w14:paraId="3CC28F81" w14:textId="1061FCD5" w:rsidR="009E1F18" w:rsidRPr="004B5178" w:rsidRDefault="009E1F18" w:rsidP="009E1F18">
            <w:r w:rsidRPr="00803DEA">
              <w:rPr>
                <w:rFonts w:eastAsia="Calibri"/>
              </w:rPr>
              <w:t>&lt;0.001</w:t>
            </w:r>
          </w:p>
        </w:tc>
        <w:tc>
          <w:tcPr>
            <w:tcW w:w="1264" w:type="dxa"/>
            <w:tcBorders>
              <w:top w:val="nil"/>
              <w:left w:val="nil"/>
              <w:bottom w:val="single" w:sz="4" w:space="0" w:color="auto"/>
              <w:right w:val="single" w:sz="4" w:space="0" w:color="auto"/>
            </w:tcBorders>
            <w:shd w:val="clear" w:color="auto" w:fill="auto"/>
            <w:vAlign w:val="center"/>
          </w:tcPr>
          <w:p w14:paraId="0F081A10" w14:textId="1A2D325A" w:rsidR="009E1F18" w:rsidRPr="004B5178" w:rsidRDefault="009E1F18" w:rsidP="009E1F18">
            <w:r w:rsidRPr="00803DEA">
              <w:rPr>
                <w:rFonts w:eastAsia="Calibri"/>
              </w:rPr>
              <w:t>0.152</w:t>
            </w:r>
          </w:p>
        </w:tc>
        <w:tc>
          <w:tcPr>
            <w:tcW w:w="1318" w:type="dxa"/>
            <w:tcBorders>
              <w:top w:val="nil"/>
              <w:left w:val="nil"/>
              <w:bottom w:val="single" w:sz="4" w:space="0" w:color="auto"/>
              <w:right w:val="single" w:sz="4" w:space="0" w:color="auto"/>
            </w:tcBorders>
            <w:shd w:val="clear" w:color="auto" w:fill="auto"/>
            <w:vAlign w:val="center"/>
          </w:tcPr>
          <w:p w14:paraId="44DC9541" w14:textId="52F1584C" w:rsidR="009E1F18" w:rsidRPr="004B5178" w:rsidRDefault="009E1F18" w:rsidP="009E1F18">
            <w:r w:rsidRPr="00803DEA">
              <w:rPr>
                <w:rFonts w:eastAsia="Calibri"/>
              </w:rPr>
              <w:t>0.205</w:t>
            </w:r>
          </w:p>
        </w:tc>
      </w:tr>
      <w:tr w:rsidR="009E1F18" w14:paraId="656CA9AD"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629E8F6F" w14:textId="75EDF6F2" w:rsidR="009E1F18" w:rsidRPr="004B5178" w:rsidRDefault="009E1F18" w:rsidP="009E1F18">
            <w:r w:rsidRPr="00803DEA">
              <w:rPr>
                <w:rFonts w:eastAsia="Calibri"/>
              </w:rPr>
              <w:t>Age &gt; 75</w:t>
            </w:r>
          </w:p>
        </w:tc>
        <w:tc>
          <w:tcPr>
            <w:tcW w:w="1439" w:type="dxa"/>
            <w:tcBorders>
              <w:top w:val="nil"/>
              <w:left w:val="nil"/>
              <w:bottom w:val="single" w:sz="4" w:space="0" w:color="auto"/>
              <w:right w:val="single" w:sz="4" w:space="0" w:color="auto"/>
            </w:tcBorders>
            <w:shd w:val="clear" w:color="auto" w:fill="auto"/>
            <w:vAlign w:val="center"/>
          </w:tcPr>
          <w:p w14:paraId="77F16F03" w14:textId="4527A5DD" w:rsidR="009E1F18" w:rsidRPr="004B5178" w:rsidRDefault="009E1F18" w:rsidP="009E1F18">
            <w:r w:rsidRPr="00803DEA">
              <w:rPr>
                <w:rFonts w:eastAsia="Calibri"/>
              </w:rPr>
              <w:t>-2.872</w:t>
            </w:r>
          </w:p>
        </w:tc>
        <w:tc>
          <w:tcPr>
            <w:tcW w:w="872" w:type="dxa"/>
            <w:tcBorders>
              <w:top w:val="nil"/>
              <w:left w:val="nil"/>
              <w:bottom w:val="single" w:sz="4" w:space="0" w:color="auto"/>
              <w:right w:val="single" w:sz="4" w:space="0" w:color="auto"/>
            </w:tcBorders>
            <w:shd w:val="clear" w:color="auto" w:fill="auto"/>
            <w:vAlign w:val="center"/>
          </w:tcPr>
          <w:p w14:paraId="043CB031" w14:textId="1D12E42E" w:rsidR="009E1F18" w:rsidRPr="004B5178" w:rsidRDefault="009E1F18" w:rsidP="009E1F18">
            <w:r w:rsidRPr="00803DEA">
              <w:rPr>
                <w:rFonts w:eastAsia="Calibri"/>
              </w:rPr>
              <w:t>0.057</w:t>
            </w:r>
          </w:p>
        </w:tc>
        <w:tc>
          <w:tcPr>
            <w:tcW w:w="896" w:type="dxa"/>
            <w:tcBorders>
              <w:top w:val="nil"/>
              <w:left w:val="nil"/>
              <w:bottom w:val="single" w:sz="4" w:space="0" w:color="auto"/>
              <w:right w:val="single" w:sz="4" w:space="0" w:color="auto"/>
            </w:tcBorders>
            <w:shd w:val="clear" w:color="auto" w:fill="auto"/>
            <w:vAlign w:val="center"/>
          </w:tcPr>
          <w:p w14:paraId="27400312" w14:textId="78C88AD4" w:rsidR="009E1F18" w:rsidRPr="004B5178" w:rsidRDefault="009E1F18" w:rsidP="009E1F18">
            <w:r w:rsidRPr="00803DEA">
              <w:rPr>
                <w:rFonts w:eastAsia="Calibri"/>
              </w:rPr>
              <w:t>&lt;0.001</w:t>
            </w:r>
          </w:p>
        </w:tc>
        <w:tc>
          <w:tcPr>
            <w:tcW w:w="1319" w:type="dxa"/>
            <w:tcBorders>
              <w:top w:val="nil"/>
              <w:left w:val="nil"/>
              <w:bottom w:val="single" w:sz="4" w:space="0" w:color="auto"/>
              <w:right w:val="single" w:sz="4" w:space="0" w:color="auto"/>
            </w:tcBorders>
            <w:shd w:val="clear" w:color="auto" w:fill="auto"/>
            <w:vAlign w:val="center"/>
          </w:tcPr>
          <w:p w14:paraId="5DC29703" w14:textId="4082EA37" w:rsidR="009E1F18" w:rsidRPr="004B5178" w:rsidRDefault="009E1F18" w:rsidP="009E1F18">
            <w:r w:rsidRPr="00803DEA">
              <w:rPr>
                <w:rFonts w:eastAsia="Calibri"/>
              </w:rPr>
              <w:t>0.050</w:t>
            </w:r>
          </w:p>
        </w:tc>
        <w:tc>
          <w:tcPr>
            <w:tcW w:w="1275" w:type="dxa"/>
            <w:tcBorders>
              <w:top w:val="nil"/>
              <w:left w:val="nil"/>
              <w:bottom w:val="single" w:sz="4" w:space="0" w:color="auto"/>
              <w:right w:val="single" w:sz="18" w:space="0" w:color="auto"/>
            </w:tcBorders>
            <w:shd w:val="clear" w:color="auto" w:fill="auto"/>
            <w:vAlign w:val="center"/>
          </w:tcPr>
          <w:p w14:paraId="0D284741" w14:textId="79601BEA" w:rsidR="009E1F18" w:rsidRPr="004B5178" w:rsidRDefault="009E1F18" w:rsidP="009E1F18">
            <w:r w:rsidRPr="00803DEA">
              <w:rPr>
                <w:rFonts w:eastAsia="Calibri"/>
              </w:rPr>
              <w:t>0.064</w:t>
            </w:r>
          </w:p>
        </w:tc>
        <w:tc>
          <w:tcPr>
            <w:tcW w:w="1843" w:type="dxa"/>
            <w:tcBorders>
              <w:top w:val="nil"/>
              <w:left w:val="single" w:sz="18" w:space="0" w:color="auto"/>
              <w:bottom w:val="single" w:sz="4" w:space="0" w:color="auto"/>
              <w:right w:val="single" w:sz="4" w:space="0" w:color="auto"/>
            </w:tcBorders>
            <w:shd w:val="clear" w:color="auto" w:fill="auto"/>
            <w:vAlign w:val="center"/>
          </w:tcPr>
          <w:p w14:paraId="5D423113" w14:textId="0FD53EE5" w:rsidR="009E1F18" w:rsidRPr="004B5178" w:rsidRDefault="009E1F18" w:rsidP="009E1F18">
            <w:r w:rsidRPr="00803DEA">
              <w:rPr>
                <w:rFonts w:eastAsia="Calibri"/>
              </w:rPr>
              <w:t>Age &gt; 75</w:t>
            </w:r>
          </w:p>
        </w:tc>
        <w:tc>
          <w:tcPr>
            <w:tcW w:w="1684" w:type="dxa"/>
            <w:tcBorders>
              <w:top w:val="nil"/>
              <w:left w:val="nil"/>
              <w:bottom w:val="single" w:sz="4" w:space="0" w:color="auto"/>
              <w:right w:val="single" w:sz="4" w:space="0" w:color="auto"/>
            </w:tcBorders>
            <w:shd w:val="clear" w:color="auto" w:fill="auto"/>
            <w:vAlign w:val="center"/>
          </w:tcPr>
          <w:p w14:paraId="4F61830A" w14:textId="02DA7E28" w:rsidR="009E1F18" w:rsidRPr="004B5178" w:rsidRDefault="009E1F18" w:rsidP="009E1F18">
            <w:r w:rsidRPr="00803DEA">
              <w:rPr>
                <w:rFonts w:eastAsia="Calibri"/>
              </w:rPr>
              <w:t>-2.964</w:t>
            </w:r>
          </w:p>
        </w:tc>
        <w:tc>
          <w:tcPr>
            <w:tcW w:w="874" w:type="dxa"/>
            <w:tcBorders>
              <w:top w:val="nil"/>
              <w:left w:val="nil"/>
              <w:bottom w:val="single" w:sz="4" w:space="0" w:color="auto"/>
              <w:right w:val="single" w:sz="4" w:space="0" w:color="auto"/>
            </w:tcBorders>
            <w:shd w:val="clear" w:color="auto" w:fill="auto"/>
            <w:vAlign w:val="center"/>
          </w:tcPr>
          <w:p w14:paraId="6AECE801" w14:textId="13268965" w:rsidR="009E1F18" w:rsidRPr="004B5178" w:rsidRDefault="009E1F18" w:rsidP="009E1F18">
            <w:r w:rsidRPr="00803DEA">
              <w:rPr>
                <w:rFonts w:eastAsia="Calibri"/>
              </w:rPr>
              <w:t>0.052</w:t>
            </w:r>
          </w:p>
        </w:tc>
        <w:tc>
          <w:tcPr>
            <w:tcW w:w="986" w:type="dxa"/>
            <w:tcBorders>
              <w:top w:val="nil"/>
              <w:left w:val="nil"/>
              <w:bottom w:val="single" w:sz="4" w:space="0" w:color="auto"/>
              <w:right w:val="single" w:sz="4" w:space="0" w:color="auto"/>
            </w:tcBorders>
            <w:shd w:val="clear" w:color="auto" w:fill="auto"/>
            <w:vAlign w:val="center"/>
          </w:tcPr>
          <w:p w14:paraId="1D8D523F" w14:textId="48719866" w:rsidR="009E1F18" w:rsidRPr="004B5178" w:rsidRDefault="009E1F18" w:rsidP="009E1F18">
            <w:r w:rsidRPr="00803DEA">
              <w:rPr>
                <w:rFonts w:eastAsia="Calibri"/>
              </w:rPr>
              <w:t>&lt;0.001</w:t>
            </w:r>
          </w:p>
        </w:tc>
        <w:tc>
          <w:tcPr>
            <w:tcW w:w="1264" w:type="dxa"/>
            <w:tcBorders>
              <w:top w:val="nil"/>
              <w:left w:val="nil"/>
              <w:bottom w:val="single" w:sz="4" w:space="0" w:color="auto"/>
              <w:right w:val="single" w:sz="4" w:space="0" w:color="auto"/>
            </w:tcBorders>
            <w:shd w:val="clear" w:color="auto" w:fill="auto"/>
            <w:vAlign w:val="center"/>
          </w:tcPr>
          <w:p w14:paraId="5198F34F" w14:textId="48F04E15" w:rsidR="009E1F18" w:rsidRPr="004B5178" w:rsidRDefault="009E1F18" w:rsidP="009E1F18">
            <w:r w:rsidRPr="00803DEA">
              <w:rPr>
                <w:rFonts w:eastAsia="Calibri"/>
              </w:rPr>
              <w:t>0.046</w:t>
            </w:r>
          </w:p>
        </w:tc>
        <w:tc>
          <w:tcPr>
            <w:tcW w:w="1318" w:type="dxa"/>
            <w:tcBorders>
              <w:top w:val="nil"/>
              <w:left w:val="nil"/>
              <w:bottom w:val="single" w:sz="4" w:space="0" w:color="auto"/>
              <w:right w:val="single" w:sz="4" w:space="0" w:color="auto"/>
            </w:tcBorders>
            <w:shd w:val="clear" w:color="auto" w:fill="auto"/>
            <w:vAlign w:val="center"/>
          </w:tcPr>
          <w:p w14:paraId="73BAEEEB" w14:textId="45F04AFA" w:rsidR="009E1F18" w:rsidRPr="004B5178" w:rsidRDefault="009E1F18" w:rsidP="009E1F18">
            <w:r w:rsidRPr="00803DEA">
              <w:rPr>
                <w:rFonts w:eastAsia="Calibri"/>
              </w:rPr>
              <w:t>0.059</w:t>
            </w:r>
          </w:p>
        </w:tc>
      </w:tr>
      <w:tr w:rsidR="009E1F18" w14:paraId="42C4FD9F" w14:textId="77777777" w:rsidTr="007E2565">
        <w:tc>
          <w:tcPr>
            <w:tcW w:w="1824" w:type="dxa"/>
            <w:tcBorders>
              <w:top w:val="nil"/>
              <w:left w:val="single" w:sz="4" w:space="0" w:color="auto"/>
              <w:bottom w:val="single" w:sz="4" w:space="0" w:color="auto"/>
              <w:right w:val="single" w:sz="4" w:space="0" w:color="auto"/>
            </w:tcBorders>
            <w:shd w:val="clear" w:color="auto" w:fill="F2F2F2"/>
            <w:vAlign w:val="center"/>
          </w:tcPr>
          <w:p w14:paraId="14B638E1" w14:textId="771BDB56" w:rsidR="009E1F18" w:rsidRPr="004B5178" w:rsidRDefault="009E1F18" w:rsidP="009E1F18">
            <w:r w:rsidRPr="00803DEA">
              <w:rPr>
                <w:rFonts w:eastAsia="Calibri"/>
              </w:rPr>
              <w:t>Gender Male (reference)</w:t>
            </w:r>
          </w:p>
        </w:tc>
        <w:tc>
          <w:tcPr>
            <w:tcW w:w="1439" w:type="dxa"/>
            <w:tcBorders>
              <w:top w:val="nil"/>
              <w:left w:val="nil"/>
              <w:bottom w:val="single" w:sz="4" w:space="0" w:color="auto"/>
              <w:right w:val="single" w:sz="4" w:space="0" w:color="auto"/>
            </w:tcBorders>
            <w:shd w:val="clear" w:color="auto" w:fill="F2F2F2"/>
            <w:vAlign w:val="center"/>
          </w:tcPr>
          <w:p w14:paraId="2DB0B9D9" w14:textId="02BA71D9" w:rsidR="009E1F18" w:rsidRPr="004B5178" w:rsidRDefault="009E1F18" w:rsidP="009E1F18">
            <w:r w:rsidRPr="00803DEA">
              <w:rPr>
                <w:rFonts w:eastAsia="Calibri"/>
              </w:rPr>
              <w:t>0.000</w:t>
            </w:r>
          </w:p>
        </w:tc>
        <w:tc>
          <w:tcPr>
            <w:tcW w:w="872" w:type="dxa"/>
            <w:tcBorders>
              <w:top w:val="nil"/>
              <w:left w:val="nil"/>
              <w:bottom w:val="single" w:sz="4" w:space="0" w:color="auto"/>
              <w:right w:val="single" w:sz="4" w:space="0" w:color="auto"/>
            </w:tcBorders>
            <w:shd w:val="clear" w:color="auto" w:fill="F2F2F2"/>
            <w:vAlign w:val="center"/>
          </w:tcPr>
          <w:p w14:paraId="6FD696D1" w14:textId="45AE5232" w:rsidR="009E1F18" w:rsidRPr="004B5178" w:rsidRDefault="009E1F18" w:rsidP="009E1F18">
            <w:r w:rsidRPr="00803DEA">
              <w:rPr>
                <w:rFonts w:eastAsia="Calibri"/>
              </w:rPr>
              <w:t>1.000</w:t>
            </w:r>
          </w:p>
        </w:tc>
        <w:tc>
          <w:tcPr>
            <w:tcW w:w="896" w:type="dxa"/>
            <w:tcBorders>
              <w:top w:val="nil"/>
              <w:left w:val="nil"/>
              <w:bottom w:val="single" w:sz="4" w:space="0" w:color="auto"/>
              <w:right w:val="single" w:sz="4" w:space="0" w:color="auto"/>
            </w:tcBorders>
            <w:shd w:val="clear" w:color="auto" w:fill="F2F2F2"/>
            <w:vAlign w:val="center"/>
          </w:tcPr>
          <w:p w14:paraId="1664B9BA" w14:textId="77777777" w:rsidR="009E1F18" w:rsidRPr="004B5178" w:rsidRDefault="009E1F18" w:rsidP="009E1F18"/>
        </w:tc>
        <w:tc>
          <w:tcPr>
            <w:tcW w:w="1319" w:type="dxa"/>
            <w:tcBorders>
              <w:top w:val="nil"/>
              <w:left w:val="nil"/>
              <w:bottom w:val="single" w:sz="4" w:space="0" w:color="auto"/>
              <w:right w:val="single" w:sz="4" w:space="0" w:color="auto"/>
            </w:tcBorders>
            <w:shd w:val="clear" w:color="auto" w:fill="F2F2F2"/>
            <w:vAlign w:val="center"/>
          </w:tcPr>
          <w:p w14:paraId="3135DA54" w14:textId="77777777" w:rsidR="009E1F18" w:rsidRPr="004B5178" w:rsidRDefault="009E1F18" w:rsidP="009E1F18"/>
        </w:tc>
        <w:tc>
          <w:tcPr>
            <w:tcW w:w="1275" w:type="dxa"/>
            <w:tcBorders>
              <w:top w:val="nil"/>
              <w:left w:val="nil"/>
              <w:bottom w:val="single" w:sz="4" w:space="0" w:color="auto"/>
              <w:right w:val="single" w:sz="18" w:space="0" w:color="auto"/>
            </w:tcBorders>
            <w:shd w:val="clear" w:color="auto" w:fill="F2F2F2"/>
            <w:vAlign w:val="center"/>
          </w:tcPr>
          <w:p w14:paraId="7A05A679" w14:textId="77777777" w:rsidR="009E1F18" w:rsidRPr="004B5178" w:rsidRDefault="009E1F18" w:rsidP="009E1F18"/>
        </w:tc>
        <w:tc>
          <w:tcPr>
            <w:tcW w:w="1843" w:type="dxa"/>
            <w:tcBorders>
              <w:top w:val="nil"/>
              <w:left w:val="single" w:sz="18" w:space="0" w:color="auto"/>
              <w:bottom w:val="single" w:sz="4" w:space="0" w:color="auto"/>
              <w:right w:val="single" w:sz="4" w:space="0" w:color="auto"/>
            </w:tcBorders>
            <w:shd w:val="clear" w:color="auto" w:fill="F2F2F2"/>
            <w:vAlign w:val="center"/>
          </w:tcPr>
          <w:p w14:paraId="45D0679E" w14:textId="2E79405F" w:rsidR="009E1F18" w:rsidRPr="004B5178" w:rsidRDefault="009E1F18" w:rsidP="009E1F18">
            <w:r w:rsidRPr="00803DEA">
              <w:rPr>
                <w:rFonts w:eastAsia="Calibri"/>
              </w:rPr>
              <w:t>Gender Male (reference)</w:t>
            </w:r>
          </w:p>
        </w:tc>
        <w:tc>
          <w:tcPr>
            <w:tcW w:w="1684" w:type="dxa"/>
            <w:tcBorders>
              <w:top w:val="nil"/>
              <w:left w:val="nil"/>
              <w:bottom w:val="single" w:sz="4" w:space="0" w:color="auto"/>
              <w:right w:val="single" w:sz="4" w:space="0" w:color="auto"/>
            </w:tcBorders>
            <w:shd w:val="clear" w:color="auto" w:fill="F2F2F2"/>
            <w:vAlign w:val="center"/>
          </w:tcPr>
          <w:p w14:paraId="6723F562" w14:textId="7CA75765" w:rsidR="009E1F18" w:rsidRPr="004B5178" w:rsidRDefault="009E1F18" w:rsidP="009E1F18">
            <w:r w:rsidRPr="00803DEA">
              <w:rPr>
                <w:rFonts w:eastAsia="Calibri"/>
              </w:rPr>
              <w:t>0.000</w:t>
            </w:r>
          </w:p>
        </w:tc>
        <w:tc>
          <w:tcPr>
            <w:tcW w:w="874" w:type="dxa"/>
            <w:tcBorders>
              <w:top w:val="nil"/>
              <w:left w:val="nil"/>
              <w:bottom w:val="single" w:sz="4" w:space="0" w:color="auto"/>
              <w:right w:val="single" w:sz="4" w:space="0" w:color="auto"/>
            </w:tcBorders>
            <w:shd w:val="clear" w:color="auto" w:fill="F2F2F2"/>
            <w:vAlign w:val="center"/>
          </w:tcPr>
          <w:p w14:paraId="69899A66" w14:textId="3AD0CA8F" w:rsidR="009E1F18" w:rsidRPr="004B5178" w:rsidRDefault="009E1F18" w:rsidP="009E1F18">
            <w:r w:rsidRPr="00803DEA">
              <w:rPr>
                <w:rFonts w:eastAsia="Calibri"/>
              </w:rPr>
              <w:t>1.000</w:t>
            </w:r>
          </w:p>
        </w:tc>
        <w:tc>
          <w:tcPr>
            <w:tcW w:w="986" w:type="dxa"/>
            <w:tcBorders>
              <w:top w:val="nil"/>
              <w:left w:val="nil"/>
              <w:bottom w:val="single" w:sz="4" w:space="0" w:color="auto"/>
              <w:right w:val="single" w:sz="4" w:space="0" w:color="auto"/>
            </w:tcBorders>
            <w:shd w:val="clear" w:color="auto" w:fill="F2F2F2"/>
            <w:vAlign w:val="center"/>
          </w:tcPr>
          <w:p w14:paraId="5EF5272D" w14:textId="77777777" w:rsidR="009E1F18" w:rsidRPr="004B5178" w:rsidRDefault="009E1F18" w:rsidP="009E1F18"/>
        </w:tc>
        <w:tc>
          <w:tcPr>
            <w:tcW w:w="1264" w:type="dxa"/>
            <w:tcBorders>
              <w:top w:val="nil"/>
              <w:left w:val="nil"/>
              <w:bottom w:val="single" w:sz="4" w:space="0" w:color="auto"/>
              <w:right w:val="single" w:sz="4" w:space="0" w:color="auto"/>
            </w:tcBorders>
            <w:shd w:val="clear" w:color="auto" w:fill="F2F2F2"/>
            <w:vAlign w:val="center"/>
          </w:tcPr>
          <w:p w14:paraId="7DECC74E" w14:textId="77777777" w:rsidR="009E1F18" w:rsidRPr="004B5178" w:rsidRDefault="009E1F18" w:rsidP="009E1F18"/>
        </w:tc>
        <w:tc>
          <w:tcPr>
            <w:tcW w:w="1318" w:type="dxa"/>
            <w:tcBorders>
              <w:top w:val="nil"/>
              <w:left w:val="nil"/>
              <w:bottom w:val="single" w:sz="4" w:space="0" w:color="auto"/>
              <w:right w:val="single" w:sz="4" w:space="0" w:color="auto"/>
            </w:tcBorders>
            <w:shd w:val="clear" w:color="auto" w:fill="F2F2F2"/>
            <w:vAlign w:val="center"/>
          </w:tcPr>
          <w:p w14:paraId="7FA6F2FE" w14:textId="77777777" w:rsidR="009E1F18" w:rsidRPr="004B5178" w:rsidRDefault="009E1F18" w:rsidP="009E1F18"/>
        </w:tc>
      </w:tr>
      <w:tr w:rsidR="009E1F18" w14:paraId="4F2172DC"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1A42A6A3" w14:textId="4B942321" w:rsidR="009E1F18" w:rsidRPr="004B5178" w:rsidRDefault="009E1F18" w:rsidP="009E1F18">
            <w:r w:rsidRPr="00803DEA">
              <w:rPr>
                <w:rFonts w:eastAsia="Calibri"/>
              </w:rPr>
              <w:t>Gender Female</w:t>
            </w:r>
          </w:p>
        </w:tc>
        <w:tc>
          <w:tcPr>
            <w:tcW w:w="1439" w:type="dxa"/>
            <w:tcBorders>
              <w:top w:val="nil"/>
              <w:left w:val="nil"/>
              <w:bottom w:val="single" w:sz="4" w:space="0" w:color="auto"/>
              <w:right w:val="single" w:sz="4" w:space="0" w:color="auto"/>
            </w:tcBorders>
            <w:shd w:val="clear" w:color="auto" w:fill="auto"/>
            <w:vAlign w:val="center"/>
          </w:tcPr>
          <w:p w14:paraId="09FF87F2" w14:textId="0D14871A" w:rsidR="009E1F18" w:rsidRPr="004B5178" w:rsidRDefault="009E1F18" w:rsidP="009E1F18">
            <w:r w:rsidRPr="00803DEA">
              <w:rPr>
                <w:rFonts w:eastAsia="Calibri"/>
              </w:rPr>
              <w:t>-0.098</w:t>
            </w:r>
          </w:p>
        </w:tc>
        <w:tc>
          <w:tcPr>
            <w:tcW w:w="872" w:type="dxa"/>
            <w:tcBorders>
              <w:top w:val="nil"/>
              <w:left w:val="nil"/>
              <w:bottom w:val="single" w:sz="4" w:space="0" w:color="auto"/>
              <w:right w:val="single" w:sz="4" w:space="0" w:color="auto"/>
            </w:tcBorders>
            <w:shd w:val="clear" w:color="auto" w:fill="auto"/>
            <w:vAlign w:val="center"/>
          </w:tcPr>
          <w:p w14:paraId="2B0F0264" w14:textId="678FA950" w:rsidR="009E1F18" w:rsidRPr="004B5178" w:rsidRDefault="009E1F18" w:rsidP="009E1F18">
            <w:r w:rsidRPr="00803DEA">
              <w:rPr>
                <w:rFonts w:eastAsia="Calibri"/>
              </w:rPr>
              <w:t>0.907</w:t>
            </w:r>
          </w:p>
        </w:tc>
        <w:tc>
          <w:tcPr>
            <w:tcW w:w="896" w:type="dxa"/>
            <w:tcBorders>
              <w:top w:val="nil"/>
              <w:left w:val="nil"/>
              <w:bottom w:val="single" w:sz="4" w:space="0" w:color="auto"/>
              <w:right w:val="single" w:sz="4" w:space="0" w:color="auto"/>
            </w:tcBorders>
            <w:shd w:val="clear" w:color="auto" w:fill="auto"/>
            <w:vAlign w:val="center"/>
          </w:tcPr>
          <w:p w14:paraId="79DB87FF" w14:textId="0D5F5D19" w:rsidR="009E1F18" w:rsidRPr="004B5178" w:rsidRDefault="009E1F18" w:rsidP="009E1F18">
            <w:r w:rsidRPr="00803DEA">
              <w:rPr>
                <w:rFonts w:eastAsia="Calibri"/>
              </w:rPr>
              <w:t>0.261</w:t>
            </w:r>
          </w:p>
        </w:tc>
        <w:tc>
          <w:tcPr>
            <w:tcW w:w="1319" w:type="dxa"/>
            <w:tcBorders>
              <w:top w:val="nil"/>
              <w:left w:val="nil"/>
              <w:bottom w:val="single" w:sz="4" w:space="0" w:color="auto"/>
              <w:right w:val="single" w:sz="4" w:space="0" w:color="auto"/>
            </w:tcBorders>
            <w:shd w:val="clear" w:color="auto" w:fill="auto"/>
            <w:vAlign w:val="center"/>
          </w:tcPr>
          <w:p w14:paraId="75FD4163" w14:textId="1E83454D" w:rsidR="009E1F18" w:rsidRPr="004B5178" w:rsidRDefault="009E1F18" w:rsidP="009E1F18">
            <w:r w:rsidRPr="00803DEA">
              <w:rPr>
                <w:rFonts w:eastAsia="Calibri"/>
              </w:rPr>
              <w:t>0.764</w:t>
            </w:r>
          </w:p>
        </w:tc>
        <w:tc>
          <w:tcPr>
            <w:tcW w:w="1275" w:type="dxa"/>
            <w:tcBorders>
              <w:top w:val="nil"/>
              <w:left w:val="nil"/>
              <w:bottom w:val="single" w:sz="4" w:space="0" w:color="auto"/>
              <w:right w:val="single" w:sz="18" w:space="0" w:color="auto"/>
            </w:tcBorders>
            <w:shd w:val="clear" w:color="auto" w:fill="auto"/>
            <w:vAlign w:val="center"/>
          </w:tcPr>
          <w:p w14:paraId="0FC267A2" w14:textId="2D065DCF" w:rsidR="009E1F18" w:rsidRPr="004B5178" w:rsidRDefault="009E1F18" w:rsidP="009E1F18">
            <w:r w:rsidRPr="00803DEA">
              <w:rPr>
                <w:rFonts w:eastAsia="Calibri"/>
              </w:rPr>
              <w:t>1.076</w:t>
            </w:r>
          </w:p>
        </w:tc>
        <w:tc>
          <w:tcPr>
            <w:tcW w:w="1843" w:type="dxa"/>
            <w:tcBorders>
              <w:top w:val="nil"/>
              <w:left w:val="single" w:sz="18" w:space="0" w:color="auto"/>
              <w:bottom w:val="single" w:sz="4" w:space="0" w:color="auto"/>
              <w:right w:val="single" w:sz="4" w:space="0" w:color="auto"/>
            </w:tcBorders>
            <w:shd w:val="clear" w:color="auto" w:fill="auto"/>
            <w:vAlign w:val="center"/>
          </w:tcPr>
          <w:p w14:paraId="300E5E49" w14:textId="76F79601" w:rsidR="009E1F18" w:rsidRPr="004B5178" w:rsidRDefault="009E1F18" w:rsidP="009E1F18">
            <w:r w:rsidRPr="00803DEA">
              <w:rPr>
                <w:rFonts w:eastAsia="Calibri"/>
              </w:rPr>
              <w:t>Gender Female</w:t>
            </w:r>
          </w:p>
        </w:tc>
        <w:tc>
          <w:tcPr>
            <w:tcW w:w="1684" w:type="dxa"/>
            <w:tcBorders>
              <w:top w:val="nil"/>
              <w:left w:val="nil"/>
              <w:bottom w:val="single" w:sz="4" w:space="0" w:color="auto"/>
              <w:right w:val="single" w:sz="4" w:space="0" w:color="auto"/>
            </w:tcBorders>
            <w:shd w:val="clear" w:color="auto" w:fill="auto"/>
            <w:vAlign w:val="center"/>
          </w:tcPr>
          <w:p w14:paraId="3243E558" w14:textId="13429E33" w:rsidR="009E1F18" w:rsidRPr="004B5178" w:rsidRDefault="009E1F18" w:rsidP="009E1F18">
            <w:r w:rsidRPr="00803DEA">
              <w:rPr>
                <w:rFonts w:eastAsia="Calibri"/>
              </w:rPr>
              <w:t>-0.113</w:t>
            </w:r>
          </w:p>
        </w:tc>
        <w:tc>
          <w:tcPr>
            <w:tcW w:w="874" w:type="dxa"/>
            <w:tcBorders>
              <w:top w:val="nil"/>
              <w:left w:val="nil"/>
              <w:bottom w:val="single" w:sz="4" w:space="0" w:color="auto"/>
              <w:right w:val="single" w:sz="4" w:space="0" w:color="auto"/>
            </w:tcBorders>
            <w:shd w:val="clear" w:color="auto" w:fill="auto"/>
            <w:vAlign w:val="center"/>
          </w:tcPr>
          <w:p w14:paraId="71C23E1A" w14:textId="7DBBCB7D" w:rsidR="009E1F18" w:rsidRPr="004B5178" w:rsidRDefault="009E1F18" w:rsidP="009E1F18">
            <w:r w:rsidRPr="00803DEA">
              <w:rPr>
                <w:rFonts w:eastAsia="Calibri"/>
              </w:rPr>
              <w:t>0.893</w:t>
            </w:r>
          </w:p>
        </w:tc>
        <w:tc>
          <w:tcPr>
            <w:tcW w:w="986" w:type="dxa"/>
            <w:tcBorders>
              <w:top w:val="nil"/>
              <w:left w:val="nil"/>
              <w:bottom w:val="single" w:sz="4" w:space="0" w:color="auto"/>
              <w:right w:val="single" w:sz="4" w:space="0" w:color="auto"/>
            </w:tcBorders>
            <w:shd w:val="clear" w:color="auto" w:fill="auto"/>
            <w:vAlign w:val="center"/>
          </w:tcPr>
          <w:p w14:paraId="43D5632E" w14:textId="287A66C2" w:rsidR="009E1F18" w:rsidRPr="004B5178" w:rsidRDefault="009E1F18" w:rsidP="009E1F18">
            <w:r w:rsidRPr="00803DEA">
              <w:rPr>
                <w:rFonts w:eastAsia="Calibri"/>
              </w:rPr>
              <w:t>0.197</w:t>
            </w:r>
          </w:p>
        </w:tc>
        <w:tc>
          <w:tcPr>
            <w:tcW w:w="1264" w:type="dxa"/>
            <w:tcBorders>
              <w:top w:val="nil"/>
              <w:left w:val="nil"/>
              <w:bottom w:val="single" w:sz="4" w:space="0" w:color="auto"/>
              <w:right w:val="single" w:sz="4" w:space="0" w:color="auto"/>
            </w:tcBorders>
            <w:shd w:val="clear" w:color="auto" w:fill="auto"/>
            <w:vAlign w:val="center"/>
          </w:tcPr>
          <w:p w14:paraId="6C4ABFBD" w14:textId="7AC4ED20" w:rsidR="009E1F18" w:rsidRPr="004B5178" w:rsidRDefault="009E1F18" w:rsidP="009E1F18">
            <w:r w:rsidRPr="00803DEA">
              <w:rPr>
                <w:rFonts w:eastAsia="Calibri"/>
              </w:rPr>
              <w:t>0.753</w:t>
            </w:r>
          </w:p>
        </w:tc>
        <w:tc>
          <w:tcPr>
            <w:tcW w:w="1318" w:type="dxa"/>
            <w:tcBorders>
              <w:top w:val="nil"/>
              <w:left w:val="nil"/>
              <w:bottom w:val="single" w:sz="4" w:space="0" w:color="auto"/>
              <w:right w:val="single" w:sz="4" w:space="0" w:color="auto"/>
            </w:tcBorders>
            <w:shd w:val="clear" w:color="auto" w:fill="auto"/>
            <w:vAlign w:val="center"/>
          </w:tcPr>
          <w:p w14:paraId="0AAAA24F" w14:textId="6FC9DDDB" w:rsidR="009E1F18" w:rsidRPr="004B5178" w:rsidRDefault="009E1F18" w:rsidP="009E1F18">
            <w:r w:rsidRPr="00803DEA">
              <w:rPr>
                <w:rFonts w:eastAsia="Calibri"/>
              </w:rPr>
              <w:t>1.060</w:t>
            </w:r>
          </w:p>
        </w:tc>
      </w:tr>
      <w:tr w:rsidR="009E1F18" w14:paraId="766E558F" w14:textId="77777777" w:rsidTr="007E2565">
        <w:tc>
          <w:tcPr>
            <w:tcW w:w="1824" w:type="dxa"/>
            <w:tcBorders>
              <w:top w:val="nil"/>
              <w:left w:val="single" w:sz="4" w:space="0" w:color="auto"/>
              <w:bottom w:val="single" w:sz="4" w:space="0" w:color="auto"/>
              <w:right w:val="single" w:sz="4" w:space="0" w:color="auto"/>
            </w:tcBorders>
            <w:shd w:val="clear" w:color="auto" w:fill="F2F2F2"/>
            <w:vAlign w:val="center"/>
          </w:tcPr>
          <w:p w14:paraId="51404AAC" w14:textId="6849A8EF" w:rsidR="009E1F18" w:rsidRPr="004B5178" w:rsidRDefault="009E1F18" w:rsidP="009E1F18">
            <w:r w:rsidRPr="00803DEA">
              <w:rPr>
                <w:rFonts w:eastAsia="Calibri"/>
              </w:rPr>
              <w:t>Age by Gender interaction</w:t>
            </w:r>
          </w:p>
        </w:tc>
        <w:tc>
          <w:tcPr>
            <w:tcW w:w="1439" w:type="dxa"/>
            <w:tcBorders>
              <w:top w:val="nil"/>
              <w:left w:val="nil"/>
              <w:bottom w:val="single" w:sz="4" w:space="0" w:color="auto"/>
              <w:right w:val="single" w:sz="4" w:space="0" w:color="auto"/>
            </w:tcBorders>
            <w:shd w:val="clear" w:color="auto" w:fill="F2F2F2"/>
            <w:vAlign w:val="center"/>
          </w:tcPr>
          <w:p w14:paraId="2A7D7FC7" w14:textId="04490C0E" w:rsidR="009E1F18" w:rsidRPr="004B5178" w:rsidRDefault="009E1F18" w:rsidP="009E1F18"/>
        </w:tc>
        <w:tc>
          <w:tcPr>
            <w:tcW w:w="872" w:type="dxa"/>
            <w:tcBorders>
              <w:top w:val="nil"/>
              <w:left w:val="nil"/>
              <w:bottom w:val="single" w:sz="4" w:space="0" w:color="auto"/>
              <w:right w:val="single" w:sz="4" w:space="0" w:color="auto"/>
            </w:tcBorders>
            <w:shd w:val="clear" w:color="auto" w:fill="F2F2F2"/>
            <w:vAlign w:val="center"/>
          </w:tcPr>
          <w:p w14:paraId="2B9BC039" w14:textId="30C803DD" w:rsidR="009E1F18" w:rsidRPr="004B5178" w:rsidRDefault="009E1F18" w:rsidP="009E1F18"/>
        </w:tc>
        <w:tc>
          <w:tcPr>
            <w:tcW w:w="896" w:type="dxa"/>
            <w:tcBorders>
              <w:top w:val="nil"/>
              <w:left w:val="nil"/>
              <w:bottom w:val="single" w:sz="4" w:space="0" w:color="auto"/>
              <w:right w:val="single" w:sz="4" w:space="0" w:color="auto"/>
            </w:tcBorders>
            <w:shd w:val="clear" w:color="auto" w:fill="F2F2F2"/>
            <w:vAlign w:val="center"/>
          </w:tcPr>
          <w:p w14:paraId="112A16C3" w14:textId="17D06539" w:rsidR="009E1F18" w:rsidRPr="004B5178" w:rsidRDefault="009E1F18" w:rsidP="009E1F18"/>
        </w:tc>
        <w:tc>
          <w:tcPr>
            <w:tcW w:w="1319" w:type="dxa"/>
            <w:tcBorders>
              <w:top w:val="nil"/>
              <w:left w:val="nil"/>
              <w:bottom w:val="single" w:sz="4" w:space="0" w:color="auto"/>
              <w:right w:val="single" w:sz="4" w:space="0" w:color="auto"/>
            </w:tcBorders>
            <w:shd w:val="clear" w:color="auto" w:fill="F2F2F2"/>
            <w:vAlign w:val="center"/>
          </w:tcPr>
          <w:p w14:paraId="16B7F854" w14:textId="0BCB783D" w:rsidR="009E1F18" w:rsidRPr="004B5178" w:rsidRDefault="009E1F18" w:rsidP="009E1F18"/>
        </w:tc>
        <w:tc>
          <w:tcPr>
            <w:tcW w:w="1275" w:type="dxa"/>
            <w:tcBorders>
              <w:top w:val="nil"/>
              <w:left w:val="nil"/>
              <w:bottom w:val="single" w:sz="4" w:space="0" w:color="auto"/>
              <w:right w:val="single" w:sz="18" w:space="0" w:color="auto"/>
            </w:tcBorders>
            <w:shd w:val="clear" w:color="auto" w:fill="F2F2F2"/>
            <w:vAlign w:val="center"/>
          </w:tcPr>
          <w:p w14:paraId="2ABE7EEA" w14:textId="4C058BA8" w:rsidR="009E1F18" w:rsidRPr="004B5178" w:rsidRDefault="009E1F18" w:rsidP="009E1F18"/>
        </w:tc>
        <w:tc>
          <w:tcPr>
            <w:tcW w:w="1843" w:type="dxa"/>
            <w:tcBorders>
              <w:top w:val="nil"/>
              <w:left w:val="single" w:sz="18" w:space="0" w:color="auto"/>
              <w:bottom w:val="single" w:sz="4" w:space="0" w:color="auto"/>
              <w:right w:val="single" w:sz="4" w:space="0" w:color="auto"/>
            </w:tcBorders>
            <w:shd w:val="clear" w:color="auto" w:fill="F2F2F2"/>
            <w:vAlign w:val="center"/>
          </w:tcPr>
          <w:p w14:paraId="6917AD06" w14:textId="2E5116DE" w:rsidR="009E1F18" w:rsidRPr="004B5178" w:rsidRDefault="009E1F18" w:rsidP="009E1F18">
            <w:r w:rsidRPr="00803DEA">
              <w:rPr>
                <w:rFonts w:eastAsia="Calibri"/>
              </w:rPr>
              <w:t>Age by Gender interaction</w:t>
            </w:r>
          </w:p>
        </w:tc>
        <w:tc>
          <w:tcPr>
            <w:tcW w:w="1684" w:type="dxa"/>
            <w:tcBorders>
              <w:top w:val="nil"/>
              <w:left w:val="nil"/>
              <w:bottom w:val="single" w:sz="4" w:space="0" w:color="auto"/>
              <w:right w:val="single" w:sz="4" w:space="0" w:color="auto"/>
            </w:tcBorders>
            <w:shd w:val="clear" w:color="auto" w:fill="F2F2F2"/>
            <w:vAlign w:val="center"/>
          </w:tcPr>
          <w:p w14:paraId="4C55AD19" w14:textId="4DD8E10F" w:rsidR="009E1F18" w:rsidRPr="004B5178" w:rsidRDefault="009E1F18" w:rsidP="009E1F18"/>
        </w:tc>
        <w:tc>
          <w:tcPr>
            <w:tcW w:w="874" w:type="dxa"/>
            <w:tcBorders>
              <w:top w:val="nil"/>
              <w:left w:val="nil"/>
              <w:bottom w:val="single" w:sz="4" w:space="0" w:color="auto"/>
              <w:right w:val="single" w:sz="4" w:space="0" w:color="auto"/>
            </w:tcBorders>
            <w:shd w:val="clear" w:color="auto" w:fill="F2F2F2"/>
            <w:vAlign w:val="center"/>
          </w:tcPr>
          <w:p w14:paraId="0DDE83D5" w14:textId="4AA59884" w:rsidR="009E1F18" w:rsidRPr="004B5178" w:rsidRDefault="009E1F18" w:rsidP="009E1F18"/>
        </w:tc>
        <w:tc>
          <w:tcPr>
            <w:tcW w:w="986" w:type="dxa"/>
            <w:tcBorders>
              <w:top w:val="nil"/>
              <w:left w:val="nil"/>
              <w:bottom w:val="single" w:sz="4" w:space="0" w:color="auto"/>
              <w:right w:val="single" w:sz="4" w:space="0" w:color="auto"/>
            </w:tcBorders>
            <w:shd w:val="clear" w:color="auto" w:fill="F2F2F2"/>
            <w:vAlign w:val="center"/>
          </w:tcPr>
          <w:p w14:paraId="2C743D80" w14:textId="6296B4DE" w:rsidR="009E1F18" w:rsidRPr="004B5178" w:rsidRDefault="009E1F18" w:rsidP="009E1F18"/>
        </w:tc>
        <w:tc>
          <w:tcPr>
            <w:tcW w:w="1264" w:type="dxa"/>
            <w:tcBorders>
              <w:top w:val="nil"/>
              <w:left w:val="nil"/>
              <w:bottom w:val="single" w:sz="4" w:space="0" w:color="auto"/>
              <w:right w:val="single" w:sz="4" w:space="0" w:color="auto"/>
            </w:tcBorders>
            <w:shd w:val="clear" w:color="auto" w:fill="F2F2F2"/>
            <w:vAlign w:val="center"/>
          </w:tcPr>
          <w:p w14:paraId="0268170B" w14:textId="7706FFF8" w:rsidR="009E1F18" w:rsidRPr="004B5178" w:rsidRDefault="009E1F18" w:rsidP="009E1F18"/>
        </w:tc>
        <w:tc>
          <w:tcPr>
            <w:tcW w:w="1318" w:type="dxa"/>
            <w:tcBorders>
              <w:top w:val="nil"/>
              <w:left w:val="nil"/>
              <w:bottom w:val="single" w:sz="4" w:space="0" w:color="auto"/>
              <w:right w:val="single" w:sz="4" w:space="0" w:color="auto"/>
            </w:tcBorders>
            <w:shd w:val="clear" w:color="auto" w:fill="F2F2F2"/>
            <w:vAlign w:val="center"/>
          </w:tcPr>
          <w:p w14:paraId="6E48B5AB" w14:textId="34A69DF8" w:rsidR="009E1F18" w:rsidRPr="004B5178" w:rsidRDefault="009E1F18" w:rsidP="009E1F18"/>
        </w:tc>
      </w:tr>
      <w:tr w:rsidR="009E1F18" w14:paraId="1CF7A5C7"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01D54A36" w14:textId="6CE2D7C0" w:rsidR="009E1F18" w:rsidRPr="004B5178" w:rsidRDefault="009E1F18" w:rsidP="009E1F18">
            <w:r w:rsidRPr="00803DEA">
              <w:rPr>
                <w:rFonts w:eastAsia="Calibri"/>
              </w:rPr>
              <w:t>Age 16 - 44 (reference)</w:t>
            </w:r>
          </w:p>
        </w:tc>
        <w:tc>
          <w:tcPr>
            <w:tcW w:w="1439" w:type="dxa"/>
            <w:tcBorders>
              <w:top w:val="nil"/>
              <w:left w:val="nil"/>
              <w:bottom w:val="single" w:sz="4" w:space="0" w:color="auto"/>
              <w:right w:val="single" w:sz="4" w:space="0" w:color="auto"/>
            </w:tcBorders>
            <w:shd w:val="clear" w:color="auto" w:fill="auto"/>
            <w:vAlign w:val="center"/>
          </w:tcPr>
          <w:p w14:paraId="6E8CA573" w14:textId="58C41861" w:rsidR="009E1F18" w:rsidRPr="004B5178" w:rsidRDefault="009E1F18" w:rsidP="009E1F18"/>
        </w:tc>
        <w:tc>
          <w:tcPr>
            <w:tcW w:w="872" w:type="dxa"/>
            <w:tcBorders>
              <w:top w:val="nil"/>
              <w:left w:val="nil"/>
              <w:bottom w:val="single" w:sz="4" w:space="0" w:color="auto"/>
              <w:right w:val="single" w:sz="4" w:space="0" w:color="auto"/>
            </w:tcBorders>
            <w:shd w:val="clear" w:color="auto" w:fill="auto"/>
            <w:vAlign w:val="center"/>
          </w:tcPr>
          <w:p w14:paraId="24B41096" w14:textId="557BD56A" w:rsidR="009E1F18" w:rsidRPr="004B5178" w:rsidRDefault="009E1F18" w:rsidP="009E1F18">
            <w:r w:rsidRPr="00803DEA">
              <w:rPr>
                <w:rFonts w:eastAsia="Calibri"/>
              </w:rPr>
              <w:t>1.000</w:t>
            </w:r>
          </w:p>
        </w:tc>
        <w:tc>
          <w:tcPr>
            <w:tcW w:w="896" w:type="dxa"/>
            <w:tcBorders>
              <w:top w:val="nil"/>
              <w:left w:val="nil"/>
              <w:bottom w:val="single" w:sz="4" w:space="0" w:color="auto"/>
              <w:right w:val="single" w:sz="4" w:space="0" w:color="auto"/>
            </w:tcBorders>
            <w:shd w:val="clear" w:color="auto" w:fill="auto"/>
            <w:vAlign w:val="center"/>
          </w:tcPr>
          <w:p w14:paraId="2AED12F3" w14:textId="65418476" w:rsidR="009E1F18" w:rsidRPr="004B5178" w:rsidRDefault="009E1F18" w:rsidP="009E1F18"/>
        </w:tc>
        <w:tc>
          <w:tcPr>
            <w:tcW w:w="1319" w:type="dxa"/>
            <w:tcBorders>
              <w:top w:val="nil"/>
              <w:left w:val="nil"/>
              <w:bottom w:val="single" w:sz="4" w:space="0" w:color="auto"/>
              <w:right w:val="single" w:sz="4" w:space="0" w:color="auto"/>
            </w:tcBorders>
            <w:shd w:val="clear" w:color="auto" w:fill="auto"/>
            <w:vAlign w:val="center"/>
          </w:tcPr>
          <w:p w14:paraId="63FCC08D" w14:textId="52B0D754" w:rsidR="009E1F18" w:rsidRPr="004B5178" w:rsidRDefault="009E1F18" w:rsidP="009E1F18"/>
        </w:tc>
        <w:tc>
          <w:tcPr>
            <w:tcW w:w="1275" w:type="dxa"/>
            <w:tcBorders>
              <w:top w:val="nil"/>
              <w:left w:val="nil"/>
              <w:bottom w:val="single" w:sz="4" w:space="0" w:color="auto"/>
              <w:right w:val="single" w:sz="18" w:space="0" w:color="auto"/>
            </w:tcBorders>
            <w:shd w:val="clear" w:color="auto" w:fill="auto"/>
            <w:vAlign w:val="center"/>
          </w:tcPr>
          <w:p w14:paraId="7273DDFA" w14:textId="796C817F" w:rsidR="009E1F18" w:rsidRPr="004B5178" w:rsidRDefault="009E1F18" w:rsidP="009E1F18"/>
        </w:tc>
        <w:tc>
          <w:tcPr>
            <w:tcW w:w="1843" w:type="dxa"/>
            <w:tcBorders>
              <w:top w:val="nil"/>
              <w:left w:val="single" w:sz="18" w:space="0" w:color="auto"/>
              <w:bottom w:val="single" w:sz="4" w:space="0" w:color="auto"/>
              <w:right w:val="single" w:sz="4" w:space="0" w:color="auto"/>
            </w:tcBorders>
            <w:shd w:val="clear" w:color="auto" w:fill="auto"/>
            <w:vAlign w:val="center"/>
          </w:tcPr>
          <w:p w14:paraId="6217AA37" w14:textId="77E7034F" w:rsidR="009E1F18" w:rsidRPr="004B5178" w:rsidRDefault="009E1F18" w:rsidP="009E1F18">
            <w:r w:rsidRPr="00803DEA">
              <w:rPr>
                <w:rFonts w:eastAsia="Calibri"/>
              </w:rPr>
              <w:t>Age 16 - 44 (reference)</w:t>
            </w:r>
          </w:p>
        </w:tc>
        <w:tc>
          <w:tcPr>
            <w:tcW w:w="1684" w:type="dxa"/>
            <w:tcBorders>
              <w:top w:val="nil"/>
              <w:left w:val="nil"/>
              <w:bottom w:val="single" w:sz="4" w:space="0" w:color="auto"/>
              <w:right w:val="single" w:sz="4" w:space="0" w:color="auto"/>
            </w:tcBorders>
            <w:shd w:val="clear" w:color="auto" w:fill="auto"/>
            <w:vAlign w:val="center"/>
          </w:tcPr>
          <w:p w14:paraId="40E9FD7C" w14:textId="00A4E52F" w:rsidR="009E1F18" w:rsidRPr="004B5178" w:rsidRDefault="009E1F18" w:rsidP="009E1F18"/>
        </w:tc>
        <w:tc>
          <w:tcPr>
            <w:tcW w:w="874" w:type="dxa"/>
            <w:tcBorders>
              <w:top w:val="nil"/>
              <w:left w:val="nil"/>
              <w:bottom w:val="single" w:sz="4" w:space="0" w:color="auto"/>
              <w:right w:val="single" w:sz="4" w:space="0" w:color="auto"/>
            </w:tcBorders>
            <w:shd w:val="clear" w:color="auto" w:fill="auto"/>
            <w:vAlign w:val="center"/>
          </w:tcPr>
          <w:p w14:paraId="6BAE6166" w14:textId="7476E488" w:rsidR="009E1F18" w:rsidRPr="004B5178" w:rsidRDefault="009E1F18" w:rsidP="009E1F18">
            <w:r w:rsidRPr="00803DEA">
              <w:rPr>
                <w:rFonts w:eastAsia="Calibri"/>
              </w:rPr>
              <w:t>1.000</w:t>
            </w:r>
          </w:p>
        </w:tc>
        <w:tc>
          <w:tcPr>
            <w:tcW w:w="986" w:type="dxa"/>
            <w:tcBorders>
              <w:top w:val="nil"/>
              <w:left w:val="nil"/>
              <w:bottom w:val="single" w:sz="4" w:space="0" w:color="auto"/>
              <w:right w:val="single" w:sz="4" w:space="0" w:color="auto"/>
            </w:tcBorders>
            <w:shd w:val="clear" w:color="auto" w:fill="auto"/>
            <w:vAlign w:val="center"/>
          </w:tcPr>
          <w:p w14:paraId="1BDB80B7" w14:textId="694D1528" w:rsidR="009E1F18" w:rsidRPr="004B5178" w:rsidRDefault="009E1F18" w:rsidP="009E1F18"/>
        </w:tc>
        <w:tc>
          <w:tcPr>
            <w:tcW w:w="1264" w:type="dxa"/>
            <w:tcBorders>
              <w:top w:val="nil"/>
              <w:left w:val="nil"/>
              <w:bottom w:val="single" w:sz="4" w:space="0" w:color="auto"/>
              <w:right w:val="single" w:sz="4" w:space="0" w:color="auto"/>
            </w:tcBorders>
            <w:shd w:val="clear" w:color="auto" w:fill="auto"/>
            <w:vAlign w:val="center"/>
          </w:tcPr>
          <w:p w14:paraId="4EE5AD4B" w14:textId="6F92AEE9" w:rsidR="009E1F18" w:rsidRPr="004B5178" w:rsidRDefault="009E1F18" w:rsidP="009E1F18"/>
        </w:tc>
        <w:tc>
          <w:tcPr>
            <w:tcW w:w="1318" w:type="dxa"/>
            <w:tcBorders>
              <w:top w:val="nil"/>
              <w:left w:val="nil"/>
              <w:bottom w:val="single" w:sz="4" w:space="0" w:color="auto"/>
              <w:right w:val="single" w:sz="4" w:space="0" w:color="auto"/>
            </w:tcBorders>
            <w:shd w:val="clear" w:color="auto" w:fill="auto"/>
            <w:vAlign w:val="center"/>
          </w:tcPr>
          <w:p w14:paraId="5C35F4A8" w14:textId="62F5177B" w:rsidR="009E1F18" w:rsidRPr="004B5178" w:rsidRDefault="009E1F18" w:rsidP="009E1F18"/>
        </w:tc>
      </w:tr>
      <w:tr w:rsidR="009E1F18" w14:paraId="16714127"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639F877A" w14:textId="0AB7164F" w:rsidR="009E1F18" w:rsidRPr="004B5178" w:rsidRDefault="009E1F18" w:rsidP="009E1F18">
            <w:r w:rsidRPr="00803DEA">
              <w:rPr>
                <w:rFonts w:eastAsia="Calibri"/>
              </w:rPr>
              <w:t>Age 0 -5 Female</w:t>
            </w:r>
          </w:p>
        </w:tc>
        <w:tc>
          <w:tcPr>
            <w:tcW w:w="1439" w:type="dxa"/>
            <w:tcBorders>
              <w:top w:val="nil"/>
              <w:left w:val="nil"/>
              <w:bottom w:val="single" w:sz="4" w:space="0" w:color="auto"/>
              <w:right w:val="single" w:sz="4" w:space="0" w:color="auto"/>
            </w:tcBorders>
            <w:shd w:val="clear" w:color="auto" w:fill="auto"/>
            <w:vAlign w:val="center"/>
          </w:tcPr>
          <w:p w14:paraId="7A1D3865" w14:textId="2CDF7D29" w:rsidR="009E1F18" w:rsidRPr="004B5178" w:rsidRDefault="009E1F18" w:rsidP="009E1F18">
            <w:r w:rsidRPr="00803DEA">
              <w:rPr>
                <w:rFonts w:eastAsia="Calibri"/>
              </w:rPr>
              <w:t>0.086</w:t>
            </w:r>
          </w:p>
        </w:tc>
        <w:tc>
          <w:tcPr>
            <w:tcW w:w="872" w:type="dxa"/>
            <w:tcBorders>
              <w:top w:val="nil"/>
              <w:left w:val="nil"/>
              <w:bottom w:val="single" w:sz="4" w:space="0" w:color="auto"/>
              <w:right w:val="single" w:sz="4" w:space="0" w:color="auto"/>
            </w:tcBorders>
            <w:shd w:val="clear" w:color="auto" w:fill="auto"/>
            <w:vAlign w:val="center"/>
          </w:tcPr>
          <w:p w14:paraId="4E097C2B" w14:textId="14D16B09" w:rsidR="009E1F18" w:rsidRPr="004B5178" w:rsidRDefault="009E1F18" w:rsidP="009E1F18">
            <w:r w:rsidRPr="00803DEA">
              <w:rPr>
                <w:rFonts w:eastAsia="Calibri"/>
              </w:rPr>
              <w:t>1.089</w:t>
            </w:r>
          </w:p>
        </w:tc>
        <w:tc>
          <w:tcPr>
            <w:tcW w:w="896" w:type="dxa"/>
            <w:tcBorders>
              <w:top w:val="nil"/>
              <w:left w:val="nil"/>
              <w:bottom w:val="single" w:sz="4" w:space="0" w:color="auto"/>
              <w:right w:val="single" w:sz="4" w:space="0" w:color="auto"/>
            </w:tcBorders>
            <w:shd w:val="clear" w:color="auto" w:fill="auto"/>
            <w:vAlign w:val="center"/>
          </w:tcPr>
          <w:p w14:paraId="5CED52AA" w14:textId="4103E347" w:rsidR="009E1F18" w:rsidRPr="004B5178" w:rsidRDefault="009E1F18" w:rsidP="009E1F18">
            <w:r w:rsidRPr="00803DEA">
              <w:rPr>
                <w:rFonts w:eastAsia="Calibri"/>
              </w:rPr>
              <w:t>0.781</w:t>
            </w:r>
          </w:p>
        </w:tc>
        <w:tc>
          <w:tcPr>
            <w:tcW w:w="1319" w:type="dxa"/>
            <w:tcBorders>
              <w:top w:val="nil"/>
              <w:left w:val="nil"/>
              <w:bottom w:val="single" w:sz="4" w:space="0" w:color="auto"/>
              <w:right w:val="single" w:sz="4" w:space="0" w:color="auto"/>
            </w:tcBorders>
            <w:shd w:val="clear" w:color="auto" w:fill="auto"/>
            <w:vAlign w:val="center"/>
          </w:tcPr>
          <w:p w14:paraId="178923D2" w14:textId="4D32FEAC" w:rsidR="009E1F18" w:rsidRPr="004B5178" w:rsidRDefault="009E1F18" w:rsidP="009E1F18">
            <w:r w:rsidRPr="00803DEA">
              <w:rPr>
                <w:rFonts w:eastAsia="Calibri"/>
              </w:rPr>
              <w:t>0.595</w:t>
            </w:r>
          </w:p>
        </w:tc>
        <w:tc>
          <w:tcPr>
            <w:tcW w:w="1275" w:type="dxa"/>
            <w:tcBorders>
              <w:top w:val="nil"/>
              <w:left w:val="nil"/>
              <w:bottom w:val="single" w:sz="4" w:space="0" w:color="auto"/>
              <w:right w:val="single" w:sz="18" w:space="0" w:color="auto"/>
            </w:tcBorders>
            <w:shd w:val="clear" w:color="auto" w:fill="auto"/>
            <w:vAlign w:val="center"/>
          </w:tcPr>
          <w:p w14:paraId="032FDD86" w14:textId="3860EB32" w:rsidR="009E1F18" w:rsidRPr="004B5178" w:rsidRDefault="009E1F18" w:rsidP="009E1F18">
            <w:r w:rsidRPr="00803DEA">
              <w:rPr>
                <w:rFonts w:eastAsia="Calibri"/>
              </w:rPr>
              <w:t>1.993</w:t>
            </w:r>
          </w:p>
        </w:tc>
        <w:tc>
          <w:tcPr>
            <w:tcW w:w="1843" w:type="dxa"/>
            <w:tcBorders>
              <w:top w:val="nil"/>
              <w:left w:val="single" w:sz="18" w:space="0" w:color="auto"/>
              <w:bottom w:val="single" w:sz="4" w:space="0" w:color="auto"/>
              <w:right w:val="single" w:sz="4" w:space="0" w:color="auto"/>
            </w:tcBorders>
            <w:shd w:val="clear" w:color="auto" w:fill="auto"/>
            <w:vAlign w:val="center"/>
          </w:tcPr>
          <w:p w14:paraId="5E5213ED" w14:textId="102A38E9" w:rsidR="009E1F18" w:rsidRPr="004B5178" w:rsidRDefault="009E1F18" w:rsidP="009E1F18">
            <w:r w:rsidRPr="00803DEA">
              <w:rPr>
                <w:rFonts w:eastAsia="Calibri"/>
              </w:rPr>
              <w:t>Age 0 -5 Female</w:t>
            </w:r>
          </w:p>
        </w:tc>
        <w:tc>
          <w:tcPr>
            <w:tcW w:w="1684" w:type="dxa"/>
            <w:tcBorders>
              <w:top w:val="nil"/>
              <w:left w:val="nil"/>
              <w:bottom w:val="single" w:sz="4" w:space="0" w:color="auto"/>
              <w:right w:val="single" w:sz="4" w:space="0" w:color="auto"/>
            </w:tcBorders>
            <w:shd w:val="clear" w:color="auto" w:fill="auto"/>
            <w:vAlign w:val="center"/>
          </w:tcPr>
          <w:p w14:paraId="0DD3586C" w14:textId="3ED5EDBB" w:rsidR="009E1F18" w:rsidRPr="004B5178" w:rsidRDefault="009E1F18" w:rsidP="009E1F18">
            <w:r w:rsidRPr="00803DEA">
              <w:rPr>
                <w:rFonts w:eastAsia="Calibri"/>
              </w:rPr>
              <w:t>0.059</w:t>
            </w:r>
          </w:p>
        </w:tc>
        <w:tc>
          <w:tcPr>
            <w:tcW w:w="874" w:type="dxa"/>
            <w:tcBorders>
              <w:top w:val="nil"/>
              <w:left w:val="nil"/>
              <w:bottom w:val="single" w:sz="4" w:space="0" w:color="auto"/>
              <w:right w:val="single" w:sz="4" w:space="0" w:color="auto"/>
            </w:tcBorders>
            <w:shd w:val="clear" w:color="auto" w:fill="auto"/>
            <w:vAlign w:val="center"/>
          </w:tcPr>
          <w:p w14:paraId="7FF3F23C" w14:textId="300DE36B" w:rsidR="009E1F18" w:rsidRPr="004B5178" w:rsidRDefault="009E1F18" w:rsidP="009E1F18">
            <w:r w:rsidRPr="00803DEA">
              <w:rPr>
                <w:rFonts w:eastAsia="Calibri"/>
              </w:rPr>
              <w:t>1.061</w:t>
            </w:r>
          </w:p>
        </w:tc>
        <w:tc>
          <w:tcPr>
            <w:tcW w:w="986" w:type="dxa"/>
            <w:tcBorders>
              <w:top w:val="nil"/>
              <w:left w:val="nil"/>
              <w:bottom w:val="single" w:sz="4" w:space="0" w:color="auto"/>
              <w:right w:val="single" w:sz="4" w:space="0" w:color="auto"/>
            </w:tcBorders>
            <w:shd w:val="clear" w:color="auto" w:fill="auto"/>
            <w:vAlign w:val="center"/>
          </w:tcPr>
          <w:p w14:paraId="4CA0E12E" w14:textId="1FDA5A76" w:rsidR="009E1F18" w:rsidRPr="004B5178" w:rsidRDefault="009E1F18" w:rsidP="009E1F18">
            <w:r w:rsidRPr="00803DEA">
              <w:rPr>
                <w:rFonts w:eastAsia="Calibri"/>
              </w:rPr>
              <w:t>0.846</w:t>
            </w:r>
          </w:p>
        </w:tc>
        <w:tc>
          <w:tcPr>
            <w:tcW w:w="1264" w:type="dxa"/>
            <w:tcBorders>
              <w:top w:val="nil"/>
              <w:left w:val="nil"/>
              <w:bottom w:val="single" w:sz="4" w:space="0" w:color="auto"/>
              <w:right w:val="single" w:sz="4" w:space="0" w:color="auto"/>
            </w:tcBorders>
            <w:shd w:val="clear" w:color="auto" w:fill="auto"/>
            <w:vAlign w:val="center"/>
          </w:tcPr>
          <w:p w14:paraId="52EB8571" w14:textId="16CD2B80" w:rsidR="009E1F18" w:rsidRPr="004B5178" w:rsidRDefault="009E1F18" w:rsidP="009E1F18">
            <w:r w:rsidRPr="00803DEA">
              <w:rPr>
                <w:rFonts w:eastAsia="Calibri"/>
              </w:rPr>
              <w:t>0.584</w:t>
            </w:r>
          </w:p>
        </w:tc>
        <w:tc>
          <w:tcPr>
            <w:tcW w:w="1318" w:type="dxa"/>
            <w:tcBorders>
              <w:top w:val="nil"/>
              <w:left w:val="nil"/>
              <w:bottom w:val="single" w:sz="4" w:space="0" w:color="auto"/>
              <w:right w:val="single" w:sz="4" w:space="0" w:color="auto"/>
            </w:tcBorders>
            <w:shd w:val="clear" w:color="auto" w:fill="auto"/>
            <w:vAlign w:val="center"/>
          </w:tcPr>
          <w:p w14:paraId="306B10D3" w14:textId="580A7DAE" w:rsidR="009E1F18" w:rsidRPr="004B5178" w:rsidRDefault="009E1F18" w:rsidP="009E1F18">
            <w:r w:rsidRPr="00803DEA">
              <w:rPr>
                <w:rFonts w:eastAsia="Calibri"/>
              </w:rPr>
              <w:t>1.928</w:t>
            </w:r>
          </w:p>
        </w:tc>
      </w:tr>
      <w:tr w:rsidR="009E1F18" w14:paraId="5094FA60"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11DD281F" w14:textId="792BA76A" w:rsidR="009E1F18" w:rsidRPr="004B5178" w:rsidRDefault="009E1F18" w:rsidP="009E1F18">
            <w:r w:rsidRPr="00803DEA">
              <w:rPr>
                <w:rFonts w:eastAsia="Calibri"/>
              </w:rPr>
              <w:t>Age 6 - 10 Female</w:t>
            </w:r>
          </w:p>
        </w:tc>
        <w:tc>
          <w:tcPr>
            <w:tcW w:w="1439" w:type="dxa"/>
            <w:tcBorders>
              <w:top w:val="nil"/>
              <w:left w:val="nil"/>
              <w:bottom w:val="single" w:sz="4" w:space="0" w:color="auto"/>
              <w:right w:val="single" w:sz="4" w:space="0" w:color="auto"/>
            </w:tcBorders>
            <w:shd w:val="clear" w:color="auto" w:fill="auto"/>
            <w:vAlign w:val="center"/>
          </w:tcPr>
          <w:p w14:paraId="6C58F484" w14:textId="1AC28DF0" w:rsidR="009E1F18" w:rsidRPr="004B5178" w:rsidRDefault="009E1F18" w:rsidP="009E1F18">
            <w:r w:rsidRPr="00803DEA">
              <w:rPr>
                <w:rFonts w:eastAsia="Calibri"/>
              </w:rPr>
              <w:t>0.832</w:t>
            </w:r>
          </w:p>
        </w:tc>
        <w:tc>
          <w:tcPr>
            <w:tcW w:w="872" w:type="dxa"/>
            <w:tcBorders>
              <w:top w:val="nil"/>
              <w:left w:val="nil"/>
              <w:bottom w:val="single" w:sz="4" w:space="0" w:color="auto"/>
              <w:right w:val="single" w:sz="4" w:space="0" w:color="auto"/>
            </w:tcBorders>
            <w:shd w:val="clear" w:color="auto" w:fill="auto"/>
            <w:vAlign w:val="center"/>
          </w:tcPr>
          <w:p w14:paraId="2BA96231" w14:textId="34CBF08D" w:rsidR="009E1F18" w:rsidRPr="004B5178" w:rsidRDefault="009E1F18" w:rsidP="009E1F18">
            <w:r w:rsidRPr="00803DEA">
              <w:rPr>
                <w:rFonts w:eastAsia="Calibri"/>
              </w:rPr>
              <w:t>2.299</w:t>
            </w:r>
          </w:p>
        </w:tc>
        <w:tc>
          <w:tcPr>
            <w:tcW w:w="896" w:type="dxa"/>
            <w:tcBorders>
              <w:top w:val="nil"/>
              <w:left w:val="nil"/>
              <w:bottom w:val="single" w:sz="4" w:space="0" w:color="auto"/>
              <w:right w:val="single" w:sz="4" w:space="0" w:color="auto"/>
            </w:tcBorders>
            <w:shd w:val="clear" w:color="auto" w:fill="auto"/>
            <w:vAlign w:val="center"/>
          </w:tcPr>
          <w:p w14:paraId="1C28BD8E" w14:textId="0ED82C30" w:rsidR="009E1F18" w:rsidRPr="004B5178" w:rsidRDefault="009E1F18" w:rsidP="009E1F18">
            <w:r w:rsidRPr="00803DEA">
              <w:rPr>
                <w:rFonts w:eastAsia="Calibri"/>
              </w:rPr>
              <w:t>0.155</w:t>
            </w:r>
          </w:p>
        </w:tc>
        <w:tc>
          <w:tcPr>
            <w:tcW w:w="1319" w:type="dxa"/>
            <w:tcBorders>
              <w:top w:val="nil"/>
              <w:left w:val="nil"/>
              <w:bottom w:val="single" w:sz="4" w:space="0" w:color="auto"/>
              <w:right w:val="single" w:sz="4" w:space="0" w:color="auto"/>
            </w:tcBorders>
            <w:shd w:val="clear" w:color="auto" w:fill="auto"/>
            <w:vAlign w:val="center"/>
          </w:tcPr>
          <w:p w14:paraId="61FCBC90" w14:textId="1623F48C" w:rsidR="009E1F18" w:rsidRPr="004B5178" w:rsidRDefault="009E1F18" w:rsidP="009E1F18">
            <w:r w:rsidRPr="00803DEA">
              <w:rPr>
                <w:rFonts w:eastAsia="Calibri"/>
              </w:rPr>
              <w:t>0.729</w:t>
            </w:r>
          </w:p>
        </w:tc>
        <w:tc>
          <w:tcPr>
            <w:tcW w:w="1275" w:type="dxa"/>
            <w:tcBorders>
              <w:top w:val="nil"/>
              <w:left w:val="nil"/>
              <w:bottom w:val="single" w:sz="4" w:space="0" w:color="auto"/>
              <w:right w:val="single" w:sz="18" w:space="0" w:color="auto"/>
            </w:tcBorders>
            <w:shd w:val="clear" w:color="auto" w:fill="auto"/>
            <w:vAlign w:val="center"/>
          </w:tcPr>
          <w:p w14:paraId="37DAC132" w14:textId="7C6960CB" w:rsidR="009E1F18" w:rsidRPr="004B5178" w:rsidRDefault="009E1F18" w:rsidP="009E1F18">
            <w:r w:rsidRPr="00803DEA">
              <w:rPr>
                <w:rFonts w:eastAsia="Calibri"/>
              </w:rPr>
              <w:t>7.248</w:t>
            </w:r>
          </w:p>
        </w:tc>
        <w:tc>
          <w:tcPr>
            <w:tcW w:w="1843" w:type="dxa"/>
            <w:tcBorders>
              <w:top w:val="nil"/>
              <w:left w:val="single" w:sz="18" w:space="0" w:color="auto"/>
              <w:bottom w:val="single" w:sz="4" w:space="0" w:color="auto"/>
              <w:right w:val="single" w:sz="4" w:space="0" w:color="auto"/>
            </w:tcBorders>
            <w:shd w:val="clear" w:color="auto" w:fill="auto"/>
            <w:vAlign w:val="center"/>
          </w:tcPr>
          <w:p w14:paraId="5E326FAF" w14:textId="25844E2F" w:rsidR="009E1F18" w:rsidRPr="004B5178" w:rsidRDefault="009E1F18" w:rsidP="009E1F18">
            <w:r w:rsidRPr="00803DEA">
              <w:rPr>
                <w:rFonts w:eastAsia="Calibri"/>
              </w:rPr>
              <w:t>Age 6 - 10 Female</w:t>
            </w:r>
          </w:p>
        </w:tc>
        <w:tc>
          <w:tcPr>
            <w:tcW w:w="1684" w:type="dxa"/>
            <w:tcBorders>
              <w:top w:val="nil"/>
              <w:left w:val="nil"/>
              <w:bottom w:val="single" w:sz="4" w:space="0" w:color="auto"/>
              <w:right w:val="single" w:sz="4" w:space="0" w:color="auto"/>
            </w:tcBorders>
            <w:shd w:val="clear" w:color="auto" w:fill="auto"/>
            <w:vAlign w:val="center"/>
          </w:tcPr>
          <w:p w14:paraId="4FF36237" w14:textId="5FB82FF9" w:rsidR="009E1F18" w:rsidRPr="004B5178" w:rsidRDefault="009E1F18" w:rsidP="009E1F18">
            <w:r w:rsidRPr="00803DEA">
              <w:rPr>
                <w:rFonts w:eastAsia="Calibri"/>
              </w:rPr>
              <w:t>0.863</w:t>
            </w:r>
          </w:p>
        </w:tc>
        <w:tc>
          <w:tcPr>
            <w:tcW w:w="874" w:type="dxa"/>
            <w:tcBorders>
              <w:top w:val="nil"/>
              <w:left w:val="nil"/>
              <w:bottom w:val="single" w:sz="4" w:space="0" w:color="auto"/>
              <w:right w:val="single" w:sz="4" w:space="0" w:color="auto"/>
            </w:tcBorders>
            <w:shd w:val="clear" w:color="auto" w:fill="auto"/>
            <w:vAlign w:val="center"/>
          </w:tcPr>
          <w:p w14:paraId="470BC96C" w14:textId="38154790" w:rsidR="009E1F18" w:rsidRPr="004B5178" w:rsidRDefault="009E1F18" w:rsidP="009E1F18">
            <w:r w:rsidRPr="00803DEA">
              <w:rPr>
                <w:rFonts w:eastAsia="Calibri"/>
              </w:rPr>
              <w:t>2.371</w:t>
            </w:r>
          </w:p>
        </w:tc>
        <w:tc>
          <w:tcPr>
            <w:tcW w:w="986" w:type="dxa"/>
            <w:tcBorders>
              <w:top w:val="nil"/>
              <w:left w:val="nil"/>
              <w:bottom w:val="single" w:sz="4" w:space="0" w:color="auto"/>
              <w:right w:val="single" w:sz="4" w:space="0" w:color="auto"/>
            </w:tcBorders>
            <w:shd w:val="clear" w:color="auto" w:fill="auto"/>
            <w:vAlign w:val="center"/>
          </w:tcPr>
          <w:p w14:paraId="2A3B0E3A" w14:textId="23672C91" w:rsidR="009E1F18" w:rsidRPr="004B5178" w:rsidRDefault="009E1F18" w:rsidP="009E1F18">
            <w:r w:rsidRPr="00803DEA">
              <w:rPr>
                <w:rFonts w:eastAsia="Calibri"/>
              </w:rPr>
              <w:t>0.140</w:t>
            </w:r>
          </w:p>
        </w:tc>
        <w:tc>
          <w:tcPr>
            <w:tcW w:w="1264" w:type="dxa"/>
            <w:tcBorders>
              <w:top w:val="nil"/>
              <w:left w:val="nil"/>
              <w:bottom w:val="single" w:sz="4" w:space="0" w:color="auto"/>
              <w:right w:val="single" w:sz="4" w:space="0" w:color="auto"/>
            </w:tcBorders>
            <w:shd w:val="clear" w:color="auto" w:fill="auto"/>
            <w:vAlign w:val="center"/>
          </w:tcPr>
          <w:p w14:paraId="369D8051" w14:textId="48257491" w:rsidR="009E1F18" w:rsidRPr="004B5178" w:rsidRDefault="009E1F18" w:rsidP="009E1F18">
            <w:r w:rsidRPr="00803DEA">
              <w:rPr>
                <w:rFonts w:eastAsia="Calibri"/>
              </w:rPr>
              <w:t>0.753</w:t>
            </w:r>
          </w:p>
        </w:tc>
        <w:tc>
          <w:tcPr>
            <w:tcW w:w="1318" w:type="dxa"/>
            <w:tcBorders>
              <w:top w:val="nil"/>
              <w:left w:val="nil"/>
              <w:bottom w:val="single" w:sz="4" w:space="0" w:color="auto"/>
              <w:right w:val="single" w:sz="4" w:space="0" w:color="auto"/>
            </w:tcBorders>
            <w:shd w:val="clear" w:color="auto" w:fill="auto"/>
            <w:vAlign w:val="center"/>
          </w:tcPr>
          <w:p w14:paraId="53507493" w14:textId="5FF5B9DD" w:rsidR="009E1F18" w:rsidRPr="004B5178" w:rsidRDefault="009E1F18" w:rsidP="009E1F18">
            <w:r w:rsidRPr="00803DEA">
              <w:rPr>
                <w:rFonts w:eastAsia="Calibri"/>
              </w:rPr>
              <w:t>7.464</w:t>
            </w:r>
          </w:p>
        </w:tc>
      </w:tr>
      <w:tr w:rsidR="009E1F18" w14:paraId="7E7066BE"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2BE8A276" w14:textId="71B345F4" w:rsidR="009E1F18" w:rsidRPr="004B5178" w:rsidRDefault="009E1F18" w:rsidP="009E1F18">
            <w:r w:rsidRPr="00803DEA">
              <w:rPr>
                <w:rFonts w:eastAsia="Calibri"/>
              </w:rPr>
              <w:t>Age 11 - 15 Female</w:t>
            </w:r>
          </w:p>
        </w:tc>
        <w:tc>
          <w:tcPr>
            <w:tcW w:w="1439" w:type="dxa"/>
            <w:tcBorders>
              <w:top w:val="nil"/>
              <w:left w:val="nil"/>
              <w:bottom w:val="single" w:sz="4" w:space="0" w:color="auto"/>
              <w:right w:val="single" w:sz="4" w:space="0" w:color="auto"/>
            </w:tcBorders>
            <w:shd w:val="clear" w:color="auto" w:fill="auto"/>
            <w:vAlign w:val="center"/>
          </w:tcPr>
          <w:p w14:paraId="16AD5EAA" w14:textId="058F8560" w:rsidR="009E1F18" w:rsidRPr="004B5178" w:rsidRDefault="009E1F18" w:rsidP="009E1F18">
            <w:r w:rsidRPr="00803DEA">
              <w:rPr>
                <w:rFonts w:eastAsia="Calibri"/>
              </w:rPr>
              <w:t>-0.073</w:t>
            </w:r>
          </w:p>
        </w:tc>
        <w:tc>
          <w:tcPr>
            <w:tcW w:w="872" w:type="dxa"/>
            <w:tcBorders>
              <w:top w:val="nil"/>
              <w:left w:val="nil"/>
              <w:bottom w:val="single" w:sz="4" w:space="0" w:color="auto"/>
              <w:right w:val="single" w:sz="4" w:space="0" w:color="auto"/>
            </w:tcBorders>
            <w:shd w:val="clear" w:color="auto" w:fill="auto"/>
            <w:vAlign w:val="center"/>
          </w:tcPr>
          <w:p w14:paraId="1415526A" w14:textId="6DFC5E5B" w:rsidR="009E1F18" w:rsidRPr="004B5178" w:rsidRDefault="009E1F18" w:rsidP="009E1F18">
            <w:r w:rsidRPr="00803DEA">
              <w:rPr>
                <w:rFonts w:eastAsia="Calibri"/>
              </w:rPr>
              <w:t>0.930</w:t>
            </w:r>
          </w:p>
        </w:tc>
        <w:tc>
          <w:tcPr>
            <w:tcW w:w="896" w:type="dxa"/>
            <w:tcBorders>
              <w:top w:val="nil"/>
              <w:left w:val="nil"/>
              <w:bottom w:val="single" w:sz="4" w:space="0" w:color="auto"/>
              <w:right w:val="single" w:sz="4" w:space="0" w:color="auto"/>
            </w:tcBorders>
            <w:shd w:val="clear" w:color="auto" w:fill="auto"/>
            <w:vAlign w:val="center"/>
          </w:tcPr>
          <w:p w14:paraId="110757E5" w14:textId="05BCC8E4" w:rsidR="009E1F18" w:rsidRPr="004B5178" w:rsidRDefault="009E1F18" w:rsidP="009E1F18">
            <w:r w:rsidRPr="00803DEA">
              <w:rPr>
                <w:rFonts w:eastAsia="Calibri"/>
              </w:rPr>
              <w:t>0.816</w:t>
            </w:r>
          </w:p>
        </w:tc>
        <w:tc>
          <w:tcPr>
            <w:tcW w:w="1319" w:type="dxa"/>
            <w:tcBorders>
              <w:top w:val="nil"/>
              <w:left w:val="nil"/>
              <w:bottom w:val="single" w:sz="4" w:space="0" w:color="auto"/>
              <w:right w:val="single" w:sz="4" w:space="0" w:color="auto"/>
            </w:tcBorders>
            <w:shd w:val="clear" w:color="auto" w:fill="auto"/>
            <w:vAlign w:val="center"/>
          </w:tcPr>
          <w:p w14:paraId="61C3A62F" w14:textId="367381CF" w:rsidR="009E1F18" w:rsidRPr="004B5178" w:rsidRDefault="009E1F18" w:rsidP="009E1F18">
            <w:r w:rsidRPr="00803DEA">
              <w:rPr>
                <w:rFonts w:eastAsia="Calibri"/>
              </w:rPr>
              <w:t>0.502</w:t>
            </w:r>
          </w:p>
        </w:tc>
        <w:tc>
          <w:tcPr>
            <w:tcW w:w="1275" w:type="dxa"/>
            <w:tcBorders>
              <w:top w:val="nil"/>
              <w:left w:val="nil"/>
              <w:bottom w:val="single" w:sz="4" w:space="0" w:color="auto"/>
              <w:right w:val="single" w:sz="18" w:space="0" w:color="auto"/>
            </w:tcBorders>
            <w:shd w:val="clear" w:color="auto" w:fill="auto"/>
            <w:vAlign w:val="center"/>
          </w:tcPr>
          <w:p w14:paraId="29CB498B" w14:textId="0847B7C5" w:rsidR="009E1F18" w:rsidRPr="004B5178" w:rsidRDefault="009E1F18" w:rsidP="009E1F18">
            <w:r w:rsidRPr="00803DEA">
              <w:rPr>
                <w:rFonts w:eastAsia="Calibri"/>
              </w:rPr>
              <w:t>1.721</w:t>
            </w:r>
          </w:p>
        </w:tc>
        <w:tc>
          <w:tcPr>
            <w:tcW w:w="1843" w:type="dxa"/>
            <w:tcBorders>
              <w:top w:val="nil"/>
              <w:left w:val="single" w:sz="18" w:space="0" w:color="auto"/>
              <w:bottom w:val="single" w:sz="4" w:space="0" w:color="auto"/>
              <w:right w:val="single" w:sz="4" w:space="0" w:color="auto"/>
            </w:tcBorders>
            <w:shd w:val="clear" w:color="auto" w:fill="auto"/>
            <w:vAlign w:val="center"/>
          </w:tcPr>
          <w:p w14:paraId="76D1259F" w14:textId="70E82F4B" w:rsidR="009E1F18" w:rsidRPr="004B5178" w:rsidRDefault="009E1F18" w:rsidP="009E1F18">
            <w:r w:rsidRPr="00803DEA">
              <w:rPr>
                <w:rFonts w:eastAsia="Calibri"/>
              </w:rPr>
              <w:t>Age 11 - 15 Female</w:t>
            </w:r>
          </w:p>
        </w:tc>
        <w:tc>
          <w:tcPr>
            <w:tcW w:w="1684" w:type="dxa"/>
            <w:tcBorders>
              <w:top w:val="nil"/>
              <w:left w:val="nil"/>
              <w:bottom w:val="single" w:sz="4" w:space="0" w:color="auto"/>
              <w:right w:val="single" w:sz="4" w:space="0" w:color="auto"/>
            </w:tcBorders>
            <w:shd w:val="clear" w:color="auto" w:fill="auto"/>
            <w:vAlign w:val="center"/>
          </w:tcPr>
          <w:p w14:paraId="509D3394" w14:textId="166B528D" w:rsidR="009E1F18" w:rsidRPr="004B5178" w:rsidRDefault="009E1F18" w:rsidP="009E1F18">
            <w:r w:rsidRPr="00803DEA">
              <w:rPr>
                <w:rFonts w:eastAsia="Calibri"/>
              </w:rPr>
              <w:t>-0.068</w:t>
            </w:r>
          </w:p>
        </w:tc>
        <w:tc>
          <w:tcPr>
            <w:tcW w:w="874" w:type="dxa"/>
            <w:tcBorders>
              <w:top w:val="nil"/>
              <w:left w:val="nil"/>
              <w:bottom w:val="single" w:sz="4" w:space="0" w:color="auto"/>
              <w:right w:val="single" w:sz="4" w:space="0" w:color="auto"/>
            </w:tcBorders>
            <w:shd w:val="clear" w:color="auto" w:fill="auto"/>
            <w:vAlign w:val="center"/>
          </w:tcPr>
          <w:p w14:paraId="39D0A77B" w14:textId="2E4A99E8" w:rsidR="009E1F18" w:rsidRPr="004B5178" w:rsidRDefault="009E1F18" w:rsidP="009E1F18">
            <w:r w:rsidRPr="00803DEA">
              <w:rPr>
                <w:rFonts w:eastAsia="Calibri"/>
              </w:rPr>
              <w:t>0.935</w:t>
            </w:r>
          </w:p>
        </w:tc>
        <w:tc>
          <w:tcPr>
            <w:tcW w:w="986" w:type="dxa"/>
            <w:tcBorders>
              <w:top w:val="nil"/>
              <w:left w:val="nil"/>
              <w:bottom w:val="single" w:sz="4" w:space="0" w:color="auto"/>
              <w:right w:val="single" w:sz="4" w:space="0" w:color="auto"/>
            </w:tcBorders>
            <w:shd w:val="clear" w:color="auto" w:fill="auto"/>
            <w:vAlign w:val="center"/>
          </w:tcPr>
          <w:p w14:paraId="14B5F70C" w14:textId="7EFF12F9" w:rsidR="009E1F18" w:rsidRPr="004B5178" w:rsidRDefault="009E1F18" w:rsidP="009E1F18">
            <w:r w:rsidRPr="00803DEA">
              <w:rPr>
                <w:rFonts w:eastAsia="Calibri"/>
              </w:rPr>
              <w:t>0.833</w:t>
            </w:r>
          </w:p>
        </w:tc>
        <w:tc>
          <w:tcPr>
            <w:tcW w:w="1264" w:type="dxa"/>
            <w:tcBorders>
              <w:top w:val="nil"/>
              <w:left w:val="nil"/>
              <w:bottom w:val="single" w:sz="4" w:space="0" w:color="auto"/>
              <w:right w:val="single" w:sz="4" w:space="0" w:color="auto"/>
            </w:tcBorders>
            <w:shd w:val="clear" w:color="auto" w:fill="auto"/>
            <w:vAlign w:val="center"/>
          </w:tcPr>
          <w:p w14:paraId="23D34746" w14:textId="1A87D56B" w:rsidR="009E1F18" w:rsidRPr="004B5178" w:rsidRDefault="009E1F18" w:rsidP="009E1F18">
            <w:r w:rsidRPr="00803DEA">
              <w:rPr>
                <w:rFonts w:eastAsia="Calibri"/>
              </w:rPr>
              <w:t>0.499</w:t>
            </w:r>
          </w:p>
        </w:tc>
        <w:tc>
          <w:tcPr>
            <w:tcW w:w="1318" w:type="dxa"/>
            <w:tcBorders>
              <w:top w:val="nil"/>
              <w:left w:val="nil"/>
              <w:bottom w:val="single" w:sz="4" w:space="0" w:color="auto"/>
              <w:right w:val="single" w:sz="4" w:space="0" w:color="auto"/>
            </w:tcBorders>
            <w:shd w:val="clear" w:color="auto" w:fill="auto"/>
            <w:vAlign w:val="center"/>
          </w:tcPr>
          <w:p w14:paraId="7B621FF1" w14:textId="68132031" w:rsidR="009E1F18" w:rsidRPr="004B5178" w:rsidRDefault="009E1F18" w:rsidP="009E1F18">
            <w:r w:rsidRPr="00803DEA">
              <w:rPr>
                <w:rFonts w:eastAsia="Calibri"/>
              </w:rPr>
              <w:t>1.752</w:t>
            </w:r>
          </w:p>
        </w:tc>
      </w:tr>
      <w:tr w:rsidR="009E1F18" w14:paraId="3D8FCC42"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1183EE42" w14:textId="4261C4AD" w:rsidR="009E1F18" w:rsidRPr="004B5178" w:rsidRDefault="009E1F18" w:rsidP="009E1F18">
            <w:r w:rsidRPr="00803DEA">
              <w:rPr>
                <w:rFonts w:eastAsia="Calibri"/>
              </w:rPr>
              <w:t>Age 45 - 54 Female</w:t>
            </w:r>
          </w:p>
        </w:tc>
        <w:tc>
          <w:tcPr>
            <w:tcW w:w="1439" w:type="dxa"/>
            <w:tcBorders>
              <w:top w:val="nil"/>
              <w:left w:val="nil"/>
              <w:bottom w:val="single" w:sz="4" w:space="0" w:color="auto"/>
              <w:right w:val="single" w:sz="4" w:space="0" w:color="auto"/>
            </w:tcBorders>
            <w:shd w:val="clear" w:color="auto" w:fill="auto"/>
            <w:vAlign w:val="center"/>
          </w:tcPr>
          <w:p w14:paraId="0D580297" w14:textId="3BC2FEF5" w:rsidR="009E1F18" w:rsidRPr="004B5178" w:rsidRDefault="009E1F18" w:rsidP="009E1F18">
            <w:r w:rsidRPr="00803DEA">
              <w:rPr>
                <w:rFonts w:eastAsia="Calibri"/>
              </w:rPr>
              <w:t>-0.104</w:t>
            </w:r>
          </w:p>
        </w:tc>
        <w:tc>
          <w:tcPr>
            <w:tcW w:w="872" w:type="dxa"/>
            <w:tcBorders>
              <w:top w:val="nil"/>
              <w:left w:val="nil"/>
              <w:bottom w:val="single" w:sz="4" w:space="0" w:color="auto"/>
              <w:right w:val="single" w:sz="4" w:space="0" w:color="auto"/>
            </w:tcBorders>
            <w:shd w:val="clear" w:color="auto" w:fill="auto"/>
            <w:vAlign w:val="center"/>
          </w:tcPr>
          <w:p w14:paraId="04681F92" w14:textId="42BBDC3D" w:rsidR="009E1F18" w:rsidRPr="004B5178" w:rsidRDefault="009E1F18" w:rsidP="009E1F18">
            <w:r w:rsidRPr="00803DEA">
              <w:rPr>
                <w:rFonts w:eastAsia="Calibri"/>
              </w:rPr>
              <w:t>0.901</w:t>
            </w:r>
          </w:p>
        </w:tc>
        <w:tc>
          <w:tcPr>
            <w:tcW w:w="896" w:type="dxa"/>
            <w:tcBorders>
              <w:top w:val="nil"/>
              <w:left w:val="nil"/>
              <w:bottom w:val="single" w:sz="4" w:space="0" w:color="auto"/>
              <w:right w:val="single" w:sz="4" w:space="0" w:color="auto"/>
            </w:tcBorders>
            <w:shd w:val="clear" w:color="auto" w:fill="auto"/>
            <w:vAlign w:val="center"/>
          </w:tcPr>
          <w:p w14:paraId="298FC6CF" w14:textId="3BFCE4D4" w:rsidR="009E1F18" w:rsidRPr="004B5178" w:rsidRDefault="009E1F18" w:rsidP="009E1F18">
            <w:r w:rsidRPr="00803DEA">
              <w:rPr>
                <w:rFonts w:eastAsia="Calibri"/>
              </w:rPr>
              <w:t>0.489</w:t>
            </w:r>
          </w:p>
        </w:tc>
        <w:tc>
          <w:tcPr>
            <w:tcW w:w="1319" w:type="dxa"/>
            <w:tcBorders>
              <w:top w:val="nil"/>
              <w:left w:val="nil"/>
              <w:bottom w:val="single" w:sz="4" w:space="0" w:color="auto"/>
              <w:right w:val="single" w:sz="4" w:space="0" w:color="auto"/>
            </w:tcBorders>
            <w:shd w:val="clear" w:color="auto" w:fill="auto"/>
            <w:vAlign w:val="center"/>
          </w:tcPr>
          <w:p w14:paraId="0BCAB178" w14:textId="6FE37C98" w:rsidR="009E1F18" w:rsidRPr="004B5178" w:rsidRDefault="009E1F18" w:rsidP="009E1F18">
            <w:r w:rsidRPr="00803DEA">
              <w:rPr>
                <w:rFonts w:eastAsia="Calibri"/>
              </w:rPr>
              <w:t>0.670</w:t>
            </w:r>
          </w:p>
        </w:tc>
        <w:tc>
          <w:tcPr>
            <w:tcW w:w="1275" w:type="dxa"/>
            <w:tcBorders>
              <w:top w:val="nil"/>
              <w:left w:val="nil"/>
              <w:bottom w:val="single" w:sz="4" w:space="0" w:color="auto"/>
              <w:right w:val="single" w:sz="18" w:space="0" w:color="auto"/>
            </w:tcBorders>
            <w:shd w:val="clear" w:color="auto" w:fill="auto"/>
            <w:vAlign w:val="center"/>
          </w:tcPr>
          <w:p w14:paraId="7A06F9E5" w14:textId="052FBC6C" w:rsidR="009E1F18" w:rsidRPr="004B5178" w:rsidRDefault="009E1F18" w:rsidP="009E1F18">
            <w:r w:rsidRPr="00803DEA">
              <w:rPr>
                <w:rFonts w:eastAsia="Calibri"/>
              </w:rPr>
              <w:t>1.211</w:t>
            </w:r>
          </w:p>
        </w:tc>
        <w:tc>
          <w:tcPr>
            <w:tcW w:w="1843" w:type="dxa"/>
            <w:tcBorders>
              <w:top w:val="nil"/>
              <w:left w:val="single" w:sz="18" w:space="0" w:color="auto"/>
              <w:bottom w:val="single" w:sz="4" w:space="0" w:color="auto"/>
              <w:right w:val="single" w:sz="4" w:space="0" w:color="auto"/>
            </w:tcBorders>
            <w:shd w:val="clear" w:color="auto" w:fill="auto"/>
            <w:vAlign w:val="center"/>
          </w:tcPr>
          <w:p w14:paraId="78ADB3F5" w14:textId="40C6EC17" w:rsidR="009E1F18" w:rsidRPr="004B5178" w:rsidRDefault="009E1F18" w:rsidP="009E1F18">
            <w:r w:rsidRPr="00803DEA">
              <w:rPr>
                <w:rFonts w:eastAsia="Calibri"/>
              </w:rPr>
              <w:t>Age 45 - 54 Female</w:t>
            </w:r>
          </w:p>
        </w:tc>
        <w:tc>
          <w:tcPr>
            <w:tcW w:w="1684" w:type="dxa"/>
            <w:tcBorders>
              <w:top w:val="nil"/>
              <w:left w:val="nil"/>
              <w:bottom w:val="single" w:sz="4" w:space="0" w:color="auto"/>
              <w:right w:val="single" w:sz="4" w:space="0" w:color="auto"/>
            </w:tcBorders>
            <w:shd w:val="clear" w:color="auto" w:fill="auto"/>
            <w:vAlign w:val="center"/>
          </w:tcPr>
          <w:p w14:paraId="3ADDC241" w14:textId="2A5C0499" w:rsidR="009E1F18" w:rsidRPr="004B5178" w:rsidRDefault="009E1F18" w:rsidP="009E1F18">
            <w:r w:rsidRPr="00803DEA">
              <w:rPr>
                <w:rFonts w:eastAsia="Calibri"/>
              </w:rPr>
              <w:t>-0.081</w:t>
            </w:r>
          </w:p>
        </w:tc>
        <w:tc>
          <w:tcPr>
            <w:tcW w:w="874" w:type="dxa"/>
            <w:tcBorders>
              <w:top w:val="nil"/>
              <w:left w:val="nil"/>
              <w:bottom w:val="single" w:sz="4" w:space="0" w:color="auto"/>
              <w:right w:val="single" w:sz="4" w:space="0" w:color="auto"/>
            </w:tcBorders>
            <w:shd w:val="clear" w:color="auto" w:fill="auto"/>
            <w:vAlign w:val="center"/>
          </w:tcPr>
          <w:p w14:paraId="68720204" w14:textId="27293E0C" w:rsidR="009E1F18" w:rsidRPr="004B5178" w:rsidRDefault="009E1F18" w:rsidP="009E1F18">
            <w:r w:rsidRPr="00803DEA">
              <w:rPr>
                <w:rFonts w:eastAsia="Calibri"/>
              </w:rPr>
              <w:t>0.922</w:t>
            </w:r>
          </w:p>
        </w:tc>
        <w:tc>
          <w:tcPr>
            <w:tcW w:w="986" w:type="dxa"/>
            <w:tcBorders>
              <w:top w:val="nil"/>
              <w:left w:val="nil"/>
              <w:bottom w:val="single" w:sz="4" w:space="0" w:color="auto"/>
              <w:right w:val="single" w:sz="4" w:space="0" w:color="auto"/>
            </w:tcBorders>
            <w:shd w:val="clear" w:color="auto" w:fill="auto"/>
            <w:vAlign w:val="center"/>
          </w:tcPr>
          <w:p w14:paraId="78C43B73" w14:textId="743E0B60" w:rsidR="009E1F18" w:rsidRPr="004B5178" w:rsidRDefault="009E1F18" w:rsidP="009E1F18">
            <w:r w:rsidRPr="00803DEA">
              <w:rPr>
                <w:rFonts w:eastAsia="Calibri"/>
              </w:rPr>
              <w:t>0.595</w:t>
            </w:r>
          </w:p>
        </w:tc>
        <w:tc>
          <w:tcPr>
            <w:tcW w:w="1264" w:type="dxa"/>
            <w:tcBorders>
              <w:top w:val="nil"/>
              <w:left w:val="nil"/>
              <w:bottom w:val="single" w:sz="4" w:space="0" w:color="auto"/>
              <w:right w:val="single" w:sz="4" w:space="0" w:color="auto"/>
            </w:tcBorders>
            <w:shd w:val="clear" w:color="auto" w:fill="auto"/>
            <w:vAlign w:val="center"/>
          </w:tcPr>
          <w:p w14:paraId="1B29AF7A" w14:textId="0B476AD9" w:rsidR="009E1F18" w:rsidRPr="004B5178" w:rsidRDefault="009E1F18" w:rsidP="009E1F18">
            <w:r w:rsidRPr="00803DEA">
              <w:rPr>
                <w:rFonts w:eastAsia="Calibri"/>
              </w:rPr>
              <w:t>0.683</w:t>
            </w:r>
          </w:p>
        </w:tc>
        <w:tc>
          <w:tcPr>
            <w:tcW w:w="1318" w:type="dxa"/>
            <w:tcBorders>
              <w:top w:val="nil"/>
              <w:left w:val="nil"/>
              <w:bottom w:val="single" w:sz="4" w:space="0" w:color="auto"/>
              <w:right w:val="single" w:sz="4" w:space="0" w:color="auto"/>
            </w:tcBorders>
            <w:shd w:val="clear" w:color="auto" w:fill="auto"/>
            <w:vAlign w:val="center"/>
          </w:tcPr>
          <w:p w14:paraId="293DA92C" w14:textId="4DDABBCE" w:rsidR="009E1F18" w:rsidRPr="004B5178" w:rsidRDefault="009E1F18" w:rsidP="009E1F18">
            <w:r w:rsidRPr="00803DEA">
              <w:rPr>
                <w:rFonts w:eastAsia="Calibri"/>
              </w:rPr>
              <w:t>1.244</w:t>
            </w:r>
          </w:p>
        </w:tc>
      </w:tr>
      <w:tr w:rsidR="009E1F18" w14:paraId="6C96945F"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20D9F54A" w14:textId="135C2F9D" w:rsidR="009E1F18" w:rsidRPr="004B5178" w:rsidRDefault="009E1F18" w:rsidP="009E1F18">
            <w:r w:rsidRPr="00803DEA">
              <w:rPr>
                <w:rFonts w:eastAsia="Calibri"/>
              </w:rPr>
              <w:t>Age 55 - 64 Female</w:t>
            </w:r>
          </w:p>
        </w:tc>
        <w:tc>
          <w:tcPr>
            <w:tcW w:w="1439" w:type="dxa"/>
            <w:tcBorders>
              <w:top w:val="nil"/>
              <w:left w:val="nil"/>
              <w:bottom w:val="single" w:sz="4" w:space="0" w:color="auto"/>
              <w:right w:val="single" w:sz="4" w:space="0" w:color="auto"/>
            </w:tcBorders>
            <w:shd w:val="clear" w:color="auto" w:fill="auto"/>
            <w:vAlign w:val="center"/>
          </w:tcPr>
          <w:p w14:paraId="64A3D7B8" w14:textId="529B4C3C" w:rsidR="009E1F18" w:rsidRPr="004B5178" w:rsidRDefault="009E1F18" w:rsidP="009E1F18">
            <w:r w:rsidRPr="00803DEA">
              <w:rPr>
                <w:rFonts w:eastAsia="Calibri"/>
              </w:rPr>
              <w:t>-0.105</w:t>
            </w:r>
          </w:p>
        </w:tc>
        <w:tc>
          <w:tcPr>
            <w:tcW w:w="872" w:type="dxa"/>
            <w:tcBorders>
              <w:top w:val="nil"/>
              <w:left w:val="nil"/>
              <w:bottom w:val="single" w:sz="4" w:space="0" w:color="auto"/>
              <w:right w:val="single" w:sz="4" w:space="0" w:color="auto"/>
            </w:tcBorders>
            <w:shd w:val="clear" w:color="auto" w:fill="auto"/>
            <w:vAlign w:val="center"/>
          </w:tcPr>
          <w:p w14:paraId="7C97A4C0" w14:textId="2AC88E76" w:rsidR="009E1F18" w:rsidRPr="004B5178" w:rsidRDefault="009E1F18" w:rsidP="009E1F18">
            <w:r w:rsidRPr="00803DEA">
              <w:rPr>
                <w:rFonts w:eastAsia="Calibri"/>
              </w:rPr>
              <w:t>0.900</w:t>
            </w:r>
          </w:p>
        </w:tc>
        <w:tc>
          <w:tcPr>
            <w:tcW w:w="896" w:type="dxa"/>
            <w:tcBorders>
              <w:top w:val="nil"/>
              <w:left w:val="nil"/>
              <w:bottom w:val="single" w:sz="4" w:space="0" w:color="auto"/>
              <w:right w:val="single" w:sz="4" w:space="0" w:color="auto"/>
            </w:tcBorders>
            <w:shd w:val="clear" w:color="auto" w:fill="auto"/>
            <w:vAlign w:val="center"/>
          </w:tcPr>
          <w:p w14:paraId="60986411" w14:textId="6B0E1796" w:rsidR="009E1F18" w:rsidRPr="004B5178" w:rsidRDefault="009E1F18" w:rsidP="009E1F18">
            <w:r w:rsidRPr="00803DEA">
              <w:rPr>
                <w:rFonts w:eastAsia="Calibri"/>
              </w:rPr>
              <w:t>0.440</w:t>
            </w:r>
          </w:p>
        </w:tc>
        <w:tc>
          <w:tcPr>
            <w:tcW w:w="1319" w:type="dxa"/>
            <w:tcBorders>
              <w:top w:val="nil"/>
              <w:left w:val="nil"/>
              <w:bottom w:val="single" w:sz="4" w:space="0" w:color="auto"/>
              <w:right w:val="single" w:sz="4" w:space="0" w:color="auto"/>
            </w:tcBorders>
            <w:shd w:val="clear" w:color="auto" w:fill="auto"/>
            <w:vAlign w:val="center"/>
          </w:tcPr>
          <w:p w14:paraId="5143C601" w14:textId="16ABC3B7" w:rsidR="009E1F18" w:rsidRPr="004B5178" w:rsidRDefault="009E1F18" w:rsidP="009E1F18">
            <w:r w:rsidRPr="00803DEA">
              <w:rPr>
                <w:rFonts w:eastAsia="Calibri"/>
              </w:rPr>
              <w:t>0.690</w:t>
            </w:r>
          </w:p>
        </w:tc>
        <w:tc>
          <w:tcPr>
            <w:tcW w:w="1275" w:type="dxa"/>
            <w:tcBorders>
              <w:top w:val="nil"/>
              <w:left w:val="nil"/>
              <w:bottom w:val="single" w:sz="4" w:space="0" w:color="auto"/>
              <w:right w:val="single" w:sz="18" w:space="0" w:color="auto"/>
            </w:tcBorders>
            <w:shd w:val="clear" w:color="auto" w:fill="auto"/>
            <w:vAlign w:val="center"/>
          </w:tcPr>
          <w:p w14:paraId="300FE86F" w14:textId="567FFE73" w:rsidR="009E1F18" w:rsidRPr="004B5178" w:rsidRDefault="009E1F18" w:rsidP="009E1F18">
            <w:r w:rsidRPr="00803DEA">
              <w:rPr>
                <w:rFonts w:eastAsia="Calibri"/>
              </w:rPr>
              <w:t>1.175</w:t>
            </w:r>
          </w:p>
        </w:tc>
        <w:tc>
          <w:tcPr>
            <w:tcW w:w="1843" w:type="dxa"/>
            <w:tcBorders>
              <w:top w:val="nil"/>
              <w:left w:val="single" w:sz="18" w:space="0" w:color="auto"/>
              <w:bottom w:val="single" w:sz="4" w:space="0" w:color="auto"/>
              <w:right w:val="single" w:sz="4" w:space="0" w:color="auto"/>
            </w:tcBorders>
            <w:shd w:val="clear" w:color="auto" w:fill="auto"/>
            <w:vAlign w:val="center"/>
          </w:tcPr>
          <w:p w14:paraId="6D54BC85" w14:textId="5B63B7C8" w:rsidR="009E1F18" w:rsidRPr="004B5178" w:rsidRDefault="009E1F18" w:rsidP="009E1F18">
            <w:r w:rsidRPr="00803DEA">
              <w:rPr>
                <w:rFonts w:eastAsia="Calibri"/>
              </w:rPr>
              <w:t>Age 55 - 64 Female</w:t>
            </w:r>
          </w:p>
        </w:tc>
        <w:tc>
          <w:tcPr>
            <w:tcW w:w="1684" w:type="dxa"/>
            <w:tcBorders>
              <w:top w:val="nil"/>
              <w:left w:val="nil"/>
              <w:bottom w:val="single" w:sz="4" w:space="0" w:color="auto"/>
              <w:right w:val="single" w:sz="4" w:space="0" w:color="auto"/>
            </w:tcBorders>
            <w:shd w:val="clear" w:color="auto" w:fill="auto"/>
            <w:vAlign w:val="center"/>
          </w:tcPr>
          <w:p w14:paraId="66D11E1E" w14:textId="1B8E6DB8" w:rsidR="009E1F18" w:rsidRPr="004B5178" w:rsidRDefault="009E1F18" w:rsidP="009E1F18">
            <w:r w:rsidRPr="00803DEA">
              <w:rPr>
                <w:rFonts w:eastAsia="Calibri"/>
              </w:rPr>
              <w:t>-0.097</w:t>
            </w:r>
          </w:p>
        </w:tc>
        <w:tc>
          <w:tcPr>
            <w:tcW w:w="874" w:type="dxa"/>
            <w:tcBorders>
              <w:top w:val="nil"/>
              <w:left w:val="nil"/>
              <w:bottom w:val="single" w:sz="4" w:space="0" w:color="auto"/>
              <w:right w:val="single" w:sz="4" w:space="0" w:color="auto"/>
            </w:tcBorders>
            <w:shd w:val="clear" w:color="auto" w:fill="auto"/>
            <w:vAlign w:val="center"/>
          </w:tcPr>
          <w:p w14:paraId="7F7D6300" w14:textId="4213DB33" w:rsidR="009E1F18" w:rsidRPr="004B5178" w:rsidRDefault="009E1F18" w:rsidP="009E1F18">
            <w:r w:rsidRPr="00803DEA">
              <w:rPr>
                <w:rFonts w:eastAsia="Calibri"/>
              </w:rPr>
              <w:t>0.908</w:t>
            </w:r>
          </w:p>
        </w:tc>
        <w:tc>
          <w:tcPr>
            <w:tcW w:w="986" w:type="dxa"/>
            <w:tcBorders>
              <w:top w:val="nil"/>
              <w:left w:val="nil"/>
              <w:bottom w:val="single" w:sz="4" w:space="0" w:color="auto"/>
              <w:right w:val="single" w:sz="4" w:space="0" w:color="auto"/>
            </w:tcBorders>
            <w:shd w:val="clear" w:color="auto" w:fill="auto"/>
            <w:vAlign w:val="center"/>
          </w:tcPr>
          <w:p w14:paraId="084BEBBE" w14:textId="0ECD0594" w:rsidR="009E1F18" w:rsidRPr="004B5178" w:rsidRDefault="009E1F18" w:rsidP="009E1F18">
            <w:r w:rsidRPr="00803DEA">
              <w:rPr>
                <w:rFonts w:eastAsia="Calibri"/>
              </w:rPr>
              <w:t>0.481</w:t>
            </w:r>
          </w:p>
        </w:tc>
        <w:tc>
          <w:tcPr>
            <w:tcW w:w="1264" w:type="dxa"/>
            <w:tcBorders>
              <w:top w:val="nil"/>
              <w:left w:val="nil"/>
              <w:bottom w:val="single" w:sz="4" w:space="0" w:color="auto"/>
              <w:right w:val="single" w:sz="4" w:space="0" w:color="auto"/>
            </w:tcBorders>
            <w:shd w:val="clear" w:color="auto" w:fill="auto"/>
            <w:vAlign w:val="center"/>
          </w:tcPr>
          <w:p w14:paraId="639F8B7F" w14:textId="6A5BAE45" w:rsidR="009E1F18" w:rsidRPr="004B5178" w:rsidRDefault="009E1F18" w:rsidP="009E1F18">
            <w:r w:rsidRPr="00803DEA">
              <w:rPr>
                <w:rFonts w:eastAsia="Calibri"/>
              </w:rPr>
              <w:t>0.693</w:t>
            </w:r>
          </w:p>
        </w:tc>
        <w:tc>
          <w:tcPr>
            <w:tcW w:w="1318" w:type="dxa"/>
            <w:tcBorders>
              <w:top w:val="nil"/>
              <w:left w:val="nil"/>
              <w:bottom w:val="single" w:sz="4" w:space="0" w:color="auto"/>
              <w:right w:val="single" w:sz="4" w:space="0" w:color="auto"/>
            </w:tcBorders>
            <w:shd w:val="clear" w:color="auto" w:fill="auto"/>
            <w:vAlign w:val="center"/>
          </w:tcPr>
          <w:p w14:paraId="7AB77F2B" w14:textId="5A396D0C" w:rsidR="009E1F18" w:rsidRPr="004B5178" w:rsidRDefault="009E1F18" w:rsidP="009E1F18">
            <w:r w:rsidRPr="00803DEA">
              <w:rPr>
                <w:rFonts w:eastAsia="Calibri"/>
              </w:rPr>
              <w:t>1.189</w:t>
            </w:r>
          </w:p>
        </w:tc>
      </w:tr>
      <w:tr w:rsidR="009E1F18" w14:paraId="4B19561B" w14:textId="77777777" w:rsidTr="007E2565">
        <w:tc>
          <w:tcPr>
            <w:tcW w:w="1824" w:type="dxa"/>
            <w:tcBorders>
              <w:top w:val="nil"/>
              <w:left w:val="single" w:sz="4" w:space="0" w:color="auto"/>
              <w:bottom w:val="single" w:sz="4" w:space="0" w:color="auto"/>
              <w:right w:val="single" w:sz="4" w:space="0" w:color="auto"/>
            </w:tcBorders>
            <w:shd w:val="clear" w:color="auto" w:fill="auto"/>
            <w:vAlign w:val="center"/>
          </w:tcPr>
          <w:p w14:paraId="7206338C" w14:textId="075159BF" w:rsidR="009E1F18" w:rsidRPr="004B5178" w:rsidRDefault="009E1F18" w:rsidP="009E1F18">
            <w:r w:rsidRPr="00803DEA">
              <w:rPr>
                <w:rFonts w:eastAsia="Calibri"/>
              </w:rPr>
              <w:t>Age 65 - 75 Female</w:t>
            </w:r>
          </w:p>
        </w:tc>
        <w:tc>
          <w:tcPr>
            <w:tcW w:w="1439" w:type="dxa"/>
            <w:tcBorders>
              <w:top w:val="nil"/>
              <w:left w:val="nil"/>
              <w:bottom w:val="single" w:sz="4" w:space="0" w:color="auto"/>
              <w:right w:val="single" w:sz="4" w:space="0" w:color="auto"/>
            </w:tcBorders>
            <w:shd w:val="clear" w:color="auto" w:fill="auto"/>
            <w:vAlign w:val="center"/>
          </w:tcPr>
          <w:p w14:paraId="72F46FED" w14:textId="56ECB14D" w:rsidR="009E1F18" w:rsidRPr="004B5178" w:rsidRDefault="009E1F18" w:rsidP="009E1F18">
            <w:r w:rsidRPr="00803DEA">
              <w:rPr>
                <w:rFonts w:eastAsia="Calibri"/>
              </w:rPr>
              <w:t>0.231</w:t>
            </w:r>
          </w:p>
        </w:tc>
        <w:tc>
          <w:tcPr>
            <w:tcW w:w="872" w:type="dxa"/>
            <w:tcBorders>
              <w:top w:val="nil"/>
              <w:left w:val="nil"/>
              <w:bottom w:val="single" w:sz="4" w:space="0" w:color="auto"/>
              <w:right w:val="single" w:sz="4" w:space="0" w:color="auto"/>
            </w:tcBorders>
            <w:shd w:val="clear" w:color="auto" w:fill="auto"/>
            <w:vAlign w:val="center"/>
          </w:tcPr>
          <w:p w14:paraId="2676D0DC" w14:textId="515ACAA9" w:rsidR="009E1F18" w:rsidRPr="004B5178" w:rsidRDefault="009E1F18" w:rsidP="009E1F18">
            <w:r w:rsidRPr="00803DEA">
              <w:rPr>
                <w:rFonts w:eastAsia="Calibri"/>
              </w:rPr>
              <w:t>1.260</w:t>
            </w:r>
          </w:p>
        </w:tc>
        <w:tc>
          <w:tcPr>
            <w:tcW w:w="896" w:type="dxa"/>
            <w:tcBorders>
              <w:top w:val="nil"/>
              <w:left w:val="nil"/>
              <w:bottom w:val="single" w:sz="4" w:space="0" w:color="auto"/>
              <w:right w:val="single" w:sz="4" w:space="0" w:color="auto"/>
            </w:tcBorders>
            <w:shd w:val="clear" w:color="auto" w:fill="auto"/>
            <w:vAlign w:val="center"/>
          </w:tcPr>
          <w:p w14:paraId="373741D8" w14:textId="231DA09E" w:rsidR="009E1F18" w:rsidRPr="004B5178" w:rsidRDefault="009E1F18" w:rsidP="009E1F18">
            <w:r w:rsidRPr="00803DEA">
              <w:rPr>
                <w:rFonts w:eastAsia="Calibri"/>
              </w:rPr>
              <w:t>0.097</w:t>
            </w:r>
          </w:p>
        </w:tc>
        <w:tc>
          <w:tcPr>
            <w:tcW w:w="1319" w:type="dxa"/>
            <w:tcBorders>
              <w:top w:val="nil"/>
              <w:left w:val="nil"/>
              <w:bottom w:val="single" w:sz="4" w:space="0" w:color="auto"/>
              <w:right w:val="single" w:sz="4" w:space="0" w:color="auto"/>
            </w:tcBorders>
            <w:shd w:val="clear" w:color="auto" w:fill="auto"/>
            <w:vAlign w:val="center"/>
          </w:tcPr>
          <w:p w14:paraId="5DE5BE9A" w14:textId="42A7A477" w:rsidR="009E1F18" w:rsidRPr="004B5178" w:rsidRDefault="009E1F18" w:rsidP="009E1F18">
            <w:r w:rsidRPr="00803DEA">
              <w:rPr>
                <w:rFonts w:eastAsia="Calibri"/>
              </w:rPr>
              <w:t>0.959</w:t>
            </w:r>
          </w:p>
        </w:tc>
        <w:tc>
          <w:tcPr>
            <w:tcW w:w="1275" w:type="dxa"/>
            <w:tcBorders>
              <w:top w:val="nil"/>
              <w:left w:val="nil"/>
              <w:bottom w:val="single" w:sz="4" w:space="0" w:color="auto"/>
              <w:right w:val="single" w:sz="18" w:space="0" w:color="auto"/>
            </w:tcBorders>
            <w:shd w:val="clear" w:color="auto" w:fill="auto"/>
            <w:vAlign w:val="center"/>
          </w:tcPr>
          <w:p w14:paraId="51CE108E" w14:textId="345D459E" w:rsidR="009E1F18" w:rsidRPr="004B5178" w:rsidRDefault="009E1F18" w:rsidP="009E1F18">
            <w:r w:rsidRPr="00803DEA">
              <w:rPr>
                <w:rFonts w:eastAsia="Calibri"/>
              </w:rPr>
              <w:t>1.655</w:t>
            </w:r>
          </w:p>
        </w:tc>
        <w:tc>
          <w:tcPr>
            <w:tcW w:w="1843" w:type="dxa"/>
            <w:tcBorders>
              <w:top w:val="nil"/>
              <w:left w:val="single" w:sz="18" w:space="0" w:color="auto"/>
              <w:bottom w:val="single" w:sz="4" w:space="0" w:color="auto"/>
              <w:right w:val="single" w:sz="4" w:space="0" w:color="auto"/>
            </w:tcBorders>
            <w:shd w:val="clear" w:color="auto" w:fill="auto"/>
            <w:vAlign w:val="center"/>
          </w:tcPr>
          <w:p w14:paraId="695E0607" w14:textId="68195959" w:rsidR="009E1F18" w:rsidRPr="004B5178" w:rsidRDefault="009E1F18" w:rsidP="009E1F18">
            <w:r w:rsidRPr="00803DEA">
              <w:rPr>
                <w:rFonts w:eastAsia="Calibri"/>
              </w:rPr>
              <w:t>Age 65 - 75 Female</w:t>
            </w:r>
          </w:p>
        </w:tc>
        <w:tc>
          <w:tcPr>
            <w:tcW w:w="1684" w:type="dxa"/>
            <w:tcBorders>
              <w:top w:val="nil"/>
              <w:left w:val="nil"/>
              <w:bottom w:val="single" w:sz="4" w:space="0" w:color="auto"/>
              <w:right w:val="single" w:sz="4" w:space="0" w:color="auto"/>
            </w:tcBorders>
            <w:shd w:val="clear" w:color="auto" w:fill="auto"/>
            <w:vAlign w:val="center"/>
          </w:tcPr>
          <w:p w14:paraId="571A30B4" w14:textId="2F858C11" w:rsidR="009E1F18" w:rsidRPr="004B5178" w:rsidRDefault="009E1F18" w:rsidP="009E1F18">
            <w:r w:rsidRPr="00803DEA">
              <w:rPr>
                <w:rFonts w:eastAsia="Calibri"/>
              </w:rPr>
              <w:t>0.258</w:t>
            </w:r>
          </w:p>
        </w:tc>
        <w:tc>
          <w:tcPr>
            <w:tcW w:w="874" w:type="dxa"/>
            <w:tcBorders>
              <w:top w:val="nil"/>
              <w:left w:val="nil"/>
              <w:bottom w:val="single" w:sz="4" w:space="0" w:color="auto"/>
              <w:right w:val="single" w:sz="4" w:space="0" w:color="auto"/>
            </w:tcBorders>
            <w:shd w:val="clear" w:color="auto" w:fill="auto"/>
            <w:vAlign w:val="center"/>
          </w:tcPr>
          <w:p w14:paraId="22CB5464" w14:textId="315B2EC2" w:rsidR="009E1F18" w:rsidRPr="004B5178" w:rsidRDefault="009E1F18" w:rsidP="009E1F18">
            <w:r w:rsidRPr="00803DEA">
              <w:rPr>
                <w:rFonts w:eastAsia="Calibri"/>
              </w:rPr>
              <w:t>1.294</w:t>
            </w:r>
          </w:p>
        </w:tc>
        <w:tc>
          <w:tcPr>
            <w:tcW w:w="986" w:type="dxa"/>
            <w:tcBorders>
              <w:top w:val="nil"/>
              <w:left w:val="nil"/>
              <w:bottom w:val="single" w:sz="4" w:space="0" w:color="auto"/>
              <w:right w:val="single" w:sz="4" w:space="0" w:color="auto"/>
            </w:tcBorders>
            <w:shd w:val="clear" w:color="auto" w:fill="auto"/>
            <w:vAlign w:val="center"/>
          </w:tcPr>
          <w:p w14:paraId="6D71427D" w14:textId="121DA65D" w:rsidR="009E1F18" w:rsidRPr="004B5178" w:rsidRDefault="009E1F18" w:rsidP="009E1F18">
            <w:r w:rsidRPr="00803DEA">
              <w:rPr>
                <w:rFonts w:eastAsia="Calibri"/>
              </w:rPr>
              <w:t>0.055</w:t>
            </w:r>
          </w:p>
        </w:tc>
        <w:tc>
          <w:tcPr>
            <w:tcW w:w="1264" w:type="dxa"/>
            <w:tcBorders>
              <w:top w:val="nil"/>
              <w:left w:val="nil"/>
              <w:bottom w:val="single" w:sz="4" w:space="0" w:color="auto"/>
              <w:right w:val="single" w:sz="4" w:space="0" w:color="auto"/>
            </w:tcBorders>
            <w:shd w:val="clear" w:color="auto" w:fill="auto"/>
            <w:vAlign w:val="center"/>
          </w:tcPr>
          <w:p w14:paraId="2D109E29" w14:textId="1684081E" w:rsidR="009E1F18" w:rsidRPr="004B5178" w:rsidRDefault="009E1F18" w:rsidP="009E1F18">
            <w:r w:rsidRPr="00803DEA">
              <w:rPr>
                <w:rFonts w:eastAsia="Calibri"/>
              </w:rPr>
              <w:t>0.994</w:t>
            </w:r>
          </w:p>
        </w:tc>
        <w:tc>
          <w:tcPr>
            <w:tcW w:w="1318" w:type="dxa"/>
            <w:tcBorders>
              <w:top w:val="nil"/>
              <w:left w:val="nil"/>
              <w:bottom w:val="single" w:sz="4" w:space="0" w:color="auto"/>
              <w:right w:val="single" w:sz="4" w:space="0" w:color="auto"/>
            </w:tcBorders>
            <w:shd w:val="clear" w:color="auto" w:fill="auto"/>
            <w:vAlign w:val="center"/>
          </w:tcPr>
          <w:p w14:paraId="71906255" w14:textId="62382191" w:rsidR="009E1F18" w:rsidRPr="004B5178" w:rsidRDefault="009E1F18" w:rsidP="009E1F18">
            <w:r w:rsidRPr="00803DEA">
              <w:rPr>
                <w:rFonts w:eastAsia="Calibri"/>
              </w:rPr>
              <w:t>1.684</w:t>
            </w:r>
          </w:p>
        </w:tc>
      </w:tr>
    </w:tbl>
    <w:p w14:paraId="7E561FF2" w14:textId="77777777" w:rsidR="009E1F18" w:rsidRDefault="009E1F18" w:rsidP="009E1F18">
      <w:pPr>
        <w:rPr>
          <w:b/>
          <w:bCs/>
        </w:rPr>
      </w:pPr>
    </w:p>
    <w:tbl>
      <w:tblPr>
        <w:tblStyle w:val="TableGridLight"/>
        <w:tblW w:w="14888" w:type="dxa"/>
        <w:tblLook w:val="01E0" w:firstRow="1" w:lastRow="1" w:firstColumn="1" w:lastColumn="1" w:noHBand="0" w:noVBand="0"/>
      </w:tblPr>
      <w:tblGrid>
        <w:gridCol w:w="2323"/>
        <w:gridCol w:w="12565"/>
      </w:tblGrid>
      <w:tr w:rsidR="009E1F18" w:rsidRPr="009E1F18" w14:paraId="7B2FBD41" w14:textId="77777777" w:rsidTr="007E2565">
        <w:trPr>
          <w:trHeight w:val="525"/>
        </w:trPr>
        <w:tc>
          <w:tcPr>
            <w:tcW w:w="2323" w:type="dxa"/>
          </w:tcPr>
          <w:p w14:paraId="03EE61BC" w14:textId="77777777" w:rsidR="009E1F18" w:rsidRPr="009E1F18" w:rsidRDefault="009E1F18" w:rsidP="009E1F18">
            <w:pPr>
              <w:rPr>
                <w:b/>
              </w:rPr>
            </w:pPr>
            <w:r w:rsidRPr="009E1F18">
              <w:rPr>
                <w:b/>
              </w:rPr>
              <w:t>IAS Ref Code</w:t>
            </w:r>
          </w:p>
        </w:tc>
        <w:tc>
          <w:tcPr>
            <w:tcW w:w="12565" w:type="dxa"/>
          </w:tcPr>
          <w:p w14:paraId="6B281162" w14:textId="77777777" w:rsidR="009E1F18" w:rsidRPr="009E1F18" w:rsidRDefault="009E1F18" w:rsidP="009E1F18">
            <w:pPr>
              <w:rPr>
                <w:b/>
              </w:rPr>
            </w:pPr>
          </w:p>
        </w:tc>
      </w:tr>
      <w:tr w:rsidR="009E1F18" w:rsidRPr="009E1F18" w14:paraId="387749FD" w14:textId="77777777" w:rsidTr="007E2565">
        <w:trPr>
          <w:trHeight w:val="973"/>
        </w:trPr>
        <w:tc>
          <w:tcPr>
            <w:tcW w:w="2323" w:type="dxa"/>
          </w:tcPr>
          <w:p w14:paraId="717C731A" w14:textId="77777777" w:rsidR="009E1F18" w:rsidRPr="009E1F18" w:rsidRDefault="009E1F18" w:rsidP="009E1F18">
            <w:pPr>
              <w:rPr>
                <w:b/>
              </w:rPr>
            </w:pPr>
            <w:r w:rsidRPr="009E1F18">
              <w:rPr>
                <w:b/>
              </w:rPr>
              <w:t>Indicator Title</w:t>
            </w:r>
          </w:p>
        </w:tc>
        <w:tc>
          <w:tcPr>
            <w:tcW w:w="12565" w:type="dxa"/>
          </w:tcPr>
          <w:p w14:paraId="4E589C76" w14:textId="77777777" w:rsidR="009E1F18" w:rsidRPr="009E1F18" w:rsidRDefault="009E1F18" w:rsidP="009E1F18">
            <w:pPr>
              <w:rPr>
                <w:b/>
              </w:rPr>
            </w:pPr>
          </w:p>
        </w:tc>
      </w:tr>
      <w:tr w:rsidR="009E1F18" w:rsidRPr="009E1F18" w14:paraId="2786A4B9" w14:textId="77777777" w:rsidTr="007E2565">
        <w:trPr>
          <w:trHeight w:val="548"/>
        </w:trPr>
        <w:tc>
          <w:tcPr>
            <w:tcW w:w="2323" w:type="dxa"/>
          </w:tcPr>
          <w:p w14:paraId="535E30B2" w14:textId="77777777" w:rsidR="009E1F18" w:rsidRPr="009E1F18" w:rsidRDefault="009E1F18" w:rsidP="009E1F18">
            <w:pPr>
              <w:rPr>
                <w:b/>
              </w:rPr>
            </w:pPr>
            <w:r w:rsidRPr="009E1F18">
              <w:rPr>
                <w:b/>
              </w:rPr>
              <w:t>Indicator Set</w:t>
            </w:r>
          </w:p>
        </w:tc>
        <w:tc>
          <w:tcPr>
            <w:tcW w:w="12565" w:type="dxa"/>
          </w:tcPr>
          <w:p w14:paraId="5F7F08EF" w14:textId="77777777" w:rsidR="009E1F18" w:rsidRPr="009E1F18" w:rsidRDefault="009E1F18" w:rsidP="009E1F18">
            <w:pPr>
              <w:rPr>
                <w:b/>
              </w:rPr>
            </w:pPr>
          </w:p>
        </w:tc>
      </w:tr>
    </w:tbl>
    <w:p w14:paraId="736A1642" w14:textId="77777777" w:rsidR="009E1F18" w:rsidRPr="009E1F18" w:rsidRDefault="009E1F18" w:rsidP="009E1F18">
      <w:pPr>
        <w:ind w:left="-540"/>
      </w:pPr>
    </w:p>
    <w:p w14:paraId="47E4E600" w14:textId="77777777" w:rsidR="009E1F18" w:rsidRPr="009E1F18" w:rsidRDefault="009E1F18" w:rsidP="009E1F18">
      <w:pPr>
        <w:ind w:left="-540"/>
      </w:pPr>
    </w:p>
    <w:tbl>
      <w:tblPr>
        <w:tblStyle w:val="TableGrid"/>
        <w:tblW w:w="14913" w:type="dxa"/>
        <w:tblLook w:val="01E0" w:firstRow="1" w:lastRow="1" w:firstColumn="1" w:lastColumn="1" w:noHBand="0" w:noVBand="0"/>
      </w:tblPr>
      <w:tblGrid>
        <w:gridCol w:w="1127"/>
        <w:gridCol w:w="1318"/>
        <w:gridCol w:w="2650"/>
        <w:gridCol w:w="9818"/>
      </w:tblGrid>
      <w:tr w:rsidR="009E1F18" w:rsidRPr="009E1F18" w14:paraId="6540248E" w14:textId="77777777" w:rsidTr="007E2565">
        <w:trPr>
          <w:trHeight w:val="243"/>
        </w:trPr>
        <w:tc>
          <w:tcPr>
            <w:tcW w:w="1127" w:type="dxa"/>
          </w:tcPr>
          <w:p w14:paraId="335869F0" w14:textId="77777777" w:rsidR="009E1F18" w:rsidRPr="009E1F18" w:rsidRDefault="009E1F18" w:rsidP="009E1F18">
            <w:r w:rsidRPr="009E1F18">
              <w:t>Version</w:t>
            </w:r>
          </w:p>
        </w:tc>
        <w:tc>
          <w:tcPr>
            <w:tcW w:w="1318" w:type="dxa"/>
          </w:tcPr>
          <w:p w14:paraId="61E4F128" w14:textId="77777777" w:rsidR="009E1F18" w:rsidRPr="009E1F18" w:rsidRDefault="009E1F18" w:rsidP="009E1F18">
            <w:r w:rsidRPr="009E1F18">
              <w:t>Date</w:t>
            </w:r>
          </w:p>
        </w:tc>
        <w:tc>
          <w:tcPr>
            <w:tcW w:w="2650" w:type="dxa"/>
          </w:tcPr>
          <w:p w14:paraId="2704649F" w14:textId="77777777" w:rsidR="009E1F18" w:rsidRPr="009E1F18" w:rsidRDefault="009E1F18" w:rsidP="009E1F18">
            <w:r w:rsidRPr="009E1F18">
              <w:t>Changed By</w:t>
            </w:r>
          </w:p>
        </w:tc>
        <w:tc>
          <w:tcPr>
            <w:tcW w:w="9818" w:type="dxa"/>
          </w:tcPr>
          <w:p w14:paraId="6E950079" w14:textId="77777777" w:rsidR="009E1F18" w:rsidRPr="009E1F18" w:rsidRDefault="009E1F18" w:rsidP="009E1F18">
            <w:r w:rsidRPr="009E1F18">
              <w:t>Summary of changes</w:t>
            </w:r>
          </w:p>
        </w:tc>
      </w:tr>
      <w:tr w:rsidR="009E1F18" w:rsidRPr="009E1F18" w14:paraId="6718E556" w14:textId="77777777" w:rsidTr="007E2565">
        <w:trPr>
          <w:trHeight w:val="280"/>
        </w:trPr>
        <w:tc>
          <w:tcPr>
            <w:tcW w:w="1127" w:type="dxa"/>
          </w:tcPr>
          <w:p w14:paraId="68C74C80" w14:textId="77777777" w:rsidR="009E1F18" w:rsidRPr="009E1F18" w:rsidRDefault="009E1F18" w:rsidP="009E1F18">
            <w:r w:rsidRPr="009E1F18">
              <w:t>v.01</w:t>
            </w:r>
          </w:p>
        </w:tc>
        <w:tc>
          <w:tcPr>
            <w:tcW w:w="1318" w:type="dxa"/>
          </w:tcPr>
          <w:p w14:paraId="40CEC070" w14:textId="77777777" w:rsidR="009E1F18" w:rsidRPr="009E1F18" w:rsidRDefault="009E1F18" w:rsidP="009E1F18">
            <w:r w:rsidRPr="009E1F18">
              <w:t>16/05/13</w:t>
            </w:r>
          </w:p>
        </w:tc>
        <w:tc>
          <w:tcPr>
            <w:tcW w:w="2650" w:type="dxa"/>
          </w:tcPr>
          <w:p w14:paraId="56B95EC7" w14:textId="77777777" w:rsidR="009E1F18" w:rsidRPr="009E1F18" w:rsidRDefault="009E1F18" w:rsidP="009E1F18">
            <w:r w:rsidRPr="009E1F18">
              <w:t>Chris Wilson</w:t>
            </w:r>
          </w:p>
        </w:tc>
        <w:tc>
          <w:tcPr>
            <w:tcW w:w="9818" w:type="dxa"/>
          </w:tcPr>
          <w:p w14:paraId="2075ED2F" w14:textId="77777777" w:rsidR="009E1F18" w:rsidRPr="009E1F18" w:rsidRDefault="009E1F18" w:rsidP="009E1F18">
            <w:r w:rsidRPr="009E1F18">
              <w:t>Document Created</w:t>
            </w:r>
          </w:p>
        </w:tc>
      </w:tr>
      <w:tr w:rsidR="009E1F18" w:rsidRPr="009E1F18" w14:paraId="65FD2553" w14:textId="77777777" w:rsidTr="007E2565">
        <w:trPr>
          <w:trHeight w:val="231"/>
        </w:trPr>
        <w:tc>
          <w:tcPr>
            <w:tcW w:w="1127" w:type="dxa"/>
          </w:tcPr>
          <w:p w14:paraId="4122F619" w14:textId="77777777" w:rsidR="009E1F18" w:rsidRPr="009E1F18" w:rsidRDefault="009E1F18" w:rsidP="009E1F18">
            <w:r w:rsidRPr="009E1F18">
              <w:t>v.02</w:t>
            </w:r>
          </w:p>
        </w:tc>
        <w:tc>
          <w:tcPr>
            <w:tcW w:w="1318" w:type="dxa"/>
          </w:tcPr>
          <w:p w14:paraId="7547FF76" w14:textId="77777777" w:rsidR="009E1F18" w:rsidRPr="009E1F18" w:rsidRDefault="009E1F18" w:rsidP="009E1F18">
            <w:r w:rsidRPr="009E1F18">
              <w:t>16/05/13</w:t>
            </w:r>
          </w:p>
        </w:tc>
        <w:tc>
          <w:tcPr>
            <w:tcW w:w="2650" w:type="dxa"/>
          </w:tcPr>
          <w:p w14:paraId="66203EA9" w14:textId="77777777" w:rsidR="009E1F18" w:rsidRPr="009E1F18" w:rsidRDefault="009E1F18" w:rsidP="009E1F18">
            <w:r w:rsidRPr="009E1F18">
              <w:t>Sindy Holschumacher</w:t>
            </w:r>
          </w:p>
        </w:tc>
        <w:tc>
          <w:tcPr>
            <w:tcW w:w="9818" w:type="dxa"/>
          </w:tcPr>
          <w:p w14:paraId="7E10CFB4" w14:textId="77777777" w:rsidR="009E1F18" w:rsidRPr="009E1F18" w:rsidRDefault="009E1F18" w:rsidP="009E1F18">
            <w:r w:rsidRPr="009E1F18">
              <w:t>Revision to methodology of indicator added</w:t>
            </w:r>
          </w:p>
        </w:tc>
      </w:tr>
      <w:tr w:rsidR="009E1F18" w:rsidRPr="009E1F18" w14:paraId="3B50328A" w14:textId="77777777" w:rsidTr="007E2565">
        <w:trPr>
          <w:trHeight w:val="231"/>
        </w:trPr>
        <w:tc>
          <w:tcPr>
            <w:tcW w:w="1127" w:type="dxa"/>
          </w:tcPr>
          <w:p w14:paraId="3B8DC196" w14:textId="77777777" w:rsidR="009E1F18" w:rsidRPr="009E1F18" w:rsidRDefault="009E1F18" w:rsidP="009E1F18">
            <w:r w:rsidRPr="009E1F18">
              <w:t>v.03</w:t>
            </w:r>
          </w:p>
        </w:tc>
        <w:tc>
          <w:tcPr>
            <w:tcW w:w="1318" w:type="dxa"/>
          </w:tcPr>
          <w:p w14:paraId="48486890" w14:textId="77777777" w:rsidR="009E1F18" w:rsidRPr="009E1F18" w:rsidRDefault="009E1F18" w:rsidP="009E1F18">
            <w:r w:rsidRPr="009E1F18">
              <w:t>12/06/13</w:t>
            </w:r>
          </w:p>
        </w:tc>
        <w:tc>
          <w:tcPr>
            <w:tcW w:w="2650" w:type="dxa"/>
          </w:tcPr>
          <w:p w14:paraId="1CE04AAF" w14:textId="77777777" w:rsidR="009E1F18" w:rsidRPr="009E1F18" w:rsidRDefault="009E1F18" w:rsidP="009E1F18">
            <w:r w:rsidRPr="009E1F18">
              <w:t>Gavin Harrison</w:t>
            </w:r>
          </w:p>
        </w:tc>
        <w:tc>
          <w:tcPr>
            <w:tcW w:w="9818" w:type="dxa"/>
          </w:tcPr>
          <w:p w14:paraId="639DE467" w14:textId="77777777" w:rsidR="009E1F18" w:rsidRPr="009E1F18" w:rsidRDefault="009E1F18" w:rsidP="009E1F18">
            <w:r w:rsidRPr="009E1F18">
              <w:t>MRG details from 31/05/13</w:t>
            </w:r>
          </w:p>
        </w:tc>
      </w:tr>
      <w:tr w:rsidR="009E1F18" w:rsidRPr="009E1F18" w14:paraId="1251D38B" w14:textId="77777777" w:rsidTr="007E2565">
        <w:trPr>
          <w:trHeight w:val="231"/>
        </w:trPr>
        <w:tc>
          <w:tcPr>
            <w:tcW w:w="1127" w:type="dxa"/>
          </w:tcPr>
          <w:p w14:paraId="0EAF99EC" w14:textId="77777777" w:rsidR="009E1F18" w:rsidRPr="009E1F18" w:rsidRDefault="009E1F18" w:rsidP="009E1F18">
            <w:r w:rsidRPr="009E1F18">
              <w:t>v.04</w:t>
            </w:r>
          </w:p>
        </w:tc>
        <w:tc>
          <w:tcPr>
            <w:tcW w:w="1318" w:type="dxa"/>
          </w:tcPr>
          <w:p w14:paraId="01B0B8A6" w14:textId="77777777" w:rsidR="009E1F18" w:rsidRPr="009E1F18" w:rsidRDefault="009E1F18" w:rsidP="009E1F18">
            <w:r w:rsidRPr="009E1F18">
              <w:t>14/06/13</w:t>
            </w:r>
          </w:p>
        </w:tc>
        <w:tc>
          <w:tcPr>
            <w:tcW w:w="2650" w:type="dxa"/>
          </w:tcPr>
          <w:p w14:paraId="73A85779" w14:textId="77777777" w:rsidR="009E1F18" w:rsidRPr="009E1F18" w:rsidRDefault="009E1F18" w:rsidP="009E1F18">
            <w:r w:rsidRPr="009E1F18">
              <w:t>Sindy Holschumacher</w:t>
            </w:r>
          </w:p>
        </w:tc>
        <w:tc>
          <w:tcPr>
            <w:tcW w:w="9818" w:type="dxa"/>
          </w:tcPr>
          <w:p w14:paraId="1C30AC61" w14:textId="77777777" w:rsidR="009E1F18" w:rsidRPr="009E1F18" w:rsidRDefault="009E1F18" w:rsidP="009E1F18">
            <w:r w:rsidRPr="009E1F18">
              <w:t xml:space="preserve">Update on MRG recommendations </w:t>
            </w:r>
          </w:p>
        </w:tc>
      </w:tr>
      <w:tr w:rsidR="009E1F18" w:rsidRPr="009E1F18" w14:paraId="190DEB02" w14:textId="77777777" w:rsidTr="007E2565">
        <w:trPr>
          <w:trHeight w:val="231"/>
        </w:trPr>
        <w:tc>
          <w:tcPr>
            <w:tcW w:w="1127" w:type="dxa"/>
          </w:tcPr>
          <w:p w14:paraId="682D27DA" w14:textId="77777777" w:rsidR="009E1F18" w:rsidRPr="009E1F18" w:rsidRDefault="009E1F18" w:rsidP="009E1F18">
            <w:r w:rsidRPr="009E1F18">
              <w:t>v.05</w:t>
            </w:r>
          </w:p>
        </w:tc>
        <w:tc>
          <w:tcPr>
            <w:tcW w:w="1318" w:type="dxa"/>
          </w:tcPr>
          <w:p w14:paraId="275EC46B" w14:textId="77777777" w:rsidR="009E1F18" w:rsidRPr="009E1F18" w:rsidRDefault="009E1F18" w:rsidP="009E1F18">
            <w:r w:rsidRPr="009E1F18">
              <w:t>02/06/17</w:t>
            </w:r>
          </w:p>
        </w:tc>
        <w:tc>
          <w:tcPr>
            <w:tcW w:w="2650" w:type="dxa"/>
          </w:tcPr>
          <w:p w14:paraId="79A1F7C3" w14:textId="77777777" w:rsidR="009E1F18" w:rsidRPr="009E1F18" w:rsidRDefault="009E1F18" w:rsidP="009E1F18">
            <w:r w:rsidRPr="009E1F18">
              <w:t>Andrew Besch</w:t>
            </w:r>
          </w:p>
        </w:tc>
        <w:tc>
          <w:tcPr>
            <w:tcW w:w="9818" w:type="dxa"/>
          </w:tcPr>
          <w:p w14:paraId="55AAEB33" w14:textId="77777777" w:rsidR="009E1F18" w:rsidRPr="009E1F18" w:rsidRDefault="009E1F18" w:rsidP="009E1F18">
            <w:r w:rsidRPr="009E1F18">
              <w:t>Updated to reflect outcome of IGB meeting of 16/09/13</w:t>
            </w:r>
          </w:p>
        </w:tc>
      </w:tr>
      <w:tr w:rsidR="009E1F18" w:rsidRPr="009E1F18" w14:paraId="0A5A7E01" w14:textId="77777777" w:rsidTr="007E2565">
        <w:trPr>
          <w:trHeight w:val="231"/>
        </w:trPr>
        <w:tc>
          <w:tcPr>
            <w:tcW w:w="1127" w:type="dxa"/>
          </w:tcPr>
          <w:p w14:paraId="45FD5948" w14:textId="77777777" w:rsidR="009E1F18" w:rsidRPr="009E1F18" w:rsidRDefault="009E1F18" w:rsidP="009E1F18">
            <w:r w:rsidRPr="009E1F18">
              <w:t>v.06</w:t>
            </w:r>
          </w:p>
        </w:tc>
        <w:tc>
          <w:tcPr>
            <w:tcW w:w="1318" w:type="dxa"/>
          </w:tcPr>
          <w:p w14:paraId="235709C8" w14:textId="77777777" w:rsidR="009E1F18" w:rsidRPr="009E1F18" w:rsidRDefault="009E1F18" w:rsidP="009E1F18">
            <w:r w:rsidRPr="009E1F18">
              <w:t>13/09/2018</w:t>
            </w:r>
          </w:p>
        </w:tc>
        <w:tc>
          <w:tcPr>
            <w:tcW w:w="2650" w:type="dxa"/>
          </w:tcPr>
          <w:p w14:paraId="5D1F0357" w14:textId="77777777" w:rsidR="009E1F18" w:rsidRPr="009E1F18" w:rsidRDefault="009E1F18" w:rsidP="009E1F18">
            <w:r w:rsidRPr="009E1F18">
              <w:t>Jonathan Trepczyk</w:t>
            </w:r>
          </w:p>
        </w:tc>
        <w:tc>
          <w:tcPr>
            <w:tcW w:w="9818" w:type="dxa"/>
          </w:tcPr>
          <w:p w14:paraId="09CFF79A" w14:textId="77777777" w:rsidR="009E1F18" w:rsidRPr="009E1F18" w:rsidRDefault="009E1F18" w:rsidP="009E1F18">
            <w:r w:rsidRPr="009E1F18">
              <w:t>Added extension paper added following IGB assurance</w:t>
            </w:r>
          </w:p>
        </w:tc>
      </w:tr>
    </w:tbl>
    <w:p w14:paraId="4CA0A289" w14:textId="77777777" w:rsidR="009E1F18" w:rsidRPr="009E1F18" w:rsidRDefault="009E1F18" w:rsidP="009E1F18">
      <w:pPr>
        <w:ind w:left="-540"/>
      </w:pPr>
    </w:p>
    <w:p w14:paraId="48388EAA" w14:textId="081CB32C" w:rsidR="000C1C47" w:rsidRPr="004B5178" w:rsidRDefault="000C1C47">
      <w:r w:rsidRPr="004B5178">
        <w:br w:type="page"/>
      </w:r>
    </w:p>
    <w:p w14:paraId="598A9165" w14:textId="77777777" w:rsidR="000C1C47" w:rsidRPr="004B5178" w:rsidRDefault="000C1C47" w:rsidP="000C1C47">
      <w:pPr>
        <w:jc w:val="center"/>
        <w:rPr>
          <w:b/>
          <w:bCs/>
          <w:u w:val="single"/>
        </w:rPr>
      </w:pPr>
      <w:r w:rsidRPr="004B5178">
        <w:rPr>
          <w:b/>
          <w:bCs/>
          <w:u w:val="single"/>
        </w:rPr>
        <w:lastRenderedPageBreak/>
        <w:t>Indicator Assurance Extension Cover Sheet</w:t>
      </w:r>
    </w:p>
    <w:p w14:paraId="33F8B90B" w14:textId="77777777" w:rsidR="000C1C47" w:rsidRPr="004B5178" w:rsidRDefault="000C1C47" w:rsidP="000C1C47">
      <w:pPr>
        <w:ind w:left="-540"/>
      </w:pPr>
    </w:p>
    <w:tbl>
      <w:tblPr>
        <w:tblStyle w:val="ListTable3-Accent111"/>
        <w:tblW w:w="14488" w:type="dxa"/>
        <w:tblInd w:w="-34" w:type="dxa"/>
        <w:tblBorders>
          <w:insideH w:val="single" w:sz="4" w:space="0" w:color="4472C4"/>
          <w:insideV w:val="single" w:sz="4" w:space="0" w:color="4472C4"/>
        </w:tblBorders>
        <w:tblLayout w:type="fixed"/>
        <w:tblLook w:val="04A0" w:firstRow="1" w:lastRow="0" w:firstColumn="1" w:lastColumn="0" w:noHBand="0" w:noVBand="1"/>
      </w:tblPr>
      <w:tblGrid>
        <w:gridCol w:w="14488"/>
      </w:tblGrid>
      <w:tr w:rsidR="004B5178" w:rsidRPr="004B5178" w14:paraId="6447A53A" w14:textId="77777777" w:rsidTr="00EA1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88" w:type="dxa"/>
            <w:tcBorders>
              <w:top w:val="single" w:sz="4" w:space="0" w:color="auto"/>
              <w:left w:val="single" w:sz="4" w:space="0" w:color="auto"/>
              <w:bottom w:val="single" w:sz="4" w:space="0" w:color="auto"/>
              <w:right w:val="single" w:sz="4" w:space="0" w:color="auto"/>
            </w:tcBorders>
            <w:shd w:val="clear" w:color="auto" w:fill="auto"/>
          </w:tcPr>
          <w:p w14:paraId="3D78DF5D" w14:textId="77777777" w:rsidR="00BF002A" w:rsidRPr="004B5178" w:rsidRDefault="00BF002A" w:rsidP="000C1C47">
            <w:pPr>
              <w:rPr>
                <w:rFonts w:ascii="Arial" w:hAnsi="Arial" w:cs="Arial"/>
                <w:b w:val="0"/>
                <w:bCs w:val="0"/>
                <w:color w:val="auto"/>
              </w:rPr>
            </w:pPr>
            <w:r w:rsidRPr="00EA105C">
              <w:rPr>
                <w:rFonts w:ascii="Arial" w:hAnsi="Arial" w:cs="Arial"/>
                <w:b w:val="0"/>
                <w:color w:val="auto"/>
              </w:rPr>
              <w:t>Lapsed Date</w:t>
            </w:r>
          </w:p>
          <w:sdt>
            <w:sdtPr>
              <w:id w:val="664516370"/>
              <w:date w:fullDate="2017-04-28T00:00:00Z">
                <w:dateFormat w:val="dd/MM/yyyy"/>
                <w:lid w:val="en-GB"/>
                <w:storeMappedDataAs w:val="dateTime"/>
                <w:calendar w:val="gregorian"/>
              </w:date>
            </w:sdtPr>
            <w:sdtContent>
              <w:p w14:paraId="08A2B007" w14:textId="0CEEBA97" w:rsidR="00BF002A" w:rsidRPr="004B5178" w:rsidRDefault="00BF002A" w:rsidP="000C1C47">
                <w:pPr>
                  <w:rPr>
                    <w:rFonts w:ascii="Arial" w:hAnsi="Arial" w:cs="Arial"/>
                    <w:b w:val="0"/>
                    <w:color w:val="auto"/>
                  </w:rPr>
                </w:pPr>
                <w:r w:rsidRPr="004B5178">
                  <w:rPr>
                    <w:rFonts w:ascii="Arial" w:hAnsi="Arial" w:cs="Arial"/>
                    <w:color w:val="auto"/>
                  </w:rPr>
                  <w:t>28/04/2017</w:t>
                </w:r>
              </w:p>
            </w:sdtContent>
          </w:sdt>
        </w:tc>
      </w:tr>
      <w:tr w:rsidR="004B5178" w:rsidRPr="004B5178" w14:paraId="6430E18B" w14:textId="77777777" w:rsidTr="00BD7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Borders>
              <w:top w:val="single" w:sz="4" w:space="0" w:color="auto"/>
              <w:left w:val="single" w:sz="4" w:space="0" w:color="auto"/>
              <w:bottom w:val="single" w:sz="4" w:space="0" w:color="auto"/>
              <w:right w:val="single" w:sz="4" w:space="0" w:color="auto"/>
            </w:tcBorders>
            <w:shd w:val="clear" w:color="auto" w:fill="auto"/>
          </w:tcPr>
          <w:p w14:paraId="2B9A941D" w14:textId="77777777" w:rsidR="000C1C47" w:rsidRPr="00BD7D6B" w:rsidRDefault="000C1C47" w:rsidP="000C1C47">
            <w:pPr>
              <w:jc w:val="center"/>
              <w:rPr>
                <w:rFonts w:ascii="Arial" w:hAnsi="Arial" w:cs="Arial"/>
                <w:bCs w:val="0"/>
              </w:rPr>
            </w:pPr>
            <w:r w:rsidRPr="00BD7D6B">
              <w:rPr>
                <w:rFonts w:ascii="Arial" w:hAnsi="Arial" w:cs="Arial"/>
                <w:bCs w:val="0"/>
              </w:rPr>
              <w:t>Criteria Check List</w:t>
            </w:r>
          </w:p>
        </w:tc>
      </w:tr>
      <w:tr w:rsidR="004B5178" w:rsidRPr="004B5178" w14:paraId="68C4327D" w14:textId="77777777" w:rsidTr="00FA1F3C">
        <w:tc>
          <w:tcPr>
            <w:cnfStyle w:val="001000000000" w:firstRow="0" w:lastRow="0" w:firstColumn="1" w:lastColumn="0" w:oddVBand="0" w:evenVBand="0" w:oddHBand="0" w:evenHBand="0" w:firstRowFirstColumn="0" w:firstRowLastColumn="0" w:lastRowFirstColumn="0" w:lastRowLastColumn="0"/>
            <w:tcW w:w="14488" w:type="dxa"/>
            <w:tcBorders>
              <w:top w:val="single" w:sz="4" w:space="0" w:color="auto"/>
            </w:tcBorders>
          </w:tcPr>
          <w:p w14:paraId="79D60607" w14:textId="77777777" w:rsidR="00BF002A" w:rsidRPr="004B5178" w:rsidRDefault="00BF002A" w:rsidP="000C1C47">
            <w:pPr>
              <w:rPr>
                <w:rFonts w:ascii="Arial" w:hAnsi="Arial" w:cs="Arial"/>
              </w:rPr>
            </w:pPr>
            <w:r w:rsidRPr="004B5178">
              <w:rPr>
                <w:rFonts w:ascii="Arial" w:hAnsi="Arial" w:cs="Arial"/>
              </w:rPr>
              <w:t>There is evidence that IGB assured the indicator to a period ending 1</w:t>
            </w:r>
            <w:r w:rsidRPr="004B5178">
              <w:rPr>
                <w:rFonts w:ascii="Arial" w:hAnsi="Arial" w:cs="Arial"/>
                <w:vertAlign w:val="superscript"/>
              </w:rPr>
              <w:t>st</w:t>
            </w:r>
            <w:r w:rsidRPr="004B5178">
              <w:rPr>
                <w:rFonts w:ascii="Arial" w:hAnsi="Arial" w:cs="Arial"/>
              </w:rPr>
              <w:t xml:space="preserve"> January 2016 or after</w:t>
            </w:r>
          </w:p>
          <w:sdt>
            <w:sdtPr>
              <w:alias w:val="One"/>
              <w:tag w:val="One"/>
              <w:id w:val="1202595288"/>
              <w:placeholder>
                <w:docPart w:val="4152C4A958204BE084F961563951FA0A"/>
              </w:placeholder>
              <w:dropDownList>
                <w:listItem w:value="Choose an item."/>
                <w:listItem w:displayText="Yes" w:value="Yes"/>
                <w:listItem w:displayText="No" w:value="No"/>
              </w:dropDownList>
            </w:sdtPr>
            <w:sdtContent>
              <w:p w14:paraId="07DDF31C" w14:textId="339BC4B4" w:rsidR="00BF002A" w:rsidRPr="004B5178" w:rsidRDefault="00BF002A" w:rsidP="000C1C47">
                <w:pPr>
                  <w:rPr>
                    <w:rFonts w:ascii="Arial" w:hAnsi="Arial" w:cs="Arial"/>
                  </w:rPr>
                </w:pPr>
                <w:r w:rsidRPr="004B5178">
                  <w:rPr>
                    <w:rFonts w:ascii="Arial" w:hAnsi="Arial" w:cs="Arial"/>
                  </w:rPr>
                  <w:t>Yes</w:t>
                </w:r>
              </w:p>
            </w:sdtContent>
          </w:sdt>
        </w:tc>
      </w:tr>
      <w:tr w:rsidR="004B5178" w:rsidRPr="004B5178" w14:paraId="79BF9562" w14:textId="77777777" w:rsidTr="00FA1F3C">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4488" w:type="dxa"/>
          </w:tcPr>
          <w:p w14:paraId="42895C5B" w14:textId="77777777" w:rsidR="00BF002A" w:rsidRPr="004B5178" w:rsidRDefault="00BF002A" w:rsidP="000C1C47">
            <w:pPr>
              <w:rPr>
                <w:rFonts w:ascii="Arial" w:hAnsi="Arial" w:cs="Arial"/>
              </w:rPr>
            </w:pPr>
          </w:p>
          <w:p w14:paraId="6ABF28B3" w14:textId="77777777" w:rsidR="00BF002A" w:rsidRPr="004B5178" w:rsidRDefault="00BF002A" w:rsidP="000C1C47">
            <w:pPr>
              <w:rPr>
                <w:rFonts w:ascii="Arial" w:hAnsi="Arial" w:cs="Arial"/>
              </w:rPr>
            </w:pPr>
            <w:r w:rsidRPr="004B5178">
              <w:rPr>
                <w:rFonts w:ascii="Arial" w:hAnsi="Arial" w:cs="Arial"/>
              </w:rPr>
              <w:t>Are there any outstanding caveats? List them here with updated information:</w:t>
            </w:r>
          </w:p>
          <w:sdt>
            <w:sdtPr>
              <w:alias w:val="Two"/>
              <w:tag w:val="One"/>
              <w:id w:val="753710035"/>
              <w:placeholder>
                <w:docPart w:val="E006405BD3274EA684C9FCB26060F559"/>
              </w:placeholder>
              <w:dropDownList>
                <w:listItem w:value="Choose an item."/>
                <w:listItem w:displayText="Yes" w:value="Yes"/>
                <w:listItem w:displayText="No" w:value="No"/>
                <w:listItem w:displayText="No Change" w:value="No Change"/>
                <w:listItem w:displayText="Not more applicable" w:value="Not more applicable"/>
              </w:dropDownList>
            </w:sdtPr>
            <w:sdtContent>
              <w:p w14:paraId="13352B02" w14:textId="3347F643" w:rsidR="00BF002A" w:rsidRPr="004B5178" w:rsidRDefault="00BF002A" w:rsidP="000C1C47">
                <w:pPr>
                  <w:rPr>
                    <w:rFonts w:ascii="Arial" w:hAnsi="Arial" w:cs="Arial"/>
                  </w:rPr>
                </w:pPr>
                <w:r w:rsidRPr="004B5178">
                  <w:rPr>
                    <w:rFonts w:ascii="Arial" w:hAnsi="Arial" w:cs="Arial"/>
                  </w:rPr>
                  <w:t>No</w:t>
                </w:r>
              </w:p>
            </w:sdtContent>
          </w:sdt>
        </w:tc>
      </w:tr>
      <w:tr w:rsidR="004B5178" w:rsidRPr="004B5178" w14:paraId="2CFC9B9B" w14:textId="77777777" w:rsidTr="00FA1F3C">
        <w:trPr>
          <w:trHeight w:val="2348"/>
        </w:trPr>
        <w:tc>
          <w:tcPr>
            <w:cnfStyle w:val="001000000000" w:firstRow="0" w:lastRow="0" w:firstColumn="1" w:lastColumn="0" w:oddVBand="0" w:evenVBand="0" w:oddHBand="0" w:evenHBand="0" w:firstRowFirstColumn="0" w:firstRowLastColumn="0" w:lastRowFirstColumn="0" w:lastRowLastColumn="0"/>
            <w:tcW w:w="14488" w:type="dxa"/>
          </w:tcPr>
          <w:p w14:paraId="21D220FB" w14:textId="77777777" w:rsidR="00BF002A" w:rsidRPr="004B5178" w:rsidRDefault="00BF002A" w:rsidP="000C1C47">
            <w:pPr>
              <w:rPr>
                <w:rFonts w:ascii="Arial" w:hAnsi="Arial" w:cs="Arial"/>
              </w:rPr>
            </w:pPr>
            <w:r w:rsidRPr="004B5178">
              <w:rPr>
                <w:rFonts w:ascii="Arial" w:hAnsi="Arial" w:cs="Arial"/>
              </w:rPr>
              <w:t>Are there any changes to…</w:t>
            </w:r>
          </w:p>
          <w:p w14:paraId="045E2FC5" w14:textId="77777777" w:rsidR="00BF002A" w:rsidRPr="004B5178" w:rsidRDefault="00BF002A" w:rsidP="000967BB">
            <w:pPr>
              <w:pStyle w:val="ListParagraph"/>
              <w:numPr>
                <w:ilvl w:val="0"/>
                <w:numId w:val="34"/>
              </w:numPr>
              <w:tabs>
                <w:tab w:val="right" w:pos="14580"/>
              </w:tabs>
              <w:spacing w:after="120"/>
              <w:rPr>
                <w:rFonts w:ascii="Arial" w:hAnsi="Arial" w:cs="Arial"/>
              </w:rPr>
            </w:pPr>
            <w:r w:rsidRPr="004B5178">
              <w:rPr>
                <w:rFonts w:ascii="Arial" w:hAnsi="Arial" w:cs="Arial"/>
              </w:rPr>
              <w:t>Policy</w:t>
            </w:r>
          </w:p>
          <w:sdt>
            <w:sdtPr>
              <w:alias w:val="One"/>
              <w:tag w:val="One"/>
              <w:id w:val="-9769839"/>
              <w:placeholder>
                <w:docPart w:val="8303E9CDA84242BD8BA9A82BF37E8879"/>
              </w:placeholder>
              <w:dropDownList>
                <w:listItem w:value="Choose an item."/>
                <w:listItem w:displayText="Yes" w:value="Yes"/>
                <w:listItem w:displayText="No" w:value="No"/>
              </w:dropDownList>
            </w:sdtPr>
            <w:sdtContent>
              <w:p w14:paraId="428C7786" w14:textId="1547F3BC" w:rsidR="00BF002A" w:rsidRPr="004B5178" w:rsidRDefault="00BF002A" w:rsidP="000C1C47">
                <w:pPr>
                  <w:rPr>
                    <w:rFonts w:ascii="Arial" w:hAnsi="Arial" w:cs="Arial"/>
                  </w:rPr>
                </w:pPr>
                <w:r w:rsidRPr="004B5178">
                  <w:rPr>
                    <w:rFonts w:ascii="Arial" w:hAnsi="Arial" w:cs="Arial"/>
                  </w:rPr>
                  <w:t>No</w:t>
                </w:r>
              </w:p>
            </w:sdtContent>
          </w:sdt>
          <w:p w14:paraId="2C5B3C15" w14:textId="77777777" w:rsidR="00BF002A" w:rsidRPr="004B5178" w:rsidRDefault="00BF002A" w:rsidP="000967BB">
            <w:pPr>
              <w:pStyle w:val="ListParagraph"/>
              <w:numPr>
                <w:ilvl w:val="0"/>
                <w:numId w:val="34"/>
              </w:numPr>
              <w:tabs>
                <w:tab w:val="right" w:pos="14580"/>
              </w:tabs>
              <w:spacing w:after="120"/>
              <w:rPr>
                <w:rFonts w:ascii="Arial" w:hAnsi="Arial" w:cs="Arial"/>
              </w:rPr>
            </w:pPr>
            <w:r w:rsidRPr="004B5178">
              <w:rPr>
                <w:rFonts w:ascii="Arial" w:hAnsi="Arial" w:cs="Arial"/>
              </w:rPr>
              <w:t>Data source</w:t>
            </w:r>
          </w:p>
          <w:sdt>
            <w:sdtPr>
              <w:alias w:val="One"/>
              <w:tag w:val="One"/>
              <w:id w:val="-165944300"/>
              <w:placeholder>
                <w:docPart w:val="29C27F5CB599422F9BBFD49333EC3C5C"/>
              </w:placeholder>
              <w:dropDownList>
                <w:listItem w:value="Choose an item."/>
                <w:listItem w:displayText="Yes" w:value="Yes"/>
                <w:listItem w:displayText="No" w:value="No"/>
              </w:dropDownList>
            </w:sdtPr>
            <w:sdtContent>
              <w:p w14:paraId="431CCF37" w14:textId="77777777" w:rsidR="00BF002A" w:rsidRPr="004B5178" w:rsidRDefault="00BF002A" w:rsidP="000C1C47">
                <w:pPr>
                  <w:rPr>
                    <w:rFonts w:ascii="Arial" w:hAnsi="Arial" w:cs="Arial"/>
                  </w:rPr>
                </w:pPr>
                <w:r w:rsidRPr="004B5178">
                  <w:rPr>
                    <w:rFonts w:ascii="Arial" w:hAnsi="Arial" w:cs="Arial"/>
                  </w:rPr>
                  <w:t>No</w:t>
                </w:r>
              </w:p>
            </w:sdtContent>
          </w:sdt>
          <w:p w14:paraId="434645CD" w14:textId="77777777" w:rsidR="00BF002A" w:rsidRPr="004B5178" w:rsidRDefault="00BF002A" w:rsidP="000967BB">
            <w:pPr>
              <w:pStyle w:val="ListParagraph"/>
              <w:numPr>
                <w:ilvl w:val="0"/>
                <w:numId w:val="34"/>
              </w:numPr>
              <w:tabs>
                <w:tab w:val="right" w:pos="14580"/>
              </w:tabs>
              <w:spacing w:after="120"/>
              <w:rPr>
                <w:rFonts w:ascii="Arial" w:hAnsi="Arial" w:cs="Arial"/>
              </w:rPr>
            </w:pPr>
            <w:r w:rsidRPr="004B5178">
              <w:rPr>
                <w:rFonts w:ascii="Arial" w:hAnsi="Arial" w:cs="Arial"/>
              </w:rPr>
              <w:t>Sponsoring organisation</w:t>
            </w:r>
          </w:p>
          <w:sdt>
            <w:sdtPr>
              <w:alias w:val="One"/>
              <w:tag w:val="One"/>
              <w:id w:val="1299643740"/>
              <w:placeholder>
                <w:docPart w:val="0D4C8E454DCA486AB8C1544FDA70FFAA"/>
              </w:placeholder>
              <w:dropDownList>
                <w:listItem w:value="Choose an item."/>
                <w:listItem w:displayText="Yes" w:value="Yes"/>
                <w:listItem w:displayText="No" w:value="No"/>
              </w:dropDownList>
            </w:sdtPr>
            <w:sdtContent>
              <w:p w14:paraId="79F0949F" w14:textId="77777777" w:rsidR="00BF002A" w:rsidRPr="004B5178" w:rsidRDefault="00BF002A" w:rsidP="000C1C47">
                <w:pPr>
                  <w:rPr>
                    <w:rFonts w:ascii="Arial" w:hAnsi="Arial" w:cs="Arial"/>
                  </w:rPr>
                </w:pPr>
                <w:r w:rsidRPr="004B5178">
                  <w:rPr>
                    <w:rFonts w:ascii="Arial" w:hAnsi="Arial" w:cs="Arial"/>
                  </w:rPr>
                  <w:t>No</w:t>
                </w:r>
              </w:p>
            </w:sdtContent>
          </w:sdt>
          <w:p w14:paraId="1D829F16" w14:textId="77777777" w:rsidR="00BF002A" w:rsidRPr="004B5178" w:rsidRDefault="00BF002A" w:rsidP="000967BB">
            <w:pPr>
              <w:pStyle w:val="ListParagraph"/>
              <w:numPr>
                <w:ilvl w:val="0"/>
                <w:numId w:val="34"/>
              </w:numPr>
              <w:tabs>
                <w:tab w:val="right" w:pos="14580"/>
              </w:tabs>
              <w:spacing w:after="120"/>
              <w:rPr>
                <w:rFonts w:ascii="Arial" w:hAnsi="Arial" w:cs="Arial"/>
              </w:rPr>
            </w:pPr>
            <w:r w:rsidRPr="004B5178">
              <w:rPr>
                <w:rFonts w:ascii="Arial" w:hAnsi="Arial" w:cs="Arial"/>
              </w:rPr>
              <w:t>Methodology</w:t>
            </w:r>
          </w:p>
          <w:sdt>
            <w:sdtPr>
              <w:alias w:val="One"/>
              <w:tag w:val="One"/>
              <w:id w:val="419308208"/>
              <w:placeholder>
                <w:docPart w:val="88082D7F7B504049B1E5492905C9B9AC"/>
              </w:placeholder>
              <w:dropDownList>
                <w:listItem w:value="Choose an item."/>
                <w:listItem w:displayText="Yes" w:value="Yes"/>
                <w:listItem w:displayText="No" w:value="No"/>
              </w:dropDownList>
            </w:sdtPr>
            <w:sdtContent>
              <w:p w14:paraId="371DC444" w14:textId="77777777" w:rsidR="00BF002A" w:rsidRPr="004B5178" w:rsidRDefault="00BF002A" w:rsidP="000C1C47">
                <w:pPr>
                  <w:rPr>
                    <w:rFonts w:ascii="Arial" w:hAnsi="Arial" w:cs="Arial"/>
                  </w:rPr>
                </w:pPr>
                <w:r w:rsidRPr="004B5178">
                  <w:rPr>
                    <w:rFonts w:ascii="Arial" w:hAnsi="Arial" w:cs="Arial"/>
                  </w:rPr>
                  <w:t>Yes</w:t>
                </w:r>
              </w:p>
            </w:sdtContent>
          </w:sdt>
          <w:p w14:paraId="0BFF442A" w14:textId="77777777" w:rsidR="00BF002A" w:rsidRPr="004B5178" w:rsidRDefault="00BF002A" w:rsidP="000C1C47">
            <w:pPr>
              <w:rPr>
                <w:rFonts w:ascii="Arial" w:hAnsi="Arial" w:cs="Arial"/>
              </w:rPr>
            </w:pPr>
            <w:r w:rsidRPr="004B5178">
              <w:rPr>
                <w:rFonts w:ascii="Arial" w:hAnsi="Arial" w:cs="Arial"/>
              </w:rPr>
              <w:t>Are there any issues with data quality?</w:t>
            </w:r>
          </w:p>
          <w:sdt>
            <w:sdtPr>
              <w:alias w:val="One"/>
              <w:tag w:val="One"/>
              <w:id w:val="178398652"/>
              <w:placeholder>
                <w:docPart w:val="A46963B4008D4B4AA9EBA91135EEC7E3"/>
              </w:placeholder>
              <w:dropDownList>
                <w:listItem w:value="Choose an item."/>
                <w:listItem w:displayText="Yes" w:value="Yes"/>
                <w:listItem w:displayText="No" w:value="No"/>
              </w:dropDownList>
            </w:sdtPr>
            <w:sdtContent>
              <w:p w14:paraId="094B68B5" w14:textId="5AE6C278" w:rsidR="00BF002A" w:rsidRPr="004B5178" w:rsidRDefault="00BF002A" w:rsidP="000C1C47">
                <w:pPr>
                  <w:rPr>
                    <w:rFonts w:ascii="Arial" w:hAnsi="Arial" w:cs="Arial"/>
                  </w:rPr>
                </w:pPr>
                <w:r w:rsidRPr="004B5178">
                  <w:rPr>
                    <w:rFonts w:ascii="Arial" w:hAnsi="Arial" w:cs="Arial"/>
                  </w:rPr>
                  <w:t>No</w:t>
                </w:r>
              </w:p>
            </w:sdtContent>
          </w:sdt>
        </w:tc>
      </w:tr>
      <w:tr w:rsidR="004B5178" w:rsidRPr="004B5178" w14:paraId="14211C61" w14:textId="77777777" w:rsidTr="00FA1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Pr>
          <w:p w14:paraId="32ACB7CD" w14:textId="77777777" w:rsidR="00BF002A" w:rsidRPr="004B5178" w:rsidRDefault="00BF002A" w:rsidP="000C1C47">
            <w:pPr>
              <w:rPr>
                <w:rFonts w:ascii="Arial" w:hAnsi="Arial" w:cs="Arial"/>
              </w:rPr>
            </w:pPr>
            <w:r w:rsidRPr="004B5178">
              <w:rPr>
                <w:rFonts w:ascii="Arial" w:hAnsi="Arial" w:cs="Arial"/>
              </w:rPr>
              <w:t>Has the indicator been superseded by another indicator? If yes, what is the new indicator’s reference number and title?</w:t>
            </w:r>
          </w:p>
          <w:sdt>
            <w:sdtPr>
              <w:alias w:val="One"/>
              <w:tag w:val="One"/>
              <w:id w:val="-365751999"/>
              <w:placeholder>
                <w:docPart w:val="99B1FC20127D4083BDEC83D77BDDE3AB"/>
              </w:placeholder>
              <w:dropDownList>
                <w:listItem w:value="Choose an item."/>
                <w:listItem w:displayText="Yes" w:value="Yes"/>
                <w:listItem w:displayText="No" w:value="No"/>
              </w:dropDownList>
            </w:sdtPr>
            <w:sdtContent>
              <w:p w14:paraId="60B4D375" w14:textId="2B8544CA" w:rsidR="00BF002A" w:rsidRPr="004B5178" w:rsidRDefault="00BF002A" w:rsidP="000C1C47">
                <w:pPr>
                  <w:rPr>
                    <w:rFonts w:ascii="Arial" w:hAnsi="Arial" w:cs="Arial"/>
                  </w:rPr>
                </w:pPr>
                <w:r w:rsidRPr="004B5178">
                  <w:rPr>
                    <w:rFonts w:ascii="Arial" w:hAnsi="Arial" w:cs="Arial"/>
                  </w:rPr>
                  <w:t>No</w:t>
                </w:r>
              </w:p>
            </w:sdtContent>
          </w:sdt>
        </w:tc>
      </w:tr>
      <w:tr w:rsidR="004B5178" w:rsidRPr="004B5178" w14:paraId="04A50745" w14:textId="77777777" w:rsidTr="00FA1F3C">
        <w:tc>
          <w:tcPr>
            <w:cnfStyle w:val="001000000000" w:firstRow="0" w:lastRow="0" w:firstColumn="1" w:lastColumn="0" w:oddVBand="0" w:evenVBand="0" w:oddHBand="0" w:evenHBand="0" w:firstRowFirstColumn="0" w:firstRowLastColumn="0" w:lastRowFirstColumn="0" w:lastRowLastColumn="0"/>
            <w:tcW w:w="14488" w:type="dxa"/>
          </w:tcPr>
          <w:p w14:paraId="57455F1D" w14:textId="77777777" w:rsidR="00BF002A" w:rsidRPr="004B5178" w:rsidRDefault="00BF002A" w:rsidP="000C1C47">
            <w:pPr>
              <w:rPr>
                <w:rFonts w:ascii="Arial" w:hAnsi="Arial" w:cs="Arial"/>
              </w:rPr>
            </w:pPr>
            <w:r w:rsidRPr="004B5178">
              <w:rPr>
                <w:rFonts w:ascii="Arial" w:hAnsi="Arial" w:cs="Arial"/>
              </w:rPr>
              <w:t xml:space="preserve">Has the indicator been withdrawn by the sponsoring organisation? </w:t>
            </w:r>
          </w:p>
          <w:sdt>
            <w:sdtPr>
              <w:alias w:val="One"/>
              <w:tag w:val="One"/>
              <w:id w:val="1175304905"/>
              <w:placeholder>
                <w:docPart w:val="2842022443F04532936D50B179FC2AFB"/>
              </w:placeholder>
              <w:dropDownList>
                <w:listItem w:value="Choose an item."/>
                <w:listItem w:displayText="Yes" w:value="Yes"/>
                <w:listItem w:displayText="No" w:value="No"/>
              </w:dropDownList>
            </w:sdtPr>
            <w:sdtContent>
              <w:p w14:paraId="235EBDD3" w14:textId="6A6F9F76" w:rsidR="00BF002A" w:rsidRPr="004B5178" w:rsidRDefault="00BF002A" w:rsidP="000C1C47">
                <w:pPr>
                  <w:rPr>
                    <w:rFonts w:ascii="Arial" w:hAnsi="Arial" w:cs="Arial"/>
                  </w:rPr>
                </w:pPr>
                <w:r w:rsidRPr="004B5178">
                  <w:rPr>
                    <w:rFonts w:ascii="Arial" w:hAnsi="Arial" w:cs="Arial"/>
                  </w:rPr>
                  <w:t>No</w:t>
                </w:r>
              </w:p>
            </w:sdtContent>
          </w:sdt>
        </w:tc>
      </w:tr>
      <w:tr w:rsidR="004B5178" w:rsidRPr="004B5178" w14:paraId="0A77E56C" w14:textId="77777777" w:rsidTr="00FA1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Pr>
          <w:p w14:paraId="49C1D86E" w14:textId="77777777" w:rsidR="00BF002A" w:rsidRPr="004B5178" w:rsidRDefault="00BF002A" w:rsidP="000C1C47">
            <w:pPr>
              <w:rPr>
                <w:rFonts w:ascii="Arial" w:hAnsi="Arial" w:cs="Arial"/>
              </w:rPr>
            </w:pPr>
            <w:r w:rsidRPr="004B5178">
              <w:rPr>
                <w:rFonts w:ascii="Arial" w:hAnsi="Arial" w:cs="Arial"/>
              </w:rPr>
              <w:t>Are there any patient safety implications?</w:t>
            </w:r>
          </w:p>
          <w:sdt>
            <w:sdtPr>
              <w:alias w:val="One"/>
              <w:tag w:val="One"/>
              <w:id w:val="576631207"/>
              <w:placeholder>
                <w:docPart w:val="66C7BD7947D74755B39D6006836C10BC"/>
              </w:placeholder>
              <w:dropDownList>
                <w:listItem w:value="Choose an item."/>
                <w:listItem w:displayText="Yes" w:value="Yes"/>
                <w:listItem w:displayText="No" w:value="No"/>
              </w:dropDownList>
            </w:sdtPr>
            <w:sdtContent>
              <w:p w14:paraId="7015AC17" w14:textId="3603C5A3" w:rsidR="00BF002A" w:rsidRPr="004B5178" w:rsidRDefault="00BF002A" w:rsidP="000C1C47">
                <w:pPr>
                  <w:rPr>
                    <w:rFonts w:ascii="Arial" w:hAnsi="Arial" w:cs="Arial"/>
                  </w:rPr>
                </w:pPr>
                <w:r w:rsidRPr="004B5178">
                  <w:rPr>
                    <w:rFonts w:ascii="Arial" w:hAnsi="Arial" w:cs="Arial"/>
                  </w:rPr>
                  <w:t>No</w:t>
                </w:r>
              </w:p>
            </w:sdtContent>
          </w:sdt>
        </w:tc>
      </w:tr>
      <w:tr w:rsidR="004B5178" w:rsidRPr="004B5178" w14:paraId="493F47A1" w14:textId="77777777" w:rsidTr="00FA1F3C">
        <w:tc>
          <w:tcPr>
            <w:cnfStyle w:val="001000000000" w:firstRow="0" w:lastRow="0" w:firstColumn="1" w:lastColumn="0" w:oddVBand="0" w:evenVBand="0" w:oddHBand="0" w:evenHBand="0" w:firstRowFirstColumn="0" w:firstRowLastColumn="0" w:lastRowFirstColumn="0" w:lastRowLastColumn="0"/>
            <w:tcW w:w="14488" w:type="dxa"/>
          </w:tcPr>
          <w:p w14:paraId="54C00471" w14:textId="77777777" w:rsidR="00BF002A" w:rsidRPr="004B5178" w:rsidRDefault="00BF002A" w:rsidP="000C1C47">
            <w:pPr>
              <w:rPr>
                <w:rFonts w:ascii="Arial" w:hAnsi="Arial" w:cs="Arial"/>
              </w:rPr>
            </w:pPr>
            <w:r w:rsidRPr="004B5178">
              <w:rPr>
                <w:rFonts w:ascii="Arial" w:hAnsi="Arial" w:cs="Arial"/>
              </w:rPr>
              <w:t>Have there been any reports of risk associated with this indicator?</w:t>
            </w:r>
          </w:p>
          <w:sdt>
            <w:sdtPr>
              <w:alias w:val="One"/>
              <w:tag w:val="One"/>
              <w:id w:val="-1313175312"/>
              <w:placeholder>
                <w:docPart w:val="5926C753FE2544ED9E9503A6A6FC7402"/>
              </w:placeholder>
              <w:dropDownList>
                <w:listItem w:value="Choose an item."/>
                <w:listItem w:displayText="Yes" w:value="Yes"/>
                <w:listItem w:displayText="No" w:value="No"/>
              </w:dropDownList>
            </w:sdtPr>
            <w:sdtContent>
              <w:p w14:paraId="6CA9CD8B" w14:textId="623CE23C" w:rsidR="00BF002A" w:rsidRPr="004B5178" w:rsidRDefault="00BF002A" w:rsidP="000C1C47">
                <w:pPr>
                  <w:rPr>
                    <w:rFonts w:ascii="Arial" w:hAnsi="Arial" w:cs="Arial"/>
                  </w:rPr>
                </w:pPr>
                <w:r w:rsidRPr="004B5178">
                  <w:rPr>
                    <w:rFonts w:ascii="Arial" w:hAnsi="Arial" w:cs="Arial"/>
                  </w:rPr>
                  <w:t>No</w:t>
                </w:r>
              </w:p>
            </w:sdtContent>
          </w:sdt>
        </w:tc>
      </w:tr>
      <w:tr w:rsidR="004B5178" w:rsidRPr="004B5178" w14:paraId="2ADA3E5A" w14:textId="77777777" w:rsidTr="004B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Pr>
          <w:p w14:paraId="00169399" w14:textId="77777777" w:rsidR="00BF002A" w:rsidRPr="004B5178" w:rsidRDefault="00BF002A" w:rsidP="000C1C47">
            <w:pPr>
              <w:rPr>
                <w:rFonts w:ascii="Arial" w:hAnsi="Arial" w:cs="Arial"/>
              </w:rPr>
            </w:pPr>
            <w:r w:rsidRPr="004B5178">
              <w:rPr>
                <w:rFonts w:ascii="Arial" w:hAnsi="Arial" w:cs="Arial"/>
              </w:rPr>
              <w:t>Primary category</w:t>
            </w:r>
          </w:p>
          <w:sdt>
            <w:sdtPr>
              <w:id w:val="-955019481"/>
              <w:placeholder>
                <w:docPart w:val="926A872FF29C435CA3F91873864B3C71"/>
              </w:placeholder>
              <w:showingPlcHdr/>
              <w:dropDownList>
                <w:listItem w:value="Choose an item."/>
                <w:listItem w:displayText="Angina and coronary heart disease" w:value="Angina and coronary heart disease"/>
                <w:listItem w:displayText="Asthma" w:value="Asthma"/>
                <w:listItem w:displayText="Atrial fibrillation" w:value="Atrial fibrillation"/>
                <w:listItem w:displayText="Autism" w:value="Autism"/>
                <w:listItem w:displayText="Bipolar, schizophrenia and other psychoses" w:value="Bipolar, schizophrenia and other psychoses"/>
                <w:listItem w:displayText="Cancer" w:value="Cancer"/>
                <w:listItem w:displayText="Chronic kidney disease" w:value="Chronic kidney disease"/>
                <w:listItem w:displayText="Chronic obstructive pulmonary disorder" w:value="Chronic obstructive pulmonary disorder"/>
                <w:listItem w:displayText="Contraception" w:value="Contraception"/>
                <w:listItem w:displayText="Dementia" w:value="Dementia"/>
                <w:listItem w:displayText="Depression and anxiety" w:value="Depression and anxiety"/>
                <w:listItem w:displayText="Diabetes" w:value="Diabetes"/>
                <w:listItem w:displayText="Embolism and thrombosis" w:value="Embolism and thrombosis"/>
                <w:listItem w:displayText="End of life care" w:value="End of life care"/>
                <w:listItem w:displayText="Epilepsy" w:value="Epilepsy"/>
                <w:listItem w:displayText="Gynaecological conditions" w:value="Gynaecological conditions"/>
                <w:listItem w:displayText="Heart failure" w:value="Heart failure"/>
                <w:listItem w:displayText="Hip fracture" w:value="Hip fracture"/>
                <w:listItem w:displayText="Hypertension" w:value="Hypertension"/>
                <w:listItem w:displayText="Learning disabilities" w:value="Learning disabilities"/>
                <w:listItem w:displayText="Myocardial infarction" w:value="Myocardial infarction"/>
                <w:listItem w:displayText="Obesity and weight management" w:value="Obesity and weight management"/>
                <w:listItem w:displayText="Osteoporosis" w:value="Osteoporosis"/>
                <w:listItem w:displayText="Peripheral arterial disease" w:value="Peripheral arterial disease"/>
                <w:listItem w:displayText="Pregnancy and neonates" w:value="Pregnancy and neonates"/>
                <w:listItem w:displayText="Rheumatoid arthritis" w:value="Rheumatoid arthritis"/>
                <w:listItem w:displayText="Smoking" w:value="Smoking"/>
                <w:listItem w:displayText="Stroke and ischaemic attack" w:value="Stroke and ischaemic attack"/>
                <w:listItem w:displayText="Surgical care" w:value="Surgical care"/>
              </w:dropDownList>
            </w:sdtPr>
            <w:sdtContent>
              <w:p w14:paraId="790E0B73" w14:textId="1D05BC54" w:rsidR="00BF002A" w:rsidRPr="004B5178" w:rsidRDefault="00BF002A" w:rsidP="000C1C47">
                <w:pPr>
                  <w:rPr>
                    <w:rFonts w:ascii="Arial" w:hAnsi="Arial" w:cs="Arial"/>
                  </w:rPr>
                </w:pPr>
                <w:r w:rsidRPr="004B5178">
                  <w:rPr>
                    <w:rFonts w:ascii="Arial" w:hAnsi="Arial" w:cs="Arial"/>
                  </w:rPr>
                  <w:t>Choose an item.</w:t>
                </w:r>
              </w:p>
            </w:sdtContent>
          </w:sdt>
        </w:tc>
      </w:tr>
      <w:tr w:rsidR="004B5178" w:rsidRPr="004B5178" w14:paraId="795F4E38" w14:textId="77777777" w:rsidTr="004B5178">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1FCF93A1" w14:textId="44587368" w:rsidR="004B5178" w:rsidRPr="004B5178" w:rsidRDefault="004B5178" w:rsidP="004B5178">
            <w:pPr>
              <w:rPr>
                <w:rFonts w:ascii="Arial" w:hAnsi="Arial" w:cs="Arial"/>
              </w:rPr>
            </w:pPr>
            <w:r w:rsidRPr="004B5178">
              <w:rPr>
                <w:rFonts w:ascii="Arial" w:hAnsi="Arial" w:cs="Arial"/>
              </w:rPr>
              <w:lastRenderedPageBreak/>
              <w:t xml:space="preserve">1 – Set - </w:t>
            </w:r>
            <w:sdt>
              <w:sdtPr>
                <w:alias w:val="Set"/>
                <w:tag w:val="Set"/>
                <w:id w:val="1002234566"/>
                <w:placeholder>
                  <w:docPart w:val="D9851708AAE6485EBF970DEEFAA7F7FD"/>
                </w:placeholder>
                <w:dropDownList>
                  <w:listItem w:value="Choose an item."/>
                  <w:listItem w:displayText="A&amp;E Quality" w:value="A&amp;E Quality"/>
                  <w:listItem w:displayText="ASCOF" w:value="ASCOF"/>
                  <w:listItem w:displayText="CCGIAF" w:value="CCGIAF"/>
                  <w:listItem w:displayText="CCGLI" w:value="CCGLI"/>
                  <w:listItem w:displayText="CCGOIS" w:value="CCGOIS"/>
                  <w:listItem w:displayText="COF" w:value="COF"/>
                  <w:listItem w:displayText="GP Level Metrics" w:value="GP Level Metrics"/>
                  <w:listItem w:displayText="GP Practice" w:value="GP Practice"/>
                  <w:listItem w:displayText="HFC" w:value="HFC"/>
                  <w:listItem w:displayText="IAPT" w:value="IAPT"/>
                  <w:listItem w:displayText="IQI" w:value="IQI"/>
                  <w:listItem w:displayText="MH" w:value="MH"/>
                  <w:listItem w:displayText="NHS Comparators" w:value="NHS Comparators"/>
                  <w:listItem w:displayText="NHSOF" w:value="NHSOF"/>
                  <w:listItem w:displayText="Other" w:value="Other"/>
                  <w:listItem w:displayText="Prescribing" w:value="Prescribing"/>
                  <w:listItem w:displayText="PROMS" w:value="PROMS"/>
                  <w:listItem w:displayText="QIPP" w:value="QIPP"/>
                  <w:listItem w:displayText="SDU" w:value="SDU"/>
                  <w:listItem w:displayText="SHMI" w:value="SHMI"/>
                  <w:listItem w:displayText="Unknown" w:value="Unknown"/>
                  <w:listItem w:displayText="WRES" w:value="WRES"/>
                </w:dropDownList>
              </w:sdtPr>
              <w:sdtContent>
                <w:r w:rsidRPr="004B5178">
                  <w:rPr>
                    <w:rFonts w:ascii="Arial" w:hAnsi="Arial" w:cs="Arial"/>
                  </w:rPr>
                  <w:t>NHSOF</w:t>
                </w:r>
              </w:sdtContent>
            </w:sdt>
          </w:p>
        </w:tc>
      </w:tr>
      <w:tr w:rsidR="004B5178" w:rsidRPr="004B5178" w14:paraId="00E33CA5" w14:textId="77777777" w:rsidTr="004B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4DF6673C" w14:textId="1037F73D" w:rsidR="004B5178" w:rsidRPr="004B5178" w:rsidRDefault="004B5178" w:rsidP="004B5178">
            <w:pPr>
              <w:rPr>
                <w:rFonts w:ascii="Arial" w:hAnsi="Arial" w:cs="Arial"/>
              </w:rPr>
            </w:pPr>
            <w:r w:rsidRPr="004B5178">
              <w:rPr>
                <w:rFonts w:ascii="Arial" w:hAnsi="Arial" w:cs="Arial"/>
              </w:rPr>
              <w:t>2 – Publication reference</w:t>
            </w:r>
          </w:p>
        </w:tc>
      </w:tr>
      <w:tr w:rsidR="004B5178" w:rsidRPr="004B5178" w14:paraId="662DB937" w14:textId="77777777" w:rsidTr="004B5178">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006507EA" w14:textId="77777777" w:rsidR="004B5178" w:rsidRPr="004B5178" w:rsidRDefault="004B5178" w:rsidP="000C1C47">
            <w:pPr>
              <w:rPr>
                <w:rFonts w:ascii="Arial" w:hAnsi="Arial" w:cs="Arial"/>
                <w:b w:val="0"/>
                <w:bCs w:val="0"/>
              </w:rPr>
            </w:pPr>
            <w:r w:rsidRPr="004B5178">
              <w:rPr>
                <w:rFonts w:ascii="Arial" w:hAnsi="Arial" w:cs="Arial"/>
              </w:rPr>
              <w:t>Recommendation</w:t>
            </w:r>
          </w:p>
          <w:p w14:paraId="4F5E0D36" w14:textId="54B00963" w:rsidR="004B5178" w:rsidRPr="004B5178" w:rsidRDefault="004B5178" w:rsidP="000C1C47">
            <w:pPr>
              <w:rPr>
                <w:rFonts w:ascii="Arial" w:hAnsi="Arial" w:cs="Arial"/>
                <w:b w:val="0"/>
                <w:bCs w:val="0"/>
              </w:rPr>
            </w:pPr>
            <w:r w:rsidRPr="004B5178">
              <w:rPr>
                <w:rFonts w:ascii="Arial" w:hAnsi="Arial" w:cs="Arial"/>
                <w:b w:val="0"/>
                <w:bCs w:val="0"/>
              </w:rPr>
              <w:t>Fit for extension</w:t>
            </w:r>
          </w:p>
        </w:tc>
      </w:tr>
      <w:tr w:rsidR="004B5178" w:rsidRPr="004B5178" w14:paraId="0665AFD6" w14:textId="77777777" w:rsidTr="004B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26899E80" w14:textId="77777777" w:rsidR="004B5178" w:rsidRPr="004B5178" w:rsidRDefault="004B5178" w:rsidP="000C1C47">
            <w:pPr>
              <w:rPr>
                <w:rFonts w:ascii="Arial" w:hAnsi="Arial" w:cs="Arial"/>
                <w:b w:val="0"/>
                <w:bCs w:val="0"/>
              </w:rPr>
            </w:pPr>
            <w:r w:rsidRPr="004B5178">
              <w:rPr>
                <w:rFonts w:ascii="Arial" w:hAnsi="Arial" w:cs="Arial"/>
              </w:rPr>
              <w:t>Prepared by</w:t>
            </w:r>
          </w:p>
          <w:p w14:paraId="19024033" w14:textId="6349F003" w:rsidR="004B5178" w:rsidRPr="004B5178" w:rsidRDefault="004B5178" w:rsidP="000C1C47">
            <w:pPr>
              <w:rPr>
                <w:rFonts w:ascii="Arial" w:hAnsi="Arial" w:cs="Arial"/>
                <w:b w:val="0"/>
                <w:bCs w:val="0"/>
              </w:rPr>
            </w:pPr>
            <w:r w:rsidRPr="004B5178">
              <w:rPr>
                <w:rFonts w:ascii="Arial" w:hAnsi="Arial" w:cs="Arial"/>
                <w:b w:val="0"/>
                <w:bCs w:val="0"/>
              </w:rPr>
              <w:t>Phyllis Macgoye</w:t>
            </w:r>
          </w:p>
        </w:tc>
      </w:tr>
      <w:tr w:rsidR="004B5178" w:rsidRPr="004B5178" w14:paraId="00F9988A" w14:textId="77777777" w:rsidTr="004B5178">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00C6AA2E" w14:textId="77777777" w:rsidR="004B5178" w:rsidRPr="004B5178" w:rsidRDefault="004B5178" w:rsidP="000C1C47">
            <w:pPr>
              <w:rPr>
                <w:rFonts w:ascii="Arial" w:hAnsi="Arial" w:cs="Arial"/>
                <w:b w:val="0"/>
                <w:bCs w:val="0"/>
              </w:rPr>
            </w:pPr>
            <w:r w:rsidRPr="004B5178">
              <w:rPr>
                <w:rFonts w:ascii="Arial" w:hAnsi="Arial" w:cs="Arial"/>
              </w:rPr>
              <w:t>IGB decision</w:t>
            </w:r>
          </w:p>
          <w:sdt>
            <w:sdtPr>
              <w:alias w:val="IGB decision"/>
              <w:tag w:val="IGB decision"/>
              <w:id w:val="1441029827"/>
              <w:placeholder>
                <w:docPart w:val="4301F4C1CDAA429B8C97E218F714EF1A"/>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Content>
              <w:p w14:paraId="497AA430" w14:textId="372425B0" w:rsidR="004B5178" w:rsidRPr="004B5178" w:rsidRDefault="004B5178" w:rsidP="000C1C47">
                <w:pPr>
                  <w:rPr>
                    <w:rFonts w:ascii="Arial" w:hAnsi="Arial" w:cs="Arial"/>
                  </w:rPr>
                </w:pPr>
                <w:r w:rsidRPr="004B5178">
                  <w:rPr>
                    <w:rFonts w:ascii="Arial" w:hAnsi="Arial" w:cs="Arial"/>
                    <w:b w:val="0"/>
                    <w:bCs w:val="0"/>
                  </w:rPr>
                  <w:t>Fit for use</w:t>
                </w:r>
              </w:p>
            </w:sdtContent>
          </w:sdt>
        </w:tc>
      </w:tr>
      <w:tr w:rsidR="004B5178" w:rsidRPr="004B5178" w14:paraId="522DA93C" w14:textId="77777777" w:rsidTr="004B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40586D22" w14:textId="77777777" w:rsidR="004B5178" w:rsidRPr="004B5178" w:rsidRDefault="004B5178" w:rsidP="000C1C47">
            <w:pPr>
              <w:rPr>
                <w:rFonts w:ascii="Arial" w:hAnsi="Arial" w:cs="Arial"/>
                <w:b w:val="0"/>
                <w:bCs w:val="0"/>
              </w:rPr>
            </w:pPr>
            <w:r w:rsidRPr="004B5178">
              <w:rPr>
                <w:rFonts w:ascii="Arial" w:hAnsi="Arial" w:cs="Arial"/>
              </w:rPr>
              <w:t>Accreditation period</w:t>
            </w:r>
          </w:p>
          <w:p w14:paraId="58A1CC76" w14:textId="477A77F3" w:rsidR="004B5178" w:rsidRPr="004B5178" w:rsidRDefault="004B5178" w:rsidP="000C1C47">
            <w:pPr>
              <w:rPr>
                <w:rFonts w:ascii="Arial" w:hAnsi="Arial" w:cs="Arial"/>
                <w:b w:val="0"/>
                <w:bCs w:val="0"/>
                <w:lang w:eastAsia="en-GB"/>
              </w:rPr>
            </w:pPr>
            <w:r w:rsidRPr="004B5178">
              <w:rPr>
                <w:rFonts w:ascii="Arial" w:hAnsi="Arial" w:cs="Arial"/>
                <w:b w:val="0"/>
                <w:bCs w:val="0"/>
                <w:lang w:eastAsia="en-GB"/>
              </w:rPr>
              <w:t>Two years</w:t>
            </w:r>
          </w:p>
        </w:tc>
      </w:tr>
      <w:tr w:rsidR="004B5178" w:rsidRPr="004B5178" w14:paraId="572907EA" w14:textId="77777777" w:rsidTr="004B5178">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674DAB2B" w14:textId="77777777" w:rsidR="004B5178" w:rsidRPr="004B5178" w:rsidRDefault="004B5178" w:rsidP="000C1C47">
            <w:pPr>
              <w:rPr>
                <w:rFonts w:ascii="Arial" w:hAnsi="Arial" w:cs="Arial"/>
                <w:b w:val="0"/>
                <w:bCs w:val="0"/>
              </w:rPr>
            </w:pPr>
            <w:r w:rsidRPr="004B5178">
              <w:rPr>
                <w:rFonts w:ascii="Arial" w:hAnsi="Arial" w:cs="Arial"/>
              </w:rPr>
              <w:t>IGB approval date</w:t>
            </w:r>
          </w:p>
          <w:sdt>
            <w:sdtPr>
              <w:id w:val="464936177"/>
              <w:placeholder>
                <w:docPart w:val="77CC907E6C2B42079183E9517B95FC49"/>
              </w:placeholder>
              <w:date w:fullDate="2018-09-13T00:00:00Z">
                <w:dateFormat w:val="dd/MM/yyyy"/>
                <w:lid w:val="en-GB"/>
                <w:storeMappedDataAs w:val="dateTime"/>
                <w:calendar w:val="gregorian"/>
              </w:date>
            </w:sdtPr>
            <w:sdtContent>
              <w:p w14:paraId="06827E04" w14:textId="4DF912A9" w:rsidR="004B5178" w:rsidRPr="004B5178" w:rsidRDefault="004B5178" w:rsidP="000C1C47">
                <w:pPr>
                  <w:rPr>
                    <w:rFonts w:ascii="Arial" w:hAnsi="Arial" w:cs="Arial"/>
                    <w:lang w:eastAsia="en-GB"/>
                  </w:rPr>
                </w:pPr>
                <w:r w:rsidRPr="004B5178">
                  <w:rPr>
                    <w:rFonts w:ascii="Arial" w:hAnsi="Arial" w:cs="Arial"/>
                    <w:b w:val="0"/>
                    <w:bCs w:val="0"/>
                  </w:rPr>
                  <w:t>13/09/2018</w:t>
                </w:r>
              </w:p>
            </w:sdtContent>
          </w:sdt>
        </w:tc>
      </w:tr>
      <w:tr w:rsidR="004B5178" w:rsidRPr="004B5178" w14:paraId="7E1C7C70" w14:textId="77777777" w:rsidTr="004B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8" w:type="dxa"/>
            <w:tcBorders>
              <w:right w:val="single" w:sz="4" w:space="0" w:color="4472C4"/>
            </w:tcBorders>
          </w:tcPr>
          <w:p w14:paraId="4386DE8D" w14:textId="77777777" w:rsidR="004B5178" w:rsidRPr="004B5178" w:rsidRDefault="004B5178" w:rsidP="000C1C47">
            <w:pPr>
              <w:rPr>
                <w:rFonts w:ascii="Arial" w:hAnsi="Arial" w:cs="Arial"/>
                <w:b w:val="0"/>
                <w:bCs w:val="0"/>
              </w:rPr>
            </w:pPr>
            <w:r w:rsidRPr="004B5178">
              <w:rPr>
                <w:rFonts w:ascii="Arial" w:hAnsi="Arial" w:cs="Arial"/>
              </w:rPr>
              <w:t>Review date</w:t>
            </w:r>
          </w:p>
          <w:sdt>
            <w:sdtPr>
              <w:id w:val="-635557891"/>
              <w:date w:fullDate="2019-04-28T00:00:00Z">
                <w:dateFormat w:val="dd/MM/yyyy"/>
                <w:lid w:val="en-GB"/>
                <w:storeMappedDataAs w:val="dateTime"/>
                <w:calendar w:val="gregorian"/>
              </w:date>
            </w:sdtPr>
            <w:sdtContent>
              <w:p w14:paraId="0B3151D1" w14:textId="65E955A1" w:rsidR="004B5178" w:rsidRPr="004B5178" w:rsidRDefault="004B5178" w:rsidP="000C1C47">
                <w:pPr>
                  <w:rPr>
                    <w:rFonts w:ascii="Arial" w:hAnsi="Arial" w:cs="Arial"/>
                    <w:lang w:eastAsia="en-GB"/>
                  </w:rPr>
                </w:pPr>
                <w:r w:rsidRPr="004B5178">
                  <w:rPr>
                    <w:rFonts w:ascii="Arial" w:hAnsi="Arial" w:cs="Arial"/>
                    <w:b w:val="0"/>
                    <w:bCs w:val="0"/>
                  </w:rPr>
                  <w:t>28/04/2019</w:t>
                </w:r>
              </w:p>
            </w:sdtContent>
          </w:sdt>
        </w:tc>
      </w:tr>
    </w:tbl>
    <w:p w14:paraId="7154D817" w14:textId="77777777" w:rsidR="000C1C47" w:rsidRPr="004B5178" w:rsidRDefault="000C1C47" w:rsidP="000C1C47">
      <w:pPr>
        <w:ind w:left="-540"/>
      </w:pPr>
    </w:p>
    <w:p w14:paraId="320B511F" w14:textId="77777777" w:rsidR="007E2565" w:rsidRDefault="007E2565">
      <w:r>
        <w:br w:type="page"/>
      </w:r>
    </w:p>
    <w:p w14:paraId="2275E690" w14:textId="74A67CB6" w:rsidR="000C1C47" w:rsidRPr="004B5178" w:rsidRDefault="000C1C47" w:rsidP="000C1C47">
      <w:pPr>
        <w:ind w:left="-851"/>
      </w:pPr>
      <w:r w:rsidRPr="004B5178">
        <w:lastRenderedPageBreak/>
        <w:t>Contents</w:t>
      </w:r>
    </w:p>
    <w:p w14:paraId="201AF316" w14:textId="77777777" w:rsidR="000C1C47" w:rsidRPr="004B5178" w:rsidRDefault="000C1C47" w:rsidP="000C1C47">
      <w:pPr>
        <w:ind w:left="-851"/>
      </w:pPr>
    </w:p>
    <w:tbl>
      <w:tblPr>
        <w:tblStyle w:val="PlainTable3"/>
        <w:tblW w:w="14157" w:type="dxa"/>
        <w:tblLook w:val="01E0" w:firstRow="1" w:lastRow="1" w:firstColumn="1" w:lastColumn="1" w:noHBand="0" w:noVBand="0"/>
      </w:tblPr>
      <w:tblGrid>
        <w:gridCol w:w="12969"/>
        <w:gridCol w:w="1188"/>
      </w:tblGrid>
      <w:tr w:rsidR="000C1C47" w:rsidRPr="004B5178" w14:paraId="24C5B7D4" w14:textId="77777777" w:rsidTr="007E2565">
        <w:trPr>
          <w:cnfStyle w:val="100000000000" w:firstRow="1" w:lastRow="0" w:firstColumn="0" w:lastColumn="0" w:oddVBand="0" w:evenVBand="0" w:oddHBand="0" w:evenHBand="0" w:firstRowFirstColumn="0" w:firstRowLastColumn="0" w:lastRowFirstColumn="0" w:lastRowLastColumn="0"/>
          <w:trHeight w:val="448"/>
        </w:trPr>
        <w:tc>
          <w:tcPr>
            <w:cnfStyle w:val="001000000100" w:firstRow="0" w:lastRow="0" w:firstColumn="1" w:lastColumn="0" w:oddVBand="0" w:evenVBand="0" w:oddHBand="0" w:evenHBand="0" w:firstRowFirstColumn="1" w:firstRowLastColumn="0" w:lastRowFirstColumn="0" w:lastRowLastColumn="0"/>
            <w:tcW w:w="12969" w:type="dxa"/>
          </w:tcPr>
          <w:p w14:paraId="44EC657D" w14:textId="77777777" w:rsidR="000C1C47" w:rsidRPr="004B5178" w:rsidRDefault="000C1C47" w:rsidP="000967BB">
            <w:pPr>
              <w:numPr>
                <w:ilvl w:val="0"/>
                <w:numId w:val="2"/>
              </w:numPr>
              <w:tabs>
                <w:tab w:val="left" w:pos="0"/>
              </w:tabs>
              <w:ind w:left="716" w:hanging="356"/>
            </w:pPr>
            <w:r w:rsidRPr="004B5178">
              <w:t>Assurance Summary…………………………………….……………………………………</w:t>
            </w:r>
          </w:p>
        </w:tc>
        <w:tc>
          <w:tcPr>
            <w:cnfStyle w:val="000100001000" w:firstRow="0" w:lastRow="0" w:firstColumn="0" w:lastColumn="1" w:oddVBand="0" w:evenVBand="0" w:oddHBand="0" w:evenHBand="0" w:firstRowFirstColumn="0" w:firstRowLastColumn="1" w:lastRowFirstColumn="0" w:lastRowLastColumn="0"/>
            <w:tcW w:w="1188" w:type="dxa"/>
          </w:tcPr>
          <w:p w14:paraId="3BFE45BA" w14:textId="77777777" w:rsidR="000C1C47" w:rsidRPr="004B5178" w:rsidRDefault="000C1C47" w:rsidP="000C1C47">
            <w:r w:rsidRPr="004B5178">
              <w:t>Page 3</w:t>
            </w:r>
          </w:p>
        </w:tc>
      </w:tr>
      <w:tr w:rsidR="000C1C47" w:rsidRPr="004B5178" w14:paraId="22C9855E" w14:textId="77777777" w:rsidTr="007E2565">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2969" w:type="dxa"/>
          </w:tcPr>
          <w:p w14:paraId="502A0FE3" w14:textId="77777777" w:rsidR="000C1C47" w:rsidRPr="004B5178" w:rsidRDefault="000C1C47" w:rsidP="000967BB">
            <w:pPr>
              <w:numPr>
                <w:ilvl w:val="0"/>
                <w:numId w:val="2"/>
              </w:numPr>
              <w:tabs>
                <w:tab w:val="left" w:pos="0"/>
              </w:tabs>
              <w:ind w:left="716" w:hanging="356"/>
            </w:pPr>
            <w:r w:rsidRPr="004B5178">
              <w:t>Peer Review Summary………………………………………………………………………</w:t>
            </w:r>
          </w:p>
        </w:tc>
        <w:tc>
          <w:tcPr>
            <w:cnfStyle w:val="000100000000" w:firstRow="0" w:lastRow="0" w:firstColumn="0" w:lastColumn="1" w:oddVBand="0" w:evenVBand="0" w:oddHBand="0" w:evenHBand="0" w:firstRowFirstColumn="0" w:firstRowLastColumn="0" w:lastRowFirstColumn="0" w:lastRowLastColumn="0"/>
            <w:tcW w:w="1188" w:type="dxa"/>
          </w:tcPr>
          <w:p w14:paraId="78B0696D" w14:textId="77777777" w:rsidR="000C1C47" w:rsidRPr="004B5178" w:rsidRDefault="000C1C47" w:rsidP="000C1C47">
            <w:r w:rsidRPr="004B5178">
              <w:t>Page 4</w:t>
            </w:r>
          </w:p>
        </w:tc>
      </w:tr>
      <w:tr w:rsidR="000C1C47" w:rsidRPr="004B5178" w14:paraId="100BF633" w14:textId="77777777" w:rsidTr="007E2565">
        <w:trPr>
          <w:trHeight w:val="448"/>
        </w:trPr>
        <w:tc>
          <w:tcPr>
            <w:cnfStyle w:val="001000000000" w:firstRow="0" w:lastRow="0" w:firstColumn="1" w:lastColumn="0" w:oddVBand="0" w:evenVBand="0" w:oddHBand="0" w:evenHBand="0" w:firstRowFirstColumn="0" w:firstRowLastColumn="0" w:lastRowFirstColumn="0" w:lastRowLastColumn="0"/>
            <w:tcW w:w="12969" w:type="dxa"/>
          </w:tcPr>
          <w:p w14:paraId="280E29E9" w14:textId="77777777" w:rsidR="000C1C47" w:rsidRPr="004B5178" w:rsidRDefault="000C1C47" w:rsidP="000967BB">
            <w:pPr>
              <w:numPr>
                <w:ilvl w:val="0"/>
                <w:numId w:val="2"/>
              </w:numPr>
              <w:tabs>
                <w:tab w:val="left" w:pos="0"/>
              </w:tabs>
              <w:ind w:left="716" w:hanging="356"/>
            </w:pPr>
            <w:r w:rsidRPr="004B5178">
              <w:t>MRG Application for Consideration…………………….…………………………….</w:t>
            </w:r>
          </w:p>
        </w:tc>
        <w:tc>
          <w:tcPr>
            <w:cnfStyle w:val="000100000000" w:firstRow="0" w:lastRow="0" w:firstColumn="0" w:lastColumn="1" w:oddVBand="0" w:evenVBand="0" w:oddHBand="0" w:evenHBand="0" w:firstRowFirstColumn="0" w:firstRowLastColumn="0" w:lastRowFirstColumn="0" w:lastRowLastColumn="0"/>
            <w:tcW w:w="1188" w:type="dxa"/>
          </w:tcPr>
          <w:p w14:paraId="426AA36A" w14:textId="77777777" w:rsidR="000C1C47" w:rsidRPr="004B5178" w:rsidRDefault="000C1C47" w:rsidP="000C1C47">
            <w:r w:rsidRPr="004B5178">
              <w:t>Page 5</w:t>
            </w:r>
          </w:p>
        </w:tc>
      </w:tr>
      <w:tr w:rsidR="000C1C47" w:rsidRPr="004B5178" w14:paraId="38356C0B" w14:textId="77777777" w:rsidTr="007E2565">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2969" w:type="dxa"/>
          </w:tcPr>
          <w:p w14:paraId="35F0AA17" w14:textId="77777777" w:rsidR="000C1C47" w:rsidRPr="004B5178" w:rsidRDefault="000C1C47" w:rsidP="000967BB">
            <w:pPr>
              <w:numPr>
                <w:ilvl w:val="0"/>
                <w:numId w:val="2"/>
              </w:numPr>
              <w:tabs>
                <w:tab w:val="left" w:pos="0"/>
              </w:tabs>
              <w:ind w:left="716" w:hanging="356"/>
            </w:pPr>
            <w:r w:rsidRPr="004B5178">
              <w:t>MRG Recommendations &amp; Updates……………………………………………….…</w:t>
            </w:r>
          </w:p>
        </w:tc>
        <w:tc>
          <w:tcPr>
            <w:cnfStyle w:val="000100000000" w:firstRow="0" w:lastRow="0" w:firstColumn="0" w:lastColumn="1" w:oddVBand="0" w:evenVBand="0" w:oddHBand="0" w:evenHBand="0" w:firstRowFirstColumn="0" w:firstRowLastColumn="0" w:lastRowFirstColumn="0" w:lastRowLastColumn="0"/>
            <w:tcW w:w="1188" w:type="dxa"/>
          </w:tcPr>
          <w:p w14:paraId="6CBA0A98" w14:textId="77777777" w:rsidR="000C1C47" w:rsidRPr="004B5178" w:rsidRDefault="000C1C47" w:rsidP="000C1C47">
            <w:r w:rsidRPr="004B5178">
              <w:t>Page 7</w:t>
            </w:r>
          </w:p>
        </w:tc>
      </w:tr>
      <w:tr w:rsidR="000C1C47" w:rsidRPr="004B5178" w14:paraId="6D9475BC" w14:textId="77777777" w:rsidTr="007E2565">
        <w:trPr>
          <w:trHeight w:val="448"/>
        </w:trPr>
        <w:tc>
          <w:tcPr>
            <w:cnfStyle w:val="001000000000" w:firstRow="0" w:lastRow="0" w:firstColumn="1" w:lastColumn="0" w:oddVBand="0" w:evenVBand="0" w:oddHBand="0" w:evenHBand="0" w:firstRowFirstColumn="0" w:firstRowLastColumn="0" w:lastRowFirstColumn="0" w:lastRowLastColumn="0"/>
            <w:tcW w:w="12969" w:type="dxa"/>
          </w:tcPr>
          <w:p w14:paraId="747EC187" w14:textId="77777777" w:rsidR="000C1C47" w:rsidRPr="004B5178" w:rsidRDefault="000C1C47" w:rsidP="000967BB">
            <w:pPr>
              <w:numPr>
                <w:ilvl w:val="0"/>
                <w:numId w:val="2"/>
              </w:numPr>
              <w:tabs>
                <w:tab w:val="left" w:pos="0"/>
              </w:tabs>
              <w:ind w:left="716" w:hanging="356"/>
            </w:pPr>
            <w:r w:rsidRPr="004B5178">
              <w:t>MRG Application Revisions……………………………………………………………….</w:t>
            </w:r>
          </w:p>
        </w:tc>
        <w:tc>
          <w:tcPr>
            <w:cnfStyle w:val="000100000000" w:firstRow="0" w:lastRow="0" w:firstColumn="0" w:lastColumn="1" w:oddVBand="0" w:evenVBand="0" w:oddHBand="0" w:evenHBand="0" w:firstRowFirstColumn="0" w:firstRowLastColumn="0" w:lastRowFirstColumn="0" w:lastRowLastColumn="0"/>
            <w:tcW w:w="1188" w:type="dxa"/>
          </w:tcPr>
          <w:p w14:paraId="3DD34896" w14:textId="77777777" w:rsidR="000C1C47" w:rsidRPr="004B5178" w:rsidRDefault="000C1C47" w:rsidP="000C1C47">
            <w:r w:rsidRPr="004B5178">
              <w:t xml:space="preserve">Page 8 </w:t>
            </w:r>
          </w:p>
        </w:tc>
      </w:tr>
      <w:tr w:rsidR="000C1C47" w:rsidRPr="004B5178" w14:paraId="4F0F3F3C" w14:textId="77777777" w:rsidTr="007E2565">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2969" w:type="dxa"/>
          </w:tcPr>
          <w:p w14:paraId="7375A5EE" w14:textId="77777777" w:rsidR="000C1C47" w:rsidRPr="004B5178" w:rsidRDefault="000C1C47" w:rsidP="000967BB">
            <w:pPr>
              <w:numPr>
                <w:ilvl w:val="0"/>
                <w:numId w:val="2"/>
              </w:numPr>
              <w:tabs>
                <w:tab w:val="left" w:pos="0"/>
              </w:tabs>
              <w:ind w:left="716" w:hanging="356"/>
            </w:pPr>
            <w:r w:rsidRPr="004B5178">
              <w:t>IGB Presentation Summary……………………………………………………………….</w:t>
            </w:r>
          </w:p>
        </w:tc>
        <w:tc>
          <w:tcPr>
            <w:cnfStyle w:val="000100000000" w:firstRow="0" w:lastRow="0" w:firstColumn="0" w:lastColumn="1" w:oddVBand="0" w:evenVBand="0" w:oddHBand="0" w:evenHBand="0" w:firstRowFirstColumn="0" w:firstRowLastColumn="0" w:lastRowFirstColumn="0" w:lastRowLastColumn="0"/>
            <w:tcW w:w="1188" w:type="dxa"/>
          </w:tcPr>
          <w:p w14:paraId="036B8663" w14:textId="77777777" w:rsidR="000C1C47" w:rsidRPr="004B5178" w:rsidRDefault="000C1C47" w:rsidP="000C1C47">
            <w:r w:rsidRPr="004B5178">
              <w:t>Page 20</w:t>
            </w:r>
          </w:p>
        </w:tc>
      </w:tr>
      <w:tr w:rsidR="000C1C47" w:rsidRPr="004B5178" w14:paraId="19ED2DE6" w14:textId="77777777" w:rsidTr="007E2565">
        <w:trPr>
          <w:cnfStyle w:val="010000000000" w:firstRow="0" w:lastRow="1"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2969" w:type="dxa"/>
          </w:tcPr>
          <w:p w14:paraId="16F9AE47" w14:textId="77777777" w:rsidR="000C1C47" w:rsidRPr="004B5178" w:rsidRDefault="000C1C47" w:rsidP="000967BB">
            <w:pPr>
              <w:numPr>
                <w:ilvl w:val="0"/>
                <w:numId w:val="2"/>
              </w:numPr>
              <w:tabs>
                <w:tab w:val="left" w:pos="0"/>
              </w:tabs>
              <w:ind w:left="716" w:hanging="356"/>
            </w:pPr>
            <w:r w:rsidRPr="004B5178">
              <w:t>IGB Recommendations………………………………………………………………………</w:t>
            </w:r>
          </w:p>
        </w:tc>
        <w:tc>
          <w:tcPr>
            <w:cnfStyle w:val="000100000000" w:firstRow="0" w:lastRow="0" w:firstColumn="0" w:lastColumn="1" w:oddVBand="0" w:evenVBand="0" w:oddHBand="0" w:evenHBand="0" w:firstRowFirstColumn="0" w:firstRowLastColumn="0" w:lastRowFirstColumn="0" w:lastRowLastColumn="0"/>
            <w:tcW w:w="1188" w:type="dxa"/>
          </w:tcPr>
          <w:p w14:paraId="039F863B" w14:textId="77777777" w:rsidR="000C1C47" w:rsidRPr="004B5178" w:rsidRDefault="000C1C47" w:rsidP="000C1C47">
            <w:r w:rsidRPr="004B5178">
              <w:t>Page 23</w:t>
            </w:r>
          </w:p>
        </w:tc>
      </w:tr>
    </w:tbl>
    <w:p w14:paraId="3B068754" w14:textId="1BEB78DD" w:rsidR="007E2565" w:rsidRDefault="007E2565" w:rsidP="000C1C47">
      <w:pPr>
        <w:ind w:left="-540"/>
      </w:pPr>
    </w:p>
    <w:p w14:paraId="33887F31" w14:textId="77777777" w:rsidR="007E2565" w:rsidRDefault="007E2565">
      <w:r>
        <w:br w:type="page"/>
      </w:r>
    </w:p>
    <w:p w14:paraId="28714186" w14:textId="77777777" w:rsidR="000C1C47" w:rsidRPr="004B5178" w:rsidRDefault="000C1C47" w:rsidP="000C1C47">
      <w:pPr>
        <w:ind w:left="-540"/>
      </w:pPr>
    </w:p>
    <w:p w14:paraId="048272E4" w14:textId="77777777" w:rsidR="000C1C47" w:rsidRPr="004B5178" w:rsidRDefault="000C1C47" w:rsidP="000C1C47">
      <w:pPr>
        <w:ind w:left="-540"/>
      </w:pPr>
    </w:p>
    <w:p w14:paraId="66E932AE" w14:textId="77777777" w:rsidR="000C1C47" w:rsidRPr="004B5178" w:rsidRDefault="000C1C47" w:rsidP="000C1C47">
      <w:pPr>
        <w:ind w:left="-851"/>
        <w:jc w:val="both"/>
      </w:pPr>
    </w:p>
    <w:p w14:paraId="1B4A2391" w14:textId="77777777" w:rsidR="000C1C47" w:rsidRPr="004B5178" w:rsidRDefault="000C1C47" w:rsidP="000C1C47">
      <w:pPr>
        <w:ind w:left="-851"/>
        <w:rPr>
          <w:b/>
        </w:rPr>
      </w:pPr>
      <w:r w:rsidRPr="004B5178">
        <w:rPr>
          <w:b/>
        </w:rPr>
        <w:t>Assurance Summary</w:t>
      </w:r>
    </w:p>
    <w:p w14:paraId="064329CD" w14:textId="77777777" w:rsidR="000C1C47" w:rsidRPr="004B5178" w:rsidRDefault="000C1C47" w:rsidP="000C1C47">
      <w:pPr>
        <w:ind w:left="-851"/>
      </w:pPr>
    </w:p>
    <w:tbl>
      <w:tblPr>
        <w:tblStyle w:val="TableGrid"/>
        <w:tblW w:w="15045" w:type="dxa"/>
        <w:tblLook w:val="01E0" w:firstRow="1" w:lastRow="1" w:firstColumn="1" w:lastColumn="1" w:noHBand="0" w:noVBand="0"/>
      </w:tblPr>
      <w:tblGrid>
        <w:gridCol w:w="2127"/>
        <w:gridCol w:w="12918"/>
      </w:tblGrid>
      <w:tr w:rsidR="000C1C47" w:rsidRPr="004B5178" w14:paraId="2A23D9EF" w14:textId="77777777" w:rsidTr="007E2565">
        <w:trPr>
          <w:trHeight w:val="321"/>
        </w:trPr>
        <w:tc>
          <w:tcPr>
            <w:tcW w:w="2127" w:type="dxa"/>
          </w:tcPr>
          <w:p w14:paraId="59A752D2" w14:textId="77777777" w:rsidR="000C1C47" w:rsidRPr="004B5178" w:rsidRDefault="000C1C47" w:rsidP="000C1C47">
            <w:pPr>
              <w:rPr>
                <w:b/>
              </w:rPr>
            </w:pPr>
            <w:r w:rsidRPr="004B5178">
              <w:rPr>
                <w:b/>
              </w:rPr>
              <w:t>IAS Ref Code</w:t>
            </w:r>
          </w:p>
        </w:tc>
        <w:tc>
          <w:tcPr>
            <w:tcW w:w="12918" w:type="dxa"/>
          </w:tcPr>
          <w:p w14:paraId="032128B8" w14:textId="2115620F" w:rsidR="000C1C47" w:rsidRPr="004B5178" w:rsidRDefault="000C1C47" w:rsidP="000C1C47">
            <w:pPr>
              <w:rPr>
                <w:b/>
              </w:rPr>
            </w:pPr>
          </w:p>
        </w:tc>
      </w:tr>
      <w:tr w:rsidR="000C1C47" w:rsidRPr="004B5178" w14:paraId="0A4D5AEE" w14:textId="77777777" w:rsidTr="007E2565">
        <w:trPr>
          <w:trHeight w:val="681"/>
        </w:trPr>
        <w:tc>
          <w:tcPr>
            <w:tcW w:w="2127" w:type="dxa"/>
          </w:tcPr>
          <w:p w14:paraId="3C6C7D6B" w14:textId="77777777" w:rsidR="000C1C47" w:rsidRPr="004B5178" w:rsidRDefault="000C1C47" w:rsidP="000C1C47">
            <w:pPr>
              <w:rPr>
                <w:b/>
              </w:rPr>
            </w:pPr>
            <w:r w:rsidRPr="004B5178">
              <w:rPr>
                <w:b/>
              </w:rPr>
              <w:t>Indicator Title</w:t>
            </w:r>
          </w:p>
        </w:tc>
        <w:tc>
          <w:tcPr>
            <w:tcW w:w="12918" w:type="dxa"/>
          </w:tcPr>
          <w:p w14:paraId="29144950" w14:textId="52A7D4D3" w:rsidR="000C1C47" w:rsidRPr="004B5178" w:rsidRDefault="000C1C47" w:rsidP="000C1C47">
            <w:pPr>
              <w:rPr>
                <w:b/>
              </w:rPr>
            </w:pPr>
          </w:p>
        </w:tc>
      </w:tr>
      <w:tr w:rsidR="000C1C47" w:rsidRPr="004B5178" w14:paraId="62016C79" w14:textId="77777777" w:rsidTr="007E2565">
        <w:trPr>
          <w:trHeight w:val="408"/>
        </w:trPr>
        <w:tc>
          <w:tcPr>
            <w:tcW w:w="2127" w:type="dxa"/>
          </w:tcPr>
          <w:p w14:paraId="54A62045" w14:textId="77777777" w:rsidR="000C1C47" w:rsidRPr="004B5178" w:rsidRDefault="000C1C47" w:rsidP="000C1C47">
            <w:pPr>
              <w:rPr>
                <w:b/>
              </w:rPr>
            </w:pPr>
            <w:r w:rsidRPr="004B5178">
              <w:rPr>
                <w:b/>
              </w:rPr>
              <w:t>Indicator Set</w:t>
            </w:r>
          </w:p>
        </w:tc>
        <w:tc>
          <w:tcPr>
            <w:tcW w:w="12918" w:type="dxa"/>
          </w:tcPr>
          <w:p w14:paraId="0430DFAC" w14:textId="502FFE79" w:rsidR="000C1C47" w:rsidRPr="004B5178" w:rsidRDefault="000C1C47" w:rsidP="000C1C47">
            <w:pPr>
              <w:rPr>
                <w:b/>
              </w:rPr>
            </w:pPr>
          </w:p>
        </w:tc>
      </w:tr>
    </w:tbl>
    <w:p w14:paraId="6BAB577D" w14:textId="77777777" w:rsidR="000C1C47" w:rsidRPr="004B5178" w:rsidRDefault="000C1C47" w:rsidP="000C1C47">
      <w:pPr>
        <w:ind w:left="-851"/>
      </w:pPr>
    </w:p>
    <w:p w14:paraId="27484814" w14:textId="28603A97" w:rsidR="000C1C47" w:rsidRPr="004B5178" w:rsidRDefault="007E2565" w:rsidP="000C1C47">
      <w:pPr>
        <w:ind w:left="-851"/>
      </w:pPr>
      <w:r>
        <w:rPr>
          <w:b/>
          <w:bCs/>
        </w:rPr>
        <w:t xml:space="preserve">               </w:t>
      </w:r>
      <w:r w:rsidRPr="007E2565">
        <w:rPr>
          <w:b/>
          <w:bCs/>
        </w:rPr>
        <w:t xml:space="preserve">Assurance Stage </w:t>
      </w:r>
      <w:r>
        <w:rPr>
          <w:b/>
          <w:bCs/>
        </w:rPr>
        <w:t xml:space="preserve">                                                       </w:t>
      </w:r>
      <w:r w:rsidRPr="007E2565">
        <w:rPr>
          <w:b/>
          <w:bCs/>
        </w:rPr>
        <w:t xml:space="preserve">Date(s) </w:t>
      </w:r>
      <w:r>
        <w:rPr>
          <w:b/>
          <w:bCs/>
        </w:rPr>
        <w:t xml:space="preserve">                                                                             </w:t>
      </w:r>
      <w:r w:rsidRPr="007E2565">
        <w:rPr>
          <w:b/>
          <w:bCs/>
        </w:rPr>
        <w:t>Comments</w:t>
      </w:r>
    </w:p>
    <w:tbl>
      <w:tblPr>
        <w:tblStyle w:val="TableGrid"/>
        <w:tblpPr w:leftFromText="180" w:rightFromText="180" w:vertAnchor="text" w:horzAnchor="margin" w:tblpY="171"/>
        <w:tblW w:w="15045" w:type="dxa"/>
        <w:tblLayout w:type="fixed"/>
        <w:tblLook w:val="01E0" w:firstRow="1" w:lastRow="1" w:firstColumn="1" w:lastColumn="1" w:noHBand="0" w:noVBand="0"/>
      </w:tblPr>
      <w:tblGrid>
        <w:gridCol w:w="3828"/>
        <w:gridCol w:w="567"/>
        <w:gridCol w:w="2552"/>
        <w:gridCol w:w="8098"/>
      </w:tblGrid>
      <w:tr w:rsidR="007E2565" w:rsidRPr="004B5178" w14:paraId="79FA4985" w14:textId="77777777" w:rsidTr="007E2565">
        <w:trPr>
          <w:trHeight w:val="270"/>
        </w:trPr>
        <w:tc>
          <w:tcPr>
            <w:tcW w:w="3828" w:type="dxa"/>
          </w:tcPr>
          <w:p w14:paraId="7354E080" w14:textId="77777777" w:rsidR="007E2565" w:rsidRPr="004B5178" w:rsidRDefault="007E2565" w:rsidP="007E2565">
            <w:r w:rsidRPr="004B5178">
              <w:t>Application Received</w:t>
            </w:r>
          </w:p>
        </w:tc>
        <w:sdt>
          <w:sdtPr>
            <w:id w:val="1768819078"/>
            <w14:checkbox>
              <w14:checked w14:val="1"/>
              <w14:checkedState w14:val="2612" w14:font="MS Gothic"/>
              <w14:uncheckedState w14:val="2610" w14:font="MS Gothic"/>
            </w14:checkbox>
          </w:sdtPr>
          <w:sdtContent>
            <w:tc>
              <w:tcPr>
                <w:tcW w:w="567" w:type="dxa"/>
              </w:tcPr>
              <w:p w14:paraId="1A357E98" w14:textId="77777777" w:rsidR="007E2565" w:rsidRPr="004B5178" w:rsidRDefault="007E2565" w:rsidP="007E2565">
                <w:pPr>
                  <w:jc w:val="center"/>
                </w:pPr>
                <w:r w:rsidRPr="004B5178">
                  <w:rPr>
                    <w:rFonts w:ascii="Segoe UI Symbol" w:eastAsia="MS Gothic" w:hAnsi="Segoe UI Symbol" w:cs="Segoe UI Symbol"/>
                  </w:rPr>
                  <w:t>☒</w:t>
                </w:r>
              </w:p>
            </w:tc>
          </w:sdtContent>
        </w:sdt>
        <w:tc>
          <w:tcPr>
            <w:tcW w:w="2552" w:type="dxa"/>
          </w:tcPr>
          <w:p w14:paraId="11465CDF" w14:textId="77777777" w:rsidR="007E2565" w:rsidRPr="004B5178" w:rsidRDefault="007E2565" w:rsidP="007E2565">
            <w:pPr>
              <w:jc w:val="right"/>
            </w:pPr>
          </w:p>
        </w:tc>
        <w:tc>
          <w:tcPr>
            <w:tcW w:w="8098" w:type="dxa"/>
          </w:tcPr>
          <w:p w14:paraId="53658DB5" w14:textId="77777777" w:rsidR="007E2565" w:rsidRPr="004B5178" w:rsidRDefault="007E2565" w:rsidP="007E2565"/>
        </w:tc>
      </w:tr>
      <w:tr w:rsidR="007E2565" w:rsidRPr="004B5178" w14:paraId="0CB0652C" w14:textId="77777777" w:rsidTr="007E2565">
        <w:trPr>
          <w:trHeight w:val="270"/>
        </w:trPr>
        <w:tc>
          <w:tcPr>
            <w:tcW w:w="3828" w:type="dxa"/>
          </w:tcPr>
          <w:p w14:paraId="11E35B52" w14:textId="77777777" w:rsidR="007E2565" w:rsidRPr="004B5178" w:rsidRDefault="007E2565" w:rsidP="007E2565">
            <w:r w:rsidRPr="004B5178">
              <w:t>Initial Appraisal Completed</w:t>
            </w:r>
          </w:p>
        </w:tc>
        <w:sdt>
          <w:sdtPr>
            <w:id w:val="1458530912"/>
            <w14:checkbox>
              <w14:checked w14:val="1"/>
              <w14:checkedState w14:val="2612" w14:font="MS Gothic"/>
              <w14:uncheckedState w14:val="2610" w14:font="MS Gothic"/>
            </w14:checkbox>
          </w:sdtPr>
          <w:sdtContent>
            <w:tc>
              <w:tcPr>
                <w:tcW w:w="567" w:type="dxa"/>
              </w:tcPr>
              <w:p w14:paraId="5A3310C2" w14:textId="77777777" w:rsidR="007E2565" w:rsidRPr="004B5178" w:rsidRDefault="007E2565" w:rsidP="007E2565">
                <w:pPr>
                  <w:jc w:val="center"/>
                </w:pPr>
                <w:r w:rsidRPr="004B5178">
                  <w:rPr>
                    <w:rFonts w:ascii="Segoe UI Symbol" w:eastAsia="MS Gothic" w:hAnsi="Segoe UI Symbol" w:cs="Segoe UI Symbol"/>
                  </w:rPr>
                  <w:t>☒</w:t>
                </w:r>
              </w:p>
            </w:tc>
          </w:sdtContent>
        </w:sdt>
        <w:tc>
          <w:tcPr>
            <w:tcW w:w="2552" w:type="dxa"/>
          </w:tcPr>
          <w:p w14:paraId="7416D69D" w14:textId="77777777" w:rsidR="007E2565" w:rsidRPr="004B5178" w:rsidRDefault="007E2565" w:rsidP="007E2565">
            <w:pPr>
              <w:jc w:val="right"/>
            </w:pPr>
          </w:p>
        </w:tc>
        <w:tc>
          <w:tcPr>
            <w:tcW w:w="8098" w:type="dxa"/>
          </w:tcPr>
          <w:p w14:paraId="2B3433B5" w14:textId="77777777" w:rsidR="007E2565" w:rsidRPr="004B5178" w:rsidRDefault="007E2565" w:rsidP="007E2565"/>
        </w:tc>
      </w:tr>
      <w:tr w:rsidR="007E2565" w:rsidRPr="004B5178" w14:paraId="384EF9F8" w14:textId="77777777" w:rsidTr="007E2565">
        <w:trPr>
          <w:trHeight w:val="270"/>
        </w:trPr>
        <w:tc>
          <w:tcPr>
            <w:tcW w:w="3828" w:type="dxa"/>
          </w:tcPr>
          <w:p w14:paraId="66260839" w14:textId="77777777" w:rsidR="007E2565" w:rsidRPr="004B5178" w:rsidRDefault="007E2565" w:rsidP="007E2565">
            <w:r w:rsidRPr="004B5178">
              <w:t>Peer Review Appraisal</w:t>
            </w:r>
          </w:p>
        </w:tc>
        <w:sdt>
          <w:sdtPr>
            <w:id w:val="-1207555589"/>
            <w14:checkbox>
              <w14:checked w14:val="1"/>
              <w14:checkedState w14:val="2612" w14:font="MS Gothic"/>
              <w14:uncheckedState w14:val="2610" w14:font="MS Gothic"/>
            </w14:checkbox>
          </w:sdtPr>
          <w:sdtContent>
            <w:tc>
              <w:tcPr>
                <w:tcW w:w="567" w:type="dxa"/>
              </w:tcPr>
              <w:p w14:paraId="5C16583C" w14:textId="77777777" w:rsidR="007E2565" w:rsidRPr="004B5178" w:rsidRDefault="007E2565" w:rsidP="007E2565">
                <w:pPr>
                  <w:jc w:val="center"/>
                </w:pPr>
                <w:r w:rsidRPr="004B5178">
                  <w:rPr>
                    <w:rFonts w:ascii="Segoe UI Symbol" w:eastAsia="MS Gothic" w:hAnsi="Segoe UI Symbol" w:cs="Segoe UI Symbol"/>
                  </w:rPr>
                  <w:t>☒</w:t>
                </w:r>
              </w:p>
            </w:tc>
          </w:sdtContent>
        </w:sdt>
        <w:tc>
          <w:tcPr>
            <w:tcW w:w="2552" w:type="dxa"/>
          </w:tcPr>
          <w:p w14:paraId="6043D45B" w14:textId="77777777" w:rsidR="007E2565" w:rsidRPr="004B5178" w:rsidRDefault="007E2565" w:rsidP="007E2565">
            <w:pPr>
              <w:jc w:val="right"/>
            </w:pPr>
            <w:r w:rsidRPr="004B5178">
              <w:t>28/05/13</w:t>
            </w:r>
          </w:p>
        </w:tc>
        <w:tc>
          <w:tcPr>
            <w:tcW w:w="8098" w:type="dxa"/>
          </w:tcPr>
          <w:p w14:paraId="253689BE" w14:textId="77777777" w:rsidR="007E2565" w:rsidRPr="004B5178" w:rsidRDefault="007E2565" w:rsidP="007E2565"/>
        </w:tc>
      </w:tr>
      <w:tr w:rsidR="007E2565" w:rsidRPr="004B5178" w14:paraId="11EF10F0" w14:textId="77777777" w:rsidTr="007E2565">
        <w:trPr>
          <w:trHeight w:val="270"/>
        </w:trPr>
        <w:tc>
          <w:tcPr>
            <w:tcW w:w="3828" w:type="dxa"/>
          </w:tcPr>
          <w:p w14:paraId="48D85E8F" w14:textId="77777777" w:rsidR="007E2565" w:rsidRPr="004B5178" w:rsidRDefault="007E2565" w:rsidP="007E2565">
            <w:r w:rsidRPr="004B5178">
              <w:t>Methodology Review Group Discussion</w:t>
            </w:r>
          </w:p>
        </w:tc>
        <w:sdt>
          <w:sdtPr>
            <w:id w:val="-1508978988"/>
            <w14:checkbox>
              <w14:checked w14:val="1"/>
              <w14:checkedState w14:val="2612" w14:font="MS Gothic"/>
              <w14:uncheckedState w14:val="2610" w14:font="MS Gothic"/>
            </w14:checkbox>
          </w:sdtPr>
          <w:sdtContent>
            <w:tc>
              <w:tcPr>
                <w:tcW w:w="567" w:type="dxa"/>
              </w:tcPr>
              <w:p w14:paraId="2FB06805" w14:textId="77777777" w:rsidR="007E2565" w:rsidRPr="004B5178" w:rsidRDefault="007E2565" w:rsidP="007E2565">
                <w:pPr>
                  <w:jc w:val="center"/>
                </w:pPr>
                <w:r w:rsidRPr="004B5178">
                  <w:rPr>
                    <w:rFonts w:ascii="Segoe UI Symbol" w:eastAsia="MS Gothic" w:hAnsi="Segoe UI Symbol" w:cs="Segoe UI Symbol"/>
                  </w:rPr>
                  <w:t>☒</w:t>
                </w:r>
              </w:p>
            </w:tc>
          </w:sdtContent>
        </w:sdt>
        <w:tc>
          <w:tcPr>
            <w:tcW w:w="2552" w:type="dxa"/>
          </w:tcPr>
          <w:p w14:paraId="1D935A04" w14:textId="77777777" w:rsidR="007E2565" w:rsidRPr="004B5178" w:rsidRDefault="007E2565" w:rsidP="007E2565">
            <w:pPr>
              <w:jc w:val="right"/>
            </w:pPr>
            <w:r w:rsidRPr="004B5178">
              <w:t>13/07/12, 09/08/12, 05/10/12, 31/05/13</w:t>
            </w:r>
          </w:p>
        </w:tc>
        <w:tc>
          <w:tcPr>
            <w:tcW w:w="8098" w:type="dxa"/>
          </w:tcPr>
          <w:p w14:paraId="38F108E5" w14:textId="77777777" w:rsidR="007E2565" w:rsidRPr="004B5178" w:rsidRDefault="007E2565" w:rsidP="007E2565"/>
        </w:tc>
      </w:tr>
      <w:tr w:rsidR="007E2565" w:rsidRPr="004B5178" w14:paraId="15EB2209" w14:textId="77777777" w:rsidTr="007E2565">
        <w:trPr>
          <w:trHeight w:val="270"/>
        </w:trPr>
        <w:tc>
          <w:tcPr>
            <w:tcW w:w="3828" w:type="dxa"/>
          </w:tcPr>
          <w:p w14:paraId="1B696F34" w14:textId="77777777" w:rsidR="007E2565" w:rsidRPr="004B5178" w:rsidRDefault="007E2565" w:rsidP="007E2565">
            <w:r w:rsidRPr="004B5178">
              <w:t>Indicator Governance Board  Discussion</w:t>
            </w:r>
          </w:p>
        </w:tc>
        <w:sdt>
          <w:sdtPr>
            <w:id w:val="-718508909"/>
            <w14:checkbox>
              <w14:checked w14:val="1"/>
              <w14:checkedState w14:val="2612" w14:font="MS Gothic"/>
              <w14:uncheckedState w14:val="2610" w14:font="MS Gothic"/>
            </w14:checkbox>
          </w:sdtPr>
          <w:sdtContent>
            <w:tc>
              <w:tcPr>
                <w:tcW w:w="567" w:type="dxa"/>
              </w:tcPr>
              <w:p w14:paraId="36DBD138" w14:textId="77777777" w:rsidR="007E2565" w:rsidRPr="004B5178" w:rsidRDefault="007E2565" w:rsidP="007E2565">
                <w:pPr>
                  <w:jc w:val="center"/>
                </w:pPr>
                <w:r w:rsidRPr="004B5178">
                  <w:rPr>
                    <w:rFonts w:ascii="Segoe UI Symbol" w:eastAsia="MS Gothic" w:hAnsi="Segoe UI Symbol" w:cs="Segoe UI Symbol"/>
                  </w:rPr>
                  <w:t>☒</w:t>
                </w:r>
              </w:p>
            </w:tc>
          </w:sdtContent>
        </w:sdt>
        <w:tc>
          <w:tcPr>
            <w:tcW w:w="2552" w:type="dxa"/>
          </w:tcPr>
          <w:p w14:paraId="29F61515" w14:textId="77777777" w:rsidR="007E2565" w:rsidRPr="004B5178" w:rsidRDefault="007E2565" w:rsidP="007E2565">
            <w:pPr>
              <w:jc w:val="right"/>
            </w:pPr>
            <w:r w:rsidRPr="004B5178">
              <w:t>16/09/13, 28/04/14</w:t>
            </w:r>
          </w:p>
        </w:tc>
        <w:tc>
          <w:tcPr>
            <w:tcW w:w="8098" w:type="dxa"/>
          </w:tcPr>
          <w:p w14:paraId="609381E5" w14:textId="77777777" w:rsidR="007E2565" w:rsidRPr="004B5178" w:rsidRDefault="007E2565" w:rsidP="007E2565">
            <w:r w:rsidRPr="004B5178">
              <w:t>IGB revision</w:t>
            </w:r>
          </w:p>
        </w:tc>
      </w:tr>
      <w:tr w:rsidR="007E2565" w:rsidRPr="004B5178" w14:paraId="61E4F4F2" w14:textId="77777777" w:rsidTr="007E2565">
        <w:trPr>
          <w:trHeight w:val="270"/>
        </w:trPr>
        <w:tc>
          <w:tcPr>
            <w:tcW w:w="3828" w:type="dxa"/>
          </w:tcPr>
          <w:p w14:paraId="78855FB3" w14:textId="77777777" w:rsidR="007E2565" w:rsidRPr="004B5178" w:rsidRDefault="007E2565" w:rsidP="007E2565">
            <w:r w:rsidRPr="004B5178">
              <w:t>Signed-off</w:t>
            </w:r>
          </w:p>
        </w:tc>
        <w:sdt>
          <w:sdtPr>
            <w:id w:val="-80447492"/>
            <w14:checkbox>
              <w14:checked w14:val="1"/>
              <w14:checkedState w14:val="2612" w14:font="MS Gothic"/>
              <w14:uncheckedState w14:val="2610" w14:font="MS Gothic"/>
            </w14:checkbox>
          </w:sdtPr>
          <w:sdtContent>
            <w:tc>
              <w:tcPr>
                <w:tcW w:w="567" w:type="dxa"/>
              </w:tcPr>
              <w:p w14:paraId="2FB54B37" w14:textId="77777777" w:rsidR="007E2565" w:rsidRPr="004B5178" w:rsidRDefault="007E2565" w:rsidP="007E2565">
                <w:pPr>
                  <w:jc w:val="center"/>
                </w:pPr>
                <w:r w:rsidRPr="004B5178">
                  <w:rPr>
                    <w:rFonts w:ascii="Segoe UI Symbol" w:eastAsia="MS Gothic" w:hAnsi="Segoe UI Symbol" w:cs="Segoe UI Symbol"/>
                  </w:rPr>
                  <w:t>☒</w:t>
                </w:r>
              </w:p>
            </w:tc>
          </w:sdtContent>
        </w:sdt>
        <w:tc>
          <w:tcPr>
            <w:tcW w:w="2552" w:type="dxa"/>
          </w:tcPr>
          <w:p w14:paraId="59135A1D" w14:textId="77777777" w:rsidR="007E2565" w:rsidRPr="004B5178" w:rsidRDefault="007E2565" w:rsidP="007E2565">
            <w:pPr>
              <w:jc w:val="right"/>
            </w:pPr>
            <w:r w:rsidRPr="004B5178">
              <w:t>16/09/13, 28/04/14</w:t>
            </w:r>
          </w:p>
        </w:tc>
        <w:tc>
          <w:tcPr>
            <w:tcW w:w="8098" w:type="dxa"/>
          </w:tcPr>
          <w:p w14:paraId="56750245" w14:textId="77777777" w:rsidR="007E2565" w:rsidRPr="004B5178" w:rsidRDefault="007E2565" w:rsidP="007E2565"/>
        </w:tc>
      </w:tr>
    </w:tbl>
    <w:p w14:paraId="1B01EFE0" w14:textId="77777777" w:rsidR="000C1C47" w:rsidRPr="004B5178" w:rsidRDefault="000C1C47" w:rsidP="000C1C47">
      <w:pPr>
        <w:ind w:left="-851"/>
      </w:pPr>
    </w:p>
    <w:p w14:paraId="074CEFBD" w14:textId="7B49046D" w:rsidR="007E2565" w:rsidRDefault="007E2565">
      <w:r>
        <w:br w:type="page"/>
      </w:r>
    </w:p>
    <w:p w14:paraId="3B3BB1C0" w14:textId="77777777" w:rsidR="000C1C47" w:rsidRPr="004B5178" w:rsidRDefault="000C1C47" w:rsidP="000C1C47">
      <w:pPr>
        <w:ind w:left="-851"/>
      </w:pPr>
    </w:p>
    <w:p w14:paraId="2D95D8B0" w14:textId="77777777" w:rsidR="000C1C47" w:rsidRPr="004B5178" w:rsidRDefault="000C1C47" w:rsidP="000C1C47">
      <w:pPr>
        <w:ind w:left="-851"/>
      </w:pPr>
    </w:p>
    <w:p w14:paraId="68A6A629" w14:textId="77777777" w:rsidR="000C1C47" w:rsidRPr="004B5178" w:rsidRDefault="000C1C47" w:rsidP="000C1C47">
      <w:pPr>
        <w:ind w:left="-851"/>
      </w:pPr>
    </w:p>
    <w:p w14:paraId="06E8032E" w14:textId="77777777" w:rsidR="007E2565" w:rsidRDefault="000C1C47" w:rsidP="000C1C47">
      <w:pPr>
        <w:spacing w:after="120"/>
        <w:ind w:left="-851"/>
      </w:pPr>
      <w:r w:rsidRPr="004B5178">
        <w:t>Peer Review</w:t>
      </w:r>
      <w:r w:rsidR="007E2565" w:rsidRPr="007E2565">
        <w:t xml:space="preserve"> </w:t>
      </w:r>
    </w:p>
    <w:p w14:paraId="5C416502" w14:textId="1E9ABBF3" w:rsidR="000C1C47" w:rsidRDefault="007E2565" w:rsidP="000C1C47">
      <w:pPr>
        <w:spacing w:after="120"/>
        <w:ind w:left="-851"/>
        <w:rPr>
          <w:b/>
          <w:bCs/>
        </w:rPr>
      </w:pPr>
      <w:r>
        <w:t xml:space="preserve">                </w:t>
      </w:r>
      <w:r w:rsidRPr="007E2565">
        <w:rPr>
          <w:b/>
          <w:bCs/>
        </w:rPr>
        <w:t>Peer Reviewer(s) / Organisations :</w:t>
      </w:r>
    </w:p>
    <w:p w14:paraId="31292688" w14:textId="77777777" w:rsidR="00245061" w:rsidRDefault="00245061" w:rsidP="000C1C47">
      <w:pPr>
        <w:spacing w:after="120"/>
        <w:ind w:left="-851"/>
        <w:rPr>
          <w:b/>
          <w:bCs/>
        </w:rPr>
      </w:pPr>
    </w:p>
    <w:p w14:paraId="42C8BB74" w14:textId="73C318C9" w:rsidR="00245061" w:rsidRPr="00245061" w:rsidRDefault="00245061" w:rsidP="000C1C47">
      <w:pPr>
        <w:spacing w:after="120"/>
        <w:ind w:left="-851"/>
        <w:rPr>
          <w:b/>
          <w:bCs/>
          <w:iCs/>
        </w:rPr>
      </w:pPr>
      <w:r w:rsidRPr="00245061">
        <w:rPr>
          <w:b/>
          <w:bCs/>
          <w:iCs/>
        </w:rPr>
        <w:t xml:space="preserve">               Outcome of Peer Review consideration</w:t>
      </w:r>
    </w:p>
    <w:tbl>
      <w:tblPr>
        <w:tblStyle w:val="TableGrid"/>
        <w:tblW w:w="11453" w:type="dxa"/>
        <w:tblLayout w:type="fixed"/>
        <w:tblLook w:val="01E0" w:firstRow="1" w:lastRow="1" w:firstColumn="1" w:lastColumn="1" w:noHBand="0" w:noVBand="0"/>
      </w:tblPr>
      <w:tblGrid>
        <w:gridCol w:w="9894"/>
        <w:gridCol w:w="1559"/>
      </w:tblGrid>
      <w:tr w:rsidR="00245061" w:rsidRPr="004B5178" w14:paraId="52C97D28" w14:textId="77777777" w:rsidTr="00245061">
        <w:trPr>
          <w:trHeight w:val="276"/>
        </w:trPr>
        <w:tc>
          <w:tcPr>
            <w:tcW w:w="9894" w:type="dxa"/>
          </w:tcPr>
          <w:p w14:paraId="3F5EBCBD" w14:textId="77777777" w:rsidR="00245061" w:rsidRPr="004B5178" w:rsidRDefault="00245061" w:rsidP="000967BB">
            <w:pPr>
              <w:pStyle w:val="ListParagraph"/>
              <w:numPr>
                <w:ilvl w:val="0"/>
                <w:numId w:val="13"/>
              </w:numPr>
              <w:spacing w:after="0" w:line="240" w:lineRule="auto"/>
              <w:rPr>
                <w:rFonts w:ascii="Arial" w:hAnsi="Arial" w:cs="Arial"/>
                <w:b/>
              </w:rPr>
            </w:pPr>
            <w:r w:rsidRPr="004B5178">
              <w:rPr>
                <w:rFonts w:ascii="Arial" w:hAnsi="Arial" w:cs="Arial"/>
                <w:b/>
              </w:rPr>
              <w:t>Proposal signed off, with or without caveats</w:t>
            </w:r>
          </w:p>
        </w:tc>
        <w:sdt>
          <w:sdtPr>
            <w:id w:val="1921210024"/>
            <w14:checkbox>
              <w14:checked w14:val="0"/>
              <w14:checkedState w14:val="2612" w14:font="MS Gothic"/>
              <w14:uncheckedState w14:val="2610" w14:font="MS Gothic"/>
            </w14:checkbox>
          </w:sdtPr>
          <w:sdtContent>
            <w:tc>
              <w:tcPr>
                <w:tcW w:w="1559" w:type="dxa"/>
              </w:tcPr>
              <w:p w14:paraId="307B78A6" w14:textId="77777777" w:rsidR="00245061" w:rsidRPr="004B5178" w:rsidRDefault="00245061" w:rsidP="000C1C47">
                <w:pPr>
                  <w:jc w:val="center"/>
                </w:pPr>
                <w:r w:rsidRPr="004B5178">
                  <w:rPr>
                    <w:rFonts w:ascii="Segoe UI Symbol" w:eastAsia="MS Gothic" w:hAnsi="Segoe UI Symbol" w:cs="Segoe UI Symbol"/>
                  </w:rPr>
                  <w:t>☐</w:t>
                </w:r>
              </w:p>
            </w:tc>
          </w:sdtContent>
        </w:sdt>
      </w:tr>
      <w:tr w:rsidR="00245061" w:rsidRPr="004B5178" w14:paraId="445FE9C1" w14:textId="77777777" w:rsidTr="00245061">
        <w:trPr>
          <w:trHeight w:val="281"/>
        </w:trPr>
        <w:tc>
          <w:tcPr>
            <w:tcW w:w="9894" w:type="dxa"/>
          </w:tcPr>
          <w:p w14:paraId="3FDEDDF0" w14:textId="77777777" w:rsidR="00245061" w:rsidRPr="004B5178" w:rsidRDefault="00245061" w:rsidP="000967BB">
            <w:pPr>
              <w:pStyle w:val="ListParagraph"/>
              <w:numPr>
                <w:ilvl w:val="0"/>
                <w:numId w:val="13"/>
              </w:numPr>
              <w:spacing w:after="0" w:line="240" w:lineRule="auto"/>
              <w:rPr>
                <w:rFonts w:ascii="Arial" w:hAnsi="Arial" w:cs="Arial"/>
                <w:b/>
              </w:rPr>
            </w:pPr>
            <w:r w:rsidRPr="004B5178">
              <w:rPr>
                <w:rFonts w:ascii="Arial" w:hAnsi="Arial" w:cs="Arial"/>
                <w:b/>
              </w:rPr>
              <w:t xml:space="preserve">Minor changes recommended  </w:t>
            </w:r>
          </w:p>
        </w:tc>
        <w:sdt>
          <w:sdtPr>
            <w:id w:val="656268324"/>
            <w14:checkbox>
              <w14:checked w14:val="0"/>
              <w14:checkedState w14:val="2612" w14:font="MS Gothic"/>
              <w14:uncheckedState w14:val="2610" w14:font="MS Gothic"/>
            </w14:checkbox>
          </w:sdtPr>
          <w:sdtContent>
            <w:tc>
              <w:tcPr>
                <w:tcW w:w="1559" w:type="dxa"/>
              </w:tcPr>
              <w:p w14:paraId="63F50951" w14:textId="77777777" w:rsidR="00245061" w:rsidRPr="004B5178" w:rsidRDefault="00245061" w:rsidP="000C1C47">
                <w:pPr>
                  <w:jc w:val="center"/>
                </w:pPr>
                <w:r w:rsidRPr="004B5178">
                  <w:rPr>
                    <w:rFonts w:ascii="Segoe UI Symbol" w:eastAsia="MS Gothic" w:hAnsi="Segoe UI Symbol" w:cs="Segoe UI Symbol"/>
                  </w:rPr>
                  <w:t>☐</w:t>
                </w:r>
              </w:p>
            </w:tc>
          </w:sdtContent>
        </w:sdt>
      </w:tr>
      <w:tr w:rsidR="00245061" w:rsidRPr="004B5178" w14:paraId="6FEEB6FF" w14:textId="77777777" w:rsidTr="00245061">
        <w:trPr>
          <w:trHeight w:val="274"/>
        </w:trPr>
        <w:tc>
          <w:tcPr>
            <w:tcW w:w="9894" w:type="dxa"/>
          </w:tcPr>
          <w:p w14:paraId="7F2BC420" w14:textId="77777777" w:rsidR="00245061" w:rsidRPr="004B5178" w:rsidRDefault="00245061" w:rsidP="000967BB">
            <w:pPr>
              <w:pStyle w:val="ListParagraph"/>
              <w:numPr>
                <w:ilvl w:val="0"/>
                <w:numId w:val="13"/>
              </w:numPr>
              <w:spacing w:after="0" w:line="240" w:lineRule="auto"/>
              <w:rPr>
                <w:rFonts w:ascii="Arial" w:hAnsi="Arial" w:cs="Arial"/>
                <w:b/>
              </w:rPr>
            </w:pPr>
            <w:r w:rsidRPr="004B5178">
              <w:rPr>
                <w:rFonts w:ascii="Arial" w:hAnsi="Arial" w:cs="Arial"/>
                <w:b/>
              </w:rPr>
              <w:t>Declined to sign-off</w:t>
            </w:r>
          </w:p>
        </w:tc>
        <w:sdt>
          <w:sdtPr>
            <w:id w:val="-303159018"/>
            <w14:checkbox>
              <w14:checked w14:val="0"/>
              <w14:checkedState w14:val="2612" w14:font="MS Gothic"/>
              <w14:uncheckedState w14:val="2610" w14:font="MS Gothic"/>
            </w14:checkbox>
          </w:sdtPr>
          <w:sdtContent>
            <w:tc>
              <w:tcPr>
                <w:tcW w:w="1559" w:type="dxa"/>
              </w:tcPr>
              <w:p w14:paraId="4D0FE959" w14:textId="77777777" w:rsidR="00245061" w:rsidRPr="004B5178" w:rsidRDefault="00245061" w:rsidP="000C1C47">
                <w:pPr>
                  <w:jc w:val="center"/>
                </w:pPr>
                <w:r w:rsidRPr="004B5178">
                  <w:rPr>
                    <w:rFonts w:ascii="Segoe UI Symbol" w:eastAsia="MS Gothic" w:hAnsi="Segoe UI Symbol" w:cs="Segoe UI Symbol"/>
                  </w:rPr>
                  <w:t>☐</w:t>
                </w:r>
              </w:p>
            </w:tc>
          </w:sdtContent>
        </w:sdt>
      </w:tr>
    </w:tbl>
    <w:p w14:paraId="33EF47F4" w14:textId="08B502BF" w:rsidR="000C1C47" w:rsidRPr="004B5178" w:rsidRDefault="000C1C47" w:rsidP="000C1C47"/>
    <w:p w14:paraId="23370C6A" w14:textId="11E40CBC" w:rsidR="000967BB" w:rsidRPr="004B5178" w:rsidRDefault="000967BB" w:rsidP="000C1C47"/>
    <w:p w14:paraId="74C9540C" w14:textId="6AAA42B3" w:rsidR="000967BB" w:rsidRPr="004B5178" w:rsidRDefault="000967BB" w:rsidP="000C1C47"/>
    <w:p w14:paraId="20CDAE10" w14:textId="77777777" w:rsidR="000967BB" w:rsidRPr="004B5178" w:rsidRDefault="000967BB" w:rsidP="000C1C47"/>
    <w:p w14:paraId="7DA82418" w14:textId="18698BF7" w:rsidR="000C1C47" w:rsidRDefault="000C1C47" w:rsidP="000C1C47">
      <w:pPr>
        <w:spacing w:after="120"/>
        <w:ind w:left="-851"/>
      </w:pPr>
      <w:r w:rsidRPr="004B5178">
        <w:t>Methodology Review Group (MRG)</w:t>
      </w:r>
    </w:p>
    <w:p w14:paraId="242B3A2E" w14:textId="2963BA13" w:rsidR="007E2565" w:rsidRDefault="007E2565" w:rsidP="000C1C47">
      <w:pPr>
        <w:spacing w:after="120"/>
        <w:ind w:left="-851"/>
      </w:pPr>
    </w:p>
    <w:p w14:paraId="71E629B1" w14:textId="77C76B75" w:rsidR="007E2565" w:rsidRPr="007E2565" w:rsidRDefault="007E2565" w:rsidP="000C1C47">
      <w:pPr>
        <w:spacing w:after="120"/>
        <w:ind w:left="-851"/>
        <w:rPr>
          <w:b/>
          <w:bCs/>
        </w:rPr>
      </w:pPr>
      <w:r w:rsidRPr="007E2565">
        <w:rPr>
          <w:b/>
          <w:bCs/>
          <w:i/>
        </w:rPr>
        <w:t xml:space="preserve">                 Outcome of MRG </w:t>
      </w:r>
      <w:r w:rsidRPr="007E2565">
        <w:rPr>
          <w:b/>
          <w:bCs/>
          <w:iCs/>
        </w:rPr>
        <w:t>consideration</w:t>
      </w:r>
      <w:r w:rsidRPr="007E2565">
        <w:rPr>
          <w:b/>
          <w:bCs/>
          <w:i/>
        </w:rPr>
        <w:t>:</w:t>
      </w:r>
    </w:p>
    <w:tbl>
      <w:tblPr>
        <w:tblStyle w:val="TableGrid"/>
        <w:tblW w:w="14596" w:type="dxa"/>
        <w:tblLook w:val="01E0" w:firstRow="1" w:lastRow="1" w:firstColumn="1" w:lastColumn="1" w:noHBand="0" w:noVBand="0"/>
      </w:tblPr>
      <w:tblGrid>
        <w:gridCol w:w="13036"/>
        <w:gridCol w:w="1560"/>
      </w:tblGrid>
      <w:tr w:rsidR="007E2565" w:rsidRPr="004B5178" w14:paraId="37E1C9FD" w14:textId="77777777" w:rsidTr="007E2565">
        <w:trPr>
          <w:trHeight w:val="258"/>
        </w:trPr>
        <w:tc>
          <w:tcPr>
            <w:tcW w:w="13036" w:type="dxa"/>
          </w:tcPr>
          <w:p w14:paraId="0C5762F8" w14:textId="77777777" w:rsidR="007E2565" w:rsidRPr="004B5178" w:rsidRDefault="007E2565" w:rsidP="000967BB">
            <w:pPr>
              <w:pStyle w:val="ListParagraph"/>
              <w:numPr>
                <w:ilvl w:val="0"/>
                <w:numId w:val="14"/>
              </w:numPr>
              <w:spacing w:after="0" w:line="240" w:lineRule="auto"/>
              <w:rPr>
                <w:rFonts w:ascii="Arial" w:hAnsi="Arial" w:cs="Arial"/>
                <w:b/>
              </w:rPr>
            </w:pPr>
            <w:r w:rsidRPr="004B5178">
              <w:rPr>
                <w:rFonts w:ascii="Arial" w:hAnsi="Arial" w:cs="Arial"/>
                <w:b/>
              </w:rPr>
              <w:t>No significant issues identified</w:t>
            </w:r>
          </w:p>
        </w:tc>
        <w:sdt>
          <w:sdtPr>
            <w:id w:val="1710449055"/>
            <w14:checkbox>
              <w14:checked w14:val="0"/>
              <w14:checkedState w14:val="2612" w14:font="MS Gothic"/>
              <w14:uncheckedState w14:val="2610" w14:font="MS Gothic"/>
            </w14:checkbox>
          </w:sdtPr>
          <w:sdtContent>
            <w:tc>
              <w:tcPr>
                <w:tcW w:w="1560" w:type="dxa"/>
              </w:tcPr>
              <w:p w14:paraId="0F7C6FB5" w14:textId="77777777" w:rsidR="007E2565" w:rsidRPr="004B5178" w:rsidRDefault="007E2565" w:rsidP="000C1C47">
                <w:pPr>
                  <w:jc w:val="center"/>
                </w:pPr>
                <w:r w:rsidRPr="004B5178">
                  <w:rPr>
                    <w:rFonts w:ascii="Segoe UI Symbol" w:eastAsia="MS Gothic" w:hAnsi="Segoe UI Symbol" w:cs="Segoe UI Symbol"/>
                  </w:rPr>
                  <w:t>☐</w:t>
                </w:r>
              </w:p>
            </w:tc>
          </w:sdtContent>
        </w:sdt>
      </w:tr>
      <w:tr w:rsidR="007E2565" w:rsidRPr="004B5178" w14:paraId="462AF13D" w14:textId="77777777" w:rsidTr="007E2565">
        <w:trPr>
          <w:trHeight w:val="263"/>
        </w:trPr>
        <w:tc>
          <w:tcPr>
            <w:tcW w:w="13036" w:type="dxa"/>
          </w:tcPr>
          <w:p w14:paraId="0C555527" w14:textId="77777777" w:rsidR="007E2565" w:rsidRPr="004B5178" w:rsidRDefault="007E2565" w:rsidP="000967BB">
            <w:pPr>
              <w:pStyle w:val="ListParagraph"/>
              <w:numPr>
                <w:ilvl w:val="0"/>
                <w:numId w:val="14"/>
              </w:numPr>
              <w:spacing w:after="0" w:line="240" w:lineRule="auto"/>
              <w:rPr>
                <w:rFonts w:ascii="Arial" w:hAnsi="Arial" w:cs="Arial"/>
                <w:b/>
              </w:rPr>
            </w:pPr>
            <w:r w:rsidRPr="004B5178">
              <w:rPr>
                <w:rFonts w:ascii="Arial" w:hAnsi="Arial" w:cs="Arial"/>
                <w:b/>
              </w:rPr>
              <w:t>No significant issues on basis of completion of outstanding actions</w:t>
            </w:r>
          </w:p>
        </w:tc>
        <w:sdt>
          <w:sdtPr>
            <w:id w:val="1461998664"/>
            <w14:checkbox>
              <w14:checked w14:val="0"/>
              <w14:checkedState w14:val="2612" w14:font="MS Gothic"/>
              <w14:uncheckedState w14:val="2610" w14:font="MS Gothic"/>
            </w14:checkbox>
          </w:sdtPr>
          <w:sdtContent>
            <w:tc>
              <w:tcPr>
                <w:tcW w:w="1560" w:type="dxa"/>
              </w:tcPr>
              <w:p w14:paraId="40B06E24" w14:textId="77777777" w:rsidR="007E2565" w:rsidRPr="004B5178" w:rsidRDefault="007E2565" w:rsidP="000C1C47">
                <w:pPr>
                  <w:jc w:val="center"/>
                </w:pPr>
                <w:r w:rsidRPr="004B5178">
                  <w:rPr>
                    <w:rFonts w:ascii="Segoe UI Symbol" w:eastAsia="MS Gothic" w:hAnsi="Segoe UI Symbol" w:cs="Segoe UI Symbol"/>
                  </w:rPr>
                  <w:t>☐</w:t>
                </w:r>
              </w:p>
            </w:tc>
          </w:sdtContent>
        </w:sdt>
      </w:tr>
      <w:tr w:rsidR="007E2565" w:rsidRPr="004B5178" w14:paraId="24EFEE4C" w14:textId="77777777" w:rsidTr="007E2565">
        <w:trPr>
          <w:trHeight w:val="253"/>
        </w:trPr>
        <w:tc>
          <w:tcPr>
            <w:tcW w:w="13036" w:type="dxa"/>
          </w:tcPr>
          <w:p w14:paraId="4FC437C9" w14:textId="77777777" w:rsidR="007E2565" w:rsidRPr="004B5178" w:rsidRDefault="007E2565" w:rsidP="000967BB">
            <w:pPr>
              <w:pStyle w:val="ListParagraph"/>
              <w:numPr>
                <w:ilvl w:val="0"/>
                <w:numId w:val="14"/>
              </w:numPr>
              <w:spacing w:after="0" w:line="240" w:lineRule="auto"/>
              <w:rPr>
                <w:rFonts w:ascii="Arial" w:hAnsi="Arial" w:cs="Arial"/>
                <w:b/>
              </w:rPr>
            </w:pPr>
            <w:r w:rsidRPr="004B5178">
              <w:rPr>
                <w:rFonts w:ascii="Arial" w:hAnsi="Arial" w:cs="Arial"/>
                <w:b/>
              </w:rPr>
              <w:t>Some concerns expressed as caveats or limitations</w:t>
            </w:r>
          </w:p>
        </w:tc>
        <w:sdt>
          <w:sdtPr>
            <w:id w:val="542646888"/>
            <w14:checkbox>
              <w14:checked w14:val="0"/>
              <w14:checkedState w14:val="2612" w14:font="MS Gothic"/>
              <w14:uncheckedState w14:val="2610" w14:font="MS Gothic"/>
            </w14:checkbox>
          </w:sdtPr>
          <w:sdtContent>
            <w:tc>
              <w:tcPr>
                <w:tcW w:w="1560" w:type="dxa"/>
              </w:tcPr>
              <w:p w14:paraId="359CEFF7" w14:textId="77777777" w:rsidR="007E2565" w:rsidRPr="004B5178" w:rsidRDefault="007E2565" w:rsidP="000C1C47">
                <w:pPr>
                  <w:jc w:val="center"/>
                </w:pPr>
                <w:r w:rsidRPr="004B5178">
                  <w:rPr>
                    <w:rFonts w:ascii="Segoe UI Symbol" w:eastAsia="MS Gothic" w:hAnsi="Segoe UI Symbol" w:cs="Segoe UI Symbol"/>
                  </w:rPr>
                  <w:t>☐</w:t>
                </w:r>
              </w:p>
            </w:tc>
          </w:sdtContent>
        </w:sdt>
      </w:tr>
      <w:tr w:rsidR="007E2565" w:rsidRPr="004B5178" w14:paraId="19E1F274" w14:textId="77777777" w:rsidTr="007E2565">
        <w:trPr>
          <w:trHeight w:val="253"/>
        </w:trPr>
        <w:tc>
          <w:tcPr>
            <w:tcW w:w="13036" w:type="dxa"/>
          </w:tcPr>
          <w:p w14:paraId="3C692A1F" w14:textId="77777777" w:rsidR="007E2565" w:rsidRPr="004B5178" w:rsidRDefault="007E2565" w:rsidP="000967BB">
            <w:pPr>
              <w:pStyle w:val="ListParagraph"/>
              <w:numPr>
                <w:ilvl w:val="0"/>
                <w:numId w:val="14"/>
              </w:numPr>
              <w:spacing w:after="0" w:line="240" w:lineRule="auto"/>
              <w:rPr>
                <w:rFonts w:ascii="Arial" w:hAnsi="Arial" w:cs="Arial"/>
                <w:b/>
              </w:rPr>
            </w:pPr>
            <w:r w:rsidRPr="004B5178">
              <w:rPr>
                <w:rFonts w:ascii="Arial" w:hAnsi="Arial" w:cs="Arial"/>
                <w:b/>
              </w:rPr>
              <w:t>Significant reservations</w:t>
            </w:r>
          </w:p>
        </w:tc>
        <w:sdt>
          <w:sdtPr>
            <w:id w:val="374438656"/>
            <w14:checkbox>
              <w14:checked w14:val="0"/>
              <w14:checkedState w14:val="2612" w14:font="MS Gothic"/>
              <w14:uncheckedState w14:val="2610" w14:font="MS Gothic"/>
            </w14:checkbox>
          </w:sdtPr>
          <w:sdtContent>
            <w:tc>
              <w:tcPr>
                <w:tcW w:w="1560" w:type="dxa"/>
              </w:tcPr>
              <w:p w14:paraId="2981B08B" w14:textId="77777777" w:rsidR="007E2565" w:rsidRPr="004B5178" w:rsidRDefault="007E2565" w:rsidP="000C1C47">
                <w:pPr>
                  <w:jc w:val="center"/>
                </w:pPr>
                <w:r w:rsidRPr="004B5178">
                  <w:rPr>
                    <w:rFonts w:ascii="Segoe UI Symbol" w:eastAsia="MS Gothic" w:hAnsi="Segoe UI Symbol" w:cs="Segoe UI Symbol"/>
                  </w:rPr>
                  <w:t>☐</w:t>
                </w:r>
              </w:p>
            </w:tc>
          </w:sdtContent>
        </w:sdt>
      </w:tr>
      <w:tr w:rsidR="007E2565" w:rsidRPr="004B5178" w14:paraId="36A3C289" w14:textId="77777777" w:rsidTr="007E2565">
        <w:trPr>
          <w:trHeight w:val="253"/>
        </w:trPr>
        <w:tc>
          <w:tcPr>
            <w:tcW w:w="13036" w:type="dxa"/>
          </w:tcPr>
          <w:p w14:paraId="1F5A7E61" w14:textId="77777777" w:rsidR="007E2565" w:rsidRPr="004B5178" w:rsidRDefault="007E2565" w:rsidP="000967BB">
            <w:pPr>
              <w:pStyle w:val="ListParagraph"/>
              <w:numPr>
                <w:ilvl w:val="0"/>
                <w:numId w:val="14"/>
              </w:numPr>
              <w:spacing w:after="0" w:line="240" w:lineRule="auto"/>
              <w:rPr>
                <w:rFonts w:ascii="Arial" w:hAnsi="Arial" w:cs="Arial"/>
                <w:b/>
              </w:rPr>
            </w:pPr>
            <w:r w:rsidRPr="004B5178">
              <w:rPr>
                <w:rFonts w:ascii="Arial" w:hAnsi="Arial" w:cs="Arial"/>
                <w:b/>
              </w:rPr>
              <w:t>Unresolved issues</w:t>
            </w:r>
          </w:p>
        </w:tc>
        <w:sdt>
          <w:sdtPr>
            <w:id w:val="-1882858430"/>
            <w14:checkbox>
              <w14:checked w14:val="0"/>
              <w14:checkedState w14:val="2612" w14:font="MS Gothic"/>
              <w14:uncheckedState w14:val="2610" w14:font="MS Gothic"/>
            </w14:checkbox>
          </w:sdtPr>
          <w:sdtContent>
            <w:tc>
              <w:tcPr>
                <w:tcW w:w="1560" w:type="dxa"/>
              </w:tcPr>
              <w:p w14:paraId="6DAF0FC0" w14:textId="77777777" w:rsidR="007E2565" w:rsidRPr="004B5178" w:rsidRDefault="007E2565" w:rsidP="000C1C47">
                <w:pPr>
                  <w:jc w:val="center"/>
                </w:pPr>
                <w:r w:rsidRPr="004B5178">
                  <w:rPr>
                    <w:rFonts w:ascii="Segoe UI Symbol" w:eastAsia="MS Gothic" w:hAnsi="Segoe UI Symbol" w:cs="Segoe UI Symbol"/>
                  </w:rPr>
                  <w:t>☐</w:t>
                </w:r>
              </w:p>
            </w:tc>
          </w:sdtContent>
        </w:sdt>
      </w:tr>
    </w:tbl>
    <w:p w14:paraId="436AC488" w14:textId="26B3C977" w:rsidR="007E2565" w:rsidRDefault="007E2565" w:rsidP="000C1C47">
      <w:pPr>
        <w:ind w:left="-540"/>
      </w:pPr>
    </w:p>
    <w:p w14:paraId="5A44B1E5" w14:textId="77777777" w:rsidR="007E2565" w:rsidRDefault="007E2565">
      <w:r>
        <w:br w:type="page"/>
      </w:r>
    </w:p>
    <w:p w14:paraId="3C5BBECE" w14:textId="77777777" w:rsidR="000C1C47" w:rsidRPr="004B5178" w:rsidRDefault="000C1C47" w:rsidP="000C1C47">
      <w:pPr>
        <w:ind w:left="-540"/>
      </w:pPr>
    </w:p>
    <w:p w14:paraId="7202692C" w14:textId="190E1209" w:rsidR="000C1C47" w:rsidRDefault="000C1C47" w:rsidP="000C1C47">
      <w:pPr>
        <w:spacing w:after="120"/>
        <w:ind w:left="-851"/>
      </w:pPr>
      <w:r w:rsidRPr="004B5178">
        <w:t>Indicator Governance Board (IGB)</w:t>
      </w:r>
    </w:p>
    <w:p w14:paraId="4BD6AE6C" w14:textId="05EE4632" w:rsidR="007E2565" w:rsidRDefault="007E2565" w:rsidP="000C1C47">
      <w:pPr>
        <w:spacing w:after="120"/>
        <w:ind w:left="-851"/>
      </w:pPr>
    </w:p>
    <w:p w14:paraId="2107A14A" w14:textId="5517C837" w:rsidR="007E2565" w:rsidRPr="007E2565" w:rsidRDefault="007E2565" w:rsidP="000C1C47">
      <w:pPr>
        <w:spacing w:after="120"/>
        <w:ind w:left="-851"/>
        <w:rPr>
          <w:b/>
          <w:bCs/>
          <w:iCs/>
        </w:rPr>
      </w:pPr>
      <w:r>
        <w:rPr>
          <w:i/>
        </w:rPr>
        <w:t xml:space="preserve">                 </w:t>
      </w:r>
      <w:r w:rsidRPr="007E2565">
        <w:rPr>
          <w:b/>
          <w:bCs/>
          <w:iCs/>
        </w:rPr>
        <w:t>Final Appraisal Status</w:t>
      </w:r>
    </w:p>
    <w:tbl>
      <w:tblPr>
        <w:tblStyle w:val="TableGrid"/>
        <w:tblW w:w="14596" w:type="dxa"/>
        <w:tblLook w:val="01E0" w:firstRow="1" w:lastRow="1" w:firstColumn="1" w:lastColumn="1" w:noHBand="0" w:noVBand="0"/>
      </w:tblPr>
      <w:tblGrid>
        <w:gridCol w:w="13036"/>
        <w:gridCol w:w="1560"/>
      </w:tblGrid>
      <w:tr w:rsidR="007E2565" w:rsidRPr="004B5178" w14:paraId="6A125B1C" w14:textId="77777777" w:rsidTr="007E2565">
        <w:trPr>
          <w:trHeight w:val="339"/>
        </w:trPr>
        <w:tc>
          <w:tcPr>
            <w:tcW w:w="13036" w:type="dxa"/>
          </w:tcPr>
          <w:p w14:paraId="7C98E744" w14:textId="77777777" w:rsidR="007E2565" w:rsidRPr="004B5178" w:rsidRDefault="007E2565" w:rsidP="000967BB">
            <w:pPr>
              <w:pStyle w:val="ListParagraph"/>
              <w:numPr>
                <w:ilvl w:val="0"/>
                <w:numId w:val="15"/>
              </w:numPr>
              <w:spacing w:after="0" w:line="240" w:lineRule="auto"/>
              <w:rPr>
                <w:rFonts w:ascii="Arial" w:hAnsi="Arial" w:cs="Arial"/>
                <w:b/>
              </w:rPr>
            </w:pPr>
            <w:r w:rsidRPr="004B5178">
              <w:rPr>
                <w:rFonts w:ascii="Arial" w:hAnsi="Arial" w:cs="Arial"/>
                <w:b/>
              </w:rPr>
              <w:t>Assured</w:t>
            </w:r>
          </w:p>
        </w:tc>
        <w:sdt>
          <w:sdtPr>
            <w:id w:val="-1533957486"/>
            <w14:checkbox>
              <w14:checked w14:val="1"/>
              <w14:checkedState w14:val="2612" w14:font="MS Gothic"/>
              <w14:uncheckedState w14:val="2610" w14:font="MS Gothic"/>
            </w14:checkbox>
          </w:sdtPr>
          <w:sdtContent>
            <w:tc>
              <w:tcPr>
                <w:tcW w:w="1560" w:type="dxa"/>
              </w:tcPr>
              <w:p w14:paraId="10ED1F48" w14:textId="77777777" w:rsidR="007E2565" w:rsidRPr="004B5178" w:rsidRDefault="007E2565" w:rsidP="000C1C47">
                <w:pPr>
                  <w:jc w:val="center"/>
                </w:pPr>
                <w:r w:rsidRPr="004B5178">
                  <w:rPr>
                    <w:rFonts w:ascii="Segoe UI Symbol" w:eastAsia="MS Gothic" w:hAnsi="Segoe UI Symbol" w:cs="Segoe UI Symbol"/>
                  </w:rPr>
                  <w:t>☒</w:t>
                </w:r>
              </w:p>
            </w:tc>
          </w:sdtContent>
        </w:sdt>
      </w:tr>
      <w:tr w:rsidR="007E2565" w:rsidRPr="004B5178" w14:paraId="440323B7" w14:textId="77777777" w:rsidTr="007E2565">
        <w:trPr>
          <w:trHeight w:val="345"/>
        </w:trPr>
        <w:tc>
          <w:tcPr>
            <w:tcW w:w="13036" w:type="dxa"/>
          </w:tcPr>
          <w:p w14:paraId="336E0A74" w14:textId="77777777" w:rsidR="007E2565" w:rsidRPr="004B5178" w:rsidRDefault="007E2565" w:rsidP="000967BB">
            <w:pPr>
              <w:pStyle w:val="ListParagraph"/>
              <w:numPr>
                <w:ilvl w:val="0"/>
                <w:numId w:val="12"/>
              </w:numPr>
              <w:spacing w:after="0" w:line="240" w:lineRule="auto"/>
              <w:rPr>
                <w:rFonts w:ascii="Arial" w:hAnsi="Arial" w:cs="Arial"/>
                <w:b/>
              </w:rPr>
            </w:pPr>
            <w:r w:rsidRPr="004B5178">
              <w:rPr>
                <w:rFonts w:ascii="Arial" w:hAnsi="Arial" w:cs="Arial"/>
                <w:b/>
              </w:rPr>
              <w:t>Assured with Comments</w:t>
            </w:r>
          </w:p>
        </w:tc>
        <w:sdt>
          <w:sdtPr>
            <w:id w:val="670753281"/>
            <w14:checkbox>
              <w14:checked w14:val="0"/>
              <w14:checkedState w14:val="2612" w14:font="MS Gothic"/>
              <w14:uncheckedState w14:val="2610" w14:font="MS Gothic"/>
            </w14:checkbox>
          </w:sdtPr>
          <w:sdtContent>
            <w:tc>
              <w:tcPr>
                <w:tcW w:w="1560" w:type="dxa"/>
              </w:tcPr>
              <w:p w14:paraId="1F93C15C" w14:textId="77777777" w:rsidR="007E2565" w:rsidRPr="004B5178" w:rsidRDefault="007E2565" w:rsidP="000C1C47">
                <w:pPr>
                  <w:jc w:val="center"/>
                </w:pPr>
                <w:r w:rsidRPr="004B5178">
                  <w:rPr>
                    <w:rFonts w:ascii="Segoe UI Symbol" w:eastAsia="MS Gothic" w:hAnsi="Segoe UI Symbol" w:cs="Segoe UI Symbol"/>
                  </w:rPr>
                  <w:t>☐</w:t>
                </w:r>
              </w:p>
            </w:tc>
          </w:sdtContent>
        </w:sdt>
      </w:tr>
      <w:tr w:rsidR="007E2565" w:rsidRPr="004B5178" w14:paraId="3631FD9F" w14:textId="77777777" w:rsidTr="007E2565">
        <w:trPr>
          <w:trHeight w:val="336"/>
        </w:trPr>
        <w:tc>
          <w:tcPr>
            <w:tcW w:w="13036" w:type="dxa"/>
          </w:tcPr>
          <w:p w14:paraId="473B3DAA" w14:textId="77777777" w:rsidR="007E2565" w:rsidRPr="004B5178" w:rsidRDefault="007E2565" w:rsidP="000967BB">
            <w:pPr>
              <w:pStyle w:val="ListParagraph"/>
              <w:numPr>
                <w:ilvl w:val="0"/>
                <w:numId w:val="12"/>
              </w:numPr>
              <w:spacing w:after="0" w:line="240" w:lineRule="auto"/>
              <w:rPr>
                <w:rFonts w:ascii="Arial" w:hAnsi="Arial" w:cs="Arial"/>
                <w:b/>
              </w:rPr>
            </w:pPr>
            <w:r w:rsidRPr="004B5178">
              <w:rPr>
                <w:rFonts w:ascii="Arial" w:hAnsi="Arial" w:cs="Arial"/>
                <w:b/>
              </w:rPr>
              <w:t>Failed Assurance</w:t>
            </w:r>
          </w:p>
        </w:tc>
        <w:sdt>
          <w:sdtPr>
            <w:id w:val="516811208"/>
            <w14:checkbox>
              <w14:checked w14:val="0"/>
              <w14:checkedState w14:val="2612" w14:font="MS Gothic"/>
              <w14:uncheckedState w14:val="2610" w14:font="MS Gothic"/>
            </w14:checkbox>
          </w:sdtPr>
          <w:sdtContent>
            <w:tc>
              <w:tcPr>
                <w:tcW w:w="1560" w:type="dxa"/>
              </w:tcPr>
              <w:p w14:paraId="46B96C6A" w14:textId="77777777" w:rsidR="007E2565" w:rsidRPr="004B5178" w:rsidRDefault="007E2565" w:rsidP="000C1C47">
                <w:pPr>
                  <w:jc w:val="center"/>
                </w:pPr>
                <w:r w:rsidRPr="004B5178">
                  <w:rPr>
                    <w:rFonts w:ascii="Segoe UI Symbol" w:eastAsia="MS Gothic" w:hAnsi="Segoe UI Symbol" w:cs="Segoe UI Symbol"/>
                  </w:rPr>
                  <w:t>☐</w:t>
                </w:r>
              </w:p>
            </w:tc>
          </w:sdtContent>
        </w:sdt>
      </w:tr>
    </w:tbl>
    <w:p w14:paraId="36DB86CB" w14:textId="77777777" w:rsidR="000C1C47" w:rsidRPr="004B5178" w:rsidRDefault="000C1C47">
      <w:r w:rsidRPr="004B5178">
        <w:br w:type="page"/>
      </w:r>
    </w:p>
    <w:p w14:paraId="1ECEDEE8" w14:textId="77777777" w:rsidR="000C1C47" w:rsidRPr="004B5178" w:rsidRDefault="000C1C47" w:rsidP="000C1C47">
      <w:pPr>
        <w:ind w:left="-851"/>
      </w:pPr>
    </w:p>
    <w:p w14:paraId="014A36DD" w14:textId="77777777" w:rsidR="000C1C47" w:rsidRPr="004B5178" w:rsidRDefault="000C1C47" w:rsidP="000C1C47">
      <w:pPr>
        <w:ind w:left="-851"/>
      </w:pPr>
      <w:r w:rsidRPr="004B5178">
        <w:rPr>
          <w:b/>
        </w:rPr>
        <w:t xml:space="preserve">Peer Review </w:t>
      </w:r>
      <w:r w:rsidRPr="004B5178">
        <w:t xml:space="preserve">Summary </w:t>
      </w:r>
    </w:p>
    <w:p w14:paraId="172761D4" w14:textId="77777777" w:rsidR="000C1C47" w:rsidRPr="004B5178" w:rsidRDefault="000C1C47" w:rsidP="000C1C47">
      <w:pPr>
        <w:ind w:left="-540"/>
      </w:pPr>
    </w:p>
    <w:p w14:paraId="5CE0B591" w14:textId="46976568" w:rsidR="000C1C47" w:rsidRPr="004B5178" w:rsidRDefault="007E2565" w:rsidP="000C1C47">
      <w:r w:rsidRPr="004B5178">
        <w:t>IAS Ref Code:</w:t>
      </w:r>
    </w:p>
    <w:tbl>
      <w:tblPr>
        <w:tblStyle w:val="TableGrid"/>
        <w:tblW w:w="15163" w:type="dxa"/>
        <w:tblLayout w:type="fixed"/>
        <w:tblLook w:val="01E0" w:firstRow="1" w:lastRow="1" w:firstColumn="1" w:lastColumn="1" w:noHBand="0" w:noVBand="0"/>
      </w:tblPr>
      <w:tblGrid>
        <w:gridCol w:w="2405"/>
        <w:gridCol w:w="12758"/>
      </w:tblGrid>
      <w:tr w:rsidR="00BC57E9" w:rsidRPr="004B5178" w14:paraId="3BD0F0AC" w14:textId="77777777" w:rsidTr="00245061">
        <w:trPr>
          <w:gridAfter w:val="1"/>
          <w:wAfter w:w="12758" w:type="dxa"/>
        </w:trPr>
        <w:tc>
          <w:tcPr>
            <w:tcW w:w="2405" w:type="dxa"/>
          </w:tcPr>
          <w:p w14:paraId="33A25FD2" w14:textId="77777777" w:rsidR="00BC57E9" w:rsidRPr="004B5178" w:rsidRDefault="00BC57E9" w:rsidP="000C1C47">
            <w:pPr>
              <w:rPr>
                <w:b/>
              </w:rPr>
            </w:pPr>
            <w:r w:rsidRPr="004B5178">
              <w:rPr>
                <w:b/>
              </w:rPr>
              <w:t>Indicator Title</w:t>
            </w:r>
          </w:p>
        </w:tc>
      </w:tr>
      <w:tr w:rsidR="00BC57E9" w:rsidRPr="004B5178" w14:paraId="04A8DC6D" w14:textId="77777777" w:rsidTr="00245061">
        <w:trPr>
          <w:gridAfter w:val="1"/>
          <w:wAfter w:w="12758" w:type="dxa"/>
        </w:trPr>
        <w:tc>
          <w:tcPr>
            <w:tcW w:w="2405" w:type="dxa"/>
          </w:tcPr>
          <w:p w14:paraId="59ADD56B" w14:textId="77777777" w:rsidR="00BC57E9" w:rsidRPr="004B5178" w:rsidRDefault="00BC57E9" w:rsidP="000C1C47">
            <w:r w:rsidRPr="004B5178">
              <w:t>Indicator Set</w:t>
            </w:r>
          </w:p>
        </w:tc>
      </w:tr>
      <w:tr w:rsidR="00BC57E9" w:rsidRPr="004B5178" w14:paraId="43C6A75B" w14:textId="77777777" w:rsidTr="00245061">
        <w:trPr>
          <w:gridAfter w:val="1"/>
          <w:wAfter w:w="12758" w:type="dxa"/>
        </w:trPr>
        <w:tc>
          <w:tcPr>
            <w:tcW w:w="2405" w:type="dxa"/>
          </w:tcPr>
          <w:p w14:paraId="5D1CF55F" w14:textId="09F4F8E7" w:rsidR="00BC57E9" w:rsidRPr="004B5178" w:rsidRDefault="00BC57E9" w:rsidP="000C1C47">
            <w:r w:rsidRPr="004B5178">
              <w:t>Date of Peer Review</w:t>
            </w:r>
            <w:r>
              <w:t xml:space="preserve"> :</w:t>
            </w:r>
            <w:r w:rsidRPr="004B5178">
              <w:t xml:space="preserve"> 21/05/13</w:t>
            </w:r>
          </w:p>
        </w:tc>
      </w:tr>
      <w:tr w:rsidR="000C1C47" w:rsidRPr="004B5178" w14:paraId="2DAFD8A9" w14:textId="77777777" w:rsidTr="00245061">
        <w:tc>
          <w:tcPr>
            <w:tcW w:w="2405" w:type="dxa"/>
          </w:tcPr>
          <w:p w14:paraId="370F1DC8" w14:textId="77777777" w:rsidR="000C1C47" w:rsidRPr="004B5178" w:rsidRDefault="000C1C47" w:rsidP="000C1C47">
            <w:r w:rsidRPr="004B5178">
              <w:t>Peer Reviewer(s) / Organisations :</w:t>
            </w:r>
          </w:p>
          <w:p w14:paraId="59F665AF" w14:textId="77777777" w:rsidR="000C1C47" w:rsidRPr="004B5178" w:rsidRDefault="000C1C47" w:rsidP="000C1C47"/>
        </w:tc>
        <w:tc>
          <w:tcPr>
            <w:tcW w:w="12758" w:type="dxa"/>
          </w:tcPr>
          <w:p w14:paraId="5CA7D738" w14:textId="77777777" w:rsidR="000C1C47" w:rsidRPr="004B5178" w:rsidRDefault="000C1C47" w:rsidP="000C1C47">
            <w:r w:rsidRPr="004B5178">
              <w:t xml:space="preserve">N Hoveyda (Consultant in Public Health Medicine) </w:t>
            </w:r>
          </w:p>
          <w:p w14:paraId="2DF867B8" w14:textId="77777777" w:rsidR="000C1C47" w:rsidRPr="004B5178" w:rsidRDefault="000C1C47" w:rsidP="000C1C47"/>
        </w:tc>
      </w:tr>
      <w:tr w:rsidR="000C1C47" w:rsidRPr="004B5178" w14:paraId="0B15227F" w14:textId="77777777" w:rsidTr="00245061">
        <w:tc>
          <w:tcPr>
            <w:tcW w:w="2405" w:type="dxa"/>
          </w:tcPr>
          <w:p w14:paraId="6BBEA5B9" w14:textId="77777777" w:rsidR="00BC57E9" w:rsidRDefault="000C1C47" w:rsidP="000C1C47">
            <w:r w:rsidRPr="004B5178">
              <w:t>Peer Review Comments:</w:t>
            </w:r>
          </w:p>
          <w:p w14:paraId="7499EC86" w14:textId="77777777" w:rsidR="00BC57E9" w:rsidRDefault="00BC57E9" w:rsidP="000C1C47"/>
          <w:p w14:paraId="245DD31F" w14:textId="77777777" w:rsidR="00BC57E9" w:rsidRDefault="00BC57E9" w:rsidP="000C1C47"/>
          <w:p w14:paraId="4716B7DF" w14:textId="77777777" w:rsidR="00BC57E9" w:rsidRDefault="00BC57E9" w:rsidP="000C1C47"/>
          <w:p w14:paraId="7583DCB4" w14:textId="77777777" w:rsidR="00BC57E9" w:rsidRDefault="00BC57E9" w:rsidP="000C1C47"/>
          <w:p w14:paraId="4E178490" w14:textId="1AF850BB" w:rsidR="000C1C47" w:rsidRPr="004B5178" w:rsidRDefault="000C1C47" w:rsidP="000C1C47"/>
        </w:tc>
        <w:tc>
          <w:tcPr>
            <w:tcW w:w="12758" w:type="dxa"/>
          </w:tcPr>
          <w:p w14:paraId="774578DA" w14:textId="77777777" w:rsidR="000C1C47" w:rsidRPr="004B5178" w:rsidRDefault="000C1C47" w:rsidP="000C1C47">
            <w:r w:rsidRPr="004B5178">
              <w:t>Peer reviewers commented that they felt “feeling supported” as described in the title  could be considered subjective.</w:t>
            </w:r>
          </w:p>
          <w:p w14:paraId="3F3A3CA8" w14:textId="77777777" w:rsidR="000C1C47" w:rsidRPr="004B5178" w:rsidRDefault="000C1C47" w:rsidP="000C1C47"/>
          <w:p w14:paraId="3835BD71" w14:textId="77777777" w:rsidR="000C1C47" w:rsidRPr="004B5178" w:rsidRDefault="000C1C47" w:rsidP="000C1C47"/>
          <w:p w14:paraId="00B16BAD" w14:textId="77777777" w:rsidR="000C1C47" w:rsidRPr="004B5178" w:rsidRDefault="000C1C47" w:rsidP="000C1C47"/>
          <w:p w14:paraId="317C743C" w14:textId="77777777" w:rsidR="000C1C47" w:rsidRPr="004B5178" w:rsidRDefault="000C1C47" w:rsidP="000C1C47"/>
          <w:p w14:paraId="29BF1F2C" w14:textId="77777777" w:rsidR="000C1C47" w:rsidRPr="004B5178" w:rsidRDefault="000C1C47" w:rsidP="000C1C47"/>
          <w:p w14:paraId="241BB2CD" w14:textId="77777777" w:rsidR="000C1C47" w:rsidRPr="004B5178" w:rsidRDefault="000C1C47" w:rsidP="000C1C47"/>
          <w:p w14:paraId="55A737D1" w14:textId="77777777" w:rsidR="000C1C47" w:rsidRPr="004B5178" w:rsidRDefault="000C1C47" w:rsidP="000C1C47"/>
        </w:tc>
      </w:tr>
      <w:tr w:rsidR="00BC57E9" w:rsidRPr="004B5178" w14:paraId="5E844B49" w14:textId="77777777" w:rsidTr="00245061">
        <w:tc>
          <w:tcPr>
            <w:tcW w:w="2405" w:type="dxa"/>
          </w:tcPr>
          <w:p w14:paraId="1C7BE369" w14:textId="433DD0FA" w:rsidR="00BC57E9" w:rsidRPr="004B5178" w:rsidRDefault="00BC57E9" w:rsidP="000C1C47">
            <w:r w:rsidRPr="00BC57E9">
              <w:rPr>
                <w:iCs/>
              </w:rPr>
              <w:t>Outcome of MRG consideration:</w:t>
            </w:r>
          </w:p>
        </w:tc>
        <w:tc>
          <w:tcPr>
            <w:tcW w:w="12758" w:type="dxa"/>
          </w:tcPr>
          <w:p w14:paraId="57CFEB57" w14:textId="77777777" w:rsidR="00BC57E9" w:rsidRPr="004B5178" w:rsidRDefault="00BC57E9" w:rsidP="000C1C47"/>
        </w:tc>
      </w:tr>
    </w:tbl>
    <w:p w14:paraId="1B882CAF" w14:textId="1843114F" w:rsidR="00BC57E9" w:rsidRDefault="00BC57E9" w:rsidP="000C1C47">
      <w:pPr>
        <w:ind w:left="-851"/>
      </w:pPr>
    </w:p>
    <w:p w14:paraId="716D2FDD" w14:textId="4474102E" w:rsidR="000C1C47" w:rsidRPr="004B5178" w:rsidRDefault="00BC57E9" w:rsidP="00BC57E9">
      <w:pPr>
        <w:rPr>
          <w:b/>
        </w:rPr>
      </w:pPr>
      <w:r>
        <w:br w:type="page"/>
      </w:r>
      <w:r w:rsidR="000C1C47" w:rsidRPr="004B5178">
        <w:lastRenderedPageBreak/>
        <w:t xml:space="preserve">Indicator Methodology for Consideration - </w:t>
      </w:r>
      <w:r w:rsidR="000C1C47" w:rsidRPr="004B5178">
        <w:rPr>
          <w:b/>
        </w:rPr>
        <w:t>Methodology Review Group</w:t>
      </w:r>
    </w:p>
    <w:p w14:paraId="04D21DB6" w14:textId="64D50079" w:rsidR="000C1C47" w:rsidRDefault="000C1C47" w:rsidP="000C1C47">
      <w:pPr>
        <w:ind w:left="-851"/>
      </w:pPr>
    </w:p>
    <w:p w14:paraId="5A8017E5" w14:textId="5EF1E409" w:rsidR="00245061" w:rsidRPr="004B5178" w:rsidRDefault="00245061" w:rsidP="000C1C47">
      <w:pPr>
        <w:ind w:left="-851"/>
      </w:pPr>
      <w:r>
        <w:t xml:space="preserve">    </w:t>
      </w:r>
      <w:r w:rsidRPr="004B5178">
        <w:t>IAS Ref Code:</w:t>
      </w:r>
    </w:p>
    <w:tbl>
      <w:tblPr>
        <w:tblStyle w:val="TableGrid"/>
        <w:tblW w:w="15026" w:type="dxa"/>
        <w:tblInd w:w="-714" w:type="dxa"/>
        <w:tblLayout w:type="fixed"/>
        <w:tblLook w:val="01E0" w:firstRow="1" w:lastRow="1" w:firstColumn="1" w:lastColumn="1" w:noHBand="0" w:noVBand="0"/>
      </w:tblPr>
      <w:tblGrid>
        <w:gridCol w:w="2558"/>
        <w:gridCol w:w="12468"/>
      </w:tblGrid>
      <w:tr w:rsidR="00245061" w:rsidRPr="004B5178" w14:paraId="07C6F17A" w14:textId="77777777" w:rsidTr="00245061">
        <w:tc>
          <w:tcPr>
            <w:tcW w:w="2558" w:type="dxa"/>
          </w:tcPr>
          <w:p w14:paraId="0BCA7C4D" w14:textId="77777777" w:rsidR="00245061" w:rsidRPr="004B5178" w:rsidRDefault="00245061" w:rsidP="000C1C47">
            <w:pPr>
              <w:rPr>
                <w:b/>
              </w:rPr>
            </w:pPr>
            <w:r w:rsidRPr="004B5178">
              <w:rPr>
                <w:b/>
              </w:rPr>
              <w:t>Initial Indicator Title</w:t>
            </w:r>
          </w:p>
        </w:tc>
        <w:tc>
          <w:tcPr>
            <w:tcW w:w="12468" w:type="dxa"/>
          </w:tcPr>
          <w:p w14:paraId="720F5DC0" w14:textId="77777777" w:rsidR="00245061" w:rsidRPr="004B5178" w:rsidRDefault="00245061" w:rsidP="000C1C47">
            <w:r w:rsidRPr="004B5178">
              <w:t>[Indicator title submitted pre - MRG discussion]</w:t>
            </w:r>
          </w:p>
          <w:p w14:paraId="528C8F67" w14:textId="77777777" w:rsidR="00245061" w:rsidRPr="004B5178" w:rsidRDefault="00245061" w:rsidP="000C1C47">
            <w:pPr>
              <w:rPr>
                <w:b/>
              </w:rPr>
            </w:pPr>
            <w:r w:rsidRPr="004B5178">
              <w:rPr>
                <w:b/>
              </w:rPr>
              <w:t>Proportion of people feeling supported to manage their conditions</w:t>
            </w:r>
          </w:p>
        </w:tc>
      </w:tr>
      <w:tr w:rsidR="00245061" w:rsidRPr="004B5178" w14:paraId="704D46BC" w14:textId="77777777" w:rsidTr="00245061">
        <w:tc>
          <w:tcPr>
            <w:tcW w:w="2558" w:type="dxa"/>
          </w:tcPr>
          <w:p w14:paraId="762A8C64" w14:textId="77777777" w:rsidR="00245061" w:rsidRPr="004B5178" w:rsidRDefault="00245061" w:rsidP="000C1C47">
            <w:r w:rsidRPr="004B5178">
              <w:t>Indicator Set</w:t>
            </w:r>
          </w:p>
        </w:tc>
        <w:tc>
          <w:tcPr>
            <w:tcW w:w="12468" w:type="dxa"/>
          </w:tcPr>
          <w:p w14:paraId="5958C593" w14:textId="4589D0F2" w:rsidR="00245061" w:rsidRPr="004B5178" w:rsidRDefault="00245061" w:rsidP="000C1C47"/>
        </w:tc>
      </w:tr>
    </w:tbl>
    <w:p w14:paraId="5F9F95C7" w14:textId="77777777" w:rsidR="000C1C47" w:rsidRPr="004B5178" w:rsidRDefault="000C1C47" w:rsidP="000C1C47">
      <w:pPr>
        <w:ind w:left="-851"/>
      </w:pPr>
    </w:p>
    <w:tbl>
      <w:tblPr>
        <w:tblStyle w:val="TableGrid"/>
        <w:tblW w:w="15210" w:type="dxa"/>
        <w:tblInd w:w="-714" w:type="dxa"/>
        <w:tblLayout w:type="fixed"/>
        <w:tblLook w:val="01E0" w:firstRow="1" w:lastRow="1" w:firstColumn="1" w:lastColumn="1" w:noHBand="0" w:noVBand="0"/>
      </w:tblPr>
      <w:tblGrid>
        <w:gridCol w:w="15210"/>
      </w:tblGrid>
      <w:tr w:rsidR="00245061" w:rsidRPr="004B5178" w14:paraId="6CB78353" w14:textId="77777777" w:rsidTr="0025757D">
        <w:tc>
          <w:tcPr>
            <w:tcW w:w="15210" w:type="dxa"/>
          </w:tcPr>
          <w:p w14:paraId="61614C43" w14:textId="3421BF5B" w:rsidR="00245061" w:rsidRPr="004B5178" w:rsidRDefault="00245061" w:rsidP="000C1C47">
            <w:r w:rsidRPr="004B5178">
              <w:t>Introduction</w:t>
            </w:r>
          </w:p>
        </w:tc>
      </w:tr>
      <w:tr w:rsidR="000C1C47" w:rsidRPr="004B5178" w14:paraId="42D7C4BC" w14:textId="77777777" w:rsidTr="00245061">
        <w:tc>
          <w:tcPr>
            <w:tcW w:w="15210" w:type="dxa"/>
          </w:tcPr>
          <w:p w14:paraId="5735F0F3" w14:textId="60221B69" w:rsidR="000C1C47" w:rsidRPr="004B5178" w:rsidRDefault="000C1C47" w:rsidP="000C1C47">
            <w:r w:rsidRPr="004B5178">
              <w:t xml:space="preserve">[Brief background on indicators being considered, especially if they form part of a programme of indicators.  Provide any general information such as ; urgency of approval / broad timescales;  history and direction of any indicator programmes involved e.g. General news about NHS Outcomes Framework; Level of IC’s involvement, </w:t>
            </w:r>
            <w:r w:rsidR="00C36CDF" w:rsidRPr="004B5178">
              <w:t>e.g.</w:t>
            </w:r>
            <w:r w:rsidRPr="004B5178">
              <w:t xml:space="preserve"> is it commissioned to produce or surface the data ]</w:t>
            </w:r>
          </w:p>
          <w:p w14:paraId="4B698666" w14:textId="77777777" w:rsidR="000C1C47" w:rsidRPr="004B5178" w:rsidRDefault="000C1C47" w:rsidP="000C1C47"/>
          <w:p w14:paraId="2A55D504" w14:textId="77777777" w:rsidR="000C1C47" w:rsidRPr="004B5178" w:rsidRDefault="000C1C47" w:rsidP="000C1C47"/>
          <w:p w14:paraId="39D9CBC0" w14:textId="77777777" w:rsidR="000C1C47" w:rsidRPr="004B5178" w:rsidRDefault="000C1C47" w:rsidP="000C1C47"/>
          <w:p w14:paraId="736A61A9" w14:textId="77777777" w:rsidR="000C1C47" w:rsidRPr="004B5178" w:rsidRDefault="000C1C47" w:rsidP="000C1C47"/>
          <w:p w14:paraId="53317339" w14:textId="77777777" w:rsidR="000C1C47" w:rsidRPr="004B5178" w:rsidRDefault="000C1C47" w:rsidP="000C1C47"/>
          <w:p w14:paraId="2B1E4207" w14:textId="77777777" w:rsidR="000C1C47" w:rsidRPr="004B5178" w:rsidRDefault="000C1C47" w:rsidP="000C1C47"/>
        </w:tc>
      </w:tr>
    </w:tbl>
    <w:p w14:paraId="6AA330FE" w14:textId="1DDAA1C1" w:rsidR="000C1C47" w:rsidRDefault="000C1C47" w:rsidP="000C1C47">
      <w:pPr>
        <w:ind w:left="-851"/>
      </w:pPr>
    </w:p>
    <w:p w14:paraId="677C1FE2" w14:textId="1FE018D7" w:rsidR="00245061" w:rsidRDefault="00245061" w:rsidP="000C1C47">
      <w:pPr>
        <w:ind w:left="-851"/>
      </w:pPr>
    </w:p>
    <w:p w14:paraId="7325AD9E" w14:textId="07828B7A" w:rsidR="00245061" w:rsidRDefault="00245061">
      <w:r>
        <w:br w:type="page"/>
      </w:r>
    </w:p>
    <w:p w14:paraId="362D6B36" w14:textId="77777777" w:rsidR="00245061" w:rsidRPr="004B5178" w:rsidRDefault="00245061" w:rsidP="000C1C47">
      <w:pPr>
        <w:ind w:left="-851"/>
      </w:pPr>
    </w:p>
    <w:tbl>
      <w:tblPr>
        <w:tblStyle w:val="TableGrid"/>
        <w:tblW w:w="13277" w:type="dxa"/>
        <w:tblInd w:w="-714" w:type="dxa"/>
        <w:tblLayout w:type="fixed"/>
        <w:tblLook w:val="01E0" w:firstRow="1" w:lastRow="1" w:firstColumn="1" w:lastColumn="1" w:noHBand="0" w:noVBand="0"/>
      </w:tblPr>
      <w:tblGrid>
        <w:gridCol w:w="13277"/>
      </w:tblGrid>
      <w:tr w:rsidR="00245061" w:rsidRPr="004B5178" w14:paraId="2BDD4914" w14:textId="77777777" w:rsidTr="00180212">
        <w:trPr>
          <w:trHeight w:val="819"/>
        </w:trPr>
        <w:tc>
          <w:tcPr>
            <w:tcW w:w="13277" w:type="dxa"/>
          </w:tcPr>
          <w:p w14:paraId="4B5983E5" w14:textId="77777777" w:rsidR="00245061" w:rsidRPr="004B5178" w:rsidRDefault="00245061" w:rsidP="000C1C47">
            <w:pPr>
              <w:rPr>
                <w:b/>
                <w:i/>
              </w:rPr>
            </w:pPr>
            <w:r w:rsidRPr="004B5178">
              <w:rPr>
                <w:b/>
                <w:i/>
              </w:rPr>
              <w:t>Summary description of the calculation:</w:t>
            </w:r>
          </w:p>
          <w:p w14:paraId="77BF7C81" w14:textId="77777777" w:rsidR="00245061" w:rsidRPr="004B5178" w:rsidRDefault="00245061" w:rsidP="000C1C47">
            <w:r w:rsidRPr="004B5178">
              <w:t>The indicator will be based on responses to questions in the GP Patient Survey as follows:</w:t>
            </w:r>
          </w:p>
          <w:p w14:paraId="08186B69" w14:textId="77777777" w:rsidR="00245061" w:rsidRPr="004B5178" w:rsidRDefault="00245061" w:rsidP="000C1C47"/>
        </w:tc>
      </w:tr>
      <w:tr w:rsidR="00245061" w:rsidRPr="004B5178" w14:paraId="63E9CDB3" w14:textId="77777777" w:rsidTr="00180212">
        <w:trPr>
          <w:trHeight w:val="341"/>
        </w:trPr>
        <w:tc>
          <w:tcPr>
            <w:tcW w:w="13277" w:type="dxa"/>
          </w:tcPr>
          <w:p w14:paraId="0CE90ECF" w14:textId="77777777" w:rsidR="00245061" w:rsidRPr="004B5178" w:rsidRDefault="00245061" w:rsidP="000C1C47">
            <w:pPr>
              <w:rPr>
                <w:b/>
                <w:i/>
              </w:rPr>
            </w:pPr>
            <w:r w:rsidRPr="004B5178">
              <w:rPr>
                <w:b/>
                <w:i/>
              </w:rPr>
              <w:t>Calculation type:</w:t>
            </w:r>
            <w:r w:rsidRPr="004B5178">
              <w:t xml:space="preserve">  Percentage (weighted numerator/denominator)</w:t>
            </w:r>
          </w:p>
        </w:tc>
      </w:tr>
      <w:tr w:rsidR="00245061" w:rsidRPr="004B5178" w14:paraId="54736031" w14:textId="77777777" w:rsidTr="00180212">
        <w:trPr>
          <w:trHeight w:val="819"/>
        </w:trPr>
        <w:tc>
          <w:tcPr>
            <w:tcW w:w="13277" w:type="dxa"/>
          </w:tcPr>
          <w:p w14:paraId="607D2B20" w14:textId="77777777" w:rsidR="00245061" w:rsidRPr="004B5178" w:rsidRDefault="00245061" w:rsidP="000C1C47">
            <w:pPr>
              <w:rPr>
                <w:b/>
                <w:i/>
              </w:rPr>
            </w:pPr>
          </w:p>
          <w:p w14:paraId="5252B523" w14:textId="77777777" w:rsidR="00245061" w:rsidRPr="004B5178" w:rsidRDefault="00245061" w:rsidP="000C1C47">
            <w:pPr>
              <w:rPr>
                <w:b/>
                <w:i/>
              </w:rPr>
            </w:pPr>
            <w:r w:rsidRPr="004B5178">
              <w:rPr>
                <w:b/>
                <w:i/>
              </w:rPr>
              <w:t>Denominator:</w:t>
            </w:r>
            <w:r w:rsidRPr="004B5178">
              <w:t xml:space="preserve"> The denominator is the total number of </w:t>
            </w:r>
            <w:r w:rsidRPr="004B5178">
              <w:rPr>
                <w:b/>
              </w:rPr>
              <w:t>‘Yes, definitely’, ‘Yes, to some extent’</w:t>
            </w:r>
            <w:r w:rsidRPr="004B5178">
              <w:t xml:space="preserve"> and </w:t>
            </w:r>
            <w:r w:rsidRPr="004B5178">
              <w:rPr>
                <w:b/>
              </w:rPr>
              <w:t>‘No’</w:t>
            </w:r>
            <w:r w:rsidRPr="004B5178">
              <w:t xml:space="preserve"> answers to Question 32 (see below) for those having answered </w:t>
            </w:r>
            <w:r w:rsidRPr="004B5178">
              <w:rPr>
                <w:b/>
              </w:rPr>
              <w:t>yes</w:t>
            </w:r>
            <w:r w:rsidRPr="004B5178">
              <w:t xml:space="preserve"> to the Question 30 “Do you have a long-standing health condition?”</w:t>
            </w:r>
          </w:p>
          <w:p w14:paraId="49FBF161" w14:textId="77777777" w:rsidR="00245061" w:rsidRPr="004B5178" w:rsidRDefault="00245061" w:rsidP="000C1C47">
            <w:pPr>
              <w:rPr>
                <w:b/>
                <w:i/>
              </w:rPr>
            </w:pPr>
          </w:p>
          <w:p w14:paraId="6E99BC98" w14:textId="77777777" w:rsidR="00245061" w:rsidRPr="004B5178" w:rsidRDefault="00245061" w:rsidP="000C1C47">
            <w:r w:rsidRPr="004B5178">
              <w:rPr>
                <w:b/>
                <w:i/>
              </w:rPr>
              <w:t>Numerator:</w:t>
            </w:r>
            <w:r w:rsidRPr="004B5178">
              <w:t xml:space="preserve"> The numerator is the total number of </w:t>
            </w:r>
            <w:r w:rsidRPr="004B5178">
              <w:rPr>
                <w:b/>
              </w:rPr>
              <w:t>‘Yes, definitely’</w:t>
            </w:r>
            <w:r w:rsidRPr="004B5178">
              <w:t xml:space="preserve"> or </w:t>
            </w:r>
            <w:r w:rsidRPr="004B5178">
              <w:rPr>
                <w:b/>
              </w:rPr>
              <w:t xml:space="preserve">‘Yes, to some extent’ </w:t>
            </w:r>
            <w:r w:rsidRPr="004B5178">
              <w:t>answers to Question 32 (see below) for those having answered yes to the Question 30 “Do you have a long-standing health condition?”</w:t>
            </w:r>
          </w:p>
          <w:p w14:paraId="1AE50BDB" w14:textId="77777777" w:rsidR="00245061" w:rsidRPr="004B5178" w:rsidRDefault="00245061" w:rsidP="000C1C47"/>
          <w:p w14:paraId="6004951E" w14:textId="77777777" w:rsidR="00245061" w:rsidRPr="004B5178" w:rsidRDefault="00245061" w:rsidP="000C1C47">
            <w:pPr>
              <w:rPr>
                <w:b/>
                <w:i/>
              </w:rPr>
            </w:pPr>
            <w:r w:rsidRPr="004B5178">
              <w:rPr>
                <w:b/>
                <w:i/>
              </w:rPr>
              <w:t>GP Patient Survey Question 32</w:t>
            </w:r>
          </w:p>
          <w:p w14:paraId="2AD98175" w14:textId="77777777" w:rsidR="00245061" w:rsidRPr="004B5178" w:rsidRDefault="00245061" w:rsidP="000C1C47">
            <w:r w:rsidRPr="004B5178">
              <w:t>In the last 6 months, have you had enough support from local services or organisations to help you manage your long-term condition(s)? Please think about all services and organisations, not just health services</w:t>
            </w:r>
          </w:p>
          <w:p w14:paraId="75482C02" w14:textId="77777777" w:rsidR="00245061" w:rsidRPr="004B5178" w:rsidRDefault="00245061" w:rsidP="000C1C47">
            <w:r w:rsidRPr="004B5178">
              <w:t>a)  Yes, definitely</w:t>
            </w:r>
          </w:p>
          <w:p w14:paraId="6CCD4601" w14:textId="77777777" w:rsidR="00245061" w:rsidRPr="004B5178" w:rsidRDefault="00245061" w:rsidP="000C1C47">
            <w:r w:rsidRPr="004B5178">
              <w:t>b)  Yes, to some extent</w:t>
            </w:r>
          </w:p>
          <w:p w14:paraId="1A03892E" w14:textId="77777777" w:rsidR="00245061" w:rsidRPr="004B5178" w:rsidRDefault="00245061" w:rsidP="000C1C47">
            <w:r w:rsidRPr="004B5178">
              <w:t xml:space="preserve">c)  No </w:t>
            </w:r>
          </w:p>
          <w:p w14:paraId="14B26415" w14:textId="77777777" w:rsidR="00245061" w:rsidRPr="004B5178" w:rsidRDefault="00245061" w:rsidP="000C1C47">
            <w:r w:rsidRPr="004B5178">
              <w:t>d) I have not needed such support</w:t>
            </w:r>
          </w:p>
          <w:p w14:paraId="1AB64037" w14:textId="77777777" w:rsidR="00245061" w:rsidRPr="004B5178" w:rsidRDefault="00245061" w:rsidP="000C1C47">
            <w:r w:rsidRPr="004B5178">
              <w:t>e)  Don’t know/can’t say</w:t>
            </w:r>
          </w:p>
          <w:p w14:paraId="5CCA3580" w14:textId="77777777" w:rsidR="00245061" w:rsidRPr="004B5178" w:rsidRDefault="00245061" w:rsidP="000C1C47">
            <w:pPr>
              <w:rPr>
                <w:b/>
              </w:rPr>
            </w:pPr>
          </w:p>
        </w:tc>
      </w:tr>
      <w:tr w:rsidR="00245061" w:rsidRPr="004B5178" w14:paraId="1DCB10EA" w14:textId="77777777" w:rsidTr="00180212">
        <w:trPr>
          <w:trHeight w:val="819"/>
        </w:trPr>
        <w:tc>
          <w:tcPr>
            <w:tcW w:w="13277" w:type="dxa"/>
          </w:tcPr>
          <w:p w14:paraId="0E4B85D7" w14:textId="77777777" w:rsidR="00245061" w:rsidRPr="004B5178" w:rsidRDefault="00245061" w:rsidP="000C1C47">
            <w:pPr>
              <w:rPr>
                <w:b/>
                <w:i/>
              </w:rPr>
            </w:pPr>
            <w:r w:rsidRPr="004B5178">
              <w:rPr>
                <w:b/>
                <w:i/>
              </w:rPr>
              <w:t>Statistical Methods / Risk adjustment variables:</w:t>
            </w:r>
          </w:p>
          <w:p w14:paraId="025A3026" w14:textId="77777777" w:rsidR="00245061" w:rsidRPr="004B5178" w:rsidRDefault="00245061" w:rsidP="000C1C47"/>
          <w:p w14:paraId="58F5C745" w14:textId="77777777" w:rsidR="00245061" w:rsidRPr="004B5178" w:rsidRDefault="00245061" w:rsidP="000C1C47">
            <w:r w:rsidRPr="004B5178">
              <w:t>The results will be standardised according to the methodology reported in the attached paper, “</w:t>
            </w:r>
            <w:r w:rsidRPr="004B5178">
              <w:rPr>
                <w:b/>
                <w:i/>
              </w:rPr>
              <w:t>Standardisation of GPPS LTC indicators 2012_06_29</w:t>
            </w:r>
            <w:r w:rsidRPr="004B5178">
              <w:t>”.</w:t>
            </w:r>
          </w:p>
          <w:p w14:paraId="67EA7503" w14:textId="77777777" w:rsidR="00245061" w:rsidRPr="004B5178" w:rsidRDefault="00245061" w:rsidP="000C1C47">
            <w:pPr>
              <w:rPr>
                <w:b/>
              </w:rPr>
            </w:pPr>
          </w:p>
          <w:p w14:paraId="2897E7DB" w14:textId="77777777" w:rsidR="00245061" w:rsidRPr="004B5178" w:rsidRDefault="00245061" w:rsidP="000C1C47">
            <w:r w:rsidRPr="004B5178">
              <w:t>(N.B. this paper revised at future MRG meetings – see revisions section of this document)</w:t>
            </w:r>
          </w:p>
          <w:p w14:paraId="31878F8C" w14:textId="77777777" w:rsidR="00245061" w:rsidRPr="004B5178" w:rsidRDefault="00245061" w:rsidP="000C1C47"/>
          <w:p w14:paraId="785BC274" w14:textId="77777777" w:rsidR="00245061" w:rsidRDefault="00245061" w:rsidP="000C1C47"/>
          <w:p w14:paraId="730EF80F" w14:textId="77777777" w:rsidR="00CB18A7" w:rsidRDefault="00CB18A7" w:rsidP="000C1C47"/>
          <w:p w14:paraId="1D8982F0" w14:textId="77777777" w:rsidR="00CB18A7" w:rsidRDefault="00CB18A7" w:rsidP="000C1C47"/>
          <w:p w14:paraId="695A3B6B" w14:textId="77777777" w:rsidR="00CB18A7" w:rsidRDefault="00CB18A7" w:rsidP="000C1C47"/>
          <w:p w14:paraId="66A68862" w14:textId="3F70E6FD" w:rsidR="00CB18A7" w:rsidRPr="004B5178" w:rsidRDefault="00CB18A7" w:rsidP="000C1C47"/>
        </w:tc>
      </w:tr>
      <w:tr w:rsidR="00245061" w:rsidRPr="004B5178" w14:paraId="2D1ACFF8" w14:textId="77777777" w:rsidTr="00180212">
        <w:trPr>
          <w:trHeight w:val="440"/>
        </w:trPr>
        <w:tc>
          <w:tcPr>
            <w:tcW w:w="13277" w:type="dxa"/>
          </w:tcPr>
          <w:p w14:paraId="524145AD" w14:textId="4BBC1C54" w:rsidR="00245061" w:rsidRPr="004B5178" w:rsidRDefault="00245061" w:rsidP="00CB18A7">
            <w:pPr>
              <w:rPr>
                <w:b/>
              </w:rPr>
            </w:pPr>
            <w:r w:rsidRPr="00245061">
              <w:rPr>
                <w:b/>
                <w:iCs/>
              </w:rPr>
              <w:lastRenderedPageBreak/>
              <w:t>Other (Quality assurance/interpretation/known limitations):</w:t>
            </w:r>
          </w:p>
        </w:tc>
      </w:tr>
      <w:tr w:rsidR="00CB18A7" w:rsidRPr="004B5178" w14:paraId="641D414A" w14:textId="77777777" w:rsidTr="00180212">
        <w:trPr>
          <w:trHeight w:val="440"/>
        </w:trPr>
        <w:tc>
          <w:tcPr>
            <w:tcW w:w="13277" w:type="dxa"/>
          </w:tcPr>
          <w:p w14:paraId="78E0D017" w14:textId="77777777" w:rsidR="00CB18A7" w:rsidRPr="004B5178" w:rsidRDefault="00CB18A7" w:rsidP="00CB18A7">
            <w:pPr>
              <w:pStyle w:val="ListParagraph"/>
              <w:numPr>
                <w:ilvl w:val="0"/>
                <w:numId w:val="17"/>
              </w:numPr>
              <w:spacing w:after="0" w:line="240" w:lineRule="auto"/>
              <w:rPr>
                <w:rFonts w:ascii="Arial" w:hAnsi="Arial" w:cs="Arial"/>
              </w:rPr>
            </w:pPr>
            <w:r w:rsidRPr="004B5178">
              <w:rPr>
                <w:rFonts w:ascii="Arial" w:hAnsi="Arial" w:cs="Arial"/>
              </w:rPr>
              <w:t>Indicators 2.1 (and 2) are concerned with the quality of life for people with long-term conditions (LTCs).  One key consideration in the calculation of these indicators is whether the type of LTC and the number of LTCs per respondent are taken into account.  A report has been supplied by DH (</w:t>
            </w:r>
            <w:r w:rsidRPr="004B5178">
              <w:rPr>
                <w:rFonts w:ascii="Arial" w:hAnsi="Arial" w:cs="Arial"/>
                <w:i/>
              </w:rPr>
              <w:t>see supporting document ‘Standardisation of GPPS LTC indicators 2012_06_29’</w:t>
            </w:r>
            <w:r w:rsidRPr="004B5178">
              <w:rPr>
                <w:rFonts w:ascii="Arial" w:hAnsi="Arial" w:cs="Arial"/>
              </w:rPr>
              <w:t>) which describes a standardisation methodology to be used.  The purpose of this method is to keep the weights for particular conditions and groups of conditions constant over time.</w:t>
            </w:r>
          </w:p>
          <w:p w14:paraId="639C0A59" w14:textId="77777777" w:rsidR="00CB18A7" w:rsidRPr="004B5178" w:rsidRDefault="00CB18A7" w:rsidP="00CB18A7"/>
          <w:p w14:paraId="7445EC3E" w14:textId="77777777" w:rsidR="00CB18A7" w:rsidRPr="004B5178" w:rsidRDefault="00CB18A7" w:rsidP="00CB18A7">
            <w:pPr>
              <w:ind w:left="360"/>
            </w:pPr>
            <w:r w:rsidRPr="004B5178">
              <w:t>Patients are categorised by:</w:t>
            </w:r>
          </w:p>
          <w:p w14:paraId="398506A7" w14:textId="77777777" w:rsidR="00CB18A7" w:rsidRPr="004B5178" w:rsidRDefault="00CB18A7" w:rsidP="00CB18A7">
            <w:pPr>
              <w:ind w:left="745" w:hanging="385"/>
            </w:pPr>
            <w:r w:rsidRPr="004B5178">
              <w:t>•</w:t>
            </w:r>
            <w:r w:rsidRPr="004B5178">
              <w:tab/>
              <w:t>Whether they have one, two or more conditions.</w:t>
            </w:r>
          </w:p>
          <w:p w14:paraId="3F5CFF86" w14:textId="77777777" w:rsidR="00CB18A7" w:rsidRPr="004B5178" w:rsidRDefault="00CB18A7" w:rsidP="00CB18A7">
            <w:pPr>
              <w:ind w:left="745" w:hanging="385"/>
            </w:pPr>
            <w:r w:rsidRPr="004B5178">
              <w:t>•</w:t>
            </w:r>
            <w:r w:rsidRPr="004B5178">
              <w:tab/>
              <w:t>Which of their conditions is the most serious. Severity defined by the average EQ-5D scores for patients with only one condition.</w:t>
            </w:r>
          </w:p>
          <w:p w14:paraId="6DC37CC3" w14:textId="77777777" w:rsidR="00CB18A7" w:rsidRPr="004B5178" w:rsidRDefault="00CB18A7" w:rsidP="00CB18A7"/>
          <w:p w14:paraId="7F9630CF" w14:textId="77777777" w:rsidR="00CB18A7" w:rsidRPr="004B5178" w:rsidRDefault="00CB18A7" w:rsidP="00CB18A7">
            <w:pPr>
              <w:pStyle w:val="ListParagraph"/>
              <w:numPr>
                <w:ilvl w:val="0"/>
                <w:numId w:val="17"/>
              </w:numPr>
              <w:spacing w:after="0" w:line="240" w:lineRule="auto"/>
              <w:rPr>
                <w:rFonts w:ascii="Arial" w:hAnsi="Arial" w:cs="Arial"/>
              </w:rPr>
            </w:pPr>
            <w:r w:rsidRPr="004B5178">
              <w:rPr>
                <w:rFonts w:ascii="Arial" w:hAnsi="Arial" w:cs="Arial"/>
              </w:rPr>
              <w:t>For indicators 2.1 (and 2), changes to the indicators may be biased as a representation of change to the outcomes sought due to unmeasured changes in:</w:t>
            </w:r>
          </w:p>
          <w:p w14:paraId="3FDB6BA9" w14:textId="77777777" w:rsidR="00CB18A7" w:rsidRPr="004B5178" w:rsidRDefault="00CB18A7" w:rsidP="00CB18A7">
            <w:pPr>
              <w:ind w:left="745" w:hanging="385"/>
            </w:pPr>
            <w:r w:rsidRPr="004B5178">
              <w:t>•</w:t>
            </w:r>
            <w:r w:rsidRPr="004B5178">
              <w:tab/>
              <w:t xml:space="preserve">The average period that the surveyed individuals have suffered a long-term condition, a major determinant of stage and severity of disease, and hence of health status. If the average period since incidence of the sampled population decreases, for example through earlier diagnosis, the measured health related quality of life of the sample will improve without genuine improvement of outcome. Conversely, if the period since incidence increases, for example as improvements in care defer mortality, the measured health related quality of life will decline without genuine deterioration of outcome. </w:t>
            </w:r>
          </w:p>
          <w:p w14:paraId="5FBE12FA" w14:textId="77A6834B" w:rsidR="00CB18A7" w:rsidRDefault="00CB18A7" w:rsidP="00CB18A7">
            <w:pPr>
              <w:ind w:left="745" w:hanging="385"/>
            </w:pPr>
            <w:r w:rsidRPr="004B5178">
              <w:t>•</w:t>
            </w:r>
            <w:r w:rsidRPr="004B5178">
              <w:tab/>
              <w:t>Readiness to diagnose or report a "long standing health condition”, which might reflect change in tolerance of conditions by different age cohorts. For example, if a current cohort considers itself to suffer from a “long-term back problem” which an earlier cohort would have considered a normal part of ageing, the average casemix of the sample population will lighten.</w:t>
            </w:r>
          </w:p>
          <w:p w14:paraId="4A07C756" w14:textId="77777777" w:rsidR="00180212" w:rsidRDefault="00180212" w:rsidP="00CB18A7">
            <w:pPr>
              <w:ind w:left="745" w:hanging="385"/>
            </w:pPr>
          </w:p>
          <w:p w14:paraId="47D22689" w14:textId="145E105D" w:rsidR="00CB18A7" w:rsidRPr="00245061" w:rsidRDefault="00180212" w:rsidP="00CB18A7">
            <w:pPr>
              <w:rPr>
                <w:b/>
                <w:iCs/>
              </w:rPr>
            </w:pPr>
            <w:r w:rsidRPr="004B5178">
              <w:t>“Standardisation of GPPS LTC indicators 2012_06_29”.</w:t>
            </w:r>
          </w:p>
        </w:tc>
      </w:tr>
    </w:tbl>
    <w:p w14:paraId="04797339" w14:textId="77777777" w:rsidR="000C1C47" w:rsidRPr="004B5178" w:rsidRDefault="000C1C47" w:rsidP="000C1C47">
      <w:pPr>
        <w:ind w:left="-851"/>
      </w:pPr>
    </w:p>
    <w:p w14:paraId="4245FEBD" w14:textId="00134CB8" w:rsidR="000967BB" w:rsidRPr="004B5178" w:rsidRDefault="000967BB">
      <w:r w:rsidRPr="004B5178">
        <w:br w:type="page"/>
      </w:r>
    </w:p>
    <w:p w14:paraId="4E0BBF2E" w14:textId="77777777" w:rsidR="000C1C47" w:rsidRPr="004B5178" w:rsidRDefault="000C1C47" w:rsidP="000C1C47">
      <w:pPr>
        <w:ind w:left="-851"/>
      </w:pPr>
      <w:r w:rsidRPr="004B5178">
        <w:lastRenderedPageBreak/>
        <w:t>MRG Recommendations, Comments &amp; Updates:</w:t>
      </w:r>
    </w:p>
    <w:p w14:paraId="33B21C15" w14:textId="19EADFD5" w:rsidR="000C1C47" w:rsidRDefault="000C1C47" w:rsidP="000C1C47">
      <w:pPr>
        <w:ind w:left="-567"/>
      </w:pPr>
    </w:p>
    <w:p w14:paraId="6299AE24" w14:textId="1D319BB6" w:rsidR="00CB18A7" w:rsidRPr="004B5178" w:rsidRDefault="00CB18A7" w:rsidP="000C1C47">
      <w:pPr>
        <w:ind w:left="-567"/>
      </w:pPr>
      <w:r w:rsidRPr="004B5178">
        <w:t>IAS Ref Code:</w:t>
      </w:r>
    </w:p>
    <w:tbl>
      <w:tblPr>
        <w:tblStyle w:val="TableGrid"/>
        <w:tblW w:w="15026" w:type="dxa"/>
        <w:tblInd w:w="-714" w:type="dxa"/>
        <w:tblLayout w:type="fixed"/>
        <w:tblLook w:val="01E0" w:firstRow="1" w:lastRow="1" w:firstColumn="1" w:lastColumn="1" w:noHBand="0" w:noVBand="0"/>
      </w:tblPr>
      <w:tblGrid>
        <w:gridCol w:w="2009"/>
        <w:gridCol w:w="13017"/>
      </w:tblGrid>
      <w:tr w:rsidR="00CB18A7" w:rsidRPr="004B5178" w14:paraId="7F957C5E" w14:textId="77777777" w:rsidTr="00CB18A7">
        <w:tc>
          <w:tcPr>
            <w:tcW w:w="2009" w:type="dxa"/>
          </w:tcPr>
          <w:p w14:paraId="52EC1956" w14:textId="77777777" w:rsidR="00CB18A7" w:rsidRPr="004B5178" w:rsidRDefault="00CB18A7" w:rsidP="000C1C47">
            <w:pPr>
              <w:rPr>
                <w:b/>
              </w:rPr>
            </w:pPr>
            <w:r w:rsidRPr="004B5178">
              <w:rPr>
                <w:b/>
              </w:rPr>
              <w:t>Indicator Title</w:t>
            </w:r>
          </w:p>
        </w:tc>
        <w:tc>
          <w:tcPr>
            <w:tcW w:w="13017" w:type="dxa"/>
          </w:tcPr>
          <w:p w14:paraId="4694CB90" w14:textId="63FA88E1" w:rsidR="00CB18A7" w:rsidRPr="004B5178" w:rsidRDefault="00CB18A7" w:rsidP="000C1C47">
            <w:pPr>
              <w:rPr>
                <w:b/>
              </w:rPr>
            </w:pPr>
          </w:p>
        </w:tc>
      </w:tr>
      <w:tr w:rsidR="00CB18A7" w:rsidRPr="004B5178" w14:paraId="2F9F8339" w14:textId="77777777" w:rsidTr="00CB18A7">
        <w:tc>
          <w:tcPr>
            <w:tcW w:w="2009" w:type="dxa"/>
          </w:tcPr>
          <w:p w14:paraId="24D113BE" w14:textId="77777777" w:rsidR="00CB18A7" w:rsidRPr="004B5178" w:rsidRDefault="00CB18A7" w:rsidP="000C1C47">
            <w:r w:rsidRPr="004B5178">
              <w:t>Indicator Set</w:t>
            </w:r>
          </w:p>
        </w:tc>
        <w:tc>
          <w:tcPr>
            <w:tcW w:w="13017" w:type="dxa"/>
          </w:tcPr>
          <w:p w14:paraId="03EF2197" w14:textId="7FFA6F39" w:rsidR="00CB18A7" w:rsidRPr="004B5178" w:rsidRDefault="00CB18A7" w:rsidP="000C1C47"/>
        </w:tc>
      </w:tr>
    </w:tbl>
    <w:p w14:paraId="1579E392" w14:textId="77777777" w:rsidR="000C1C47" w:rsidRPr="004B5178" w:rsidRDefault="000C1C47" w:rsidP="000C1C47">
      <w:pPr>
        <w:ind w:left="-540"/>
        <w:rPr>
          <w:b/>
        </w:rPr>
      </w:pPr>
    </w:p>
    <w:tbl>
      <w:tblPr>
        <w:tblStyle w:val="TableGrid"/>
        <w:tblW w:w="15026" w:type="dxa"/>
        <w:tblInd w:w="-714" w:type="dxa"/>
        <w:tblLayout w:type="fixed"/>
        <w:tblLook w:val="01E0" w:firstRow="1" w:lastRow="1" w:firstColumn="1" w:lastColumn="1" w:noHBand="0" w:noVBand="0"/>
      </w:tblPr>
      <w:tblGrid>
        <w:gridCol w:w="2009"/>
        <w:gridCol w:w="13017"/>
      </w:tblGrid>
      <w:tr w:rsidR="004B5178" w:rsidRPr="004B5178" w14:paraId="1936036E" w14:textId="77777777" w:rsidTr="00CB18A7">
        <w:tc>
          <w:tcPr>
            <w:tcW w:w="2009" w:type="dxa"/>
          </w:tcPr>
          <w:p w14:paraId="001C24EB" w14:textId="77777777" w:rsidR="000C1C47" w:rsidRPr="004B5178" w:rsidRDefault="000C1C47" w:rsidP="000C1C47">
            <w:r w:rsidRPr="004B5178">
              <w:t>Ref code</w:t>
            </w:r>
          </w:p>
          <w:p w14:paraId="52C10CC8" w14:textId="77777777" w:rsidR="000C1C47" w:rsidRPr="004B5178" w:rsidRDefault="000C1C47" w:rsidP="000C1C47">
            <w:pPr>
              <w:rPr>
                <w:b/>
              </w:rPr>
            </w:pPr>
            <w:r w:rsidRPr="004B5178">
              <w:rPr>
                <w:b/>
              </w:rPr>
              <w:t>2012/115</w:t>
            </w:r>
          </w:p>
          <w:p w14:paraId="53144473" w14:textId="77777777" w:rsidR="000C1C47" w:rsidRPr="004B5178" w:rsidRDefault="000C1C47" w:rsidP="000C1C47">
            <w:r w:rsidRPr="004B5178">
              <w:t>Made: 13/07/12</w:t>
            </w:r>
          </w:p>
        </w:tc>
        <w:tc>
          <w:tcPr>
            <w:tcW w:w="13017" w:type="dxa"/>
          </w:tcPr>
          <w:p w14:paraId="4B92D84D" w14:textId="77777777" w:rsidR="000C1C47" w:rsidRPr="004B5178" w:rsidRDefault="000C1C47" w:rsidP="000967BB">
            <w:pPr>
              <w:pStyle w:val="ListParagraph"/>
              <w:numPr>
                <w:ilvl w:val="0"/>
                <w:numId w:val="18"/>
              </w:numPr>
              <w:spacing w:after="0" w:line="240" w:lineRule="auto"/>
              <w:rPr>
                <w:rFonts w:ascii="Arial" w:hAnsi="Arial" w:cs="Arial"/>
              </w:rPr>
            </w:pPr>
            <w:r w:rsidRPr="004B5178">
              <w:rPr>
                <w:rFonts w:ascii="Arial" w:hAnsi="Arial" w:cs="Arial"/>
              </w:rPr>
              <w:t>MRG asked for further evidence of available research around the demographic mix, and the experience mix (i.e. are people with a bad experience more likely to respond), for non-response bias.</w:t>
            </w:r>
          </w:p>
          <w:p w14:paraId="5B80EAB9" w14:textId="66ADAE43" w:rsidR="000C1C47" w:rsidRPr="004B5178" w:rsidRDefault="000C1C47" w:rsidP="000967BB">
            <w:pPr>
              <w:pStyle w:val="ListParagraph"/>
              <w:numPr>
                <w:ilvl w:val="0"/>
                <w:numId w:val="18"/>
              </w:numPr>
              <w:spacing w:after="0" w:line="240" w:lineRule="auto"/>
              <w:rPr>
                <w:rFonts w:ascii="Arial" w:hAnsi="Arial" w:cs="Arial"/>
              </w:rPr>
            </w:pPr>
            <w:r w:rsidRPr="004B5178">
              <w:rPr>
                <w:rFonts w:ascii="Arial" w:hAnsi="Arial" w:cs="Arial"/>
              </w:rPr>
              <w:t xml:space="preserve">In </w:t>
            </w:r>
            <w:r w:rsidR="00C36CDF" w:rsidRPr="004B5178">
              <w:rPr>
                <w:rFonts w:ascii="Arial" w:hAnsi="Arial" w:cs="Arial"/>
              </w:rPr>
              <w:t>addition,</w:t>
            </w:r>
            <w:r w:rsidRPr="004B5178">
              <w:rPr>
                <w:rFonts w:ascii="Arial" w:hAnsi="Arial" w:cs="Arial"/>
              </w:rPr>
              <w:t xml:space="preserve"> MRG questioned that if there is a low response rate, are respondents with LTC typical of all people with LTC?  What about the non-respondents?  </w:t>
            </w:r>
          </w:p>
          <w:p w14:paraId="7BB9927F" w14:textId="77777777" w:rsidR="000C1C47" w:rsidRPr="004B5178" w:rsidRDefault="000C1C47" w:rsidP="000C1C47">
            <w:pPr>
              <w:rPr>
                <w:b/>
              </w:rPr>
            </w:pPr>
          </w:p>
        </w:tc>
      </w:tr>
      <w:tr w:rsidR="004B5178" w:rsidRPr="004B5178" w14:paraId="3F132414" w14:textId="77777777" w:rsidTr="00CB18A7">
        <w:tc>
          <w:tcPr>
            <w:tcW w:w="2009" w:type="dxa"/>
          </w:tcPr>
          <w:p w14:paraId="482E5F03" w14:textId="77777777" w:rsidR="000C1C47" w:rsidRPr="004B5178" w:rsidRDefault="000C1C47" w:rsidP="000C1C47">
            <w:r w:rsidRPr="004B5178">
              <w:t xml:space="preserve">Update: </w:t>
            </w:r>
          </w:p>
          <w:p w14:paraId="35FFDDF1" w14:textId="77777777" w:rsidR="000C1C47" w:rsidRPr="004B5178" w:rsidRDefault="000C1C47" w:rsidP="000C1C47">
            <w:r w:rsidRPr="004B5178">
              <w:t>Made: 09/08/12</w:t>
            </w:r>
          </w:p>
        </w:tc>
        <w:tc>
          <w:tcPr>
            <w:tcW w:w="13017" w:type="dxa"/>
          </w:tcPr>
          <w:p w14:paraId="33F236F3" w14:textId="06EFB042" w:rsidR="000C1C47" w:rsidRPr="004B5178" w:rsidRDefault="000C1C47" w:rsidP="000967BB">
            <w:pPr>
              <w:pStyle w:val="ListParagraph"/>
              <w:numPr>
                <w:ilvl w:val="0"/>
                <w:numId w:val="19"/>
              </w:numPr>
              <w:spacing w:after="0" w:line="240" w:lineRule="auto"/>
              <w:rPr>
                <w:rFonts w:ascii="Arial" w:hAnsi="Arial" w:cs="Arial"/>
              </w:rPr>
            </w:pPr>
            <w:r w:rsidRPr="004B5178">
              <w:rPr>
                <w:rFonts w:ascii="Arial" w:hAnsi="Arial" w:cs="Arial"/>
              </w:rPr>
              <w:t xml:space="preserve">For the survey in general a weighting system is applied to account for </w:t>
            </w:r>
            <w:r w:rsidR="00C36CDF" w:rsidRPr="004B5178">
              <w:rPr>
                <w:rFonts w:ascii="Arial" w:hAnsi="Arial" w:cs="Arial"/>
              </w:rPr>
              <w:t>non-response</w:t>
            </w:r>
            <w:r w:rsidRPr="004B5178">
              <w:rPr>
                <w:rFonts w:ascii="Arial" w:hAnsi="Arial" w:cs="Arial"/>
              </w:rPr>
              <w:t xml:space="preserve"> bias. This adjusts for the variation in response rate between demographic groups. No research was carried out into whether those who did not respond had a different experience to those who did. This will be noted in the quality statement as per other indicators using this data source.</w:t>
            </w:r>
          </w:p>
          <w:p w14:paraId="6E32DE4B" w14:textId="77777777" w:rsidR="000C1C47" w:rsidRPr="004B5178" w:rsidRDefault="000C1C47" w:rsidP="000967BB">
            <w:pPr>
              <w:pStyle w:val="ListParagraph"/>
              <w:numPr>
                <w:ilvl w:val="0"/>
                <w:numId w:val="19"/>
              </w:numPr>
              <w:spacing w:after="0" w:line="240" w:lineRule="auto"/>
              <w:rPr>
                <w:rFonts w:ascii="Arial" w:hAnsi="Arial" w:cs="Arial"/>
              </w:rPr>
            </w:pPr>
            <w:r w:rsidRPr="004B5178">
              <w:rPr>
                <w:rFonts w:ascii="Arial" w:hAnsi="Arial" w:cs="Arial"/>
              </w:rPr>
              <w:t>There is no research / evidence on these possible response biases, but DH have asked  the survey contractor (Ipsos MORI) to be kept informed if any research is carried out.</w:t>
            </w:r>
          </w:p>
          <w:p w14:paraId="3086D12B" w14:textId="77777777" w:rsidR="000C1C47" w:rsidRPr="004B5178" w:rsidRDefault="000C1C47" w:rsidP="000C1C47"/>
        </w:tc>
      </w:tr>
      <w:tr w:rsidR="00CB18A7" w:rsidRPr="004B5178" w14:paraId="09D541C3" w14:textId="77777777" w:rsidTr="0025757D">
        <w:tc>
          <w:tcPr>
            <w:tcW w:w="2009" w:type="dxa"/>
          </w:tcPr>
          <w:p w14:paraId="5C5BFBB7" w14:textId="77777777" w:rsidR="00CB18A7" w:rsidRPr="004B5178" w:rsidRDefault="00CB18A7" w:rsidP="000C1C47">
            <w:r w:rsidRPr="004B5178">
              <w:t>Rec Status:</w:t>
            </w:r>
          </w:p>
        </w:tc>
        <w:tc>
          <w:tcPr>
            <w:tcW w:w="13017" w:type="dxa"/>
          </w:tcPr>
          <w:p w14:paraId="5EFCA0D4" w14:textId="23BCCDFF" w:rsidR="00CB18A7" w:rsidRPr="004B5178" w:rsidRDefault="00CB18A7" w:rsidP="00CB18A7">
            <w:pPr>
              <w:rPr>
                <w:b/>
              </w:rPr>
            </w:pPr>
            <w:r w:rsidRPr="004B5178">
              <w:rPr>
                <w:b/>
              </w:rPr>
              <w:t xml:space="preserve">Further Information Required  </w:t>
            </w:r>
            <w:sdt>
              <w:sdtPr>
                <w:id w:val="-1402661934"/>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492ACBB2" w14:textId="65ECE51F" w:rsidR="00CB18A7" w:rsidRPr="004B5178" w:rsidRDefault="00CB18A7" w:rsidP="00CB18A7">
            <w:pPr>
              <w:rPr>
                <w:b/>
              </w:rPr>
            </w:pPr>
            <w:r w:rsidRPr="004B5178">
              <w:rPr>
                <w:b/>
              </w:rPr>
              <w:t>Resolved / No Action Required</w:t>
            </w:r>
            <w:r>
              <w:rPr>
                <w:b/>
              </w:rPr>
              <w:t xml:space="preserve"> </w:t>
            </w:r>
            <w:sdt>
              <w:sdtPr>
                <w:id w:val="513578668"/>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tc>
      </w:tr>
    </w:tbl>
    <w:p w14:paraId="55487E00" w14:textId="77777777" w:rsidR="000C1C47" w:rsidRPr="004B5178" w:rsidRDefault="000C1C47" w:rsidP="000C1C47">
      <w:pPr>
        <w:ind w:left="-540"/>
        <w:rPr>
          <w:b/>
        </w:rPr>
      </w:pPr>
    </w:p>
    <w:tbl>
      <w:tblPr>
        <w:tblStyle w:val="TableGrid"/>
        <w:tblW w:w="15026" w:type="dxa"/>
        <w:tblInd w:w="-714" w:type="dxa"/>
        <w:tblLayout w:type="fixed"/>
        <w:tblLook w:val="01E0" w:firstRow="1" w:lastRow="1" w:firstColumn="1" w:lastColumn="1" w:noHBand="0" w:noVBand="0"/>
      </w:tblPr>
      <w:tblGrid>
        <w:gridCol w:w="2009"/>
        <w:gridCol w:w="13017"/>
      </w:tblGrid>
      <w:tr w:rsidR="004B5178" w:rsidRPr="004B5178" w14:paraId="16875089" w14:textId="77777777" w:rsidTr="00CB18A7">
        <w:tc>
          <w:tcPr>
            <w:tcW w:w="2009" w:type="dxa"/>
          </w:tcPr>
          <w:p w14:paraId="5916ADA0" w14:textId="77777777" w:rsidR="000C1C47" w:rsidRPr="004B5178" w:rsidRDefault="000C1C47" w:rsidP="000C1C47">
            <w:r w:rsidRPr="004B5178">
              <w:t>Ref code</w:t>
            </w:r>
          </w:p>
          <w:p w14:paraId="560FB4FB" w14:textId="77777777" w:rsidR="000C1C47" w:rsidRPr="004B5178" w:rsidRDefault="000C1C47" w:rsidP="000C1C47">
            <w:pPr>
              <w:rPr>
                <w:b/>
              </w:rPr>
            </w:pPr>
            <w:r w:rsidRPr="004B5178">
              <w:rPr>
                <w:b/>
              </w:rPr>
              <w:t>2012/116</w:t>
            </w:r>
          </w:p>
          <w:p w14:paraId="339EE391" w14:textId="77777777" w:rsidR="000C1C47" w:rsidRPr="004B5178" w:rsidRDefault="000C1C47" w:rsidP="000C1C47">
            <w:r w:rsidRPr="004B5178">
              <w:t>Made: 13/07/12</w:t>
            </w:r>
          </w:p>
        </w:tc>
        <w:tc>
          <w:tcPr>
            <w:tcW w:w="13017" w:type="dxa"/>
          </w:tcPr>
          <w:p w14:paraId="718CF81B" w14:textId="77777777" w:rsidR="000C1C47" w:rsidRPr="004B5178" w:rsidRDefault="000C1C47" w:rsidP="000C1C47">
            <w:r w:rsidRPr="004B5178">
              <w:t xml:space="preserve">MRG queried how people are identified for inclusion, with the recommendation that: </w:t>
            </w:r>
          </w:p>
          <w:p w14:paraId="48171A1F" w14:textId="77777777" w:rsidR="000C1C47" w:rsidRPr="004B5178" w:rsidRDefault="000C1C47" w:rsidP="000967BB">
            <w:pPr>
              <w:pStyle w:val="ListParagraph"/>
              <w:numPr>
                <w:ilvl w:val="0"/>
                <w:numId w:val="2"/>
              </w:numPr>
              <w:spacing w:after="0" w:line="240" w:lineRule="auto"/>
              <w:rPr>
                <w:rFonts w:ascii="Arial" w:hAnsi="Arial" w:cs="Arial"/>
                <w:b/>
              </w:rPr>
            </w:pPr>
            <w:r w:rsidRPr="004B5178">
              <w:rPr>
                <w:rFonts w:ascii="Arial" w:hAnsi="Arial" w:cs="Arial"/>
                <w:b/>
              </w:rPr>
              <w:t>people not responding “Yes”  to Question 30, but who subsequently identify a LTC in Q31, should be included in the calculation.</w:t>
            </w:r>
          </w:p>
          <w:p w14:paraId="3951E9E9" w14:textId="77777777" w:rsidR="000C1C47" w:rsidRPr="004B5178" w:rsidRDefault="000C1C47" w:rsidP="000C1C47">
            <w:pPr>
              <w:rPr>
                <w:b/>
              </w:rPr>
            </w:pPr>
          </w:p>
        </w:tc>
      </w:tr>
      <w:tr w:rsidR="004B5178" w:rsidRPr="004B5178" w14:paraId="47C03A9F" w14:textId="77777777" w:rsidTr="00CB18A7">
        <w:tc>
          <w:tcPr>
            <w:tcW w:w="2009" w:type="dxa"/>
          </w:tcPr>
          <w:p w14:paraId="602956C8" w14:textId="77777777" w:rsidR="000C1C47" w:rsidRPr="004B5178" w:rsidRDefault="000C1C47" w:rsidP="000C1C47">
            <w:r w:rsidRPr="004B5178">
              <w:t xml:space="preserve">Update: </w:t>
            </w:r>
          </w:p>
          <w:p w14:paraId="2CF32DA5" w14:textId="77777777" w:rsidR="000C1C47" w:rsidRPr="004B5178" w:rsidRDefault="000C1C47" w:rsidP="000C1C47">
            <w:r w:rsidRPr="004B5178">
              <w:t>Made: 09/08/12</w:t>
            </w:r>
          </w:p>
        </w:tc>
        <w:tc>
          <w:tcPr>
            <w:tcW w:w="13017" w:type="dxa"/>
          </w:tcPr>
          <w:p w14:paraId="082AD781" w14:textId="77777777" w:rsidR="000C1C47" w:rsidRPr="004B5178" w:rsidRDefault="000C1C47" w:rsidP="000C1C47">
            <w:r w:rsidRPr="004B5178">
              <w:t>Recommendation accepted by the applicant .</w:t>
            </w:r>
          </w:p>
          <w:p w14:paraId="682F21FE" w14:textId="77777777" w:rsidR="000C1C47" w:rsidRPr="004B5178" w:rsidRDefault="000C1C47" w:rsidP="000C1C47">
            <w:pPr>
              <w:rPr>
                <w:b/>
              </w:rPr>
            </w:pPr>
          </w:p>
          <w:p w14:paraId="7338090D" w14:textId="77777777" w:rsidR="000C1C47" w:rsidRPr="004B5178" w:rsidRDefault="000C1C47" w:rsidP="000C1C47">
            <w:pPr>
              <w:rPr>
                <w:b/>
              </w:rPr>
            </w:pPr>
          </w:p>
        </w:tc>
      </w:tr>
      <w:tr w:rsidR="00CB18A7" w:rsidRPr="004B5178" w14:paraId="4AC1D7C0" w14:textId="77777777" w:rsidTr="0025757D">
        <w:tc>
          <w:tcPr>
            <w:tcW w:w="2009" w:type="dxa"/>
          </w:tcPr>
          <w:p w14:paraId="3495CC31" w14:textId="77777777" w:rsidR="00CB18A7" w:rsidRPr="004B5178" w:rsidRDefault="00CB18A7" w:rsidP="000C1C47">
            <w:r w:rsidRPr="004B5178">
              <w:t>Rec Status:</w:t>
            </w:r>
          </w:p>
        </w:tc>
        <w:tc>
          <w:tcPr>
            <w:tcW w:w="13017" w:type="dxa"/>
          </w:tcPr>
          <w:p w14:paraId="41959A8D" w14:textId="53B78D4C" w:rsidR="00CB18A7" w:rsidRDefault="00CB18A7" w:rsidP="00CB18A7">
            <w:r w:rsidRPr="004B5178">
              <w:rPr>
                <w:b/>
              </w:rPr>
              <w:t xml:space="preserve">Further Information Required  </w:t>
            </w:r>
            <w:sdt>
              <w:sdtPr>
                <w:id w:val="1462311483"/>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587CE74A" w14:textId="224A002E" w:rsidR="00CB18A7" w:rsidRPr="004B5178" w:rsidRDefault="00CB18A7" w:rsidP="00CB18A7">
            <w:pPr>
              <w:rPr>
                <w:b/>
              </w:rPr>
            </w:pPr>
            <w:r w:rsidRPr="004B5178">
              <w:rPr>
                <w:b/>
              </w:rPr>
              <w:t>Resolved / No Action Required</w:t>
            </w:r>
            <w:r>
              <w:rPr>
                <w:b/>
              </w:rPr>
              <w:t xml:space="preserve"> </w:t>
            </w:r>
            <w:sdt>
              <w:sdtPr>
                <w:id w:val="-1640567360"/>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tc>
      </w:tr>
    </w:tbl>
    <w:p w14:paraId="097EC0BD" w14:textId="77777777" w:rsidR="000C1C47" w:rsidRPr="004B5178" w:rsidRDefault="000C1C47" w:rsidP="000C1C47">
      <w:pPr>
        <w:rPr>
          <w:b/>
        </w:rPr>
      </w:pPr>
    </w:p>
    <w:p w14:paraId="55F2A618" w14:textId="30BC32EC" w:rsidR="00677C5A" w:rsidRDefault="00677C5A" w:rsidP="000C1C47">
      <w:pPr>
        <w:ind w:left="-851"/>
        <w:rPr>
          <w:b/>
        </w:rPr>
      </w:pPr>
    </w:p>
    <w:p w14:paraId="3EFA5356" w14:textId="245BEEA6" w:rsidR="00CB18A7" w:rsidRDefault="00CB18A7" w:rsidP="000C1C47">
      <w:pPr>
        <w:ind w:left="-851"/>
        <w:rPr>
          <w:b/>
        </w:rPr>
      </w:pPr>
    </w:p>
    <w:p w14:paraId="75DF1910" w14:textId="77777777" w:rsidR="00CB18A7" w:rsidRPr="004B5178" w:rsidRDefault="00CB18A7" w:rsidP="000C1C47">
      <w:pPr>
        <w:ind w:left="-851"/>
        <w:rPr>
          <w:b/>
        </w:rPr>
      </w:pPr>
    </w:p>
    <w:p w14:paraId="5A98A570" w14:textId="77777777" w:rsidR="00677C5A" w:rsidRPr="004B5178" w:rsidRDefault="00677C5A" w:rsidP="000C1C47">
      <w:pPr>
        <w:ind w:left="-851"/>
        <w:rPr>
          <w:b/>
        </w:rPr>
      </w:pPr>
    </w:p>
    <w:p w14:paraId="4E559D45" w14:textId="77777777" w:rsidR="00677C5A" w:rsidRPr="004B5178" w:rsidRDefault="00677C5A" w:rsidP="000C1C47">
      <w:pPr>
        <w:ind w:left="-851"/>
        <w:rPr>
          <w:b/>
        </w:rPr>
      </w:pPr>
    </w:p>
    <w:p w14:paraId="5EB4B9EC" w14:textId="2D0FB313" w:rsidR="000C1C47" w:rsidRPr="004B5178" w:rsidRDefault="000C1C47" w:rsidP="000C1C47">
      <w:pPr>
        <w:ind w:left="-851"/>
        <w:rPr>
          <w:b/>
        </w:rPr>
      </w:pPr>
      <w:r w:rsidRPr="004B5178">
        <w:rPr>
          <w:b/>
        </w:rPr>
        <w:t>Revisions:</w:t>
      </w:r>
    </w:p>
    <w:p w14:paraId="564D7377" w14:textId="77777777" w:rsidR="000C1C47" w:rsidRPr="004B5178" w:rsidRDefault="000C1C47" w:rsidP="000C1C47">
      <w:pPr>
        <w:ind w:left="-851"/>
      </w:pPr>
      <w:r w:rsidRPr="004B5178">
        <w:t>To be completed where changes to the methodology are made by the applicant during the appraisal [i.e. subsequent to the initial application form]</w:t>
      </w:r>
    </w:p>
    <w:p w14:paraId="7453892C" w14:textId="77777777" w:rsidR="000C1C47" w:rsidRPr="004B5178" w:rsidRDefault="000C1C47" w:rsidP="000C1C47">
      <w:pPr>
        <w:ind w:left="-851"/>
      </w:pPr>
      <w:r w:rsidRPr="004B5178">
        <w:t>A new section is to be added for each new set of revisions to go to MRG.</w:t>
      </w:r>
    </w:p>
    <w:p w14:paraId="43C2613C" w14:textId="77777777" w:rsidR="000C1C47" w:rsidRPr="004B5178" w:rsidRDefault="000C1C47" w:rsidP="000C1C47">
      <w:pPr>
        <w:ind w:left="-851"/>
      </w:pPr>
    </w:p>
    <w:p w14:paraId="13190534" w14:textId="77777777" w:rsidR="000C1C47" w:rsidRPr="004B5178" w:rsidRDefault="000C1C47" w:rsidP="000C1C47">
      <w:pPr>
        <w:ind w:left="-851"/>
        <w:rPr>
          <w:b/>
        </w:rPr>
      </w:pPr>
      <w:r w:rsidRPr="004B5178">
        <w:rPr>
          <w:b/>
        </w:rPr>
        <w:t>Proposed Revision 28</w:t>
      </w:r>
      <w:r w:rsidRPr="004B5178">
        <w:rPr>
          <w:b/>
          <w:vertAlign w:val="superscript"/>
        </w:rPr>
        <w:t>th</w:t>
      </w:r>
      <w:r w:rsidRPr="004B5178">
        <w:rPr>
          <w:b/>
        </w:rPr>
        <w:t xml:space="preserve"> April 2014</w:t>
      </w:r>
    </w:p>
    <w:p w14:paraId="41E95D87" w14:textId="77777777" w:rsidR="000C1C47" w:rsidRPr="004B5178" w:rsidRDefault="000C1C47" w:rsidP="000C1C47">
      <w:pPr>
        <w:ind w:left="-851"/>
      </w:pPr>
    </w:p>
    <w:tbl>
      <w:tblPr>
        <w:tblStyle w:val="TableGrid"/>
        <w:tblW w:w="15026" w:type="dxa"/>
        <w:tblInd w:w="-714" w:type="dxa"/>
        <w:tblLayout w:type="fixed"/>
        <w:tblLook w:val="01E0" w:firstRow="1" w:lastRow="1" w:firstColumn="1" w:lastColumn="1" w:noHBand="0" w:noVBand="0"/>
      </w:tblPr>
      <w:tblGrid>
        <w:gridCol w:w="2839"/>
        <w:gridCol w:w="12187"/>
      </w:tblGrid>
      <w:tr w:rsidR="004B5178" w:rsidRPr="004B5178" w14:paraId="278E6EC3" w14:textId="77777777" w:rsidTr="00CB18A7">
        <w:tc>
          <w:tcPr>
            <w:tcW w:w="2839" w:type="dxa"/>
          </w:tcPr>
          <w:p w14:paraId="30B5E261" w14:textId="77777777" w:rsidR="000C1C47" w:rsidRPr="004B5178" w:rsidRDefault="000C1C47" w:rsidP="000C1C47">
            <w:r w:rsidRPr="004B5178">
              <w:t>Revision Date:</w:t>
            </w:r>
          </w:p>
        </w:tc>
        <w:tc>
          <w:tcPr>
            <w:tcW w:w="12187" w:type="dxa"/>
          </w:tcPr>
          <w:p w14:paraId="4CBA7103" w14:textId="77777777" w:rsidR="000C1C47" w:rsidRPr="004B5178" w:rsidRDefault="000C1C47" w:rsidP="000C1C47">
            <w:r w:rsidRPr="004B5178">
              <w:t>28/04/14</w:t>
            </w:r>
          </w:p>
        </w:tc>
      </w:tr>
      <w:tr w:rsidR="004B5178" w:rsidRPr="004B5178" w14:paraId="35AD8B1D" w14:textId="77777777" w:rsidTr="00CB18A7">
        <w:tc>
          <w:tcPr>
            <w:tcW w:w="2839" w:type="dxa"/>
          </w:tcPr>
          <w:p w14:paraId="1E3BED2F" w14:textId="77777777" w:rsidR="000C1C47" w:rsidRPr="004B5178" w:rsidRDefault="000C1C47" w:rsidP="000C1C47">
            <w:r w:rsidRPr="004B5178">
              <w:t>General Comments / Reasoning:</w:t>
            </w:r>
          </w:p>
        </w:tc>
        <w:tc>
          <w:tcPr>
            <w:tcW w:w="12187" w:type="dxa"/>
          </w:tcPr>
          <w:p w14:paraId="7C06DC58" w14:textId="77777777" w:rsidR="000C1C47" w:rsidRPr="004B5178" w:rsidRDefault="000C1C47" w:rsidP="000C1C47">
            <w:r w:rsidRPr="004B5178">
              <w:t>Standardisation methodology for NHSOF / CCGOIS Domain 2 indicators</w:t>
            </w:r>
          </w:p>
          <w:p w14:paraId="2E40059E" w14:textId="77777777" w:rsidR="000C1C47" w:rsidRPr="004B5178" w:rsidRDefault="000C1C47" w:rsidP="000C1C47"/>
          <w:p w14:paraId="69245CBB" w14:textId="77777777" w:rsidR="000C1C47" w:rsidRPr="004B5178" w:rsidRDefault="000C1C47" w:rsidP="000C1C47">
            <w:pPr>
              <w:rPr>
                <w:b/>
              </w:rPr>
            </w:pPr>
            <w:r w:rsidRPr="004B5178">
              <w:rPr>
                <w:b/>
              </w:rPr>
              <w:t>Indicators Covered by the proposal</w:t>
            </w:r>
          </w:p>
          <w:p w14:paraId="33066613" w14:textId="77777777" w:rsidR="000C1C47" w:rsidRPr="004B5178" w:rsidRDefault="000C1C47" w:rsidP="000C1C47">
            <w:pPr>
              <w:rPr>
                <w:b/>
              </w:rPr>
            </w:pPr>
          </w:p>
          <w:p w14:paraId="1786AF36" w14:textId="77777777" w:rsidR="000C1C47" w:rsidRPr="004B5178" w:rsidRDefault="000C1C47" w:rsidP="000967BB">
            <w:pPr>
              <w:numPr>
                <w:ilvl w:val="0"/>
                <w:numId w:val="29"/>
              </w:numPr>
            </w:pPr>
            <w:r w:rsidRPr="004B5178">
              <w:t>NHS OF 2 Health-related quality of life for people with long term conditions</w:t>
            </w:r>
          </w:p>
          <w:p w14:paraId="24FC68F6" w14:textId="77777777" w:rsidR="000C1C47" w:rsidRPr="004B5178" w:rsidRDefault="000C1C47" w:rsidP="000967BB">
            <w:pPr>
              <w:numPr>
                <w:ilvl w:val="0"/>
                <w:numId w:val="29"/>
              </w:numPr>
            </w:pPr>
            <w:r w:rsidRPr="004B5178">
              <w:t>NHS OF 2.1 Proportion of people who feel supported to manage their condition</w:t>
            </w:r>
          </w:p>
          <w:p w14:paraId="02535DA4" w14:textId="77777777" w:rsidR="000C1C47" w:rsidRPr="004B5178" w:rsidRDefault="000C1C47" w:rsidP="000967BB">
            <w:pPr>
              <w:numPr>
                <w:ilvl w:val="0"/>
                <w:numId w:val="29"/>
              </w:numPr>
            </w:pPr>
            <w:r w:rsidRPr="004B5178">
              <w:t>NHS OF 2.4 Health-related quality of life for carers, aged over 18 years</w:t>
            </w:r>
          </w:p>
          <w:p w14:paraId="533C1FDD" w14:textId="77777777" w:rsidR="000C1C47" w:rsidRPr="004B5178" w:rsidRDefault="000C1C47" w:rsidP="000C1C47"/>
          <w:p w14:paraId="449F3F79" w14:textId="77777777" w:rsidR="000C1C47" w:rsidRPr="004B5178" w:rsidRDefault="000C1C47" w:rsidP="000967BB">
            <w:pPr>
              <w:numPr>
                <w:ilvl w:val="0"/>
                <w:numId w:val="29"/>
              </w:numPr>
            </w:pPr>
            <w:r w:rsidRPr="004B5178">
              <w:t>CCG OIS 2.1 Health-related quality of life for people with long term conditions</w:t>
            </w:r>
          </w:p>
          <w:p w14:paraId="2C52DBCD" w14:textId="77777777" w:rsidR="000C1C47" w:rsidRPr="004B5178" w:rsidRDefault="000C1C47" w:rsidP="000967BB">
            <w:pPr>
              <w:numPr>
                <w:ilvl w:val="0"/>
                <w:numId w:val="29"/>
              </w:numPr>
            </w:pPr>
            <w:r w:rsidRPr="004B5178">
              <w:t>CCG OIS 2.2 Proportion of people who feel supported to manage their condition</w:t>
            </w:r>
          </w:p>
          <w:p w14:paraId="01C70EF5" w14:textId="77777777" w:rsidR="000C1C47" w:rsidRPr="004B5178" w:rsidRDefault="000C1C47" w:rsidP="000967BB">
            <w:pPr>
              <w:numPr>
                <w:ilvl w:val="0"/>
                <w:numId w:val="29"/>
              </w:numPr>
            </w:pPr>
            <w:r w:rsidRPr="004B5178">
              <w:t>CCG OIS 2.15 Health-related quality of life for carers, aged over 18 years</w:t>
            </w:r>
          </w:p>
          <w:p w14:paraId="4C958B6B" w14:textId="77777777" w:rsidR="000C1C47" w:rsidRPr="004B5178" w:rsidRDefault="000C1C47" w:rsidP="000967BB">
            <w:pPr>
              <w:numPr>
                <w:ilvl w:val="0"/>
                <w:numId w:val="29"/>
              </w:numPr>
            </w:pPr>
            <w:r w:rsidRPr="004B5178">
              <w:t>CCG OIS 2.16 Health related quality of life for people with a long term mental health condition</w:t>
            </w:r>
          </w:p>
          <w:p w14:paraId="20126D7A" w14:textId="77777777" w:rsidR="000C1C47" w:rsidRPr="004B5178" w:rsidRDefault="000C1C47" w:rsidP="000C1C47"/>
          <w:p w14:paraId="7DFEB77C" w14:textId="77777777" w:rsidR="000C1C47" w:rsidRPr="004B5178" w:rsidRDefault="000C1C47" w:rsidP="000967BB">
            <w:pPr>
              <w:numPr>
                <w:ilvl w:val="0"/>
                <w:numId w:val="29"/>
              </w:numPr>
            </w:pPr>
            <w:r w:rsidRPr="004B5178">
              <w:rPr>
                <w:b/>
              </w:rPr>
              <w:t>Indicator Data Source</w:t>
            </w:r>
            <w:r w:rsidRPr="004B5178">
              <w:t xml:space="preserve">:  </w:t>
            </w:r>
            <w:r w:rsidRPr="004B5178">
              <w:rPr>
                <w:i/>
              </w:rPr>
              <w:t>GP Patient Survey (GPPS)</w:t>
            </w:r>
          </w:p>
          <w:p w14:paraId="2FD20BE8" w14:textId="77777777" w:rsidR="000C1C47" w:rsidRPr="004B5178" w:rsidRDefault="000C1C47" w:rsidP="000C1C47"/>
          <w:p w14:paraId="281F8080" w14:textId="77777777" w:rsidR="000C1C47" w:rsidRPr="004B5178" w:rsidRDefault="000C1C47" w:rsidP="000C1C47">
            <w:r w:rsidRPr="004B5178">
              <w:t xml:space="preserve">The indicators covered in this paper have all previously been discussed by IGB with a recommendation that they be reviewed by MRG, with the exception of  CCG OIS 2.15 (awaiting discussion at IGB), and CCG OIS 2.16 (under initial  consideration by MRG pending more information).  </w:t>
            </w:r>
          </w:p>
          <w:p w14:paraId="5B917156" w14:textId="77777777" w:rsidR="000C1C47" w:rsidRPr="004B5178" w:rsidRDefault="000C1C47" w:rsidP="000C1C47"/>
          <w:p w14:paraId="75B5CAFA" w14:textId="77777777" w:rsidR="000C1C47" w:rsidRPr="004B5178" w:rsidRDefault="000C1C47" w:rsidP="000C1C47">
            <w:r w:rsidRPr="004B5178">
              <w:t>The proposal described below is separate to other issues pending further discussion at MRG</w:t>
            </w:r>
          </w:p>
          <w:p w14:paraId="5A38D7BF" w14:textId="77777777" w:rsidR="000C1C47" w:rsidRPr="004B5178" w:rsidRDefault="000C1C47" w:rsidP="000C1C47">
            <w:r w:rsidRPr="004B5178">
              <w:t>Background</w:t>
            </w:r>
          </w:p>
          <w:p w14:paraId="51B9AF33" w14:textId="290378AA" w:rsidR="000C1C47" w:rsidRDefault="000C1C47" w:rsidP="000C1C47"/>
          <w:p w14:paraId="0538D0C7" w14:textId="6FAE0C8D" w:rsidR="00CB18A7" w:rsidRDefault="00CB18A7" w:rsidP="000C1C47"/>
          <w:p w14:paraId="03246826" w14:textId="26BC3513" w:rsidR="00CB18A7" w:rsidRDefault="00CB18A7" w:rsidP="000C1C47"/>
          <w:p w14:paraId="1D4CE762" w14:textId="2A555E0A" w:rsidR="00CB18A7" w:rsidRDefault="00CB18A7" w:rsidP="000C1C47"/>
          <w:p w14:paraId="28056B65" w14:textId="72F5B949" w:rsidR="00CB18A7" w:rsidRDefault="00CB18A7" w:rsidP="000C1C47"/>
          <w:p w14:paraId="57D21D2E" w14:textId="77777777" w:rsidR="00CB18A7" w:rsidRPr="004B5178" w:rsidRDefault="00CB18A7" w:rsidP="000C1C47"/>
          <w:p w14:paraId="5B83182F" w14:textId="77777777" w:rsidR="000C1C47" w:rsidRPr="004B5178" w:rsidRDefault="000C1C47" w:rsidP="000C1C47">
            <w:r w:rsidRPr="004B5178">
              <w:t>The indicators were published (for the first time) in September 2013. The purpose of the indicators inclusion in the frameworks are:</w:t>
            </w:r>
          </w:p>
          <w:p w14:paraId="4F43A90D" w14:textId="77777777" w:rsidR="000C1C47" w:rsidRPr="004B5178" w:rsidRDefault="000C1C47" w:rsidP="000967BB">
            <w:pPr>
              <w:pStyle w:val="ListParagraph"/>
              <w:numPr>
                <w:ilvl w:val="0"/>
                <w:numId w:val="32"/>
              </w:numPr>
              <w:spacing w:after="0" w:line="240" w:lineRule="auto"/>
              <w:rPr>
                <w:rFonts w:ascii="Arial" w:hAnsi="Arial" w:cs="Arial"/>
              </w:rPr>
            </w:pPr>
            <w:r w:rsidRPr="004B5178">
              <w:rPr>
                <w:rFonts w:ascii="Arial" w:hAnsi="Arial" w:cs="Arial"/>
              </w:rPr>
              <w:t>CCG OIS – to facilitate comparison across CCGs and over time</w:t>
            </w:r>
          </w:p>
          <w:p w14:paraId="71B939BA" w14:textId="77777777" w:rsidR="000C1C47" w:rsidRPr="004B5178" w:rsidRDefault="000C1C47" w:rsidP="000967BB">
            <w:pPr>
              <w:pStyle w:val="ListParagraph"/>
              <w:numPr>
                <w:ilvl w:val="0"/>
                <w:numId w:val="31"/>
              </w:numPr>
              <w:spacing w:after="0" w:line="240" w:lineRule="auto"/>
              <w:rPr>
                <w:rFonts w:ascii="Arial" w:hAnsi="Arial" w:cs="Arial"/>
              </w:rPr>
            </w:pPr>
            <w:r w:rsidRPr="004B5178">
              <w:rPr>
                <w:rFonts w:ascii="Arial" w:hAnsi="Arial" w:cs="Arial"/>
              </w:rPr>
              <w:t>NHS OF – at national level to facilitate comparison over time but also to facilitate comparison across breakdown categories (e.g. across LAs)</w:t>
            </w:r>
          </w:p>
          <w:p w14:paraId="69E884E3" w14:textId="77777777" w:rsidR="000C1C47" w:rsidRPr="004B5178" w:rsidRDefault="000C1C47" w:rsidP="000C1C47"/>
          <w:p w14:paraId="183EDD19" w14:textId="77777777" w:rsidR="000C1C47" w:rsidRPr="004B5178" w:rsidRDefault="000C1C47" w:rsidP="000C1C47">
            <w:r w:rsidRPr="004B5178">
              <w:t>The indicators were weighted at the individual level to account for variation in the age- and gender-structure of the population across breakdowns. However, a subsequent review of the weighting methodology identified weaknesses. In particular, even after the weighting, the indicators were influenced by variation in the population’s age- and gender-structure. A NHS Outcomes Analysis Team review of the methodology recommended that a form of direct or indirect standardisation would be more appropriate to facilitate comparisons in the indicators across breakdowns (including CCGs) and over time.</w:t>
            </w:r>
          </w:p>
          <w:p w14:paraId="3EB4B963" w14:textId="77777777" w:rsidR="000C1C47" w:rsidRPr="004B5178" w:rsidRDefault="000C1C47" w:rsidP="000C1C47"/>
          <w:p w14:paraId="3638D25F" w14:textId="77777777" w:rsidR="000C1C47" w:rsidRPr="004B5178" w:rsidRDefault="000C1C47" w:rsidP="000C1C47">
            <w:pPr>
              <w:rPr>
                <w:b/>
              </w:rPr>
            </w:pPr>
            <w:r w:rsidRPr="004B5178">
              <w:rPr>
                <w:b/>
              </w:rPr>
              <w:t>Areas of investigation recommended by MRG</w:t>
            </w:r>
          </w:p>
          <w:p w14:paraId="3CEB6453" w14:textId="77777777" w:rsidR="000C1C47" w:rsidRPr="004B5178" w:rsidRDefault="000C1C47" w:rsidP="000C1C47">
            <w:pPr>
              <w:rPr>
                <w:i/>
              </w:rPr>
            </w:pPr>
          </w:p>
          <w:p w14:paraId="2D748784" w14:textId="77777777" w:rsidR="000C1C47" w:rsidRPr="004B5178" w:rsidRDefault="000C1C47" w:rsidP="000C1C47">
            <w:r w:rsidRPr="004B5178">
              <w:t xml:space="preserve">MRG was concerned that in general, indirect standardisation should not be used for comparison across CCGs. Although it was appreciated that there is an issue with small numbers using the direct method, it was proposed that the applicant should ensure all options for standardisation had been considered and their proposed method is the most valid. </w:t>
            </w:r>
          </w:p>
          <w:p w14:paraId="6A7F91BE" w14:textId="77777777" w:rsidR="000C1C47" w:rsidRPr="004B5178" w:rsidRDefault="000C1C47" w:rsidP="000C1C47">
            <w:r w:rsidRPr="004B5178">
              <w:t>MRG recommended following the steps below:</w:t>
            </w:r>
          </w:p>
          <w:p w14:paraId="3B07081B" w14:textId="7BD24E65" w:rsidR="000C1C47" w:rsidRPr="004B5178" w:rsidRDefault="00C36CDF" w:rsidP="000967BB">
            <w:pPr>
              <w:numPr>
                <w:ilvl w:val="0"/>
                <w:numId w:val="30"/>
              </w:numPr>
            </w:pPr>
            <w:r w:rsidRPr="004B5178">
              <w:t>Firstly,</w:t>
            </w:r>
            <w:r w:rsidR="000C1C47" w:rsidRPr="004B5178">
              <w:t xml:space="preserve"> investigate if direct standardisation could be viable through combining years or some of the initially proposed breakdown groups. </w:t>
            </w:r>
          </w:p>
          <w:p w14:paraId="17CEC4BC" w14:textId="77777777" w:rsidR="000C1C47" w:rsidRPr="004B5178" w:rsidRDefault="000C1C47" w:rsidP="000967BB">
            <w:pPr>
              <w:numPr>
                <w:ilvl w:val="0"/>
                <w:numId w:val="30"/>
              </w:numPr>
            </w:pPr>
            <w:r w:rsidRPr="004B5178">
              <w:t>If the results of the investigation determined that this would result in too weak a standardisation, test whether indirect standardisation is valid, for instance determining if indirect standardisation holds valid in terms of populations being comparable.</w:t>
            </w:r>
          </w:p>
          <w:p w14:paraId="725E1A5D" w14:textId="74D8ADCE" w:rsidR="000C1C47" w:rsidRPr="004B5178" w:rsidRDefault="00C36CDF" w:rsidP="000967BB">
            <w:pPr>
              <w:numPr>
                <w:ilvl w:val="0"/>
                <w:numId w:val="30"/>
              </w:numPr>
            </w:pPr>
            <w:r w:rsidRPr="004B5178">
              <w:t>Finally,</w:t>
            </w:r>
            <w:r w:rsidR="000C1C47" w:rsidRPr="004B5178">
              <w:t xml:space="preserve"> if indirect standardisation is arrived at as being valid, then the developer would be required to provide supporting metadata that was very clear about the limitations of use of the indicator in terms of comparison.</w:t>
            </w:r>
          </w:p>
          <w:p w14:paraId="1F265939" w14:textId="77777777" w:rsidR="000C1C47" w:rsidRPr="004B5178" w:rsidRDefault="000C1C47" w:rsidP="000C1C47">
            <w:pPr>
              <w:rPr>
                <w:i/>
              </w:rPr>
            </w:pPr>
          </w:p>
          <w:p w14:paraId="1D39A7DE" w14:textId="4FA8B1C6" w:rsidR="000C1C47" w:rsidRPr="004B5178" w:rsidRDefault="00C36CDF" w:rsidP="000C1C47">
            <w:r w:rsidRPr="004B5178">
              <w:t>Developer’s</w:t>
            </w:r>
            <w:r w:rsidR="000C1C47" w:rsidRPr="004B5178">
              <w:t xml:space="preserve"> voiced concern that for some of the indicators, numbers were likely to be small and, even if numbers combined, may still not have sufficient data to support direct standardisation e.g. the</w:t>
            </w:r>
            <w:r w:rsidR="000C1C47" w:rsidRPr="004B5178">
              <w:rPr>
                <w:i/>
              </w:rPr>
              <w:t xml:space="preserve"> long term mental health condition </w:t>
            </w:r>
            <w:r w:rsidR="000C1C47" w:rsidRPr="004B5178">
              <w:t xml:space="preserve">indicator. </w:t>
            </w:r>
            <w:r w:rsidRPr="004B5178">
              <w:t>Additionally,</w:t>
            </w:r>
            <w:r w:rsidR="000C1C47" w:rsidRPr="004B5178">
              <w:t xml:space="preserve"> they were concerned of a mis-match in methodologies between CCGOIS indicators if different approaches were used.</w:t>
            </w:r>
          </w:p>
          <w:p w14:paraId="47E9A00D" w14:textId="77777777" w:rsidR="000C1C47" w:rsidRPr="004B5178" w:rsidRDefault="000C1C47" w:rsidP="000C1C47">
            <w:r w:rsidRPr="004B5178">
              <w:t xml:space="preserve">MRG members put forward that although it was desirable to have the same method it is not essential;  what is essential is to have robust methods.  The question that the developer needs to consider is to is whether it is appropriate to standardise at all if numbers are so small. </w:t>
            </w:r>
          </w:p>
          <w:p w14:paraId="68ADF999" w14:textId="77777777" w:rsidR="000C1C47" w:rsidRPr="004B5178" w:rsidRDefault="000C1C47" w:rsidP="000C1C47">
            <w:pPr>
              <w:rPr>
                <w:b/>
              </w:rPr>
            </w:pPr>
          </w:p>
          <w:p w14:paraId="754D4B7B" w14:textId="7193FD8B" w:rsidR="000C1C47" w:rsidRPr="004B5178" w:rsidRDefault="000C1C47" w:rsidP="000C1C47">
            <w:pPr>
              <w:rPr>
                <w:b/>
              </w:rPr>
            </w:pPr>
            <w:r w:rsidRPr="004B5178">
              <w:rPr>
                <w:b/>
              </w:rPr>
              <w:t xml:space="preserve">Final Methodology Put Forward </w:t>
            </w:r>
            <w:r w:rsidR="00C36CDF" w:rsidRPr="004B5178">
              <w:rPr>
                <w:b/>
              </w:rPr>
              <w:t>for</w:t>
            </w:r>
            <w:r w:rsidRPr="004B5178">
              <w:rPr>
                <w:b/>
              </w:rPr>
              <w:t xml:space="preserve"> Endorsement From IGB</w:t>
            </w:r>
          </w:p>
          <w:p w14:paraId="315592EA" w14:textId="77777777" w:rsidR="000C1C47" w:rsidRPr="004B5178" w:rsidRDefault="000C1C47" w:rsidP="000C1C47">
            <w:pPr>
              <w:rPr>
                <w:i/>
              </w:rPr>
            </w:pPr>
          </w:p>
          <w:p w14:paraId="3AF1DDC5" w14:textId="77777777" w:rsidR="000C1C47" w:rsidRPr="004B5178" w:rsidRDefault="000C1C47" w:rsidP="000C1C47">
            <w:r w:rsidRPr="004B5178">
              <w:t>The following approach to standardisation was submitted to MRG,  to which the group has recommended the indicators for discussion at IGB.</w:t>
            </w:r>
          </w:p>
          <w:p w14:paraId="6BD5A255" w14:textId="77777777" w:rsidR="000C1C47" w:rsidRPr="004B5178" w:rsidRDefault="000C1C47" w:rsidP="000C1C47">
            <w:r w:rsidRPr="004B5178">
              <w:t>Based on the findings of the investigation steps recommended by MRG, the proposal for the domain 2 NHS Outcomes Framework / CCGOIS indicators is as follows:</w:t>
            </w:r>
          </w:p>
          <w:p w14:paraId="7DC199ED" w14:textId="77777777" w:rsidR="000C1C47" w:rsidRPr="004B5178" w:rsidRDefault="000C1C47" w:rsidP="000967BB">
            <w:pPr>
              <w:numPr>
                <w:ilvl w:val="0"/>
                <w:numId w:val="8"/>
              </w:numPr>
            </w:pPr>
            <w:r w:rsidRPr="004B5178">
              <w:t>Use direct standardisation as calculation method with the original age groups</w:t>
            </w:r>
          </w:p>
          <w:p w14:paraId="073B0D77" w14:textId="77777777" w:rsidR="000C1C47" w:rsidRPr="004B5178" w:rsidRDefault="000C1C47" w:rsidP="000967BB">
            <w:pPr>
              <w:numPr>
                <w:ilvl w:val="0"/>
                <w:numId w:val="8"/>
              </w:numPr>
            </w:pPr>
            <w:r w:rsidRPr="004B5178">
              <w:t>Where there are empty cells (at least 1)* for any of the categories within a breakdown suppress the calculated indicator values for the category in question</w:t>
            </w:r>
          </w:p>
          <w:p w14:paraId="7F804526" w14:textId="77777777" w:rsidR="000C1C47" w:rsidRPr="004B5178" w:rsidRDefault="000C1C47" w:rsidP="000C1C47">
            <w:pPr>
              <w:rPr>
                <w:i/>
              </w:rPr>
            </w:pPr>
            <w:r w:rsidRPr="004B5178">
              <w:rPr>
                <w:i/>
              </w:rPr>
              <w:t>*(the directly standardised rate used eight age categories and gender (therefore 16 cells) and if one of these cells was missing a value, it was proposed to suppress the LA.)</w:t>
            </w:r>
          </w:p>
          <w:p w14:paraId="76E9C879" w14:textId="77777777" w:rsidR="000C1C47" w:rsidRPr="004B5178" w:rsidRDefault="000C1C47" w:rsidP="000967BB">
            <w:pPr>
              <w:numPr>
                <w:ilvl w:val="0"/>
                <w:numId w:val="8"/>
              </w:numPr>
            </w:pPr>
            <w:r w:rsidRPr="004B5178">
              <w:t>Further, where the numerator for a breakdown category is less than 25 suppress the calculated indicator values, due to the fact small numbers would make the estimate unreliable. This is in line with what currently happens within the PHOF.</w:t>
            </w:r>
          </w:p>
          <w:p w14:paraId="01BCCBF6" w14:textId="77777777" w:rsidR="000C1C47" w:rsidRPr="004B5178" w:rsidRDefault="000C1C47" w:rsidP="000967BB">
            <w:pPr>
              <w:numPr>
                <w:ilvl w:val="0"/>
                <w:numId w:val="8"/>
              </w:numPr>
            </w:pPr>
            <w:r w:rsidRPr="004B5178">
              <w:t>In addition to the LA district breakdowns provide upper tier LA breakdowns. This would provide valuable additional information for local decision makers and would also  provide values for LAs where values are suppressed for the LA district breakdown</w:t>
            </w:r>
          </w:p>
          <w:p w14:paraId="42E9558A" w14:textId="77777777" w:rsidR="000C1C47" w:rsidRPr="004B5178" w:rsidRDefault="000C1C47" w:rsidP="000967BB">
            <w:pPr>
              <w:numPr>
                <w:ilvl w:val="0"/>
                <w:numId w:val="8"/>
              </w:numPr>
            </w:pPr>
            <w:r w:rsidRPr="004B5178">
              <w:t>Once 3-years’ worth of GPPS data are available it is proposed to additionally calculate an indicator value based on a rolling 3-year dataset</w:t>
            </w:r>
          </w:p>
          <w:p w14:paraId="0C835951" w14:textId="77777777" w:rsidR="000C1C47" w:rsidRPr="004B5178" w:rsidRDefault="000C1C47" w:rsidP="000967BB">
            <w:pPr>
              <w:numPr>
                <w:ilvl w:val="0"/>
                <w:numId w:val="8"/>
              </w:numPr>
            </w:pPr>
            <w:r w:rsidRPr="004B5178">
              <w:t>Publish numerator and denominator values in addition to the indicator values. It is proposed to also provide these for all indicator values that are suppressed unless the numerator values are below 5, which is in line with standard suppression rules.</w:t>
            </w:r>
          </w:p>
          <w:p w14:paraId="583ED286" w14:textId="4496DF26" w:rsidR="000C1C47" w:rsidRPr="004B5178" w:rsidRDefault="000C1C47" w:rsidP="0025757D">
            <w:pPr>
              <w:numPr>
                <w:ilvl w:val="0"/>
                <w:numId w:val="8"/>
              </w:numPr>
            </w:pPr>
            <w:r w:rsidRPr="004B5178">
              <w:t>For some cases, due to zero cells, CCG values will need to be supressed</w:t>
            </w:r>
          </w:p>
          <w:p w14:paraId="7D1F5284" w14:textId="77777777" w:rsidR="000C1C47" w:rsidRPr="004B5178" w:rsidRDefault="000C1C47" w:rsidP="000C1C47"/>
        </w:tc>
      </w:tr>
      <w:tr w:rsidR="004B5178" w:rsidRPr="004B5178" w14:paraId="0BF94D37" w14:textId="77777777" w:rsidTr="00CB18A7">
        <w:tc>
          <w:tcPr>
            <w:tcW w:w="2839" w:type="dxa"/>
          </w:tcPr>
          <w:p w14:paraId="5DBEA66F" w14:textId="77777777" w:rsidR="000C1C47" w:rsidRPr="004B5178" w:rsidRDefault="000C1C47" w:rsidP="000C1C47">
            <w:r w:rsidRPr="004B5178">
              <w:lastRenderedPageBreak/>
              <w:t>Revisions:</w:t>
            </w:r>
          </w:p>
        </w:tc>
        <w:tc>
          <w:tcPr>
            <w:tcW w:w="12187" w:type="dxa"/>
          </w:tcPr>
          <w:p w14:paraId="7603D46D" w14:textId="77777777" w:rsidR="000C1C47" w:rsidRPr="004B5178" w:rsidRDefault="000C1C47" w:rsidP="000C1C47"/>
        </w:tc>
      </w:tr>
      <w:tr w:rsidR="004B5178" w:rsidRPr="004B5178" w14:paraId="445CEC94" w14:textId="77777777" w:rsidTr="00CB18A7">
        <w:tc>
          <w:tcPr>
            <w:tcW w:w="2839" w:type="dxa"/>
          </w:tcPr>
          <w:p w14:paraId="7613F4F1" w14:textId="77777777" w:rsidR="000C1C47" w:rsidRPr="004B5178" w:rsidRDefault="000C1C47" w:rsidP="000C1C47">
            <w:r w:rsidRPr="004B5178">
              <w:t>Indicator Title</w:t>
            </w:r>
          </w:p>
        </w:tc>
        <w:tc>
          <w:tcPr>
            <w:tcW w:w="12187" w:type="dxa"/>
          </w:tcPr>
          <w:p w14:paraId="76A8CA11" w14:textId="77777777" w:rsidR="000C1C47" w:rsidRPr="004B5178" w:rsidRDefault="000C1C47" w:rsidP="000C1C47">
            <w:r w:rsidRPr="004B5178">
              <w:t xml:space="preserve">NHS OF 2.1 Proportion of people feeling supported to manage their conditions </w:t>
            </w:r>
          </w:p>
        </w:tc>
      </w:tr>
      <w:tr w:rsidR="004B5178" w:rsidRPr="004B5178" w14:paraId="4CF4123C" w14:textId="77777777" w:rsidTr="00CB18A7">
        <w:tc>
          <w:tcPr>
            <w:tcW w:w="2839" w:type="dxa"/>
          </w:tcPr>
          <w:p w14:paraId="3BECD417" w14:textId="77777777" w:rsidR="000C1C47" w:rsidRPr="004B5178" w:rsidRDefault="000C1C47" w:rsidP="000C1C47">
            <w:r w:rsidRPr="004B5178">
              <w:t>Data source</w:t>
            </w:r>
          </w:p>
        </w:tc>
        <w:tc>
          <w:tcPr>
            <w:tcW w:w="12187" w:type="dxa"/>
          </w:tcPr>
          <w:p w14:paraId="07914688" w14:textId="77777777" w:rsidR="000C1C47" w:rsidRPr="004B5178" w:rsidRDefault="000C1C47" w:rsidP="000967BB">
            <w:pPr>
              <w:numPr>
                <w:ilvl w:val="0"/>
                <w:numId w:val="29"/>
              </w:numPr>
            </w:pPr>
            <w:r w:rsidRPr="004B5178">
              <w:rPr>
                <w:i/>
              </w:rPr>
              <w:t>GP Patient Survey (GPPS)</w:t>
            </w:r>
          </w:p>
          <w:p w14:paraId="6B4B9084" w14:textId="77777777" w:rsidR="000C1C47" w:rsidRPr="004B5178" w:rsidRDefault="000C1C47" w:rsidP="000C1C47"/>
        </w:tc>
      </w:tr>
      <w:tr w:rsidR="004B5178" w:rsidRPr="004B5178" w14:paraId="76B1A933" w14:textId="77777777" w:rsidTr="00CB18A7">
        <w:tc>
          <w:tcPr>
            <w:tcW w:w="2839" w:type="dxa"/>
          </w:tcPr>
          <w:p w14:paraId="4A6C726B" w14:textId="77777777" w:rsidR="000C1C47" w:rsidRPr="004B5178" w:rsidRDefault="000C1C47" w:rsidP="000C1C47">
            <w:r w:rsidRPr="004B5178">
              <w:t>Construction</w:t>
            </w:r>
          </w:p>
        </w:tc>
        <w:tc>
          <w:tcPr>
            <w:tcW w:w="12187" w:type="dxa"/>
          </w:tcPr>
          <w:p w14:paraId="3D6E5EEB" w14:textId="77777777" w:rsidR="000C1C47" w:rsidRPr="004B5178" w:rsidRDefault="000C1C47" w:rsidP="000C1C47">
            <w:r w:rsidRPr="004B5178">
              <w:t>No change</w:t>
            </w:r>
          </w:p>
          <w:p w14:paraId="4E3C345D" w14:textId="77777777" w:rsidR="000C1C47" w:rsidRPr="004B5178" w:rsidRDefault="000C1C47" w:rsidP="000C1C47"/>
        </w:tc>
      </w:tr>
      <w:tr w:rsidR="004B5178" w:rsidRPr="004B5178" w14:paraId="5D7F941F" w14:textId="77777777" w:rsidTr="00CB18A7">
        <w:tc>
          <w:tcPr>
            <w:tcW w:w="2839" w:type="dxa"/>
          </w:tcPr>
          <w:p w14:paraId="18B50C6E" w14:textId="77777777" w:rsidR="000C1C47" w:rsidRPr="004B5178" w:rsidRDefault="000C1C47" w:rsidP="000C1C47">
            <w:r w:rsidRPr="004B5178">
              <w:t>Updated Potential Issues</w:t>
            </w:r>
          </w:p>
        </w:tc>
        <w:tc>
          <w:tcPr>
            <w:tcW w:w="12187" w:type="dxa"/>
          </w:tcPr>
          <w:p w14:paraId="31DBD698" w14:textId="26F7546A" w:rsidR="000C1C47" w:rsidRPr="004B5178" w:rsidRDefault="000C1C47" w:rsidP="000C1C47">
            <w:r w:rsidRPr="004B5178">
              <w:t>No change</w:t>
            </w:r>
          </w:p>
          <w:p w14:paraId="59C45F0E" w14:textId="77777777" w:rsidR="000C1C47" w:rsidRPr="004B5178" w:rsidRDefault="000C1C47" w:rsidP="000C1C47"/>
        </w:tc>
      </w:tr>
    </w:tbl>
    <w:p w14:paraId="026242A8" w14:textId="77777777" w:rsidR="000C1C47" w:rsidRPr="004B5178" w:rsidRDefault="000C1C47" w:rsidP="000C1C47">
      <w:pPr>
        <w:ind w:left="-851"/>
      </w:pPr>
    </w:p>
    <w:p w14:paraId="0EA3CEE5" w14:textId="739B09E5" w:rsidR="000C1C47" w:rsidRPr="004B5178" w:rsidRDefault="000C1C47" w:rsidP="000C1C47">
      <w:pPr>
        <w:ind w:left="-851"/>
      </w:pPr>
    </w:p>
    <w:p w14:paraId="3D44F2F2" w14:textId="77777777" w:rsidR="000C1C47" w:rsidRPr="004B5178" w:rsidRDefault="000C1C47" w:rsidP="000C1C47">
      <w:pPr>
        <w:ind w:left="-851"/>
        <w:rPr>
          <w:b/>
        </w:rPr>
      </w:pPr>
      <w:r w:rsidRPr="004B5178">
        <w:rPr>
          <w:b/>
        </w:rPr>
        <w:t>Proposed Revision 5th October 2012</w:t>
      </w:r>
    </w:p>
    <w:p w14:paraId="192910E6" w14:textId="77777777" w:rsidR="000C1C47" w:rsidRPr="004B5178" w:rsidRDefault="000C1C47" w:rsidP="000C1C47">
      <w:pPr>
        <w:ind w:left="-851"/>
      </w:pPr>
    </w:p>
    <w:tbl>
      <w:tblPr>
        <w:tblStyle w:val="TableGrid"/>
        <w:tblW w:w="15026" w:type="dxa"/>
        <w:tblInd w:w="-714" w:type="dxa"/>
        <w:tblLayout w:type="fixed"/>
        <w:tblLook w:val="01E0" w:firstRow="1" w:lastRow="1" w:firstColumn="1" w:lastColumn="1" w:noHBand="0" w:noVBand="0"/>
      </w:tblPr>
      <w:tblGrid>
        <w:gridCol w:w="2839"/>
        <w:gridCol w:w="12187"/>
      </w:tblGrid>
      <w:tr w:rsidR="004B5178" w:rsidRPr="004B5178" w14:paraId="4638ED6E" w14:textId="77777777" w:rsidTr="00CB18A7">
        <w:tc>
          <w:tcPr>
            <w:tcW w:w="2839" w:type="dxa"/>
          </w:tcPr>
          <w:p w14:paraId="5779F902" w14:textId="77777777" w:rsidR="000C1C47" w:rsidRPr="004B5178" w:rsidRDefault="000C1C47" w:rsidP="000C1C47">
            <w:r w:rsidRPr="004B5178">
              <w:t>Revision Date:</w:t>
            </w:r>
          </w:p>
        </w:tc>
        <w:tc>
          <w:tcPr>
            <w:tcW w:w="12187" w:type="dxa"/>
          </w:tcPr>
          <w:p w14:paraId="7D529711" w14:textId="77777777" w:rsidR="000C1C47" w:rsidRPr="004B5178" w:rsidRDefault="000C1C47" w:rsidP="000C1C47">
            <w:r w:rsidRPr="004B5178">
              <w:t>5</w:t>
            </w:r>
            <w:r w:rsidRPr="004B5178">
              <w:rPr>
                <w:vertAlign w:val="superscript"/>
              </w:rPr>
              <w:t>th</w:t>
            </w:r>
            <w:r w:rsidRPr="004B5178">
              <w:t xml:space="preserve"> October 2012</w:t>
            </w:r>
          </w:p>
          <w:p w14:paraId="647A631B" w14:textId="77777777" w:rsidR="000C1C47" w:rsidRPr="004B5178" w:rsidRDefault="000C1C47" w:rsidP="000C1C47"/>
        </w:tc>
      </w:tr>
      <w:tr w:rsidR="00180212" w:rsidRPr="004B5178" w14:paraId="72F1BF67" w14:textId="77777777" w:rsidTr="00180212">
        <w:tc>
          <w:tcPr>
            <w:tcW w:w="2839" w:type="dxa"/>
          </w:tcPr>
          <w:p w14:paraId="075CDCFC" w14:textId="77777777" w:rsidR="00180212" w:rsidRPr="004B5178" w:rsidRDefault="00180212" w:rsidP="000C1C47"/>
        </w:tc>
        <w:tc>
          <w:tcPr>
            <w:tcW w:w="12187" w:type="dxa"/>
            <w:tcBorders>
              <w:bottom w:val="single" w:sz="4" w:space="0" w:color="auto"/>
            </w:tcBorders>
          </w:tcPr>
          <w:p w14:paraId="1096596F" w14:textId="77777777" w:rsidR="00180212" w:rsidRPr="004B5178" w:rsidRDefault="00180212" w:rsidP="000C1C47"/>
        </w:tc>
      </w:tr>
      <w:tr w:rsidR="004B5178" w:rsidRPr="004B5178" w14:paraId="251D17ED" w14:textId="77777777" w:rsidTr="00CB18A7">
        <w:tc>
          <w:tcPr>
            <w:tcW w:w="2839" w:type="dxa"/>
          </w:tcPr>
          <w:p w14:paraId="10F98103" w14:textId="77777777" w:rsidR="000C1C47" w:rsidRPr="004B5178" w:rsidRDefault="000C1C47" w:rsidP="000C1C47">
            <w:r w:rsidRPr="004B5178">
              <w:t>General Comments / Reasoning:</w:t>
            </w:r>
          </w:p>
        </w:tc>
        <w:tc>
          <w:tcPr>
            <w:tcW w:w="12187" w:type="dxa"/>
          </w:tcPr>
          <w:p w14:paraId="4ED700B8" w14:textId="77777777" w:rsidR="000C1C47" w:rsidRPr="004B5178" w:rsidRDefault="000C1C47" w:rsidP="000C1C47">
            <w:r w:rsidRPr="004B5178">
              <w:t>NEW UPDATE TO STANDARDISATION METHODOLOGY FOR:</w:t>
            </w:r>
          </w:p>
          <w:p w14:paraId="29436844" w14:textId="77777777" w:rsidR="000C1C47" w:rsidRPr="004B5178" w:rsidRDefault="000C1C47" w:rsidP="000C1C47"/>
          <w:p w14:paraId="1A03AEE1" w14:textId="77777777" w:rsidR="000C1C47" w:rsidRPr="004B5178" w:rsidRDefault="000C1C47" w:rsidP="000C1C47">
            <w:pPr>
              <w:jc w:val="both"/>
            </w:pPr>
            <w:r w:rsidRPr="004B5178">
              <w:t>NHSOF 2 – Health-related quality of life for people with long-term conditions</w:t>
            </w:r>
          </w:p>
          <w:p w14:paraId="1A58ADBB" w14:textId="77777777" w:rsidR="000C1C47" w:rsidRPr="004B5178" w:rsidRDefault="000C1C47" w:rsidP="000C1C47">
            <w:pPr>
              <w:jc w:val="both"/>
              <w:rPr>
                <w:b/>
              </w:rPr>
            </w:pPr>
            <w:r w:rsidRPr="004B5178">
              <w:rPr>
                <w:b/>
              </w:rPr>
              <w:t>NHSOF 2.1 – Proportion of people feeling supported to manage their condition</w:t>
            </w:r>
          </w:p>
          <w:p w14:paraId="570D970E" w14:textId="77777777" w:rsidR="000C1C47" w:rsidRPr="004B5178" w:rsidRDefault="000C1C47" w:rsidP="000C1C47">
            <w:pPr>
              <w:jc w:val="both"/>
            </w:pPr>
            <w:r w:rsidRPr="004B5178">
              <w:t>NHSOF 2.4 – Health-related quality of life for carers</w:t>
            </w:r>
          </w:p>
          <w:p w14:paraId="3F68CFCC" w14:textId="77777777" w:rsidR="000C1C47" w:rsidRPr="004B5178" w:rsidRDefault="000C1C47" w:rsidP="000C1C47"/>
          <w:p w14:paraId="32F8AB8A" w14:textId="77777777" w:rsidR="000C1C47" w:rsidRPr="004B5178" w:rsidRDefault="000C1C47" w:rsidP="000C1C47">
            <w:r w:rsidRPr="004B5178">
              <w:t>On the 9th August, MRG approved the indicators listed above for use in the NHS Outcomes Framework. However, the Department of Health is now proposing a revised approach to the standardisation methodology used within these indicators. A separate paper has been circulated outlining these changes (</w:t>
            </w:r>
            <w:r w:rsidRPr="004B5178">
              <w:rPr>
                <w:b/>
                <w:i/>
              </w:rPr>
              <w:t>Standardisation of GPPS LTC Indicators 2012_10_02 - Revision.doc</w:t>
            </w:r>
            <w:r w:rsidRPr="004B5178">
              <w:t>).</w:t>
            </w:r>
          </w:p>
          <w:p w14:paraId="08D98C3A" w14:textId="77777777" w:rsidR="000C1C47" w:rsidRPr="004B5178" w:rsidRDefault="000C1C47" w:rsidP="000C1C47"/>
          <w:p w14:paraId="0237EE4E" w14:textId="77777777" w:rsidR="00677C5A" w:rsidRPr="004B5178" w:rsidRDefault="000C1C47" w:rsidP="000C1C47">
            <w:r w:rsidRPr="004B5178">
              <w:t xml:space="preserve">The reason behind changing the methodology was due to fears that the groups would be too </w:t>
            </w:r>
            <w:r w:rsidR="00C36CDF" w:rsidRPr="004B5178">
              <w:t>large and</w:t>
            </w:r>
            <w:r w:rsidRPr="004B5178">
              <w:t xml:space="preserve"> would see respondents with a range of different conditions grouped together. Groups would be dependent on the patients 3 most serious LTCs. </w:t>
            </w:r>
            <w:r w:rsidR="00C36CDF" w:rsidRPr="004B5178">
              <w:t>So,</w:t>
            </w:r>
            <w:r w:rsidRPr="004B5178">
              <w:t xml:space="preserve"> where respondents have more than 3 LTCs, they could be grouped with individuals with different conditions (but at least 3 the same). </w:t>
            </w:r>
          </w:p>
          <w:p w14:paraId="2B03C1A1" w14:textId="77777777" w:rsidR="00677C5A" w:rsidRPr="004B5178" w:rsidRDefault="00677C5A" w:rsidP="000C1C47"/>
          <w:p w14:paraId="7B762CD4" w14:textId="77777777" w:rsidR="00677C5A" w:rsidRPr="004B5178" w:rsidRDefault="00677C5A" w:rsidP="000C1C47"/>
          <w:p w14:paraId="1F6E6F07" w14:textId="796E3867" w:rsidR="00677C5A" w:rsidRDefault="00677C5A" w:rsidP="000C1C47"/>
          <w:p w14:paraId="1476B5B7" w14:textId="2925EF58" w:rsidR="00CB18A7" w:rsidRDefault="00CB18A7" w:rsidP="000C1C47"/>
          <w:p w14:paraId="2F5BCFD9" w14:textId="7041793E" w:rsidR="00CB18A7" w:rsidRDefault="00CB18A7" w:rsidP="000C1C47"/>
          <w:p w14:paraId="1AD52F52" w14:textId="7F851090" w:rsidR="00CB18A7" w:rsidRDefault="00CB18A7" w:rsidP="000C1C47"/>
          <w:p w14:paraId="2ED951DC" w14:textId="62262DFA" w:rsidR="00CB18A7" w:rsidRDefault="00CB18A7" w:rsidP="000C1C47"/>
          <w:p w14:paraId="6DBEAD7A" w14:textId="47122378" w:rsidR="00CB18A7" w:rsidRDefault="00CB18A7" w:rsidP="000C1C47"/>
          <w:p w14:paraId="1DE7A011" w14:textId="77777777" w:rsidR="00CB18A7" w:rsidRPr="004B5178" w:rsidRDefault="00CB18A7" w:rsidP="000C1C47"/>
          <w:p w14:paraId="025C5FA9" w14:textId="77777777" w:rsidR="00677C5A" w:rsidRPr="004B5178" w:rsidRDefault="00677C5A" w:rsidP="000C1C47"/>
          <w:p w14:paraId="0CA2A9A2" w14:textId="77777777" w:rsidR="00677C5A" w:rsidRPr="004B5178" w:rsidRDefault="00677C5A" w:rsidP="000C1C47"/>
          <w:p w14:paraId="119DE2F8" w14:textId="77777777" w:rsidR="00677C5A" w:rsidRPr="004B5178" w:rsidRDefault="00677C5A" w:rsidP="000C1C47"/>
          <w:p w14:paraId="6934274D" w14:textId="77777777" w:rsidR="00677C5A" w:rsidRPr="004B5178" w:rsidRDefault="00677C5A" w:rsidP="000C1C47"/>
          <w:p w14:paraId="45F60D8B" w14:textId="77777777" w:rsidR="00677C5A" w:rsidRPr="004B5178" w:rsidRDefault="00677C5A" w:rsidP="000C1C47"/>
          <w:p w14:paraId="40744E96" w14:textId="77777777" w:rsidR="00677C5A" w:rsidRPr="004B5178" w:rsidRDefault="00677C5A" w:rsidP="000C1C47"/>
          <w:p w14:paraId="5DF86B73" w14:textId="77777777" w:rsidR="00677C5A" w:rsidRPr="004B5178" w:rsidRDefault="00677C5A" w:rsidP="000C1C47"/>
          <w:p w14:paraId="1CE53E4D" w14:textId="48F79ABF" w:rsidR="000C1C47" w:rsidRPr="004B5178" w:rsidRDefault="000C1C47" w:rsidP="000C1C47">
            <w:r w:rsidRPr="004B5178">
              <w:t>A table showing the number of LTCs patients reported is captured below. Over 75% of respondents fall into groups with 2 or less LTCs. Out of the patients who would be in the groups with 3 or more LTCs, 58% have exactly 3 LTCs.</w:t>
            </w:r>
          </w:p>
          <w:p w14:paraId="2193D06A" w14:textId="2BECE24C" w:rsidR="000C1C47" w:rsidRDefault="000C1C47" w:rsidP="000C1C47"/>
          <w:p w14:paraId="35B0BEEE" w14:textId="58998A73" w:rsidR="00180212" w:rsidRDefault="00180212" w:rsidP="000C1C47"/>
          <w:p w14:paraId="31248718" w14:textId="465C92DE" w:rsidR="00180212" w:rsidRPr="004B5178" w:rsidRDefault="00180212" w:rsidP="00180212">
            <w:pPr>
              <w:rPr>
                <w:b/>
                <w:bCs/>
              </w:rPr>
            </w:pPr>
            <w:r w:rsidRPr="004B5178">
              <w:rPr>
                <w:b/>
                <w:bCs/>
              </w:rPr>
              <w:t>Number of LTCs</w:t>
            </w:r>
            <w:r>
              <w:rPr>
                <w:b/>
                <w:bCs/>
              </w:rPr>
              <w:t xml:space="preserve">              </w:t>
            </w:r>
            <w:r w:rsidRPr="004B5178">
              <w:rPr>
                <w:b/>
                <w:bCs/>
              </w:rPr>
              <w:t>Count</w:t>
            </w:r>
            <w:r>
              <w:rPr>
                <w:b/>
                <w:bCs/>
              </w:rPr>
              <w:t xml:space="preserve"> </w:t>
            </w:r>
            <w:r w:rsidRPr="004B5178">
              <w:rPr>
                <w:b/>
                <w:bCs/>
              </w:rPr>
              <w:t xml:space="preserve">12368 </w:t>
            </w:r>
            <w:r>
              <w:rPr>
                <w:b/>
                <w:bCs/>
              </w:rPr>
              <w:t xml:space="preserve">                    </w:t>
            </w:r>
            <w:r w:rsidRPr="004B5178">
              <w:rPr>
                <w:b/>
                <w:bCs/>
              </w:rPr>
              <w:t>Percentage</w:t>
            </w:r>
            <w:r>
              <w:rPr>
                <w:b/>
                <w:bCs/>
              </w:rPr>
              <w:t xml:space="preserve"> </w:t>
            </w:r>
            <w:r w:rsidRPr="004B5178">
              <w:rPr>
                <w:b/>
                <w:bCs/>
              </w:rPr>
              <w:t>1.998245</w:t>
            </w:r>
          </w:p>
          <w:p w14:paraId="15613D64" w14:textId="18F46267" w:rsidR="00180212" w:rsidRDefault="00180212" w:rsidP="00180212">
            <w:pPr>
              <w:rPr>
                <w:b/>
                <w:bCs/>
              </w:rPr>
            </w:pPr>
            <w:r w:rsidRPr="004B5178">
              <w:rPr>
                <w:b/>
                <w:bCs/>
              </w:rPr>
              <w:t>Non recorded</w:t>
            </w:r>
          </w:p>
          <w:p w14:paraId="726FC489" w14:textId="44D3A1AC" w:rsidR="00F3578B" w:rsidRDefault="00F3578B" w:rsidP="00180212">
            <w:pPr>
              <w:rPr>
                <w:b/>
                <w:bCs/>
              </w:rPr>
            </w:pPr>
          </w:p>
          <w:p w14:paraId="69555754" w14:textId="508E5647" w:rsidR="00F3578B" w:rsidRPr="00F3578B" w:rsidRDefault="00F3578B" w:rsidP="00F3578B">
            <w:pPr>
              <w:rPr>
                <w:b/>
                <w:bCs/>
              </w:rPr>
            </w:pPr>
            <w:r w:rsidRPr="00F3578B">
              <w:rPr>
                <w:b/>
                <w:bCs/>
              </w:rPr>
              <w:t>1</w:t>
            </w:r>
            <w:r w:rsidRPr="00F3578B">
              <w:rPr>
                <w:b/>
                <w:bCs/>
              </w:rPr>
              <w:tab/>
            </w:r>
            <w:r>
              <w:rPr>
                <w:b/>
                <w:bCs/>
              </w:rPr>
              <w:t xml:space="preserve">                                    </w:t>
            </w:r>
            <w:r w:rsidRPr="00F3578B">
              <w:rPr>
                <w:b/>
                <w:bCs/>
              </w:rPr>
              <w:t>324251</w:t>
            </w:r>
            <w:r w:rsidRPr="00F3578B">
              <w:rPr>
                <w:b/>
                <w:bCs/>
              </w:rPr>
              <w:tab/>
            </w:r>
            <w:r>
              <w:rPr>
                <w:b/>
                <w:bCs/>
              </w:rPr>
              <w:t xml:space="preserve">                     </w:t>
            </w:r>
            <w:r w:rsidRPr="00F3578B">
              <w:rPr>
                <w:b/>
                <w:bCs/>
              </w:rPr>
              <w:t>52.38786</w:t>
            </w:r>
          </w:p>
          <w:p w14:paraId="0A041313" w14:textId="7DFCD45A" w:rsidR="00F3578B" w:rsidRPr="00F3578B" w:rsidRDefault="00F3578B" w:rsidP="00F3578B">
            <w:pPr>
              <w:rPr>
                <w:b/>
                <w:bCs/>
              </w:rPr>
            </w:pPr>
            <w:r w:rsidRPr="00F3578B">
              <w:rPr>
                <w:b/>
                <w:bCs/>
              </w:rPr>
              <w:t>2</w:t>
            </w:r>
            <w:r w:rsidRPr="00F3578B">
              <w:rPr>
                <w:b/>
                <w:bCs/>
              </w:rPr>
              <w:tab/>
            </w:r>
            <w:r>
              <w:rPr>
                <w:b/>
                <w:bCs/>
              </w:rPr>
              <w:t xml:space="preserve">                                    </w:t>
            </w:r>
            <w:r w:rsidRPr="00F3578B">
              <w:rPr>
                <w:b/>
                <w:bCs/>
              </w:rPr>
              <w:t>153708</w:t>
            </w:r>
            <w:r w:rsidRPr="00F3578B">
              <w:rPr>
                <w:b/>
                <w:bCs/>
              </w:rPr>
              <w:tab/>
            </w:r>
            <w:r>
              <w:rPr>
                <w:b/>
                <w:bCs/>
              </w:rPr>
              <w:t xml:space="preserve">                     </w:t>
            </w:r>
            <w:r w:rsidRPr="00F3578B">
              <w:rPr>
                <w:b/>
                <w:bCs/>
              </w:rPr>
              <w:t>24.83395</w:t>
            </w:r>
          </w:p>
          <w:p w14:paraId="595C8669" w14:textId="6B95C073" w:rsidR="00F3578B" w:rsidRPr="00F3578B" w:rsidRDefault="00F3578B" w:rsidP="00F3578B">
            <w:pPr>
              <w:rPr>
                <w:b/>
                <w:bCs/>
              </w:rPr>
            </w:pPr>
            <w:r w:rsidRPr="00F3578B">
              <w:rPr>
                <w:b/>
                <w:bCs/>
              </w:rPr>
              <w:t>3</w:t>
            </w:r>
            <w:r w:rsidRPr="00F3578B">
              <w:rPr>
                <w:b/>
                <w:bCs/>
              </w:rPr>
              <w:tab/>
            </w:r>
            <w:r>
              <w:rPr>
                <w:b/>
                <w:bCs/>
              </w:rPr>
              <w:t xml:space="preserve">                                    </w:t>
            </w:r>
            <w:r w:rsidRPr="00F3578B">
              <w:rPr>
                <w:b/>
                <w:bCs/>
              </w:rPr>
              <w:t>74917</w:t>
            </w:r>
            <w:r>
              <w:rPr>
                <w:b/>
                <w:bCs/>
              </w:rPr>
              <w:t xml:space="preserve">                                  </w:t>
            </w:r>
            <w:r w:rsidRPr="00F3578B">
              <w:rPr>
                <w:b/>
                <w:bCs/>
              </w:rPr>
              <w:t>12.10402</w:t>
            </w:r>
          </w:p>
          <w:p w14:paraId="4D9D4110" w14:textId="6D8B7884" w:rsidR="00F3578B" w:rsidRPr="00F3578B" w:rsidRDefault="00F3578B" w:rsidP="00F3578B">
            <w:pPr>
              <w:rPr>
                <w:b/>
                <w:bCs/>
              </w:rPr>
            </w:pPr>
            <w:r w:rsidRPr="00F3578B">
              <w:rPr>
                <w:b/>
                <w:bCs/>
              </w:rPr>
              <w:t>4</w:t>
            </w:r>
            <w:r w:rsidRPr="00F3578B">
              <w:rPr>
                <w:b/>
                <w:bCs/>
              </w:rPr>
              <w:tab/>
            </w:r>
            <w:r>
              <w:rPr>
                <w:b/>
                <w:bCs/>
              </w:rPr>
              <w:t xml:space="preserve">                                    </w:t>
            </w:r>
            <w:r w:rsidRPr="00F3578B">
              <w:rPr>
                <w:b/>
                <w:bCs/>
              </w:rPr>
              <w:t>33270</w:t>
            </w:r>
            <w:r w:rsidRPr="00F3578B">
              <w:rPr>
                <w:b/>
                <w:bCs/>
              </w:rPr>
              <w:tab/>
            </w:r>
            <w:r>
              <w:rPr>
                <w:b/>
                <w:bCs/>
              </w:rPr>
              <w:t xml:space="preserve">                                 </w:t>
            </w:r>
            <w:r w:rsidRPr="00F3578B">
              <w:rPr>
                <w:b/>
                <w:bCs/>
              </w:rPr>
              <w:t>5.375293</w:t>
            </w:r>
          </w:p>
          <w:p w14:paraId="24D5D144" w14:textId="6DBF6ACE" w:rsidR="00F3578B" w:rsidRPr="00F3578B" w:rsidRDefault="00F3578B" w:rsidP="00F3578B">
            <w:pPr>
              <w:rPr>
                <w:b/>
                <w:bCs/>
              </w:rPr>
            </w:pPr>
            <w:r w:rsidRPr="00F3578B">
              <w:rPr>
                <w:b/>
                <w:bCs/>
              </w:rPr>
              <w:t>5</w:t>
            </w:r>
            <w:r w:rsidRPr="00F3578B">
              <w:rPr>
                <w:b/>
                <w:bCs/>
              </w:rPr>
              <w:tab/>
            </w:r>
            <w:r>
              <w:rPr>
                <w:b/>
                <w:bCs/>
              </w:rPr>
              <w:t xml:space="preserve">                                    </w:t>
            </w:r>
            <w:r w:rsidRPr="00F3578B">
              <w:rPr>
                <w:b/>
                <w:bCs/>
              </w:rPr>
              <w:t>13162</w:t>
            </w:r>
            <w:r>
              <w:rPr>
                <w:b/>
                <w:bCs/>
              </w:rPr>
              <w:t xml:space="preserve">                                  </w:t>
            </w:r>
            <w:r w:rsidRPr="00F3578B">
              <w:rPr>
                <w:b/>
                <w:bCs/>
              </w:rPr>
              <w:t>2.126529</w:t>
            </w:r>
          </w:p>
          <w:p w14:paraId="39C9D7FF" w14:textId="0D36C945" w:rsidR="00F3578B" w:rsidRPr="00F3578B" w:rsidRDefault="00F3578B" w:rsidP="00F3578B">
            <w:pPr>
              <w:rPr>
                <w:b/>
                <w:bCs/>
              </w:rPr>
            </w:pPr>
            <w:r w:rsidRPr="00F3578B">
              <w:rPr>
                <w:b/>
                <w:bCs/>
              </w:rPr>
              <w:t>6</w:t>
            </w:r>
            <w:r w:rsidRPr="00F3578B">
              <w:rPr>
                <w:b/>
                <w:bCs/>
              </w:rPr>
              <w:tab/>
            </w:r>
            <w:r>
              <w:rPr>
                <w:b/>
                <w:bCs/>
              </w:rPr>
              <w:t xml:space="preserve">                                    </w:t>
            </w:r>
            <w:r w:rsidRPr="00F3578B">
              <w:rPr>
                <w:b/>
                <w:bCs/>
              </w:rPr>
              <w:t>4851</w:t>
            </w:r>
            <w:r w:rsidRPr="00F3578B">
              <w:rPr>
                <w:b/>
                <w:bCs/>
              </w:rPr>
              <w:tab/>
            </w:r>
            <w:r>
              <w:rPr>
                <w:b/>
                <w:bCs/>
              </w:rPr>
              <w:t xml:space="preserve">                                 </w:t>
            </w:r>
            <w:r w:rsidRPr="00F3578B">
              <w:rPr>
                <w:b/>
                <w:bCs/>
              </w:rPr>
              <w:t>0.783756</w:t>
            </w:r>
          </w:p>
          <w:p w14:paraId="0F70379E" w14:textId="00BB67ED" w:rsidR="00F3578B" w:rsidRPr="00F3578B" w:rsidRDefault="00F3578B" w:rsidP="00F3578B">
            <w:pPr>
              <w:rPr>
                <w:b/>
                <w:bCs/>
              </w:rPr>
            </w:pPr>
            <w:r w:rsidRPr="00F3578B">
              <w:rPr>
                <w:b/>
                <w:bCs/>
              </w:rPr>
              <w:t>7</w:t>
            </w:r>
            <w:r w:rsidRPr="00F3578B">
              <w:rPr>
                <w:b/>
                <w:bCs/>
              </w:rPr>
              <w:tab/>
            </w:r>
            <w:r>
              <w:rPr>
                <w:b/>
                <w:bCs/>
              </w:rPr>
              <w:t xml:space="preserve">                                    </w:t>
            </w:r>
            <w:r w:rsidRPr="00F3578B">
              <w:rPr>
                <w:b/>
                <w:bCs/>
              </w:rPr>
              <w:t>1620</w:t>
            </w:r>
            <w:r w:rsidRPr="00F3578B">
              <w:rPr>
                <w:b/>
                <w:bCs/>
              </w:rPr>
              <w:tab/>
            </w:r>
            <w:r>
              <w:rPr>
                <w:b/>
                <w:bCs/>
              </w:rPr>
              <w:t xml:space="preserve">                                 </w:t>
            </w:r>
            <w:r w:rsidRPr="00F3578B">
              <w:rPr>
                <w:b/>
                <w:bCs/>
              </w:rPr>
              <w:t>0.261737</w:t>
            </w:r>
          </w:p>
          <w:p w14:paraId="5F12640A" w14:textId="0DA45654" w:rsidR="00F3578B" w:rsidRPr="00F3578B" w:rsidRDefault="00F3578B" w:rsidP="00F3578B">
            <w:pPr>
              <w:rPr>
                <w:b/>
                <w:bCs/>
              </w:rPr>
            </w:pPr>
            <w:r w:rsidRPr="00F3578B">
              <w:rPr>
                <w:b/>
                <w:bCs/>
              </w:rPr>
              <w:t>8</w:t>
            </w:r>
            <w:r w:rsidRPr="00F3578B">
              <w:rPr>
                <w:b/>
                <w:bCs/>
              </w:rPr>
              <w:tab/>
            </w:r>
            <w:r>
              <w:rPr>
                <w:b/>
                <w:bCs/>
              </w:rPr>
              <w:t xml:space="preserve">                                    </w:t>
            </w:r>
            <w:r w:rsidRPr="00F3578B">
              <w:rPr>
                <w:b/>
                <w:bCs/>
              </w:rPr>
              <w:t>474</w:t>
            </w:r>
            <w:r w:rsidRPr="00F3578B">
              <w:rPr>
                <w:b/>
                <w:bCs/>
              </w:rPr>
              <w:tab/>
            </w:r>
            <w:r>
              <w:rPr>
                <w:b/>
                <w:bCs/>
              </w:rPr>
              <w:t xml:space="preserve">                                 </w:t>
            </w:r>
            <w:r w:rsidRPr="00F3578B">
              <w:rPr>
                <w:b/>
                <w:bCs/>
              </w:rPr>
              <w:t>0.076582</w:t>
            </w:r>
          </w:p>
          <w:p w14:paraId="5F94C3F3" w14:textId="309222C7" w:rsidR="00F3578B" w:rsidRPr="00F3578B" w:rsidRDefault="00F3578B" w:rsidP="00F3578B">
            <w:pPr>
              <w:rPr>
                <w:b/>
                <w:bCs/>
              </w:rPr>
            </w:pPr>
            <w:r w:rsidRPr="00F3578B">
              <w:rPr>
                <w:b/>
                <w:bCs/>
              </w:rPr>
              <w:t>9</w:t>
            </w:r>
            <w:r w:rsidRPr="00F3578B">
              <w:rPr>
                <w:b/>
                <w:bCs/>
              </w:rPr>
              <w:tab/>
            </w:r>
            <w:r>
              <w:rPr>
                <w:b/>
                <w:bCs/>
              </w:rPr>
              <w:t xml:space="preserve">                                    </w:t>
            </w:r>
            <w:r w:rsidRPr="00F3578B">
              <w:rPr>
                <w:b/>
                <w:bCs/>
              </w:rPr>
              <w:t>127</w:t>
            </w:r>
            <w:r w:rsidRPr="00F3578B">
              <w:rPr>
                <w:b/>
                <w:bCs/>
              </w:rPr>
              <w:tab/>
            </w:r>
            <w:r>
              <w:rPr>
                <w:b/>
                <w:bCs/>
              </w:rPr>
              <w:t xml:space="preserve">                                 </w:t>
            </w:r>
            <w:r w:rsidRPr="00F3578B">
              <w:rPr>
                <w:b/>
                <w:bCs/>
              </w:rPr>
              <w:t>0.020519</w:t>
            </w:r>
          </w:p>
          <w:p w14:paraId="692E25D4" w14:textId="4881868F" w:rsidR="00F3578B" w:rsidRPr="00F3578B" w:rsidRDefault="00F3578B" w:rsidP="00F3578B">
            <w:pPr>
              <w:rPr>
                <w:b/>
                <w:bCs/>
              </w:rPr>
            </w:pPr>
            <w:r w:rsidRPr="00F3578B">
              <w:rPr>
                <w:b/>
                <w:bCs/>
              </w:rPr>
              <w:t>10</w:t>
            </w:r>
            <w:r w:rsidRPr="00F3578B">
              <w:rPr>
                <w:b/>
                <w:bCs/>
              </w:rPr>
              <w:tab/>
            </w:r>
            <w:r>
              <w:rPr>
                <w:b/>
                <w:bCs/>
              </w:rPr>
              <w:t xml:space="preserve">                                    </w:t>
            </w:r>
            <w:r w:rsidRPr="00F3578B">
              <w:rPr>
                <w:b/>
                <w:bCs/>
              </w:rPr>
              <w:t>43</w:t>
            </w:r>
            <w:r w:rsidRPr="00F3578B">
              <w:rPr>
                <w:b/>
                <w:bCs/>
              </w:rPr>
              <w:tab/>
            </w:r>
            <w:r>
              <w:rPr>
                <w:b/>
                <w:bCs/>
              </w:rPr>
              <w:t xml:space="preserve">                                 </w:t>
            </w:r>
            <w:r w:rsidRPr="00F3578B">
              <w:rPr>
                <w:b/>
                <w:bCs/>
              </w:rPr>
              <w:t>0.006947</w:t>
            </w:r>
          </w:p>
          <w:p w14:paraId="2A6E2D14" w14:textId="2E74A596" w:rsidR="00F3578B" w:rsidRPr="00F3578B" w:rsidRDefault="00F3578B" w:rsidP="00F3578B">
            <w:pPr>
              <w:rPr>
                <w:b/>
                <w:bCs/>
              </w:rPr>
            </w:pPr>
            <w:r w:rsidRPr="00F3578B">
              <w:rPr>
                <w:b/>
                <w:bCs/>
              </w:rPr>
              <w:t>11</w:t>
            </w:r>
            <w:r w:rsidRPr="00F3578B">
              <w:rPr>
                <w:b/>
                <w:bCs/>
              </w:rPr>
              <w:tab/>
            </w:r>
            <w:r>
              <w:rPr>
                <w:b/>
                <w:bCs/>
              </w:rPr>
              <w:t xml:space="preserve">                                    </w:t>
            </w:r>
            <w:r w:rsidRPr="00F3578B">
              <w:rPr>
                <w:b/>
                <w:bCs/>
              </w:rPr>
              <w:t>18</w:t>
            </w:r>
            <w:r>
              <w:rPr>
                <w:b/>
                <w:bCs/>
              </w:rPr>
              <w:t xml:space="preserve">                                        </w:t>
            </w:r>
            <w:r w:rsidRPr="00F3578B">
              <w:rPr>
                <w:b/>
                <w:bCs/>
              </w:rPr>
              <w:t>0.002908</w:t>
            </w:r>
          </w:p>
          <w:p w14:paraId="5FC423CB" w14:textId="76667129" w:rsidR="00F3578B" w:rsidRPr="00F3578B" w:rsidRDefault="00F3578B" w:rsidP="00F3578B">
            <w:pPr>
              <w:rPr>
                <w:b/>
                <w:bCs/>
              </w:rPr>
            </w:pPr>
            <w:r w:rsidRPr="00F3578B">
              <w:rPr>
                <w:b/>
                <w:bCs/>
              </w:rPr>
              <w:t>12</w:t>
            </w:r>
            <w:r w:rsidRPr="00F3578B">
              <w:rPr>
                <w:b/>
                <w:bCs/>
              </w:rPr>
              <w:tab/>
            </w:r>
            <w:r>
              <w:rPr>
                <w:b/>
                <w:bCs/>
              </w:rPr>
              <w:t xml:space="preserve">                                    </w:t>
            </w:r>
            <w:r w:rsidRPr="00F3578B">
              <w:rPr>
                <w:b/>
                <w:bCs/>
              </w:rPr>
              <w:t>3</w:t>
            </w:r>
            <w:r>
              <w:rPr>
                <w:b/>
                <w:bCs/>
              </w:rPr>
              <w:t xml:space="preserve">                                          </w:t>
            </w:r>
            <w:r w:rsidRPr="00F3578B">
              <w:rPr>
                <w:b/>
                <w:bCs/>
              </w:rPr>
              <w:t>0.000485</w:t>
            </w:r>
          </w:p>
          <w:p w14:paraId="029E0030" w14:textId="1DD8ABCD" w:rsidR="00F3578B" w:rsidRPr="00F3578B" w:rsidRDefault="00F3578B" w:rsidP="00F3578B">
            <w:pPr>
              <w:rPr>
                <w:b/>
                <w:bCs/>
              </w:rPr>
            </w:pPr>
            <w:r w:rsidRPr="00F3578B">
              <w:rPr>
                <w:b/>
                <w:bCs/>
              </w:rPr>
              <w:t>13</w:t>
            </w:r>
            <w:r w:rsidRPr="00F3578B">
              <w:rPr>
                <w:b/>
                <w:bCs/>
              </w:rPr>
              <w:tab/>
            </w:r>
            <w:r>
              <w:rPr>
                <w:b/>
                <w:bCs/>
              </w:rPr>
              <w:t xml:space="preserve">                                    </w:t>
            </w:r>
            <w:r w:rsidRPr="00F3578B">
              <w:rPr>
                <w:b/>
                <w:bCs/>
              </w:rPr>
              <w:t>10</w:t>
            </w:r>
            <w:r w:rsidRPr="00F3578B">
              <w:rPr>
                <w:b/>
                <w:bCs/>
              </w:rPr>
              <w:tab/>
            </w:r>
            <w:r>
              <w:rPr>
                <w:b/>
                <w:bCs/>
              </w:rPr>
              <w:t xml:space="preserve">                                 </w:t>
            </w:r>
            <w:r w:rsidRPr="00F3578B">
              <w:rPr>
                <w:b/>
                <w:bCs/>
              </w:rPr>
              <w:t>0.001616</w:t>
            </w:r>
          </w:p>
          <w:p w14:paraId="0279D1F6" w14:textId="6F9E3DE2" w:rsidR="00F3578B" w:rsidRPr="00F3578B" w:rsidRDefault="00F3578B" w:rsidP="00F3578B">
            <w:pPr>
              <w:rPr>
                <w:b/>
                <w:bCs/>
              </w:rPr>
            </w:pPr>
            <w:r w:rsidRPr="00F3578B">
              <w:rPr>
                <w:b/>
                <w:bCs/>
              </w:rPr>
              <w:t>14</w:t>
            </w:r>
            <w:r w:rsidRPr="00F3578B">
              <w:rPr>
                <w:b/>
                <w:bCs/>
              </w:rPr>
              <w:tab/>
            </w:r>
            <w:r>
              <w:rPr>
                <w:b/>
                <w:bCs/>
              </w:rPr>
              <w:t xml:space="preserve">                                    </w:t>
            </w:r>
            <w:r w:rsidRPr="00F3578B">
              <w:rPr>
                <w:b/>
                <w:bCs/>
              </w:rPr>
              <w:t>15</w:t>
            </w:r>
            <w:r w:rsidRPr="00F3578B">
              <w:rPr>
                <w:b/>
                <w:bCs/>
              </w:rPr>
              <w:tab/>
            </w:r>
            <w:r>
              <w:rPr>
                <w:b/>
                <w:bCs/>
              </w:rPr>
              <w:t xml:space="preserve">                                 </w:t>
            </w:r>
            <w:r w:rsidRPr="00F3578B">
              <w:rPr>
                <w:b/>
                <w:bCs/>
              </w:rPr>
              <w:t>0.002423</w:t>
            </w:r>
          </w:p>
          <w:p w14:paraId="16787768" w14:textId="69BA3A07" w:rsidR="00F3578B" w:rsidRPr="00F3578B" w:rsidRDefault="00F3578B" w:rsidP="00F3578B">
            <w:pPr>
              <w:rPr>
                <w:b/>
                <w:bCs/>
              </w:rPr>
            </w:pPr>
            <w:r w:rsidRPr="00F3578B">
              <w:rPr>
                <w:b/>
                <w:bCs/>
              </w:rPr>
              <w:t>15</w:t>
            </w:r>
            <w:r w:rsidRPr="00F3578B">
              <w:rPr>
                <w:b/>
                <w:bCs/>
              </w:rPr>
              <w:tab/>
            </w:r>
            <w:r>
              <w:rPr>
                <w:b/>
                <w:bCs/>
              </w:rPr>
              <w:t xml:space="preserve">                                    </w:t>
            </w:r>
            <w:r w:rsidRPr="00F3578B">
              <w:rPr>
                <w:b/>
                <w:bCs/>
              </w:rPr>
              <w:t>78</w:t>
            </w:r>
            <w:r w:rsidRPr="00F3578B">
              <w:rPr>
                <w:b/>
                <w:bCs/>
              </w:rPr>
              <w:tab/>
            </w:r>
            <w:r>
              <w:rPr>
                <w:b/>
                <w:bCs/>
              </w:rPr>
              <w:t xml:space="preserve">                                 </w:t>
            </w:r>
            <w:r w:rsidRPr="00F3578B">
              <w:rPr>
                <w:b/>
                <w:bCs/>
              </w:rPr>
              <w:t>0.012602</w:t>
            </w:r>
          </w:p>
          <w:p w14:paraId="05EE1E87" w14:textId="53725D86" w:rsidR="00F3578B" w:rsidRDefault="00F3578B" w:rsidP="00F3578B">
            <w:pPr>
              <w:rPr>
                <w:b/>
                <w:bCs/>
              </w:rPr>
            </w:pPr>
            <w:r w:rsidRPr="00F3578B">
              <w:rPr>
                <w:b/>
                <w:bCs/>
              </w:rPr>
              <w:t>16</w:t>
            </w:r>
            <w:r w:rsidRPr="00F3578B">
              <w:rPr>
                <w:b/>
                <w:bCs/>
              </w:rPr>
              <w:tab/>
            </w:r>
            <w:r>
              <w:rPr>
                <w:b/>
                <w:bCs/>
              </w:rPr>
              <w:t xml:space="preserve">                                    </w:t>
            </w:r>
            <w:r w:rsidRPr="00F3578B">
              <w:rPr>
                <w:b/>
                <w:bCs/>
              </w:rPr>
              <w:t>28</w:t>
            </w:r>
            <w:r w:rsidRPr="00F3578B">
              <w:rPr>
                <w:b/>
                <w:bCs/>
              </w:rPr>
              <w:tab/>
            </w:r>
            <w:r>
              <w:rPr>
                <w:b/>
                <w:bCs/>
              </w:rPr>
              <w:t xml:space="preserve">                                 </w:t>
            </w:r>
            <w:r w:rsidRPr="00F3578B">
              <w:rPr>
                <w:b/>
                <w:bCs/>
              </w:rPr>
              <w:t>0.004524</w:t>
            </w:r>
          </w:p>
          <w:p w14:paraId="2DC3784B" w14:textId="3EEAA977" w:rsidR="00F3578B" w:rsidRDefault="00F3578B" w:rsidP="00180212">
            <w:pPr>
              <w:rPr>
                <w:b/>
                <w:bCs/>
              </w:rPr>
            </w:pPr>
          </w:p>
          <w:p w14:paraId="4B741A5D" w14:textId="40243D59" w:rsidR="00F3578B" w:rsidRDefault="00F3578B" w:rsidP="00180212">
            <w:pPr>
              <w:rPr>
                <w:b/>
                <w:bCs/>
              </w:rPr>
            </w:pPr>
          </w:p>
          <w:p w14:paraId="495257D2" w14:textId="770000FB" w:rsidR="00F3578B" w:rsidRDefault="00F3578B" w:rsidP="00180212">
            <w:pPr>
              <w:rPr>
                <w:b/>
                <w:bCs/>
              </w:rPr>
            </w:pPr>
          </w:p>
          <w:p w14:paraId="56329A63" w14:textId="6E59B5E2" w:rsidR="00F3578B" w:rsidRDefault="00F3578B" w:rsidP="00180212">
            <w:pPr>
              <w:rPr>
                <w:b/>
                <w:bCs/>
              </w:rPr>
            </w:pPr>
          </w:p>
          <w:p w14:paraId="02A38ADA" w14:textId="57128876" w:rsidR="00F3578B" w:rsidRDefault="00F3578B" w:rsidP="00180212">
            <w:pPr>
              <w:rPr>
                <w:b/>
                <w:bCs/>
              </w:rPr>
            </w:pPr>
          </w:p>
          <w:p w14:paraId="7D0A0AB5" w14:textId="0549AB8E" w:rsidR="00F3578B" w:rsidRDefault="00F3578B" w:rsidP="00180212">
            <w:pPr>
              <w:rPr>
                <w:b/>
                <w:bCs/>
              </w:rPr>
            </w:pPr>
          </w:p>
          <w:p w14:paraId="76472C57" w14:textId="237D09EE" w:rsidR="00F3578B" w:rsidRDefault="00F3578B" w:rsidP="00180212">
            <w:pPr>
              <w:rPr>
                <w:b/>
                <w:bCs/>
              </w:rPr>
            </w:pPr>
          </w:p>
          <w:p w14:paraId="0EF2C0E9" w14:textId="11DF6F22" w:rsidR="00F3578B" w:rsidRDefault="00F3578B" w:rsidP="00180212">
            <w:pPr>
              <w:rPr>
                <w:b/>
                <w:bCs/>
              </w:rPr>
            </w:pPr>
          </w:p>
          <w:p w14:paraId="43B71F94" w14:textId="63433B64" w:rsidR="00F3578B" w:rsidRDefault="00F3578B" w:rsidP="00180212">
            <w:pPr>
              <w:rPr>
                <w:b/>
                <w:bCs/>
              </w:rPr>
            </w:pPr>
          </w:p>
          <w:p w14:paraId="254A683C" w14:textId="328D97C5" w:rsidR="00F3578B" w:rsidRDefault="00F3578B" w:rsidP="00180212">
            <w:pPr>
              <w:rPr>
                <w:b/>
                <w:bCs/>
              </w:rPr>
            </w:pPr>
          </w:p>
          <w:p w14:paraId="7D042F76" w14:textId="249DCC56" w:rsidR="00F3578B" w:rsidRDefault="00F3578B" w:rsidP="00180212">
            <w:pPr>
              <w:rPr>
                <w:b/>
                <w:bCs/>
              </w:rPr>
            </w:pPr>
          </w:p>
          <w:p w14:paraId="7223CD15" w14:textId="77777777" w:rsidR="000C1C47" w:rsidRPr="004B5178" w:rsidRDefault="000C1C47" w:rsidP="000C1C47">
            <w:r w:rsidRPr="004B5178">
              <w:t>The Clinical Indicators team feel there are significant issues with this proposed revision and particularly around the extremely large number of groups that this weighting methodology would involve. We would suggest reverting to the methodology previously approved by MRG.</w:t>
            </w:r>
          </w:p>
          <w:p w14:paraId="61877840" w14:textId="2BFEBED1" w:rsidR="00677C5A" w:rsidRPr="004B5178" w:rsidRDefault="00677C5A" w:rsidP="000C1C47"/>
        </w:tc>
      </w:tr>
      <w:tr w:rsidR="004B5178" w:rsidRPr="004B5178" w14:paraId="5DD36932" w14:textId="77777777" w:rsidTr="00CB18A7">
        <w:tc>
          <w:tcPr>
            <w:tcW w:w="2839" w:type="dxa"/>
          </w:tcPr>
          <w:p w14:paraId="682BAF6B" w14:textId="77777777" w:rsidR="000C1C47" w:rsidRPr="004B5178" w:rsidRDefault="000C1C47" w:rsidP="000C1C47">
            <w:r w:rsidRPr="004B5178">
              <w:lastRenderedPageBreak/>
              <w:t>Revisions:</w:t>
            </w:r>
          </w:p>
        </w:tc>
        <w:tc>
          <w:tcPr>
            <w:tcW w:w="12187" w:type="dxa"/>
          </w:tcPr>
          <w:p w14:paraId="6EF59148" w14:textId="77777777" w:rsidR="000C1C47" w:rsidRPr="004B5178" w:rsidRDefault="000C1C47" w:rsidP="000C1C47"/>
        </w:tc>
      </w:tr>
      <w:tr w:rsidR="004B5178" w:rsidRPr="004B5178" w14:paraId="2A586479" w14:textId="77777777" w:rsidTr="00CB18A7">
        <w:tc>
          <w:tcPr>
            <w:tcW w:w="2839" w:type="dxa"/>
          </w:tcPr>
          <w:p w14:paraId="12778EB0" w14:textId="77777777" w:rsidR="000C1C47" w:rsidRPr="004B5178" w:rsidRDefault="000C1C47" w:rsidP="000C1C47">
            <w:r w:rsidRPr="004B5178">
              <w:t>Indicator Title</w:t>
            </w:r>
          </w:p>
        </w:tc>
        <w:tc>
          <w:tcPr>
            <w:tcW w:w="12187" w:type="dxa"/>
          </w:tcPr>
          <w:p w14:paraId="0FA9C284" w14:textId="77777777" w:rsidR="000C1C47" w:rsidRPr="004B5178" w:rsidRDefault="000C1C47" w:rsidP="000C1C47">
            <w:r w:rsidRPr="004B5178">
              <w:t>None</w:t>
            </w:r>
          </w:p>
          <w:p w14:paraId="7E980DDA" w14:textId="77777777" w:rsidR="000C1C47" w:rsidRPr="004B5178" w:rsidRDefault="000C1C47" w:rsidP="000C1C47"/>
        </w:tc>
      </w:tr>
      <w:tr w:rsidR="004B5178" w:rsidRPr="004B5178" w14:paraId="19442758" w14:textId="77777777" w:rsidTr="00CB18A7">
        <w:tc>
          <w:tcPr>
            <w:tcW w:w="2839" w:type="dxa"/>
          </w:tcPr>
          <w:p w14:paraId="1C134E9A" w14:textId="77777777" w:rsidR="000C1C47" w:rsidRPr="004B5178" w:rsidRDefault="000C1C47" w:rsidP="000C1C47">
            <w:r w:rsidRPr="004B5178">
              <w:t>Data source</w:t>
            </w:r>
          </w:p>
        </w:tc>
        <w:tc>
          <w:tcPr>
            <w:tcW w:w="12187" w:type="dxa"/>
          </w:tcPr>
          <w:p w14:paraId="2BBB18DA" w14:textId="77777777" w:rsidR="000C1C47" w:rsidRPr="004B5178" w:rsidRDefault="000C1C47" w:rsidP="000C1C47">
            <w:r w:rsidRPr="004B5178">
              <w:t>None</w:t>
            </w:r>
          </w:p>
          <w:p w14:paraId="43B531CC" w14:textId="77777777" w:rsidR="000C1C47" w:rsidRPr="004B5178" w:rsidRDefault="000C1C47" w:rsidP="000C1C47"/>
        </w:tc>
      </w:tr>
      <w:tr w:rsidR="004B5178" w:rsidRPr="004B5178" w14:paraId="4FF4A3C1" w14:textId="77777777" w:rsidTr="00CB18A7">
        <w:tc>
          <w:tcPr>
            <w:tcW w:w="2839" w:type="dxa"/>
          </w:tcPr>
          <w:p w14:paraId="66A61257" w14:textId="77777777" w:rsidR="000C1C47" w:rsidRPr="004B5178" w:rsidRDefault="000C1C47" w:rsidP="000C1C47">
            <w:r w:rsidRPr="004B5178">
              <w:t>Construction</w:t>
            </w:r>
          </w:p>
        </w:tc>
        <w:tc>
          <w:tcPr>
            <w:tcW w:w="12187" w:type="dxa"/>
          </w:tcPr>
          <w:p w14:paraId="0C1A765D" w14:textId="77777777" w:rsidR="000C1C47" w:rsidRPr="004B5178" w:rsidRDefault="000C1C47" w:rsidP="000C1C47">
            <w:r w:rsidRPr="004B5178">
              <w:t xml:space="preserve">See paper </w:t>
            </w:r>
            <w:r w:rsidRPr="004B5178">
              <w:rPr>
                <w:i/>
              </w:rPr>
              <w:t>(Revised GPPS LTC Standardisation 02102012.doc).</w:t>
            </w:r>
          </w:p>
          <w:p w14:paraId="6E3B90B2" w14:textId="77777777" w:rsidR="000C1C47" w:rsidRPr="004B5178" w:rsidRDefault="000C1C47" w:rsidP="000C1C47"/>
          <w:p w14:paraId="4DA1B6F5" w14:textId="77777777" w:rsidR="000C1C47" w:rsidRPr="004B5178" w:rsidRDefault="000C1C47" w:rsidP="000C1C47"/>
        </w:tc>
      </w:tr>
      <w:tr w:rsidR="004B5178" w:rsidRPr="004B5178" w14:paraId="1A4CD4AF" w14:textId="77777777" w:rsidTr="00CB18A7">
        <w:tc>
          <w:tcPr>
            <w:tcW w:w="2839" w:type="dxa"/>
          </w:tcPr>
          <w:p w14:paraId="773AF947" w14:textId="77777777" w:rsidR="000C1C47" w:rsidRPr="004B5178" w:rsidRDefault="000C1C47" w:rsidP="000C1C47">
            <w:r w:rsidRPr="004B5178">
              <w:t>Updated Potential Issues</w:t>
            </w:r>
          </w:p>
        </w:tc>
        <w:tc>
          <w:tcPr>
            <w:tcW w:w="12187" w:type="dxa"/>
          </w:tcPr>
          <w:p w14:paraId="627707E2" w14:textId="77777777" w:rsidR="000C1C47" w:rsidRPr="004B5178" w:rsidRDefault="000C1C47" w:rsidP="000C1C47"/>
          <w:p w14:paraId="0B76524E" w14:textId="77777777" w:rsidR="000C1C47" w:rsidRPr="004B5178" w:rsidRDefault="000C1C47" w:rsidP="000C1C47"/>
          <w:p w14:paraId="55402EB6" w14:textId="77777777" w:rsidR="000C1C47" w:rsidRPr="004B5178" w:rsidRDefault="000C1C47" w:rsidP="000C1C47"/>
        </w:tc>
      </w:tr>
    </w:tbl>
    <w:p w14:paraId="7DB27DEF" w14:textId="77777777" w:rsidR="000C1C47" w:rsidRPr="004B5178" w:rsidRDefault="000C1C47" w:rsidP="000C1C47">
      <w:pPr>
        <w:ind w:left="-851"/>
      </w:pPr>
      <w:r w:rsidRPr="004B5178">
        <w:t>Recommendations, Comments &amp; Updates:</w:t>
      </w:r>
    </w:p>
    <w:p w14:paraId="43964172" w14:textId="77777777" w:rsidR="000C1C47" w:rsidRPr="004B5178" w:rsidRDefault="000C1C47" w:rsidP="000C1C47">
      <w:pPr>
        <w:ind w:left="-851"/>
      </w:pPr>
      <w:r w:rsidRPr="004B5178">
        <w:t>Following MRG appraisal 5</w:t>
      </w:r>
      <w:r w:rsidRPr="004B5178">
        <w:rPr>
          <w:vertAlign w:val="superscript"/>
        </w:rPr>
        <w:t>th</w:t>
      </w:r>
      <w:r w:rsidRPr="004B5178">
        <w:t xml:space="preserve"> October 2012</w:t>
      </w:r>
    </w:p>
    <w:p w14:paraId="7659838F" w14:textId="77777777" w:rsidR="000C1C47" w:rsidRPr="004B5178" w:rsidRDefault="000C1C47" w:rsidP="000C1C47">
      <w:pPr>
        <w:ind w:left="-567"/>
      </w:pPr>
    </w:p>
    <w:p w14:paraId="6318FA49" w14:textId="2500C6E5" w:rsidR="00CB18A7" w:rsidRDefault="00CB18A7">
      <w:r>
        <w:br w:type="page"/>
      </w:r>
    </w:p>
    <w:tbl>
      <w:tblPr>
        <w:tblStyle w:val="TableGrid"/>
        <w:tblW w:w="14743" w:type="dxa"/>
        <w:tblInd w:w="-714" w:type="dxa"/>
        <w:tblLayout w:type="fixed"/>
        <w:tblLook w:val="01E0" w:firstRow="1" w:lastRow="1" w:firstColumn="1" w:lastColumn="1" w:noHBand="0" w:noVBand="0"/>
      </w:tblPr>
      <w:tblGrid>
        <w:gridCol w:w="14743"/>
      </w:tblGrid>
      <w:tr w:rsidR="008A4F7F" w:rsidRPr="004B5178" w14:paraId="6E262769" w14:textId="77777777" w:rsidTr="0025757D">
        <w:trPr>
          <w:trHeight w:val="516"/>
        </w:trPr>
        <w:tc>
          <w:tcPr>
            <w:tcW w:w="14743" w:type="dxa"/>
          </w:tcPr>
          <w:p w14:paraId="6D824D9C" w14:textId="77777777" w:rsidR="008A4F7F" w:rsidRPr="004B5178" w:rsidRDefault="008A4F7F" w:rsidP="000C1C47">
            <w:pPr>
              <w:rPr>
                <w:b/>
              </w:rPr>
            </w:pPr>
            <w:r w:rsidRPr="004B5178">
              <w:rPr>
                <w:b/>
              </w:rPr>
              <w:lastRenderedPageBreak/>
              <w:t>Indicator Title</w:t>
            </w:r>
          </w:p>
          <w:p w14:paraId="42842917" w14:textId="3AE84352" w:rsidR="008A4F7F" w:rsidRPr="004B5178" w:rsidRDefault="008A4F7F" w:rsidP="000C1C47">
            <w:pPr>
              <w:rPr>
                <w:b/>
              </w:rPr>
            </w:pPr>
            <w:r w:rsidRPr="004B5178">
              <w:t>Indicator Set</w:t>
            </w:r>
          </w:p>
        </w:tc>
      </w:tr>
      <w:tr w:rsidR="008A4F7F" w:rsidRPr="004B5178" w14:paraId="402433FF" w14:textId="77777777" w:rsidTr="0025757D">
        <w:tc>
          <w:tcPr>
            <w:tcW w:w="14743" w:type="dxa"/>
          </w:tcPr>
          <w:p w14:paraId="6483E488" w14:textId="77777777" w:rsidR="008A4F7F" w:rsidRPr="004B5178" w:rsidRDefault="008A4F7F" w:rsidP="008A4F7F">
            <w:r w:rsidRPr="004B5178">
              <w:t>Ref code</w:t>
            </w:r>
          </w:p>
          <w:p w14:paraId="32E31325" w14:textId="77777777" w:rsidR="008A4F7F" w:rsidRPr="004B5178" w:rsidRDefault="008A4F7F" w:rsidP="008A4F7F">
            <w:pPr>
              <w:rPr>
                <w:b/>
              </w:rPr>
            </w:pPr>
            <w:r w:rsidRPr="004B5178">
              <w:rPr>
                <w:b/>
              </w:rPr>
              <w:t>2012/263</w:t>
            </w:r>
          </w:p>
          <w:p w14:paraId="4C622ED5" w14:textId="77777777" w:rsidR="008A4F7F" w:rsidRPr="004B5178" w:rsidRDefault="008A4F7F" w:rsidP="008A4F7F">
            <w:r w:rsidRPr="004B5178">
              <w:t>Made: 13/07/12</w:t>
            </w:r>
          </w:p>
          <w:p w14:paraId="6DAB8AA7" w14:textId="77777777" w:rsidR="008A4F7F" w:rsidRPr="004B5178" w:rsidRDefault="008A4F7F" w:rsidP="008A4F7F"/>
          <w:p w14:paraId="68F30A5F" w14:textId="77777777" w:rsidR="008A4F7F" w:rsidRPr="004B5178" w:rsidRDefault="008A4F7F" w:rsidP="008A4F7F">
            <w:r w:rsidRPr="004B5178">
              <w:t>Note – applies to NHSOF indicators 2, 2.1 &amp; 2.4</w:t>
            </w:r>
          </w:p>
          <w:p w14:paraId="4EE1D952" w14:textId="77777777" w:rsidR="008A4F7F" w:rsidRPr="004B5178" w:rsidRDefault="008A4F7F" w:rsidP="008A4F7F">
            <w:r w:rsidRPr="004B5178">
              <w:t xml:space="preserve">In response to methodological change proposed in paper </w:t>
            </w:r>
            <w:r w:rsidRPr="004B5178">
              <w:rPr>
                <w:i/>
              </w:rPr>
              <w:t>(Revised GPPS LTC Standardisation 02102012.doc).</w:t>
            </w:r>
          </w:p>
          <w:p w14:paraId="4054BD6E" w14:textId="77777777" w:rsidR="008A4F7F" w:rsidRPr="004B5178" w:rsidRDefault="008A4F7F" w:rsidP="008A4F7F">
            <w:r w:rsidRPr="004B5178">
              <w:t xml:space="preserve">MRG raised concern over the lack of hierarchy of conditions. Additionally, MRG’s view was that the proposed change to the more complex standardisation methodology meant that there was a big risk that model fitting would not converge when the indicator was constructed due to the very large number of parameters, and that it would be extremely difficult to determine why the model does not converge.  </w:t>
            </w:r>
          </w:p>
          <w:p w14:paraId="54B491E7" w14:textId="77777777" w:rsidR="008A4F7F" w:rsidRDefault="008A4F7F" w:rsidP="008A4F7F">
            <w:r w:rsidRPr="004B5178">
              <w:t>This has been an issue experienced with the development of SHMI which has a lot fewer variables than is being put forward.</w:t>
            </w:r>
          </w:p>
          <w:p w14:paraId="2BEE8960" w14:textId="77777777" w:rsidR="008A4F7F" w:rsidRDefault="008A4F7F" w:rsidP="008A4F7F"/>
          <w:p w14:paraId="7918FD37" w14:textId="77777777" w:rsidR="008A4F7F" w:rsidRDefault="008A4F7F" w:rsidP="008A4F7F">
            <w:r>
              <w:t>Concern was also raised that by using the methodology would result in a large number of zero cells which would result in an indicator that the user wouldn’t know how to interpret.</w:t>
            </w:r>
          </w:p>
          <w:p w14:paraId="4EB722E9" w14:textId="77777777" w:rsidR="008A4F7F" w:rsidRDefault="008A4F7F" w:rsidP="008A4F7F"/>
          <w:p w14:paraId="62C32F44" w14:textId="77777777" w:rsidR="008A4F7F" w:rsidRDefault="008A4F7F" w:rsidP="008A4F7F">
            <w:r>
              <w:t>MRG queried whether comparison to an unstandardised result would be help, as it cannot be assumed that if the adjusted and unadjusted values are similar the figures are therefore accurate or that the method is good – one can only infer that the people included or included had little effect.</w:t>
            </w:r>
          </w:p>
          <w:p w14:paraId="74F92FBF" w14:textId="77777777" w:rsidR="008A4F7F" w:rsidRDefault="008A4F7F" w:rsidP="008A4F7F"/>
          <w:p w14:paraId="16A9AFBF" w14:textId="77777777" w:rsidR="008A4F7F" w:rsidRDefault="008A4F7F" w:rsidP="008A4F7F">
            <w:r>
              <w:t xml:space="preserve">MRG recommended that as a general rule to see impact of people with LTC on outcomes the starting point should be using crude standardisation, with more refinement added if it is determined that the crude standardisation makes it hard to interpret results.  </w:t>
            </w:r>
          </w:p>
          <w:p w14:paraId="06C7E185" w14:textId="77777777" w:rsidR="008A4F7F" w:rsidRDefault="008A4F7F" w:rsidP="008A4F7F"/>
          <w:p w14:paraId="70C4920F" w14:textId="38640A5D" w:rsidR="008A4F7F" w:rsidRPr="004B5178" w:rsidRDefault="008A4F7F" w:rsidP="008A4F7F">
            <w:r>
              <w:t>MRG also suggested there was a need to go through the criteria being used for risk adjustment to demonstrate the validity of the moving from the current methodology which already includes sub dividing by the seriousness of the condition. Without doing this there is no justification for moving to the new methodology. This could be done following the criteria for risk adjustment in the Indicator Assurance appraisal template.</w:t>
            </w:r>
          </w:p>
        </w:tc>
      </w:tr>
      <w:tr w:rsidR="008A4F7F" w:rsidRPr="004B5178" w14:paraId="24DAA537" w14:textId="77777777" w:rsidTr="0025757D">
        <w:tc>
          <w:tcPr>
            <w:tcW w:w="14743" w:type="dxa"/>
          </w:tcPr>
          <w:p w14:paraId="439B8349" w14:textId="77777777" w:rsidR="008A4F7F" w:rsidRPr="004B5178" w:rsidRDefault="008A4F7F" w:rsidP="000C1C47">
            <w:r w:rsidRPr="004B5178">
              <w:t xml:space="preserve">Update: </w:t>
            </w:r>
          </w:p>
          <w:p w14:paraId="35D41948" w14:textId="40086A80" w:rsidR="008A4F7F" w:rsidRPr="004B5178" w:rsidRDefault="008A4F7F" w:rsidP="000C1C47">
            <w:pPr>
              <w:rPr>
                <w:b/>
              </w:rPr>
            </w:pPr>
            <w:r w:rsidRPr="004B5178">
              <w:t>Made: xx/xx/xx</w:t>
            </w:r>
          </w:p>
        </w:tc>
      </w:tr>
      <w:tr w:rsidR="008A4F7F" w:rsidRPr="004B5178" w14:paraId="5CD7E7AB" w14:textId="77777777" w:rsidTr="0025757D">
        <w:tc>
          <w:tcPr>
            <w:tcW w:w="14743" w:type="dxa"/>
          </w:tcPr>
          <w:p w14:paraId="2987B6E4" w14:textId="77777777" w:rsidR="008A4F7F" w:rsidRPr="004B5178" w:rsidRDefault="008A4F7F" w:rsidP="000C1C47">
            <w:r w:rsidRPr="004B5178">
              <w:t xml:space="preserve">Further Rec: </w:t>
            </w:r>
          </w:p>
          <w:p w14:paraId="68D8B656" w14:textId="1120BE83" w:rsidR="008A4F7F" w:rsidRPr="004B5178" w:rsidRDefault="008A4F7F" w:rsidP="008A4F7F">
            <w:pPr>
              <w:rPr>
                <w:b/>
              </w:rPr>
            </w:pPr>
            <w:r w:rsidRPr="004B5178">
              <w:t>Made: xx/xx/xx</w:t>
            </w:r>
          </w:p>
        </w:tc>
      </w:tr>
      <w:tr w:rsidR="008A4F7F" w:rsidRPr="004B5178" w14:paraId="16771BBC" w14:textId="77777777" w:rsidTr="0025757D">
        <w:tc>
          <w:tcPr>
            <w:tcW w:w="14743" w:type="dxa"/>
          </w:tcPr>
          <w:p w14:paraId="46E906D9" w14:textId="77777777" w:rsidR="008A4F7F" w:rsidRPr="004B5178" w:rsidRDefault="008A4F7F" w:rsidP="000C1C47">
            <w:r w:rsidRPr="004B5178">
              <w:t xml:space="preserve">Update: </w:t>
            </w:r>
          </w:p>
          <w:p w14:paraId="0460F3D6" w14:textId="56BCD366" w:rsidR="008A4F7F" w:rsidRPr="004B5178" w:rsidRDefault="008A4F7F" w:rsidP="008A4F7F">
            <w:pPr>
              <w:rPr>
                <w:b/>
              </w:rPr>
            </w:pPr>
            <w:r w:rsidRPr="004B5178">
              <w:t>Made: xx/xx/xx</w:t>
            </w:r>
          </w:p>
        </w:tc>
      </w:tr>
      <w:tr w:rsidR="008A4F7F" w:rsidRPr="004B5178" w14:paraId="624FD09F" w14:textId="77777777" w:rsidTr="0025757D">
        <w:tc>
          <w:tcPr>
            <w:tcW w:w="14743" w:type="dxa"/>
          </w:tcPr>
          <w:p w14:paraId="235BBD65" w14:textId="77777777" w:rsidR="008A4F7F" w:rsidRPr="004B5178" w:rsidRDefault="008A4F7F" w:rsidP="000C1C47">
            <w:r w:rsidRPr="004B5178">
              <w:t>Rec Status:</w:t>
            </w:r>
          </w:p>
          <w:p w14:paraId="27C78203" w14:textId="51B18C2F" w:rsidR="008A4F7F" w:rsidRPr="004B5178" w:rsidRDefault="008A4F7F" w:rsidP="00F3578B">
            <w:pPr>
              <w:rPr>
                <w:b/>
              </w:rPr>
            </w:pPr>
            <w:r w:rsidRPr="004B5178">
              <w:rPr>
                <w:b/>
              </w:rPr>
              <w:t xml:space="preserve">Further Information Required  </w:t>
            </w:r>
            <w:sdt>
              <w:sdtPr>
                <w:id w:val="-211815393"/>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40E668D0" w14:textId="3F57140C" w:rsidR="008A4F7F" w:rsidRPr="004B5178" w:rsidRDefault="008A4F7F" w:rsidP="00F3578B">
            <w:pPr>
              <w:rPr>
                <w:b/>
              </w:rPr>
            </w:pPr>
            <w:r w:rsidRPr="004B5178">
              <w:rPr>
                <w:b/>
              </w:rPr>
              <w:t>Resolved / No Action Required</w:t>
            </w:r>
            <w:r>
              <w:rPr>
                <w:b/>
              </w:rPr>
              <w:t xml:space="preserve"> </w:t>
            </w:r>
            <w:sdt>
              <w:sdtPr>
                <w:id w:val="-1208491085"/>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tc>
      </w:tr>
    </w:tbl>
    <w:p w14:paraId="2B035488" w14:textId="77777777" w:rsidR="000C1C47" w:rsidRPr="004B5178" w:rsidRDefault="000C1C47" w:rsidP="000C1C47">
      <w:pPr>
        <w:ind w:left="-540"/>
        <w:rPr>
          <w:b/>
        </w:rPr>
      </w:pPr>
    </w:p>
    <w:p w14:paraId="39CEA70B" w14:textId="77777777" w:rsidR="000C1C47" w:rsidRPr="004B5178" w:rsidRDefault="000C1C47" w:rsidP="000C1C47">
      <w:pPr>
        <w:ind w:left="-540"/>
        <w:rPr>
          <w:b/>
        </w:rPr>
      </w:pPr>
    </w:p>
    <w:p w14:paraId="24839DA8" w14:textId="77777777" w:rsidR="000C1C47" w:rsidRPr="004B5178" w:rsidRDefault="000C1C47" w:rsidP="000C1C47">
      <w:pPr>
        <w:ind w:left="-851"/>
        <w:rPr>
          <w:b/>
        </w:rPr>
      </w:pPr>
      <w:r w:rsidRPr="004B5178">
        <w:rPr>
          <w:b/>
        </w:rPr>
        <w:t>Proposed Revision 29</w:t>
      </w:r>
      <w:r w:rsidRPr="004B5178">
        <w:rPr>
          <w:b/>
          <w:vertAlign w:val="superscript"/>
        </w:rPr>
        <w:t>th</w:t>
      </w:r>
      <w:r w:rsidRPr="004B5178">
        <w:rPr>
          <w:b/>
        </w:rPr>
        <w:t xml:space="preserve"> May 2013</w:t>
      </w:r>
    </w:p>
    <w:p w14:paraId="6843FE56" w14:textId="77777777" w:rsidR="000C1C47" w:rsidRPr="004B5178" w:rsidRDefault="000C1C47" w:rsidP="000C1C47">
      <w:pPr>
        <w:ind w:left="-851"/>
        <w:rPr>
          <w:b/>
        </w:rPr>
      </w:pPr>
    </w:p>
    <w:tbl>
      <w:tblPr>
        <w:tblStyle w:val="TableGrid"/>
        <w:tblW w:w="14743" w:type="dxa"/>
        <w:tblInd w:w="-714" w:type="dxa"/>
        <w:tblLayout w:type="fixed"/>
        <w:tblLook w:val="01E0" w:firstRow="1" w:lastRow="1" w:firstColumn="1" w:lastColumn="1" w:noHBand="0" w:noVBand="0"/>
      </w:tblPr>
      <w:tblGrid>
        <w:gridCol w:w="3338"/>
        <w:gridCol w:w="11405"/>
      </w:tblGrid>
      <w:tr w:rsidR="004B5178" w:rsidRPr="004B5178" w14:paraId="66A32069" w14:textId="77777777" w:rsidTr="00F3578B">
        <w:trPr>
          <w:trHeight w:val="491"/>
        </w:trPr>
        <w:tc>
          <w:tcPr>
            <w:tcW w:w="3338" w:type="dxa"/>
          </w:tcPr>
          <w:p w14:paraId="13810DF3" w14:textId="77777777" w:rsidR="000C1C47" w:rsidRPr="004B5178" w:rsidRDefault="000C1C47" w:rsidP="000C1C47">
            <w:r w:rsidRPr="004B5178">
              <w:t>Revision Date:</w:t>
            </w:r>
          </w:p>
        </w:tc>
        <w:tc>
          <w:tcPr>
            <w:tcW w:w="11405" w:type="dxa"/>
          </w:tcPr>
          <w:p w14:paraId="5900DB8C" w14:textId="77777777" w:rsidR="000C1C47" w:rsidRPr="004B5178" w:rsidRDefault="000C1C47" w:rsidP="000C1C47">
            <w:r w:rsidRPr="004B5178">
              <w:t>29/05/13</w:t>
            </w:r>
          </w:p>
          <w:p w14:paraId="10F37383" w14:textId="77777777" w:rsidR="000C1C47" w:rsidRPr="004B5178" w:rsidRDefault="000C1C47" w:rsidP="000C1C47"/>
        </w:tc>
      </w:tr>
      <w:tr w:rsidR="004B5178" w:rsidRPr="004B5178" w14:paraId="55554BEB" w14:textId="77777777" w:rsidTr="00F3578B">
        <w:trPr>
          <w:trHeight w:val="4627"/>
        </w:trPr>
        <w:tc>
          <w:tcPr>
            <w:tcW w:w="3338" w:type="dxa"/>
          </w:tcPr>
          <w:p w14:paraId="1B1F4259" w14:textId="77777777" w:rsidR="000C1C47" w:rsidRPr="004B5178" w:rsidRDefault="000C1C47" w:rsidP="000C1C47">
            <w:r w:rsidRPr="004B5178">
              <w:t>General Comments / Reasoning:</w:t>
            </w:r>
          </w:p>
        </w:tc>
        <w:tc>
          <w:tcPr>
            <w:tcW w:w="11405" w:type="dxa"/>
          </w:tcPr>
          <w:p w14:paraId="194120E2" w14:textId="77777777" w:rsidR="000C1C47" w:rsidRPr="004B5178" w:rsidRDefault="000C1C47" w:rsidP="000C1C47">
            <w:pPr>
              <w:rPr>
                <w:b/>
              </w:rPr>
            </w:pPr>
            <w:r w:rsidRPr="004B5178">
              <w:rPr>
                <w:b/>
              </w:rPr>
              <w:t>NEW UPDATE TO STANDARDISATION METHODOLOGY FOR:</w:t>
            </w:r>
          </w:p>
          <w:p w14:paraId="72973BB1" w14:textId="77777777" w:rsidR="000C1C47" w:rsidRPr="004B5178" w:rsidRDefault="000C1C47" w:rsidP="000C1C47"/>
          <w:p w14:paraId="2ED9DAFB" w14:textId="77777777" w:rsidR="000C1C47" w:rsidRPr="004B5178" w:rsidRDefault="000C1C47" w:rsidP="000C1C47">
            <w:r w:rsidRPr="004B5178">
              <w:t>NHSOF 2.1 – Proportion of people feeling supported to manage their condition</w:t>
            </w:r>
          </w:p>
          <w:p w14:paraId="76B29563" w14:textId="77777777" w:rsidR="000C1C47" w:rsidRPr="004B5178" w:rsidRDefault="000C1C47" w:rsidP="000C1C47">
            <w:r w:rsidRPr="004B5178">
              <w:t>NHSOF 2.4 – Health-related quality of life for carers</w:t>
            </w:r>
          </w:p>
          <w:p w14:paraId="3C19FEBC" w14:textId="77777777" w:rsidR="000C1C47" w:rsidRPr="004B5178" w:rsidRDefault="000C1C47" w:rsidP="000C1C47"/>
          <w:p w14:paraId="4C4E513B" w14:textId="3D2059B3" w:rsidR="000C1C47" w:rsidRPr="004B5178" w:rsidRDefault="000C1C47" w:rsidP="000C1C47">
            <w:r w:rsidRPr="004B5178">
              <w:t>On the 9</w:t>
            </w:r>
            <w:r w:rsidRPr="004B5178">
              <w:rPr>
                <w:vertAlign w:val="superscript"/>
              </w:rPr>
              <w:t>th</w:t>
            </w:r>
            <w:r w:rsidRPr="004B5178">
              <w:t xml:space="preserve"> August, MRG approved the indicators listed above for use in the NHS Outcomes Framework. However, after previously suggesting 2 different methodologies for standardising the indicators the Department of Health has put forward a revised proposal of the standardisation methodology used for these indicators. Please note that the newly proposed methodology is only applicable to indicators 2.1. and 2.4 and does not cover indicator 2. A separate paper has been circulated outlining the latest methodology (</w:t>
            </w:r>
            <w:r w:rsidRPr="004B5178">
              <w:rPr>
                <w:i/>
              </w:rPr>
              <w:t>Standardisation of GPPS LTC Indicators 2012_05_10 Revision 2 1 and 2 4 .doc</w:t>
            </w:r>
            <w:r w:rsidRPr="004B5178">
              <w:t>).</w:t>
            </w:r>
          </w:p>
          <w:p w14:paraId="1D1DFCB3" w14:textId="22741C3F" w:rsidR="000967BB" w:rsidRPr="004B5178" w:rsidRDefault="000967BB" w:rsidP="000C1C47"/>
          <w:p w14:paraId="5B6C5FB9" w14:textId="67A116F1" w:rsidR="000967BB" w:rsidRPr="004B5178" w:rsidRDefault="000967BB" w:rsidP="000C1C47"/>
          <w:p w14:paraId="29FA1A7B" w14:textId="77777777" w:rsidR="000967BB" w:rsidRPr="004B5178" w:rsidRDefault="000967BB" w:rsidP="000C1C47"/>
          <w:p w14:paraId="738F2397" w14:textId="77777777" w:rsidR="000C1C47" w:rsidRPr="004B5178" w:rsidRDefault="000C1C47" w:rsidP="000C1C47"/>
        </w:tc>
      </w:tr>
      <w:tr w:rsidR="004B5178" w:rsidRPr="004B5178" w14:paraId="4DFC54EF" w14:textId="77777777" w:rsidTr="00F3578B">
        <w:trPr>
          <w:trHeight w:val="245"/>
        </w:trPr>
        <w:tc>
          <w:tcPr>
            <w:tcW w:w="3338" w:type="dxa"/>
          </w:tcPr>
          <w:p w14:paraId="444E5E26" w14:textId="77777777" w:rsidR="000C1C47" w:rsidRPr="004B5178" w:rsidRDefault="000C1C47" w:rsidP="000C1C47">
            <w:r w:rsidRPr="004B5178">
              <w:t>Revisions:</w:t>
            </w:r>
          </w:p>
        </w:tc>
        <w:tc>
          <w:tcPr>
            <w:tcW w:w="11405" w:type="dxa"/>
          </w:tcPr>
          <w:p w14:paraId="0D7EA13D" w14:textId="77777777" w:rsidR="000C1C47" w:rsidRPr="004B5178" w:rsidRDefault="000C1C47" w:rsidP="000C1C47"/>
        </w:tc>
      </w:tr>
      <w:tr w:rsidR="004B5178" w:rsidRPr="004B5178" w14:paraId="19C65A40" w14:textId="77777777" w:rsidTr="00F3578B">
        <w:trPr>
          <w:trHeight w:val="491"/>
        </w:trPr>
        <w:tc>
          <w:tcPr>
            <w:tcW w:w="3338" w:type="dxa"/>
          </w:tcPr>
          <w:p w14:paraId="6453425E" w14:textId="77777777" w:rsidR="000C1C47" w:rsidRPr="004B5178" w:rsidRDefault="000C1C47" w:rsidP="000C1C47">
            <w:r w:rsidRPr="004B5178">
              <w:t>Indicator Title</w:t>
            </w:r>
          </w:p>
        </w:tc>
        <w:tc>
          <w:tcPr>
            <w:tcW w:w="11405" w:type="dxa"/>
          </w:tcPr>
          <w:p w14:paraId="6925FF6A" w14:textId="77777777" w:rsidR="000C1C47" w:rsidRPr="004B5178" w:rsidRDefault="000C1C47" w:rsidP="000C1C47">
            <w:r w:rsidRPr="004B5178">
              <w:t>None</w:t>
            </w:r>
          </w:p>
          <w:p w14:paraId="71C47B98" w14:textId="77777777" w:rsidR="000C1C47" w:rsidRPr="004B5178" w:rsidRDefault="000C1C47" w:rsidP="000C1C47"/>
        </w:tc>
      </w:tr>
      <w:tr w:rsidR="004B5178" w:rsidRPr="004B5178" w14:paraId="6F906E54" w14:textId="77777777" w:rsidTr="00F3578B">
        <w:trPr>
          <w:trHeight w:val="477"/>
        </w:trPr>
        <w:tc>
          <w:tcPr>
            <w:tcW w:w="3338" w:type="dxa"/>
          </w:tcPr>
          <w:p w14:paraId="69810F9B" w14:textId="77777777" w:rsidR="000C1C47" w:rsidRPr="004B5178" w:rsidRDefault="000C1C47" w:rsidP="000C1C47">
            <w:r w:rsidRPr="004B5178">
              <w:t>Data source</w:t>
            </w:r>
          </w:p>
        </w:tc>
        <w:tc>
          <w:tcPr>
            <w:tcW w:w="11405" w:type="dxa"/>
          </w:tcPr>
          <w:p w14:paraId="17409CA8" w14:textId="77777777" w:rsidR="000C1C47" w:rsidRPr="004B5178" w:rsidRDefault="000C1C47" w:rsidP="000C1C47">
            <w:r w:rsidRPr="004B5178">
              <w:t>None</w:t>
            </w:r>
          </w:p>
          <w:p w14:paraId="24C6895D" w14:textId="77777777" w:rsidR="000C1C47" w:rsidRPr="004B5178" w:rsidRDefault="000C1C47" w:rsidP="000C1C47"/>
        </w:tc>
      </w:tr>
    </w:tbl>
    <w:p w14:paraId="4D21B572" w14:textId="77777777" w:rsidR="00840AC1" w:rsidRPr="004B5178" w:rsidRDefault="00840AC1">
      <w:r w:rsidRPr="004B5178">
        <w:br w:type="page"/>
      </w:r>
    </w:p>
    <w:tbl>
      <w:tblPr>
        <w:tblStyle w:val="TableGrid"/>
        <w:tblW w:w="27750" w:type="dxa"/>
        <w:tblLook w:val="01E0" w:firstRow="1" w:lastRow="1" w:firstColumn="1" w:lastColumn="1" w:noHBand="0" w:noVBand="0"/>
      </w:tblPr>
      <w:tblGrid>
        <w:gridCol w:w="2624"/>
        <w:gridCol w:w="12563"/>
        <w:gridCol w:w="12563"/>
      </w:tblGrid>
      <w:tr w:rsidR="00A9502E" w:rsidRPr="004B5178" w14:paraId="06F9518F" w14:textId="6F496179" w:rsidTr="008A4F7F">
        <w:trPr>
          <w:trHeight w:val="6477"/>
        </w:trPr>
        <w:tc>
          <w:tcPr>
            <w:tcW w:w="2624" w:type="dxa"/>
          </w:tcPr>
          <w:p w14:paraId="12E5798A" w14:textId="36649E82" w:rsidR="00A9502E" w:rsidRPr="004B5178" w:rsidRDefault="00A9502E" w:rsidP="000C1C47">
            <w:r w:rsidRPr="004B5178">
              <w:lastRenderedPageBreak/>
              <w:t>Construction</w:t>
            </w:r>
          </w:p>
        </w:tc>
        <w:tc>
          <w:tcPr>
            <w:tcW w:w="12563" w:type="dxa"/>
          </w:tcPr>
          <w:p w14:paraId="087461B4" w14:textId="5CE8D077" w:rsidR="00A9502E" w:rsidRPr="004B5178" w:rsidRDefault="00A9502E" w:rsidP="000C1C47">
            <w:r w:rsidRPr="004B5178">
              <w:t xml:space="preserve">After the previous considerations of different methodologies, it is proposed the new standardisation methodology for indicators 2.1 and 2.4 should be based on age. It is proposed to apply an age weighting to any future data points for this indicator based on question 48 of the GP Patient Survey: </w:t>
            </w:r>
          </w:p>
          <w:p w14:paraId="73D4DD33" w14:textId="77777777" w:rsidR="00A9502E" w:rsidRPr="004B5178" w:rsidRDefault="00A9502E" w:rsidP="000C1C47"/>
          <w:p w14:paraId="4836F12D" w14:textId="77777777" w:rsidR="00A9502E" w:rsidRPr="004B5178" w:rsidRDefault="00A9502E" w:rsidP="000C1C47">
            <w:r w:rsidRPr="004B5178">
              <w:t>How old are you?</w:t>
            </w:r>
          </w:p>
          <w:p w14:paraId="7ECF2ABA" w14:textId="77777777" w:rsidR="00A9502E" w:rsidRPr="004B5178" w:rsidRDefault="00A9502E" w:rsidP="000C1C47">
            <w:pPr>
              <w:pStyle w:val="Default"/>
              <w:rPr>
                <w:color w:val="auto"/>
                <w:sz w:val="22"/>
                <w:szCs w:val="22"/>
              </w:rPr>
            </w:pPr>
          </w:p>
          <w:p w14:paraId="6CA72A89"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Under 18*</w:t>
            </w:r>
          </w:p>
          <w:p w14:paraId="6417CB78"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18 to 24</w:t>
            </w:r>
          </w:p>
          <w:p w14:paraId="7FE5A49D"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25 to 34</w:t>
            </w:r>
          </w:p>
          <w:p w14:paraId="27E91C10"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35 to 44</w:t>
            </w:r>
          </w:p>
          <w:p w14:paraId="34E6638F"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45 to 54</w:t>
            </w:r>
          </w:p>
          <w:p w14:paraId="05864550"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55 to 64</w:t>
            </w:r>
          </w:p>
          <w:p w14:paraId="0B1DB1CF"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65 to 74</w:t>
            </w:r>
          </w:p>
          <w:p w14:paraId="0D3AF7F7"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75 to 84</w:t>
            </w:r>
          </w:p>
          <w:p w14:paraId="2A478730" w14:textId="77777777" w:rsidR="00A9502E" w:rsidRPr="004B5178" w:rsidRDefault="00A9502E" w:rsidP="000967BB">
            <w:pPr>
              <w:pStyle w:val="Default"/>
              <w:numPr>
                <w:ilvl w:val="0"/>
                <w:numId w:val="20"/>
              </w:numPr>
              <w:rPr>
                <w:color w:val="auto"/>
                <w:sz w:val="22"/>
                <w:szCs w:val="22"/>
              </w:rPr>
            </w:pPr>
            <w:r w:rsidRPr="004B5178">
              <w:rPr>
                <w:color w:val="auto"/>
                <w:sz w:val="22"/>
                <w:szCs w:val="22"/>
              </w:rPr>
              <w:t xml:space="preserve">85 or over </w:t>
            </w:r>
          </w:p>
          <w:p w14:paraId="151A08B8" w14:textId="77777777" w:rsidR="00A9502E" w:rsidRPr="004B5178" w:rsidRDefault="00A9502E" w:rsidP="000C1C47">
            <w:pPr>
              <w:pStyle w:val="Default"/>
              <w:rPr>
                <w:color w:val="auto"/>
                <w:sz w:val="22"/>
                <w:szCs w:val="22"/>
              </w:rPr>
            </w:pPr>
          </w:p>
          <w:p w14:paraId="22CD2AE0" w14:textId="77777777" w:rsidR="00A9502E" w:rsidRPr="004B5178" w:rsidRDefault="00A9502E" w:rsidP="000C1C47">
            <w:r w:rsidRPr="004B5178">
              <w:t xml:space="preserve">As the GP Patient survey only covers adults aged 18 years and over it is proposed to eliminate the ‘Under 18’ category. </w:t>
            </w:r>
          </w:p>
          <w:p w14:paraId="7FDEC354" w14:textId="77777777" w:rsidR="00A9502E" w:rsidRPr="004B5178" w:rsidRDefault="00A9502E" w:rsidP="000C1C47">
            <w:r w:rsidRPr="004B5178">
              <w:t xml:space="preserve">The responses would be standardised by age, using the age bands provided above (except for the “Under 18” age band). This would ensure the indicator is robust to changes in the age structure of the population over time (when comparing the current data point with any future data points). </w:t>
            </w:r>
          </w:p>
          <w:p w14:paraId="183FC179" w14:textId="77777777" w:rsidR="00A9502E" w:rsidRPr="004B5178" w:rsidRDefault="00A9502E" w:rsidP="000C1C47"/>
          <w:p w14:paraId="25BC2401" w14:textId="77777777" w:rsidR="00A9502E" w:rsidRPr="004B5178" w:rsidRDefault="00A9502E" w:rsidP="000C1C47"/>
          <w:p w14:paraId="3CA1A886" w14:textId="77777777" w:rsidR="00A9502E" w:rsidRPr="004B5178" w:rsidRDefault="00A9502E" w:rsidP="000C1C47"/>
          <w:p w14:paraId="266B71F6" w14:textId="77777777" w:rsidR="00A9502E" w:rsidRPr="004B5178" w:rsidRDefault="00A9502E" w:rsidP="000C1C47"/>
          <w:p w14:paraId="2914170F" w14:textId="77777777" w:rsidR="00A9502E" w:rsidRPr="004B5178" w:rsidRDefault="00A9502E" w:rsidP="000C1C47"/>
          <w:p w14:paraId="66D83F6F" w14:textId="77777777" w:rsidR="00A9502E" w:rsidRPr="004B5178" w:rsidRDefault="00A9502E" w:rsidP="000C1C47"/>
          <w:p w14:paraId="3F4C569A" w14:textId="77777777" w:rsidR="00A9502E" w:rsidRPr="004B5178" w:rsidRDefault="00A9502E" w:rsidP="000C1C47"/>
          <w:p w14:paraId="043B368D" w14:textId="77777777" w:rsidR="00A9502E" w:rsidRPr="004B5178" w:rsidRDefault="00A9502E" w:rsidP="000C1C47"/>
          <w:p w14:paraId="4D7363A6" w14:textId="77777777" w:rsidR="00A9502E" w:rsidRPr="004B5178" w:rsidRDefault="00A9502E" w:rsidP="000C1C47"/>
          <w:p w14:paraId="7051903F" w14:textId="3691DE23" w:rsidR="00A9502E" w:rsidRDefault="00A9502E" w:rsidP="000C1C47"/>
          <w:p w14:paraId="1503AD8C" w14:textId="49259C9D" w:rsidR="007A744E" w:rsidRDefault="007A744E" w:rsidP="000C1C47"/>
          <w:p w14:paraId="42F61B30" w14:textId="767DC658" w:rsidR="007A744E" w:rsidRDefault="007A744E" w:rsidP="000C1C47"/>
          <w:p w14:paraId="522F09DD" w14:textId="77777777" w:rsidR="007A744E" w:rsidRPr="004B5178" w:rsidRDefault="007A744E" w:rsidP="000C1C47"/>
          <w:p w14:paraId="1B7D41F4" w14:textId="77777777" w:rsidR="00A9502E" w:rsidRPr="004B5178" w:rsidRDefault="00A9502E" w:rsidP="000C1C47"/>
          <w:p w14:paraId="33F29769" w14:textId="51C343E6" w:rsidR="00A9502E" w:rsidRPr="004B5178" w:rsidRDefault="00A9502E" w:rsidP="000C1C47">
            <w:r w:rsidRPr="004B5178">
              <w:lastRenderedPageBreak/>
              <w:t>Based on the current GP patient survey data the age weights that would be applied to future data points for indicator 2.1 can be seen in the table below:</w:t>
            </w:r>
          </w:p>
          <w:p w14:paraId="4B10A7B8" w14:textId="77777777" w:rsidR="00A9502E" w:rsidRPr="004B5178" w:rsidRDefault="00A9502E" w:rsidP="000C1C47"/>
          <w:p w14:paraId="7CA76E48" w14:textId="5599B095" w:rsidR="00A9502E" w:rsidRDefault="00A9502E" w:rsidP="000C1C47">
            <w:r w:rsidRPr="004B5178">
              <w:t>Table - 1 Age weights to be applied to future data points for indicator 2.1</w:t>
            </w:r>
          </w:p>
          <w:p w14:paraId="04182B3C" w14:textId="645B5401" w:rsidR="00A9502E" w:rsidRDefault="00A9502E" w:rsidP="000C1C47"/>
          <w:p w14:paraId="0C0B9616" w14:textId="7EB9D7EA" w:rsidR="00A9502E" w:rsidRPr="00A9502E" w:rsidRDefault="00A9502E" w:rsidP="000C1C47">
            <w:pPr>
              <w:rPr>
                <w:b/>
                <w:bCs/>
              </w:rPr>
            </w:pPr>
            <w:r w:rsidRPr="00A9502E">
              <w:rPr>
                <w:b/>
                <w:bCs/>
              </w:rPr>
              <w:t xml:space="preserve">Age bands based on question </w:t>
            </w:r>
            <w:r w:rsidRPr="00A9502E">
              <w:rPr>
                <w:b/>
                <w:bCs/>
              </w:rPr>
              <w:tab/>
              <w:t>Number in age band</w:t>
            </w:r>
            <w:r w:rsidRPr="00A9502E">
              <w:rPr>
                <w:b/>
                <w:bCs/>
              </w:rPr>
              <w:tab/>
              <w:t xml:space="preserve">                            Weight</w:t>
            </w:r>
          </w:p>
          <w:p w14:paraId="1EB2A4E0" w14:textId="0565ABC5" w:rsidR="00A9502E" w:rsidRPr="00A9502E" w:rsidRDefault="00A9502E" w:rsidP="000C1C47">
            <w:pPr>
              <w:rPr>
                <w:b/>
                <w:bCs/>
              </w:rPr>
            </w:pPr>
            <w:r w:rsidRPr="00A9502E">
              <w:rPr>
                <w:b/>
                <w:bCs/>
              </w:rPr>
              <w:t>48 the GPPS 2011/12</w:t>
            </w:r>
          </w:p>
          <w:p w14:paraId="18690152" w14:textId="77020B3E" w:rsidR="00A9502E" w:rsidRDefault="00A9502E" w:rsidP="00A9502E">
            <w:r>
              <w:tab/>
              <w:t xml:space="preserve">                                                           19,992                                          0.0193</w:t>
            </w:r>
          </w:p>
          <w:p w14:paraId="0F646223" w14:textId="44508E52" w:rsidR="00A9502E" w:rsidRDefault="00A9502E" w:rsidP="00A9502E">
            <w:r>
              <w:t>18 to 24</w:t>
            </w:r>
            <w:r>
              <w:tab/>
              <w:t xml:space="preserve">                                               45,846</w:t>
            </w:r>
            <w:r>
              <w:tab/>
              <w:t xml:space="preserve">                                         0.0442</w:t>
            </w:r>
          </w:p>
          <w:p w14:paraId="191586CC" w14:textId="3E7426BD" w:rsidR="00A9502E" w:rsidRDefault="00A9502E" w:rsidP="00A9502E">
            <w:r>
              <w:t>25 to 34</w:t>
            </w:r>
            <w:r>
              <w:tab/>
              <w:t xml:space="preserve">                                               102,952</w:t>
            </w:r>
            <w:r>
              <w:tab/>
              <w:t xml:space="preserve">                             0.0992</w:t>
            </w:r>
          </w:p>
          <w:p w14:paraId="69E10EC8" w14:textId="6AB93FCB" w:rsidR="00A9502E" w:rsidRDefault="00A9502E" w:rsidP="00A9502E">
            <w:r>
              <w:t>35 to 44</w:t>
            </w:r>
            <w:r>
              <w:tab/>
              <w:t xml:space="preserve">                                               140,192</w:t>
            </w:r>
            <w:r>
              <w:tab/>
              <w:t xml:space="preserve">                             0.1351</w:t>
            </w:r>
          </w:p>
          <w:p w14:paraId="7A010437" w14:textId="0ED973CE" w:rsidR="00A9502E" w:rsidRDefault="00A9502E" w:rsidP="00A9502E">
            <w:r>
              <w:t>45 to 54</w:t>
            </w:r>
            <w:r>
              <w:tab/>
              <w:t xml:space="preserve">                                               177,804</w:t>
            </w:r>
            <w:r>
              <w:tab/>
              <w:t xml:space="preserve">                             0.1713</w:t>
            </w:r>
          </w:p>
          <w:p w14:paraId="140BB1F6" w14:textId="0A36CED8" w:rsidR="00A9502E" w:rsidRDefault="00A9502E" w:rsidP="00A9502E">
            <w:r>
              <w:t>55 to 64</w:t>
            </w:r>
            <w:r>
              <w:tab/>
              <w:t xml:space="preserve">                                               205,881</w:t>
            </w:r>
            <w:r>
              <w:tab/>
              <w:t xml:space="preserve">                             0.1984</w:t>
            </w:r>
          </w:p>
          <w:p w14:paraId="1FB6E723" w14:textId="4B1ABA98" w:rsidR="00A9502E" w:rsidRDefault="00A9502E" w:rsidP="00A9502E">
            <w:r>
              <w:t>65 to 74</w:t>
            </w:r>
            <w:r>
              <w:tab/>
              <w:t xml:space="preserve">                                               187,508</w:t>
            </w:r>
            <w:r>
              <w:tab/>
              <w:t xml:space="preserve">                             0.1807</w:t>
            </w:r>
          </w:p>
          <w:p w14:paraId="46CDE91B" w14:textId="2CE28E74" w:rsidR="00A9502E" w:rsidRDefault="00A9502E" w:rsidP="00A9502E">
            <w:r>
              <w:t>75 to 84</w:t>
            </w:r>
            <w:r>
              <w:tab/>
              <w:t xml:space="preserve">                                               118,736</w:t>
            </w:r>
            <w:r>
              <w:tab/>
              <w:t xml:space="preserve">                             0.1144</w:t>
            </w:r>
          </w:p>
          <w:p w14:paraId="64747DE8" w14:textId="2F6ADFDC" w:rsidR="00A9502E" w:rsidRDefault="00A9502E" w:rsidP="00A9502E">
            <w:r>
              <w:t>85 or over</w:t>
            </w:r>
            <w:r>
              <w:tab/>
              <w:t xml:space="preserve">                                               39,035                                          0.0376</w:t>
            </w:r>
          </w:p>
          <w:p w14:paraId="4D9B633D" w14:textId="7121A013" w:rsidR="00A9502E" w:rsidRPr="00A9502E" w:rsidRDefault="00A9502E" w:rsidP="00A9502E">
            <w:pPr>
              <w:rPr>
                <w:b/>
                <w:bCs/>
              </w:rPr>
            </w:pPr>
            <w:r w:rsidRPr="00A9502E">
              <w:rPr>
                <w:b/>
                <w:bCs/>
              </w:rPr>
              <w:t>Total</w:t>
            </w:r>
            <w:r w:rsidRPr="00A9502E">
              <w:rPr>
                <w:b/>
                <w:bCs/>
              </w:rPr>
              <w:tab/>
              <w:t xml:space="preserve">                                                           1,037.946                                    1</w:t>
            </w:r>
          </w:p>
          <w:p w14:paraId="6A7035D3" w14:textId="01AD0DF0" w:rsidR="00A9502E" w:rsidRDefault="00A9502E" w:rsidP="000C1C47"/>
          <w:p w14:paraId="0EB5C8F8" w14:textId="77777777" w:rsidR="00A9502E" w:rsidRPr="004B5178" w:rsidRDefault="00A9502E" w:rsidP="000C1C47">
            <w:r w:rsidRPr="004B5178">
              <w:t>For indicator 2.4 it has been considered to further standardise to the number of hours cared in addition to age. This could be done by using question 56 of the GP Patient Survey (see below).</w:t>
            </w:r>
          </w:p>
          <w:p w14:paraId="6EEB7AED" w14:textId="77777777" w:rsidR="00A9502E" w:rsidRPr="004B5178" w:rsidRDefault="00A9502E" w:rsidP="000C1C47">
            <w:pPr>
              <w:rPr>
                <w:b/>
              </w:rPr>
            </w:pPr>
          </w:p>
          <w:p w14:paraId="5AD7D613" w14:textId="77777777" w:rsidR="00A9502E" w:rsidRPr="004B5178" w:rsidRDefault="00A9502E" w:rsidP="000C1C47">
            <w:r w:rsidRPr="004B5178">
              <w:t xml:space="preserve">Question 56: Do you look after, or give any help or support to family members, friends, neighbours or others because of either: </w:t>
            </w:r>
          </w:p>
          <w:p w14:paraId="253C7A09" w14:textId="77777777" w:rsidR="00A9502E" w:rsidRPr="004B5178" w:rsidRDefault="00A9502E" w:rsidP="000C1C47"/>
          <w:p w14:paraId="1C226AA9" w14:textId="77777777" w:rsidR="00A9502E" w:rsidRPr="004B5178" w:rsidRDefault="00A9502E" w:rsidP="000967BB">
            <w:pPr>
              <w:pStyle w:val="ListParagraph"/>
              <w:numPr>
                <w:ilvl w:val="0"/>
                <w:numId w:val="22"/>
              </w:numPr>
              <w:spacing w:after="0" w:line="240" w:lineRule="auto"/>
              <w:rPr>
                <w:rFonts w:ascii="Arial" w:hAnsi="Arial" w:cs="Arial"/>
              </w:rPr>
            </w:pPr>
            <w:r w:rsidRPr="004B5178">
              <w:rPr>
                <w:rFonts w:ascii="Arial" w:hAnsi="Arial" w:cs="Arial"/>
              </w:rPr>
              <w:t>Long-term physical or mental ill health/disability, or</w:t>
            </w:r>
          </w:p>
          <w:p w14:paraId="6F62A27E" w14:textId="1AEFAC81" w:rsidR="00A9502E" w:rsidRPr="004B5178" w:rsidRDefault="00A9502E" w:rsidP="000967BB">
            <w:pPr>
              <w:pStyle w:val="ListParagraph"/>
              <w:numPr>
                <w:ilvl w:val="0"/>
                <w:numId w:val="22"/>
              </w:numPr>
              <w:spacing w:after="0" w:line="240" w:lineRule="auto"/>
              <w:rPr>
                <w:rFonts w:ascii="Arial" w:hAnsi="Arial" w:cs="Arial"/>
              </w:rPr>
            </w:pPr>
            <w:r w:rsidRPr="004B5178">
              <w:rPr>
                <w:rFonts w:ascii="Arial" w:hAnsi="Arial" w:cs="Arial"/>
              </w:rPr>
              <w:t>Problems related to old age?</w:t>
            </w:r>
          </w:p>
          <w:p w14:paraId="77B99173" w14:textId="577AD724" w:rsidR="00A9502E" w:rsidRPr="004B5178" w:rsidRDefault="00A9502E" w:rsidP="0016748F"/>
          <w:p w14:paraId="54B11D92" w14:textId="77777777" w:rsidR="00A9502E" w:rsidRPr="004B5178" w:rsidRDefault="00A9502E" w:rsidP="000C1C47">
            <w:r w:rsidRPr="004B5178">
              <w:t>Don’t count anything you do as part of your paid employment</w:t>
            </w:r>
          </w:p>
          <w:p w14:paraId="29C8454E" w14:textId="77777777" w:rsidR="00A9502E" w:rsidRPr="004B5178" w:rsidRDefault="00A9502E" w:rsidP="000C1C47"/>
          <w:p w14:paraId="03177DF5" w14:textId="77777777" w:rsidR="00A9502E" w:rsidRPr="004B5178" w:rsidRDefault="00A9502E" w:rsidP="000967BB">
            <w:pPr>
              <w:pStyle w:val="ListParagraph"/>
              <w:numPr>
                <w:ilvl w:val="0"/>
                <w:numId w:val="21"/>
              </w:numPr>
              <w:spacing w:after="0" w:line="240" w:lineRule="auto"/>
              <w:rPr>
                <w:rFonts w:ascii="Arial" w:hAnsi="Arial" w:cs="Arial"/>
              </w:rPr>
            </w:pPr>
            <w:r w:rsidRPr="004B5178">
              <w:rPr>
                <w:rFonts w:ascii="Arial" w:hAnsi="Arial" w:cs="Arial"/>
              </w:rPr>
              <w:t>No</w:t>
            </w:r>
          </w:p>
          <w:p w14:paraId="3747D175" w14:textId="77777777" w:rsidR="00A9502E" w:rsidRPr="004B5178" w:rsidRDefault="00A9502E" w:rsidP="000967BB">
            <w:pPr>
              <w:pStyle w:val="ListParagraph"/>
              <w:numPr>
                <w:ilvl w:val="0"/>
                <w:numId w:val="21"/>
              </w:numPr>
              <w:spacing w:after="0" w:line="240" w:lineRule="auto"/>
              <w:rPr>
                <w:rFonts w:ascii="Arial" w:hAnsi="Arial" w:cs="Arial"/>
              </w:rPr>
            </w:pPr>
            <w:r w:rsidRPr="004B5178">
              <w:rPr>
                <w:rFonts w:ascii="Arial" w:hAnsi="Arial" w:cs="Arial"/>
              </w:rPr>
              <w:t>Yes, 1-9 hours a week</w:t>
            </w:r>
          </w:p>
          <w:p w14:paraId="593B4AD9" w14:textId="77777777" w:rsidR="00A9502E" w:rsidRPr="004B5178" w:rsidRDefault="00A9502E" w:rsidP="000967BB">
            <w:pPr>
              <w:pStyle w:val="ListParagraph"/>
              <w:numPr>
                <w:ilvl w:val="0"/>
                <w:numId w:val="21"/>
              </w:numPr>
              <w:spacing w:after="0" w:line="240" w:lineRule="auto"/>
              <w:rPr>
                <w:rFonts w:ascii="Arial" w:hAnsi="Arial" w:cs="Arial"/>
              </w:rPr>
            </w:pPr>
            <w:r w:rsidRPr="004B5178">
              <w:rPr>
                <w:rFonts w:ascii="Arial" w:hAnsi="Arial" w:cs="Arial"/>
              </w:rPr>
              <w:t>Yes, 10-19 hours a week</w:t>
            </w:r>
          </w:p>
          <w:p w14:paraId="52B35367" w14:textId="77777777" w:rsidR="00A9502E" w:rsidRPr="004B5178" w:rsidRDefault="00A9502E" w:rsidP="000967BB">
            <w:pPr>
              <w:pStyle w:val="ListParagraph"/>
              <w:numPr>
                <w:ilvl w:val="0"/>
                <w:numId w:val="21"/>
              </w:numPr>
              <w:spacing w:after="0" w:line="240" w:lineRule="auto"/>
              <w:rPr>
                <w:rFonts w:ascii="Arial" w:hAnsi="Arial" w:cs="Arial"/>
              </w:rPr>
            </w:pPr>
            <w:r w:rsidRPr="004B5178">
              <w:rPr>
                <w:rFonts w:ascii="Arial" w:hAnsi="Arial" w:cs="Arial"/>
              </w:rPr>
              <w:t>Yes, 20-34 hours a week</w:t>
            </w:r>
          </w:p>
          <w:p w14:paraId="449377D3" w14:textId="77777777" w:rsidR="00A9502E" w:rsidRPr="004B5178" w:rsidRDefault="00A9502E" w:rsidP="000967BB">
            <w:pPr>
              <w:pStyle w:val="ListParagraph"/>
              <w:numPr>
                <w:ilvl w:val="0"/>
                <w:numId w:val="21"/>
              </w:numPr>
              <w:spacing w:after="0" w:line="240" w:lineRule="auto"/>
              <w:rPr>
                <w:rFonts w:ascii="Arial" w:hAnsi="Arial" w:cs="Arial"/>
              </w:rPr>
            </w:pPr>
            <w:r w:rsidRPr="004B5178">
              <w:rPr>
                <w:rFonts w:ascii="Arial" w:hAnsi="Arial" w:cs="Arial"/>
              </w:rPr>
              <w:t>Yes, 35-49 hours a week</w:t>
            </w:r>
          </w:p>
          <w:p w14:paraId="6868B896" w14:textId="77777777" w:rsidR="00A9502E" w:rsidRPr="004B5178" w:rsidRDefault="00A9502E" w:rsidP="000967BB">
            <w:pPr>
              <w:pStyle w:val="ListParagraph"/>
              <w:numPr>
                <w:ilvl w:val="0"/>
                <w:numId w:val="21"/>
              </w:numPr>
              <w:spacing w:after="0" w:line="240" w:lineRule="auto"/>
              <w:rPr>
                <w:rFonts w:ascii="Arial" w:hAnsi="Arial" w:cs="Arial"/>
              </w:rPr>
            </w:pPr>
            <w:r w:rsidRPr="004B5178">
              <w:rPr>
                <w:rFonts w:ascii="Arial" w:hAnsi="Arial" w:cs="Arial"/>
              </w:rPr>
              <w:t>Yes, 50+ hours a week</w:t>
            </w:r>
          </w:p>
          <w:p w14:paraId="39BAD7AA" w14:textId="77777777" w:rsidR="00A9502E" w:rsidRPr="004B5178" w:rsidRDefault="00A9502E" w:rsidP="000C1C47"/>
          <w:p w14:paraId="6079AA94" w14:textId="77777777" w:rsidR="007A744E" w:rsidRDefault="007A744E" w:rsidP="000C1C47"/>
          <w:p w14:paraId="4843A15E" w14:textId="3A33636A" w:rsidR="00A9502E" w:rsidRDefault="00A9502E" w:rsidP="000C1C47">
            <w:r w:rsidRPr="004B5178">
              <w:t>Based on the current GP patient survey data the weights accounting for age as well as the number of hours cared, which would be applied to any future data points for indicator 2.4 can be seen in table 2 below:</w:t>
            </w:r>
          </w:p>
          <w:p w14:paraId="5C717407" w14:textId="077D2164" w:rsidR="00A9502E" w:rsidRDefault="00A9502E" w:rsidP="000C1C47"/>
          <w:p w14:paraId="53834348" w14:textId="77777777" w:rsidR="00A9502E" w:rsidRDefault="00A9502E" w:rsidP="00DA405D">
            <w:pPr>
              <w:rPr>
                <w:b/>
                <w:bCs/>
              </w:rPr>
            </w:pPr>
            <w:r w:rsidRPr="004B5178">
              <w:rPr>
                <w:b/>
                <w:bCs/>
              </w:rPr>
              <w:t xml:space="preserve">Age bands (Q48) and number of hours </w:t>
            </w:r>
          </w:p>
          <w:p w14:paraId="71487946" w14:textId="2958ECDA" w:rsidR="00A9502E" w:rsidRDefault="00A9502E" w:rsidP="00DA405D">
            <w:pPr>
              <w:rPr>
                <w:b/>
                <w:bCs/>
              </w:rPr>
            </w:pPr>
            <w:r w:rsidRPr="004B5178">
              <w:rPr>
                <w:b/>
                <w:bCs/>
              </w:rPr>
              <w:t xml:space="preserve">cared </w:t>
            </w:r>
          </w:p>
          <w:p w14:paraId="68CEED47" w14:textId="4E74A24D" w:rsidR="00A9502E" w:rsidRDefault="00A9502E" w:rsidP="00DA405D">
            <w:pPr>
              <w:rPr>
                <w:b/>
                <w:bCs/>
              </w:rPr>
            </w:pPr>
            <w:r w:rsidRPr="004B5178">
              <w:rPr>
                <w:b/>
                <w:bCs/>
              </w:rPr>
              <w:t>(Q56) from the GPP S 2011/12</w:t>
            </w:r>
          </w:p>
          <w:p w14:paraId="6B833711" w14:textId="77777777" w:rsidR="008A4F7F" w:rsidRPr="004B5178" w:rsidRDefault="008A4F7F" w:rsidP="00DA405D">
            <w:pPr>
              <w:rPr>
                <w:b/>
                <w:bCs/>
              </w:rPr>
            </w:pPr>
          </w:p>
          <w:p w14:paraId="13BF3191" w14:textId="3DCE6C68" w:rsidR="00A9502E" w:rsidRPr="004B5178" w:rsidRDefault="00A9502E" w:rsidP="007D2FFF">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5178">
              <w:rPr>
                <w:b/>
                <w:bCs/>
              </w:rPr>
              <w:t>Number of responses</w:t>
            </w:r>
            <w:r>
              <w:rPr>
                <w:b/>
                <w:bCs/>
              </w:rPr>
              <w:t xml:space="preserve">                                            </w:t>
            </w:r>
            <w:r w:rsidR="007D2FFF">
              <w:rPr>
                <w:b/>
                <w:bCs/>
              </w:rPr>
              <w:t xml:space="preserve">                             </w:t>
            </w:r>
            <w:r>
              <w:rPr>
                <w:b/>
                <w:bCs/>
              </w:rPr>
              <w:t xml:space="preserve">   </w:t>
            </w:r>
            <w:r w:rsidR="007D2FFF">
              <w:rPr>
                <w:b/>
                <w:bCs/>
              </w:rPr>
              <w:t xml:space="preserve">       </w:t>
            </w:r>
            <w:r>
              <w:rPr>
                <w:b/>
                <w:bCs/>
              </w:rPr>
              <w:t xml:space="preserve">    </w:t>
            </w:r>
            <w:r w:rsidR="008A4F7F">
              <w:rPr>
                <w:b/>
                <w:bCs/>
              </w:rPr>
              <w:t xml:space="preserve">  </w:t>
            </w:r>
            <w:r>
              <w:rPr>
                <w:b/>
                <w:bCs/>
              </w:rPr>
              <w:t xml:space="preserve">     </w:t>
            </w:r>
            <w:r w:rsidRPr="004B5178">
              <w:rPr>
                <w:b/>
                <w:bCs/>
              </w:rPr>
              <w:t>Weight</w:t>
            </w:r>
          </w:p>
          <w:p w14:paraId="347D7210" w14:textId="74819578" w:rsidR="007D2FFF" w:rsidRPr="004B5178" w:rsidRDefault="007D2FFF" w:rsidP="007D2FF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w:t>
            </w:r>
          </w:p>
          <w:p w14:paraId="0822C0A4" w14:textId="2A7CF359" w:rsidR="007D2FFF" w:rsidRDefault="007D2FFF" w:rsidP="007D2FFF">
            <w:r>
              <w:t xml:space="preserve">                                                  </w:t>
            </w:r>
            <w:r w:rsidRPr="004B5178">
              <w:t>Yes, 1-9 hours a week</w:t>
            </w:r>
            <w:r>
              <w:t xml:space="preserve">                    </w:t>
            </w:r>
            <w:r w:rsidR="00730C62">
              <w:t xml:space="preserve">           </w:t>
            </w:r>
            <w:r>
              <w:t xml:space="preserve">    1,397                0</w:t>
            </w:r>
            <w:r w:rsidR="00730C62">
              <w:t>.007151</w:t>
            </w:r>
            <w:r>
              <w:t xml:space="preserve">            </w:t>
            </w:r>
          </w:p>
          <w:p w14:paraId="4B8DA48E" w14:textId="3C5CAA6F" w:rsidR="007D2FFF" w:rsidRPr="004B5178" w:rsidRDefault="007D2FFF" w:rsidP="007D2FFF">
            <w:r>
              <w:t xml:space="preserve">                                                  </w:t>
            </w:r>
            <w:r w:rsidRPr="004B5178">
              <w:t>Yes, 10-19 hours a week</w:t>
            </w:r>
            <w:r>
              <w:t xml:space="preserve">                    </w:t>
            </w:r>
            <w:r w:rsidR="00730C62">
              <w:t xml:space="preserve">              336                  0.00172</w:t>
            </w:r>
          </w:p>
          <w:p w14:paraId="13EEC623" w14:textId="74848C54" w:rsidR="007D2FFF" w:rsidRPr="004B5178" w:rsidRDefault="007D2FFF" w:rsidP="007D2FFF">
            <w:r>
              <w:t xml:space="preserve">                                                  </w:t>
            </w:r>
            <w:r w:rsidRPr="004B5178">
              <w:t>Yes, 20-34 hours a week</w:t>
            </w:r>
            <w:r w:rsidR="00730C62">
              <w:t xml:space="preserve">                                  282                0.001443</w:t>
            </w:r>
          </w:p>
          <w:p w14:paraId="4A33EB6E" w14:textId="7C0AE477" w:rsidR="007D2FFF" w:rsidRDefault="007D2FFF" w:rsidP="007D2FFF">
            <w:r>
              <w:t xml:space="preserve">                                                  </w:t>
            </w:r>
            <w:r w:rsidRPr="004B5178">
              <w:t>Yes, 35-49 hours a week</w:t>
            </w:r>
            <w:r>
              <w:t xml:space="preserve"> </w:t>
            </w:r>
            <w:r w:rsidR="00730C62">
              <w:t xml:space="preserve">                                 213                  0.00109</w:t>
            </w:r>
          </w:p>
          <w:p w14:paraId="594653BF" w14:textId="7145A05A" w:rsidR="007D2FFF" w:rsidRDefault="007D2FFF" w:rsidP="007D2FFF">
            <w:r>
              <w:t xml:space="preserve">                                                  Yes, 50 + hours a week</w:t>
            </w:r>
            <w:r w:rsidR="00730C62">
              <w:t xml:space="preserve">                                    739                0.003783</w:t>
            </w:r>
          </w:p>
          <w:p w14:paraId="17259136" w14:textId="1740897B" w:rsidR="00730C62" w:rsidRDefault="00730C62" w:rsidP="007D2FFF"/>
          <w:p w14:paraId="467404E6" w14:textId="3740196B" w:rsidR="00730C62" w:rsidRDefault="00730C62" w:rsidP="00730C62">
            <w:r>
              <w:t xml:space="preserve">18 to 24                                     </w:t>
            </w:r>
            <w:r>
              <w:t xml:space="preserve">Yes, 1-9 hours a week                                   1,397                0.007151            </w:t>
            </w:r>
          </w:p>
          <w:p w14:paraId="6BECBEDF" w14:textId="1E7333B9" w:rsidR="00730C62" w:rsidRDefault="00730C62" w:rsidP="00730C62">
            <w:r>
              <w:t>18 to 24</w:t>
            </w:r>
            <w:r>
              <w:t xml:space="preserve">                                     Yes, 10-19 hours a week                                  336                  0.00172</w:t>
            </w:r>
          </w:p>
          <w:p w14:paraId="7463709D" w14:textId="6C2B3EAC" w:rsidR="00730C62" w:rsidRDefault="00730C62" w:rsidP="00730C62">
            <w:r>
              <w:t>18 to 24</w:t>
            </w:r>
            <w:r>
              <w:t xml:space="preserve">                                     Yes, 20-34 hours a week                                  282                0.001443</w:t>
            </w:r>
          </w:p>
          <w:p w14:paraId="25E41DC4" w14:textId="3962F84F" w:rsidR="00730C62" w:rsidRDefault="00730C62" w:rsidP="00730C62">
            <w:r>
              <w:t>18 to 24</w:t>
            </w:r>
            <w:r>
              <w:t xml:space="preserve">                                     Yes, 35-49 hours a week                                  213                  0.00109</w:t>
            </w:r>
          </w:p>
          <w:p w14:paraId="21E6E464" w14:textId="636566AC" w:rsidR="00730C62" w:rsidRDefault="00730C62" w:rsidP="00730C62">
            <w:r>
              <w:t>18 to 24</w:t>
            </w:r>
            <w:r>
              <w:t xml:space="preserve">                                     Yes, 50 + hours a week                                    739                0.003783</w:t>
            </w:r>
          </w:p>
          <w:p w14:paraId="4420B9F0" w14:textId="368A03C8" w:rsidR="00730C62" w:rsidRDefault="00730C62" w:rsidP="00730C62"/>
          <w:p w14:paraId="67BFD018" w14:textId="77777777" w:rsidR="00730C62" w:rsidRPr="004B5178" w:rsidRDefault="00730C62" w:rsidP="00730C62"/>
          <w:p w14:paraId="67D9FE3F" w14:textId="7DA8B7C2" w:rsidR="00730C62" w:rsidRDefault="00730C62" w:rsidP="00730C62">
            <w:r>
              <w:t>25 to 34</w:t>
            </w:r>
            <w:r>
              <w:t xml:space="preserve">  </w:t>
            </w:r>
            <w:r w:rsidR="007A744E">
              <w:t xml:space="preserve">                                   </w:t>
            </w:r>
            <w:r w:rsidRPr="00730C62">
              <w:t>Yes, 1-9 hours a week</w:t>
            </w:r>
            <w:r>
              <w:t xml:space="preserve">   </w:t>
            </w:r>
            <w:r w:rsidR="007A744E">
              <w:t xml:space="preserve">                               </w:t>
            </w:r>
            <w:r>
              <w:t xml:space="preserve"> 6,054  </w:t>
            </w:r>
            <w:r w:rsidR="007A744E">
              <w:t xml:space="preserve">              </w:t>
            </w:r>
            <w:r>
              <w:t>0.030988</w:t>
            </w:r>
          </w:p>
          <w:p w14:paraId="30FBB870" w14:textId="5BD3A1C7" w:rsidR="00730C62" w:rsidRDefault="00730C62" w:rsidP="00730C62">
            <w:r>
              <w:t>25 to 34</w:t>
            </w:r>
            <w:r>
              <w:t xml:space="preserve"> </w:t>
            </w:r>
            <w:r w:rsidR="007A744E">
              <w:t xml:space="preserve">                                    </w:t>
            </w:r>
            <w:r w:rsidRPr="00730C62">
              <w:t>Yes, 10-19 hours a week</w:t>
            </w:r>
            <w:r>
              <w:t xml:space="preserve">  </w:t>
            </w:r>
            <w:r w:rsidR="007A744E">
              <w:t xml:space="preserve">                             </w:t>
            </w:r>
            <w:r>
              <w:t>1</w:t>
            </w:r>
            <w:r w:rsidR="00123CCF">
              <w:t>,</w:t>
            </w:r>
            <w:r>
              <w:t xml:space="preserve">212   </w:t>
            </w:r>
            <w:r w:rsidR="007A744E">
              <w:t xml:space="preserve">             </w:t>
            </w:r>
            <w:r>
              <w:t>0.006204</w:t>
            </w:r>
          </w:p>
          <w:p w14:paraId="43DF7CB3" w14:textId="05198266" w:rsidR="00730C62" w:rsidRDefault="00730C62" w:rsidP="00730C62">
            <w:r>
              <w:t>25 to 34</w:t>
            </w:r>
            <w:r>
              <w:t xml:space="preserve"> </w:t>
            </w:r>
            <w:r w:rsidR="007A744E">
              <w:t xml:space="preserve">                                    </w:t>
            </w:r>
            <w:r w:rsidRPr="00730C62">
              <w:t>Yes, 20-34 hours a week</w:t>
            </w:r>
            <w:r>
              <w:t xml:space="preserve"> </w:t>
            </w:r>
            <w:r w:rsidR="007A744E">
              <w:t xml:space="preserve">                                 </w:t>
            </w:r>
            <w:r>
              <w:t xml:space="preserve">855  </w:t>
            </w:r>
            <w:r w:rsidR="007A744E">
              <w:t xml:space="preserve">              </w:t>
            </w:r>
            <w:r>
              <w:t>0.004376</w:t>
            </w:r>
          </w:p>
          <w:p w14:paraId="2AC901B3" w14:textId="0E890938" w:rsidR="00730C62" w:rsidRDefault="00730C62" w:rsidP="00730C62">
            <w:r>
              <w:t>25 to 34</w:t>
            </w:r>
            <w:r>
              <w:t xml:space="preserve"> </w:t>
            </w:r>
            <w:r w:rsidR="007A744E">
              <w:t xml:space="preserve">                                    </w:t>
            </w:r>
            <w:r w:rsidRPr="00730C62">
              <w:t>Yes, 35-49 hours a week</w:t>
            </w:r>
            <w:r>
              <w:t xml:space="preserve">  </w:t>
            </w:r>
            <w:r w:rsidR="007A744E">
              <w:t xml:space="preserve">                                </w:t>
            </w:r>
            <w:r>
              <w:t>674</w:t>
            </w:r>
            <w:r w:rsidR="007A744E">
              <w:t xml:space="preserve">                 </w:t>
            </w:r>
            <w:r>
              <w:t xml:space="preserve"> 0.00</w:t>
            </w:r>
            <w:r w:rsidR="007A744E">
              <w:t>345</w:t>
            </w:r>
          </w:p>
          <w:p w14:paraId="74612839" w14:textId="646D813E" w:rsidR="007D2FFF" w:rsidRPr="004B5178" w:rsidRDefault="00730C62" w:rsidP="00730C62">
            <w:r>
              <w:t>25 to 34</w:t>
            </w:r>
            <w:r>
              <w:t xml:space="preserve"> </w:t>
            </w:r>
            <w:r w:rsidR="007A744E">
              <w:t xml:space="preserve">                                    </w:t>
            </w:r>
            <w:r w:rsidRPr="00730C62">
              <w:t>Yes, 50+ hours a week</w:t>
            </w:r>
            <w:r>
              <w:t xml:space="preserve"> </w:t>
            </w:r>
            <w:r w:rsidR="007A744E">
              <w:t xml:space="preserve">                                 </w:t>
            </w:r>
            <w:r>
              <w:t xml:space="preserve">1,532 </w:t>
            </w:r>
            <w:r w:rsidR="007A744E">
              <w:t xml:space="preserve">               </w:t>
            </w:r>
            <w:r>
              <w:t>0.007842</w:t>
            </w:r>
          </w:p>
          <w:p w14:paraId="22E86E4B" w14:textId="77777777" w:rsidR="00A9502E" w:rsidRPr="004B5178" w:rsidRDefault="00A9502E" w:rsidP="000C1C47"/>
          <w:p w14:paraId="49DBFA0E" w14:textId="2F2D478B" w:rsidR="00A9502E" w:rsidRDefault="00A9502E" w:rsidP="000C1C47"/>
          <w:p w14:paraId="771E6999" w14:textId="77777777" w:rsidR="00F47FBA" w:rsidRPr="004B5178" w:rsidRDefault="00F47FBA" w:rsidP="000C1C47"/>
          <w:p w14:paraId="1714B784" w14:textId="77777777" w:rsidR="00A9502E" w:rsidRPr="004B5178" w:rsidRDefault="00A9502E" w:rsidP="000C1C47"/>
          <w:p w14:paraId="10D100EC" w14:textId="77777777" w:rsidR="00A9502E" w:rsidRPr="004B5178" w:rsidRDefault="00A9502E" w:rsidP="000C1C47"/>
          <w:p w14:paraId="3D1D1987" w14:textId="77777777" w:rsidR="00A9502E" w:rsidRPr="004B5178" w:rsidRDefault="00A9502E" w:rsidP="000C1C47"/>
          <w:p w14:paraId="304C4549" w14:textId="77777777" w:rsidR="007A744E" w:rsidRPr="004B5178" w:rsidRDefault="007A744E" w:rsidP="007A744E">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5178">
              <w:rPr>
                <w:b/>
                <w:bCs/>
              </w:rPr>
              <w:t>Number of responses</w:t>
            </w:r>
            <w:r>
              <w:rPr>
                <w:b/>
                <w:bCs/>
              </w:rPr>
              <w:t xml:space="preserve">                                                                                              </w:t>
            </w:r>
            <w:r w:rsidRPr="004B5178">
              <w:rPr>
                <w:b/>
                <w:bCs/>
              </w:rPr>
              <w:t>Weight</w:t>
            </w:r>
          </w:p>
          <w:p w14:paraId="790ACA7F" w14:textId="77777777" w:rsidR="007A744E" w:rsidRPr="004B5178" w:rsidRDefault="007A744E" w:rsidP="007A744E">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w:t>
            </w:r>
          </w:p>
          <w:p w14:paraId="7D2DD822" w14:textId="2F5F20EE" w:rsidR="00A9502E" w:rsidRDefault="00A9502E" w:rsidP="000C1C47"/>
          <w:p w14:paraId="5F2400D7" w14:textId="06853E93" w:rsidR="007A744E" w:rsidRDefault="007A744E" w:rsidP="007A744E">
            <w:r>
              <w:t>3</w:t>
            </w:r>
            <w:r>
              <w:t xml:space="preserve">5 to </w:t>
            </w:r>
            <w:r w:rsidR="00123CCF">
              <w:t>4</w:t>
            </w:r>
            <w:r>
              <w:t xml:space="preserve">4                                     Yes, 1-9 hours a week                                   </w:t>
            </w:r>
            <w:r>
              <w:t>12,453</w:t>
            </w:r>
            <w:r>
              <w:t xml:space="preserve">         </w:t>
            </w:r>
            <w:r w:rsidR="00123CCF">
              <w:t xml:space="preserve">  </w:t>
            </w:r>
            <w:r>
              <w:t xml:space="preserve">     0.</w:t>
            </w:r>
            <w:r>
              <w:t>063743</w:t>
            </w:r>
          </w:p>
          <w:p w14:paraId="03412C40" w14:textId="3AE28D39" w:rsidR="007A744E" w:rsidRDefault="007A744E" w:rsidP="007A744E">
            <w:r>
              <w:t>3</w:t>
            </w:r>
            <w:r>
              <w:t xml:space="preserve">5 to </w:t>
            </w:r>
            <w:r w:rsidR="00123CCF">
              <w:t>4</w:t>
            </w:r>
            <w:r>
              <w:t xml:space="preserve">4                                     Yes, 10-19 hours a week                            </w:t>
            </w:r>
            <w:r>
              <w:t xml:space="preserve">  </w:t>
            </w:r>
            <w:r>
              <w:t xml:space="preserve">   </w:t>
            </w:r>
            <w:r w:rsidR="00123CCF">
              <w:t>2,371</w:t>
            </w:r>
            <w:r>
              <w:t xml:space="preserve">                0.006204</w:t>
            </w:r>
          </w:p>
          <w:p w14:paraId="764B3531" w14:textId="3A2CC590" w:rsidR="007A744E" w:rsidRDefault="007A744E" w:rsidP="007A744E">
            <w:r>
              <w:t>3</w:t>
            </w:r>
            <w:r>
              <w:t xml:space="preserve">5 to </w:t>
            </w:r>
            <w:r w:rsidR="00123CCF">
              <w:t>4</w:t>
            </w:r>
            <w:r>
              <w:t xml:space="preserve">4                                     Yes, 20-34 hours a week                                 </w:t>
            </w:r>
            <w:r w:rsidR="00123CCF">
              <w:t>1,576</w:t>
            </w:r>
            <w:r>
              <w:t xml:space="preserve">                0.004376</w:t>
            </w:r>
          </w:p>
          <w:p w14:paraId="3E447D82" w14:textId="4EC371E9" w:rsidR="007A744E" w:rsidRDefault="007A744E" w:rsidP="007A744E">
            <w:r>
              <w:t>3</w:t>
            </w:r>
            <w:r>
              <w:t xml:space="preserve">5 to </w:t>
            </w:r>
            <w:r w:rsidR="00123CCF">
              <w:t>4</w:t>
            </w:r>
            <w:r>
              <w:t xml:space="preserve">4                                     Yes, 35-49 hours a week                               </w:t>
            </w:r>
            <w:r>
              <w:t xml:space="preserve"> </w:t>
            </w:r>
            <w:r>
              <w:t xml:space="preserve"> </w:t>
            </w:r>
            <w:r w:rsidR="00123CCF">
              <w:t>1,308</w:t>
            </w:r>
            <w:r>
              <w:t xml:space="preserve">                  0.00345</w:t>
            </w:r>
          </w:p>
          <w:p w14:paraId="6F7F068D" w14:textId="30232D46" w:rsidR="007A744E" w:rsidRPr="004B5178" w:rsidRDefault="007A744E" w:rsidP="007A744E">
            <w:r>
              <w:t>3</w:t>
            </w:r>
            <w:r>
              <w:t xml:space="preserve">5 to </w:t>
            </w:r>
            <w:r w:rsidR="00123CCF">
              <w:t>4</w:t>
            </w:r>
            <w:r>
              <w:t xml:space="preserve">4                                     Yes, 50+ hours a week                                  </w:t>
            </w:r>
            <w:r>
              <w:t xml:space="preserve">  </w:t>
            </w:r>
            <w:r w:rsidR="00123CCF">
              <w:t>3,905</w:t>
            </w:r>
            <w:r>
              <w:t xml:space="preserve">                0.007842</w:t>
            </w:r>
          </w:p>
          <w:p w14:paraId="62C98829" w14:textId="77777777" w:rsidR="00A9502E" w:rsidRPr="004B5178" w:rsidRDefault="00A9502E" w:rsidP="000C1C47"/>
          <w:p w14:paraId="056EB5AE" w14:textId="018046DE" w:rsidR="00152B4F" w:rsidRDefault="00152B4F" w:rsidP="00152B4F">
            <w:r>
              <w:t>4</w:t>
            </w:r>
            <w:r>
              <w:t xml:space="preserve">5 to </w:t>
            </w:r>
            <w:r>
              <w:t>5</w:t>
            </w:r>
            <w:r>
              <w:t xml:space="preserve">4                                     Yes, 1-9 hours a week                                   </w:t>
            </w:r>
            <w:r>
              <w:t>27,058</w:t>
            </w:r>
            <w:r>
              <w:t xml:space="preserve">                </w:t>
            </w:r>
            <w:r>
              <w:t xml:space="preserve">    0.1385</w:t>
            </w:r>
          </w:p>
          <w:p w14:paraId="033C81FF" w14:textId="277460D5" w:rsidR="00152B4F" w:rsidRDefault="00152B4F" w:rsidP="00152B4F">
            <w:r>
              <w:t>4</w:t>
            </w:r>
            <w:r>
              <w:t xml:space="preserve">5 to </w:t>
            </w:r>
            <w:r>
              <w:t>5</w:t>
            </w:r>
            <w:r>
              <w:t xml:space="preserve">4                                     Yes, 10-19 hours a week                                 </w:t>
            </w:r>
            <w:r>
              <w:t>5,321</w:t>
            </w:r>
            <w:r>
              <w:t xml:space="preserve">                </w:t>
            </w:r>
            <w:r>
              <w:t>0.027236</w:t>
            </w:r>
          </w:p>
          <w:p w14:paraId="4353C670" w14:textId="54D69E0C" w:rsidR="00152B4F" w:rsidRDefault="00152B4F" w:rsidP="00152B4F">
            <w:r>
              <w:t>4</w:t>
            </w:r>
            <w:r>
              <w:t xml:space="preserve">5 to </w:t>
            </w:r>
            <w:r>
              <w:t>5</w:t>
            </w:r>
            <w:r>
              <w:t xml:space="preserve">4                                     Yes, 20-34 hours a week                                 </w:t>
            </w:r>
            <w:r>
              <w:t>2,915</w:t>
            </w:r>
            <w:r>
              <w:t xml:space="preserve">                </w:t>
            </w:r>
            <w:r>
              <w:t>0.014921</w:t>
            </w:r>
          </w:p>
          <w:p w14:paraId="7FF0965F" w14:textId="353C255B" w:rsidR="00152B4F" w:rsidRDefault="00152B4F" w:rsidP="00152B4F">
            <w:r>
              <w:t>4</w:t>
            </w:r>
            <w:r>
              <w:t xml:space="preserve">5 to </w:t>
            </w:r>
            <w:r>
              <w:t>5</w:t>
            </w:r>
            <w:r>
              <w:t xml:space="preserve">4                                     Yes, 35-49 hours a week                                 </w:t>
            </w:r>
            <w:r>
              <w:t>2,109</w:t>
            </w:r>
            <w:r>
              <w:t xml:space="preserve">                </w:t>
            </w:r>
            <w:r>
              <w:t>0.010795</w:t>
            </w:r>
          </w:p>
          <w:p w14:paraId="21D4398B" w14:textId="77777777" w:rsidR="00A9502E" w:rsidRDefault="00152B4F" w:rsidP="00152B4F">
            <w:r>
              <w:t>4</w:t>
            </w:r>
            <w:r>
              <w:t xml:space="preserve">5 to </w:t>
            </w:r>
            <w:r>
              <w:t>5</w:t>
            </w:r>
            <w:r>
              <w:t xml:space="preserve">4                                     Yes, 50+ hours a week                                    </w:t>
            </w:r>
            <w:r>
              <w:t>6,276</w:t>
            </w:r>
            <w:r>
              <w:t xml:space="preserve">                </w:t>
            </w:r>
            <w:r>
              <w:t>0.032125</w:t>
            </w:r>
          </w:p>
          <w:p w14:paraId="37C92F7B" w14:textId="77777777" w:rsidR="00152B4F" w:rsidRDefault="00152B4F" w:rsidP="00152B4F"/>
          <w:p w14:paraId="5037B4B2" w14:textId="77777777" w:rsidR="00152B4F" w:rsidRDefault="00152B4F" w:rsidP="00152B4F">
            <w:r>
              <w:t>45 to 54                                     Yes, 1-9 hours a week                                   27,058                    0.1385</w:t>
            </w:r>
          </w:p>
          <w:p w14:paraId="041BE03E" w14:textId="77777777" w:rsidR="00152B4F" w:rsidRDefault="00152B4F" w:rsidP="00152B4F">
            <w:r>
              <w:t>45 to 54                                     Yes, 10-19 hours a week                                 5,321                0.027236</w:t>
            </w:r>
          </w:p>
          <w:p w14:paraId="3C765A41" w14:textId="77777777" w:rsidR="00152B4F" w:rsidRDefault="00152B4F" w:rsidP="00152B4F">
            <w:r>
              <w:t>45 to 54                                     Yes, 20-34 hours a week                                 2,915                0.014921</w:t>
            </w:r>
          </w:p>
          <w:p w14:paraId="23713E24" w14:textId="77777777" w:rsidR="00152B4F" w:rsidRDefault="00152B4F" w:rsidP="00152B4F">
            <w:r>
              <w:t>45 to 54                                     Yes, 35-49 hours a week                                 2,109                0.010795</w:t>
            </w:r>
          </w:p>
          <w:p w14:paraId="115EFC40" w14:textId="77777777" w:rsidR="00152B4F" w:rsidRDefault="00152B4F" w:rsidP="00152B4F">
            <w:r>
              <w:t>45 to 54                                     Yes, 50+ hours a week                                    6,276                0.032125</w:t>
            </w:r>
          </w:p>
          <w:p w14:paraId="0BB4AE87" w14:textId="77777777" w:rsidR="00152B4F" w:rsidRDefault="00152B4F" w:rsidP="00152B4F"/>
          <w:p w14:paraId="29A1D055" w14:textId="14721B9A" w:rsidR="00152B4F" w:rsidRDefault="00152B4F" w:rsidP="00152B4F">
            <w:r>
              <w:t>5</w:t>
            </w:r>
            <w:r>
              <w:t xml:space="preserve">5 to </w:t>
            </w:r>
            <w:r>
              <w:t>6</w:t>
            </w:r>
            <w:r>
              <w:t xml:space="preserve">4                                     Yes, 1-9 hours a week                                   </w:t>
            </w:r>
            <w:r>
              <w:t>31,634</w:t>
            </w:r>
            <w:r>
              <w:t xml:space="preserve">                </w:t>
            </w:r>
            <w:r>
              <w:t>0.161923</w:t>
            </w:r>
          </w:p>
          <w:p w14:paraId="3FC20DB1" w14:textId="4CC1449A" w:rsidR="00152B4F" w:rsidRDefault="00152B4F" w:rsidP="00152B4F">
            <w:r>
              <w:t>5</w:t>
            </w:r>
            <w:r>
              <w:t xml:space="preserve">5 to </w:t>
            </w:r>
            <w:r>
              <w:t>6</w:t>
            </w:r>
            <w:r>
              <w:t xml:space="preserve">4                                     Yes, 10-19 hours a week                                 </w:t>
            </w:r>
            <w:r>
              <w:t>7,272</w:t>
            </w:r>
            <w:r>
              <w:t xml:space="preserve">                </w:t>
            </w:r>
            <w:r>
              <w:t>0.037223</w:t>
            </w:r>
          </w:p>
          <w:p w14:paraId="12941DB7" w14:textId="765545B5" w:rsidR="00152B4F" w:rsidRDefault="00152B4F" w:rsidP="00152B4F">
            <w:r>
              <w:t>5</w:t>
            </w:r>
            <w:r>
              <w:t xml:space="preserve">5 to </w:t>
            </w:r>
            <w:r>
              <w:t>6</w:t>
            </w:r>
            <w:r>
              <w:t xml:space="preserve">4                                     Yes, 20-34 hours a week                                 </w:t>
            </w:r>
            <w:r>
              <w:t>3,795</w:t>
            </w:r>
            <w:r>
              <w:t xml:space="preserve">                </w:t>
            </w:r>
            <w:r>
              <w:t>0.019425</w:t>
            </w:r>
          </w:p>
          <w:p w14:paraId="5744A3DC" w14:textId="184C0A69" w:rsidR="00152B4F" w:rsidRDefault="00152B4F" w:rsidP="00152B4F">
            <w:r>
              <w:t>5</w:t>
            </w:r>
            <w:r>
              <w:t xml:space="preserve">5 to </w:t>
            </w:r>
            <w:r>
              <w:t>6</w:t>
            </w:r>
            <w:r>
              <w:t xml:space="preserve">4                                     Yes, 35-49 hours a week                                 </w:t>
            </w:r>
            <w:r>
              <w:t>2,290</w:t>
            </w:r>
            <w:r>
              <w:t xml:space="preserve">                </w:t>
            </w:r>
            <w:r>
              <w:t>0.011722</w:t>
            </w:r>
          </w:p>
          <w:p w14:paraId="0C2DA2AD" w14:textId="0A085829" w:rsidR="00152B4F" w:rsidRDefault="00152B4F" w:rsidP="00152B4F">
            <w:r>
              <w:t>5</w:t>
            </w:r>
            <w:r>
              <w:t xml:space="preserve">5 to </w:t>
            </w:r>
            <w:r>
              <w:t>6</w:t>
            </w:r>
            <w:r>
              <w:t xml:space="preserve">4                                     Yes, 50+ hours a week                                    </w:t>
            </w:r>
            <w:r>
              <w:t>9,224</w:t>
            </w:r>
            <w:r>
              <w:t xml:space="preserve">                </w:t>
            </w:r>
            <w:r>
              <w:t>0.047214</w:t>
            </w:r>
          </w:p>
          <w:p w14:paraId="52A2F013" w14:textId="77777777" w:rsidR="00152B4F" w:rsidRDefault="00152B4F" w:rsidP="00152B4F"/>
          <w:p w14:paraId="32D74CBF" w14:textId="6A659353" w:rsidR="00152B4F" w:rsidRDefault="00152B4F" w:rsidP="00152B4F">
            <w:r>
              <w:t>75</w:t>
            </w:r>
            <w:r>
              <w:t xml:space="preserve"> to </w:t>
            </w:r>
            <w:r>
              <w:t>7</w:t>
            </w:r>
            <w:r>
              <w:t xml:space="preserve">4                                     Yes, 1-9 hours a week                                   </w:t>
            </w:r>
            <w:r>
              <w:t>18,487</w:t>
            </w:r>
            <w:r>
              <w:t xml:space="preserve">                </w:t>
            </w:r>
            <w:r>
              <w:t>0.094628</w:t>
            </w:r>
          </w:p>
          <w:p w14:paraId="08A81754" w14:textId="3CA469FE" w:rsidR="00152B4F" w:rsidRDefault="00152B4F" w:rsidP="00152B4F">
            <w:r>
              <w:t>7</w:t>
            </w:r>
            <w:r>
              <w:t xml:space="preserve">5 to </w:t>
            </w:r>
            <w:r>
              <w:t>7</w:t>
            </w:r>
            <w:r>
              <w:t xml:space="preserve">4                                     Yes, 10-19 hours a week                                 </w:t>
            </w:r>
            <w:r>
              <w:t>4,224</w:t>
            </w:r>
            <w:r>
              <w:t xml:space="preserve">                </w:t>
            </w:r>
            <w:r>
              <w:t>0.021621</w:t>
            </w:r>
          </w:p>
          <w:p w14:paraId="3393A01F" w14:textId="550F686F" w:rsidR="00152B4F" w:rsidRDefault="00152B4F" w:rsidP="00152B4F">
            <w:r>
              <w:t>7</w:t>
            </w:r>
            <w:r>
              <w:t xml:space="preserve">5 to </w:t>
            </w:r>
            <w:r>
              <w:t>7</w:t>
            </w:r>
            <w:r>
              <w:t xml:space="preserve">4                                     Yes, 20-34 hours a week                                 </w:t>
            </w:r>
            <w:r>
              <w:t>2,601</w:t>
            </w:r>
            <w:r>
              <w:t xml:space="preserve">                </w:t>
            </w:r>
            <w:r>
              <w:t>0.013314</w:t>
            </w:r>
          </w:p>
          <w:p w14:paraId="41729E5A" w14:textId="5D5C2F67" w:rsidR="00152B4F" w:rsidRDefault="00152B4F" w:rsidP="00152B4F">
            <w:r>
              <w:t>7</w:t>
            </w:r>
            <w:r>
              <w:t xml:space="preserve">5 to </w:t>
            </w:r>
            <w:r>
              <w:t>7</w:t>
            </w:r>
            <w:r>
              <w:t xml:space="preserve">4                                     Yes, 35-49 hours a week                                 </w:t>
            </w:r>
            <w:r>
              <w:t>1,534</w:t>
            </w:r>
            <w:r>
              <w:t xml:space="preserve">                0.0</w:t>
            </w:r>
            <w:r>
              <w:t>07852</w:t>
            </w:r>
          </w:p>
          <w:p w14:paraId="00AC8D1B" w14:textId="2F0023B5" w:rsidR="00152B4F" w:rsidRDefault="00152B4F" w:rsidP="00152B4F">
            <w:r>
              <w:t>7</w:t>
            </w:r>
            <w:r>
              <w:t xml:space="preserve">5 to </w:t>
            </w:r>
            <w:r>
              <w:t>7</w:t>
            </w:r>
            <w:r>
              <w:t xml:space="preserve">4                                     Yes, 50+ hours a week                                    </w:t>
            </w:r>
            <w:r>
              <w:t>9,823</w:t>
            </w:r>
            <w:r>
              <w:t xml:space="preserve">                </w:t>
            </w:r>
            <w:r>
              <w:t>0.050281</w:t>
            </w:r>
          </w:p>
          <w:p w14:paraId="016BC7A0" w14:textId="1ED606D7" w:rsidR="00152B4F" w:rsidRDefault="00152B4F" w:rsidP="00152B4F"/>
          <w:p w14:paraId="13D1250D" w14:textId="59871284" w:rsidR="00152B4F" w:rsidRDefault="00152B4F" w:rsidP="00152B4F"/>
          <w:p w14:paraId="2DDE2949" w14:textId="3EE290B7" w:rsidR="00152B4F" w:rsidRDefault="00152B4F" w:rsidP="00152B4F"/>
          <w:p w14:paraId="168DE808" w14:textId="77777777" w:rsidR="00152B4F" w:rsidRPr="004B5178" w:rsidRDefault="00152B4F" w:rsidP="00152B4F">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5178">
              <w:rPr>
                <w:b/>
                <w:bCs/>
              </w:rPr>
              <w:t>Number of responses</w:t>
            </w:r>
            <w:r>
              <w:rPr>
                <w:b/>
                <w:bCs/>
              </w:rPr>
              <w:t xml:space="preserve">                                                                                              </w:t>
            </w:r>
            <w:r w:rsidRPr="004B5178">
              <w:rPr>
                <w:b/>
                <w:bCs/>
              </w:rPr>
              <w:t>Weight</w:t>
            </w:r>
          </w:p>
          <w:p w14:paraId="5D0B363F" w14:textId="77777777" w:rsidR="00152B4F" w:rsidRPr="004B5178" w:rsidRDefault="00152B4F" w:rsidP="00152B4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w:t>
            </w:r>
          </w:p>
          <w:p w14:paraId="122D09B3" w14:textId="77777777" w:rsidR="00152B4F" w:rsidRDefault="00152B4F" w:rsidP="00152B4F"/>
          <w:p w14:paraId="64D9C056" w14:textId="6DFDAFA5" w:rsidR="00152B4F" w:rsidRDefault="00286153" w:rsidP="00152B4F">
            <w:r>
              <w:t>7</w:t>
            </w:r>
            <w:r w:rsidR="00152B4F">
              <w:t xml:space="preserve">5 to </w:t>
            </w:r>
            <w:r>
              <w:t>8</w:t>
            </w:r>
            <w:r w:rsidR="00152B4F">
              <w:t xml:space="preserve">4                                     Yes, 1-9 hours a week                                  </w:t>
            </w:r>
            <w:r w:rsidR="00F47FBA">
              <w:t xml:space="preserve">  </w:t>
            </w:r>
            <w:r w:rsidR="00152B4F">
              <w:t xml:space="preserve"> </w:t>
            </w:r>
            <w:r w:rsidR="00F47FBA">
              <w:t>6,782</w:t>
            </w:r>
            <w:r w:rsidR="00152B4F">
              <w:t xml:space="preserve">                0.0</w:t>
            </w:r>
            <w:r w:rsidR="00F47FBA">
              <w:t>34715</w:t>
            </w:r>
          </w:p>
          <w:p w14:paraId="10B498CF" w14:textId="14C2BB31" w:rsidR="00152B4F" w:rsidRDefault="00286153" w:rsidP="00152B4F">
            <w:r>
              <w:t>7</w:t>
            </w:r>
            <w:r w:rsidR="00152B4F">
              <w:t xml:space="preserve">5 to </w:t>
            </w:r>
            <w:r>
              <w:t>8</w:t>
            </w:r>
            <w:r w:rsidR="00152B4F">
              <w:t xml:space="preserve">4                                     Yes, 10-19 hours a week                                 </w:t>
            </w:r>
            <w:r w:rsidR="00F47FBA">
              <w:t>1,546</w:t>
            </w:r>
            <w:r w:rsidR="00152B4F">
              <w:t xml:space="preserve">                0.00</w:t>
            </w:r>
            <w:r w:rsidR="00F47FBA">
              <w:t>7913</w:t>
            </w:r>
          </w:p>
          <w:p w14:paraId="7B56F072" w14:textId="265DA716" w:rsidR="00152B4F" w:rsidRDefault="00286153" w:rsidP="00152B4F">
            <w:r>
              <w:t>7</w:t>
            </w:r>
            <w:r w:rsidR="00152B4F">
              <w:t xml:space="preserve">5 to </w:t>
            </w:r>
            <w:r>
              <w:t>8</w:t>
            </w:r>
            <w:r w:rsidR="00152B4F">
              <w:t>4                                     Yes, 20-34 hours a week                                 1,</w:t>
            </w:r>
            <w:r w:rsidR="00F47FBA">
              <w:t>287</w:t>
            </w:r>
            <w:r w:rsidR="00152B4F">
              <w:t xml:space="preserve">                0.00</w:t>
            </w:r>
            <w:r w:rsidR="00F47FBA">
              <w:t>6588</w:t>
            </w:r>
          </w:p>
          <w:p w14:paraId="51534EE8" w14:textId="5D2A60C2" w:rsidR="00152B4F" w:rsidRDefault="00286153" w:rsidP="00152B4F">
            <w:r>
              <w:t>7</w:t>
            </w:r>
            <w:r w:rsidR="00152B4F">
              <w:t xml:space="preserve">5 to </w:t>
            </w:r>
            <w:r>
              <w:t>8</w:t>
            </w:r>
            <w:r w:rsidR="00152B4F">
              <w:t xml:space="preserve">4                                     Yes, 35-49 hours a week                                 </w:t>
            </w:r>
            <w:r w:rsidR="00F47FBA">
              <w:t xml:space="preserve">   798</w:t>
            </w:r>
            <w:r w:rsidR="00152B4F">
              <w:t xml:space="preserve">                </w:t>
            </w:r>
            <w:r w:rsidR="00F47FBA">
              <w:t>0.004085</w:t>
            </w:r>
          </w:p>
          <w:p w14:paraId="0407001D" w14:textId="1F46D28A" w:rsidR="00152B4F" w:rsidRDefault="00286153" w:rsidP="00152B4F">
            <w:r>
              <w:t>7</w:t>
            </w:r>
            <w:r w:rsidR="00152B4F">
              <w:t xml:space="preserve">5 to </w:t>
            </w:r>
            <w:r>
              <w:t>8</w:t>
            </w:r>
            <w:r w:rsidR="00152B4F">
              <w:t xml:space="preserve">4                                     Yes, 50+ hours a week                                    </w:t>
            </w:r>
            <w:r w:rsidR="00F47FBA">
              <w:t>7,333</w:t>
            </w:r>
            <w:r w:rsidR="00152B4F">
              <w:t xml:space="preserve">                0.</w:t>
            </w:r>
            <w:r w:rsidR="00F47FBA">
              <w:t>037535</w:t>
            </w:r>
          </w:p>
          <w:p w14:paraId="7B07C707" w14:textId="746B6202" w:rsidR="00F47FBA" w:rsidRDefault="00F47FBA" w:rsidP="00152B4F"/>
          <w:p w14:paraId="3F634359" w14:textId="370E6683" w:rsidR="00F47FBA" w:rsidRDefault="00F47FBA" w:rsidP="00F47FBA">
            <w:r>
              <w:t>8</w:t>
            </w:r>
            <w:r>
              <w:t xml:space="preserve">5 </w:t>
            </w:r>
            <w:r>
              <w:t>or</w:t>
            </w:r>
            <w:r>
              <w:t xml:space="preserve"> </w:t>
            </w:r>
            <w:r>
              <w:t>over</w:t>
            </w:r>
            <w:r>
              <w:t xml:space="preserve">                                  Yes, 1-9 hours a week                                     6,782                0.034715</w:t>
            </w:r>
          </w:p>
          <w:p w14:paraId="5E1B8FC9" w14:textId="35B74F3A" w:rsidR="00F47FBA" w:rsidRDefault="00F47FBA" w:rsidP="00F47FBA">
            <w:r w:rsidRPr="00F47FBA">
              <w:t>85 or over</w:t>
            </w:r>
            <w:r w:rsidRPr="00F47FBA">
              <w:t xml:space="preserve"> </w:t>
            </w:r>
            <w:r>
              <w:t xml:space="preserve">                                 </w:t>
            </w:r>
            <w:r>
              <w:t>Yes, 10-19 hours a week                                 1,546                0.007913</w:t>
            </w:r>
          </w:p>
          <w:p w14:paraId="626805C8" w14:textId="73B75DDA" w:rsidR="00F47FBA" w:rsidRDefault="00F47FBA" w:rsidP="00F47FBA">
            <w:r w:rsidRPr="00F47FBA">
              <w:t>85 or over</w:t>
            </w:r>
            <w:r w:rsidRPr="00F47FBA">
              <w:t xml:space="preserve"> </w:t>
            </w:r>
            <w:r>
              <w:t xml:space="preserve">                                 </w:t>
            </w:r>
            <w:r>
              <w:t>Yes, 20-34 hours a week                                 1,287                0.006588</w:t>
            </w:r>
          </w:p>
          <w:p w14:paraId="4BB2BBD9" w14:textId="41B9C225" w:rsidR="00F47FBA" w:rsidRDefault="00F47FBA" w:rsidP="00F47FBA">
            <w:r w:rsidRPr="00F47FBA">
              <w:t>85 or over</w:t>
            </w:r>
            <w:r>
              <w:t xml:space="preserve">                                 </w:t>
            </w:r>
            <w:r w:rsidRPr="00F47FBA">
              <w:t xml:space="preserve"> </w:t>
            </w:r>
            <w:r>
              <w:t>Yes, 35-49 hours a week                                    798                0.004085</w:t>
            </w:r>
          </w:p>
          <w:p w14:paraId="569BDA57" w14:textId="6DA74EC1" w:rsidR="00F47FBA" w:rsidRPr="004B5178" w:rsidRDefault="00F47FBA" w:rsidP="00F47FBA">
            <w:r w:rsidRPr="00F47FBA">
              <w:t>85 or over</w:t>
            </w:r>
            <w:r w:rsidRPr="00F47FBA">
              <w:t xml:space="preserve"> </w:t>
            </w:r>
            <w:r>
              <w:t xml:space="preserve">                                 </w:t>
            </w:r>
            <w:r>
              <w:t>Yes, 50+ hours a week                                    7,333                0.037535</w:t>
            </w:r>
          </w:p>
          <w:p w14:paraId="1B9C063E" w14:textId="011C5B76" w:rsidR="00152B4F" w:rsidRPr="00F47FBA" w:rsidRDefault="00F47FBA" w:rsidP="00F47FBA">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F47FBA">
              <w:rPr>
                <w:b/>
                <w:bCs/>
              </w:rPr>
              <w:t>Total                                                                                                                195,364                     1</w:t>
            </w:r>
          </w:p>
          <w:p w14:paraId="14D682FE" w14:textId="046BFAD5" w:rsidR="00152B4F" w:rsidRDefault="00152B4F" w:rsidP="00152B4F"/>
          <w:p w14:paraId="16F66E7C" w14:textId="2A113A72" w:rsidR="00152B4F" w:rsidRPr="004B5178" w:rsidRDefault="00152B4F" w:rsidP="00152B4F"/>
        </w:tc>
        <w:tc>
          <w:tcPr>
            <w:tcW w:w="12563" w:type="dxa"/>
          </w:tcPr>
          <w:p w14:paraId="6D2D5B30" w14:textId="77777777" w:rsidR="00A9502E" w:rsidRPr="004B5178" w:rsidRDefault="00A9502E" w:rsidP="000C1C47"/>
        </w:tc>
      </w:tr>
      <w:tr w:rsidR="00A9502E" w:rsidRPr="004B5178" w14:paraId="368FACC3" w14:textId="00102093" w:rsidTr="008A4F7F">
        <w:trPr>
          <w:trHeight w:val="1706"/>
        </w:trPr>
        <w:tc>
          <w:tcPr>
            <w:tcW w:w="2624" w:type="dxa"/>
          </w:tcPr>
          <w:p w14:paraId="25BA8B81" w14:textId="77777777" w:rsidR="00A9502E" w:rsidRPr="004B5178" w:rsidRDefault="00A9502E" w:rsidP="000C1C47"/>
        </w:tc>
        <w:tc>
          <w:tcPr>
            <w:tcW w:w="12563" w:type="dxa"/>
          </w:tcPr>
          <w:p w14:paraId="60D27C50" w14:textId="77777777" w:rsidR="00F47FBA" w:rsidRDefault="00F47FBA" w:rsidP="000C1C47"/>
          <w:p w14:paraId="0086A251" w14:textId="64C7D20F" w:rsidR="00A9502E" w:rsidRPr="004B5178" w:rsidRDefault="00A9502E" w:rsidP="000C1C47">
            <w:r w:rsidRPr="004B5178">
              <w:t>It is argued that this would help to control for changes to the population with long-term conditions, as an older frailer population are likely to require more intensive care and this would be expected to have a greater impact on the health status of carers, independently of the quality of care provided by the NHS.</w:t>
            </w:r>
          </w:p>
          <w:p w14:paraId="480DB7B8" w14:textId="77777777" w:rsidR="00A9502E" w:rsidRPr="004B5178" w:rsidRDefault="00A9502E" w:rsidP="000C1C47"/>
          <w:p w14:paraId="514DF3D2" w14:textId="77777777" w:rsidR="00A9502E" w:rsidRPr="004B5178" w:rsidRDefault="00A9502E" w:rsidP="000C1C47"/>
        </w:tc>
        <w:tc>
          <w:tcPr>
            <w:tcW w:w="12563" w:type="dxa"/>
          </w:tcPr>
          <w:p w14:paraId="05BE5CAE" w14:textId="77777777" w:rsidR="00A9502E" w:rsidRPr="004B5178" w:rsidRDefault="00A9502E" w:rsidP="000C1C47"/>
        </w:tc>
      </w:tr>
      <w:tr w:rsidR="00A9502E" w:rsidRPr="004B5178" w14:paraId="5A3248B7" w14:textId="72F6384E" w:rsidTr="008A4F7F">
        <w:trPr>
          <w:trHeight w:val="2443"/>
        </w:trPr>
        <w:tc>
          <w:tcPr>
            <w:tcW w:w="2624" w:type="dxa"/>
          </w:tcPr>
          <w:p w14:paraId="40E376C7" w14:textId="77777777" w:rsidR="00A9502E" w:rsidRPr="004B5178" w:rsidRDefault="00A9502E" w:rsidP="000C1C47">
            <w:r w:rsidRPr="004B5178">
              <w:lastRenderedPageBreak/>
              <w:t>Updated Potential Issues</w:t>
            </w:r>
          </w:p>
        </w:tc>
        <w:tc>
          <w:tcPr>
            <w:tcW w:w="12563" w:type="dxa"/>
          </w:tcPr>
          <w:p w14:paraId="71508423" w14:textId="77777777" w:rsidR="00A9502E" w:rsidRPr="004B5178" w:rsidRDefault="00A9502E" w:rsidP="000C1C47">
            <w:r w:rsidRPr="004B5178">
              <w:t xml:space="preserve">With the additional standardisation by the number of hours cared there is concern that there could be some degree of endogeneity, that, to some extent, the hours spent caring could be a function of the quality of care provided by the NHS to the person cared for. </w:t>
            </w:r>
          </w:p>
          <w:p w14:paraId="38EA165F" w14:textId="77777777" w:rsidR="00A9502E" w:rsidRPr="004B5178" w:rsidRDefault="00A9502E" w:rsidP="000C1C47"/>
          <w:p w14:paraId="07690478" w14:textId="77777777" w:rsidR="00A9502E" w:rsidRPr="004B5178" w:rsidRDefault="00A9502E" w:rsidP="000C1C47">
            <w:r w:rsidRPr="004B5178">
              <w:t xml:space="preserve">In this way, if NHS quality of care for people with LTCs deteriorates, the hours that carers need to spend caring could increase, which could lead to reduced EQ-5D scores for carers (this is a common result in the literature, referenced here: </w:t>
            </w:r>
            <w:hyperlink r:id="rId12" w:history="1">
              <w:r w:rsidRPr="004B5178">
                <w:t>http://www.oecd.org/els/health-systems/47884865.pdf</w:t>
              </w:r>
            </w:hyperlink>
            <w:r w:rsidRPr="004B5178">
              <w:t xml:space="preserve">). </w:t>
            </w:r>
          </w:p>
          <w:p w14:paraId="62DD2DC8" w14:textId="77777777" w:rsidR="00A9502E" w:rsidRPr="004B5178" w:rsidRDefault="00A9502E" w:rsidP="000C1C47"/>
        </w:tc>
        <w:tc>
          <w:tcPr>
            <w:tcW w:w="12563" w:type="dxa"/>
          </w:tcPr>
          <w:p w14:paraId="6ADAFF90" w14:textId="77777777" w:rsidR="00A9502E" w:rsidRPr="004B5178" w:rsidRDefault="00A9502E" w:rsidP="000C1C47"/>
        </w:tc>
      </w:tr>
    </w:tbl>
    <w:p w14:paraId="561C865F" w14:textId="0BAE4F61" w:rsidR="000967BB" w:rsidRPr="004B5178" w:rsidRDefault="000967BB" w:rsidP="000C1C47">
      <w:pPr>
        <w:rPr>
          <w:b/>
        </w:rPr>
      </w:pPr>
    </w:p>
    <w:p w14:paraId="3927F290" w14:textId="77777777" w:rsidR="000967BB" w:rsidRPr="004B5178" w:rsidRDefault="000967BB">
      <w:pPr>
        <w:rPr>
          <w:b/>
        </w:rPr>
      </w:pPr>
      <w:r w:rsidRPr="004B5178">
        <w:rPr>
          <w:b/>
        </w:rPr>
        <w:br w:type="page"/>
      </w:r>
    </w:p>
    <w:p w14:paraId="1F5BC7F3" w14:textId="77777777" w:rsidR="000C1C47" w:rsidRPr="004B5178" w:rsidRDefault="000C1C47" w:rsidP="000C1C47">
      <w:pPr>
        <w:ind w:left="-851"/>
      </w:pPr>
      <w:r w:rsidRPr="004B5178">
        <w:lastRenderedPageBreak/>
        <w:t>Recommendations, Comments &amp; Updates:</w:t>
      </w:r>
    </w:p>
    <w:p w14:paraId="1F127C29" w14:textId="77777777" w:rsidR="000C1C47" w:rsidRPr="004B5178" w:rsidRDefault="000C1C47" w:rsidP="000C1C47">
      <w:pPr>
        <w:ind w:left="-851"/>
      </w:pPr>
      <w:r w:rsidRPr="004B5178">
        <w:t>Following MRG appraisal 31</w:t>
      </w:r>
      <w:r w:rsidRPr="004B5178">
        <w:rPr>
          <w:vertAlign w:val="superscript"/>
        </w:rPr>
        <w:t>st</w:t>
      </w:r>
      <w:r w:rsidRPr="004B5178">
        <w:t xml:space="preserve"> May 2013</w:t>
      </w:r>
    </w:p>
    <w:p w14:paraId="50DB6B17" w14:textId="1DEA8852" w:rsidR="000C1C47" w:rsidRDefault="000C1C47" w:rsidP="000C1C47">
      <w:pPr>
        <w:ind w:left="-567"/>
      </w:pPr>
    </w:p>
    <w:p w14:paraId="497C60C5" w14:textId="0401B26A" w:rsidR="008A4F7F" w:rsidRPr="004B5178" w:rsidRDefault="004F579E" w:rsidP="000C1C47">
      <w:pPr>
        <w:ind w:left="-567"/>
      </w:pPr>
      <w:r>
        <w:t xml:space="preserve">          </w:t>
      </w:r>
      <w:r w:rsidR="008A4F7F" w:rsidRPr="008A4F7F">
        <w:t>IAS Ref Code:</w:t>
      </w:r>
    </w:p>
    <w:tbl>
      <w:tblPr>
        <w:tblStyle w:val="TableGrid"/>
        <w:tblW w:w="15168" w:type="dxa"/>
        <w:tblInd w:w="-5" w:type="dxa"/>
        <w:tblLayout w:type="fixed"/>
        <w:tblLook w:val="01E0" w:firstRow="1" w:lastRow="1" w:firstColumn="1" w:lastColumn="1" w:noHBand="0" w:noVBand="0"/>
      </w:tblPr>
      <w:tblGrid>
        <w:gridCol w:w="15168"/>
      </w:tblGrid>
      <w:tr w:rsidR="008A4F7F" w:rsidRPr="004B5178" w14:paraId="4F224752" w14:textId="77777777" w:rsidTr="004F579E">
        <w:tc>
          <w:tcPr>
            <w:tcW w:w="15168" w:type="dxa"/>
          </w:tcPr>
          <w:p w14:paraId="0CA833E4" w14:textId="77777777" w:rsidR="008A4F7F" w:rsidRPr="004B5178" w:rsidRDefault="008A4F7F" w:rsidP="000C1C47">
            <w:pPr>
              <w:rPr>
                <w:b/>
              </w:rPr>
            </w:pPr>
            <w:r w:rsidRPr="004B5178">
              <w:rPr>
                <w:b/>
              </w:rPr>
              <w:t>Indicator Title</w:t>
            </w:r>
          </w:p>
        </w:tc>
      </w:tr>
      <w:tr w:rsidR="008A4F7F" w:rsidRPr="004B5178" w14:paraId="46662D21" w14:textId="77777777" w:rsidTr="004F579E">
        <w:tc>
          <w:tcPr>
            <w:tcW w:w="15168" w:type="dxa"/>
          </w:tcPr>
          <w:p w14:paraId="7116FB70" w14:textId="77777777" w:rsidR="008A4F7F" w:rsidRPr="004B5178" w:rsidRDefault="008A4F7F" w:rsidP="000C1C47">
            <w:r w:rsidRPr="004B5178">
              <w:t>Indicator Set</w:t>
            </w:r>
          </w:p>
        </w:tc>
      </w:tr>
    </w:tbl>
    <w:p w14:paraId="2EC579FC" w14:textId="77777777" w:rsidR="008A4F7F" w:rsidRPr="004B5178" w:rsidRDefault="008A4F7F" w:rsidP="000C1C47">
      <w:pPr>
        <w:ind w:left="-540"/>
        <w:rPr>
          <w:b/>
        </w:rPr>
      </w:pPr>
    </w:p>
    <w:tbl>
      <w:tblPr>
        <w:tblStyle w:val="TableGrid"/>
        <w:tblW w:w="15187" w:type="dxa"/>
        <w:tblLayout w:type="fixed"/>
        <w:tblLook w:val="01E0" w:firstRow="1" w:lastRow="1" w:firstColumn="1" w:lastColumn="1" w:noHBand="0" w:noVBand="0"/>
      </w:tblPr>
      <w:tblGrid>
        <w:gridCol w:w="1844"/>
        <w:gridCol w:w="13343"/>
      </w:tblGrid>
      <w:tr w:rsidR="004B5178" w:rsidRPr="004B5178" w14:paraId="3040A195" w14:textId="77777777" w:rsidTr="008A4F7F">
        <w:tc>
          <w:tcPr>
            <w:tcW w:w="1844" w:type="dxa"/>
          </w:tcPr>
          <w:p w14:paraId="5C1557BF" w14:textId="77777777" w:rsidR="000C1C47" w:rsidRPr="004B5178" w:rsidRDefault="000C1C47" w:rsidP="000C1C47">
            <w:r w:rsidRPr="004B5178">
              <w:t>Ref code</w:t>
            </w:r>
          </w:p>
          <w:p w14:paraId="39D4345F" w14:textId="77777777" w:rsidR="000C1C47" w:rsidRPr="004B5178" w:rsidRDefault="000C1C47" w:rsidP="000C1C47">
            <w:pPr>
              <w:rPr>
                <w:b/>
              </w:rPr>
            </w:pPr>
            <w:r w:rsidRPr="004B5178">
              <w:rPr>
                <w:b/>
              </w:rPr>
              <w:t>2013/28</w:t>
            </w:r>
          </w:p>
          <w:p w14:paraId="1CE9EF44" w14:textId="77777777" w:rsidR="000C1C47" w:rsidRPr="004B5178" w:rsidRDefault="000C1C47" w:rsidP="000C1C47">
            <w:r w:rsidRPr="004B5178">
              <w:t>Made: 31/05/13</w:t>
            </w:r>
          </w:p>
        </w:tc>
        <w:tc>
          <w:tcPr>
            <w:tcW w:w="13343" w:type="dxa"/>
          </w:tcPr>
          <w:p w14:paraId="558CB382" w14:textId="77777777" w:rsidR="000C1C47" w:rsidRPr="004B5178" w:rsidRDefault="000C1C47" w:rsidP="000C1C47">
            <w:r w:rsidRPr="004B5178">
              <w:t xml:space="preserve">Following feedback from peer reviewers DH proposed just standardising by age for indicator 2.4. </w:t>
            </w:r>
          </w:p>
          <w:p w14:paraId="11CF57B9" w14:textId="77777777" w:rsidR="000C1C47" w:rsidRPr="004B5178" w:rsidRDefault="000C1C47" w:rsidP="000C1C47">
            <w:r w:rsidRPr="004B5178">
              <w:t xml:space="preserve">MRG would prefer to see additional analysis carried out first, rather than abandoning the currently proposed standardisation by number of hours cared for those with long term conditions. This was an issue highlighted during a previous discussion as a potential impact on quality of life for carers. </w:t>
            </w:r>
          </w:p>
          <w:p w14:paraId="5A651159" w14:textId="77777777" w:rsidR="000C1C47" w:rsidRPr="004B5178" w:rsidRDefault="000C1C47" w:rsidP="000C1C47"/>
          <w:p w14:paraId="7257658F" w14:textId="77777777" w:rsidR="000C1C47" w:rsidRPr="004B5178" w:rsidRDefault="000C1C47" w:rsidP="000C1C47">
            <w:r w:rsidRPr="004B5178">
              <w:t>MRG commented that the reasons for adjusting should be based on the rationale / underlying reasons for the indicator. It would be worth exploring / modelling potential relationships between variables. Based on the outcome of this research , the decision can then be made on whether to adjust, and subsequently state in the rationale why / why not a particular adjustment has been used and what the indicator can / cannot be used for, e.g. comparison.</w:t>
            </w:r>
          </w:p>
          <w:p w14:paraId="1DE0242D" w14:textId="77777777" w:rsidR="000C1C47" w:rsidRPr="004B5178" w:rsidRDefault="000C1C47" w:rsidP="000C1C47"/>
          <w:p w14:paraId="3AD88453" w14:textId="77777777" w:rsidR="000C1C47" w:rsidRPr="004B5178" w:rsidRDefault="000C1C47" w:rsidP="000C1C47">
            <w:r w:rsidRPr="004B5178">
              <w:t>There was an additional peer review suggestion to standardise by gender for indicator 2.4. MRG would like to see additional analysis carried out on the potential impacts of standardisation as follows:</w:t>
            </w:r>
          </w:p>
          <w:p w14:paraId="1F5943EA" w14:textId="77777777" w:rsidR="000C1C47" w:rsidRPr="004B5178" w:rsidRDefault="000C1C47" w:rsidP="000C1C47">
            <w:r w:rsidRPr="004B5178">
              <w:t>2.1 – age, additionally investigating impacts of small numbers in age bands for the CCGOIS version of this indicator.</w:t>
            </w:r>
          </w:p>
          <w:p w14:paraId="3E8F20BB" w14:textId="77777777" w:rsidR="000C1C47" w:rsidRPr="004B5178" w:rsidRDefault="000C1C47" w:rsidP="000C1C47">
            <w:r w:rsidRPr="004B5178">
              <w:t>2.4 – age, gender, number of hours cared for persons with long terms conditions. It was noted that there isn’t a proposal to create a CCGOIS version of indicator 2.4 at present.</w:t>
            </w:r>
          </w:p>
          <w:p w14:paraId="13E76CAB" w14:textId="77777777" w:rsidR="000C1C47" w:rsidRPr="004B5178" w:rsidRDefault="000C1C47" w:rsidP="000C1C47">
            <w:pPr>
              <w:rPr>
                <w:b/>
              </w:rPr>
            </w:pPr>
          </w:p>
        </w:tc>
      </w:tr>
      <w:tr w:rsidR="004B5178" w:rsidRPr="004B5178" w14:paraId="29BCC0F2" w14:textId="77777777" w:rsidTr="008A4F7F">
        <w:tc>
          <w:tcPr>
            <w:tcW w:w="1844" w:type="dxa"/>
          </w:tcPr>
          <w:p w14:paraId="3A839337" w14:textId="77777777" w:rsidR="000C1C47" w:rsidRPr="004B5178" w:rsidRDefault="000C1C47" w:rsidP="000C1C47">
            <w:pPr>
              <w:rPr>
                <w:b/>
              </w:rPr>
            </w:pPr>
            <w:r w:rsidRPr="004B5178">
              <w:rPr>
                <w:b/>
              </w:rPr>
              <w:t xml:space="preserve">Update: </w:t>
            </w:r>
          </w:p>
          <w:p w14:paraId="64B386C3" w14:textId="77777777" w:rsidR="000C1C47" w:rsidRPr="004B5178" w:rsidRDefault="000C1C47" w:rsidP="000C1C47">
            <w:r w:rsidRPr="004B5178">
              <w:t>Made: 14/06/13</w:t>
            </w:r>
          </w:p>
        </w:tc>
        <w:tc>
          <w:tcPr>
            <w:tcW w:w="13343" w:type="dxa"/>
          </w:tcPr>
          <w:p w14:paraId="5645C240" w14:textId="77777777" w:rsidR="000C1C47" w:rsidRPr="004B5178" w:rsidRDefault="000C1C47" w:rsidP="000967BB">
            <w:pPr>
              <w:pStyle w:val="ListParagraph"/>
              <w:numPr>
                <w:ilvl w:val="1"/>
                <w:numId w:val="19"/>
              </w:numPr>
              <w:spacing w:after="0" w:line="240" w:lineRule="auto"/>
              <w:rPr>
                <w:rFonts w:ascii="Arial" w:hAnsi="Arial" w:cs="Arial"/>
              </w:rPr>
            </w:pPr>
            <w:r w:rsidRPr="004B5178">
              <w:rPr>
                <w:rFonts w:ascii="Arial" w:hAnsi="Arial" w:cs="Arial"/>
              </w:rPr>
              <w:t>– age, additionally investigating impacts of small numbers in age bands for the CCGOIS version of this indicator.</w:t>
            </w:r>
          </w:p>
          <w:p w14:paraId="4D3A022B" w14:textId="77777777" w:rsidR="000C1C47" w:rsidRPr="004B5178" w:rsidRDefault="000C1C47" w:rsidP="000C1C47">
            <w:pPr>
              <w:pStyle w:val="ListParagraph"/>
              <w:ind w:left="360"/>
              <w:rPr>
                <w:rFonts w:ascii="Arial" w:hAnsi="Arial" w:cs="Arial"/>
              </w:rPr>
            </w:pPr>
            <w:r w:rsidRPr="004B5178">
              <w:rPr>
                <w:rFonts w:ascii="Arial" w:hAnsi="Arial" w:cs="Arial"/>
              </w:rPr>
              <w:t>This has been done for the NHS Outcomes Framework and CCG OIS and has been presented in the previous update</w:t>
            </w:r>
          </w:p>
          <w:p w14:paraId="4571FB32" w14:textId="77777777" w:rsidR="000C1C47" w:rsidRPr="004B5178" w:rsidRDefault="000C1C47" w:rsidP="000C1C47">
            <w:pPr>
              <w:pStyle w:val="ListParagraph"/>
              <w:ind w:left="360"/>
              <w:rPr>
                <w:rFonts w:ascii="Arial" w:hAnsi="Arial" w:cs="Arial"/>
              </w:rPr>
            </w:pPr>
          </w:p>
          <w:p w14:paraId="40BE8342" w14:textId="77777777" w:rsidR="000C1C47" w:rsidRPr="004B5178" w:rsidRDefault="000C1C47" w:rsidP="000967BB">
            <w:pPr>
              <w:pStyle w:val="ListParagraph"/>
              <w:numPr>
                <w:ilvl w:val="1"/>
                <w:numId w:val="18"/>
              </w:numPr>
              <w:spacing w:after="0" w:line="240" w:lineRule="auto"/>
              <w:rPr>
                <w:rFonts w:ascii="Arial" w:hAnsi="Arial" w:cs="Arial"/>
              </w:rPr>
            </w:pPr>
            <w:r w:rsidRPr="004B5178">
              <w:rPr>
                <w:rFonts w:ascii="Arial" w:hAnsi="Arial" w:cs="Arial"/>
              </w:rPr>
              <w:t>– age, gender, number of hours cared for persons with long terms conditions. It was noted that there isn’t a proposal to create a CCGOIS version of indicator 2.4 at present.</w:t>
            </w:r>
          </w:p>
          <w:p w14:paraId="67BE4980" w14:textId="77777777" w:rsidR="000C1C47" w:rsidRPr="004B5178" w:rsidRDefault="000C1C47" w:rsidP="000C1C47"/>
          <w:p w14:paraId="0A169B21" w14:textId="77777777" w:rsidR="000C1C47" w:rsidRPr="004B5178" w:rsidRDefault="000C1C47" w:rsidP="000C1C47">
            <w:r w:rsidRPr="004B5178">
              <w:t>The table below shows the number of people (as per the GGPS) who care for somebody where this is not part of their job (based on Q56) split by age band, gender and number of hours cared (see table below). For ease of reading the table can also be seen in the attached Excel file (</w:t>
            </w:r>
            <w:r w:rsidRPr="004B5178">
              <w:rPr>
                <w:b/>
              </w:rPr>
              <w:t>2.4_Age_Gender_NumberOfHoursCared_Distribution.xlsx</w:t>
            </w:r>
            <w:r w:rsidRPr="004B5178">
              <w:t>)</w:t>
            </w:r>
          </w:p>
          <w:p w14:paraId="2049FC7C" w14:textId="7AECBAEC" w:rsidR="000C1C47" w:rsidRPr="004B5178" w:rsidRDefault="000C1C47" w:rsidP="000C1C47"/>
          <w:p w14:paraId="66CBF81A" w14:textId="77777777" w:rsidR="00B63015" w:rsidRPr="004B5178" w:rsidRDefault="00B63015" w:rsidP="000C1C47"/>
          <w:p w14:paraId="3E98CEF9" w14:textId="77777777" w:rsidR="00B63015" w:rsidRPr="004B5178" w:rsidRDefault="00B63015" w:rsidP="000C1C47"/>
          <w:p w14:paraId="31967F9F" w14:textId="77777777" w:rsidR="000C1C47" w:rsidRPr="004B5178" w:rsidRDefault="000C1C47" w:rsidP="000C1C47">
            <w:r w:rsidRPr="004B5178">
              <w:t>The majority of people, who are carers, spend 1-9 hours caring and fall in the age bands between 45 to 54 and 55 to 64. In the 45 to 54 age band twice as many carers are female than male. The number of female carers is still significantly higher than male carers in the 55 to 64 age band (highlighted in yellow).</w:t>
            </w:r>
          </w:p>
          <w:p w14:paraId="75AAC954" w14:textId="77777777" w:rsidR="000C1C47" w:rsidRPr="004B5178" w:rsidRDefault="000C1C47" w:rsidP="000C1C47">
            <w:r w:rsidRPr="004B5178">
              <w:t>This trend can also be seen for people who spend more than 50 hours a week caring for all age bands up to 74. In the 25 to 34 age band the number of female carers is three times as high as the number of male carers. In the 65 to 74 age band the number of female carers is only slightly higher than male carers (highlighted in orange).</w:t>
            </w:r>
          </w:p>
          <w:p w14:paraId="33FAA22A" w14:textId="77777777" w:rsidR="000C1C47" w:rsidRPr="004B5178" w:rsidRDefault="000C1C47" w:rsidP="000C1C47">
            <w:r w:rsidRPr="004B5178">
              <w:t>However, this trend appears to reverse in the older age bands (75 to 84 and 85+). Looking at all different number of hours cared groupings it can be seen that the proportion of female carers is lower than the proportion of male carers in those age bands (highlighted in green).</w:t>
            </w:r>
          </w:p>
          <w:p w14:paraId="312BE878" w14:textId="0A92844C" w:rsidR="000C1C47" w:rsidRPr="004B5178" w:rsidRDefault="000C1C47" w:rsidP="000C1C47">
            <w:r w:rsidRPr="004B5178">
              <w:t xml:space="preserve">Looking at the proportion of GPPS respondents who spend time caring compared to the general ONS </w:t>
            </w:r>
            <w:r w:rsidR="00C36CDF" w:rsidRPr="004B5178">
              <w:t>midyear</w:t>
            </w:r>
            <w:r w:rsidRPr="004B5178">
              <w:t xml:space="preserve"> population estimates it raises the question why the GPPS population in the older age bands (75+) does not appear to show the same trend as ONS population (e.g. for 85+ there is more males amongst the GPPS respondents compared to the ONS estimates (more females in this age band).</w:t>
            </w:r>
          </w:p>
          <w:p w14:paraId="7C821ACF" w14:textId="77777777" w:rsidR="000C1C47" w:rsidRPr="004B5178" w:rsidRDefault="000C1C47" w:rsidP="000C1C47">
            <w:r w:rsidRPr="004B5178">
              <w:t>The same trend has been observed by the ONS as part of their more detailed Census publications (</w:t>
            </w:r>
            <w:hyperlink r:id="rId13" w:history="1">
              <w:r w:rsidRPr="004B5178">
                <w:rPr>
                  <w:rStyle w:val="Hyperlink"/>
                  <w:color w:val="auto"/>
                </w:rPr>
                <w:t>http://www.ons.gov.uk/ons/rel/census/2011-census/detailed-characteristics-for-local-authorities-in-england-and-wales/rpt---unpaid-care.html</w:t>
              </w:r>
            </w:hyperlink>
            <w:r w:rsidRPr="004B5178">
              <w:t>)</w:t>
            </w:r>
          </w:p>
          <w:p w14:paraId="264B6186" w14:textId="7AA11DB2" w:rsidR="000C1C47" w:rsidRPr="004B5178" w:rsidRDefault="000C1C47" w:rsidP="000C1C47">
            <w:r w:rsidRPr="004B5178">
              <w:t xml:space="preserve">The ONS publication (see link above) also reports a higher propensity to provide informal care amongst men compared to women at older ages. They key </w:t>
            </w:r>
            <w:r w:rsidR="00C36CDF" w:rsidRPr="004B5178">
              <w:t>paragraphs</w:t>
            </w:r>
            <w:r w:rsidRPr="004B5178">
              <w:t xml:space="preserve"> from this publication are as follows:</w:t>
            </w:r>
          </w:p>
          <w:p w14:paraId="34E921EE" w14:textId="77777777" w:rsidR="000C1C47" w:rsidRPr="004B5178" w:rsidRDefault="000C1C47" w:rsidP="000C1C47"/>
          <w:p w14:paraId="6EC76F8A" w14:textId="77777777" w:rsidR="000C1C47" w:rsidRPr="004B5178" w:rsidRDefault="000C1C47" w:rsidP="000C1C47">
            <w:r w:rsidRPr="004B5178">
              <w:t xml:space="preserve">“However, in the age category 65 and above, the disparity reversed, with the percentage of men in both England and in Wales providing unpaid care exceeding the percentage of women. This is largely explained by the sharper tailing off in the number of women providing unpaid care from ages 50-64 to 65 and above, particularly in England where the number of women providing unpaid care diminished by more than half a million, whereas the number of men providing unpaid care fell by less than a quarter of a million. </w:t>
            </w:r>
            <w:r w:rsidRPr="004B5178">
              <w:br/>
            </w:r>
            <w:r w:rsidRPr="004B5178">
              <w:br/>
              <w:t>"Given that the provision of unpaid care at ages 65 and above is more likely to be provided for a coresident, particularly a spouse, and the lack of detail in this broad age category means it is difficult to disentangle the possible mechanisms bringing about the more abrupt reduction in unpaid care provided by women from ages 50-64 to 65 and above. However, evidence from health expectancy statistics suggest that although females have longer life expectancies than males, they spend a higher proportion of these additional years in ‘Not Good’ general health, meaning that women in this age range are more likely to be in need of care than providing it than men."</w:t>
            </w:r>
          </w:p>
          <w:p w14:paraId="740EF74B" w14:textId="28997149" w:rsidR="000C1C47" w:rsidRPr="004B5178" w:rsidRDefault="000C1C47" w:rsidP="000C1C47"/>
          <w:p w14:paraId="219BC6BA" w14:textId="702392CD" w:rsidR="00677C5A" w:rsidRPr="004B5178" w:rsidRDefault="00677C5A" w:rsidP="000C1C47"/>
          <w:p w14:paraId="1FC3BC62" w14:textId="77777777" w:rsidR="00677C5A" w:rsidRPr="004B5178" w:rsidRDefault="00677C5A" w:rsidP="000C1C47"/>
          <w:p w14:paraId="7D31E351" w14:textId="77777777" w:rsidR="000C1C47" w:rsidRPr="004B5178" w:rsidRDefault="000C1C47" w:rsidP="000C1C47">
            <w:r w:rsidRPr="004B5178">
              <w:t xml:space="preserve">After looking at the differences of the three variables and their bandings it is proposed to standardise future data points for indicator 2.4 by age and gender only. This is supported by an OFTAG recommendation. </w:t>
            </w:r>
          </w:p>
          <w:p w14:paraId="7DEA89FE" w14:textId="77777777" w:rsidR="000C1C47" w:rsidRPr="004B5178" w:rsidRDefault="000C1C47" w:rsidP="000C1C47">
            <w:r w:rsidRPr="004B5178">
              <w:lastRenderedPageBreak/>
              <w:t>OFTAG though that standardising also by “number of hours spent caring” risked controlling for some of the variation in the quality of care (particularly of social care, which we are also interested in).</w:t>
            </w:r>
            <w:r w:rsidRPr="004B5178">
              <w:br/>
            </w:r>
          </w:p>
        </w:tc>
      </w:tr>
      <w:tr w:rsidR="004B5178" w:rsidRPr="004B5178" w14:paraId="253E185D" w14:textId="77777777" w:rsidTr="008A4F7F">
        <w:tc>
          <w:tcPr>
            <w:tcW w:w="1844" w:type="dxa"/>
          </w:tcPr>
          <w:p w14:paraId="4942DE81" w14:textId="77777777" w:rsidR="000C1C47" w:rsidRPr="004B5178" w:rsidRDefault="000C1C47" w:rsidP="000C1C47">
            <w:r w:rsidRPr="004B5178">
              <w:lastRenderedPageBreak/>
              <w:t>Ref code</w:t>
            </w:r>
          </w:p>
          <w:p w14:paraId="255EC57E" w14:textId="77777777" w:rsidR="000C1C47" w:rsidRPr="004B5178" w:rsidRDefault="000C1C47" w:rsidP="000C1C47">
            <w:pPr>
              <w:rPr>
                <w:b/>
              </w:rPr>
            </w:pPr>
            <w:r w:rsidRPr="004B5178">
              <w:rPr>
                <w:b/>
              </w:rPr>
              <w:t>2013/29</w:t>
            </w:r>
          </w:p>
          <w:p w14:paraId="3FCB4951" w14:textId="77777777" w:rsidR="000C1C47" w:rsidRPr="004B5178" w:rsidRDefault="000C1C47" w:rsidP="000C1C47">
            <w:r w:rsidRPr="004B5178">
              <w:t>Made: 31/05/13</w:t>
            </w:r>
          </w:p>
        </w:tc>
        <w:tc>
          <w:tcPr>
            <w:tcW w:w="13343" w:type="dxa"/>
          </w:tcPr>
          <w:p w14:paraId="74C87A65" w14:textId="77777777" w:rsidR="000C1C47" w:rsidRPr="004B5178" w:rsidRDefault="000C1C47" w:rsidP="000C1C47">
            <w:r w:rsidRPr="004B5178">
              <w:t>Previous background research has been carried out by the School of Health and Related Research at the University of Sheffield (</w:t>
            </w:r>
            <w:hyperlink r:id="rId14" w:history="1">
              <w:r w:rsidRPr="004B5178">
                <w:rPr>
                  <w:rStyle w:val="Hyperlink"/>
                  <w:color w:val="auto"/>
                </w:rPr>
                <w:t>ScHARR</w:t>
              </w:r>
            </w:hyperlink>
            <w:r w:rsidRPr="004B5178">
              <w:t xml:space="preserve">), however the findings did not prove beneficial in identifying the contribution of the NHS, which is the underlying purpose of these indicators.  </w:t>
            </w:r>
          </w:p>
          <w:p w14:paraId="4A0C69F4" w14:textId="77777777" w:rsidR="000C1C47" w:rsidRPr="004B5178" w:rsidRDefault="000C1C47" w:rsidP="000C1C47"/>
          <w:p w14:paraId="594999D2" w14:textId="77777777" w:rsidR="000C1C47" w:rsidRPr="004B5178" w:rsidRDefault="000C1C47" w:rsidP="000C1C47">
            <w:r w:rsidRPr="004B5178">
              <w:t xml:space="preserve">MRG requested that previous background research, even if it isn’t beneficial, should be included in the paperwork for consideration by the group. It would prove helpful for providing a complete picture and prevents others from duplicating the same research in the future. </w:t>
            </w:r>
          </w:p>
          <w:p w14:paraId="779EE181" w14:textId="77777777" w:rsidR="000C1C47" w:rsidRPr="004B5178" w:rsidRDefault="000C1C47" w:rsidP="000C1C47">
            <w:pPr>
              <w:rPr>
                <w:b/>
              </w:rPr>
            </w:pPr>
          </w:p>
        </w:tc>
      </w:tr>
      <w:tr w:rsidR="004B5178" w:rsidRPr="004B5178" w14:paraId="45695618" w14:textId="77777777" w:rsidTr="008A4F7F">
        <w:tc>
          <w:tcPr>
            <w:tcW w:w="1844" w:type="dxa"/>
          </w:tcPr>
          <w:p w14:paraId="5A395D0F" w14:textId="77777777" w:rsidR="000C1C47" w:rsidRPr="004B5178" w:rsidRDefault="000C1C47" w:rsidP="000C1C47">
            <w:pPr>
              <w:rPr>
                <w:b/>
              </w:rPr>
            </w:pPr>
            <w:r w:rsidRPr="004B5178">
              <w:rPr>
                <w:b/>
              </w:rPr>
              <w:t xml:space="preserve">Update: </w:t>
            </w:r>
          </w:p>
          <w:p w14:paraId="65B3E7E8" w14:textId="77777777" w:rsidR="000C1C47" w:rsidRPr="004B5178" w:rsidRDefault="000C1C47" w:rsidP="000C1C47">
            <w:r w:rsidRPr="004B5178">
              <w:t>Made: 14/06/13</w:t>
            </w:r>
          </w:p>
        </w:tc>
        <w:tc>
          <w:tcPr>
            <w:tcW w:w="13343" w:type="dxa"/>
          </w:tcPr>
          <w:p w14:paraId="41D498DB" w14:textId="77777777" w:rsidR="000C1C47" w:rsidRPr="004B5178" w:rsidRDefault="000C1C47" w:rsidP="000C1C47">
            <w:r w:rsidRPr="004B5178">
              <w:t>NHS England (formerly DH) asked QORU</w:t>
            </w:r>
            <w:r w:rsidRPr="004B5178">
              <w:rPr>
                <w:rStyle w:val="FootnoteReference"/>
              </w:rPr>
              <w:footnoteReference w:id="1"/>
            </w:r>
            <w:r w:rsidRPr="004B5178">
              <w:t xml:space="preserve"> to develop a standardisation methodology for this indicator that would allow to measure the impact that the NHS has on the health-related quality of life for people with LTCs, and, as far as possible, would eliminate the impact of external factors.</w:t>
            </w:r>
          </w:p>
          <w:p w14:paraId="13F8E0C7" w14:textId="77777777" w:rsidR="000C1C47" w:rsidRPr="004B5178" w:rsidRDefault="000C1C47" w:rsidP="000C1C47">
            <w:pPr>
              <w:autoSpaceDE w:val="0"/>
              <w:autoSpaceDN w:val="0"/>
            </w:pPr>
            <w:r w:rsidRPr="004B5178">
              <w:t>  </w:t>
            </w:r>
          </w:p>
          <w:p w14:paraId="4DD3F641" w14:textId="77777777" w:rsidR="000C1C47" w:rsidRPr="004B5178" w:rsidRDefault="000C1C47" w:rsidP="000C1C47">
            <w:pPr>
              <w:autoSpaceDE w:val="0"/>
              <w:autoSpaceDN w:val="0"/>
            </w:pPr>
            <w:r w:rsidRPr="004B5178">
              <w:t xml:space="preserve">The methodology that QORU/SEPHO produced assigned GPPS respondents into several categories according to the following criteria: </w:t>
            </w:r>
          </w:p>
          <w:p w14:paraId="579AEBC9" w14:textId="77777777" w:rsidR="000C1C47" w:rsidRPr="004B5178" w:rsidRDefault="000C1C47" w:rsidP="000C1C47">
            <w:pPr>
              <w:autoSpaceDE w:val="0"/>
              <w:autoSpaceDN w:val="0"/>
            </w:pPr>
            <w:r w:rsidRPr="004B5178">
              <w:t> </w:t>
            </w:r>
          </w:p>
          <w:p w14:paraId="6D54657E" w14:textId="77777777" w:rsidR="000C1C47" w:rsidRPr="004B5178" w:rsidRDefault="000C1C47" w:rsidP="000C1C47">
            <w:pPr>
              <w:autoSpaceDE w:val="0"/>
              <w:autoSpaceDN w:val="0"/>
              <w:ind w:left="1080" w:hanging="360"/>
            </w:pPr>
            <w:r w:rsidRPr="004B5178">
              <w:t xml:space="preserve">•     Number of LTCs </w:t>
            </w:r>
          </w:p>
          <w:p w14:paraId="59C68D0E" w14:textId="77777777" w:rsidR="000C1C47" w:rsidRPr="004B5178" w:rsidRDefault="000C1C47" w:rsidP="000C1C47">
            <w:pPr>
              <w:autoSpaceDE w:val="0"/>
              <w:autoSpaceDN w:val="0"/>
              <w:ind w:left="720"/>
            </w:pPr>
            <w:r w:rsidRPr="004B5178">
              <w:t> </w:t>
            </w:r>
          </w:p>
          <w:p w14:paraId="311E3CB6" w14:textId="77777777" w:rsidR="000C1C47" w:rsidRPr="004B5178" w:rsidRDefault="000C1C47" w:rsidP="000C1C47">
            <w:pPr>
              <w:autoSpaceDE w:val="0"/>
              <w:autoSpaceDN w:val="0"/>
              <w:ind w:left="1080" w:hanging="360"/>
            </w:pPr>
            <w:r w:rsidRPr="004B5178">
              <w:t>•     Age bands</w:t>
            </w:r>
          </w:p>
          <w:p w14:paraId="700BD7CC" w14:textId="77777777" w:rsidR="000C1C47" w:rsidRPr="004B5178" w:rsidRDefault="000C1C47" w:rsidP="000C1C47">
            <w:pPr>
              <w:autoSpaceDE w:val="0"/>
              <w:autoSpaceDN w:val="0"/>
              <w:ind w:left="720"/>
            </w:pPr>
            <w:r w:rsidRPr="004B5178">
              <w:t> </w:t>
            </w:r>
          </w:p>
          <w:p w14:paraId="1162AA78" w14:textId="77777777" w:rsidR="000C1C47" w:rsidRPr="004B5178" w:rsidRDefault="000C1C47" w:rsidP="000C1C47">
            <w:pPr>
              <w:autoSpaceDE w:val="0"/>
              <w:autoSpaceDN w:val="0"/>
              <w:ind w:left="1080" w:hanging="360"/>
            </w:pPr>
            <w:r w:rsidRPr="004B5178">
              <w:t>•     IMD binary variable</w:t>
            </w:r>
          </w:p>
          <w:p w14:paraId="11326CBA" w14:textId="77777777" w:rsidR="000C1C47" w:rsidRPr="004B5178" w:rsidRDefault="000C1C47" w:rsidP="000C1C47">
            <w:pPr>
              <w:autoSpaceDE w:val="0"/>
              <w:autoSpaceDN w:val="0"/>
              <w:ind w:left="720"/>
            </w:pPr>
            <w:r w:rsidRPr="004B5178">
              <w:t> </w:t>
            </w:r>
          </w:p>
          <w:p w14:paraId="5681D8B6" w14:textId="77777777" w:rsidR="000C1C47" w:rsidRPr="004B5178" w:rsidRDefault="000C1C47" w:rsidP="000C1C47">
            <w:pPr>
              <w:autoSpaceDE w:val="0"/>
              <w:autoSpaceDN w:val="0"/>
              <w:ind w:left="1080" w:hanging="360"/>
            </w:pPr>
            <w:r w:rsidRPr="004B5178">
              <w:t>•     A "permanently sick or disabled" working status</w:t>
            </w:r>
          </w:p>
          <w:p w14:paraId="4E63A059" w14:textId="77777777" w:rsidR="000C1C47" w:rsidRPr="004B5178" w:rsidRDefault="000C1C47" w:rsidP="000C1C47">
            <w:pPr>
              <w:autoSpaceDE w:val="0"/>
              <w:autoSpaceDN w:val="0"/>
              <w:ind w:left="720"/>
            </w:pPr>
            <w:r w:rsidRPr="004B5178">
              <w:t> </w:t>
            </w:r>
          </w:p>
          <w:p w14:paraId="5F0B5531" w14:textId="77777777" w:rsidR="000C1C47" w:rsidRPr="004B5178" w:rsidRDefault="000C1C47" w:rsidP="000C1C47">
            <w:pPr>
              <w:autoSpaceDE w:val="0"/>
              <w:autoSpaceDN w:val="0"/>
              <w:ind w:left="1080" w:hanging="360"/>
            </w:pPr>
            <w:r w:rsidRPr="004B5178">
              <w:t>•     Presence of musculoskeletal conditions where there was no recording of being permanently sick or disabled</w:t>
            </w:r>
          </w:p>
          <w:p w14:paraId="50D010FE" w14:textId="77777777" w:rsidR="000C1C47" w:rsidRPr="004B5178" w:rsidRDefault="000C1C47" w:rsidP="000C1C47">
            <w:pPr>
              <w:autoSpaceDE w:val="0"/>
              <w:autoSpaceDN w:val="0"/>
            </w:pPr>
            <w:r w:rsidRPr="004B5178">
              <w:t> </w:t>
            </w:r>
          </w:p>
          <w:p w14:paraId="5928B218" w14:textId="77777777" w:rsidR="000C1C47" w:rsidRPr="004B5178" w:rsidRDefault="000C1C47" w:rsidP="000C1C47">
            <w:pPr>
              <w:autoSpaceDE w:val="0"/>
              <w:autoSpaceDN w:val="0"/>
            </w:pPr>
            <w:r w:rsidRPr="004B5178">
              <w:lastRenderedPageBreak/>
              <w:t xml:space="preserve">The size of each of these cells was then held constant over time. Therefore, increases in the size of any of these groups over time would not be reflected in the indicator score. </w:t>
            </w:r>
          </w:p>
          <w:p w14:paraId="09452A0C" w14:textId="77777777" w:rsidR="000C1C47" w:rsidRPr="004B5178" w:rsidRDefault="000C1C47" w:rsidP="000C1C47">
            <w:pPr>
              <w:autoSpaceDE w:val="0"/>
              <w:autoSpaceDN w:val="0"/>
            </w:pPr>
            <w:r w:rsidRPr="004B5178">
              <w:t> </w:t>
            </w:r>
          </w:p>
          <w:p w14:paraId="3D6AD458" w14:textId="77777777" w:rsidR="000C1C47" w:rsidRPr="004B5178" w:rsidRDefault="000C1C47" w:rsidP="000C1C47">
            <w:pPr>
              <w:autoSpaceDE w:val="0"/>
              <w:autoSpaceDN w:val="0"/>
            </w:pPr>
            <w:r w:rsidRPr="004B5178">
              <w:t>Although this did not allow for the comparison of like-with-like, from NHS England’s point of view the criteria chosen were not consistent with the instructions provided, as several of these factors would be strongly affected by NHS interventions.</w:t>
            </w:r>
          </w:p>
          <w:p w14:paraId="46610078" w14:textId="77777777" w:rsidR="000C1C47" w:rsidRPr="004B5178" w:rsidRDefault="000C1C47" w:rsidP="000C1C47">
            <w:pPr>
              <w:autoSpaceDE w:val="0"/>
              <w:autoSpaceDN w:val="0"/>
            </w:pPr>
            <w:r w:rsidRPr="004B5178">
              <w:t> </w:t>
            </w:r>
          </w:p>
          <w:p w14:paraId="125BE6E5" w14:textId="77777777" w:rsidR="000C1C47" w:rsidRPr="004B5178" w:rsidRDefault="000C1C47" w:rsidP="000C1C47">
            <w:pPr>
              <w:autoSpaceDE w:val="0"/>
              <w:autoSpaceDN w:val="0"/>
              <w:ind w:left="720" w:hanging="360"/>
            </w:pPr>
            <w:r w:rsidRPr="004B5178">
              <w:t>•     The number of LTCs of an individual would be affected by external factors but to some extent could also be amenable to NHS interventions. For instance, the NHS can help people with diabetes delay or completely avoid the development of complications. If this is standardised away, the indicator would not reflect this important part of NHS care for people with LTCs.</w:t>
            </w:r>
          </w:p>
          <w:p w14:paraId="6AB596DC" w14:textId="77777777" w:rsidR="000C1C47" w:rsidRPr="004B5178" w:rsidRDefault="000C1C47" w:rsidP="000C1C47">
            <w:pPr>
              <w:autoSpaceDE w:val="0"/>
              <w:autoSpaceDN w:val="0"/>
              <w:ind w:left="360"/>
            </w:pPr>
            <w:r w:rsidRPr="004B5178">
              <w:t> </w:t>
            </w:r>
          </w:p>
          <w:p w14:paraId="5369748D" w14:textId="77777777" w:rsidR="000C1C47" w:rsidRPr="004B5178" w:rsidRDefault="000C1C47" w:rsidP="000C1C47">
            <w:pPr>
              <w:autoSpaceDE w:val="0"/>
              <w:autoSpaceDN w:val="0"/>
              <w:ind w:left="720" w:hanging="360"/>
            </w:pPr>
            <w:r w:rsidRPr="004B5178">
              <w:t xml:space="preserve">•     Similarly, it was debatable as to whether the Index of Multiple Deprivation could be used to standardise the indicator. Deprivation could be linked to aspects of health-related quality of life that are outside the control of the NHS (fuel poverty, malnutrition, for instance), but it could also be linked to access to NHS services and worse quality of care. Standardising this aspect meant that it would not be possible to estimate whether the NHS is providing equally good care to both, those who are deprived and to those who are not. </w:t>
            </w:r>
          </w:p>
          <w:p w14:paraId="0FA91E04" w14:textId="77777777" w:rsidR="000C1C47" w:rsidRPr="004B5178" w:rsidRDefault="000C1C47" w:rsidP="000C1C47">
            <w:pPr>
              <w:autoSpaceDE w:val="0"/>
              <w:autoSpaceDN w:val="0"/>
              <w:ind w:left="360"/>
            </w:pPr>
            <w:r w:rsidRPr="004B5178">
              <w:t> </w:t>
            </w:r>
          </w:p>
          <w:p w14:paraId="65F13C4B" w14:textId="77777777" w:rsidR="000C1C47" w:rsidRPr="004B5178" w:rsidRDefault="000C1C47" w:rsidP="000C1C47">
            <w:pPr>
              <w:autoSpaceDE w:val="0"/>
              <w:autoSpaceDN w:val="0"/>
              <w:ind w:left="720" w:hanging="360"/>
            </w:pPr>
            <w:r w:rsidRPr="004B5178">
              <w:t xml:space="preserve">•     An increase in the numbers of those who are permanently sick or disabled working status was not something that NHS England would have wanted to be standardised, as it reflects an important role of the NHS in improving the functional ability of people with long-term conditions. Domain 2 of the NHS Outcomes Framework contains an explicit indicator of this health outcome, indicator 2.2, which measures the difference in employment rates between people with LTCs and the overall population. </w:t>
            </w:r>
          </w:p>
          <w:p w14:paraId="72A2F5F7" w14:textId="77777777" w:rsidR="000C1C47" w:rsidRPr="004B5178" w:rsidRDefault="000C1C47" w:rsidP="000C1C47">
            <w:pPr>
              <w:autoSpaceDE w:val="0"/>
              <w:autoSpaceDN w:val="0"/>
              <w:ind w:left="360"/>
            </w:pPr>
            <w:r w:rsidRPr="004B5178">
              <w:t> </w:t>
            </w:r>
          </w:p>
          <w:p w14:paraId="70C2F412" w14:textId="77777777" w:rsidR="000C1C47" w:rsidRPr="004B5178" w:rsidRDefault="000C1C47" w:rsidP="000C1C47">
            <w:pPr>
              <w:autoSpaceDE w:val="0"/>
              <w:autoSpaceDN w:val="0"/>
              <w:ind w:left="720" w:hanging="360"/>
            </w:pPr>
            <w:r w:rsidRPr="004B5178">
              <w:t>•     The presence of musculo-skeletal conditions could be partly due to the quality of NHS care (as well as Social Care, it should be noted that this indicator also features in the Social Care Outcomes Framework).</w:t>
            </w:r>
          </w:p>
          <w:p w14:paraId="021A53C0" w14:textId="77777777" w:rsidR="000C1C47" w:rsidRPr="004B5178" w:rsidRDefault="000C1C47" w:rsidP="000C1C47">
            <w:r w:rsidRPr="004B5178">
              <w:t> </w:t>
            </w:r>
          </w:p>
          <w:p w14:paraId="470B8DF1" w14:textId="77777777" w:rsidR="000C1C47" w:rsidRPr="004B5178" w:rsidRDefault="000C1C47" w:rsidP="000C1C47">
            <w:r w:rsidRPr="004B5178">
              <w:t xml:space="preserve">Due to this, the standardisation methodology that QORU proposed was not deemed appropriate for assessing the performance of the NHS. </w:t>
            </w:r>
          </w:p>
          <w:p w14:paraId="2151424D" w14:textId="77777777" w:rsidR="000C1C47" w:rsidRPr="004B5178" w:rsidRDefault="000C1C47" w:rsidP="000C1C47"/>
        </w:tc>
      </w:tr>
      <w:tr w:rsidR="004B5178" w:rsidRPr="004B5178" w14:paraId="2E89F7AF" w14:textId="77777777" w:rsidTr="008A4F7F">
        <w:tc>
          <w:tcPr>
            <w:tcW w:w="1844" w:type="dxa"/>
          </w:tcPr>
          <w:p w14:paraId="7518B38D" w14:textId="77777777" w:rsidR="000C1C47" w:rsidRPr="004B5178" w:rsidRDefault="000C1C47" w:rsidP="000C1C47">
            <w:r w:rsidRPr="004B5178">
              <w:lastRenderedPageBreak/>
              <w:t>Ref code</w:t>
            </w:r>
          </w:p>
          <w:p w14:paraId="4FAD2A73" w14:textId="77777777" w:rsidR="000C1C47" w:rsidRPr="004B5178" w:rsidRDefault="000C1C47" w:rsidP="000C1C47">
            <w:pPr>
              <w:rPr>
                <w:b/>
              </w:rPr>
            </w:pPr>
            <w:r w:rsidRPr="004B5178">
              <w:rPr>
                <w:b/>
              </w:rPr>
              <w:t>2013/30</w:t>
            </w:r>
          </w:p>
          <w:p w14:paraId="41424BEE" w14:textId="77777777" w:rsidR="000C1C47" w:rsidRPr="004B5178" w:rsidRDefault="000C1C47" w:rsidP="000C1C47">
            <w:r w:rsidRPr="004B5178">
              <w:t>Made: 31/05/13</w:t>
            </w:r>
          </w:p>
        </w:tc>
        <w:tc>
          <w:tcPr>
            <w:tcW w:w="13343" w:type="dxa"/>
          </w:tcPr>
          <w:p w14:paraId="2767AE3F" w14:textId="77777777" w:rsidR="000C1C47" w:rsidRPr="004B5178" w:rsidRDefault="000C1C47" w:rsidP="000C1C47">
            <w:r w:rsidRPr="004B5178">
              <w:t xml:space="preserve">MRG noted that the rationale of these indicators state that the contribution of the NHS is being measured, but the names of the indicators doesn’t necessarily reflect this. </w:t>
            </w:r>
          </w:p>
          <w:p w14:paraId="4F9476FC" w14:textId="77777777" w:rsidR="000C1C47" w:rsidRPr="004B5178" w:rsidRDefault="000C1C47" w:rsidP="000C1C47"/>
          <w:p w14:paraId="0DA5820F" w14:textId="77777777" w:rsidR="000C1C47" w:rsidRPr="004B5178" w:rsidRDefault="000C1C47" w:rsidP="000C1C47">
            <w:r w:rsidRPr="004B5178">
              <w:t>A query was raised asking if the GP survey question used was appropriate for the rationale of the indicators. DH stated that 50% of those who respond to the GP survey have a long term condition, therefore the GP patient survey is reasonably representative of people with long term conditions. MRG requested that this kind of detail be included in the paperwork for consideration.</w:t>
            </w:r>
          </w:p>
          <w:p w14:paraId="217B2B21" w14:textId="77777777" w:rsidR="000C1C47" w:rsidRPr="004B5178" w:rsidRDefault="000C1C47" w:rsidP="000C1C47"/>
          <w:p w14:paraId="0D3254E0" w14:textId="77777777" w:rsidR="000C1C47" w:rsidRPr="004B5178" w:rsidRDefault="000C1C47" w:rsidP="000C1C47">
            <w:r w:rsidRPr="004B5178">
              <w:lastRenderedPageBreak/>
              <w:t xml:space="preserve">MRG raised the issue of non-responders and if there was anything that could be done to identify these. Non-responders could potentially be those that the indicator is trying to capture, for example if they’ve had a long hospital stay and not been home for some considerable time they wouldn’t have received the survey. MRG acknowledged that non-response is an issue in most surveys; providing any limitations regarding non-response are highlighted in the quality statement then this shouldn’t be an issue. </w:t>
            </w:r>
          </w:p>
          <w:p w14:paraId="5EEEDE94" w14:textId="77777777" w:rsidR="000C1C47" w:rsidRPr="004B5178" w:rsidRDefault="000C1C47" w:rsidP="000C1C47"/>
          <w:p w14:paraId="0CDDBF5E" w14:textId="77777777" w:rsidR="000C1C47" w:rsidRPr="004B5178" w:rsidRDefault="000C1C47" w:rsidP="000C1C47">
            <w:r w:rsidRPr="004B5178">
              <w:t>MRG discussed the appropriateness of the GP survey as a data source;</w:t>
            </w:r>
          </w:p>
          <w:p w14:paraId="32032655" w14:textId="77777777" w:rsidR="000C1C47" w:rsidRPr="004B5178" w:rsidRDefault="000C1C47" w:rsidP="000C1C47">
            <w:r w:rsidRPr="004B5178">
              <w:t xml:space="preserve">It was pointed out that the GP survey is not an ISB approved data source and neither does it have a ROCR licence. However, it was also acknowledged that in the absence of a better data source this is still the most appropriate source without adding additional burden to providers. MRG suggested that supplying the full GP survey as an appendix would have been useful to aid in the assessment of the overall indicator quality. </w:t>
            </w:r>
          </w:p>
          <w:p w14:paraId="3DE252A9" w14:textId="77777777" w:rsidR="000C1C47" w:rsidRPr="004B5178" w:rsidRDefault="000C1C47" w:rsidP="000C1C47">
            <w:pPr>
              <w:rPr>
                <w:b/>
              </w:rPr>
            </w:pPr>
          </w:p>
        </w:tc>
      </w:tr>
      <w:tr w:rsidR="004B5178" w:rsidRPr="004B5178" w14:paraId="727D6971" w14:textId="77777777" w:rsidTr="008A4F7F">
        <w:tc>
          <w:tcPr>
            <w:tcW w:w="1844" w:type="dxa"/>
          </w:tcPr>
          <w:p w14:paraId="7DEFC9B0" w14:textId="77777777" w:rsidR="000C1C47" w:rsidRPr="004B5178" w:rsidRDefault="000C1C47" w:rsidP="000C1C47">
            <w:pPr>
              <w:rPr>
                <w:b/>
              </w:rPr>
            </w:pPr>
            <w:r w:rsidRPr="004B5178">
              <w:rPr>
                <w:b/>
              </w:rPr>
              <w:lastRenderedPageBreak/>
              <w:t xml:space="preserve">Update: </w:t>
            </w:r>
          </w:p>
          <w:p w14:paraId="73197253" w14:textId="77777777" w:rsidR="000C1C47" w:rsidRPr="004B5178" w:rsidRDefault="000C1C47" w:rsidP="000C1C47">
            <w:r w:rsidRPr="004B5178">
              <w:t>Made: 14/06/13</w:t>
            </w:r>
          </w:p>
        </w:tc>
        <w:tc>
          <w:tcPr>
            <w:tcW w:w="13343" w:type="dxa"/>
          </w:tcPr>
          <w:p w14:paraId="6EB836D7" w14:textId="43828B36" w:rsidR="000C1C47" w:rsidRPr="004B5178" w:rsidRDefault="000C1C47" w:rsidP="000C1C47">
            <w:pPr>
              <w:pStyle w:val="ListParagraph"/>
              <w:tabs>
                <w:tab w:val="left" w:pos="0"/>
              </w:tabs>
              <w:ind w:left="-142" w:hanging="284"/>
              <w:jc w:val="both"/>
              <w:rPr>
                <w:rFonts w:ascii="Arial" w:hAnsi="Arial" w:cs="Arial"/>
                <w:b/>
              </w:rPr>
            </w:pPr>
            <w:r w:rsidRPr="004B5178">
              <w:rPr>
                <w:rFonts w:ascii="Arial" w:hAnsi="Arial" w:cs="Arial"/>
                <w:b/>
              </w:rPr>
              <w:t>Co Coverage of long-term conditions in the GP Patient Survey</w:t>
            </w:r>
          </w:p>
          <w:p w14:paraId="2C1CC2C1" w14:textId="77777777" w:rsidR="000C1C47" w:rsidRPr="004B5178" w:rsidRDefault="000C1C47" w:rsidP="000C1C47">
            <w:r w:rsidRPr="004B5178">
              <w:t xml:space="preserve">GPPS data suggest a prevalence rate of long-term conditions of approximately 50% amongst the adult population. The findings do not suggest that people with long-term conditions are under-represented in the GPPS data. As people with long-term conditions appear to be well represented in the GPPS data, and as this source is used as the basis for approved and published NHS Outcomes Framework indicators, it is not expected that its use is an issue for use as the data source for indicator 2.1 and 2.4. </w:t>
            </w:r>
          </w:p>
          <w:p w14:paraId="66682846" w14:textId="77777777" w:rsidR="000C1C47" w:rsidRPr="004B5178" w:rsidRDefault="000C1C47" w:rsidP="000C1C47"/>
          <w:p w14:paraId="44DDEE2E" w14:textId="77777777" w:rsidR="000C1C47" w:rsidRPr="004B5178" w:rsidRDefault="000C1C47" w:rsidP="000C1C47">
            <w:pPr>
              <w:rPr>
                <w:b/>
              </w:rPr>
            </w:pPr>
            <w:r w:rsidRPr="004B5178">
              <w:rPr>
                <w:b/>
              </w:rPr>
              <w:t>Issue of non-responders</w:t>
            </w:r>
          </w:p>
          <w:p w14:paraId="11073201" w14:textId="77777777" w:rsidR="000C1C47" w:rsidRPr="004B5178" w:rsidRDefault="000C1C47" w:rsidP="000C1C47">
            <w:r w:rsidRPr="004B5178">
              <w:t xml:space="preserve">MRG acknowledged that non-response is an issue in most surveys; providing any limitations regarding non-response are highlighted in the quality statement then this shouldn’t be an issue. </w:t>
            </w:r>
          </w:p>
          <w:p w14:paraId="5C161B4A" w14:textId="77777777" w:rsidR="000C1C47" w:rsidRPr="004B5178" w:rsidRDefault="000C1C47" w:rsidP="000C1C47">
            <w:r w:rsidRPr="004B5178">
              <w:t xml:space="preserve">We accept this recommendation. Previously assured NHS Outcomes indicators in Domain 4 are also based on the GP patient survey. For all indicators affected by the issue of non-response in the GP patient survey (at current NHS OF indicators in 4a and 4.4) the quality statement clearly highlights the issue in the </w:t>
            </w:r>
            <w:bookmarkStart w:id="18" w:name="_Toc354989302"/>
            <w:r w:rsidRPr="004B5178">
              <w:t>‘Accuracy and Reliability</w:t>
            </w:r>
            <w:bookmarkEnd w:id="18"/>
            <w:r w:rsidRPr="004B5178">
              <w:t xml:space="preserve">’ section. We would adopt this approach for NHS OF indicators 2.1 and 2.4, once assured. </w:t>
            </w:r>
          </w:p>
          <w:p w14:paraId="4873C376" w14:textId="77777777" w:rsidR="000C1C47" w:rsidRPr="004B5178" w:rsidRDefault="000C1C47" w:rsidP="000C1C47">
            <w:pPr>
              <w:rPr>
                <w:b/>
              </w:rPr>
            </w:pPr>
            <w:r w:rsidRPr="004B5178">
              <w:rPr>
                <w:b/>
              </w:rPr>
              <w:t>Lack of ISB  approval  and ROCR license of GP patient survey</w:t>
            </w:r>
          </w:p>
          <w:p w14:paraId="1C1E5645" w14:textId="77777777" w:rsidR="000C1C47" w:rsidRPr="004B5178" w:rsidRDefault="000C1C47" w:rsidP="000C1C47">
            <w:r w:rsidRPr="004B5178">
              <w:t xml:space="preserve">It was acknowledged that in the absence of a better data source the GPPS is still the most appropriate source for indicators 2.1 and 2.4 without adding additional burden to providers. As suggested by MRG, the GP patient survey is attached in the supporting documentation. The </w:t>
            </w:r>
            <w:hyperlink r:id="rId15" w:history="1">
              <w:r w:rsidRPr="004B5178">
                <w:rPr>
                  <w:rStyle w:val="Hyperlink"/>
                  <w:color w:val="auto"/>
                </w:rPr>
                <w:t>Technical Annex for the GP Patient survey</w:t>
              </w:r>
            </w:hyperlink>
            <w:r w:rsidRPr="004B5178">
              <w:t xml:space="preserve"> contains details regarding eligibility, participation and sampling for the survey.</w:t>
            </w:r>
          </w:p>
          <w:p w14:paraId="52E044B8" w14:textId="77777777" w:rsidR="000C1C47" w:rsidRPr="004B5178" w:rsidRDefault="000C1C47" w:rsidP="000C1C47">
            <w:r w:rsidRPr="004B5178">
              <w:t>As recommended by MRG we will initiate a wider discussion around the appropriateness of data sources outside the MRG meeting.</w:t>
            </w:r>
          </w:p>
          <w:p w14:paraId="00B934C5" w14:textId="77777777" w:rsidR="000C1C47" w:rsidRPr="004B5178" w:rsidRDefault="000C1C47" w:rsidP="000C1C47"/>
          <w:p w14:paraId="5C2A0896" w14:textId="77777777" w:rsidR="000C1C47" w:rsidRPr="004B5178" w:rsidRDefault="000C1C47" w:rsidP="000C1C47">
            <w:pPr>
              <w:rPr>
                <w:b/>
              </w:rPr>
            </w:pPr>
            <w:r w:rsidRPr="004B5178">
              <w:rPr>
                <w:b/>
              </w:rPr>
              <w:t xml:space="preserve">Quoting of EQ-5D instrument </w:t>
            </w:r>
          </w:p>
          <w:p w14:paraId="539843F9" w14:textId="77777777" w:rsidR="000C1C47" w:rsidRPr="004B5178" w:rsidRDefault="000C1C47" w:rsidP="000C1C47">
            <w:r w:rsidRPr="004B5178">
              <w:t xml:space="preserve">Although not mentioned at the last MRG meeting a separate comment was received regarding the reference to EQ-5D in connection with this indicator. </w:t>
            </w:r>
          </w:p>
          <w:p w14:paraId="137498D4" w14:textId="77777777" w:rsidR="000C1C47" w:rsidRPr="004B5178" w:rsidRDefault="000C1C47" w:rsidP="000C1C47">
            <w:r w:rsidRPr="004B5178">
              <w:lastRenderedPageBreak/>
              <w:t>Quote; “The guide to the EQ-5D (UK English Version) states:  “EQ-5D is a two-part instrument so if you only use 1 part you cannot claim to have used the EQ-5D in your publications.”  As the survey only uses the descriptive part and not the visual part, references to EQ-5D should be withdrawn.”</w:t>
            </w:r>
          </w:p>
          <w:p w14:paraId="7B17A9AB" w14:textId="77777777" w:rsidR="000C1C47" w:rsidRPr="004B5178" w:rsidRDefault="000C1C47" w:rsidP="000C1C47"/>
          <w:p w14:paraId="55D50F37" w14:textId="77777777" w:rsidR="000C1C47" w:rsidRPr="004B5178" w:rsidRDefault="000C1C47" w:rsidP="000C1C47">
            <w:r w:rsidRPr="004B5178">
              <w:t>The following answer has been received from NHS England:</w:t>
            </w:r>
          </w:p>
          <w:p w14:paraId="69B581D3" w14:textId="77777777" w:rsidR="000C1C47" w:rsidRPr="004B5178" w:rsidRDefault="000C1C47" w:rsidP="000C1C47">
            <w:r w:rsidRPr="004B5178">
              <w:t>“I am advised that it is correct to say that the EQ-5D items and the EQ-visual analogue score (VAS) item are related, but it is not correct that the EQ-5D index score is calculated using the response to the EQ-VAS item.  The EQ-5D index is calculated using the EQ-5D items and a socially derived tariff.  Euroqol Group gave written permission to the Department of Health on 2 May 2011 to use the EQ-5D questions only in this format for the GP patient survey and are happy for it to be referred to in the way that NHS England (formerly DH)  do.</w:t>
            </w:r>
          </w:p>
          <w:p w14:paraId="73427B7A" w14:textId="77777777" w:rsidR="000C1C47" w:rsidRPr="004B5178" w:rsidRDefault="000C1C47" w:rsidP="000C1C47">
            <w:r w:rsidRPr="004B5178">
              <w:t>It is intended to carry out a review of the entire survey programme NHS England has gained responsibility for, as part of our wider programme of insight work. NHS England has not yet finalised the scope or terms of reference of the review but is keen to look at where the survey programme or any part of it might be improved. There is also access to new sources of real-time feedback, which will add to the insight about patient experience.</w:t>
            </w:r>
          </w:p>
          <w:p w14:paraId="5887F2E0" w14:textId="77777777" w:rsidR="000C1C47" w:rsidRPr="004B5178" w:rsidRDefault="000C1C47" w:rsidP="000C1C47"/>
        </w:tc>
      </w:tr>
      <w:tr w:rsidR="004B5178" w:rsidRPr="004B5178" w14:paraId="2434CDAA" w14:textId="77777777" w:rsidTr="008A4F7F">
        <w:tc>
          <w:tcPr>
            <w:tcW w:w="1844" w:type="dxa"/>
          </w:tcPr>
          <w:p w14:paraId="50430DBC" w14:textId="77777777" w:rsidR="000C1C47" w:rsidRPr="004B5178" w:rsidRDefault="000C1C47" w:rsidP="000C1C47">
            <w:r w:rsidRPr="004B5178">
              <w:lastRenderedPageBreak/>
              <w:t>Ref code</w:t>
            </w:r>
          </w:p>
          <w:p w14:paraId="3772BE8A" w14:textId="77777777" w:rsidR="000C1C47" w:rsidRPr="004B5178" w:rsidRDefault="000C1C47" w:rsidP="000C1C47">
            <w:pPr>
              <w:rPr>
                <w:b/>
              </w:rPr>
            </w:pPr>
            <w:r w:rsidRPr="004B5178">
              <w:rPr>
                <w:b/>
              </w:rPr>
              <w:t>2013/31</w:t>
            </w:r>
          </w:p>
          <w:p w14:paraId="4804746C" w14:textId="77777777" w:rsidR="000C1C47" w:rsidRPr="004B5178" w:rsidRDefault="000C1C47" w:rsidP="000C1C47">
            <w:r w:rsidRPr="004B5178">
              <w:t>Made: 31/05/13</w:t>
            </w:r>
          </w:p>
        </w:tc>
        <w:tc>
          <w:tcPr>
            <w:tcW w:w="13343" w:type="dxa"/>
          </w:tcPr>
          <w:p w14:paraId="6DF3273A" w14:textId="53995A94" w:rsidR="000C1C47" w:rsidRPr="004B5178" w:rsidRDefault="000C1C47" w:rsidP="000C1C47">
            <w:pPr>
              <w:rPr>
                <w:b/>
              </w:rPr>
            </w:pPr>
            <w:r w:rsidRPr="004B5178">
              <w:rPr>
                <w:b/>
              </w:rPr>
              <w:t xml:space="preserve">Indicators to be brought back to MRG once additional analysis regarding standardisation has taken place. MRG also requested that any relevant </w:t>
            </w:r>
            <w:r w:rsidR="00C36CDF" w:rsidRPr="004B5178">
              <w:rPr>
                <w:b/>
              </w:rPr>
              <w:t>background</w:t>
            </w:r>
            <w:r w:rsidRPr="004B5178">
              <w:rPr>
                <w:b/>
              </w:rPr>
              <w:t xml:space="preserve"> research (whether it is beneficial or not) is included in the MRG papers.</w:t>
            </w:r>
          </w:p>
        </w:tc>
      </w:tr>
      <w:tr w:rsidR="004B5178" w:rsidRPr="004B5178" w14:paraId="235840E5" w14:textId="77777777" w:rsidTr="008A4F7F">
        <w:tc>
          <w:tcPr>
            <w:tcW w:w="1844" w:type="dxa"/>
          </w:tcPr>
          <w:p w14:paraId="18C2B453" w14:textId="77777777" w:rsidR="000C1C47" w:rsidRPr="004B5178" w:rsidRDefault="000C1C47" w:rsidP="000C1C47">
            <w:r w:rsidRPr="004B5178">
              <w:t xml:space="preserve">Update: </w:t>
            </w:r>
          </w:p>
          <w:p w14:paraId="008C8529" w14:textId="77777777" w:rsidR="000C1C47" w:rsidRPr="004B5178" w:rsidRDefault="000C1C47" w:rsidP="000C1C47">
            <w:r w:rsidRPr="004B5178">
              <w:t>Made: xx/xx/xx</w:t>
            </w:r>
          </w:p>
        </w:tc>
        <w:tc>
          <w:tcPr>
            <w:tcW w:w="13343" w:type="dxa"/>
          </w:tcPr>
          <w:p w14:paraId="29DD216E" w14:textId="77777777" w:rsidR="000C1C47" w:rsidRPr="004B5178" w:rsidRDefault="000C1C47" w:rsidP="000C1C47">
            <w:pPr>
              <w:rPr>
                <w:b/>
              </w:rPr>
            </w:pPr>
          </w:p>
        </w:tc>
      </w:tr>
      <w:tr w:rsidR="004B5178" w:rsidRPr="004B5178" w14:paraId="293DD555" w14:textId="77777777" w:rsidTr="008A4F7F">
        <w:tc>
          <w:tcPr>
            <w:tcW w:w="1844" w:type="dxa"/>
          </w:tcPr>
          <w:p w14:paraId="0BBE5E8F" w14:textId="77777777" w:rsidR="000C1C47" w:rsidRPr="004B5178" w:rsidRDefault="000C1C47" w:rsidP="000C1C47">
            <w:r w:rsidRPr="004B5178">
              <w:t xml:space="preserve">Further Rec: </w:t>
            </w:r>
          </w:p>
          <w:p w14:paraId="213E491D" w14:textId="77777777" w:rsidR="000C1C47" w:rsidRPr="004B5178" w:rsidRDefault="000C1C47" w:rsidP="000C1C47">
            <w:r w:rsidRPr="004B5178">
              <w:t>Made: xx/xx/xx</w:t>
            </w:r>
          </w:p>
        </w:tc>
        <w:tc>
          <w:tcPr>
            <w:tcW w:w="13343" w:type="dxa"/>
          </w:tcPr>
          <w:p w14:paraId="6D879F5B" w14:textId="77777777" w:rsidR="000C1C47" w:rsidRPr="004B5178" w:rsidRDefault="000C1C47" w:rsidP="000C1C47">
            <w:pPr>
              <w:rPr>
                <w:b/>
              </w:rPr>
            </w:pPr>
          </w:p>
          <w:p w14:paraId="06F96900" w14:textId="77777777" w:rsidR="000C1C47" w:rsidRPr="004B5178" w:rsidRDefault="000C1C47" w:rsidP="000C1C47">
            <w:pPr>
              <w:rPr>
                <w:b/>
              </w:rPr>
            </w:pPr>
          </w:p>
        </w:tc>
      </w:tr>
      <w:tr w:rsidR="004B5178" w:rsidRPr="004B5178" w14:paraId="32BBFBE1" w14:textId="77777777" w:rsidTr="008A4F7F">
        <w:tc>
          <w:tcPr>
            <w:tcW w:w="1844" w:type="dxa"/>
          </w:tcPr>
          <w:p w14:paraId="442DD76D" w14:textId="77777777" w:rsidR="000C1C47" w:rsidRPr="004B5178" w:rsidRDefault="000C1C47" w:rsidP="000C1C47">
            <w:r w:rsidRPr="004B5178">
              <w:t xml:space="preserve">Update: </w:t>
            </w:r>
          </w:p>
          <w:p w14:paraId="2DAE3742" w14:textId="77777777" w:rsidR="000C1C47" w:rsidRPr="004B5178" w:rsidRDefault="000C1C47" w:rsidP="000C1C47">
            <w:r w:rsidRPr="004B5178">
              <w:t>Made: xx/xx/xx</w:t>
            </w:r>
          </w:p>
        </w:tc>
        <w:tc>
          <w:tcPr>
            <w:tcW w:w="13343" w:type="dxa"/>
          </w:tcPr>
          <w:p w14:paraId="0F8A9D78" w14:textId="77777777" w:rsidR="000C1C47" w:rsidRPr="004B5178" w:rsidRDefault="000C1C47" w:rsidP="000C1C47">
            <w:pPr>
              <w:rPr>
                <w:b/>
              </w:rPr>
            </w:pPr>
          </w:p>
          <w:p w14:paraId="53C7CACD" w14:textId="77777777" w:rsidR="000C1C47" w:rsidRPr="004B5178" w:rsidRDefault="000C1C47" w:rsidP="000C1C47">
            <w:pPr>
              <w:rPr>
                <w:b/>
              </w:rPr>
            </w:pPr>
          </w:p>
        </w:tc>
      </w:tr>
    </w:tbl>
    <w:p w14:paraId="70BAC5AB" w14:textId="77777777" w:rsidR="000C1C47" w:rsidRPr="004B5178" w:rsidRDefault="000C1C47" w:rsidP="000C1C47">
      <w:pPr>
        <w:rPr>
          <w:b/>
        </w:rPr>
      </w:pPr>
    </w:p>
    <w:p w14:paraId="483E36A5" w14:textId="77777777" w:rsidR="000C1C47" w:rsidRPr="004B5178" w:rsidRDefault="000C1C47">
      <w:pPr>
        <w:rPr>
          <w:b/>
        </w:rPr>
      </w:pPr>
      <w:r w:rsidRPr="004B5178">
        <w:rPr>
          <w:b/>
        </w:rPr>
        <w:br w:type="page"/>
      </w:r>
    </w:p>
    <w:p w14:paraId="541AC31F" w14:textId="77777777" w:rsidR="008A4F7F" w:rsidRDefault="000C1C47" w:rsidP="008A4F7F">
      <w:pPr>
        <w:ind w:left="-851"/>
        <w:rPr>
          <w:b/>
        </w:rPr>
      </w:pPr>
      <w:r w:rsidRPr="004B5178">
        <w:lastRenderedPageBreak/>
        <w:t xml:space="preserve">Record of Assurance provided by </w:t>
      </w:r>
      <w:r w:rsidRPr="004B5178">
        <w:rPr>
          <w:b/>
        </w:rPr>
        <w:t>Indicator Governance Board</w:t>
      </w:r>
    </w:p>
    <w:p w14:paraId="54E90AF5" w14:textId="77777777" w:rsidR="008A4F7F" w:rsidRDefault="008A4F7F" w:rsidP="008A4F7F">
      <w:pPr>
        <w:ind w:left="-851"/>
        <w:rPr>
          <w:b/>
        </w:rPr>
      </w:pPr>
    </w:p>
    <w:p w14:paraId="7A8DAC04" w14:textId="2D1B4324" w:rsidR="000C1C47" w:rsidRPr="008A4F7F" w:rsidRDefault="008A4F7F" w:rsidP="008A4F7F">
      <w:pPr>
        <w:ind w:left="-851"/>
        <w:rPr>
          <w:b/>
        </w:rPr>
      </w:pPr>
      <w:r>
        <w:t xml:space="preserve">   </w:t>
      </w:r>
      <w:r w:rsidRPr="008A4F7F">
        <w:t>IAS Ref Code:</w:t>
      </w:r>
    </w:p>
    <w:tbl>
      <w:tblPr>
        <w:tblStyle w:val="TableGrid"/>
        <w:tblW w:w="2836" w:type="dxa"/>
        <w:tblInd w:w="-714" w:type="dxa"/>
        <w:tblLayout w:type="fixed"/>
        <w:tblLook w:val="01E0" w:firstRow="1" w:lastRow="1" w:firstColumn="1" w:lastColumn="1" w:noHBand="0" w:noVBand="0"/>
      </w:tblPr>
      <w:tblGrid>
        <w:gridCol w:w="2836"/>
      </w:tblGrid>
      <w:tr w:rsidR="008A4F7F" w:rsidRPr="004B5178" w14:paraId="37919C44" w14:textId="77777777" w:rsidTr="008A4F7F">
        <w:tc>
          <w:tcPr>
            <w:tcW w:w="2836" w:type="dxa"/>
          </w:tcPr>
          <w:p w14:paraId="280D1C67" w14:textId="77777777" w:rsidR="008A4F7F" w:rsidRPr="004B5178" w:rsidRDefault="008A4F7F" w:rsidP="000C1C47">
            <w:pPr>
              <w:rPr>
                <w:b/>
              </w:rPr>
            </w:pPr>
            <w:bookmarkStart w:id="19" w:name="_Hlk35867778"/>
            <w:r w:rsidRPr="004B5178">
              <w:rPr>
                <w:b/>
              </w:rPr>
              <w:t>Indicator Title</w:t>
            </w:r>
          </w:p>
        </w:tc>
      </w:tr>
      <w:bookmarkEnd w:id="19"/>
      <w:tr w:rsidR="008A4F7F" w:rsidRPr="004B5178" w14:paraId="4938704B" w14:textId="77777777" w:rsidTr="008A4F7F">
        <w:tc>
          <w:tcPr>
            <w:tcW w:w="2836" w:type="dxa"/>
          </w:tcPr>
          <w:p w14:paraId="6824BE7B" w14:textId="77777777" w:rsidR="008A4F7F" w:rsidRPr="004B5178" w:rsidRDefault="008A4F7F" w:rsidP="000C1C47">
            <w:r w:rsidRPr="004B5178">
              <w:t>Indicator Set</w:t>
            </w:r>
          </w:p>
        </w:tc>
      </w:tr>
    </w:tbl>
    <w:p w14:paraId="48F10069" w14:textId="00CA7519" w:rsidR="000C1C47" w:rsidRDefault="000C1C47"/>
    <w:tbl>
      <w:tblPr>
        <w:tblStyle w:val="TableGrid"/>
        <w:tblW w:w="14884" w:type="dxa"/>
        <w:tblInd w:w="-714" w:type="dxa"/>
        <w:tblLook w:val="04A0" w:firstRow="1" w:lastRow="0" w:firstColumn="1" w:lastColumn="0" w:noHBand="0" w:noVBand="1"/>
      </w:tblPr>
      <w:tblGrid>
        <w:gridCol w:w="14884"/>
      </w:tblGrid>
      <w:tr w:rsidR="008A4F7F" w14:paraId="7A50631B" w14:textId="77777777" w:rsidTr="008A4F7F">
        <w:tc>
          <w:tcPr>
            <w:tcW w:w="14884" w:type="dxa"/>
          </w:tcPr>
          <w:p w14:paraId="1B94C4AF" w14:textId="77777777" w:rsidR="008A4F7F" w:rsidRDefault="008A4F7F" w:rsidP="008A4F7F">
            <w:r>
              <w:t xml:space="preserve">Description </w:t>
            </w:r>
          </w:p>
          <w:p w14:paraId="12A90C7A" w14:textId="354A4132" w:rsidR="008A4F7F" w:rsidRDefault="008A4F7F" w:rsidP="008A4F7F">
            <w:r>
              <w:t>Proportion of people feeling supported to manage their condition, measured based on responses to question 32 of the GP Patient Survey; In the last 6 months, have you had enough support from local services or organisations to help you manage your long term condition(s)? Please think about all services and organisations, not just health services.</w:t>
            </w:r>
          </w:p>
        </w:tc>
      </w:tr>
      <w:tr w:rsidR="008A4F7F" w14:paraId="3619B271" w14:textId="77777777" w:rsidTr="008A4F7F">
        <w:tc>
          <w:tcPr>
            <w:tcW w:w="14884" w:type="dxa"/>
          </w:tcPr>
          <w:p w14:paraId="79B8F7E6" w14:textId="77777777" w:rsidR="008A4F7F" w:rsidRDefault="008A4F7F" w:rsidP="008A4F7F">
            <w:r w:rsidRPr="004B5178">
              <w:t>Initial IGB discussion</w:t>
            </w:r>
          </w:p>
          <w:p w14:paraId="723F3BDB" w14:textId="1CC50B5C" w:rsidR="008A4F7F" w:rsidRDefault="008A4F7F" w:rsidP="008A4F7F">
            <w:r w:rsidRPr="004B5178">
              <w:t>16/09/13</w:t>
            </w:r>
          </w:p>
          <w:p w14:paraId="2E52B5EB" w14:textId="220BCCDF" w:rsidR="008A4F7F" w:rsidRDefault="008A4F7F" w:rsidP="008A4F7F">
            <w:r w:rsidRPr="004B5178">
              <w:t>Further discussed</w:t>
            </w:r>
          </w:p>
        </w:tc>
      </w:tr>
    </w:tbl>
    <w:p w14:paraId="5ED8FEA1" w14:textId="7CB3E9E9" w:rsidR="000C1C47" w:rsidRDefault="000C1C47"/>
    <w:p w14:paraId="70D42E59" w14:textId="5AB3A626" w:rsidR="008A4F7F" w:rsidRPr="008A4F7F" w:rsidRDefault="008A4F7F">
      <w:pPr>
        <w:rPr>
          <w:b/>
          <w:bCs/>
        </w:rPr>
      </w:pPr>
      <w:r w:rsidRPr="008A4F7F">
        <w:rPr>
          <w:b/>
          <w:bCs/>
        </w:rPr>
        <w:t>Strategic Considerations &amp; Implications</w:t>
      </w:r>
    </w:p>
    <w:tbl>
      <w:tblPr>
        <w:tblStyle w:val="TableGrid"/>
        <w:tblW w:w="14884" w:type="dxa"/>
        <w:tblInd w:w="-714" w:type="dxa"/>
        <w:tblLayout w:type="fixed"/>
        <w:tblLook w:val="01E0" w:firstRow="1" w:lastRow="1" w:firstColumn="1" w:lastColumn="1" w:noHBand="0" w:noVBand="0"/>
      </w:tblPr>
      <w:tblGrid>
        <w:gridCol w:w="2833"/>
        <w:gridCol w:w="12051"/>
      </w:tblGrid>
      <w:tr w:rsidR="00EA105C" w:rsidRPr="004B5178" w14:paraId="3F33FE86" w14:textId="77777777" w:rsidTr="00EA105C">
        <w:trPr>
          <w:trHeight w:val="759"/>
        </w:trPr>
        <w:tc>
          <w:tcPr>
            <w:tcW w:w="2833" w:type="dxa"/>
          </w:tcPr>
          <w:p w14:paraId="0BA9D2C3" w14:textId="77777777" w:rsidR="00EA105C" w:rsidRPr="004B5178" w:rsidRDefault="00EA105C" w:rsidP="000C1C47">
            <w:r w:rsidRPr="004B5178">
              <w:t>Applicant / Sponsor Organisation</w:t>
            </w:r>
          </w:p>
        </w:tc>
        <w:tc>
          <w:tcPr>
            <w:tcW w:w="12051" w:type="dxa"/>
          </w:tcPr>
          <w:p w14:paraId="74EF8FD9" w14:textId="77777777" w:rsidR="00EA105C" w:rsidRPr="004B5178" w:rsidRDefault="00EA105C" w:rsidP="000C1C47">
            <w:r w:rsidRPr="004B5178">
              <w:t>NHS England</w:t>
            </w:r>
          </w:p>
          <w:p w14:paraId="196769F3" w14:textId="77777777" w:rsidR="00EA105C" w:rsidRPr="004B5178" w:rsidRDefault="00EA105C" w:rsidP="000C1C47">
            <w:r w:rsidRPr="004B5178">
              <w:t>*Costing for assurance appraisal included in development cost</w:t>
            </w:r>
          </w:p>
          <w:p w14:paraId="5FE87C25" w14:textId="256E7411" w:rsidR="00EA105C" w:rsidRPr="004B5178" w:rsidRDefault="00EA105C" w:rsidP="000C1C47">
            <w:r w:rsidRPr="004B5178">
              <w:t>Assurance process funded?</w:t>
            </w:r>
          </w:p>
          <w:p w14:paraId="5DC01C5B" w14:textId="2E68E9C1" w:rsidR="00EA105C" w:rsidRPr="004B5178" w:rsidRDefault="00EA105C" w:rsidP="00EA105C">
            <w:r w:rsidRPr="004B5178">
              <w:rPr>
                <w:b/>
              </w:rPr>
              <w:t>Yes*</w:t>
            </w:r>
            <w:r>
              <w:rPr>
                <w:b/>
              </w:rPr>
              <w:t xml:space="preserve"> </w:t>
            </w:r>
            <w:sdt>
              <w:sdtPr>
                <w:id w:val="761495459"/>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47DA0218" w14:textId="64EF279E" w:rsidR="00EA105C" w:rsidRPr="004B5178" w:rsidRDefault="00EA105C" w:rsidP="00EA105C">
            <w:r w:rsidRPr="004B5178">
              <w:rPr>
                <w:b/>
              </w:rPr>
              <w:t>No</w:t>
            </w:r>
            <w:r>
              <w:rPr>
                <w:b/>
              </w:rPr>
              <w:t xml:space="preserve"> </w:t>
            </w:r>
            <w:sdt>
              <w:sdtPr>
                <w:id w:val="-302473610"/>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tc>
      </w:tr>
      <w:tr w:rsidR="004B5178" w:rsidRPr="004B5178" w14:paraId="35DC92B0" w14:textId="77777777" w:rsidTr="008A4F7F">
        <w:tc>
          <w:tcPr>
            <w:tcW w:w="2833" w:type="dxa"/>
          </w:tcPr>
          <w:p w14:paraId="509F691E" w14:textId="77777777" w:rsidR="000C1C47" w:rsidRPr="004B5178" w:rsidRDefault="000C1C47" w:rsidP="000C1C47">
            <w:r w:rsidRPr="004B5178">
              <w:t xml:space="preserve">Indicator rationale </w:t>
            </w:r>
          </w:p>
        </w:tc>
        <w:tc>
          <w:tcPr>
            <w:tcW w:w="12051" w:type="dxa"/>
          </w:tcPr>
          <w:p w14:paraId="0E909352" w14:textId="77777777" w:rsidR="000C1C47" w:rsidRPr="004B5178" w:rsidRDefault="000C1C47" w:rsidP="000C1C47">
            <w:r w:rsidRPr="004B5178">
              <w:t>The vast majority of the population visit their GP each year, and the average person will visit their GP more than five times a year. This will particularly be the case for people with long-term conditions. Often it is the experience people have of primary care that determines their overall view of the NHS.  This indicator uses survey results to look specifically at whether people are feeling supported to manage their long-term condition.</w:t>
            </w:r>
          </w:p>
          <w:p w14:paraId="5B706816" w14:textId="77777777" w:rsidR="000C1C47" w:rsidRPr="004B5178" w:rsidRDefault="000C1C47" w:rsidP="000C1C47"/>
          <w:p w14:paraId="0255EFC9" w14:textId="77777777" w:rsidR="000C1C47" w:rsidRPr="004B5178" w:rsidRDefault="000C1C47" w:rsidP="000C1C47"/>
        </w:tc>
      </w:tr>
      <w:tr w:rsidR="004B5178" w:rsidRPr="004B5178" w14:paraId="76F5D51C" w14:textId="77777777" w:rsidTr="008A4F7F">
        <w:tc>
          <w:tcPr>
            <w:tcW w:w="2833" w:type="dxa"/>
          </w:tcPr>
          <w:p w14:paraId="69F44B45" w14:textId="77777777" w:rsidR="000C1C47" w:rsidRPr="004B5178" w:rsidRDefault="000C1C47" w:rsidP="000C1C47">
            <w:r w:rsidRPr="004B5178">
              <w:t xml:space="preserve">Basis for rationale </w:t>
            </w:r>
          </w:p>
          <w:p w14:paraId="5BF88509" w14:textId="77777777" w:rsidR="000C1C47" w:rsidRPr="004B5178" w:rsidRDefault="000C1C47" w:rsidP="000C1C47">
            <w:r w:rsidRPr="004B5178">
              <w:t>[Details of quality statement, policy etc.]</w:t>
            </w:r>
            <w:r w:rsidRPr="004B5178">
              <w:rPr>
                <w:i/>
              </w:rPr>
              <w:t xml:space="preserve"> </w:t>
            </w:r>
          </w:p>
        </w:tc>
        <w:tc>
          <w:tcPr>
            <w:tcW w:w="12051" w:type="dxa"/>
          </w:tcPr>
          <w:p w14:paraId="6814847B" w14:textId="77777777" w:rsidR="000C1C47" w:rsidRPr="004B5178" w:rsidRDefault="000C1C47" w:rsidP="000C1C47">
            <w:r w:rsidRPr="004B5178">
              <w:t>It is now standard practice in healthcare systems worldwide to ask people to provide direct feedback on the quality of their experience, treatment and care.  This indicator will be used alongside additional information sources to provide local clinicians and managers with intelligence on the quality of local services from the patients’ and service users’ point of view and will ultimately play a role in driving improvements in the quality of service design and delivery.</w:t>
            </w:r>
          </w:p>
          <w:p w14:paraId="762B5732" w14:textId="77777777" w:rsidR="000C1C47" w:rsidRPr="004B5178" w:rsidRDefault="000C1C47" w:rsidP="000C1C47"/>
          <w:p w14:paraId="2CE56238" w14:textId="2EAFD153" w:rsidR="000C1C47" w:rsidRPr="004B5178" w:rsidRDefault="000C1C47" w:rsidP="000967BB">
            <w:r w:rsidRPr="004B5178">
              <w:t xml:space="preserve">This indicator has been selected as part of the set of NHS Outcomes Framework indicators and CCG Outcome Indicator Set. The indicator is part of Domain 2 which reflects the importance of enhancing the quality of life for people with long-term conditions.  </w:t>
            </w:r>
          </w:p>
        </w:tc>
      </w:tr>
      <w:tr w:rsidR="004B5178" w:rsidRPr="004B5178" w14:paraId="5B34FB52" w14:textId="77777777" w:rsidTr="008A4F7F">
        <w:tc>
          <w:tcPr>
            <w:tcW w:w="2833" w:type="dxa"/>
          </w:tcPr>
          <w:p w14:paraId="4FFD7A0C" w14:textId="77777777" w:rsidR="000C1C47" w:rsidRPr="004B5178" w:rsidRDefault="000C1C47" w:rsidP="000C1C47">
            <w:pPr>
              <w:spacing w:before="120"/>
            </w:pPr>
            <w:r w:rsidRPr="004B5178">
              <w:lastRenderedPageBreak/>
              <w:t>Calculation Summary</w:t>
            </w:r>
          </w:p>
        </w:tc>
        <w:tc>
          <w:tcPr>
            <w:tcW w:w="12051" w:type="dxa"/>
          </w:tcPr>
          <w:p w14:paraId="4A400755" w14:textId="77777777" w:rsidR="000C1C47" w:rsidRPr="004B5178" w:rsidRDefault="000C1C47" w:rsidP="000C1C47">
            <w:pPr>
              <w:spacing w:after="120"/>
            </w:pPr>
            <w:r w:rsidRPr="004B5178">
              <w:rPr>
                <w:b/>
                <w:i/>
              </w:rPr>
              <w:t>Denominator:</w:t>
            </w:r>
            <w:r w:rsidRPr="004B5178">
              <w:rPr>
                <w:i/>
              </w:rPr>
              <w:t xml:space="preserve"> </w:t>
            </w:r>
            <w:r w:rsidRPr="004B5178">
              <w:t xml:space="preserve">The denominator is the total number of ‘Yes, definitely’, ‘Yes, to some extent’ and ‘No’ answers to question 32 of the GP Patient Survey (GPPS)  </w:t>
            </w:r>
            <w:r w:rsidRPr="004B5178">
              <w:rPr>
                <w:i/>
              </w:rPr>
              <w:t>“In the last 6 months, have you had enough support from local services or organisations</w:t>
            </w:r>
            <w:r w:rsidRPr="004B5178">
              <w:t xml:space="preserve"> to help you manage your long-term condition(s)?”, for those having answered “Yes” to question 30 </w:t>
            </w:r>
            <w:r w:rsidRPr="004B5178">
              <w:rPr>
                <w:i/>
              </w:rPr>
              <w:t>“Do you have a long-standing health condition?”</w:t>
            </w:r>
            <w:r w:rsidRPr="004B5178">
              <w:t xml:space="preserve"> or tick a condition in question 31 </w:t>
            </w:r>
            <w:r w:rsidRPr="004B5178">
              <w:rPr>
                <w:i/>
              </w:rPr>
              <w:t>Which, if any, of the following medical conditions do you have? Please x all the boxes that apply to you.</w:t>
            </w:r>
          </w:p>
          <w:p w14:paraId="15663414" w14:textId="77777777" w:rsidR="000C1C47" w:rsidRPr="004B5178" w:rsidRDefault="000C1C47" w:rsidP="000C1C47"/>
          <w:p w14:paraId="0CE8A1D6" w14:textId="77777777" w:rsidR="000C1C47" w:rsidRPr="004B5178" w:rsidRDefault="000C1C47" w:rsidP="000C1C47">
            <w:r w:rsidRPr="004B5178">
              <w:rPr>
                <w:b/>
                <w:i/>
              </w:rPr>
              <w:t>Numerator:</w:t>
            </w:r>
            <w:r w:rsidRPr="004B5178">
              <w:t xml:space="preserve"> The numerator is the total number of ‘Yes, definitely’ or ‘Yes, to some extent’ answers to question 32  for those having answered yes to the question 30 or tick a condition in question 31 </w:t>
            </w:r>
            <w:r w:rsidRPr="004B5178">
              <w:rPr>
                <w:i/>
              </w:rPr>
              <w:t>Which, if any, of the following medical conditions do you have? Please x all the boxes that apply to you.</w:t>
            </w:r>
          </w:p>
          <w:p w14:paraId="5395358E" w14:textId="77777777" w:rsidR="000C1C47" w:rsidRPr="004B5178" w:rsidRDefault="000C1C47" w:rsidP="000C1C47"/>
          <w:p w14:paraId="1E3465E0" w14:textId="77777777" w:rsidR="000C1C47" w:rsidRPr="004B5178" w:rsidRDefault="000C1C47" w:rsidP="000C1C47"/>
        </w:tc>
      </w:tr>
      <w:tr w:rsidR="004B5178" w:rsidRPr="004B5178" w14:paraId="607F1ED3" w14:textId="77777777" w:rsidTr="008A4F7F">
        <w:tc>
          <w:tcPr>
            <w:tcW w:w="2833" w:type="dxa"/>
          </w:tcPr>
          <w:p w14:paraId="1A9A546E" w14:textId="77777777" w:rsidR="000C1C47" w:rsidRPr="004B5178" w:rsidRDefault="000C1C47" w:rsidP="000C1C47">
            <w:r w:rsidRPr="004B5178">
              <w:t>Risks &amp; assumptions</w:t>
            </w:r>
          </w:p>
        </w:tc>
        <w:tc>
          <w:tcPr>
            <w:tcW w:w="12051" w:type="dxa"/>
          </w:tcPr>
          <w:p w14:paraId="2DA5B90F" w14:textId="77777777" w:rsidR="000C1C47" w:rsidRPr="004B5178" w:rsidRDefault="000C1C47" w:rsidP="000967BB">
            <w:pPr>
              <w:pStyle w:val="ListParagraph"/>
              <w:numPr>
                <w:ilvl w:val="0"/>
                <w:numId w:val="23"/>
              </w:numPr>
              <w:spacing w:after="0" w:line="240" w:lineRule="auto"/>
              <w:rPr>
                <w:rFonts w:ascii="Arial" w:hAnsi="Arial" w:cs="Arial"/>
              </w:rPr>
            </w:pPr>
            <w:r w:rsidRPr="004B5178">
              <w:rPr>
                <w:rFonts w:ascii="Arial" w:hAnsi="Arial" w:cs="Arial"/>
              </w:rPr>
              <w:t>Changes to the indicators may be biased as a representation of change to the outcomes sought due to unmeasured changes in:</w:t>
            </w:r>
          </w:p>
          <w:p w14:paraId="49B937A9" w14:textId="77777777" w:rsidR="000C1C47" w:rsidRPr="004B5178" w:rsidRDefault="000C1C47" w:rsidP="000967BB">
            <w:pPr>
              <w:pStyle w:val="ListParagraph"/>
              <w:numPr>
                <w:ilvl w:val="1"/>
                <w:numId w:val="23"/>
              </w:numPr>
              <w:spacing w:after="0" w:line="240" w:lineRule="auto"/>
              <w:rPr>
                <w:rFonts w:ascii="Arial" w:hAnsi="Arial" w:cs="Arial"/>
              </w:rPr>
            </w:pPr>
            <w:r w:rsidRPr="004B5178">
              <w:rPr>
                <w:rFonts w:ascii="Arial" w:hAnsi="Arial" w:cs="Arial"/>
              </w:rPr>
              <w:t xml:space="preserve">The average period that the surveyed individuals have suffered a long-term condition, a major determinant of stage and severity of disease, and hence of health status. If the average period since incidence of the sampled population decreases, for example through earlier diagnosis, the measured health related quality of life of the sample will improve without genuine improvement of outcome. Conversely, if the period since incidence increases, for example as improvements in care defer mortality, the measured health related quality of life will decline without genuine deterioration of outcome. </w:t>
            </w:r>
          </w:p>
          <w:p w14:paraId="6199259C" w14:textId="77777777" w:rsidR="000C1C47" w:rsidRPr="004B5178" w:rsidRDefault="000C1C47" w:rsidP="000967BB">
            <w:pPr>
              <w:pStyle w:val="ListParagraph"/>
              <w:numPr>
                <w:ilvl w:val="1"/>
                <w:numId w:val="23"/>
              </w:numPr>
              <w:spacing w:after="0" w:line="240" w:lineRule="auto"/>
              <w:rPr>
                <w:rFonts w:ascii="Arial" w:hAnsi="Arial" w:cs="Arial"/>
              </w:rPr>
            </w:pPr>
            <w:r w:rsidRPr="004B5178">
              <w:rPr>
                <w:rFonts w:ascii="Arial" w:hAnsi="Arial" w:cs="Arial"/>
              </w:rPr>
              <w:t>Readiness to diagnose or report a "long standing health condition”, which might reflect change in tolerance of conditions by different age cohorts. For example, if a current cohort considers itself to suffer from a “long-term back problem” which an earlier cohort would have considered a normal part of ageing, the average casemix of the sample population will lighten.</w:t>
            </w:r>
          </w:p>
          <w:p w14:paraId="4B44BBFF" w14:textId="77777777" w:rsidR="000C1C47" w:rsidRPr="004B5178" w:rsidRDefault="000C1C47" w:rsidP="000C1C47">
            <w:pPr>
              <w:ind w:left="385" w:hanging="385"/>
            </w:pPr>
          </w:p>
          <w:p w14:paraId="26434117" w14:textId="77777777" w:rsidR="000C1C47" w:rsidRDefault="000C1C47" w:rsidP="000967BB">
            <w:pPr>
              <w:pStyle w:val="ListParagraph"/>
              <w:numPr>
                <w:ilvl w:val="0"/>
                <w:numId w:val="23"/>
              </w:numPr>
              <w:spacing w:after="0" w:line="240" w:lineRule="auto"/>
              <w:rPr>
                <w:rFonts w:ascii="Arial" w:hAnsi="Arial" w:cs="Arial"/>
              </w:rPr>
            </w:pPr>
            <w:r w:rsidRPr="004B5178">
              <w:rPr>
                <w:rFonts w:ascii="Arial" w:hAnsi="Arial" w:cs="Arial"/>
              </w:rPr>
              <w:t>As with other indicators based on the GPPS, the quality statement includes an explanation of the potential impact of non-response.</w:t>
            </w:r>
          </w:p>
          <w:p w14:paraId="1D3E5552" w14:textId="77777777" w:rsidR="00EA105C" w:rsidRDefault="00EA105C" w:rsidP="00EA105C"/>
          <w:p w14:paraId="117E5072" w14:textId="77777777" w:rsidR="00EA105C" w:rsidRDefault="00EA105C" w:rsidP="00EA105C"/>
          <w:p w14:paraId="0D9178A4" w14:textId="77777777" w:rsidR="00EA105C" w:rsidRDefault="00EA105C" w:rsidP="00EA105C"/>
          <w:p w14:paraId="17659191" w14:textId="77777777" w:rsidR="00EA105C" w:rsidRDefault="00EA105C" w:rsidP="00EA105C"/>
          <w:p w14:paraId="1FFBD314" w14:textId="77777777" w:rsidR="00EA105C" w:rsidRDefault="00EA105C" w:rsidP="00EA105C"/>
          <w:p w14:paraId="3C5AB692" w14:textId="77777777" w:rsidR="00EA105C" w:rsidRDefault="00EA105C" w:rsidP="00EA105C"/>
          <w:p w14:paraId="43020CCA" w14:textId="77777777" w:rsidR="00EA105C" w:rsidRDefault="00EA105C" w:rsidP="00EA105C"/>
          <w:p w14:paraId="4B10D9C4" w14:textId="7F1AD248" w:rsidR="00EA105C" w:rsidRPr="00EA105C" w:rsidRDefault="00EA105C" w:rsidP="00EA105C"/>
        </w:tc>
      </w:tr>
      <w:tr w:rsidR="00BD7D6B" w:rsidRPr="004B5178" w14:paraId="7578473B" w14:textId="77777777" w:rsidTr="0025757D">
        <w:trPr>
          <w:trHeight w:val="2807"/>
        </w:trPr>
        <w:tc>
          <w:tcPr>
            <w:tcW w:w="2833" w:type="dxa"/>
          </w:tcPr>
          <w:p w14:paraId="07CE70B4" w14:textId="3329AA98" w:rsidR="00BD7D6B" w:rsidRPr="004B5178" w:rsidRDefault="00BD7D6B" w:rsidP="000C1C47">
            <w:r w:rsidRPr="004B5178">
              <w:lastRenderedPageBreak/>
              <w:t>IG Considerations  [e.g. release of under-lying data, intermediaries’ access to data, data ownership impact on production]</w:t>
            </w:r>
          </w:p>
        </w:tc>
        <w:tc>
          <w:tcPr>
            <w:tcW w:w="12051" w:type="dxa"/>
          </w:tcPr>
          <w:p w14:paraId="34748787" w14:textId="77777777" w:rsidR="00BD7D6B" w:rsidRPr="00BD7D6B" w:rsidRDefault="00BD7D6B" w:rsidP="000C1C47">
            <w:pPr>
              <w:rPr>
                <w:b/>
                <w:bCs/>
                <w:iCs/>
              </w:rPr>
            </w:pPr>
            <w:r w:rsidRPr="00BD7D6B">
              <w:rPr>
                <w:b/>
                <w:bCs/>
                <w:iCs/>
              </w:rPr>
              <w:t>Data Source: This indicator is based on the twice yearly GP patient survey data.</w:t>
            </w:r>
          </w:p>
          <w:p w14:paraId="75801085" w14:textId="77777777" w:rsidR="00BD7D6B" w:rsidRPr="004B5178" w:rsidRDefault="00BD7D6B" w:rsidP="000C1C47">
            <w:r w:rsidRPr="004B5178">
              <w:t>The GP Patient Survey is being run centrally and administered by Ipsos MORI with patients selected at random from GP registered lists in order to avoid the possibility of primary care providers being able to “game” the system.</w:t>
            </w:r>
          </w:p>
          <w:p w14:paraId="4D06AD49" w14:textId="77777777" w:rsidR="00BD7D6B" w:rsidRPr="004B5178" w:rsidRDefault="00BD7D6B" w:rsidP="000C1C47"/>
          <w:p w14:paraId="1432A3D0" w14:textId="77777777" w:rsidR="00BD7D6B" w:rsidRPr="004B5178" w:rsidRDefault="00BD7D6B" w:rsidP="000C1C47">
            <w:r w:rsidRPr="004B5178">
              <w:t>Underlying data is provided to HSCIC via a Confidentiality Protection Agreement with NHS England.</w:t>
            </w:r>
          </w:p>
          <w:p w14:paraId="75C31151" w14:textId="77777777" w:rsidR="00BD7D6B" w:rsidRPr="004B5178" w:rsidRDefault="00BD7D6B" w:rsidP="000C1C47"/>
          <w:p w14:paraId="577C3773" w14:textId="77777777" w:rsidR="00BD7D6B" w:rsidRPr="004B5178" w:rsidRDefault="00BD7D6B" w:rsidP="000C1C47">
            <w:r w:rsidRPr="004B5178">
              <w:t>The indicators will be made publicly available via the HSCIC indicator portal.</w:t>
            </w:r>
          </w:p>
          <w:p w14:paraId="53682DB0" w14:textId="77777777" w:rsidR="00BD7D6B" w:rsidRPr="004B5178" w:rsidRDefault="00BD7D6B" w:rsidP="000C1C47"/>
          <w:p w14:paraId="5EAD9CE4" w14:textId="77777777" w:rsidR="00BD7D6B" w:rsidRPr="004B5178" w:rsidRDefault="00BD7D6B" w:rsidP="000C1C47">
            <w:r w:rsidRPr="004B5178">
              <w:t xml:space="preserve">EQ-5D™ is a registered trademark of EuroQol. Further details are available from </w:t>
            </w:r>
            <w:hyperlink r:id="rId16" w:history="1">
              <w:r w:rsidRPr="004B5178">
                <w:rPr>
                  <w:rStyle w:val="Hyperlink"/>
                  <w:color w:val="auto"/>
                </w:rPr>
                <w:t>http://www.euroqol.org</w:t>
              </w:r>
            </w:hyperlink>
            <w:r w:rsidRPr="004B5178">
              <w:t>.</w:t>
            </w:r>
          </w:p>
          <w:p w14:paraId="4568BC81" w14:textId="77777777" w:rsidR="00BD7D6B" w:rsidRPr="004B5178" w:rsidRDefault="00BD7D6B" w:rsidP="000C1C47"/>
          <w:p w14:paraId="15C65A06" w14:textId="77777777" w:rsidR="00BD7D6B" w:rsidRPr="004B5178" w:rsidRDefault="00BD7D6B" w:rsidP="000C1C47"/>
        </w:tc>
      </w:tr>
      <w:tr w:rsidR="004B5178" w:rsidRPr="004B5178" w14:paraId="4A2971B7" w14:textId="77777777" w:rsidTr="008A4F7F">
        <w:tc>
          <w:tcPr>
            <w:tcW w:w="2833" w:type="dxa"/>
          </w:tcPr>
          <w:p w14:paraId="27E10657" w14:textId="77777777" w:rsidR="000C1C47" w:rsidRPr="004B5178" w:rsidRDefault="000C1C47" w:rsidP="000C1C47">
            <w:r w:rsidRPr="004B5178">
              <w:t>Potential impacts on other business areas [inc outstanding generic issues]</w:t>
            </w:r>
          </w:p>
        </w:tc>
        <w:tc>
          <w:tcPr>
            <w:tcW w:w="12051" w:type="dxa"/>
          </w:tcPr>
          <w:p w14:paraId="7EBCF63E" w14:textId="77777777" w:rsidR="000C1C47" w:rsidRPr="004B5178" w:rsidRDefault="000C1C47" w:rsidP="000967BB">
            <w:pPr>
              <w:pStyle w:val="ListParagraph"/>
              <w:numPr>
                <w:ilvl w:val="0"/>
                <w:numId w:val="24"/>
              </w:numPr>
              <w:spacing w:after="0" w:line="240" w:lineRule="auto"/>
              <w:rPr>
                <w:rFonts w:ascii="Arial" w:hAnsi="Arial" w:cs="Arial"/>
              </w:rPr>
            </w:pPr>
            <w:r w:rsidRPr="004B5178">
              <w:rPr>
                <w:rFonts w:ascii="Arial" w:hAnsi="Arial" w:cs="Arial"/>
              </w:rPr>
              <w:t xml:space="preserve">This indicator is derived from the GP Patient Survey, alongside a number of other indicators sharing the same data source.  Consideration of generic issues relating to the survey should be applied to the appraisal / review of this indicator for consistency. </w:t>
            </w:r>
          </w:p>
          <w:p w14:paraId="323FA308" w14:textId="77777777" w:rsidR="000C1C47" w:rsidRPr="004B5178" w:rsidRDefault="000C1C47" w:rsidP="000967BB">
            <w:pPr>
              <w:pStyle w:val="ListParagraph"/>
              <w:numPr>
                <w:ilvl w:val="0"/>
                <w:numId w:val="24"/>
              </w:numPr>
              <w:spacing w:after="0" w:line="240" w:lineRule="auto"/>
              <w:rPr>
                <w:rFonts w:ascii="Arial" w:hAnsi="Arial" w:cs="Arial"/>
              </w:rPr>
            </w:pPr>
            <w:r w:rsidRPr="004B5178">
              <w:rPr>
                <w:rFonts w:ascii="Arial" w:hAnsi="Arial" w:cs="Arial"/>
              </w:rPr>
              <w:t>The weighting methodology used within the calculation of this indicator also relates to</w:t>
            </w:r>
            <w:r w:rsidRPr="004B5178">
              <w:rPr>
                <w:rFonts w:ascii="Arial" w:hAnsi="Arial" w:cs="Arial"/>
                <w:i/>
              </w:rPr>
              <w:t xml:space="preserve"> NHSOF 2. Health related quality of life for people with long-term conditions &amp; NHSOF 2.4 Health related quality of life for carers</w:t>
            </w:r>
          </w:p>
          <w:p w14:paraId="4E5E4325" w14:textId="77777777" w:rsidR="000C1C47" w:rsidRPr="004B5178" w:rsidRDefault="000C1C47" w:rsidP="000C1C47"/>
          <w:p w14:paraId="1142C919" w14:textId="77777777" w:rsidR="000C1C47" w:rsidRPr="004B5178" w:rsidRDefault="000C1C47" w:rsidP="000C1C47"/>
        </w:tc>
      </w:tr>
      <w:tr w:rsidR="004B5178" w:rsidRPr="004B5178" w14:paraId="75FE3317" w14:textId="77777777" w:rsidTr="008A4F7F">
        <w:tc>
          <w:tcPr>
            <w:tcW w:w="2833" w:type="dxa"/>
          </w:tcPr>
          <w:p w14:paraId="32FC44B6" w14:textId="77777777" w:rsidR="000C1C47" w:rsidRPr="004B5178" w:rsidRDefault="000C1C47" w:rsidP="000C1C47">
            <w:r w:rsidRPr="004B5178">
              <w:t>Implementation Method</w:t>
            </w:r>
          </w:p>
          <w:p w14:paraId="12E4BBAF" w14:textId="77777777" w:rsidR="000C1C47" w:rsidRPr="004B5178" w:rsidRDefault="000C1C47" w:rsidP="000C1C47">
            <w:pPr>
              <w:rPr>
                <w:i/>
              </w:rPr>
            </w:pPr>
            <w:r w:rsidRPr="004B5178">
              <w:t>[inc production funding]</w:t>
            </w:r>
          </w:p>
        </w:tc>
        <w:tc>
          <w:tcPr>
            <w:tcW w:w="12051" w:type="dxa"/>
          </w:tcPr>
          <w:p w14:paraId="6C00D993" w14:textId="77777777" w:rsidR="000C1C47" w:rsidRPr="004B5178" w:rsidRDefault="000C1C47" w:rsidP="000C1C47">
            <w:r w:rsidRPr="004B5178">
              <w:t>Production funding is secured</w:t>
            </w:r>
          </w:p>
          <w:p w14:paraId="77A7D4A9" w14:textId="77777777" w:rsidR="000C1C47" w:rsidRPr="004B5178" w:rsidRDefault="000C1C47" w:rsidP="000C1C47"/>
          <w:p w14:paraId="7C9645C3" w14:textId="77777777" w:rsidR="000C1C47" w:rsidRPr="004B5178" w:rsidRDefault="000C1C47" w:rsidP="000C1C47">
            <w:r w:rsidRPr="004B5178">
              <w:t>The indicator makes use of an existing data collection, so there are no additional data collection cost implications of burden.</w:t>
            </w:r>
          </w:p>
          <w:p w14:paraId="2BFF391C" w14:textId="50264CDF" w:rsidR="000C1C47" w:rsidRDefault="000C1C47" w:rsidP="000C1C47"/>
          <w:p w14:paraId="685FE1F9" w14:textId="416CFAED" w:rsidR="004F579E" w:rsidRDefault="004F579E" w:rsidP="000C1C47"/>
          <w:p w14:paraId="0CE33E67" w14:textId="77777777" w:rsidR="004F579E" w:rsidRPr="004B5178" w:rsidRDefault="004F579E" w:rsidP="000C1C47"/>
          <w:p w14:paraId="793EB6F8" w14:textId="77777777" w:rsidR="000C1C47" w:rsidRPr="004B5178" w:rsidRDefault="000C1C47" w:rsidP="000C1C47"/>
        </w:tc>
      </w:tr>
    </w:tbl>
    <w:p w14:paraId="33FAE1E2" w14:textId="608262AE" w:rsidR="000C1C47" w:rsidRDefault="000C1C47" w:rsidP="000C1C47"/>
    <w:p w14:paraId="0510A8C6" w14:textId="6B275532" w:rsidR="00EA105C" w:rsidRDefault="00EA105C" w:rsidP="000C1C47"/>
    <w:p w14:paraId="5EFC51E1" w14:textId="10DE022D" w:rsidR="00EA105C" w:rsidRDefault="00EA105C" w:rsidP="000C1C47"/>
    <w:p w14:paraId="30063F3B" w14:textId="7AB48DD3" w:rsidR="00EA105C" w:rsidRDefault="00EA105C" w:rsidP="000C1C47"/>
    <w:p w14:paraId="7BB1DE38" w14:textId="71A7133C" w:rsidR="00EA105C" w:rsidRDefault="00EA105C" w:rsidP="000C1C47"/>
    <w:p w14:paraId="3199DF9B" w14:textId="77240C0E" w:rsidR="00EA105C" w:rsidRDefault="00EA105C" w:rsidP="000C1C47"/>
    <w:p w14:paraId="3CEF719E" w14:textId="48E6900B" w:rsidR="00EA105C" w:rsidRDefault="00EA105C" w:rsidP="000C1C47"/>
    <w:p w14:paraId="5030C113" w14:textId="796BCFE3" w:rsidR="00EA105C" w:rsidRDefault="00EA105C" w:rsidP="000C1C47"/>
    <w:p w14:paraId="38133D70" w14:textId="5528C2D5" w:rsidR="00EA105C" w:rsidRDefault="00EA105C" w:rsidP="000C1C47"/>
    <w:p w14:paraId="17C75AB8" w14:textId="77777777" w:rsidR="00EA105C" w:rsidRPr="004B5178" w:rsidRDefault="00EA105C" w:rsidP="000C1C47"/>
    <w:p w14:paraId="0D28A89B" w14:textId="398D55DF" w:rsidR="000967BB" w:rsidRPr="004B5178" w:rsidRDefault="004F579E" w:rsidP="000C1C47">
      <w:r w:rsidRPr="00EA105C">
        <w:rPr>
          <w:b/>
        </w:rPr>
        <w:t>Record of MRG Discussion</w:t>
      </w:r>
    </w:p>
    <w:tbl>
      <w:tblPr>
        <w:tblStyle w:val="TableGrid"/>
        <w:tblW w:w="14454" w:type="dxa"/>
        <w:tblLayout w:type="fixed"/>
        <w:tblLook w:val="01E0" w:firstRow="1" w:lastRow="1" w:firstColumn="1" w:lastColumn="1" w:noHBand="0" w:noVBand="0"/>
      </w:tblPr>
      <w:tblGrid>
        <w:gridCol w:w="2119"/>
        <w:gridCol w:w="12335"/>
      </w:tblGrid>
      <w:tr w:rsidR="00EA105C" w:rsidRPr="004B5178" w14:paraId="7528F7B9" w14:textId="77777777" w:rsidTr="005C085F">
        <w:tc>
          <w:tcPr>
            <w:tcW w:w="2119" w:type="dxa"/>
          </w:tcPr>
          <w:p w14:paraId="40C50D0B" w14:textId="77777777" w:rsidR="00EA105C" w:rsidRPr="004B5178" w:rsidRDefault="00EA105C" w:rsidP="000C1C47">
            <w:r w:rsidRPr="004B5178">
              <w:t xml:space="preserve">Discussion dates: </w:t>
            </w:r>
          </w:p>
        </w:tc>
        <w:tc>
          <w:tcPr>
            <w:tcW w:w="12335" w:type="dxa"/>
          </w:tcPr>
          <w:p w14:paraId="64C93060" w14:textId="77777777" w:rsidR="00EA105C" w:rsidRPr="004B5178" w:rsidRDefault="00EA105C" w:rsidP="000C1C47">
            <w:r w:rsidRPr="004B5178">
              <w:t>09/08/12, 05/10/12, 31/05/13, 08/07/13</w:t>
            </w:r>
          </w:p>
          <w:p w14:paraId="4FBD55BD" w14:textId="2D8F1299" w:rsidR="00EA105C" w:rsidRPr="004B5178" w:rsidRDefault="00EA105C" w:rsidP="000C1C47">
            <w:r w:rsidRPr="004B5178">
              <w:t>By:</w:t>
            </w:r>
          </w:p>
          <w:p w14:paraId="12C51398" w14:textId="6BD7C56A" w:rsidR="00EA105C" w:rsidRPr="004B5178" w:rsidRDefault="00EA105C" w:rsidP="000C1C47">
            <w:r w:rsidRPr="004B5178">
              <w:t>Alyson Whitmarsh  HSCIC</w:t>
            </w:r>
            <w:r w:rsidRPr="004B5178">
              <w:tab/>
              <w:t>Programme Manager Clinical Audit</w:t>
            </w:r>
          </w:p>
          <w:p w14:paraId="2D8D642B" w14:textId="77777777" w:rsidR="00EA105C" w:rsidRPr="004B5178" w:rsidRDefault="00EA105C" w:rsidP="000C1C47">
            <w:r w:rsidRPr="004B5178">
              <w:t>John Varlow</w:t>
            </w:r>
            <w:r w:rsidRPr="004B5178">
              <w:tab/>
              <w:t>HSCIC</w:t>
            </w:r>
            <w:r w:rsidRPr="004B5178">
              <w:tab/>
              <w:t>Director of Information Services</w:t>
            </w:r>
          </w:p>
          <w:p w14:paraId="24489712" w14:textId="77777777" w:rsidR="00EA105C" w:rsidRPr="004B5178" w:rsidRDefault="00EA105C" w:rsidP="000C1C47">
            <w:r w:rsidRPr="004B5178">
              <w:t>Andy Sutherland</w:t>
            </w:r>
            <w:r w:rsidRPr="004B5178">
              <w:tab/>
              <w:t>HSCIC</w:t>
            </w:r>
            <w:r w:rsidRPr="004B5178">
              <w:tab/>
              <w:t>Statistics Head Of Profession</w:t>
            </w:r>
          </w:p>
          <w:p w14:paraId="0FD85207" w14:textId="77777777" w:rsidR="00EA105C" w:rsidRPr="004B5178" w:rsidRDefault="00EA105C" w:rsidP="000C1C47">
            <w:r w:rsidRPr="004B5178">
              <w:t>Paul Fryers</w:t>
            </w:r>
            <w:r w:rsidRPr="004B5178">
              <w:tab/>
              <w:t>PHE</w:t>
            </w:r>
            <w:r w:rsidRPr="004B5178">
              <w:tab/>
              <w:t>Deputy Director, EMids Knowledge and Intel. Team</w:t>
            </w:r>
          </w:p>
          <w:p w14:paraId="78CF8AC4" w14:textId="77777777" w:rsidR="00EA105C" w:rsidRPr="004B5178" w:rsidRDefault="00EA105C" w:rsidP="000C1C47">
            <w:r w:rsidRPr="004B5178">
              <w:t>Jonathon Hope</w:t>
            </w:r>
            <w:r w:rsidRPr="004B5178">
              <w:tab/>
              <w:t>HSCIC</w:t>
            </w:r>
            <w:r w:rsidRPr="004B5178">
              <w:tab/>
              <w:t>Principal Information Analyst Clinical Audit</w:t>
            </w:r>
          </w:p>
          <w:p w14:paraId="4D0B7232" w14:textId="77777777" w:rsidR="00EA105C" w:rsidRPr="004B5178" w:rsidRDefault="00EA105C" w:rsidP="000C1C47">
            <w:r w:rsidRPr="004B5178">
              <w:t>Karina Gajewska</w:t>
            </w:r>
            <w:r w:rsidRPr="004B5178">
              <w:tab/>
              <w:t>HSCIC</w:t>
            </w:r>
            <w:r w:rsidRPr="004B5178">
              <w:tab/>
              <w:t>Section Head Clinical Indicators</w:t>
            </w:r>
          </w:p>
          <w:p w14:paraId="4B28BEB5" w14:textId="77777777" w:rsidR="00EA105C" w:rsidRPr="004B5178" w:rsidRDefault="00EA105C" w:rsidP="000C1C47">
            <w:pPr>
              <w:rPr>
                <w:i/>
              </w:rPr>
            </w:pPr>
            <w:r w:rsidRPr="004B5178">
              <w:rPr>
                <w:i/>
              </w:rPr>
              <w:t>Gerry Firkins</w:t>
            </w:r>
            <w:r w:rsidRPr="004B5178">
              <w:rPr>
                <w:i/>
              </w:rPr>
              <w:tab/>
              <w:t>ISB</w:t>
            </w:r>
            <w:r w:rsidRPr="004B5178">
              <w:rPr>
                <w:i/>
              </w:rPr>
              <w:tab/>
              <w:t>Domain Lead</w:t>
            </w:r>
          </w:p>
        </w:tc>
      </w:tr>
      <w:tr w:rsidR="004B5178" w:rsidRPr="004B5178" w14:paraId="1ABC1821" w14:textId="77777777" w:rsidTr="005C085F">
        <w:tc>
          <w:tcPr>
            <w:tcW w:w="2119" w:type="dxa"/>
          </w:tcPr>
          <w:p w14:paraId="3FB46978" w14:textId="77777777" w:rsidR="000C1C47" w:rsidRPr="004B5178" w:rsidRDefault="000C1C47" w:rsidP="000C1C47">
            <w:pPr>
              <w:spacing w:before="120"/>
            </w:pPr>
            <w:r w:rsidRPr="004B5178">
              <w:t xml:space="preserve">Summary of MRG discussions: </w:t>
            </w:r>
          </w:p>
        </w:tc>
        <w:tc>
          <w:tcPr>
            <w:tcW w:w="12335" w:type="dxa"/>
          </w:tcPr>
          <w:p w14:paraId="073F04C7" w14:textId="77777777" w:rsidR="000C1C47" w:rsidRPr="004B5178" w:rsidRDefault="000C1C47" w:rsidP="000C1C47">
            <w:pPr>
              <w:spacing w:before="120"/>
            </w:pPr>
            <w:r w:rsidRPr="004B5178">
              <w:t>The indicator was discussed on several occasions by the Methodology Review Group.  Latter discussions focussed on the weighting methodology to be used within this, and other long term condition indicators based on the GP Patient Survey (GPPS).</w:t>
            </w:r>
          </w:p>
          <w:p w14:paraId="17A6F427" w14:textId="77777777" w:rsidR="000C1C47" w:rsidRPr="004B5178" w:rsidRDefault="000C1C47" w:rsidP="000C1C47">
            <w:pPr>
              <w:rPr>
                <w:u w:val="single"/>
              </w:rPr>
            </w:pPr>
          </w:p>
          <w:p w14:paraId="7AF135EF"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 xml:space="preserve">Confirmation was given that people </w:t>
            </w:r>
            <w:r w:rsidRPr="004B5178">
              <w:rPr>
                <w:rFonts w:ascii="Arial" w:hAnsi="Arial" w:cs="Arial"/>
                <w:u w:val="single"/>
              </w:rPr>
              <w:t>not</w:t>
            </w:r>
            <w:r w:rsidRPr="004B5178">
              <w:rPr>
                <w:rFonts w:ascii="Arial" w:hAnsi="Arial" w:cs="Arial"/>
              </w:rPr>
              <w:t xml:space="preserve"> responding “Yes”  to Question 30 </w:t>
            </w:r>
            <w:r w:rsidRPr="004B5178">
              <w:rPr>
                <w:rFonts w:ascii="Arial" w:hAnsi="Arial" w:cs="Arial"/>
                <w:i/>
              </w:rPr>
              <w:t xml:space="preserve">“Do you have a long-standing health condition?” </w:t>
            </w:r>
            <w:r w:rsidRPr="004B5178">
              <w:rPr>
                <w:rFonts w:ascii="Arial" w:hAnsi="Arial" w:cs="Arial"/>
              </w:rPr>
              <w:t>in the survey, but who subsequently identify a LTC in question 31, should be included in the calculation</w:t>
            </w:r>
            <w:r w:rsidRPr="004B5178">
              <w:rPr>
                <w:rFonts w:ascii="Arial" w:hAnsi="Arial" w:cs="Arial"/>
                <w:i/>
              </w:rPr>
              <w:t>.</w:t>
            </w:r>
          </w:p>
          <w:p w14:paraId="12AF13C1"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 xml:space="preserve">MRG asked for further evidence of available research around the demographic mix, and the experience mix (i.e. are people with a bad experience more likely to respond), for non-response bias. The applicant confirmed that no such research had been carried out but that weighting was applied to account for non-response bias - this is noted in the quality statement. </w:t>
            </w:r>
          </w:p>
          <w:p w14:paraId="61958563" w14:textId="77A6CAE2"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 xml:space="preserve">MRG accepted that non-response is an issue in any survey and that as long as the quality statement reflected this and any possible </w:t>
            </w:r>
            <w:r w:rsidR="00C36CDF" w:rsidRPr="004B5178">
              <w:rPr>
                <w:rFonts w:ascii="Arial" w:hAnsi="Arial" w:cs="Arial"/>
              </w:rPr>
              <w:t>limitations</w:t>
            </w:r>
            <w:r w:rsidRPr="004B5178">
              <w:rPr>
                <w:rFonts w:ascii="Arial" w:hAnsi="Arial" w:cs="Arial"/>
              </w:rPr>
              <w:t xml:space="preserve"> then it should not be an issue as previous assured indicators had been based on GPPS data.</w:t>
            </w:r>
          </w:p>
          <w:p w14:paraId="402B2299"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 xml:space="preserve">MRG discussed the appropriateness of the data source as it is not ISB approved and does not have a ROCR licence. MRG acknowledged that in the absence of a better data source the GPPS is still the most appropriate source for this indicator without adding additional burden to providers. </w:t>
            </w:r>
          </w:p>
          <w:p w14:paraId="51DB162E" w14:textId="77777777" w:rsidR="000C1C47" w:rsidRPr="004B5178" w:rsidRDefault="000C1C47" w:rsidP="000C1C47"/>
          <w:p w14:paraId="5CEED14E" w14:textId="77777777" w:rsidR="000C1C47" w:rsidRPr="004B5178" w:rsidRDefault="000C1C47" w:rsidP="000C1C47">
            <w:r w:rsidRPr="004B5178">
              <w:t xml:space="preserve">A number of revisions to the weighting methodology for this indicator were discussed.  </w:t>
            </w:r>
          </w:p>
          <w:p w14:paraId="50E07B12" w14:textId="77777777" w:rsidR="000C1C47" w:rsidRPr="004B5178" w:rsidRDefault="000C1C47" w:rsidP="000967BB">
            <w:pPr>
              <w:pStyle w:val="ListParagraph"/>
              <w:numPr>
                <w:ilvl w:val="0"/>
                <w:numId w:val="27"/>
              </w:numPr>
              <w:spacing w:before="120" w:after="0" w:line="240" w:lineRule="auto"/>
              <w:rPr>
                <w:rFonts w:ascii="Arial" w:hAnsi="Arial" w:cs="Arial"/>
              </w:rPr>
            </w:pPr>
            <w:r w:rsidRPr="004B5178">
              <w:rPr>
                <w:rFonts w:ascii="Arial" w:hAnsi="Arial" w:cs="Arial"/>
              </w:rPr>
              <w:t>An draft paper supplied by the applicant, describing the weighting methodology to be used, was considered as part of the Methodology Review Group appraisal.  The purpose of the proposed method was to keep the weights for particular conditions and groups of conditions constant over time. Patients were categorised by:</w:t>
            </w:r>
          </w:p>
          <w:p w14:paraId="4EDE444B" w14:textId="77777777" w:rsidR="000C1C47" w:rsidRPr="004B5178" w:rsidRDefault="000C1C47" w:rsidP="000967BB">
            <w:pPr>
              <w:pStyle w:val="ListParagraph"/>
              <w:numPr>
                <w:ilvl w:val="1"/>
                <w:numId w:val="27"/>
              </w:numPr>
              <w:spacing w:before="120" w:after="0" w:line="240" w:lineRule="auto"/>
              <w:rPr>
                <w:rFonts w:ascii="Arial" w:hAnsi="Arial" w:cs="Arial"/>
              </w:rPr>
            </w:pPr>
            <w:r w:rsidRPr="004B5178">
              <w:rPr>
                <w:rFonts w:ascii="Arial" w:hAnsi="Arial" w:cs="Arial"/>
              </w:rPr>
              <w:t>Whether they have one, two or more conditions.</w:t>
            </w:r>
          </w:p>
          <w:p w14:paraId="3FEEDA85" w14:textId="77777777" w:rsidR="000C1C47" w:rsidRPr="004B5178" w:rsidRDefault="000C1C47" w:rsidP="000967BB">
            <w:pPr>
              <w:pStyle w:val="ListParagraph"/>
              <w:numPr>
                <w:ilvl w:val="1"/>
                <w:numId w:val="27"/>
              </w:numPr>
              <w:spacing w:before="120" w:after="0" w:line="240" w:lineRule="auto"/>
              <w:rPr>
                <w:rFonts w:ascii="Arial" w:hAnsi="Arial" w:cs="Arial"/>
              </w:rPr>
            </w:pPr>
            <w:r w:rsidRPr="004B5178">
              <w:rPr>
                <w:rFonts w:ascii="Arial" w:hAnsi="Arial" w:cs="Arial"/>
              </w:rPr>
              <w:t>Which of their conditions is the most serious. Severity defined by the average EQ-5D scores for patients with only one condition.</w:t>
            </w:r>
          </w:p>
          <w:p w14:paraId="49420206" w14:textId="77777777" w:rsidR="000C1C47" w:rsidRPr="004B5178" w:rsidRDefault="000C1C47" w:rsidP="000967BB">
            <w:pPr>
              <w:pStyle w:val="ListParagraph"/>
              <w:numPr>
                <w:ilvl w:val="0"/>
                <w:numId w:val="27"/>
              </w:numPr>
              <w:spacing w:before="120" w:after="0" w:line="240" w:lineRule="auto"/>
              <w:rPr>
                <w:rFonts w:ascii="Arial" w:hAnsi="Arial" w:cs="Arial"/>
              </w:rPr>
            </w:pPr>
            <w:r w:rsidRPr="004B5178">
              <w:rPr>
                <w:rFonts w:ascii="Arial" w:hAnsi="Arial" w:cs="Arial"/>
              </w:rPr>
              <w:lastRenderedPageBreak/>
              <w:t>A revised weighting methodology was subsequently suggested due to concerns that the groupings would be too large and would see patients with different conditions grouped together. MRG expressed considerable concern about this revised methodology, focussing on a lack of hierarchy of conditions in the proposal, and that a changing to a more complex weighting methodology meant that there was a big risk that model fitting would not converge when the indicator was constructed due to the very large number of parameters. Concern was also raised that the methodology would result in a large number of zero cells which would result in an indicator that the user wouldn’t know how to interpret.</w:t>
            </w:r>
          </w:p>
          <w:p w14:paraId="045474A1" w14:textId="77777777" w:rsidR="000C1C47" w:rsidRPr="004B5178" w:rsidRDefault="000C1C47" w:rsidP="000C1C47"/>
          <w:p w14:paraId="370AECCD" w14:textId="77777777" w:rsidR="000C1C47" w:rsidRPr="004B5178" w:rsidRDefault="000C1C47" w:rsidP="000C1C47">
            <w:r w:rsidRPr="004B5178">
              <w:t xml:space="preserve">In the </w:t>
            </w:r>
            <w:r w:rsidRPr="004B5178">
              <w:rPr>
                <w:b/>
              </w:rPr>
              <w:t>final revision</w:t>
            </w:r>
            <w:r w:rsidRPr="004B5178">
              <w:t>:</w:t>
            </w:r>
          </w:p>
          <w:p w14:paraId="392B43AC"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The proposal to weight by age with the removal of the under 18 age category (as respondents to the GP Patient Survey are aged 18 and over) was assured.  This is in order to ensure that the indicator is robust to changes in the age structure of the population in the future.</w:t>
            </w:r>
          </w:p>
          <w:p w14:paraId="4BCFF719"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The indicator will be weighted using age and gender.</w:t>
            </w:r>
          </w:p>
          <w:p w14:paraId="04475D37" w14:textId="77777777" w:rsidR="000C1C47" w:rsidRPr="004B5178" w:rsidRDefault="000C1C47" w:rsidP="000C1C47"/>
          <w:p w14:paraId="40CFC65F" w14:textId="77777777" w:rsidR="000C1C47" w:rsidRPr="004B5178" w:rsidRDefault="000C1C47" w:rsidP="000C1C47">
            <w:r w:rsidRPr="004B5178">
              <w:t>For use at CCG Level:</w:t>
            </w:r>
          </w:p>
          <w:p w14:paraId="7DF9F79C"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Responses would have to be split down by CCG level to be able to calculate specific age weights based on the level of responses in each CCG. This has been done based on the current GP patient survey data to ensure that the numbers in each CCG specific age band are big enough to be able to apply the weight. No empty cells were identified in sample data and the minimum number of responses within the age category was 11 for a CCG with a total number of 668 respondents.  MRG agreed that this would be sufficient to be able to calculate indicator at CCG level using the proposed methodology.</w:t>
            </w:r>
          </w:p>
          <w:p w14:paraId="799D1859" w14:textId="77777777" w:rsidR="000C1C47" w:rsidRPr="004B5178" w:rsidRDefault="000C1C47" w:rsidP="000C1C47">
            <w:pPr>
              <w:tabs>
                <w:tab w:val="num" w:pos="432"/>
              </w:tabs>
              <w:spacing w:after="60"/>
            </w:pPr>
          </w:p>
        </w:tc>
      </w:tr>
      <w:tr w:rsidR="004F579E" w:rsidRPr="004B5178" w14:paraId="1C02513C" w14:textId="77777777" w:rsidTr="00642CC4">
        <w:trPr>
          <w:trHeight w:val="1511"/>
        </w:trPr>
        <w:tc>
          <w:tcPr>
            <w:tcW w:w="2119" w:type="dxa"/>
          </w:tcPr>
          <w:p w14:paraId="3CF65EF7" w14:textId="4FDEA35D" w:rsidR="004F579E" w:rsidRPr="00EA105C" w:rsidRDefault="004F579E" w:rsidP="000C1C47">
            <w:pPr>
              <w:rPr>
                <w:iCs/>
              </w:rPr>
            </w:pPr>
            <w:r w:rsidRPr="00EA105C">
              <w:rPr>
                <w:iCs/>
              </w:rPr>
              <w:lastRenderedPageBreak/>
              <w:t>Outcome of MRG consideration:</w:t>
            </w:r>
          </w:p>
        </w:tc>
        <w:tc>
          <w:tcPr>
            <w:tcW w:w="12335" w:type="dxa"/>
          </w:tcPr>
          <w:p w14:paraId="7FED56DF" w14:textId="77777777" w:rsidR="004F579E" w:rsidRPr="004B5178" w:rsidRDefault="004F579E" w:rsidP="005C085F">
            <w:pPr>
              <w:pStyle w:val="ListParagraph"/>
              <w:numPr>
                <w:ilvl w:val="0"/>
                <w:numId w:val="25"/>
              </w:numPr>
              <w:spacing w:after="0" w:line="240" w:lineRule="auto"/>
            </w:pPr>
            <w:r w:rsidRPr="004B5178">
              <w:rPr>
                <w:rFonts w:ascii="Arial" w:hAnsi="Arial" w:cs="Arial"/>
                <w:b/>
              </w:rPr>
              <w:t>No significant issues identified</w:t>
            </w:r>
            <w:r>
              <w:rPr>
                <w:rFonts w:ascii="Arial" w:hAnsi="Arial" w:cs="Arial"/>
                <w:b/>
              </w:rPr>
              <w:t xml:space="preserve"> </w:t>
            </w:r>
            <w:sdt>
              <w:sdtPr>
                <w:id w:val="1882433936"/>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4F2A92E3" w14:textId="77777777" w:rsidR="004F579E" w:rsidRPr="004B5178" w:rsidRDefault="004F579E" w:rsidP="005C085F">
            <w:pPr>
              <w:pStyle w:val="ListParagraph"/>
              <w:numPr>
                <w:ilvl w:val="0"/>
                <w:numId w:val="25"/>
              </w:numPr>
              <w:spacing w:after="0" w:line="240" w:lineRule="auto"/>
            </w:pPr>
            <w:r w:rsidRPr="004B5178">
              <w:rPr>
                <w:rFonts w:ascii="Arial" w:hAnsi="Arial" w:cs="Arial"/>
                <w:b/>
              </w:rPr>
              <w:t>No significant issues on basis of completion of outstanding actions</w:t>
            </w:r>
            <w:r>
              <w:rPr>
                <w:rFonts w:ascii="Arial" w:hAnsi="Arial" w:cs="Arial"/>
                <w:b/>
              </w:rPr>
              <w:t xml:space="preserve"> </w:t>
            </w:r>
            <w:sdt>
              <w:sdtPr>
                <w:id w:val="1678775388"/>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2F51DB45" w14:textId="77777777" w:rsidR="004F579E" w:rsidRPr="004B5178" w:rsidRDefault="004F579E" w:rsidP="005C085F">
            <w:pPr>
              <w:pStyle w:val="ListParagraph"/>
              <w:numPr>
                <w:ilvl w:val="0"/>
                <w:numId w:val="25"/>
              </w:numPr>
              <w:spacing w:after="0" w:line="240" w:lineRule="auto"/>
            </w:pPr>
            <w:r w:rsidRPr="004B5178">
              <w:rPr>
                <w:rFonts w:ascii="Arial" w:hAnsi="Arial" w:cs="Arial"/>
                <w:b/>
              </w:rPr>
              <w:t>Some concerns expressed as caveats or limitations</w:t>
            </w:r>
            <w:r>
              <w:rPr>
                <w:rFonts w:ascii="Arial" w:hAnsi="Arial" w:cs="Arial"/>
                <w:b/>
              </w:rPr>
              <w:t xml:space="preserve"> </w:t>
            </w:r>
            <w:sdt>
              <w:sdtPr>
                <w:id w:val="1210842858"/>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7255A082" w14:textId="77777777" w:rsidR="004F579E" w:rsidRPr="004B5178" w:rsidRDefault="004F579E" w:rsidP="005C085F">
            <w:pPr>
              <w:pStyle w:val="ListParagraph"/>
              <w:numPr>
                <w:ilvl w:val="0"/>
                <w:numId w:val="25"/>
              </w:numPr>
              <w:spacing w:after="0" w:line="240" w:lineRule="auto"/>
            </w:pPr>
            <w:r w:rsidRPr="004B5178">
              <w:rPr>
                <w:rFonts w:ascii="Arial" w:hAnsi="Arial" w:cs="Arial"/>
                <w:b/>
              </w:rPr>
              <w:t>Significant reservations</w:t>
            </w:r>
            <w:r>
              <w:rPr>
                <w:rFonts w:ascii="Arial" w:hAnsi="Arial" w:cs="Arial"/>
                <w:b/>
              </w:rPr>
              <w:t xml:space="preserve"> </w:t>
            </w:r>
            <w:sdt>
              <w:sdtPr>
                <w:id w:val="-708648578"/>
                <w14:checkbox>
                  <w14:checked w14:val="1"/>
                  <w14:checkedState w14:val="2612" w14:font="MS Gothic"/>
                  <w14:uncheckedState w14:val="2610" w14:font="MS Gothic"/>
                </w14:checkbox>
              </w:sdtPr>
              <w:sdtContent>
                <w:r>
                  <w:rPr>
                    <w:rFonts w:ascii="MS Gothic" w:eastAsia="MS Gothic" w:hAnsi="MS Gothic" w:hint="eastAsia"/>
                  </w:rPr>
                  <w:t>☒</w:t>
                </w:r>
              </w:sdtContent>
            </w:sdt>
          </w:p>
          <w:p w14:paraId="1E62F24C" w14:textId="77777777" w:rsidR="004F579E" w:rsidRDefault="004F579E" w:rsidP="005C085F">
            <w:pPr>
              <w:pStyle w:val="ListParagraph"/>
              <w:numPr>
                <w:ilvl w:val="0"/>
                <w:numId w:val="25"/>
              </w:numPr>
              <w:spacing w:after="0" w:line="240" w:lineRule="auto"/>
            </w:pPr>
            <w:r w:rsidRPr="004B5178">
              <w:rPr>
                <w:rFonts w:ascii="Arial" w:hAnsi="Arial" w:cs="Arial"/>
                <w:b/>
              </w:rPr>
              <w:t>Unresolved issues</w:t>
            </w:r>
            <w:r>
              <w:rPr>
                <w:rFonts w:ascii="Arial" w:hAnsi="Arial" w:cs="Arial"/>
                <w:b/>
              </w:rPr>
              <w:t xml:space="preserve"> </w:t>
            </w:r>
            <w:sdt>
              <w:sdtPr>
                <w:id w:val="16436566"/>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57446092" w14:textId="77777777" w:rsidR="000E7CF2" w:rsidRDefault="000E7CF2" w:rsidP="000E7CF2"/>
          <w:p w14:paraId="3F33AD2F" w14:textId="77777777" w:rsidR="000E7CF2" w:rsidRDefault="000E7CF2" w:rsidP="000E7CF2"/>
          <w:p w14:paraId="3F8A804D" w14:textId="77777777" w:rsidR="000E7CF2" w:rsidRDefault="000E7CF2" w:rsidP="000E7CF2"/>
          <w:p w14:paraId="334C5304" w14:textId="77777777" w:rsidR="000E7CF2" w:rsidRDefault="000E7CF2" w:rsidP="000E7CF2"/>
          <w:p w14:paraId="78B19E67" w14:textId="77777777" w:rsidR="000E7CF2" w:rsidRDefault="000E7CF2" w:rsidP="000E7CF2"/>
          <w:p w14:paraId="711168E8" w14:textId="77777777" w:rsidR="000E7CF2" w:rsidRDefault="000E7CF2" w:rsidP="000E7CF2"/>
          <w:p w14:paraId="428E101F" w14:textId="5116C1B0" w:rsidR="000E7CF2" w:rsidRPr="004B5178" w:rsidRDefault="000E7CF2" w:rsidP="000E7CF2"/>
        </w:tc>
      </w:tr>
      <w:tr w:rsidR="000E7CF2" w:rsidRPr="004B5178" w14:paraId="220EF8E2" w14:textId="77777777" w:rsidTr="00C240CA">
        <w:trPr>
          <w:trHeight w:val="305"/>
        </w:trPr>
        <w:tc>
          <w:tcPr>
            <w:tcW w:w="14454" w:type="dxa"/>
            <w:gridSpan w:val="2"/>
          </w:tcPr>
          <w:p w14:paraId="1E9DAD53" w14:textId="5EA7CC64" w:rsidR="000E7CF2" w:rsidRPr="004B5178" w:rsidRDefault="000E7CF2" w:rsidP="000C1C47">
            <w:pPr>
              <w:rPr>
                <w:b/>
              </w:rPr>
            </w:pPr>
            <w:r w:rsidRPr="004F579E">
              <w:rPr>
                <w:b/>
              </w:rPr>
              <w:lastRenderedPageBreak/>
              <w:t>Additional Assurance Details</w:t>
            </w:r>
          </w:p>
        </w:tc>
      </w:tr>
      <w:tr w:rsidR="004B5178" w:rsidRPr="004B5178" w14:paraId="276B44B1" w14:textId="77777777" w:rsidTr="005C085F">
        <w:trPr>
          <w:trHeight w:val="404"/>
        </w:trPr>
        <w:tc>
          <w:tcPr>
            <w:tcW w:w="2119" w:type="dxa"/>
          </w:tcPr>
          <w:p w14:paraId="336EC4A1" w14:textId="77777777" w:rsidR="000C1C47" w:rsidRPr="004B5178" w:rsidRDefault="000C1C47" w:rsidP="000C1C47">
            <w:r w:rsidRPr="004B5178">
              <w:t>Peer Reviewers:</w:t>
            </w:r>
          </w:p>
        </w:tc>
        <w:tc>
          <w:tcPr>
            <w:tcW w:w="12335" w:type="dxa"/>
          </w:tcPr>
          <w:p w14:paraId="3B7A15C0" w14:textId="77777777" w:rsidR="000C1C47" w:rsidRPr="00BE725D" w:rsidRDefault="000C1C47" w:rsidP="000C1C47">
            <w:r w:rsidRPr="00BE725D">
              <w:t>Dr Nourieh Hoveyda</w:t>
            </w:r>
          </w:p>
          <w:p w14:paraId="55A1489B" w14:textId="77777777" w:rsidR="000C1C47" w:rsidRPr="004B5178" w:rsidRDefault="000C1C47" w:rsidP="000C1C47">
            <w:r w:rsidRPr="00BE725D">
              <w:t>Nicola Bent (NICE</w:t>
            </w:r>
            <w:r w:rsidRPr="004B5178">
              <w:t>)</w:t>
            </w:r>
          </w:p>
        </w:tc>
      </w:tr>
      <w:tr w:rsidR="004B5178" w:rsidRPr="004B5178" w14:paraId="612C5784" w14:textId="77777777" w:rsidTr="005C085F">
        <w:trPr>
          <w:trHeight w:val="413"/>
        </w:trPr>
        <w:tc>
          <w:tcPr>
            <w:tcW w:w="2119" w:type="dxa"/>
          </w:tcPr>
          <w:p w14:paraId="593700BB" w14:textId="77777777" w:rsidR="000C1C47" w:rsidRPr="004B5178" w:rsidRDefault="000C1C47" w:rsidP="000C1C47">
            <w:pPr>
              <w:rPr>
                <w:i/>
              </w:rPr>
            </w:pPr>
            <w:r w:rsidRPr="004B5178">
              <w:t>Peer Review summary:</w:t>
            </w:r>
          </w:p>
        </w:tc>
        <w:tc>
          <w:tcPr>
            <w:tcW w:w="12335" w:type="dxa"/>
          </w:tcPr>
          <w:p w14:paraId="2E23FC3F" w14:textId="77777777" w:rsidR="000C1C47" w:rsidRPr="004B5178" w:rsidRDefault="000C1C47" w:rsidP="000C1C47">
            <w:r w:rsidRPr="004B5178">
              <w:t>(sent as part of pack)</w:t>
            </w:r>
          </w:p>
          <w:p w14:paraId="3590CF75" w14:textId="77777777" w:rsidR="000C1C47" w:rsidRPr="004B5178" w:rsidRDefault="000C1C47" w:rsidP="000C1C47">
            <w:r w:rsidRPr="004B5178">
              <w:t>No additional comments made specific to this indicator.</w:t>
            </w:r>
          </w:p>
          <w:p w14:paraId="0F739BCA" w14:textId="77777777" w:rsidR="000C1C47" w:rsidRPr="004B5178" w:rsidRDefault="000C1C47" w:rsidP="000C1C47"/>
        </w:tc>
      </w:tr>
      <w:tr w:rsidR="004B5178" w:rsidRPr="004B5178" w14:paraId="03B17EE8" w14:textId="77777777" w:rsidTr="005C085F">
        <w:trPr>
          <w:trHeight w:val="413"/>
        </w:trPr>
        <w:tc>
          <w:tcPr>
            <w:tcW w:w="2119" w:type="dxa"/>
          </w:tcPr>
          <w:p w14:paraId="7D265990" w14:textId="77777777" w:rsidR="000C1C47" w:rsidRPr="004B5178" w:rsidRDefault="000C1C47" w:rsidP="000C1C47">
            <w:r w:rsidRPr="004B5178">
              <w:t>Range of input</w:t>
            </w:r>
          </w:p>
          <w:p w14:paraId="4346D7C2" w14:textId="77777777" w:rsidR="000C1C47" w:rsidRPr="004B5178" w:rsidRDefault="000C1C47" w:rsidP="000C1C47">
            <w:r w:rsidRPr="004B5178">
              <w:t>[Have relevant business areas contributed e.g. clinical assurance?]</w:t>
            </w:r>
            <w:r w:rsidRPr="004B5178">
              <w:rPr>
                <w:highlight w:val="yellow"/>
              </w:rPr>
              <w:t xml:space="preserve"> </w:t>
            </w:r>
          </w:p>
        </w:tc>
        <w:tc>
          <w:tcPr>
            <w:tcW w:w="12335" w:type="dxa"/>
          </w:tcPr>
          <w:p w14:paraId="0FCFFD6E" w14:textId="77777777" w:rsidR="000C1C47" w:rsidRPr="004B5178" w:rsidRDefault="000C1C47" w:rsidP="000C1C47">
            <w:r w:rsidRPr="004B5178">
              <w:t>The indicator has been developed with input from the Outcomes Framework Technical Advisory Group (OFTAG). OFTAG includes academic and analytical experts in health, health economics and public health, and representatives from bodies such as National Institute for Health and Clinical Excellence and RAND Europe.</w:t>
            </w:r>
          </w:p>
          <w:p w14:paraId="393A112B" w14:textId="77777777" w:rsidR="000C1C47" w:rsidRPr="004B5178" w:rsidRDefault="000C1C47" w:rsidP="000C1C47"/>
        </w:tc>
      </w:tr>
    </w:tbl>
    <w:p w14:paraId="4B5E4D6B" w14:textId="382F3326" w:rsidR="000C1C47" w:rsidRDefault="000C1C47" w:rsidP="000C1C47"/>
    <w:p w14:paraId="05CA1558" w14:textId="34A190F5" w:rsidR="000E7CF2" w:rsidRDefault="000E7CF2" w:rsidP="000C1C47"/>
    <w:p w14:paraId="3542E57D" w14:textId="626AC81F" w:rsidR="000E7CF2" w:rsidRDefault="000E7CF2" w:rsidP="000C1C47"/>
    <w:p w14:paraId="358C33B1" w14:textId="77777777" w:rsidR="000E7CF2" w:rsidRPr="004B5178" w:rsidRDefault="000E7CF2" w:rsidP="000C1C47"/>
    <w:p w14:paraId="7BA5B757" w14:textId="16D96590" w:rsidR="000C1C47" w:rsidRPr="004B5178" w:rsidRDefault="000C1C47" w:rsidP="000C1C47">
      <w:pPr>
        <w:ind w:left="-851"/>
      </w:pPr>
      <w:r w:rsidRPr="004B5178">
        <w:t xml:space="preserve">IGB </w:t>
      </w:r>
      <w:r w:rsidR="007D5709" w:rsidRPr="004B5178">
        <w:t>Recommendations</w:t>
      </w:r>
      <w:r w:rsidRPr="004B5178">
        <w:t>, Comments &amp; Updates</w:t>
      </w:r>
    </w:p>
    <w:p w14:paraId="1F777AEB" w14:textId="460C2203" w:rsidR="000C1C47" w:rsidRDefault="000C1C47" w:rsidP="000C1C47">
      <w:pPr>
        <w:ind w:left="-851"/>
      </w:pPr>
    </w:p>
    <w:p w14:paraId="5A81A7FA" w14:textId="4523D267" w:rsidR="005C085F" w:rsidRPr="004B5178" w:rsidRDefault="005C085F" w:rsidP="000C1C47">
      <w:pPr>
        <w:ind w:left="-851"/>
      </w:pPr>
      <w:r>
        <w:t xml:space="preserve">                </w:t>
      </w:r>
      <w:r w:rsidRPr="004B5178">
        <w:t>IAS Ref Code:</w:t>
      </w:r>
    </w:p>
    <w:tbl>
      <w:tblPr>
        <w:tblStyle w:val="TableGrid"/>
        <w:tblW w:w="14454" w:type="dxa"/>
        <w:tblLayout w:type="fixed"/>
        <w:tblLook w:val="01E0" w:firstRow="1" w:lastRow="1" w:firstColumn="1" w:lastColumn="1" w:noHBand="0" w:noVBand="0"/>
      </w:tblPr>
      <w:tblGrid>
        <w:gridCol w:w="2122"/>
        <w:gridCol w:w="12332"/>
      </w:tblGrid>
      <w:tr w:rsidR="005C085F" w:rsidRPr="004B5178" w14:paraId="4A22445C" w14:textId="77777777" w:rsidTr="005C085F">
        <w:tc>
          <w:tcPr>
            <w:tcW w:w="2122" w:type="dxa"/>
          </w:tcPr>
          <w:p w14:paraId="45B35C04" w14:textId="77777777" w:rsidR="005C085F" w:rsidRPr="004B5178" w:rsidRDefault="005C085F" w:rsidP="000C1C47">
            <w:pPr>
              <w:rPr>
                <w:b/>
              </w:rPr>
            </w:pPr>
            <w:r w:rsidRPr="004B5178">
              <w:rPr>
                <w:b/>
              </w:rPr>
              <w:t>Indicator Title</w:t>
            </w:r>
          </w:p>
        </w:tc>
        <w:tc>
          <w:tcPr>
            <w:tcW w:w="12332" w:type="dxa"/>
          </w:tcPr>
          <w:p w14:paraId="0CDDECB5" w14:textId="0D31BDC9" w:rsidR="005C085F" w:rsidRPr="004B5178" w:rsidRDefault="005C085F" w:rsidP="000C1C47">
            <w:pPr>
              <w:rPr>
                <w:b/>
              </w:rPr>
            </w:pPr>
          </w:p>
        </w:tc>
      </w:tr>
      <w:tr w:rsidR="005C085F" w:rsidRPr="004B5178" w14:paraId="79032867" w14:textId="77777777" w:rsidTr="005C085F">
        <w:tc>
          <w:tcPr>
            <w:tcW w:w="2122" w:type="dxa"/>
          </w:tcPr>
          <w:p w14:paraId="1FA55EFB" w14:textId="77777777" w:rsidR="005C085F" w:rsidRPr="004B5178" w:rsidRDefault="005C085F" w:rsidP="000C1C47">
            <w:r w:rsidRPr="004B5178">
              <w:t>Indicator Set</w:t>
            </w:r>
          </w:p>
        </w:tc>
        <w:tc>
          <w:tcPr>
            <w:tcW w:w="12332" w:type="dxa"/>
          </w:tcPr>
          <w:p w14:paraId="263989B1" w14:textId="04E486FC" w:rsidR="005C085F" w:rsidRPr="004B5178" w:rsidRDefault="005C085F" w:rsidP="000C1C47"/>
        </w:tc>
      </w:tr>
      <w:tr w:rsidR="004B5178" w:rsidRPr="004B5178" w14:paraId="0687F3A0" w14:textId="77777777" w:rsidTr="005C085F">
        <w:tc>
          <w:tcPr>
            <w:tcW w:w="2122" w:type="dxa"/>
          </w:tcPr>
          <w:p w14:paraId="0931DD66" w14:textId="77777777" w:rsidR="000C1C47" w:rsidRPr="004B5178" w:rsidRDefault="000C1C47" w:rsidP="000C1C47">
            <w:r w:rsidRPr="004B5178">
              <w:t>Summary of Discussion</w:t>
            </w:r>
          </w:p>
        </w:tc>
        <w:tc>
          <w:tcPr>
            <w:tcW w:w="12332" w:type="dxa"/>
          </w:tcPr>
          <w:p w14:paraId="59074DC5" w14:textId="77777777" w:rsidR="000C1C47" w:rsidRPr="004B5178" w:rsidRDefault="000C1C47" w:rsidP="000967BB">
            <w:pPr>
              <w:pStyle w:val="ListParagraph"/>
              <w:numPr>
                <w:ilvl w:val="0"/>
                <w:numId w:val="28"/>
              </w:numPr>
              <w:spacing w:after="120" w:line="240" w:lineRule="auto"/>
              <w:contextualSpacing w:val="0"/>
              <w:rPr>
                <w:rFonts w:ascii="Arial" w:hAnsi="Arial" w:cs="Arial"/>
              </w:rPr>
            </w:pPr>
            <w:r w:rsidRPr="004B5178">
              <w:rPr>
                <w:rFonts w:ascii="Arial" w:hAnsi="Arial" w:cs="Arial"/>
              </w:rPr>
              <w:t>This indicator is put forward for appraisal for use in both the NHS Outcomes Framework and CCG Outcomes Indicator Set and is based on questions within the GP Patient Survey</w:t>
            </w:r>
          </w:p>
          <w:p w14:paraId="083F75DB" w14:textId="77777777" w:rsidR="000C1C47" w:rsidRPr="004B5178" w:rsidRDefault="000C1C47" w:rsidP="000967BB">
            <w:pPr>
              <w:pStyle w:val="ListParagraph"/>
              <w:numPr>
                <w:ilvl w:val="0"/>
                <w:numId w:val="28"/>
              </w:numPr>
              <w:spacing w:after="120" w:line="240" w:lineRule="auto"/>
              <w:contextualSpacing w:val="0"/>
              <w:rPr>
                <w:rFonts w:ascii="Arial" w:hAnsi="Arial" w:cs="Arial"/>
              </w:rPr>
            </w:pPr>
            <w:r w:rsidRPr="004B5178">
              <w:rPr>
                <w:rFonts w:ascii="Arial" w:hAnsi="Arial" w:cs="Arial"/>
              </w:rPr>
              <w:t>Members of the board noted that the points for clarification discussed for the previous indicator (IAP00118) apply</w:t>
            </w:r>
          </w:p>
          <w:p w14:paraId="05990CA2" w14:textId="77777777" w:rsidR="000C1C47" w:rsidRPr="004B5178" w:rsidRDefault="000C1C47" w:rsidP="000967BB">
            <w:pPr>
              <w:pStyle w:val="ListParagraph"/>
              <w:numPr>
                <w:ilvl w:val="0"/>
                <w:numId w:val="28"/>
              </w:numPr>
              <w:spacing w:after="120" w:line="240" w:lineRule="auto"/>
              <w:contextualSpacing w:val="0"/>
              <w:rPr>
                <w:rFonts w:ascii="Arial" w:hAnsi="Arial" w:cs="Arial"/>
              </w:rPr>
            </w:pPr>
            <w:r w:rsidRPr="004B5178">
              <w:rPr>
                <w:rFonts w:ascii="Arial" w:hAnsi="Arial" w:cs="Arial"/>
              </w:rPr>
              <w:t>Glen Mason raised concern about attribution in the indicator and that people are asked to talk about all services, meaning that individual services or organisations can’t be identified.  This should be described in the Quality Assessment as a limitation of the survey.</w:t>
            </w:r>
          </w:p>
          <w:p w14:paraId="5B864D8F" w14:textId="6121C0D5" w:rsidR="000C1C47" w:rsidRPr="004B5178" w:rsidRDefault="000C1C47" w:rsidP="000967BB">
            <w:pPr>
              <w:pStyle w:val="ListParagraph"/>
              <w:numPr>
                <w:ilvl w:val="0"/>
                <w:numId w:val="28"/>
              </w:numPr>
              <w:spacing w:after="120" w:line="240" w:lineRule="auto"/>
              <w:contextualSpacing w:val="0"/>
              <w:rPr>
                <w:rFonts w:ascii="Arial" w:hAnsi="Arial" w:cs="Arial"/>
              </w:rPr>
            </w:pPr>
            <w:r w:rsidRPr="004B5178">
              <w:rPr>
                <w:rFonts w:ascii="Arial" w:hAnsi="Arial" w:cs="Arial"/>
              </w:rPr>
              <w:t xml:space="preserve">Don Sinclair queried the prevalence rate for Cancer identified on page 6 of the accompanying Quality Assessment, suggesting it was quite low.  </w:t>
            </w:r>
            <w:r w:rsidR="007D5709" w:rsidRPr="004B5178">
              <w:rPr>
                <w:rFonts w:ascii="Arial" w:hAnsi="Arial" w:cs="Arial"/>
              </w:rPr>
              <w:t>However,</w:t>
            </w:r>
            <w:r w:rsidRPr="004B5178">
              <w:rPr>
                <w:rFonts w:ascii="Arial" w:hAnsi="Arial" w:cs="Arial"/>
              </w:rPr>
              <w:t xml:space="preserve"> it was noted that the prevalence identified in QOF and the GP Patient Survey were of the same magnitude.   Clarification is sought on what “seems” means as identified in the table and if it relates to the “low” cancer rate.</w:t>
            </w:r>
          </w:p>
          <w:p w14:paraId="4A5A5551" w14:textId="77777777" w:rsidR="000C1C47" w:rsidRPr="004B5178" w:rsidRDefault="000C1C47" w:rsidP="000967BB">
            <w:pPr>
              <w:pStyle w:val="ListParagraph"/>
              <w:numPr>
                <w:ilvl w:val="0"/>
                <w:numId w:val="28"/>
              </w:numPr>
              <w:spacing w:after="240" w:line="240" w:lineRule="auto"/>
              <w:ind w:left="714" w:hanging="357"/>
              <w:contextualSpacing w:val="0"/>
              <w:rPr>
                <w:rFonts w:ascii="Arial" w:hAnsi="Arial" w:cs="Arial"/>
              </w:rPr>
            </w:pPr>
            <w:r w:rsidRPr="004B5178">
              <w:rPr>
                <w:rFonts w:ascii="Arial" w:hAnsi="Arial" w:cs="Arial"/>
              </w:rPr>
              <w:t>It was noted that the survey uses the description long term condition and long standing health conditions to describe the same thing. Feedback should be given to the indicator developer suggesting that this should be standardised.</w:t>
            </w:r>
          </w:p>
        </w:tc>
      </w:tr>
    </w:tbl>
    <w:p w14:paraId="2899E385" w14:textId="77777777" w:rsidR="000C1C47" w:rsidRPr="004B5178" w:rsidRDefault="000C1C47" w:rsidP="000C1C47">
      <w:pPr>
        <w:ind w:left="-851"/>
      </w:pPr>
    </w:p>
    <w:p w14:paraId="32BA271B" w14:textId="3169B92E" w:rsidR="000C1C47" w:rsidRDefault="000C1C47" w:rsidP="000C1C47">
      <w:pPr>
        <w:ind w:left="-851"/>
      </w:pPr>
      <w:r w:rsidRPr="004B5178">
        <w:lastRenderedPageBreak/>
        <w:t>[Add new section as necessary]</w:t>
      </w:r>
    </w:p>
    <w:p w14:paraId="3FF1EBFC" w14:textId="3EF6E6F5" w:rsidR="004F579E" w:rsidRDefault="004F579E" w:rsidP="000C1C47">
      <w:pPr>
        <w:ind w:left="-851"/>
      </w:pPr>
    </w:p>
    <w:p w14:paraId="049CA41D" w14:textId="7D7E7C56" w:rsidR="004F579E" w:rsidRPr="004B5178" w:rsidRDefault="004F579E" w:rsidP="004F579E">
      <w:pPr>
        <w:rPr>
          <w:b/>
        </w:rPr>
      </w:pPr>
      <w:r>
        <w:rPr>
          <w:b/>
        </w:rPr>
        <w:t xml:space="preserve"> </w:t>
      </w:r>
      <w:r w:rsidRPr="004B5178">
        <w:rPr>
          <w:b/>
        </w:rPr>
        <w:t>Recommendations &amp; Updates</w:t>
      </w:r>
    </w:p>
    <w:p w14:paraId="210718A0" w14:textId="7874E553" w:rsidR="004F579E" w:rsidRPr="004B5178" w:rsidRDefault="004F579E" w:rsidP="004F579E">
      <w:pPr>
        <w:ind w:left="-851"/>
      </w:pPr>
      <w:r>
        <w:t xml:space="preserve">               </w:t>
      </w:r>
      <w:r w:rsidRPr="004B5178">
        <w:t>Made: xx/xx/xx</w:t>
      </w:r>
    </w:p>
    <w:tbl>
      <w:tblPr>
        <w:tblStyle w:val="TableGrid"/>
        <w:tblW w:w="14478" w:type="dxa"/>
        <w:tblLayout w:type="fixed"/>
        <w:tblLook w:val="01E0" w:firstRow="1" w:lastRow="1" w:firstColumn="1" w:lastColumn="1" w:noHBand="0" w:noVBand="0"/>
      </w:tblPr>
      <w:tblGrid>
        <w:gridCol w:w="2127"/>
        <w:gridCol w:w="12351"/>
      </w:tblGrid>
      <w:tr w:rsidR="004B5178" w:rsidRPr="004B5178" w14:paraId="1776954E" w14:textId="77777777" w:rsidTr="00EA105C">
        <w:tc>
          <w:tcPr>
            <w:tcW w:w="2127" w:type="dxa"/>
          </w:tcPr>
          <w:p w14:paraId="631CE8E8" w14:textId="77777777" w:rsidR="000C1C47" w:rsidRPr="004B5178" w:rsidRDefault="000C1C47" w:rsidP="000C1C47">
            <w:r w:rsidRPr="004B5178">
              <w:t>Comments &amp; Recommendations</w:t>
            </w:r>
          </w:p>
          <w:p w14:paraId="671FE811" w14:textId="77777777" w:rsidR="000C1C47" w:rsidRPr="004B5178" w:rsidRDefault="000C1C47" w:rsidP="000C1C47">
            <w:r w:rsidRPr="004B5178">
              <w:t>[List additional comments and recommendations raised by IGB]</w:t>
            </w:r>
          </w:p>
          <w:p w14:paraId="4E16C192" w14:textId="77777777" w:rsidR="000C1C47" w:rsidRPr="004B5178" w:rsidRDefault="000C1C47" w:rsidP="000C1C47"/>
        </w:tc>
        <w:tc>
          <w:tcPr>
            <w:tcW w:w="12351" w:type="dxa"/>
          </w:tcPr>
          <w:p w14:paraId="5A0CDF5F" w14:textId="77777777" w:rsidR="000C1C47" w:rsidRPr="004B5178" w:rsidRDefault="000C1C47" w:rsidP="000C1C47">
            <w:pPr>
              <w:rPr>
                <w:b/>
              </w:rPr>
            </w:pPr>
          </w:p>
          <w:p w14:paraId="3AE2177A"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The supporting Quality Assessment should identify that the long term condition list used in the indicator isn’t the recognised ONS long term condition list (which is clinically assessed), but that instead this is indicator is about self-assessment and as such will be limited in terms of comparability.</w:t>
            </w:r>
          </w:p>
          <w:p w14:paraId="0EAB869B"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The limitation that people with lots of conditions are more likely to have a worse quality of life than those with one condition needs to be caveated in the Quality Assessment.</w:t>
            </w:r>
          </w:p>
          <w:p w14:paraId="65578F45"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Ipsos MORI provide a weighting factor for age, sex and deprivation and ethnicity but as yet haven’t looked into whether severity or numbers of conditions mean people are more likely to respond.  This needs clearly stating in the Quality Assessment as a caveat.</w:t>
            </w:r>
          </w:p>
          <w:p w14:paraId="6B203549"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A caveat for this indicator should note that there is a difference between approval for using EQ-5D and whether it is suitable for use.  The views of the Centre for Health Economics at York or Manchester group could be sought on this matter.</w:t>
            </w:r>
          </w:p>
          <w:p w14:paraId="4DA92EF3"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The Quality Assessment should describe not being able to attribute results to individual services or organisations as a limitation of the survey.</w:t>
            </w:r>
          </w:p>
          <w:p w14:paraId="6E7AFCD0"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Clarification is sought on what “seems” means as identified in the table on page 6 of the accompanying Quality Assessment and if it relates to the “low” cancer rate.</w:t>
            </w:r>
          </w:p>
          <w:p w14:paraId="7F419DE9" w14:textId="77777777" w:rsidR="000C1C47" w:rsidRPr="004B5178" w:rsidRDefault="000C1C47" w:rsidP="000967BB">
            <w:pPr>
              <w:pStyle w:val="ListParagraph"/>
              <w:numPr>
                <w:ilvl w:val="0"/>
                <w:numId w:val="26"/>
              </w:numPr>
              <w:spacing w:after="0" w:line="240" w:lineRule="auto"/>
              <w:rPr>
                <w:rFonts w:ascii="Arial" w:hAnsi="Arial" w:cs="Arial"/>
              </w:rPr>
            </w:pPr>
            <w:r w:rsidRPr="004B5178">
              <w:rPr>
                <w:rFonts w:ascii="Arial" w:hAnsi="Arial" w:cs="Arial"/>
              </w:rPr>
              <w:t>It was noted that the survey uses the description long term condition and long standing health conditions to describe the same thing. Feedback should be given to the indicator developer suggesting that this should be standardised.</w:t>
            </w:r>
          </w:p>
          <w:p w14:paraId="1353F8A5" w14:textId="77777777" w:rsidR="000C1C47" w:rsidRPr="004B5178" w:rsidRDefault="000C1C47" w:rsidP="000C1C47">
            <w:pPr>
              <w:rPr>
                <w:b/>
              </w:rPr>
            </w:pPr>
          </w:p>
        </w:tc>
      </w:tr>
      <w:tr w:rsidR="004F579E" w:rsidRPr="004B5178" w14:paraId="4159C09A" w14:textId="77777777" w:rsidTr="003F2444">
        <w:tc>
          <w:tcPr>
            <w:tcW w:w="2127" w:type="dxa"/>
          </w:tcPr>
          <w:p w14:paraId="3B4A9020" w14:textId="77777777" w:rsidR="004F579E" w:rsidRPr="004B5178" w:rsidRDefault="004F579E" w:rsidP="000C1C47">
            <w:r w:rsidRPr="004B5178">
              <w:t>Action required:</w:t>
            </w:r>
          </w:p>
        </w:tc>
        <w:tc>
          <w:tcPr>
            <w:tcW w:w="12351" w:type="dxa"/>
          </w:tcPr>
          <w:p w14:paraId="0EA8D10D" w14:textId="53C8E419" w:rsidR="004F579E" w:rsidRPr="004B5178" w:rsidRDefault="004F579E" w:rsidP="004F579E">
            <w:r w:rsidRPr="004B5178">
              <w:rPr>
                <w:b/>
              </w:rPr>
              <w:t xml:space="preserve">IGB Update Not Required </w:t>
            </w:r>
            <w:sdt>
              <w:sdtPr>
                <w:id w:val="1938717135"/>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5884F9FC" w14:textId="61C27797" w:rsidR="004F579E" w:rsidRPr="004B5178" w:rsidRDefault="004F579E" w:rsidP="000C1C47">
            <w:pPr>
              <w:rPr>
                <w:b/>
              </w:rPr>
            </w:pPr>
            <w:r w:rsidRPr="004B5178">
              <w:rPr>
                <w:b/>
              </w:rPr>
              <w:t>Further Update IGB</w:t>
            </w:r>
            <w:r>
              <w:rPr>
                <w:b/>
              </w:rPr>
              <w:t xml:space="preserve"> </w:t>
            </w:r>
            <w:sdt>
              <w:sdtPr>
                <w:id w:val="1385840407"/>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344B21BB" w14:textId="506E19F4" w:rsidR="004F579E" w:rsidRPr="004B5178" w:rsidRDefault="004F579E" w:rsidP="004F579E">
            <w:pPr>
              <w:rPr>
                <w:b/>
              </w:rPr>
            </w:pPr>
            <w:r w:rsidRPr="004B5178">
              <w:rPr>
                <w:b/>
              </w:rPr>
              <w:t xml:space="preserve">Refer to MRG </w:t>
            </w:r>
            <w:sdt>
              <w:sdtPr>
                <w:id w:val="-1424798437"/>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tc>
      </w:tr>
      <w:tr w:rsidR="004B5178" w:rsidRPr="004B5178" w14:paraId="455E3DA8" w14:textId="77777777" w:rsidTr="00EA105C">
        <w:tc>
          <w:tcPr>
            <w:tcW w:w="2127" w:type="dxa"/>
          </w:tcPr>
          <w:p w14:paraId="2B3E9A3B" w14:textId="77777777" w:rsidR="000C1C47" w:rsidRPr="004B5178" w:rsidRDefault="000C1C47" w:rsidP="000C1C47">
            <w:r w:rsidRPr="004B5178">
              <w:t>Update:</w:t>
            </w:r>
          </w:p>
          <w:p w14:paraId="1BAF8B73" w14:textId="77777777" w:rsidR="000C1C47" w:rsidRPr="004B5178" w:rsidRDefault="000C1C47" w:rsidP="000C1C47">
            <w:r w:rsidRPr="004B5178">
              <w:t>Made: xx/xx/xx</w:t>
            </w:r>
          </w:p>
        </w:tc>
        <w:tc>
          <w:tcPr>
            <w:tcW w:w="12351" w:type="dxa"/>
          </w:tcPr>
          <w:p w14:paraId="38856F3A" w14:textId="77777777" w:rsidR="000C1C47" w:rsidRPr="004B5178" w:rsidRDefault="000C1C47" w:rsidP="000C1C47">
            <w:pPr>
              <w:rPr>
                <w:b/>
              </w:rPr>
            </w:pPr>
          </w:p>
          <w:p w14:paraId="7208E39A" w14:textId="77777777" w:rsidR="000C1C47" w:rsidRPr="004B5178" w:rsidRDefault="000C1C47" w:rsidP="000C1C47">
            <w:pPr>
              <w:rPr>
                <w:b/>
              </w:rPr>
            </w:pPr>
          </w:p>
          <w:p w14:paraId="5A107B7D" w14:textId="77777777" w:rsidR="000C1C47" w:rsidRPr="004B5178" w:rsidRDefault="000C1C47" w:rsidP="000C1C47">
            <w:pPr>
              <w:rPr>
                <w:b/>
              </w:rPr>
            </w:pPr>
          </w:p>
        </w:tc>
      </w:tr>
    </w:tbl>
    <w:p w14:paraId="4B70284D" w14:textId="49609226" w:rsidR="000C1C47" w:rsidRDefault="000C1C47" w:rsidP="000C1C47"/>
    <w:p w14:paraId="18D387B6" w14:textId="060A04AC" w:rsidR="00EA105C" w:rsidRDefault="00EA105C" w:rsidP="000C1C47"/>
    <w:p w14:paraId="4961ECC3" w14:textId="4CC4CA1C" w:rsidR="00EA105C" w:rsidRDefault="00EA105C" w:rsidP="000C1C47"/>
    <w:p w14:paraId="348A62C6" w14:textId="3BFC0E29" w:rsidR="00EA105C" w:rsidRDefault="00EA105C" w:rsidP="000C1C47"/>
    <w:p w14:paraId="4FB818A1" w14:textId="6495BB3E" w:rsidR="00EA105C" w:rsidRDefault="00EA105C" w:rsidP="000C1C47"/>
    <w:p w14:paraId="5F3D22CC" w14:textId="476CCDD1" w:rsidR="00EA105C" w:rsidRDefault="00EA105C" w:rsidP="000C1C47"/>
    <w:p w14:paraId="34209F5F" w14:textId="628ECE2F" w:rsidR="00EA105C" w:rsidRDefault="00EA105C" w:rsidP="000C1C47"/>
    <w:p w14:paraId="1B88D6A4" w14:textId="6B9F04D4" w:rsidR="00EA105C" w:rsidRDefault="00EA105C" w:rsidP="000C1C47"/>
    <w:p w14:paraId="4E891C25" w14:textId="7D099D44" w:rsidR="00EA105C" w:rsidRDefault="00EA105C" w:rsidP="000C1C47"/>
    <w:p w14:paraId="74E33422" w14:textId="77777777" w:rsidR="00EA105C" w:rsidRPr="004B5178" w:rsidRDefault="00EA105C" w:rsidP="000C1C47"/>
    <w:p w14:paraId="28C6FCBF" w14:textId="5E7B8343" w:rsidR="000C1C47" w:rsidRPr="004F579E" w:rsidRDefault="004F579E" w:rsidP="000C1C47">
      <w:pPr>
        <w:ind w:left="-851"/>
        <w:rPr>
          <w:b/>
          <w:bCs/>
        </w:rPr>
      </w:pPr>
      <w:r w:rsidRPr="004F579E">
        <w:rPr>
          <w:b/>
          <w:bCs/>
        </w:rPr>
        <w:t xml:space="preserve">               </w:t>
      </w:r>
      <w:r w:rsidR="000C1C47" w:rsidRPr="004F579E">
        <w:rPr>
          <w:b/>
          <w:bCs/>
        </w:rPr>
        <w:t>Review:</w:t>
      </w:r>
    </w:p>
    <w:p w14:paraId="74DAFF01" w14:textId="43678A8A" w:rsidR="000C1C47" w:rsidRPr="004B5178" w:rsidRDefault="000C1C47" w:rsidP="000C1C47">
      <w:pPr>
        <w:ind w:left="-851"/>
      </w:pPr>
    </w:p>
    <w:tbl>
      <w:tblPr>
        <w:tblStyle w:val="TableGrid"/>
        <w:tblW w:w="14459" w:type="dxa"/>
        <w:tblInd w:w="-5" w:type="dxa"/>
        <w:tblLayout w:type="fixed"/>
        <w:tblLook w:val="01E0" w:firstRow="1" w:lastRow="1" w:firstColumn="1" w:lastColumn="1" w:noHBand="0" w:noVBand="0"/>
      </w:tblPr>
      <w:tblGrid>
        <w:gridCol w:w="2132"/>
        <w:gridCol w:w="12327"/>
      </w:tblGrid>
      <w:tr w:rsidR="004F579E" w:rsidRPr="004B5178" w14:paraId="24523CD6" w14:textId="77777777" w:rsidTr="00215677">
        <w:trPr>
          <w:trHeight w:val="1170"/>
        </w:trPr>
        <w:tc>
          <w:tcPr>
            <w:tcW w:w="2132" w:type="dxa"/>
            <w:tcBorders>
              <w:bottom w:val="single" w:sz="4" w:space="0" w:color="auto"/>
            </w:tcBorders>
          </w:tcPr>
          <w:p w14:paraId="3118BE3D" w14:textId="77777777" w:rsidR="004F579E" w:rsidRPr="004B5178" w:rsidRDefault="004F579E" w:rsidP="000C1C47">
            <w:r w:rsidRPr="004B5178">
              <w:t>Review Timescale</w:t>
            </w:r>
          </w:p>
          <w:p w14:paraId="44E7CE69" w14:textId="0A86B4AE" w:rsidR="004F579E" w:rsidRPr="004B5178" w:rsidRDefault="004F579E" w:rsidP="004F579E">
            <w:r w:rsidRPr="004B5178">
              <w:rPr>
                <w:b/>
              </w:rPr>
              <w:t>1 year</w:t>
            </w:r>
            <w:r>
              <w:rPr>
                <w:b/>
              </w:rPr>
              <w:t xml:space="preserve">   </w:t>
            </w:r>
            <w:sdt>
              <w:sdtPr>
                <w:id w:val="1014495464"/>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20C99FBB" w14:textId="128097F5" w:rsidR="004F579E" w:rsidRPr="004B5178" w:rsidRDefault="004F579E" w:rsidP="004F579E">
            <w:r w:rsidRPr="004B5178">
              <w:rPr>
                <w:b/>
              </w:rPr>
              <w:t>3 years</w:t>
            </w:r>
            <w:r>
              <w:rPr>
                <w:b/>
              </w:rPr>
              <w:t xml:space="preserve"> </w:t>
            </w:r>
            <w:sdt>
              <w:sdtPr>
                <w:id w:val="972939044"/>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2F9C84C6" w14:textId="3EE3559B" w:rsidR="004F579E" w:rsidRPr="004B5178" w:rsidRDefault="004F579E" w:rsidP="004F579E">
            <w:r w:rsidRPr="004B5178">
              <w:rPr>
                <w:b/>
              </w:rPr>
              <w:t>Other:</w:t>
            </w:r>
            <w:r>
              <w:rPr>
                <w:b/>
              </w:rPr>
              <w:t xml:space="preserve">   </w:t>
            </w:r>
            <w:sdt>
              <w:sdtPr>
                <w:id w:val="250395938"/>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tc>
        <w:tc>
          <w:tcPr>
            <w:tcW w:w="12327" w:type="dxa"/>
          </w:tcPr>
          <w:p w14:paraId="43BA0594" w14:textId="77777777" w:rsidR="004F579E" w:rsidRDefault="004F579E" w:rsidP="000C1C47">
            <w:r w:rsidRPr="004B5178">
              <w:t xml:space="preserve">Rationale          </w:t>
            </w:r>
          </w:p>
          <w:p w14:paraId="229E7F51" w14:textId="763AAADE" w:rsidR="004F579E" w:rsidRPr="004B5178" w:rsidRDefault="004F579E" w:rsidP="000C1C47">
            <w:r w:rsidRPr="004B5178">
              <w:t>[Issues to consider  – Changes to process, policy data source, coding definitions HES definitions ]</w:t>
            </w:r>
          </w:p>
          <w:p w14:paraId="5FD5B373" w14:textId="3054CAB6" w:rsidR="004F579E" w:rsidRPr="004B5178" w:rsidRDefault="004F579E" w:rsidP="00EA105C">
            <w:r w:rsidRPr="004B5178">
              <w:t>The indicator is recommended for review in 3years.</w:t>
            </w:r>
          </w:p>
        </w:tc>
      </w:tr>
    </w:tbl>
    <w:p w14:paraId="5815CB19" w14:textId="5971F700" w:rsidR="000C1C47" w:rsidRPr="004B5178" w:rsidRDefault="000C1C47" w:rsidP="000C1C47">
      <w:bookmarkStart w:id="20" w:name="_GoBack"/>
      <w:bookmarkEnd w:id="20"/>
    </w:p>
    <w:p w14:paraId="571D6615" w14:textId="0E69CFFF" w:rsidR="000C1C47" w:rsidRDefault="000C1C47" w:rsidP="000C1C47">
      <w:pPr>
        <w:tabs>
          <w:tab w:val="left" w:pos="2830"/>
        </w:tabs>
        <w:ind w:left="-851"/>
      </w:pPr>
      <w:r w:rsidRPr="004B5178">
        <w:t xml:space="preserve">IGB Sign-off: </w:t>
      </w:r>
    </w:p>
    <w:p w14:paraId="0C5D1C71" w14:textId="77777777" w:rsidR="004F579E" w:rsidRPr="004B5178" w:rsidRDefault="004F579E" w:rsidP="000C1C47">
      <w:pPr>
        <w:tabs>
          <w:tab w:val="left" w:pos="2830"/>
        </w:tabs>
        <w:ind w:left="-851"/>
      </w:pPr>
    </w:p>
    <w:p w14:paraId="1DE21D6E" w14:textId="62205BAC" w:rsidR="000C1C47" w:rsidRPr="004B5178" w:rsidRDefault="004F579E" w:rsidP="000C1C47">
      <w:r w:rsidRPr="004B5178">
        <w:rPr>
          <w:b/>
        </w:rPr>
        <w:t>Indicator Assurance Process Output</w:t>
      </w:r>
    </w:p>
    <w:tbl>
      <w:tblPr>
        <w:tblStyle w:val="TableGrid"/>
        <w:tblW w:w="14476" w:type="dxa"/>
        <w:tblLayout w:type="fixed"/>
        <w:tblLook w:val="01E0" w:firstRow="1" w:lastRow="1" w:firstColumn="1" w:lastColumn="1" w:noHBand="0" w:noVBand="0"/>
      </w:tblPr>
      <w:tblGrid>
        <w:gridCol w:w="3098"/>
        <w:gridCol w:w="11356"/>
        <w:gridCol w:w="22"/>
      </w:tblGrid>
      <w:tr w:rsidR="000E7CF2" w:rsidRPr="004B5178" w14:paraId="77AE30DE" w14:textId="77777777" w:rsidTr="0053121F">
        <w:trPr>
          <w:gridAfter w:val="1"/>
          <w:wAfter w:w="22" w:type="dxa"/>
          <w:trHeight w:val="2541"/>
        </w:trPr>
        <w:tc>
          <w:tcPr>
            <w:tcW w:w="3098" w:type="dxa"/>
          </w:tcPr>
          <w:p w14:paraId="7E83FA21" w14:textId="6809DFCC" w:rsidR="000E7CF2" w:rsidRPr="00DE572F" w:rsidRDefault="000E7CF2" w:rsidP="000C1C47">
            <w:pPr>
              <w:rPr>
                <w:iCs/>
              </w:rPr>
            </w:pPr>
            <w:r w:rsidRPr="00DE572F">
              <w:rPr>
                <w:iCs/>
              </w:rPr>
              <w:t>Final Appraisal Status</w:t>
            </w:r>
          </w:p>
        </w:tc>
        <w:tc>
          <w:tcPr>
            <w:tcW w:w="11356" w:type="dxa"/>
          </w:tcPr>
          <w:p w14:paraId="63B595EB" w14:textId="77777777" w:rsidR="000E7CF2" w:rsidRPr="004B5178" w:rsidRDefault="000E7CF2" w:rsidP="00FF7803">
            <w:pPr>
              <w:pStyle w:val="ListParagraph"/>
              <w:numPr>
                <w:ilvl w:val="0"/>
                <w:numId w:val="16"/>
              </w:numPr>
              <w:spacing w:after="0" w:line="240" w:lineRule="auto"/>
            </w:pPr>
            <w:r w:rsidRPr="004B5178">
              <w:rPr>
                <w:rFonts w:ascii="Arial" w:hAnsi="Arial" w:cs="Arial"/>
                <w:b/>
              </w:rPr>
              <w:t>Assured</w:t>
            </w:r>
            <w:r>
              <w:rPr>
                <w:rFonts w:ascii="Arial" w:hAnsi="Arial" w:cs="Arial"/>
                <w:b/>
              </w:rPr>
              <w:t xml:space="preserve"> </w:t>
            </w:r>
            <w:sdt>
              <w:sdtPr>
                <w:id w:val="-1393576912"/>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48455666" w14:textId="77777777" w:rsidR="000E7CF2" w:rsidRPr="004B5178" w:rsidRDefault="000E7CF2" w:rsidP="00DE572F">
            <w:pPr>
              <w:pStyle w:val="ListParagraph"/>
              <w:numPr>
                <w:ilvl w:val="0"/>
                <w:numId w:val="16"/>
              </w:numPr>
              <w:spacing w:after="0" w:line="240" w:lineRule="auto"/>
            </w:pPr>
            <w:r w:rsidRPr="004B5178">
              <w:rPr>
                <w:rFonts w:ascii="Arial" w:hAnsi="Arial" w:cs="Arial"/>
                <w:b/>
              </w:rPr>
              <w:t>Assured with Comments</w:t>
            </w:r>
            <w:r>
              <w:rPr>
                <w:rFonts w:ascii="Arial" w:hAnsi="Arial" w:cs="Arial"/>
                <w:b/>
              </w:rPr>
              <w:t xml:space="preserve"> </w:t>
            </w:r>
            <w:sdt>
              <w:sdtPr>
                <w:id w:val="-329681067"/>
                <w14:checkbox>
                  <w14:checked w14:val="1"/>
                  <w14:checkedState w14:val="2612" w14:font="MS Gothic"/>
                  <w14:uncheckedState w14:val="2610" w14:font="MS Gothic"/>
                </w14:checkbox>
              </w:sdtPr>
              <w:sdtContent>
                <w:r w:rsidRPr="004B5178">
                  <w:rPr>
                    <w:rFonts w:ascii="Segoe UI Symbol" w:eastAsia="MS Gothic" w:hAnsi="Segoe UI Symbol" w:cs="Segoe UI Symbol"/>
                  </w:rPr>
                  <w:t>☒</w:t>
                </w:r>
              </w:sdtContent>
            </w:sdt>
          </w:p>
          <w:p w14:paraId="662C382B" w14:textId="271074D4" w:rsidR="000E7CF2" w:rsidRPr="004B5178" w:rsidRDefault="000E7CF2" w:rsidP="00DE572F">
            <w:pPr>
              <w:pStyle w:val="ListParagraph"/>
              <w:numPr>
                <w:ilvl w:val="0"/>
                <w:numId w:val="16"/>
              </w:numPr>
              <w:spacing w:after="0" w:line="240" w:lineRule="auto"/>
            </w:pPr>
            <w:r w:rsidRPr="004B5178">
              <w:rPr>
                <w:rFonts w:ascii="Arial" w:hAnsi="Arial" w:cs="Arial"/>
                <w:b/>
              </w:rPr>
              <w:t>Failed Assurance</w:t>
            </w:r>
            <w:r>
              <w:rPr>
                <w:rFonts w:ascii="Arial" w:hAnsi="Arial" w:cs="Arial"/>
                <w:b/>
              </w:rPr>
              <w:t xml:space="preserve"> </w:t>
            </w:r>
            <w:sdt>
              <w:sdtPr>
                <w:id w:val="1241842843"/>
                <w14:checkbox>
                  <w14:checked w14:val="0"/>
                  <w14:checkedState w14:val="2612" w14:font="MS Gothic"/>
                  <w14:uncheckedState w14:val="2610" w14:font="MS Gothic"/>
                </w14:checkbox>
              </w:sdtPr>
              <w:sdtContent>
                <w:r w:rsidRPr="004B5178">
                  <w:rPr>
                    <w:rFonts w:ascii="Segoe UI Symbol" w:eastAsia="MS Gothic" w:hAnsi="Segoe UI Symbol" w:cs="Segoe UI Symbol"/>
                  </w:rPr>
                  <w:t>☐</w:t>
                </w:r>
              </w:sdtContent>
            </w:sdt>
          </w:p>
        </w:tc>
      </w:tr>
      <w:tr w:rsidR="00616F8F" w:rsidRPr="004B5178" w14:paraId="360113FB" w14:textId="77777777" w:rsidTr="0025757D">
        <w:trPr>
          <w:trHeight w:val="918"/>
        </w:trPr>
        <w:tc>
          <w:tcPr>
            <w:tcW w:w="3098" w:type="dxa"/>
          </w:tcPr>
          <w:p w14:paraId="321200A3" w14:textId="77777777" w:rsidR="00616F8F" w:rsidRPr="004B5178" w:rsidRDefault="00616F8F" w:rsidP="000C1C47">
            <w:r w:rsidRPr="004B5178">
              <w:t>Basis of Sign-off</w:t>
            </w:r>
          </w:p>
          <w:p w14:paraId="77AF4913" w14:textId="77777777" w:rsidR="00616F8F" w:rsidRPr="004B5178" w:rsidRDefault="00616F8F" w:rsidP="000C1C47">
            <w:r w:rsidRPr="004B5178">
              <w:t>[Detail caveats and limitations ]</w:t>
            </w:r>
          </w:p>
        </w:tc>
        <w:tc>
          <w:tcPr>
            <w:tcW w:w="11378" w:type="dxa"/>
            <w:gridSpan w:val="2"/>
          </w:tcPr>
          <w:p w14:paraId="2DB5E438" w14:textId="0EAF4516" w:rsidR="00616F8F" w:rsidRPr="004B5178" w:rsidRDefault="00616F8F" w:rsidP="000C1C47">
            <w:r w:rsidRPr="004B5178">
              <w:t>The board signed off the indicator as assured on the understanding that the recommendations and clarifications discussed in the meeting are incorporated into the Quality Assessment.</w:t>
            </w:r>
          </w:p>
        </w:tc>
      </w:tr>
      <w:tr w:rsidR="00616F8F" w:rsidRPr="004B5178" w14:paraId="2993A6B5" w14:textId="77777777" w:rsidTr="0025757D">
        <w:trPr>
          <w:trHeight w:val="918"/>
        </w:trPr>
        <w:tc>
          <w:tcPr>
            <w:tcW w:w="3098" w:type="dxa"/>
          </w:tcPr>
          <w:p w14:paraId="3E9D3CC2" w14:textId="77777777" w:rsidR="00616F8F" w:rsidRDefault="00616F8F" w:rsidP="000C1C47">
            <w:r>
              <w:t>Sign - off Date</w:t>
            </w:r>
          </w:p>
          <w:p w14:paraId="54542754" w14:textId="771C5EBE" w:rsidR="00616F8F" w:rsidRPr="004B5178" w:rsidRDefault="00616F8F" w:rsidP="000C1C47">
            <w:r>
              <w:t>16/09/13</w:t>
            </w:r>
          </w:p>
        </w:tc>
        <w:tc>
          <w:tcPr>
            <w:tcW w:w="11378" w:type="dxa"/>
            <w:gridSpan w:val="2"/>
          </w:tcPr>
          <w:p w14:paraId="3B7599A2" w14:textId="77777777" w:rsidR="00616F8F" w:rsidRPr="004B5178" w:rsidRDefault="00616F8F" w:rsidP="000C1C47"/>
        </w:tc>
      </w:tr>
    </w:tbl>
    <w:p w14:paraId="449B626A" w14:textId="3A7000DA" w:rsidR="000C1C47" w:rsidRPr="004B5178" w:rsidRDefault="000C1C47" w:rsidP="005C085F">
      <w:r w:rsidRPr="004B5178">
        <w:br w:type="page"/>
      </w:r>
      <w:r w:rsidRPr="004B5178">
        <w:lastRenderedPageBreak/>
        <w:t>Update - Domain 2 indicators for NHS OF &amp; CCG OIS</w:t>
      </w:r>
    </w:p>
    <w:p w14:paraId="181B6722" w14:textId="77777777" w:rsidR="000C1C47" w:rsidRPr="004B5178" w:rsidRDefault="000C1C47" w:rsidP="000C1C47">
      <w:pPr>
        <w:spacing w:before="60"/>
        <w:textboxTightWrap w:val="lastLineOnly"/>
      </w:pPr>
    </w:p>
    <w:p w14:paraId="6E504908" w14:textId="77777777" w:rsidR="000C1C47" w:rsidRPr="004B5178" w:rsidRDefault="000C1C47" w:rsidP="000C1C47">
      <w:pPr>
        <w:spacing w:before="60"/>
        <w:ind w:left="-851"/>
        <w:textboxTightWrap w:val="lastLineOnly"/>
      </w:pPr>
      <w:r w:rsidRPr="004B5178">
        <w:t>This response provided by the applicant aims to answer the recommendations made at the last MRG regarding the domain 2 indicators in the NHS Outcomes Framework and the CCG OIS.</w:t>
      </w:r>
    </w:p>
    <w:p w14:paraId="190EB544" w14:textId="77777777" w:rsidR="000C1C47" w:rsidRPr="004B5178" w:rsidRDefault="000C1C47" w:rsidP="000C1C47">
      <w:pPr>
        <w:spacing w:before="60"/>
        <w:textboxTightWrap w:val="lastLineOnly"/>
      </w:pPr>
    </w:p>
    <w:tbl>
      <w:tblPr>
        <w:tblStyle w:val="TableGrid"/>
        <w:tblW w:w="14903" w:type="dxa"/>
        <w:tblLayout w:type="fixed"/>
        <w:tblLook w:val="01E0" w:firstRow="1" w:lastRow="1" w:firstColumn="1" w:lastColumn="1" w:noHBand="0" w:noVBand="0"/>
      </w:tblPr>
      <w:tblGrid>
        <w:gridCol w:w="1702"/>
        <w:gridCol w:w="13201"/>
      </w:tblGrid>
      <w:tr w:rsidR="004B5178" w:rsidRPr="004B5178" w14:paraId="278F6615" w14:textId="77777777" w:rsidTr="00207A0F">
        <w:tc>
          <w:tcPr>
            <w:tcW w:w="1702" w:type="dxa"/>
          </w:tcPr>
          <w:p w14:paraId="644CA0D5" w14:textId="77777777" w:rsidR="000C1C47" w:rsidRPr="004B5178" w:rsidRDefault="000C1C47" w:rsidP="000C1C47">
            <w:pPr>
              <w:rPr>
                <w:b/>
              </w:rPr>
            </w:pPr>
            <w:r w:rsidRPr="004B5178">
              <w:rPr>
                <w:b/>
              </w:rPr>
              <w:t>Indicator Titles</w:t>
            </w:r>
          </w:p>
        </w:tc>
        <w:tc>
          <w:tcPr>
            <w:tcW w:w="13201" w:type="dxa"/>
          </w:tcPr>
          <w:p w14:paraId="6AC2EEE2" w14:textId="77777777" w:rsidR="000C1C47" w:rsidRPr="004B5178" w:rsidRDefault="000C1C47" w:rsidP="000967BB">
            <w:pPr>
              <w:numPr>
                <w:ilvl w:val="4"/>
                <w:numId w:val="9"/>
              </w:numPr>
              <w:spacing w:after="140"/>
              <w:ind w:left="317" w:hanging="317"/>
              <w:textboxTightWrap w:val="lastLineOnly"/>
            </w:pPr>
            <w:r w:rsidRPr="004B5178">
              <w:t>NHS OF 2 Health-related quality of life for people with long term conditions</w:t>
            </w:r>
          </w:p>
          <w:p w14:paraId="53533655" w14:textId="77777777" w:rsidR="000C1C47" w:rsidRPr="004B5178" w:rsidRDefault="000C1C47" w:rsidP="000967BB">
            <w:pPr>
              <w:numPr>
                <w:ilvl w:val="4"/>
                <w:numId w:val="9"/>
              </w:numPr>
              <w:spacing w:after="140"/>
              <w:ind w:left="317" w:hanging="317"/>
              <w:textboxTightWrap w:val="lastLineOnly"/>
            </w:pPr>
            <w:r w:rsidRPr="004B5178">
              <w:t>NHS OF 2.1 Proportion of people who feel supported to manage their condition</w:t>
            </w:r>
          </w:p>
          <w:p w14:paraId="3A5839BD" w14:textId="77777777" w:rsidR="000C1C47" w:rsidRPr="004B5178" w:rsidRDefault="000C1C47" w:rsidP="000967BB">
            <w:pPr>
              <w:numPr>
                <w:ilvl w:val="4"/>
                <w:numId w:val="9"/>
              </w:numPr>
              <w:spacing w:after="140"/>
              <w:ind w:left="317" w:hanging="317"/>
              <w:textboxTightWrap w:val="lastLineOnly"/>
            </w:pPr>
            <w:r w:rsidRPr="004B5178">
              <w:t>CCG OIS 2.2 Proportion of people who feel supported to manage their condition</w:t>
            </w:r>
          </w:p>
          <w:p w14:paraId="65ABDFD9" w14:textId="77777777" w:rsidR="000C1C47" w:rsidRPr="004B5178" w:rsidRDefault="000C1C47" w:rsidP="000967BB">
            <w:pPr>
              <w:numPr>
                <w:ilvl w:val="4"/>
                <w:numId w:val="9"/>
              </w:numPr>
              <w:spacing w:after="140"/>
              <w:ind w:left="317" w:hanging="317"/>
              <w:textboxTightWrap w:val="lastLineOnly"/>
            </w:pPr>
            <w:r w:rsidRPr="004B5178">
              <w:t>NHS OF 2.4 Health-related quality of life for carers, aged over 18 years</w:t>
            </w:r>
          </w:p>
          <w:p w14:paraId="0DB78005" w14:textId="77777777" w:rsidR="000C1C47" w:rsidRPr="004B5178" w:rsidRDefault="000C1C47" w:rsidP="000967BB">
            <w:pPr>
              <w:numPr>
                <w:ilvl w:val="4"/>
                <w:numId w:val="9"/>
              </w:numPr>
              <w:spacing w:after="140"/>
              <w:ind w:left="317" w:hanging="317"/>
              <w:textboxTightWrap w:val="lastLineOnly"/>
            </w:pPr>
            <w:r w:rsidRPr="004B5178">
              <w:t>CCG OIS 2.15 Health-related quality of life for carers, aged over 18 years</w:t>
            </w:r>
          </w:p>
          <w:p w14:paraId="53B700C7" w14:textId="77777777" w:rsidR="000C1C47" w:rsidRPr="004B5178" w:rsidRDefault="000C1C47" w:rsidP="000967BB">
            <w:pPr>
              <w:numPr>
                <w:ilvl w:val="4"/>
                <w:numId w:val="9"/>
              </w:numPr>
              <w:spacing w:after="140"/>
              <w:ind w:left="317" w:hanging="317"/>
              <w:textboxTightWrap w:val="lastLineOnly"/>
            </w:pPr>
            <w:r w:rsidRPr="004B5178">
              <w:t>CCG OIS 2.1 Health-related quality of life for people with long term conditions</w:t>
            </w:r>
          </w:p>
          <w:p w14:paraId="2EA5BEA4" w14:textId="77777777" w:rsidR="000C1C47" w:rsidRPr="004B5178" w:rsidRDefault="000C1C47" w:rsidP="000967BB">
            <w:pPr>
              <w:numPr>
                <w:ilvl w:val="4"/>
                <w:numId w:val="9"/>
              </w:numPr>
              <w:spacing w:after="140"/>
              <w:ind w:left="317" w:hanging="317"/>
              <w:textboxTightWrap w:val="lastLineOnly"/>
            </w:pPr>
            <w:r w:rsidRPr="004B5178">
              <w:t>CCG OIS 2.16 Health related quality of life for people with a long term mental health condition</w:t>
            </w:r>
          </w:p>
        </w:tc>
      </w:tr>
      <w:tr w:rsidR="004B5178" w:rsidRPr="004B5178" w14:paraId="0847509A" w14:textId="77777777" w:rsidTr="00207A0F">
        <w:tc>
          <w:tcPr>
            <w:tcW w:w="1702" w:type="dxa"/>
          </w:tcPr>
          <w:p w14:paraId="434BF890" w14:textId="77777777" w:rsidR="000C1C47" w:rsidRPr="004B5178" w:rsidRDefault="000C1C47" w:rsidP="000C1C47">
            <w:r w:rsidRPr="004B5178">
              <w:t>Indicator Set</w:t>
            </w:r>
          </w:p>
        </w:tc>
        <w:tc>
          <w:tcPr>
            <w:tcW w:w="13201" w:type="dxa"/>
          </w:tcPr>
          <w:p w14:paraId="548B8A59" w14:textId="77777777" w:rsidR="000C1C47" w:rsidRPr="004B5178" w:rsidRDefault="000C1C47" w:rsidP="000C1C47">
            <w:r w:rsidRPr="004B5178">
              <w:t>NHSOF / CCGOIS</w:t>
            </w:r>
          </w:p>
        </w:tc>
      </w:tr>
    </w:tbl>
    <w:p w14:paraId="32EBD660" w14:textId="77777777" w:rsidR="000C1C47" w:rsidRPr="004B5178" w:rsidRDefault="000C1C47" w:rsidP="000C1C47">
      <w:pPr>
        <w:spacing w:before="60"/>
        <w:textboxTightWrap w:val="lastLineOnly"/>
      </w:pPr>
    </w:p>
    <w:tbl>
      <w:tblPr>
        <w:tblStyle w:val="TableGrid"/>
        <w:tblW w:w="14903" w:type="dxa"/>
        <w:tblLayout w:type="fixed"/>
        <w:tblLook w:val="01E0" w:firstRow="1" w:lastRow="1" w:firstColumn="1" w:lastColumn="1" w:noHBand="0" w:noVBand="0"/>
      </w:tblPr>
      <w:tblGrid>
        <w:gridCol w:w="1844"/>
        <w:gridCol w:w="13059"/>
      </w:tblGrid>
      <w:tr w:rsidR="004B5178" w:rsidRPr="004B5178" w14:paraId="7BCD75C0" w14:textId="77777777" w:rsidTr="00207A0F">
        <w:tc>
          <w:tcPr>
            <w:tcW w:w="1844" w:type="dxa"/>
          </w:tcPr>
          <w:p w14:paraId="1C8BDDB8" w14:textId="77777777" w:rsidR="000C1C47" w:rsidRPr="004B5178" w:rsidRDefault="000C1C47" w:rsidP="000C1C47">
            <w:pPr>
              <w:spacing w:before="60"/>
            </w:pPr>
            <w:r w:rsidRPr="004B5178">
              <w:t>Ref code</w:t>
            </w:r>
          </w:p>
          <w:p w14:paraId="3CC5A234" w14:textId="77777777" w:rsidR="000C1C47" w:rsidRPr="004B5178" w:rsidRDefault="000C1C47" w:rsidP="000C1C47">
            <w:pPr>
              <w:rPr>
                <w:b/>
              </w:rPr>
            </w:pPr>
            <w:r w:rsidRPr="004B5178">
              <w:rPr>
                <w:b/>
              </w:rPr>
              <w:t>IAP00000-01</w:t>
            </w:r>
          </w:p>
          <w:p w14:paraId="04EC6DE0" w14:textId="77777777" w:rsidR="000C1C47" w:rsidRPr="004B5178" w:rsidRDefault="000C1C47" w:rsidP="000C1C47">
            <w:pPr>
              <w:spacing w:before="60"/>
            </w:pPr>
            <w:r w:rsidRPr="004B5178">
              <w:t>Made: 18/10/13</w:t>
            </w:r>
          </w:p>
        </w:tc>
        <w:tc>
          <w:tcPr>
            <w:tcW w:w="13059" w:type="dxa"/>
          </w:tcPr>
          <w:p w14:paraId="7D3FDAB3" w14:textId="77777777" w:rsidR="000C1C47" w:rsidRPr="004B5178" w:rsidRDefault="000C1C47" w:rsidP="000C1C47">
            <w:pPr>
              <w:spacing w:before="60" w:after="140"/>
              <w:textboxTightWrap w:val="lastLineOnly"/>
            </w:pPr>
            <w:r w:rsidRPr="004B5178">
              <w:t xml:space="preserve">The developer is asked to investigate if direct standardisation can be made to work through combining years or some of the initially proposed breakdown groups. </w:t>
            </w:r>
          </w:p>
          <w:p w14:paraId="15B60B4D" w14:textId="77777777" w:rsidR="000C1C47" w:rsidRPr="004B5178" w:rsidRDefault="000C1C47" w:rsidP="000C1C47">
            <w:pPr>
              <w:spacing w:before="60" w:after="140"/>
              <w:textboxTightWrap w:val="lastLineOnly"/>
            </w:pPr>
            <w:r w:rsidRPr="004B5178">
              <w:t>If the results of the investigation determine that this is too weak a standardisation then the developer should test whether indirect standardisation is valid, for instance determining if indirect standardisation holds valid in terms of populations being comparable.</w:t>
            </w:r>
          </w:p>
          <w:p w14:paraId="03DC4FA2" w14:textId="71D7D2BE" w:rsidR="000C1C47" w:rsidRPr="004B5178" w:rsidRDefault="007D5709" w:rsidP="000C1C47">
            <w:pPr>
              <w:spacing w:before="60" w:after="140"/>
              <w:textboxTightWrap w:val="lastLineOnly"/>
            </w:pPr>
            <w:r w:rsidRPr="004B5178">
              <w:t>Finally,</w:t>
            </w:r>
            <w:r w:rsidR="000C1C47" w:rsidRPr="004B5178">
              <w:t xml:space="preserve"> if indirect standardisation is arrived at as being valid, supporting metadata would have to be very clear about the limitations of use of the indicator in terms of comparison.</w:t>
            </w:r>
          </w:p>
          <w:p w14:paraId="35E7B858" w14:textId="77777777" w:rsidR="000C1C47" w:rsidRPr="004B5178" w:rsidRDefault="000C1C47" w:rsidP="000C1C47">
            <w:r w:rsidRPr="004B5178">
              <w:t>Consideration should also be given as to whether crude rates should be published alongside denominator values</w:t>
            </w:r>
          </w:p>
          <w:p w14:paraId="1597CE2E" w14:textId="77777777" w:rsidR="000C1C47" w:rsidRPr="004B5178" w:rsidRDefault="000C1C47" w:rsidP="000C1C47"/>
        </w:tc>
      </w:tr>
      <w:tr w:rsidR="004B5178" w:rsidRPr="004B5178" w14:paraId="36FA034F" w14:textId="77777777" w:rsidTr="00207A0F">
        <w:tc>
          <w:tcPr>
            <w:tcW w:w="1844" w:type="dxa"/>
          </w:tcPr>
          <w:p w14:paraId="142B4C0D" w14:textId="3BC6F508" w:rsidR="000C1C47" w:rsidRPr="004B5178" w:rsidRDefault="000C1C47" w:rsidP="000C1C47">
            <w:r w:rsidRPr="004B5178">
              <w:t xml:space="preserve">Update: </w:t>
            </w:r>
          </w:p>
          <w:p w14:paraId="5C114798" w14:textId="77777777" w:rsidR="000C1C47" w:rsidRPr="004B5178" w:rsidRDefault="000C1C47" w:rsidP="000C1C47">
            <w:r w:rsidRPr="004B5178">
              <w:t>Made: 09/01/14</w:t>
            </w:r>
          </w:p>
        </w:tc>
        <w:tc>
          <w:tcPr>
            <w:tcW w:w="13059" w:type="dxa"/>
          </w:tcPr>
          <w:p w14:paraId="1DF466E4" w14:textId="77777777" w:rsidR="000C1C47" w:rsidRPr="004B5178" w:rsidRDefault="000C1C47" w:rsidP="000C1C47">
            <w:pPr>
              <w:spacing w:before="60"/>
              <w:textboxTightWrap w:val="lastLineOnly"/>
            </w:pPr>
            <w:r w:rsidRPr="004B5178">
              <w:t>The first recommendation was to look whether direct standardisation can be made to work as this was felt to be preferable to indirect standardisation.</w:t>
            </w:r>
          </w:p>
          <w:p w14:paraId="441BF60B" w14:textId="75DD875B" w:rsidR="000C1C47" w:rsidRDefault="000C1C47" w:rsidP="000C1C47">
            <w:pPr>
              <w:spacing w:before="60"/>
              <w:textboxTightWrap w:val="lastLineOnly"/>
            </w:pPr>
          </w:p>
          <w:p w14:paraId="4E9E97EF" w14:textId="353778A0" w:rsidR="005C085F" w:rsidRDefault="005C085F" w:rsidP="000C1C47">
            <w:pPr>
              <w:spacing w:before="60"/>
              <w:textboxTightWrap w:val="lastLineOnly"/>
            </w:pPr>
          </w:p>
          <w:p w14:paraId="2C1B72EF" w14:textId="77777777" w:rsidR="005C085F" w:rsidRPr="004B5178" w:rsidRDefault="005C085F" w:rsidP="000C1C47">
            <w:pPr>
              <w:spacing w:before="60"/>
              <w:textboxTightWrap w:val="lastLineOnly"/>
            </w:pPr>
          </w:p>
          <w:p w14:paraId="7FBAED31" w14:textId="77777777" w:rsidR="000C1C47" w:rsidRPr="004B5178" w:rsidRDefault="000C1C47" w:rsidP="000C1C47">
            <w:pPr>
              <w:spacing w:before="60"/>
              <w:textboxTightWrap w:val="lastLineOnly"/>
              <w:rPr>
                <w:b/>
              </w:rPr>
            </w:pPr>
            <w:r w:rsidRPr="004B5178">
              <w:rPr>
                <w:b/>
              </w:rPr>
              <w:lastRenderedPageBreak/>
              <w:t>NHS Outcomes Framework indicators (NHS OF 2, 2.1 and 2.4) (CCGOIS 2.1, 2.2, 2.15)</w:t>
            </w:r>
          </w:p>
          <w:p w14:paraId="412A71E7" w14:textId="77777777" w:rsidR="000C1C47" w:rsidRPr="004B5178" w:rsidRDefault="000C1C47" w:rsidP="000C1C47">
            <w:pPr>
              <w:spacing w:before="60"/>
              <w:textboxTightWrap w:val="lastLineOnly"/>
              <w:rPr>
                <w:i/>
              </w:rPr>
            </w:pPr>
            <w:r w:rsidRPr="004B5178">
              <w:rPr>
                <w:i/>
              </w:rPr>
              <w:t>CCG OIS 2.16 Health related quality of life for people with a long term mental health condition (issues around this indicator are discussed separately – see below)</w:t>
            </w:r>
            <w:r w:rsidRPr="004B5178">
              <w:rPr>
                <w:i/>
              </w:rPr>
              <w:br/>
            </w:r>
          </w:p>
          <w:p w14:paraId="14608390" w14:textId="77777777" w:rsidR="000C1C47" w:rsidRPr="004B5178" w:rsidRDefault="000C1C47" w:rsidP="000C1C47">
            <w:pPr>
              <w:spacing w:before="60"/>
              <w:textboxTightWrap w:val="lastLineOnly"/>
            </w:pPr>
            <w:r w:rsidRPr="004B5178">
              <w:t>Direct standardisation has been carried out for NHS OF indicators 2 and 2.4 for 2011/12 GPPS data to assess whether this approach is feasible.</w:t>
            </w:r>
          </w:p>
          <w:p w14:paraId="55A3DA37" w14:textId="77777777" w:rsidR="000C1C47" w:rsidRPr="004B5178" w:rsidRDefault="000C1C47" w:rsidP="000C1C47">
            <w:pPr>
              <w:textboxTightWrap w:val="lastLineOnly"/>
            </w:pPr>
            <w:r w:rsidRPr="004B5178">
              <w:t>It needs to be highlighted that the principles of NHS OF indicator 2 also apply to NHS OF indicator 2.1 as the population in question (people who identify themselves as having a long-term condition) are the same for both indicators.</w:t>
            </w:r>
          </w:p>
          <w:p w14:paraId="09F764F2" w14:textId="77777777" w:rsidR="000C1C47" w:rsidRPr="004B5178" w:rsidRDefault="000C1C47" w:rsidP="000C1C47">
            <w:pPr>
              <w:spacing w:before="60"/>
              <w:textboxTightWrap w:val="lastLineOnly"/>
            </w:pPr>
          </w:p>
          <w:p w14:paraId="72E86024" w14:textId="77777777" w:rsidR="000C1C47" w:rsidRPr="004B5178" w:rsidRDefault="000C1C47" w:rsidP="000C1C47">
            <w:pPr>
              <w:spacing w:before="60"/>
              <w:textboxTightWrap w:val="lastLineOnly"/>
            </w:pPr>
            <w:r w:rsidRPr="004B5178">
              <w:t>For NHS OF indicators  2 and 2.4 DSR values have been calculated at national level and broken down by age, gender and particularly ethnicity and local authority where small cell counts looked to be an issue.</w:t>
            </w:r>
          </w:p>
          <w:p w14:paraId="57BD492D" w14:textId="77777777" w:rsidR="000C1C47" w:rsidRPr="004B5178" w:rsidRDefault="000C1C47" w:rsidP="000C1C47">
            <w:pPr>
              <w:spacing w:before="60"/>
              <w:textboxTightWrap w:val="lastLineOnly"/>
            </w:pPr>
          </w:p>
          <w:p w14:paraId="13AD262E" w14:textId="77777777" w:rsidR="000C1C47" w:rsidRPr="004B5178" w:rsidRDefault="000C1C47" w:rsidP="000C1C47">
            <w:pPr>
              <w:textboxTightWrap w:val="lastLineOnly"/>
            </w:pPr>
            <w:r w:rsidRPr="004B5178">
              <w:t xml:space="preserve">For NHS OF indicator 2 only the LA district breakdown had empty cells when looking at the age, gender and LA combinations needed to be able to calculate the DSR values. However, there were only 6 empty cells for 4 selected LAs (City of London, Isles of Scilly, Rother and South Bucks). Please see spread sheet NHSOF_2_Data_Lower_Tier_LA in the accompanying Excel file </w:t>
            </w:r>
            <w:r w:rsidRPr="004B5178">
              <w:rPr>
                <w:b/>
              </w:rPr>
              <w:t>NHSOF_2_2.4_DSRCalc.xls</w:t>
            </w:r>
            <w:r w:rsidRPr="004B5178">
              <w:t xml:space="preserve"> with the sample data where empty cells were highlighted in orange. DSR values were still calculated for those LAs.</w:t>
            </w:r>
          </w:p>
          <w:p w14:paraId="749E7C96" w14:textId="77777777" w:rsidR="000C1C47" w:rsidRPr="004B5178" w:rsidRDefault="000C1C47" w:rsidP="000C1C47">
            <w:pPr>
              <w:textboxTightWrap w:val="lastLineOnly"/>
            </w:pPr>
            <w:r w:rsidRPr="004B5178">
              <w:t>When calculating values for the upper tier LA breakdown empty cells reduce to four across 2 authorities (City of London and Isles of Scilly). See spread sheet NHSOF_2.4_Data_Upper_Tier_LA.</w:t>
            </w:r>
          </w:p>
          <w:p w14:paraId="7F1E8A70" w14:textId="77777777" w:rsidR="000C1C47" w:rsidRPr="004B5178" w:rsidRDefault="000C1C47" w:rsidP="000C1C47">
            <w:pPr>
              <w:spacing w:before="60"/>
              <w:textboxTightWrap w:val="lastLineOnly"/>
            </w:pPr>
          </w:p>
          <w:p w14:paraId="51B1E5F2" w14:textId="2093CA35" w:rsidR="000C1C47" w:rsidRPr="004B5178" w:rsidRDefault="000C1C47" w:rsidP="000C1C47">
            <w:pPr>
              <w:spacing w:before="60"/>
              <w:textboxTightWrap w:val="lastLineOnly"/>
            </w:pPr>
            <w:r w:rsidRPr="004B5178">
              <w:t xml:space="preserve">For NHS OF indicator 2.4 two breakdowns had empty cells when looking at the individual combinations. The breakdowns in question were ethnicity and LA. </w:t>
            </w:r>
            <w:r w:rsidR="007D5709" w:rsidRPr="004B5178">
              <w:t>Similarly,</w:t>
            </w:r>
            <w:r w:rsidRPr="004B5178">
              <w:t xml:space="preserve"> to the scenario with LAs for NHS OF indicator 2 there were only 7 empty cells for the ethnicity breakdown for NHS OF indicator 2.4 (see orange highlighted cells in spread sheet NHSOF_2.4_Data_Ethnicity in the attached file). The LA breakdown for NHS OF indicator 2.4 produced 112 empty cells across 83 LAs (see cells highlighted in orange in spread sheet NHSOF_2.4_Data_LA. </w:t>
            </w:r>
          </w:p>
          <w:p w14:paraId="30CF471D" w14:textId="77777777" w:rsidR="000C1C47" w:rsidRPr="004B5178" w:rsidRDefault="000C1C47" w:rsidP="000C1C47">
            <w:pPr>
              <w:spacing w:before="60"/>
              <w:textboxTightWrap w:val="lastLineOnly"/>
            </w:pPr>
            <w:r w:rsidRPr="004B5178">
              <w:t>When looking at the upper tier LA breakdown for indicator 2.4 empty cells reduce to 28 across 15 authorities.</w:t>
            </w:r>
          </w:p>
          <w:p w14:paraId="1AE7E0FB" w14:textId="77777777" w:rsidR="000C1C47" w:rsidRPr="004B5178" w:rsidRDefault="000C1C47" w:rsidP="000C1C47">
            <w:pPr>
              <w:spacing w:before="60"/>
              <w:textboxTightWrap w:val="lastLineOnly"/>
            </w:pPr>
          </w:p>
          <w:p w14:paraId="4CAEAE90" w14:textId="77777777" w:rsidR="000C1C47" w:rsidRPr="004B5178" w:rsidRDefault="000C1C47" w:rsidP="000C1C47">
            <w:pPr>
              <w:spacing w:before="60"/>
              <w:textboxTightWrap w:val="lastLineOnly"/>
            </w:pPr>
            <w:r w:rsidRPr="004B5178">
              <w:t>Based on the findings the proposal for the domain 2 NHS Outcomes Framework indicators is as follows:</w:t>
            </w:r>
          </w:p>
          <w:p w14:paraId="646B98B0" w14:textId="77777777" w:rsidR="000C1C47" w:rsidRPr="004B5178" w:rsidRDefault="000C1C47" w:rsidP="000967BB">
            <w:pPr>
              <w:numPr>
                <w:ilvl w:val="0"/>
                <w:numId w:val="8"/>
              </w:numPr>
              <w:spacing w:before="60" w:after="140"/>
              <w:contextualSpacing/>
              <w:textboxTightWrap w:val="lastLineOnly"/>
            </w:pPr>
            <w:r w:rsidRPr="004B5178">
              <w:t>Use direct standardisation as calculation method with the original age groups</w:t>
            </w:r>
          </w:p>
          <w:p w14:paraId="0ECD71A1" w14:textId="77777777" w:rsidR="000C1C47" w:rsidRPr="004B5178" w:rsidRDefault="000C1C47" w:rsidP="000967BB">
            <w:pPr>
              <w:numPr>
                <w:ilvl w:val="0"/>
                <w:numId w:val="8"/>
              </w:numPr>
              <w:spacing w:before="60" w:after="140"/>
              <w:contextualSpacing/>
              <w:textboxTightWrap w:val="lastLineOnly"/>
            </w:pPr>
            <w:r w:rsidRPr="004B5178">
              <w:t>Where there are empty cells (at least 1) for any of the categories within a breakdown suppress the calculated indicator values for the category in question</w:t>
            </w:r>
          </w:p>
          <w:p w14:paraId="7A8CF138" w14:textId="77777777" w:rsidR="000C1C47" w:rsidRPr="004B5178" w:rsidRDefault="000C1C47" w:rsidP="000967BB">
            <w:pPr>
              <w:numPr>
                <w:ilvl w:val="0"/>
                <w:numId w:val="8"/>
              </w:numPr>
              <w:spacing w:before="60" w:after="140"/>
              <w:contextualSpacing/>
              <w:textboxTightWrap w:val="lastLineOnly"/>
            </w:pPr>
            <w:r w:rsidRPr="004B5178">
              <w:lastRenderedPageBreak/>
              <w:t>Further, where the numerator for a breakdown category is less than 25 suppress the calculated indicator values, due to the fact small numbers would make the estimate unreliable. This is in line with what currently happens within the PHOF.</w:t>
            </w:r>
          </w:p>
          <w:p w14:paraId="0C0EF958" w14:textId="77777777" w:rsidR="000C1C47" w:rsidRPr="004B5178" w:rsidRDefault="000C1C47" w:rsidP="000967BB">
            <w:pPr>
              <w:numPr>
                <w:ilvl w:val="0"/>
                <w:numId w:val="8"/>
              </w:numPr>
              <w:spacing w:before="60" w:after="140"/>
              <w:contextualSpacing/>
              <w:textboxTightWrap w:val="lastLineOnly"/>
            </w:pPr>
            <w:r w:rsidRPr="004B5178">
              <w:t>In addition to the LA district breakdowns provide upper tier LA breakdowns. This would provide valuable additional information for local decision makers and would also  provide values for LAs where values are suppressed for the LA district breakdown</w:t>
            </w:r>
          </w:p>
          <w:p w14:paraId="35804C28" w14:textId="77777777" w:rsidR="000C1C47" w:rsidRPr="004B5178" w:rsidRDefault="000C1C47" w:rsidP="000967BB">
            <w:pPr>
              <w:numPr>
                <w:ilvl w:val="0"/>
                <w:numId w:val="8"/>
              </w:numPr>
              <w:spacing w:before="60" w:after="140"/>
              <w:contextualSpacing/>
              <w:textboxTightWrap w:val="lastLineOnly"/>
            </w:pPr>
            <w:r w:rsidRPr="004B5178">
              <w:t>Once 3-years’ worth of GPPS data are available it is proposed to additionally calculate an indicator value based on a rolling 3-year dataset</w:t>
            </w:r>
          </w:p>
          <w:p w14:paraId="15F6744C" w14:textId="77777777" w:rsidR="000C1C47" w:rsidRPr="004B5178" w:rsidRDefault="000C1C47" w:rsidP="000967BB">
            <w:pPr>
              <w:numPr>
                <w:ilvl w:val="0"/>
                <w:numId w:val="8"/>
              </w:numPr>
              <w:spacing w:before="60" w:after="140"/>
              <w:contextualSpacing/>
              <w:textboxTightWrap w:val="lastLineOnly"/>
            </w:pPr>
            <w:r w:rsidRPr="004B5178">
              <w:t>Publish numerator and denominator values in addition to the indicator values. It is proposed to also provide these for all indicator values that are suppressed unless the numerator values are below 5, which is in line with standard suppression rules.</w:t>
            </w:r>
          </w:p>
          <w:p w14:paraId="2AD85251" w14:textId="77777777" w:rsidR="000C1C47" w:rsidRPr="004B5178" w:rsidRDefault="000C1C47" w:rsidP="000C1C47">
            <w:pPr>
              <w:spacing w:before="60"/>
              <w:textboxTightWrap w:val="lastLineOnly"/>
            </w:pPr>
          </w:p>
          <w:p w14:paraId="47DAA493" w14:textId="77777777" w:rsidR="000C1C47" w:rsidRPr="004B5178" w:rsidRDefault="000C1C47" w:rsidP="000C1C47">
            <w:pPr>
              <w:spacing w:before="60"/>
              <w:textboxTightWrap w:val="lastLineOnly"/>
            </w:pPr>
            <w:r w:rsidRPr="004B5178">
              <w:t>The proposal to suppress any breakdown category where there is at least 1 empty cell is conservative in its approach, however it is important that we are able to take steps to revise the data that has already been published to ensure that we are confident about its validity. A more comprehensive review of approaches to standardisation and how to apply them would be helpful to come to an expert view which could then be applied to these indicators and others in the NHSOF and CCG OIS, which then may result in further revisions.</w:t>
            </w:r>
          </w:p>
          <w:p w14:paraId="29E86941" w14:textId="77777777" w:rsidR="000C1C47" w:rsidRPr="004B5178" w:rsidRDefault="000C1C47" w:rsidP="000C1C47">
            <w:pPr>
              <w:spacing w:before="60"/>
              <w:textboxTightWrap w:val="lastLineOnly"/>
            </w:pPr>
            <w:r w:rsidRPr="004B5178">
              <w:t>In line with the current proposal the table below summarises the number of suppressed breakdown categories by indicator for 2011/12 data.</w:t>
            </w:r>
          </w:p>
          <w:p w14:paraId="541AB1E3" w14:textId="0D04DE9F" w:rsidR="000C1C47" w:rsidRDefault="000C1C47" w:rsidP="000C1C47">
            <w:pPr>
              <w:spacing w:before="60"/>
              <w:textboxTightWrap w:val="lastLineOnly"/>
            </w:pPr>
          </w:p>
          <w:p w14:paraId="0EDD2BE4" w14:textId="55E99129" w:rsidR="00207A0F" w:rsidRDefault="00207A0F" w:rsidP="000C1C47">
            <w:pPr>
              <w:spacing w:before="60"/>
              <w:textboxTightWrap w:val="lastLineOnly"/>
            </w:pPr>
          </w:p>
          <w:p w14:paraId="7C72A8BC" w14:textId="6CDEA486" w:rsidR="00207A0F" w:rsidRPr="00207A0F" w:rsidRDefault="00207A0F" w:rsidP="000C1C47">
            <w:pPr>
              <w:spacing w:before="60"/>
              <w:textboxTightWrap w:val="lastLineOnly"/>
              <w:rPr>
                <w:b/>
                <w:bCs/>
              </w:rPr>
            </w:pPr>
            <w:r>
              <w:rPr>
                <w:b/>
                <w:bCs/>
              </w:rPr>
              <w:t xml:space="preserve">                                             </w:t>
            </w:r>
            <w:r w:rsidRPr="00207A0F">
              <w:rPr>
                <w:b/>
                <w:bCs/>
              </w:rPr>
              <w:t>Number suppressed</w:t>
            </w:r>
            <w:r w:rsidRPr="00207A0F">
              <w:rPr>
                <w:b/>
                <w:bCs/>
              </w:rPr>
              <w:tab/>
            </w:r>
            <w:r>
              <w:rPr>
                <w:b/>
                <w:bCs/>
              </w:rPr>
              <w:t xml:space="preserve">                 </w:t>
            </w:r>
            <w:r w:rsidRPr="00207A0F">
              <w:rPr>
                <w:b/>
                <w:bCs/>
              </w:rPr>
              <w:t>Total number</w:t>
            </w:r>
          </w:p>
          <w:p w14:paraId="46EAA402" w14:textId="0D0913FA" w:rsidR="00207A0F" w:rsidRDefault="00207A0F" w:rsidP="000C1C47">
            <w:pPr>
              <w:spacing w:before="60"/>
              <w:textboxTightWrap w:val="lastLineOnly"/>
            </w:pPr>
            <w:r w:rsidRPr="004B5178">
              <w:rPr>
                <w:b/>
              </w:rPr>
              <w:t>Indicators 2 and 2.1</w:t>
            </w:r>
          </w:p>
          <w:p w14:paraId="25F65435" w14:textId="5D0D7124" w:rsidR="00207A0F" w:rsidRDefault="00207A0F" w:rsidP="000C1C47">
            <w:pPr>
              <w:spacing w:before="60"/>
              <w:textboxTightWrap w:val="lastLineOnly"/>
            </w:pPr>
            <w:r w:rsidRPr="00207A0F">
              <w:t>Ethnicity</w:t>
            </w:r>
            <w:r w:rsidRPr="00207A0F">
              <w:tab/>
            </w:r>
            <w:r>
              <w:t xml:space="preserve">                                     </w:t>
            </w:r>
            <w:r w:rsidRPr="00207A0F">
              <w:t>0</w:t>
            </w:r>
            <w:r w:rsidRPr="00207A0F">
              <w:tab/>
            </w:r>
            <w:r>
              <w:t xml:space="preserve">                                     </w:t>
            </w:r>
            <w:r w:rsidRPr="00207A0F">
              <w:t>18</w:t>
            </w:r>
          </w:p>
          <w:p w14:paraId="0C638EE3" w14:textId="336FC52D" w:rsidR="00207A0F" w:rsidRDefault="00207A0F" w:rsidP="000C1C47">
            <w:pPr>
              <w:spacing w:before="60"/>
              <w:textboxTightWrap w:val="lastLineOnly"/>
            </w:pPr>
            <w:r w:rsidRPr="00207A0F">
              <w:t>LA districts</w:t>
            </w:r>
            <w:r w:rsidRPr="00207A0F">
              <w:tab/>
            </w:r>
            <w:r>
              <w:t xml:space="preserve">                                     </w:t>
            </w:r>
            <w:r w:rsidRPr="00207A0F">
              <w:t>4</w:t>
            </w:r>
            <w:r w:rsidRPr="00207A0F">
              <w:tab/>
            </w:r>
            <w:r>
              <w:t xml:space="preserve">                                     </w:t>
            </w:r>
            <w:r w:rsidRPr="00207A0F">
              <w:t>326</w:t>
            </w:r>
          </w:p>
          <w:p w14:paraId="1871F2FB" w14:textId="67D31EA0" w:rsidR="00207A0F" w:rsidRDefault="00207A0F" w:rsidP="000C1C47">
            <w:pPr>
              <w:spacing w:before="60"/>
              <w:textboxTightWrap w:val="lastLineOnly"/>
            </w:pPr>
            <w:r w:rsidRPr="00207A0F">
              <w:t>LA upper tier</w:t>
            </w:r>
            <w:r w:rsidRPr="00207A0F">
              <w:tab/>
            </w:r>
            <w:r>
              <w:t xml:space="preserve">                                     </w:t>
            </w:r>
            <w:r w:rsidRPr="00207A0F">
              <w:t>2</w:t>
            </w:r>
            <w:r w:rsidRPr="00207A0F">
              <w:tab/>
            </w:r>
            <w:r>
              <w:t xml:space="preserve">                                     </w:t>
            </w:r>
            <w:r w:rsidRPr="00207A0F">
              <w:t>152</w:t>
            </w:r>
          </w:p>
          <w:p w14:paraId="294AC2F5" w14:textId="018B7AB4" w:rsidR="00207A0F" w:rsidRPr="00207A0F" w:rsidRDefault="00207A0F" w:rsidP="000C1C47">
            <w:pPr>
              <w:spacing w:before="60"/>
              <w:textboxTightWrap w:val="lastLineOnly"/>
              <w:rPr>
                <w:b/>
                <w:bCs/>
              </w:rPr>
            </w:pPr>
            <w:r w:rsidRPr="00207A0F">
              <w:rPr>
                <w:b/>
                <w:bCs/>
              </w:rPr>
              <w:t>Indicator 2.4</w:t>
            </w:r>
          </w:p>
          <w:p w14:paraId="1C84CBF6" w14:textId="5AD903AA" w:rsidR="00207A0F" w:rsidRDefault="00207A0F" w:rsidP="000C1C47">
            <w:pPr>
              <w:spacing w:before="60"/>
              <w:textboxTightWrap w:val="lastLineOnly"/>
            </w:pPr>
            <w:r w:rsidRPr="00207A0F">
              <w:t>Ethnicity</w:t>
            </w:r>
            <w:r w:rsidRPr="00207A0F">
              <w:tab/>
            </w:r>
            <w:r>
              <w:t xml:space="preserve">                                     </w:t>
            </w:r>
            <w:r w:rsidRPr="00207A0F">
              <w:t>3</w:t>
            </w:r>
            <w:r w:rsidRPr="00207A0F">
              <w:tab/>
            </w:r>
            <w:r>
              <w:t xml:space="preserve">                                     </w:t>
            </w:r>
            <w:r w:rsidRPr="00207A0F">
              <w:t>18</w:t>
            </w:r>
          </w:p>
          <w:p w14:paraId="526E89FE" w14:textId="2D094C07" w:rsidR="00207A0F" w:rsidRDefault="00207A0F" w:rsidP="000C1C47">
            <w:pPr>
              <w:spacing w:before="60"/>
              <w:textboxTightWrap w:val="lastLineOnly"/>
            </w:pPr>
            <w:r w:rsidRPr="00207A0F">
              <w:t>LA districts</w:t>
            </w:r>
            <w:r w:rsidRPr="00207A0F">
              <w:tab/>
            </w:r>
            <w:r>
              <w:t xml:space="preserve">                                     </w:t>
            </w:r>
            <w:r w:rsidRPr="00207A0F">
              <w:t>83</w:t>
            </w:r>
            <w:r w:rsidRPr="00207A0F">
              <w:tab/>
            </w:r>
            <w:r>
              <w:t xml:space="preserve">                                     </w:t>
            </w:r>
            <w:r w:rsidRPr="00207A0F">
              <w:t>326</w:t>
            </w:r>
          </w:p>
          <w:p w14:paraId="17575068" w14:textId="1F5173A3" w:rsidR="00207A0F" w:rsidRDefault="00207A0F" w:rsidP="000C1C47">
            <w:pPr>
              <w:spacing w:before="60"/>
              <w:textboxTightWrap w:val="lastLineOnly"/>
            </w:pPr>
            <w:r w:rsidRPr="00207A0F">
              <w:t>LA upper tier</w:t>
            </w:r>
            <w:r w:rsidRPr="00207A0F">
              <w:tab/>
            </w:r>
            <w:r>
              <w:t xml:space="preserve">                                     </w:t>
            </w:r>
            <w:r w:rsidRPr="00207A0F">
              <w:t>15</w:t>
            </w:r>
            <w:r w:rsidRPr="00207A0F">
              <w:tab/>
            </w:r>
            <w:r>
              <w:t xml:space="preserve">                                     </w:t>
            </w:r>
            <w:r w:rsidRPr="00207A0F">
              <w:t>152</w:t>
            </w:r>
          </w:p>
          <w:p w14:paraId="21DE2D2A" w14:textId="63776D76" w:rsidR="00207A0F" w:rsidRDefault="00207A0F" w:rsidP="000C1C47">
            <w:pPr>
              <w:spacing w:before="60"/>
              <w:textboxTightWrap w:val="lastLineOnly"/>
            </w:pPr>
          </w:p>
          <w:p w14:paraId="77AF3376" w14:textId="17562FC7" w:rsidR="00207A0F" w:rsidRDefault="00207A0F" w:rsidP="000C1C47">
            <w:pPr>
              <w:spacing w:before="60"/>
              <w:textboxTightWrap w:val="lastLineOnly"/>
            </w:pPr>
          </w:p>
          <w:p w14:paraId="6073AD26" w14:textId="50C66C10" w:rsidR="00207A0F" w:rsidRDefault="00207A0F" w:rsidP="000C1C47">
            <w:pPr>
              <w:spacing w:before="60"/>
              <w:textboxTightWrap w:val="lastLineOnly"/>
            </w:pPr>
          </w:p>
          <w:p w14:paraId="672C72CF" w14:textId="2F3D569A" w:rsidR="00207A0F" w:rsidRPr="004B5178" w:rsidRDefault="00207A0F" w:rsidP="000C1C47">
            <w:pPr>
              <w:spacing w:before="60"/>
              <w:textboxTightWrap w:val="lastLineOnly"/>
            </w:pPr>
            <w:r>
              <w:t xml:space="preserve"> </w:t>
            </w:r>
          </w:p>
          <w:p w14:paraId="12EEE7C7" w14:textId="77777777" w:rsidR="000C1C47" w:rsidRPr="004B5178" w:rsidRDefault="000C1C47" w:rsidP="000C1C47">
            <w:pPr>
              <w:spacing w:before="60"/>
              <w:textboxTightWrap w:val="lastLineOnly"/>
              <w:rPr>
                <w:b/>
              </w:rPr>
            </w:pPr>
            <w:r w:rsidRPr="004B5178">
              <w:rPr>
                <w:b/>
              </w:rPr>
              <w:t>CCG OIS equivalents (CCGOIS 2.1, 2.2, 2.15)</w:t>
            </w:r>
          </w:p>
          <w:p w14:paraId="723E7B8E" w14:textId="77777777" w:rsidR="000C1C47" w:rsidRPr="004B5178" w:rsidRDefault="000C1C47" w:rsidP="000C1C47">
            <w:pPr>
              <w:spacing w:before="60"/>
              <w:textboxTightWrap w:val="lastLineOnly"/>
            </w:pPr>
            <w:r w:rsidRPr="004B5178">
              <w:t>For CCGOIS 2.1, 2.2, 2.15 which are the equivalents we propose to use exactly the same methods as outlined above. For some cases, due to zero cells, CCG values will need to be supressed, it is less of a problem than at LA level as there are less of them.</w:t>
            </w:r>
          </w:p>
          <w:p w14:paraId="6216F49D" w14:textId="77777777" w:rsidR="000C1C47" w:rsidRPr="004B5178" w:rsidRDefault="000C1C47" w:rsidP="000C1C47">
            <w:pPr>
              <w:spacing w:before="60"/>
              <w:textboxTightWrap w:val="lastLineOnly"/>
            </w:pPr>
          </w:p>
          <w:p w14:paraId="25B318F5" w14:textId="77777777" w:rsidR="000C1C47" w:rsidRPr="004B5178" w:rsidRDefault="000C1C47" w:rsidP="000C1C47">
            <w:pPr>
              <w:spacing w:before="60"/>
              <w:textboxTightWrap w:val="lastLineOnly"/>
            </w:pPr>
            <w:r w:rsidRPr="004B5178">
              <w:t>However, there is a fourth GPPS indicator within the CCGOIS which requires a slight change in methodology.</w:t>
            </w:r>
          </w:p>
          <w:p w14:paraId="62D13463" w14:textId="77777777" w:rsidR="000C1C47" w:rsidRPr="004B5178" w:rsidRDefault="000C1C47" w:rsidP="000C1C47">
            <w:pPr>
              <w:spacing w:before="60"/>
              <w:textboxTightWrap w:val="lastLineOnly"/>
              <w:rPr>
                <w:b/>
              </w:rPr>
            </w:pPr>
          </w:p>
          <w:p w14:paraId="0ED39B73" w14:textId="77777777" w:rsidR="000C1C47" w:rsidRPr="004B5178" w:rsidRDefault="000C1C47" w:rsidP="000C1C47">
            <w:pPr>
              <w:spacing w:before="60"/>
              <w:textboxTightWrap w:val="lastLineOnly"/>
              <w:rPr>
                <w:b/>
              </w:rPr>
            </w:pPr>
            <w:r w:rsidRPr="004B5178">
              <w:rPr>
                <w:b/>
              </w:rPr>
              <w:t>CCGOIS Health related quality of life for patients with a long term mental health condition (2.16)</w:t>
            </w:r>
          </w:p>
          <w:p w14:paraId="66FF4A51" w14:textId="46AEB57A" w:rsidR="000C1C47" w:rsidRPr="004B5178" w:rsidRDefault="000C1C47" w:rsidP="000C1C47">
            <w:pPr>
              <w:spacing w:before="60"/>
              <w:textboxTightWrap w:val="lastLineOnly"/>
            </w:pPr>
            <w:r w:rsidRPr="004B5178">
              <w:t>In comparison to the other GPPS indicators, this one has much smaller numbers. The attached file (</w:t>
            </w:r>
            <w:r w:rsidRPr="004B5178">
              <w:rPr>
                <w:b/>
              </w:rPr>
              <w:t>CCGOIS_MH_Zero_Cell_Example.xls</w:t>
            </w:r>
            <w:r w:rsidRPr="004B5178">
              <w:t xml:space="preserve">) gives a summary of counts for the indicator at CCG level, for a single year 2011/12 the smallest weighted sum of observed events was 43. </w:t>
            </w:r>
            <w:r w:rsidR="007D5709" w:rsidRPr="004B5178">
              <w:t>However,</w:t>
            </w:r>
            <w:r w:rsidRPr="004B5178">
              <w:t xml:space="preserve"> using the standard GPPS age bands led to large numbers of zero cells (336 across 162 of the 211 CCGs). Widening the age bands, as defined in the file, sees this change to 34 across 30 CCGs. This would lead to DSRs not being calculated for 30 CCGs, a figure which is more acceptable than 162. </w:t>
            </w:r>
            <w:r w:rsidR="007D5709" w:rsidRPr="004B5178">
              <w:t>Therefore,</w:t>
            </w:r>
            <w:r w:rsidRPr="004B5178">
              <w:t xml:space="preserve"> we propose using the combined age bands for this indicator.</w:t>
            </w:r>
          </w:p>
          <w:p w14:paraId="6AD2E076" w14:textId="77777777" w:rsidR="000C1C47" w:rsidRPr="004B5178" w:rsidRDefault="000C1C47" w:rsidP="000C1C47"/>
        </w:tc>
      </w:tr>
    </w:tbl>
    <w:p w14:paraId="305DABAB" w14:textId="77777777" w:rsidR="000C1C47" w:rsidRPr="004B5178" w:rsidRDefault="000C1C47" w:rsidP="000C1C47">
      <w:pPr>
        <w:spacing w:before="60"/>
        <w:textboxTightWrap w:val="lastLineOnly"/>
      </w:pPr>
    </w:p>
    <w:tbl>
      <w:tblPr>
        <w:tblStyle w:val="TableGrid"/>
        <w:tblW w:w="14903" w:type="dxa"/>
        <w:tblLayout w:type="fixed"/>
        <w:tblLook w:val="01E0" w:firstRow="1" w:lastRow="1" w:firstColumn="1" w:lastColumn="1" w:noHBand="0" w:noVBand="0"/>
      </w:tblPr>
      <w:tblGrid>
        <w:gridCol w:w="1844"/>
        <w:gridCol w:w="13059"/>
      </w:tblGrid>
      <w:tr w:rsidR="004B5178" w:rsidRPr="004B5178" w14:paraId="5FA66B43" w14:textId="77777777" w:rsidTr="00BD7D6B">
        <w:tc>
          <w:tcPr>
            <w:tcW w:w="1844" w:type="dxa"/>
          </w:tcPr>
          <w:p w14:paraId="148F7AEB" w14:textId="77777777" w:rsidR="000C1C47" w:rsidRPr="004B5178" w:rsidRDefault="000C1C47" w:rsidP="000C1C47">
            <w:pPr>
              <w:spacing w:before="60"/>
            </w:pPr>
            <w:r w:rsidRPr="004B5178">
              <w:t>Ref code</w:t>
            </w:r>
          </w:p>
          <w:p w14:paraId="5F6B3AE6" w14:textId="77777777" w:rsidR="000C1C47" w:rsidRPr="004B5178" w:rsidRDefault="000C1C47" w:rsidP="000C1C47">
            <w:pPr>
              <w:rPr>
                <w:b/>
              </w:rPr>
            </w:pPr>
            <w:r w:rsidRPr="004B5178">
              <w:rPr>
                <w:b/>
              </w:rPr>
              <w:t>IAP00000-02</w:t>
            </w:r>
          </w:p>
          <w:p w14:paraId="2FBF65DE" w14:textId="77777777" w:rsidR="000C1C47" w:rsidRPr="004B5178" w:rsidRDefault="000C1C47" w:rsidP="000C1C47">
            <w:pPr>
              <w:spacing w:before="60"/>
            </w:pPr>
            <w:r w:rsidRPr="004B5178">
              <w:t>Made: 18/10/13</w:t>
            </w:r>
          </w:p>
        </w:tc>
        <w:tc>
          <w:tcPr>
            <w:tcW w:w="13059" w:type="dxa"/>
          </w:tcPr>
          <w:p w14:paraId="5CB3C718" w14:textId="77777777" w:rsidR="000C1C47" w:rsidRPr="004B5178" w:rsidRDefault="000C1C47" w:rsidP="000C1C47">
            <w:pPr>
              <w:spacing w:after="140"/>
              <w:textboxTightWrap w:val="lastLineOnly"/>
            </w:pPr>
            <w:r w:rsidRPr="004B5178">
              <w:t>A test is to be put in to address issue of handling zero, or near zero EQ-5D scores.</w:t>
            </w:r>
          </w:p>
          <w:p w14:paraId="77E9CE90" w14:textId="77777777" w:rsidR="000C1C47" w:rsidRPr="004B5178" w:rsidRDefault="000C1C47" w:rsidP="000C1C47"/>
        </w:tc>
      </w:tr>
      <w:tr w:rsidR="004B5178" w:rsidRPr="004B5178" w14:paraId="64FCF5A4" w14:textId="77777777" w:rsidTr="00BD7D6B">
        <w:tc>
          <w:tcPr>
            <w:tcW w:w="1844" w:type="dxa"/>
          </w:tcPr>
          <w:p w14:paraId="0E6DDA69" w14:textId="77777777" w:rsidR="000C1C47" w:rsidRPr="004B5178" w:rsidRDefault="000C1C47" w:rsidP="000C1C47">
            <w:r w:rsidRPr="004B5178">
              <w:t xml:space="preserve">Update: </w:t>
            </w:r>
          </w:p>
          <w:p w14:paraId="2760A54B" w14:textId="77777777" w:rsidR="000C1C47" w:rsidRPr="004B5178" w:rsidRDefault="000C1C47" w:rsidP="000C1C47">
            <w:r w:rsidRPr="004B5178">
              <w:t>Made: 09/01/14</w:t>
            </w:r>
          </w:p>
        </w:tc>
        <w:tc>
          <w:tcPr>
            <w:tcW w:w="13059" w:type="dxa"/>
          </w:tcPr>
          <w:p w14:paraId="41B1FC19" w14:textId="77777777" w:rsidR="000C1C47" w:rsidRPr="004B5178" w:rsidRDefault="000C1C47" w:rsidP="000C1C47">
            <w:pPr>
              <w:spacing w:after="140"/>
              <w:textboxTightWrap w:val="lastLineOnly"/>
            </w:pPr>
            <w:r w:rsidRPr="004B5178">
              <w:t>When looking at the different breakdowns for all domain 2 indicators no zero or near 0 EQ-5D values were found for any of the breakdown categories.</w:t>
            </w:r>
          </w:p>
          <w:p w14:paraId="64211A5B" w14:textId="77777777" w:rsidR="000C1C47" w:rsidRPr="004B5178" w:rsidRDefault="000C1C47" w:rsidP="000C1C47">
            <w:pPr>
              <w:spacing w:after="140"/>
              <w:textboxTightWrap w:val="lastLineOnly"/>
            </w:pPr>
            <w:r w:rsidRPr="004B5178">
              <w:t>A test will be put in to check for the occurrence of 0 or near 0 EQ-5D values in future. If this will be the case suppression will be applied.</w:t>
            </w:r>
          </w:p>
        </w:tc>
      </w:tr>
    </w:tbl>
    <w:p w14:paraId="57687396" w14:textId="77777777" w:rsidR="000C1C47" w:rsidRPr="004B5178" w:rsidRDefault="000C1C47" w:rsidP="000C1C47"/>
    <w:p w14:paraId="179A5546" w14:textId="77777777" w:rsidR="00173180" w:rsidRPr="004B5178" w:rsidRDefault="00173180" w:rsidP="00BD69FE">
      <w:pPr>
        <w:rPr>
          <w:b/>
        </w:rPr>
      </w:pPr>
    </w:p>
    <w:sectPr w:rsidR="00173180" w:rsidRPr="004B5178" w:rsidSect="007E2565">
      <w:pgSz w:w="16838" w:h="11906" w:orient="landscape"/>
      <w:pgMar w:top="851" w:right="1440"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3E619" w14:textId="77777777" w:rsidR="0025757D" w:rsidRDefault="0025757D" w:rsidP="000C1C47">
      <w:r>
        <w:separator/>
      </w:r>
    </w:p>
  </w:endnote>
  <w:endnote w:type="continuationSeparator" w:id="0">
    <w:p w14:paraId="59A63E67" w14:textId="77777777" w:rsidR="0025757D" w:rsidRDefault="0025757D" w:rsidP="000C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etaHeadlineOT-Light">
    <w:altName w:val="MetaHeadlineOT-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951795"/>
      <w:docPartObj>
        <w:docPartGallery w:val="Page Numbers (Bottom of Page)"/>
        <w:docPartUnique/>
      </w:docPartObj>
    </w:sdtPr>
    <w:sdtEndPr>
      <w:rPr>
        <w:rFonts w:ascii="Arial" w:hAnsi="Arial" w:cs="Arial"/>
        <w:noProof/>
        <w:sz w:val="20"/>
        <w:szCs w:val="20"/>
      </w:rPr>
    </w:sdtEndPr>
    <w:sdtContent>
      <w:p w14:paraId="38CD3B12" w14:textId="77777777" w:rsidR="0025757D" w:rsidRPr="00074679" w:rsidRDefault="0025757D">
        <w:pPr>
          <w:pStyle w:val="Footer"/>
          <w:jc w:val="right"/>
          <w:rPr>
            <w:rFonts w:ascii="Arial" w:hAnsi="Arial" w:cs="Arial"/>
            <w:sz w:val="20"/>
            <w:szCs w:val="20"/>
          </w:rPr>
        </w:pPr>
        <w:r w:rsidRPr="00074679">
          <w:rPr>
            <w:rFonts w:ascii="Arial" w:hAnsi="Arial" w:cs="Arial"/>
            <w:sz w:val="20"/>
            <w:szCs w:val="20"/>
          </w:rPr>
          <w:fldChar w:fldCharType="begin"/>
        </w:r>
        <w:r w:rsidRPr="00074679">
          <w:rPr>
            <w:rFonts w:ascii="Arial" w:hAnsi="Arial" w:cs="Arial"/>
            <w:sz w:val="20"/>
            <w:szCs w:val="20"/>
          </w:rPr>
          <w:instrText xml:space="preserve"> PAGE   \* MERGEFORMAT </w:instrText>
        </w:r>
        <w:r w:rsidRPr="00074679">
          <w:rPr>
            <w:rFonts w:ascii="Arial" w:hAnsi="Arial" w:cs="Arial"/>
            <w:sz w:val="20"/>
            <w:szCs w:val="20"/>
          </w:rPr>
          <w:fldChar w:fldCharType="separate"/>
        </w:r>
        <w:r>
          <w:rPr>
            <w:rFonts w:ascii="Arial" w:hAnsi="Arial" w:cs="Arial"/>
            <w:noProof/>
            <w:sz w:val="20"/>
            <w:szCs w:val="20"/>
          </w:rPr>
          <w:t>1</w:t>
        </w:r>
        <w:r w:rsidRPr="00074679">
          <w:rPr>
            <w:rFonts w:ascii="Arial" w:hAnsi="Arial" w:cs="Arial"/>
            <w:noProof/>
            <w:sz w:val="20"/>
            <w:szCs w:val="20"/>
          </w:rPr>
          <w:fldChar w:fldCharType="end"/>
        </w:r>
      </w:p>
    </w:sdtContent>
  </w:sdt>
  <w:p w14:paraId="49E4B8C2" w14:textId="03966163" w:rsidR="0025757D" w:rsidRPr="00A769B0" w:rsidRDefault="0025757D" w:rsidP="00A769B0">
    <w:pPr>
      <w:tabs>
        <w:tab w:val="left" w:pos="426"/>
        <w:tab w:val="center" w:pos="4513"/>
        <w:tab w:val="right" w:pos="9026"/>
      </w:tabs>
      <w:rPr>
        <w:rFonts w:ascii="Times New Roman" w:eastAsia="Calibri" w:hAnsi="Times New Roman"/>
        <w:sz w:val="18"/>
        <w:szCs w:val="18"/>
        <w:lang w:eastAsia="en-GB"/>
      </w:rPr>
    </w:pPr>
    <w:r w:rsidRPr="00A769B0">
      <w:rPr>
        <w:rFonts w:ascii="Times New Roman" w:eastAsia="Calibri" w:hAnsi="Times New Roman"/>
        <w:sz w:val="18"/>
        <w:szCs w:val="18"/>
        <w:lang w:eastAsia="en-GB"/>
      </w:rPr>
      <w:t>IAP00</w:t>
    </w:r>
    <w:r>
      <w:rPr>
        <w:rFonts w:ascii="Times New Roman" w:eastAsia="Calibri" w:hAnsi="Times New Roman"/>
        <w:sz w:val="18"/>
        <w:szCs w:val="18"/>
        <w:lang w:eastAsia="en-GB"/>
      </w:rPr>
      <w:t>119</w:t>
    </w:r>
    <w:r w:rsidRPr="00A769B0">
      <w:rPr>
        <w:rFonts w:ascii="Times New Roman" w:eastAsia="Calibri" w:hAnsi="Times New Roman"/>
        <w:sz w:val="18"/>
        <w:szCs w:val="18"/>
        <w:lang w:eastAsia="en-GB"/>
      </w:rPr>
      <w:t xml:space="preserve"> Supporting documentation</w:t>
    </w:r>
  </w:p>
  <w:p w14:paraId="6690C117" w14:textId="77777777" w:rsidR="0025757D" w:rsidRPr="00A769B0" w:rsidRDefault="0025757D" w:rsidP="00A769B0">
    <w:pPr>
      <w:tabs>
        <w:tab w:val="center" w:pos="4513"/>
        <w:tab w:val="right" w:pos="9026"/>
      </w:tabs>
      <w:rPr>
        <w:rFonts w:ascii="Times New Roman" w:eastAsia="Times New Roman" w:hAnsi="Times New Roman" w:cs="Times New Roman"/>
        <w:sz w:val="24"/>
        <w:szCs w:val="24"/>
        <w:lang w:eastAsia="en-GB"/>
      </w:rPr>
    </w:pPr>
    <w:r w:rsidRPr="00A769B0">
      <w:rPr>
        <w:rFonts w:ascii="Times New Roman" w:eastAsia="Calibri" w:hAnsi="Times New Roman"/>
        <w:sz w:val="18"/>
        <w:szCs w:val="18"/>
        <w:lang w:eastAsia="en-GB"/>
      </w:rPr>
      <w:t>Copyright © 2019 NHS Digital</w:t>
    </w:r>
  </w:p>
  <w:p w14:paraId="34600379" w14:textId="5A4C8EA8" w:rsidR="0025757D" w:rsidRDefault="0025757D" w:rsidP="00A769B0">
    <w:pPr>
      <w:pStyle w:val="Footer"/>
      <w:tabs>
        <w:tab w:val="clear" w:pos="4513"/>
        <w:tab w:val="clear" w:pos="9026"/>
        <w:tab w:val="left" w:pos="13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AE21" w14:textId="77777777" w:rsidR="0025757D" w:rsidRDefault="0025757D" w:rsidP="000C1C47">
      <w:r>
        <w:separator/>
      </w:r>
    </w:p>
  </w:footnote>
  <w:footnote w:type="continuationSeparator" w:id="0">
    <w:p w14:paraId="63638EE1" w14:textId="77777777" w:rsidR="0025757D" w:rsidRDefault="0025757D" w:rsidP="000C1C47">
      <w:r>
        <w:continuationSeparator/>
      </w:r>
    </w:p>
  </w:footnote>
  <w:footnote w:id="1">
    <w:p w14:paraId="69C2E3B9" w14:textId="77777777" w:rsidR="0025757D" w:rsidRPr="00046B1F" w:rsidRDefault="0025757D" w:rsidP="000C1C47">
      <w:pPr>
        <w:pStyle w:val="NormalWeb"/>
        <w:rPr>
          <w:rFonts w:asciiTheme="minorHAnsi" w:hAnsiTheme="minorHAnsi" w:cstheme="minorHAnsi"/>
          <w:sz w:val="18"/>
          <w:szCs w:val="18"/>
          <w:lang w:val="en"/>
        </w:rPr>
      </w:pPr>
      <w:r>
        <w:rPr>
          <w:rStyle w:val="FootnoteReference"/>
        </w:rPr>
        <w:footnoteRef/>
      </w:r>
      <w:r>
        <w:t xml:space="preserve"> </w:t>
      </w:r>
      <w:r w:rsidRPr="00046B1F">
        <w:rPr>
          <w:rFonts w:asciiTheme="minorHAnsi" w:hAnsiTheme="minorHAnsi" w:cstheme="minorHAnsi"/>
          <w:sz w:val="18"/>
          <w:szCs w:val="18"/>
          <w:lang w:val="en"/>
        </w:rPr>
        <w:t xml:space="preserve">The </w:t>
      </w:r>
      <w:r w:rsidRPr="00046B1F">
        <w:rPr>
          <w:rStyle w:val="Strong"/>
          <w:rFonts w:asciiTheme="minorHAnsi" w:hAnsiTheme="minorHAnsi" w:cstheme="minorHAnsi"/>
          <w:sz w:val="18"/>
          <w:szCs w:val="18"/>
          <w:lang w:val="en"/>
        </w:rPr>
        <w:t>Q</w:t>
      </w:r>
      <w:r w:rsidRPr="00046B1F">
        <w:rPr>
          <w:rFonts w:asciiTheme="minorHAnsi" w:hAnsiTheme="minorHAnsi" w:cstheme="minorHAnsi"/>
          <w:sz w:val="18"/>
          <w:szCs w:val="18"/>
          <w:lang w:val="en"/>
        </w:rPr>
        <w:t xml:space="preserve">uality and </w:t>
      </w:r>
      <w:r w:rsidRPr="00046B1F">
        <w:rPr>
          <w:rStyle w:val="Strong"/>
          <w:rFonts w:asciiTheme="minorHAnsi" w:hAnsiTheme="minorHAnsi" w:cstheme="minorHAnsi"/>
          <w:sz w:val="18"/>
          <w:szCs w:val="18"/>
          <w:lang w:val="en"/>
        </w:rPr>
        <w:t>O</w:t>
      </w:r>
      <w:r w:rsidRPr="00046B1F">
        <w:rPr>
          <w:rFonts w:asciiTheme="minorHAnsi" w:hAnsiTheme="minorHAnsi" w:cstheme="minorHAnsi"/>
          <w:sz w:val="18"/>
          <w:szCs w:val="18"/>
          <w:lang w:val="en"/>
        </w:rPr>
        <w:t xml:space="preserve">utcomes of person - centred Care Policy </w:t>
      </w:r>
      <w:r w:rsidRPr="00046B1F">
        <w:rPr>
          <w:rStyle w:val="Strong"/>
          <w:rFonts w:asciiTheme="minorHAnsi" w:hAnsiTheme="minorHAnsi" w:cstheme="minorHAnsi"/>
          <w:sz w:val="18"/>
          <w:szCs w:val="18"/>
          <w:lang w:val="en"/>
        </w:rPr>
        <w:t>R</w:t>
      </w:r>
      <w:r w:rsidRPr="00046B1F">
        <w:rPr>
          <w:rFonts w:asciiTheme="minorHAnsi" w:hAnsiTheme="minorHAnsi" w:cstheme="minorHAnsi"/>
          <w:sz w:val="18"/>
          <w:szCs w:val="18"/>
          <w:lang w:val="en"/>
        </w:rPr>
        <w:t>esearch Unit (</w:t>
      </w:r>
      <w:r w:rsidRPr="00046B1F">
        <w:rPr>
          <w:rStyle w:val="Strong"/>
          <w:rFonts w:asciiTheme="minorHAnsi" w:hAnsiTheme="minorHAnsi" w:cstheme="minorHAnsi"/>
          <w:sz w:val="18"/>
          <w:szCs w:val="18"/>
          <w:lang w:val="en"/>
        </w:rPr>
        <w:t>QORU)</w:t>
      </w:r>
      <w:r w:rsidRPr="00046B1F">
        <w:rPr>
          <w:rFonts w:asciiTheme="minorHAnsi" w:hAnsiTheme="minorHAnsi" w:cstheme="minorHAnsi"/>
          <w:sz w:val="18"/>
          <w:szCs w:val="18"/>
          <w:lang w:val="en"/>
        </w:rPr>
        <w:t xml:space="preserve"> is a collaboration involving researchers in health and social care from the Universities of Kent, Oxford and the London School of Economics and Political Science (LSE) and has been funded by the Department of Health in England from January 2011 to facilitate this strategy by developing and promoting the appropriate use of both quantitative and qualitative evidence of need, quality and outcomes in relation to long term health conditions to improve the quality of health and social care.</w:t>
      </w:r>
    </w:p>
    <w:p w14:paraId="74A72338" w14:textId="77777777" w:rsidR="0025757D" w:rsidRDefault="0025757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1525" w14:textId="77777777" w:rsidR="0025757D" w:rsidRDefault="0025757D" w:rsidP="00A769B0">
    <w:pPr>
      <w:pStyle w:val="Header"/>
      <w:ind w:left="-567"/>
      <w:jc w:val="center"/>
    </w:pPr>
    <w:bookmarkStart w:id="16" w:name="_Hlk35525075"/>
    <w:r w:rsidRPr="000A7EA0">
      <w:rPr>
        <w:rFonts w:eastAsia="Calibri" w:cs="Arial"/>
        <w:b/>
        <w:bCs/>
      </w:rPr>
      <w:t>NICE inherited this indicator and all its supporting documentation from NHS Digital on 1 April 2020</w:t>
    </w:r>
  </w:p>
  <w:bookmarkEnd w:id="16"/>
  <w:p w14:paraId="128578DF" w14:textId="77777777" w:rsidR="0025757D" w:rsidRDefault="0025757D" w:rsidP="000C1C47">
    <w:pPr>
      <w:pStyle w:val="Header"/>
      <w:ind w:left="-567"/>
    </w:pPr>
    <w:r>
      <w:pict w14:anchorId="691C13DE">
        <v:rect id="_x0000_i1025" style="width:0;height:1.5pt" o:hralign="center" o:hrstd="t" o:hr="t" fillcolor="#a0a0a0" stroked="f"/>
      </w:pict>
    </w:r>
  </w:p>
  <w:p w14:paraId="257AC21A" w14:textId="77777777" w:rsidR="0025757D" w:rsidRDefault="0025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0E3"/>
    <w:multiLevelType w:val="hybridMultilevel"/>
    <w:tmpl w:val="5CEE68E0"/>
    <w:lvl w:ilvl="0" w:tplc="98A464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A59"/>
    <w:multiLevelType w:val="hybridMultilevel"/>
    <w:tmpl w:val="7C10E1C0"/>
    <w:lvl w:ilvl="0" w:tplc="2970FCE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D04D0"/>
    <w:multiLevelType w:val="hybridMultilevel"/>
    <w:tmpl w:val="CF22E9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7C70AF"/>
    <w:multiLevelType w:val="hybridMultilevel"/>
    <w:tmpl w:val="F05A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41714"/>
    <w:multiLevelType w:val="hybridMultilevel"/>
    <w:tmpl w:val="D2581D74"/>
    <w:lvl w:ilvl="0" w:tplc="41A0FB2A">
      <w:start w:val="1"/>
      <w:numFmt w:val="decimal"/>
      <w:lvlText w:val="%1."/>
      <w:lvlJc w:val="left"/>
      <w:pPr>
        <w:ind w:left="76" w:hanging="360"/>
      </w:pPr>
      <w:rPr>
        <w:rFonts w:hint="default"/>
        <w:b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14302F08"/>
    <w:multiLevelType w:val="hybridMultilevel"/>
    <w:tmpl w:val="E90E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A308A"/>
    <w:multiLevelType w:val="hybridMultilevel"/>
    <w:tmpl w:val="CD56F288"/>
    <w:lvl w:ilvl="0" w:tplc="8AB816DE">
      <w:start w:val="1"/>
      <w:numFmt w:val="decimal"/>
      <w:lvlText w:val="%1."/>
      <w:lvlJc w:val="left"/>
      <w:pPr>
        <w:ind w:left="0" w:firstLine="0"/>
      </w:pPr>
      <w:rPr>
        <w:rFonts w:hint="default"/>
      </w:r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9" w15:restartNumberingAfterBreak="0">
    <w:nsid w:val="24A3367D"/>
    <w:multiLevelType w:val="hybridMultilevel"/>
    <w:tmpl w:val="7AAE09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C43986"/>
    <w:multiLevelType w:val="hybridMultilevel"/>
    <w:tmpl w:val="EC401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8A003B"/>
    <w:multiLevelType w:val="hybridMultilevel"/>
    <w:tmpl w:val="1F0C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60FA1"/>
    <w:multiLevelType w:val="hybridMultilevel"/>
    <w:tmpl w:val="EFCC0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B6255"/>
    <w:multiLevelType w:val="multilevel"/>
    <w:tmpl w:val="1D84B0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DD9772B"/>
    <w:multiLevelType w:val="hybridMultilevel"/>
    <w:tmpl w:val="1AF6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8537AB"/>
    <w:multiLevelType w:val="hybridMultilevel"/>
    <w:tmpl w:val="EEF27D8C"/>
    <w:lvl w:ilvl="0" w:tplc="E3B2B5AA">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0274B2"/>
    <w:multiLevelType w:val="hybridMultilevel"/>
    <w:tmpl w:val="85C8B8FA"/>
    <w:lvl w:ilvl="0" w:tplc="32FE9CAC">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94637"/>
    <w:multiLevelType w:val="hybridMultilevel"/>
    <w:tmpl w:val="B1A81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AA0164"/>
    <w:multiLevelType w:val="hybridMultilevel"/>
    <w:tmpl w:val="12E8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474BF"/>
    <w:multiLevelType w:val="hybridMultilevel"/>
    <w:tmpl w:val="27F082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A64453"/>
    <w:multiLevelType w:val="hybridMultilevel"/>
    <w:tmpl w:val="DE8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E32E9"/>
    <w:multiLevelType w:val="hybridMultilevel"/>
    <w:tmpl w:val="2F20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D6F28"/>
    <w:multiLevelType w:val="hybridMultilevel"/>
    <w:tmpl w:val="AD96C4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24E23E9E">
      <w:numFmt w:val="bullet"/>
      <w:lvlText w:val="•"/>
      <w:lvlJc w:val="left"/>
      <w:pPr>
        <w:ind w:left="3600" w:hanging="720"/>
      </w:pPr>
      <w:rPr>
        <w:rFonts w:ascii="Arial" w:eastAsia="Times New Roman" w:hAnsi="Arial"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0F491D"/>
    <w:multiLevelType w:val="multilevel"/>
    <w:tmpl w:val="851AA3D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DF2528F"/>
    <w:multiLevelType w:val="hybridMultilevel"/>
    <w:tmpl w:val="0F1AD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DA41DE"/>
    <w:multiLevelType w:val="hybridMultilevel"/>
    <w:tmpl w:val="44F01312"/>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27"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00A10A5"/>
    <w:multiLevelType w:val="hybridMultilevel"/>
    <w:tmpl w:val="9280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4370B"/>
    <w:multiLevelType w:val="hybridMultilevel"/>
    <w:tmpl w:val="F4B670EC"/>
    <w:lvl w:ilvl="0" w:tplc="7844572E">
      <w:start w:val="1"/>
      <w:numFmt w:val="decimal"/>
      <w:lvlText w:val="%1."/>
      <w:lvlJc w:val="left"/>
      <w:pPr>
        <w:ind w:left="360" w:hanging="360"/>
      </w:pPr>
      <w:rPr>
        <w:b w:val="0"/>
      </w:rPr>
    </w:lvl>
    <w:lvl w:ilvl="1" w:tplc="08090019">
      <w:start w:val="1"/>
      <w:numFmt w:val="lowerLetter"/>
      <w:lvlText w:val="%2."/>
      <w:lvlJc w:val="left"/>
      <w:pPr>
        <w:ind w:left="751"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D32F7B"/>
    <w:multiLevelType w:val="hybridMultilevel"/>
    <w:tmpl w:val="098A74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8043E0"/>
    <w:multiLevelType w:val="hybridMultilevel"/>
    <w:tmpl w:val="6BBA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D5A34"/>
    <w:multiLevelType w:val="hybridMultilevel"/>
    <w:tmpl w:val="D09455F6"/>
    <w:lvl w:ilvl="0" w:tplc="926E2EB0">
      <w:start w:val="1"/>
      <w:numFmt w:val="lowerLetter"/>
      <w:lvlText w:val="%1."/>
      <w:lvlJc w:val="left"/>
      <w:pPr>
        <w:ind w:left="360" w:hanging="360"/>
      </w:pPr>
      <w:rPr>
        <w:rFonts w:hint="default"/>
      </w:rPr>
    </w:lvl>
    <w:lvl w:ilvl="1" w:tplc="26B67B98">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A1281C"/>
    <w:multiLevelType w:val="hybridMultilevel"/>
    <w:tmpl w:val="C040E61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12"/>
  </w:num>
  <w:num w:numId="4">
    <w:abstractNumId w:val="7"/>
  </w:num>
  <w:num w:numId="5">
    <w:abstractNumId w:val="26"/>
  </w:num>
  <w:num w:numId="6">
    <w:abstractNumId w:val="1"/>
  </w:num>
  <w:num w:numId="7">
    <w:abstractNumId w:val="6"/>
  </w:num>
  <w:num w:numId="8">
    <w:abstractNumId w:val="28"/>
  </w:num>
  <w:num w:numId="9">
    <w:abstractNumId w:val="23"/>
  </w:num>
  <w:num w:numId="10">
    <w:abstractNumId w:val="20"/>
  </w:num>
  <w:num w:numId="11">
    <w:abstractNumId w:val="9"/>
  </w:num>
  <w:num w:numId="12">
    <w:abstractNumId w:val="3"/>
  </w:num>
  <w:num w:numId="13">
    <w:abstractNumId w:val="27"/>
  </w:num>
  <w:num w:numId="14">
    <w:abstractNumId w:val="4"/>
  </w:num>
  <w:num w:numId="15">
    <w:abstractNumId w:val="32"/>
  </w:num>
  <w:num w:numId="16">
    <w:abstractNumId w:val="15"/>
  </w:num>
  <w:num w:numId="17">
    <w:abstractNumId w:val="2"/>
  </w:num>
  <w:num w:numId="18">
    <w:abstractNumId w:val="24"/>
  </w:num>
  <w:num w:numId="19">
    <w:abstractNumId w:val="13"/>
  </w:num>
  <w:num w:numId="20">
    <w:abstractNumId w:val="19"/>
  </w:num>
  <w:num w:numId="21">
    <w:abstractNumId w:val="31"/>
  </w:num>
  <w:num w:numId="22">
    <w:abstractNumId w:val="21"/>
  </w:num>
  <w:num w:numId="23">
    <w:abstractNumId w:val="18"/>
  </w:num>
  <w:num w:numId="24">
    <w:abstractNumId w:val="25"/>
  </w:num>
  <w:num w:numId="25">
    <w:abstractNumId w:val="16"/>
  </w:num>
  <w:num w:numId="26">
    <w:abstractNumId w:val="30"/>
  </w:num>
  <w:num w:numId="27">
    <w:abstractNumId w:val="0"/>
  </w:num>
  <w:num w:numId="28">
    <w:abstractNumId w:val="17"/>
  </w:num>
  <w:num w:numId="29">
    <w:abstractNumId w:val="5"/>
  </w:num>
  <w:num w:numId="30">
    <w:abstractNumId w:val="10"/>
  </w:num>
  <w:num w:numId="31">
    <w:abstractNumId w:val="14"/>
  </w:num>
  <w:num w:numId="32">
    <w:abstractNumId w:val="11"/>
  </w:num>
  <w:num w:numId="33">
    <w:abstractNumId w:val="29"/>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565DE"/>
    <w:rsid w:val="00056700"/>
    <w:rsid w:val="00074EC7"/>
    <w:rsid w:val="000967BB"/>
    <w:rsid w:val="000C1C47"/>
    <w:rsid w:val="000C55A6"/>
    <w:rsid w:val="000E7CF2"/>
    <w:rsid w:val="001104B4"/>
    <w:rsid w:val="00123CCF"/>
    <w:rsid w:val="001426AB"/>
    <w:rsid w:val="00152B4F"/>
    <w:rsid w:val="00161977"/>
    <w:rsid w:val="00162A2B"/>
    <w:rsid w:val="0016748F"/>
    <w:rsid w:val="00173180"/>
    <w:rsid w:val="00180212"/>
    <w:rsid w:val="00196A84"/>
    <w:rsid w:val="001D0544"/>
    <w:rsid w:val="001E7780"/>
    <w:rsid w:val="00207A0F"/>
    <w:rsid w:val="0021591E"/>
    <w:rsid w:val="00230D71"/>
    <w:rsid w:val="002330DA"/>
    <w:rsid w:val="00245061"/>
    <w:rsid w:val="0025757D"/>
    <w:rsid w:val="00266A7E"/>
    <w:rsid w:val="002737D8"/>
    <w:rsid w:val="00286153"/>
    <w:rsid w:val="002B3D79"/>
    <w:rsid w:val="002D369C"/>
    <w:rsid w:val="002E14C9"/>
    <w:rsid w:val="002F0E49"/>
    <w:rsid w:val="003743EB"/>
    <w:rsid w:val="003964B8"/>
    <w:rsid w:val="003A5F69"/>
    <w:rsid w:val="003B54E3"/>
    <w:rsid w:val="003C5160"/>
    <w:rsid w:val="003E3368"/>
    <w:rsid w:val="003E5D8E"/>
    <w:rsid w:val="003F156D"/>
    <w:rsid w:val="00424AEC"/>
    <w:rsid w:val="00425414"/>
    <w:rsid w:val="00430392"/>
    <w:rsid w:val="0045057F"/>
    <w:rsid w:val="00450AC6"/>
    <w:rsid w:val="00457A3D"/>
    <w:rsid w:val="004B5178"/>
    <w:rsid w:val="004B6B6D"/>
    <w:rsid w:val="004C64BB"/>
    <w:rsid w:val="004D17AD"/>
    <w:rsid w:val="004F08DA"/>
    <w:rsid w:val="004F579E"/>
    <w:rsid w:val="00503EB2"/>
    <w:rsid w:val="00522B95"/>
    <w:rsid w:val="00527810"/>
    <w:rsid w:val="00550BE8"/>
    <w:rsid w:val="005C085F"/>
    <w:rsid w:val="005D1489"/>
    <w:rsid w:val="005E2311"/>
    <w:rsid w:val="005F36B2"/>
    <w:rsid w:val="00606204"/>
    <w:rsid w:val="00616F8F"/>
    <w:rsid w:val="006668FB"/>
    <w:rsid w:val="00677C5A"/>
    <w:rsid w:val="00692944"/>
    <w:rsid w:val="006A54FE"/>
    <w:rsid w:val="006E35E1"/>
    <w:rsid w:val="006F0E9F"/>
    <w:rsid w:val="006F5172"/>
    <w:rsid w:val="00715102"/>
    <w:rsid w:val="007235D1"/>
    <w:rsid w:val="00724B3F"/>
    <w:rsid w:val="00730C62"/>
    <w:rsid w:val="00741714"/>
    <w:rsid w:val="00763298"/>
    <w:rsid w:val="007763C6"/>
    <w:rsid w:val="00791F81"/>
    <w:rsid w:val="007939DD"/>
    <w:rsid w:val="007A744E"/>
    <w:rsid w:val="007D0CBE"/>
    <w:rsid w:val="007D2FFF"/>
    <w:rsid w:val="007D537B"/>
    <w:rsid w:val="007D5709"/>
    <w:rsid w:val="007E2565"/>
    <w:rsid w:val="007F070B"/>
    <w:rsid w:val="0081440F"/>
    <w:rsid w:val="008341CC"/>
    <w:rsid w:val="00840994"/>
    <w:rsid w:val="00840AC1"/>
    <w:rsid w:val="008855D8"/>
    <w:rsid w:val="008A4F7F"/>
    <w:rsid w:val="008D06F5"/>
    <w:rsid w:val="008D37A6"/>
    <w:rsid w:val="008D6F63"/>
    <w:rsid w:val="008F61E8"/>
    <w:rsid w:val="0092474D"/>
    <w:rsid w:val="009664C8"/>
    <w:rsid w:val="009752E7"/>
    <w:rsid w:val="00984012"/>
    <w:rsid w:val="009926C2"/>
    <w:rsid w:val="009C59E2"/>
    <w:rsid w:val="009E09DA"/>
    <w:rsid w:val="009E1F18"/>
    <w:rsid w:val="00A769B0"/>
    <w:rsid w:val="00A84449"/>
    <w:rsid w:val="00A8619F"/>
    <w:rsid w:val="00A9502E"/>
    <w:rsid w:val="00B11F46"/>
    <w:rsid w:val="00B37F63"/>
    <w:rsid w:val="00B53D31"/>
    <w:rsid w:val="00B63015"/>
    <w:rsid w:val="00B71059"/>
    <w:rsid w:val="00B83A61"/>
    <w:rsid w:val="00B863BC"/>
    <w:rsid w:val="00B94FE2"/>
    <w:rsid w:val="00B95FE7"/>
    <w:rsid w:val="00BC310E"/>
    <w:rsid w:val="00BC57E9"/>
    <w:rsid w:val="00BD69FE"/>
    <w:rsid w:val="00BD7D6B"/>
    <w:rsid w:val="00BE725D"/>
    <w:rsid w:val="00BF002A"/>
    <w:rsid w:val="00C046E4"/>
    <w:rsid w:val="00C36CDF"/>
    <w:rsid w:val="00C3717E"/>
    <w:rsid w:val="00C405E9"/>
    <w:rsid w:val="00C54BD2"/>
    <w:rsid w:val="00CB18A7"/>
    <w:rsid w:val="00CD0F59"/>
    <w:rsid w:val="00CD2320"/>
    <w:rsid w:val="00D04B0E"/>
    <w:rsid w:val="00D106AA"/>
    <w:rsid w:val="00D54ADF"/>
    <w:rsid w:val="00D706AB"/>
    <w:rsid w:val="00DA405D"/>
    <w:rsid w:val="00DC46F5"/>
    <w:rsid w:val="00DE0DD9"/>
    <w:rsid w:val="00DE572F"/>
    <w:rsid w:val="00DF3484"/>
    <w:rsid w:val="00E15152"/>
    <w:rsid w:val="00E31A14"/>
    <w:rsid w:val="00E34DEE"/>
    <w:rsid w:val="00E359E3"/>
    <w:rsid w:val="00E50163"/>
    <w:rsid w:val="00E55904"/>
    <w:rsid w:val="00EA105C"/>
    <w:rsid w:val="00F01683"/>
    <w:rsid w:val="00F236E1"/>
    <w:rsid w:val="00F34EDF"/>
    <w:rsid w:val="00F3578B"/>
    <w:rsid w:val="00F40BC5"/>
    <w:rsid w:val="00F47FBA"/>
    <w:rsid w:val="00F842B8"/>
    <w:rsid w:val="00F909B0"/>
    <w:rsid w:val="00F93088"/>
    <w:rsid w:val="00FA1F3C"/>
    <w:rsid w:val="00FA67EF"/>
    <w:rsid w:val="00FC7AC0"/>
    <w:rsid w:val="00FC7AD5"/>
    <w:rsid w:val="00FE4EB4"/>
    <w:rsid w:val="00F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4F"/>
  </w:style>
  <w:style w:type="paragraph" w:styleId="Heading1">
    <w:name w:val="heading 1"/>
    <w:basedOn w:val="Normal"/>
    <w:link w:val="Heading1Char1"/>
    <w:uiPriority w:val="9"/>
    <w:qFormat/>
    <w:rsid w:val="000C1C4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0C1C47"/>
    <w:pPr>
      <w:keepNext/>
      <w:keepLines/>
      <w:spacing w:before="200"/>
      <w:outlineLvl w:val="2"/>
    </w:pPr>
    <w:rPr>
      <w:rFonts w:asciiTheme="majorHAnsi" w:eastAsiaTheme="majorEastAsia" w:hAnsiTheme="majorHAnsi" w:cstheme="majorBidi"/>
      <w:b/>
      <w:bCs/>
      <w:color w:val="4F81BD" w:themeColor="accent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B95FE7"/>
    <w:rPr>
      <w:color w:val="808080"/>
    </w:rPr>
  </w:style>
  <w:style w:type="character" w:customStyle="1" w:styleId="Heading1Char">
    <w:name w:val="Heading 1 Char"/>
    <w:basedOn w:val="DefaultParagraphFont"/>
    <w:uiPriority w:val="9"/>
    <w:rsid w:val="000C1C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1C47"/>
    <w:rPr>
      <w:rFonts w:asciiTheme="majorHAnsi" w:eastAsiaTheme="majorEastAsia" w:hAnsiTheme="majorHAnsi" w:cstheme="majorBidi"/>
      <w:b/>
      <w:bCs/>
      <w:color w:val="4F81BD" w:themeColor="accent1"/>
      <w:sz w:val="24"/>
      <w:szCs w:val="24"/>
      <w:lang w:eastAsia="en-GB"/>
    </w:rPr>
  </w:style>
  <w:style w:type="character" w:customStyle="1" w:styleId="Heading1Char1">
    <w:name w:val="Heading 1 Char1"/>
    <w:link w:val="Heading1"/>
    <w:uiPriority w:val="9"/>
    <w:rsid w:val="000C1C47"/>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0C1C47"/>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0C1C4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1C47"/>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0C1C47"/>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C1C4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harCharCharCharCharCharCharCharCharCharChar">
    <w:name w:val="Char Char Char Char Char Char Char Char Char Char Char"/>
    <w:basedOn w:val="Normal"/>
    <w:rsid w:val="000C1C47"/>
    <w:pPr>
      <w:spacing w:after="120" w:line="240" w:lineRule="exact"/>
      <w:jc w:val="both"/>
    </w:pPr>
    <w:rPr>
      <w:rFonts w:ascii="Verdana" w:eastAsia="Times New Roman" w:hAnsi="Verdana" w:cs="Times New Roman"/>
      <w:sz w:val="20"/>
      <w:szCs w:val="20"/>
      <w:lang w:val="en-US"/>
    </w:rPr>
  </w:style>
  <w:style w:type="paragraph" w:customStyle="1" w:styleId="CharCharChar">
    <w:name w:val="Char Char Char"/>
    <w:basedOn w:val="Normal"/>
    <w:rsid w:val="000C1C47"/>
    <w:pPr>
      <w:spacing w:after="120" w:line="240" w:lineRule="exact"/>
      <w:jc w:val="both"/>
    </w:pPr>
    <w:rPr>
      <w:rFonts w:ascii="Verdana" w:eastAsia="Times New Roman" w:hAnsi="Verdana" w:cs="Times New Roman"/>
      <w:sz w:val="20"/>
      <w:szCs w:val="20"/>
      <w:lang w:val="en-US"/>
    </w:rPr>
  </w:style>
  <w:style w:type="paragraph" w:styleId="EndnoteText">
    <w:name w:val="endnote text"/>
    <w:basedOn w:val="Normal"/>
    <w:link w:val="EndnoteTextChar"/>
    <w:rsid w:val="000C1C47"/>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0C1C47"/>
    <w:rPr>
      <w:rFonts w:ascii="Times New Roman" w:eastAsia="Times New Roman" w:hAnsi="Times New Roman" w:cs="Times New Roman"/>
      <w:sz w:val="20"/>
      <w:szCs w:val="20"/>
      <w:lang w:eastAsia="en-GB"/>
    </w:rPr>
  </w:style>
  <w:style w:type="character" w:styleId="EndnoteReference">
    <w:name w:val="endnote reference"/>
    <w:rsid w:val="000C1C47"/>
    <w:rPr>
      <w:vertAlign w:val="superscript"/>
    </w:rPr>
  </w:style>
  <w:style w:type="table" w:customStyle="1" w:styleId="TableGrid1">
    <w:name w:val="Table Grid1"/>
    <w:basedOn w:val="TableNormal"/>
    <w:next w:val="TableGrid"/>
    <w:uiPriority w:val="59"/>
    <w:rsid w:val="000C1C47"/>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0C1C47"/>
    <w:rPr>
      <w:rFonts w:ascii="MetaHeadlineOT-Light" w:hAnsi="MetaHeadlineOT-Light" w:cs="MetaHeadlineOT-Light"/>
      <w:color w:val="221E1F"/>
      <w:sz w:val="13"/>
      <w:szCs w:val="13"/>
    </w:rPr>
  </w:style>
  <w:style w:type="paragraph" w:styleId="FootnoteText">
    <w:name w:val="footnote text"/>
    <w:basedOn w:val="Normal"/>
    <w:link w:val="FootnoteTextChar"/>
    <w:uiPriority w:val="99"/>
    <w:rsid w:val="000C1C47"/>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0C1C4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0C1C47"/>
    <w:rPr>
      <w:vertAlign w:val="superscript"/>
    </w:rPr>
  </w:style>
  <w:style w:type="character" w:styleId="Strong">
    <w:name w:val="Strong"/>
    <w:basedOn w:val="DefaultParagraphFont"/>
    <w:uiPriority w:val="22"/>
    <w:qFormat/>
    <w:rsid w:val="000C1C47"/>
    <w:rPr>
      <w:b/>
      <w:bCs/>
    </w:rPr>
  </w:style>
  <w:style w:type="table" w:customStyle="1" w:styleId="ListTable3-Accent111">
    <w:name w:val="List Table 3 - Accent 111"/>
    <w:basedOn w:val="TableNormal"/>
    <w:next w:val="ListTable3-Accent1"/>
    <w:uiPriority w:val="48"/>
    <w:rsid w:val="000C1C47"/>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GridTable4">
    <w:name w:val="Grid Table 4"/>
    <w:basedOn w:val="TableNormal"/>
    <w:uiPriority w:val="49"/>
    <w:rsid w:val="00B863B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2F0E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565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B54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E25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cimalAligned">
    <w:name w:val="Decimal Aligned"/>
    <w:basedOn w:val="Normal"/>
    <w:uiPriority w:val="40"/>
    <w:qFormat/>
    <w:rsid w:val="007D2FFF"/>
    <w:pPr>
      <w:tabs>
        <w:tab w:val="decimal" w:pos="360"/>
      </w:tabs>
      <w:spacing w:after="200" w:line="276" w:lineRule="auto"/>
    </w:pPr>
    <w:rPr>
      <w:rFonts w:asciiTheme="minorHAnsi" w:eastAsiaTheme="minorEastAsia" w:hAnsiTheme="minorHAnsi" w:cs="Times New Roman"/>
      <w:lang w:val="en-US"/>
    </w:rPr>
  </w:style>
  <w:style w:type="character" w:styleId="SubtleEmphasis">
    <w:name w:val="Subtle Emphasis"/>
    <w:basedOn w:val="DefaultParagraphFont"/>
    <w:uiPriority w:val="19"/>
    <w:qFormat/>
    <w:rsid w:val="007D2FFF"/>
    <w:rPr>
      <w:i/>
      <w:iCs/>
    </w:rPr>
  </w:style>
  <w:style w:type="table" w:styleId="LightShading-Accent1">
    <w:name w:val="Light Shading Accent 1"/>
    <w:basedOn w:val="TableNormal"/>
    <w:uiPriority w:val="60"/>
    <w:rsid w:val="007D2FFF"/>
    <w:rPr>
      <w:rFonts w:asciiTheme="minorHAnsi" w:eastAsiaTheme="minorEastAsia" w:hAnsiTheme="minorHAnsi" w:cstheme="minorBidi"/>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s.gov.uk/ons/publications/re-reference-tables.html?edition=tcm%3A77-331274" TargetMode="External"/><Relationship Id="rId13" Type="http://schemas.openxmlformats.org/officeDocument/2006/relationships/hyperlink" Target="http://www.ons.gov.uk/ons/rel/census/2011-census/detailed-characteristics-for-local-authorities-in-england-and-wales/rpt---unpaid-care.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cd.org/els/health-systems/4788486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roqo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patient.co.uk/results/download/_y6q2/y6w2_AnnualTechnical.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s.gov.uk/ons/rel/cancer-unit/cancer-survival-for-children-in-england/children-diagnosed-1990-2006-and-followed-upto-2011/stb---childhood-cancer-survival.html" TargetMode="External"/><Relationship Id="rId14" Type="http://schemas.openxmlformats.org/officeDocument/2006/relationships/hyperlink" Target="http://www.sheffield.ac.uk/schar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52C4A958204BE084F961563951FA0A"/>
        <w:category>
          <w:name w:val="General"/>
          <w:gallery w:val="placeholder"/>
        </w:category>
        <w:types>
          <w:type w:val="bbPlcHdr"/>
        </w:types>
        <w:behaviors>
          <w:behavior w:val="content"/>
        </w:behaviors>
        <w:guid w:val="{9432B654-9D73-4850-85AA-FE562ECB800B}"/>
      </w:docPartPr>
      <w:docPartBody>
        <w:p w:rsidR="009943A0" w:rsidRDefault="00317A7A" w:rsidP="00317A7A">
          <w:pPr>
            <w:pStyle w:val="4152C4A958204BE084F961563951FA0A"/>
          </w:pPr>
          <w:r w:rsidRPr="007C242A">
            <w:rPr>
              <w:rStyle w:val="PlaceholderText"/>
            </w:rPr>
            <w:t>Choose an item.</w:t>
          </w:r>
        </w:p>
      </w:docPartBody>
    </w:docPart>
    <w:docPart>
      <w:docPartPr>
        <w:name w:val="E006405BD3274EA684C9FCB26060F559"/>
        <w:category>
          <w:name w:val="General"/>
          <w:gallery w:val="placeholder"/>
        </w:category>
        <w:types>
          <w:type w:val="bbPlcHdr"/>
        </w:types>
        <w:behaviors>
          <w:behavior w:val="content"/>
        </w:behaviors>
        <w:guid w:val="{882B3539-0CA3-4139-B48B-2043F2B5E684}"/>
      </w:docPartPr>
      <w:docPartBody>
        <w:p w:rsidR="009943A0" w:rsidRDefault="00317A7A" w:rsidP="00317A7A">
          <w:pPr>
            <w:pStyle w:val="E006405BD3274EA684C9FCB26060F559"/>
          </w:pPr>
          <w:r w:rsidRPr="007C242A">
            <w:rPr>
              <w:rStyle w:val="PlaceholderText"/>
            </w:rPr>
            <w:t>Choose an item.</w:t>
          </w:r>
        </w:p>
      </w:docPartBody>
    </w:docPart>
    <w:docPart>
      <w:docPartPr>
        <w:name w:val="8303E9CDA84242BD8BA9A82BF37E8879"/>
        <w:category>
          <w:name w:val="General"/>
          <w:gallery w:val="placeholder"/>
        </w:category>
        <w:types>
          <w:type w:val="bbPlcHdr"/>
        </w:types>
        <w:behaviors>
          <w:behavior w:val="content"/>
        </w:behaviors>
        <w:guid w:val="{AB904131-DD5A-40CB-9CBB-DBCFE4DED5C6}"/>
      </w:docPartPr>
      <w:docPartBody>
        <w:p w:rsidR="009943A0" w:rsidRDefault="00317A7A" w:rsidP="00317A7A">
          <w:pPr>
            <w:pStyle w:val="8303E9CDA84242BD8BA9A82BF37E8879"/>
          </w:pPr>
          <w:r w:rsidRPr="007C242A">
            <w:rPr>
              <w:rStyle w:val="PlaceholderText"/>
            </w:rPr>
            <w:t>Choose an item.</w:t>
          </w:r>
        </w:p>
      </w:docPartBody>
    </w:docPart>
    <w:docPart>
      <w:docPartPr>
        <w:name w:val="29C27F5CB599422F9BBFD49333EC3C5C"/>
        <w:category>
          <w:name w:val="General"/>
          <w:gallery w:val="placeholder"/>
        </w:category>
        <w:types>
          <w:type w:val="bbPlcHdr"/>
        </w:types>
        <w:behaviors>
          <w:behavior w:val="content"/>
        </w:behaviors>
        <w:guid w:val="{FAE74479-FFF5-40FE-89A2-A9513ECE8F79}"/>
      </w:docPartPr>
      <w:docPartBody>
        <w:p w:rsidR="009943A0" w:rsidRDefault="00317A7A" w:rsidP="00317A7A">
          <w:pPr>
            <w:pStyle w:val="29C27F5CB599422F9BBFD49333EC3C5C"/>
          </w:pPr>
          <w:r w:rsidRPr="007C242A">
            <w:rPr>
              <w:rStyle w:val="PlaceholderText"/>
            </w:rPr>
            <w:t>Choose an item.</w:t>
          </w:r>
        </w:p>
      </w:docPartBody>
    </w:docPart>
    <w:docPart>
      <w:docPartPr>
        <w:name w:val="0D4C8E454DCA486AB8C1544FDA70FFAA"/>
        <w:category>
          <w:name w:val="General"/>
          <w:gallery w:val="placeholder"/>
        </w:category>
        <w:types>
          <w:type w:val="bbPlcHdr"/>
        </w:types>
        <w:behaviors>
          <w:behavior w:val="content"/>
        </w:behaviors>
        <w:guid w:val="{1323647E-E279-49A6-81B9-F8862227F195}"/>
      </w:docPartPr>
      <w:docPartBody>
        <w:p w:rsidR="009943A0" w:rsidRDefault="00317A7A" w:rsidP="00317A7A">
          <w:pPr>
            <w:pStyle w:val="0D4C8E454DCA486AB8C1544FDA70FFAA"/>
          </w:pPr>
          <w:r w:rsidRPr="007C242A">
            <w:rPr>
              <w:rStyle w:val="PlaceholderText"/>
            </w:rPr>
            <w:t>Choose an item.</w:t>
          </w:r>
        </w:p>
      </w:docPartBody>
    </w:docPart>
    <w:docPart>
      <w:docPartPr>
        <w:name w:val="88082D7F7B504049B1E5492905C9B9AC"/>
        <w:category>
          <w:name w:val="General"/>
          <w:gallery w:val="placeholder"/>
        </w:category>
        <w:types>
          <w:type w:val="bbPlcHdr"/>
        </w:types>
        <w:behaviors>
          <w:behavior w:val="content"/>
        </w:behaviors>
        <w:guid w:val="{0AAA68C7-1577-4D5F-A68D-431E8F2E3366}"/>
      </w:docPartPr>
      <w:docPartBody>
        <w:p w:rsidR="009943A0" w:rsidRDefault="00317A7A" w:rsidP="00317A7A">
          <w:pPr>
            <w:pStyle w:val="88082D7F7B504049B1E5492905C9B9AC"/>
          </w:pPr>
          <w:r w:rsidRPr="007C242A">
            <w:rPr>
              <w:rStyle w:val="PlaceholderText"/>
            </w:rPr>
            <w:t>Choose an item.</w:t>
          </w:r>
        </w:p>
      </w:docPartBody>
    </w:docPart>
    <w:docPart>
      <w:docPartPr>
        <w:name w:val="A46963B4008D4B4AA9EBA91135EEC7E3"/>
        <w:category>
          <w:name w:val="General"/>
          <w:gallery w:val="placeholder"/>
        </w:category>
        <w:types>
          <w:type w:val="bbPlcHdr"/>
        </w:types>
        <w:behaviors>
          <w:behavior w:val="content"/>
        </w:behaviors>
        <w:guid w:val="{596E54AB-8497-43FE-8E9B-2E3A12F6483C}"/>
      </w:docPartPr>
      <w:docPartBody>
        <w:p w:rsidR="009943A0" w:rsidRDefault="00317A7A" w:rsidP="00317A7A">
          <w:pPr>
            <w:pStyle w:val="A46963B4008D4B4AA9EBA91135EEC7E3"/>
          </w:pPr>
          <w:r w:rsidRPr="007C242A">
            <w:rPr>
              <w:rStyle w:val="PlaceholderText"/>
            </w:rPr>
            <w:t>Choose an item.</w:t>
          </w:r>
        </w:p>
      </w:docPartBody>
    </w:docPart>
    <w:docPart>
      <w:docPartPr>
        <w:name w:val="99B1FC20127D4083BDEC83D77BDDE3AB"/>
        <w:category>
          <w:name w:val="General"/>
          <w:gallery w:val="placeholder"/>
        </w:category>
        <w:types>
          <w:type w:val="bbPlcHdr"/>
        </w:types>
        <w:behaviors>
          <w:behavior w:val="content"/>
        </w:behaviors>
        <w:guid w:val="{50535AED-24BF-4D3C-9A39-16141FD68BD3}"/>
      </w:docPartPr>
      <w:docPartBody>
        <w:p w:rsidR="009943A0" w:rsidRDefault="00317A7A" w:rsidP="00317A7A">
          <w:pPr>
            <w:pStyle w:val="99B1FC20127D4083BDEC83D77BDDE3AB"/>
          </w:pPr>
          <w:r w:rsidRPr="007C242A">
            <w:rPr>
              <w:rStyle w:val="PlaceholderText"/>
            </w:rPr>
            <w:t>Choose an item.</w:t>
          </w:r>
        </w:p>
      </w:docPartBody>
    </w:docPart>
    <w:docPart>
      <w:docPartPr>
        <w:name w:val="2842022443F04532936D50B179FC2AFB"/>
        <w:category>
          <w:name w:val="General"/>
          <w:gallery w:val="placeholder"/>
        </w:category>
        <w:types>
          <w:type w:val="bbPlcHdr"/>
        </w:types>
        <w:behaviors>
          <w:behavior w:val="content"/>
        </w:behaviors>
        <w:guid w:val="{2F2937D5-8369-4175-AA38-E01DC439B8D6}"/>
      </w:docPartPr>
      <w:docPartBody>
        <w:p w:rsidR="009943A0" w:rsidRDefault="00317A7A" w:rsidP="00317A7A">
          <w:pPr>
            <w:pStyle w:val="2842022443F04532936D50B179FC2AFB"/>
          </w:pPr>
          <w:r w:rsidRPr="007C242A">
            <w:rPr>
              <w:rStyle w:val="PlaceholderText"/>
            </w:rPr>
            <w:t>Choose an item.</w:t>
          </w:r>
        </w:p>
      </w:docPartBody>
    </w:docPart>
    <w:docPart>
      <w:docPartPr>
        <w:name w:val="66C7BD7947D74755B39D6006836C10BC"/>
        <w:category>
          <w:name w:val="General"/>
          <w:gallery w:val="placeholder"/>
        </w:category>
        <w:types>
          <w:type w:val="bbPlcHdr"/>
        </w:types>
        <w:behaviors>
          <w:behavior w:val="content"/>
        </w:behaviors>
        <w:guid w:val="{A36B2B58-C99E-4B20-9D43-E32B8FA1BC26}"/>
      </w:docPartPr>
      <w:docPartBody>
        <w:p w:rsidR="009943A0" w:rsidRDefault="00317A7A" w:rsidP="00317A7A">
          <w:pPr>
            <w:pStyle w:val="66C7BD7947D74755B39D6006836C10BC"/>
          </w:pPr>
          <w:r w:rsidRPr="007C242A">
            <w:rPr>
              <w:rStyle w:val="PlaceholderText"/>
            </w:rPr>
            <w:t>Choose an item.</w:t>
          </w:r>
        </w:p>
      </w:docPartBody>
    </w:docPart>
    <w:docPart>
      <w:docPartPr>
        <w:name w:val="5926C753FE2544ED9E9503A6A6FC7402"/>
        <w:category>
          <w:name w:val="General"/>
          <w:gallery w:val="placeholder"/>
        </w:category>
        <w:types>
          <w:type w:val="bbPlcHdr"/>
        </w:types>
        <w:behaviors>
          <w:behavior w:val="content"/>
        </w:behaviors>
        <w:guid w:val="{8DC8793D-FB26-4D48-8598-5E6701DE8943}"/>
      </w:docPartPr>
      <w:docPartBody>
        <w:p w:rsidR="009943A0" w:rsidRDefault="00317A7A" w:rsidP="00317A7A">
          <w:pPr>
            <w:pStyle w:val="5926C753FE2544ED9E9503A6A6FC7402"/>
          </w:pPr>
          <w:r w:rsidRPr="007C242A">
            <w:rPr>
              <w:rStyle w:val="PlaceholderText"/>
            </w:rPr>
            <w:t>Choose an item.</w:t>
          </w:r>
        </w:p>
      </w:docPartBody>
    </w:docPart>
    <w:docPart>
      <w:docPartPr>
        <w:name w:val="926A872FF29C435CA3F91873864B3C71"/>
        <w:category>
          <w:name w:val="General"/>
          <w:gallery w:val="placeholder"/>
        </w:category>
        <w:types>
          <w:type w:val="bbPlcHdr"/>
        </w:types>
        <w:behaviors>
          <w:behavior w:val="content"/>
        </w:behaviors>
        <w:guid w:val="{ADA23FA5-E625-4449-AA34-21FA14EBE532}"/>
      </w:docPartPr>
      <w:docPartBody>
        <w:p w:rsidR="009943A0" w:rsidRDefault="00317A7A" w:rsidP="00317A7A">
          <w:pPr>
            <w:pStyle w:val="926A872FF29C435CA3F91873864B3C71"/>
          </w:pPr>
          <w:r w:rsidRPr="007C242A">
            <w:rPr>
              <w:rStyle w:val="PlaceholderText"/>
            </w:rPr>
            <w:t>Choose an item.</w:t>
          </w:r>
        </w:p>
      </w:docPartBody>
    </w:docPart>
    <w:docPart>
      <w:docPartPr>
        <w:name w:val="D9851708AAE6485EBF970DEEFAA7F7FD"/>
        <w:category>
          <w:name w:val="General"/>
          <w:gallery w:val="placeholder"/>
        </w:category>
        <w:types>
          <w:type w:val="bbPlcHdr"/>
        </w:types>
        <w:behaviors>
          <w:behavior w:val="content"/>
        </w:behaviors>
        <w:guid w:val="{22F4B506-9A61-4600-8321-E4E0B2233154}"/>
      </w:docPartPr>
      <w:docPartBody>
        <w:p w:rsidR="009943A0" w:rsidRDefault="00317A7A" w:rsidP="00317A7A">
          <w:pPr>
            <w:pStyle w:val="D9851708AAE6485EBF970DEEFAA7F7FD"/>
          </w:pPr>
          <w:r w:rsidRPr="00810581">
            <w:rPr>
              <w:rStyle w:val="PlaceholderText"/>
            </w:rPr>
            <w:t>Choose an item.</w:t>
          </w:r>
        </w:p>
      </w:docPartBody>
    </w:docPart>
    <w:docPart>
      <w:docPartPr>
        <w:name w:val="4301F4C1CDAA429B8C97E218F714EF1A"/>
        <w:category>
          <w:name w:val="General"/>
          <w:gallery w:val="placeholder"/>
        </w:category>
        <w:types>
          <w:type w:val="bbPlcHdr"/>
        </w:types>
        <w:behaviors>
          <w:behavior w:val="content"/>
        </w:behaviors>
        <w:guid w:val="{D9D72B85-A2B3-4245-ACF7-C68761D96D89}"/>
      </w:docPartPr>
      <w:docPartBody>
        <w:p w:rsidR="009943A0" w:rsidRDefault="00317A7A" w:rsidP="00317A7A">
          <w:pPr>
            <w:pStyle w:val="4301F4C1CDAA429B8C97E218F714EF1A"/>
          </w:pPr>
          <w:r w:rsidRPr="00810581">
            <w:rPr>
              <w:rStyle w:val="PlaceholderText"/>
            </w:rPr>
            <w:t>Choose an item.</w:t>
          </w:r>
        </w:p>
      </w:docPartBody>
    </w:docPart>
    <w:docPart>
      <w:docPartPr>
        <w:name w:val="77CC907E6C2B42079183E9517B95FC49"/>
        <w:category>
          <w:name w:val="General"/>
          <w:gallery w:val="placeholder"/>
        </w:category>
        <w:types>
          <w:type w:val="bbPlcHdr"/>
        </w:types>
        <w:behaviors>
          <w:behavior w:val="content"/>
        </w:behaviors>
        <w:guid w:val="{6BF9B0DA-456F-4164-AD72-DB884F4067D6}"/>
      </w:docPartPr>
      <w:docPartBody>
        <w:p w:rsidR="009943A0" w:rsidRDefault="00317A7A" w:rsidP="00317A7A">
          <w:pPr>
            <w:pStyle w:val="77CC907E6C2B42079183E9517B95FC49"/>
          </w:pPr>
          <w:r w:rsidRPr="008105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etaHeadlineOT-Light">
    <w:altName w:val="MetaHeadlineOT-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1C"/>
    <w:rsid w:val="00067F1C"/>
    <w:rsid w:val="00317A7A"/>
    <w:rsid w:val="00532C41"/>
    <w:rsid w:val="00994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A7A"/>
    <w:rPr>
      <w:color w:val="808080"/>
    </w:rPr>
  </w:style>
  <w:style w:type="paragraph" w:customStyle="1" w:styleId="0B221C665BED46748E416501F2002C28">
    <w:name w:val="0B221C665BED46748E416501F2002C28"/>
    <w:rsid w:val="00067F1C"/>
  </w:style>
  <w:style w:type="paragraph" w:customStyle="1" w:styleId="930EFA751AA64C46ACA6CBE1C06CDEE9">
    <w:name w:val="930EFA751AA64C46ACA6CBE1C06CDEE9"/>
    <w:rsid w:val="00067F1C"/>
  </w:style>
  <w:style w:type="paragraph" w:customStyle="1" w:styleId="BE0EC9A3CC93485A957B6A8E4E4AED9C">
    <w:name w:val="BE0EC9A3CC93485A957B6A8E4E4AED9C"/>
    <w:rsid w:val="00067F1C"/>
  </w:style>
  <w:style w:type="paragraph" w:customStyle="1" w:styleId="11D9ADCDF6714A3E96C1C98E610A0318">
    <w:name w:val="11D9ADCDF6714A3E96C1C98E610A0318"/>
    <w:rsid w:val="00067F1C"/>
  </w:style>
  <w:style w:type="paragraph" w:customStyle="1" w:styleId="7C5502177D324A38BFD7239A9E5A53C3">
    <w:name w:val="7C5502177D324A38BFD7239A9E5A53C3"/>
    <w:rsid w:val="00067F1C"/>
  </w:style>
  <w:style w:type="paragraph" w:customStyle="1" w:styleId="7FBE81558C884B269D8A68958BCD7284">
    <w:name w:val="7FBE81558C884B269D8A68958BCD7284"/>
    <w:rsid w:val="00067F1C"/>
  </w:style>
  <w:style w:type="paragraph" w:customStyle="1" w:styleId="1F02E724A5444B40B28875DFEA3B9058">
    <w:name w:val="1F02E724A5444B40B28875DFEA3B9058"/>
    <w:rsid w:val="00067F1C"/>
  </w:style>
  <w:style w:type="paragraph" w:customStyle="1" w:styleId="624F666A41AB49FA8BCF221788CB9F5A">
    <w:name w:val="624F666A41AB49FA8BCF221788CB9F5A"/>
    <w:rsid w:val="00067F1C"/>
  </w:style>
  <w:style w:type="paragraph" w:customStyle="1" w:styleId="6F546677A176405698E983F258753F6C">
    <w:name w:val="6F546677A176405698E983F258753F6C"/>
    <w:rsid w:val="00067F1C"/>
  </w:style>
  <w:style w:type="paragraph" w:customStyle="1" w:styleId="367E61B1F02C47898E62DF72D5F4452B">
    <w:name w:val="367E61B1F02C47898E62DF72D5F4452B"/>
    <w:rsid w:val="00067F1C"/>
  </w:style>
  <w:style w:type="paragraph" w:customStyle="1" w:styleId="AD97DEBBC3B54BEDAFDE77953EE3123E">
    <w:name w:val="AD97DEBBC3B54BEDAFDE77953EE3123E"/>
    <w:rsid w:val="00067F1C"/>
  </w:style>
  <w:style w:type="paragraph" w:customStyle="1" w:styleId="7DB75499A01340CBA7AF784039CBCEEF">
    <w:name w:val="7DB75499A01340CBA7AF784039CBCEEF"/>
    <w:rsid w:val="00067F1C"/>
  </w:style>
  <w:style w:type="paragraph" w:customStyle="1" w:styleId="059C3845E7EC4905937F771F79F56957">
    <w:name w:val="059C3845E7EC4905937F771F79F56957"/>
    <w:rsid w:val="00067F1C"/>
  </w:style>
  <w:style w:type="paragraph" w:customStyle="1" w:styleId="9E2DE703EDB14A6A921BCE8D47D3D25E">
    <w:name w:val="9E2DE703EDB14A6A921BCE8D47D3D25E"/>
    <w:rsid w:val="00067F1C"/>
  </w:style>
  <w:style w:type="paragraph" w:customStyle="1" w:styleId="10C26C9FBD7E41DFB20A27FD429612B7">
    <w:name w:val="10C26C9FBD7E41DFB20A27FD429612B7"/>
    <w:rsid w:val="00067F1C"/>
  </w:style>
  <w:style w:type="paragraph" w:customStyle="1" w:styleId="A07E32E9F81E4E31A27E7EDFCFDEDE8F">
    <w:name w:val="A07E32E9F81E4E31A27E7EDFCFDEDE8F"/>
    <w:rsid w:val="00067F1C"/>
  </w:style>
  <w:style w:type="paragraph" w:customStyle="1" w:styleId="CCE00948983B45E38FED132ECBD3F354">
    <w:name w:val="CCE00948983B45E38FED132ECBD3F354"/>
    <w:rsid w:val="00067F1C"/>
  </w:style>
  <w:style w:type="paragraph" w:customStyle="1" w:styleId="77FD359DDAAB4FCCA05E4B72F4683B14">
    <w:name w:val="77FD359DDAAB4FCCA05E4B72F4683B14"/>
    <w:rsid w:val="00067F1C"/>
  </w:style>
  <w:style w:type="paragraph" w:customStyle="1" w:styleId="928DE454AD794441A60C3CD7B2E9B77B">
    <w:name w:val="928DE454AD794441A60C3CD7B2E9B77B"/>
    <w:rsid w:val="00067F1C"/>
  </w:style>
  <w:style w:type="paragraph" w:customStyle="1" w:styleId="316C8BA00701404781A71A43C37FC6DF">
    <w:name w:val="316C8BA00701404781A71A43C37FC6DF"/>
    <w:rsid w:val="00067F1C"/>
  </w:style>
  <w:style w:type="paragraph" w:customStyle="1" w:styleId="F984F3DE30544B2BB3F3E21471212258">
    <w:name w:val="F984F3DE30544B2BB3F3E21471212258"/>
    <w:rsid w:val="00317A7A"/>
  </w:style>
  <w:style w:type="paragraph" w:customStyle="1" w:styleId="3E7A45B060524963A6B5CCBE8BAABB6E">
    <w:name w:val="3E7A45B060524963A6B5CCBE8BAABB6E"/>
    <w:rsid w:val="00317A7A"/>
  </w:style>
  <w:style w:type="paragraph" w:customStyle="1" w:styleId="6EBAB0A10FE24C84B5D02B3954E2B55B">
    <w:name w:val="6EBAB0A10FE24C84B5D02B3954E2B55B"/>
    <w:rsid w:val="00317A7A"/>
  </w:style>
  <w:style w:type="paragraph" w:customStyle="1" w:styleId="D25967AA5F6945CB93D71B1557583FCC">
    <w:name w:val="D25967AA5F6945CB93D71B1557583FCC"/>
    <w:rsid w:val="00317A7A"/>
  </w:style>
  <w:style w:type="paragraph" w:customStyle="1" w:styleId="E70B1208D5494453AF8FE1BBBB7E45BA">
    <w:name w:val="E70B1208D5494453AF8FE1BBBB7E45BA"/>
    <w:rsid w:val="00317A7A"/>
  </w:style>
  <w:style w:type="paragraph" w:customStyle="1" w:styleId="4152C4A958204BE084F961563951FA0A">
    <w:name w:val="4152C4A958204BE084F961563951FA0A"/>
    <w:rsid w:val="00317A7A"/>
  </w:style>
  <w:style w:type="paragraph" w:customStyle="1" w:styleId="E006405BD3274EA684C9FCB26060F559">
    <w:name w:val="E006405BD3274EA684C9FCB26060F559"/>
    <w:rsid w:val="00317A7A"/>
  </w:style>
  <w:style w:type="paragraph" w:customStyle="1" w:styleId="8303E9CDA84242BD8BA9A82BF37E8879">
    <w:name w:val="8303E9CDA84242BD8BA9A82BF37E8879"/>
    <w:rsid w:val="00317A7A"/>
  </w:style>
  <w:style w:type="paragraph" w:customStyle="1" w:styleId="29C27F5CB599422F9BBFD49333EC3C5C">
    <w:name w:val="29C27F5CB599422F9BBFD49333EC3C5C"/>
    <w:rsid w:val="00317A7A"/>
  </w:style>
  <w:style w:type="paragraph" w:customStyle="1" w:styleId="0D4C8E454DCA486AB8C1544FDA70FFAA">
    <w:name w:val="0D4C8E454DCA486AB8C1544FDA70FFAA"/>
    <w:rsid w:val="00317A7A"/>
  </w:style>
  <w:style w:type="paragraph" w:customStyle="1" w:styleId="88082D7F7B504049B1E5492905C9B9AC">
    <w:name w:val="88082D7F7B504049B1E5492905C9B9AC"/>
    <w:rsid w:val="00317A7A"/>
  </w:style>
  <w:style w:type="paragraph" w:customStyle="1" w:styleId="A46963B4008D4B4AA9EBA91135EEC7E3">
    <w:name w:val="A46963B4008D4B4AA9EBA91135EEC7E3"/>
    <w:rsid w:val="00317A7A"/>
  </w:style>
  <w:style w:type="paragraph" w:customStyle="1" w:styleId="CE19CC55DB0745A18ECD8D7BCDACBB4A">
    <w:name w:val="CE19CC55DB0745A18ECD8D7BCDACBB4A"/>
    <w:rsid w:val="00317A7A"/>
  </w:style>
  <w:style w:type="paragraph" w:customStyle="1" w:styleId="3CD5723C20B442FF995F6EE8A2D900C6">
    <w:name w:val="3CD5723C20B442FF995F6EE8A2D900C6"/>
    <w:rsid w:val="00317A7A"/>
  </w:style>
  <w:style w:type="paragraph" w:customStyle="1" w:styleId="651C458A99E14794AE2ABC6563C577A4">
    <w:name w:val="651C458A99E14794AE2ABC6563C577A4"/>
    <w:rsid w:val="00317A7A"/>
  </w:style>
  <w:style w:type="paragraph" w:customStyle="1" w:styleId="0192CB0B3FE740A2999AAAB75F1A1043">
    <w:name w:val="0192CB0B3FE740A2999AAAB75F1A1043"/>
    <w:rsid w:val="00317A7A"/>
  </w:style>
  <w:style w:type="paragraph" w:customStyle="1" w:styleId="1FA6D1A3327D4FE3BD312BBBBDF65456">
    <w:name w:val="1FA6D1A3327D4FE3BD312BBBBDF65456"/>
    <w:rsid w:val="00317A7A"/>
  </w:style>
  <w:style w:type="paragraph" w:customStyle="1" w:styleId="99B1FC20127D4083BDEC83D77BDDE3AB">
    <w:name w:val="99B1FC20127D4083BDEC83D77BDDE3AB"/>
    <w:rsid w:val="00317A7A"/>
  </w:style>
  <w:style w:type="paragraph" w:customStyle="1" w:styleId="2842022443F04532936D50B179FC2AFB">
    <w:name w:val="2842022443F04532936D50B179FC2AFB"/>
    <w:rsid w:val="00317A7A"/>
  </w:style>
  <w:style w:type="paragraph" w:customStyle="1" w:styleId="66C7BD7947D74755B39D6006836C10BC">
    <w:name w:val="66C7BD7947D74755B39D6006836C10BC"/>
    <w:rsid w:val="00317A7A"/>
  </w:style>
  <w:style w:type="paragraph" w:customStyle="1" w:styleId="5926C753FE2544ED9E9503A6A6FC7402">
    <w:name w:val="5926C753FE2544ED9E9503A6A6FC7402"/>
    <w:rsid w:val="00317A7A"/>
  </w:style>
  <w:style w:type="paragraph" w:customStyle="1" w:styleId="926A872FF29C435CA3F91873864B3C71">
    <w:name w:val="926A872FF29C435CA3F91873864B3C71"/>
    <w:rsid w:val="00317A7A"/>
  </w:style>
  <w:style w:type="paragraph" w:customStyle="1" w:styleId="7D07CFA24D1045F8AF0942F4BF0EE334">
    <w:name w:val="7D07CFA24D1045F8AF0942F4BF0EE334"/>
    <w:rsid w:val="00317A7A"/>
  </w:style>
  <w:style w:type="paragraph" w:customStyle="1" w:styleId="3BCFAE659A8D4A50935B2D343EF2F6A0">
    <w:name w:val="3BCFAE659A8D4A50935B2D343EF2F6A0"/>
    <w:rsid w:val="00317A7A"/>
  </w:style>
  <w:style w:type="paragraph" w:customStyle="1" w:styleId="E4B9F31E16A54AB3A3E2347378DA0780">
    <w:name w:val="E4B9F31E16A54AB3A3E2347378DA0780"/>
    <w:rsid w:val="00317A7A"/>
  </w:style>
  <w:style w:type="paragraph" w:customStyle="1" w:styleId="5FA219C2CDAB454B918E293DAA9716C8">
    <w:name w:val="5FA219C2CDAB454B918E293DAA9716C8"/>
    <w:rsid w:val="00317A7A"/>
  </w:style>
  <w:style w:type="paragraph" w:customStyle="1" w:styleId="2B979AB2472F434BBC8E83CD7C8A6915">
    <w:name w:val="2B979AB2472F434BBC8E83CD7C8A6915"/>
    <w:rsid w:val="00317A7A"/>
  </w:style>
  <w:style w:type="paragraph" w:customStyle="1" w:styleId="BDDE63CD17764E6F8CFE4885334B4EB2">
    <w:name w:val="BDDE63CD17764E6F8CFE4885334B4EB2"/>
    <w:rsid w:val="00317A7A"/>
  </w:style>
  <w:style w:type="paragraph" w:customStyle="1" w:styleId="D9851708AAE6485EBF970DEEFAA7F7FD">
    <w:name w:val="D9851708AAE6485EBF970DEEFAA7F7FD"/>
    <w:rsid w:val="00317A7A"/>
  </w:style>
  <w:style w:type="paragraph" w:customStyle="1" w:styleId="4301F4C1CDAA429B8C97E218F714EF1A">
    <w:name w:val="4301F4C1CDAA429B8C97E218F714EF1A"/>
    <w:rsid w:val="00317A7A"/>
  </w:style>
  <w:style w:type="paragraph" w:customStyle="1" w:styleId="77CC907E6C2B42079183E9517B95FC49">
    <w:name w:val="77CC907E6C2B42079183E9517B95FC49"/>
    <w:rsid w:val="00317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CECFF-67F2-4A4B-A96B-FA27A5DB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16855</Words>
  <Characters>96079</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2020-03-20T16:26:00Z</dcterms:created>
  <dcterms:modified xsi:type="dcterms:W3CDTF">2020-03-26T16:21:00Z</dcterms:modified>
</cp:coreProperties>
</file>