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0A8E0" w14:textId="77777777" w:rsidR="00850C17" w:rsidRPr="00F109A6" w:rsidRDefault="00850C17" w:rsidP="00850C17">
      <w:pPr>
        <w:jc w:val="center"/>
        <w:rPr>
          <w:b/>
          <w:bCs/>
          <w:sz w:val="28"/>
          <w:szCs w:val="28"/>
        </w:rPr>
      </w:pPr>
      <w:bookmarkStart w:id="0" w:name="_Hlk34653293"/>
      <w:r w:rsidRPr="00F109A6">
        <w:rPr>
          <w:b/>
          <w:bCs/>
          <w:sz w:val="28"/>
          <w:szCs w:val="28"/>
        </w:rPr>
        <w:t>NHS Digital</w:t>
      </w:r>
    </w:p>
    <w:p w14:paraId="45CB8F16" w14:textId="77777777" w:rsidR="00850C17" w:rsidRPr="00F109A6" w:rsidRDefault="00850C17" w:rsidP="00850C17">
      <w:pPr>
        <w:jc w:val="center"/>
        <w:rPr>
          <w:b/>
          <w:bCs/>
          <w:sz w:val="28"/>
          <w:szCs w:val="28"/>
        </w:rPr>
      </w:pPr>
      <w:r w:rsidRPr="00F109A6">
        <w:rPr>
          <w:b/>
          <w:bCs/>
          <w:sz w:val="28"/>
          <w:szCs w:val="28"/>
        </w:rPr>
        <w:t>Indicator Supporting Documentation</w:t>
      </w:r>
    </w:p>
    <w:p w14:paraId="04C0D561" w14:textId="77777777" w:rsidR="00395707" w:rsidRDefault="00850C17" w:rsidP="00850C17">
      <w:pPr>
        <w:jc w:val="center"/>
        <w:rPr>
          <w:b/>
          <w:bCs/>
          <w:sz w:val="28"/>
          <w:szCs w:val="28"/>
        </w:rPr>
      </w:pPr>
      <w:r w:rsidRPr="00F109A6">
        <w:rPr>
          <w:b/>
          <w:bCs/>
          <w:sz w:val="28"/>
          <w:szCs w:val="28"/>
        </w:rPr>
        <w:t>IAP00</w:t>
      </w:r>
      <w:r>
        <w:rPr>
          <w:b/>
          <w:bCs/>
          <w:sz w:val="28"/>
          <w:szCs w:val="28"/>
        </w:rPr>
        <w:t>017</w:t>
      </w:r>
      <w:bookmarkEnd w:id="0"/>
      <w:r w:rsidRPr="00850C17">
        <w:rPr>
          <w:b/>
          <w:bCs/>
          <w:sz w:val="28"/>
          <w:szCs w:val="28"/>
        </w:rPr>
        <w:t xml:space="preserve"> People with Serious Mental Illness (SMI) who have received complete list of physical checks</w:t>
      </w:r>
    </w:p>
    <w:p w14:paraId="6C367C3C" w14:textId="0A5637A6" w:rsidR="00772A5C" w:rsidRPr="0004789B" w:rsidRDefault="00772A5C" w:rsidP="00395707">
      <w:pPr>
        <w:rPr>
          <w:rFonts w:eastAsia="MS Mincho"/>
          <w:b/>
          <w:bCs/>
        </w:rPr>
      </w:pPr>
      <w:r w:rsidRPr="0004789B">
        <w:rPr>
          <w:rFonts w:eastAsia="MS Mincho"/>
          <w:b/>
          <w:bCs/>
        </w:rPr>
        <w:t>Application Form</w:t>
      </w:r>
    </w:p>
    <w:tbl>
      <w:tblPr>
        <w:tblStyle w:val="TableGrid"/>
        <w:tblW w:w="0" w:type="auto"/>
        <w:tblInd w:w="-147" w:type="dxa"/>
        <w:tblLayout w:type="fixed"/>
        <w:tblLook w:val="04A0" w:firstRow="1" w:lastRow="0" w:firstColumn="1" w:lastColumn="0" w:noHBand="0" w:noVBand="1"/>
      </w:tblPr>
      <w:tblGrid>
        <w:gridCol w:w="3261"/>
        <w:gridCol w:w="6740"/>
      </w:tblGrid>
      <w:tr w:rsidR="00395707" w14:paraId="07CF3887" w14:textId="77777777" w:rsidTr="00395707">
        <w:tc>
          <w:tcPr>
            <w:tcW w:w="3261" w:type="dxa"/>
          </w:tcPr>
          <w:p w14:paraId="12F6A532" w14:textId="04465F88" w:rsidR="00395707" w:rsidRDefault="00395707" w:rsidP="00395707">
            <w:pPr>
              <w:rPr>
                <w:rFonts w:eastAsia="MS Mincho"/>
                <w:b/>
                <w:bCs/>
                <w:sz w:val="28"/>
                <w:szCs w:val="28"/>
              </w:rPr>
            </w:pPr>
            <w:r w:rsidRPr="00850C17">
              <w:rPr>
                <w:b/>
                <w:sz w:val="22"/>
                <w:szCs w:val="22"/>
              </w:rPr>
              <w:t>Title</w:t>
            </w:r>
          </w:p>
        </w:tc>
        <w:tc>
          <w:tcPr>
            <w:tcW w:w="6740" w:type="dxa"/>
          </w:tcPr>
          <w:p w14:paraId="1B2C268A" w14:textId="5495BB6A" w:rsidR="00395707" w:rsidRPr="00A9244F" w:rsidRDefault="00A9244F" w:rsidP="00A9244F">
            <w:pPr>
              <w:rPr>
                <w:sz w:val="22"/>
                <w:szCs w:val="22"/>
              </w:rPr>
            </w:pPr>
            <w:r w:rsidRPr="00A9244F">
              <w:rPr>
                <w:sz w:val="22"/>
                <w:szCs w:val="22"/>
              </w:rPr>
              <w:t>People with Serious Mental Illness (SMI) who have received complete list of physical checks</w:t>
            </w:r>
            <w:bookmarkStart w:id="1" w:name="_GoBack"/>
            <w:bookmarkEnd w:id="1"/>
          </w:p>
        </w:tc>
      </w:tr>
      <w:tr w:rsidR="00395707" w14:paraId="707851C6" w14:textId="77777777" w:rsidTr="00395707">
        <w:tc>
          <w:tcPr>
            <w:tcW w:w="3261" w:type="dxa"/>
          </w:tcPr>
          <w:p w14:paraId="33B855F4" w14:textId="1ACB9171" w:rsidR="00395707" w:rsidRDefault="00395707" w:rsidP="00395707">
            <w:pPr>
              <w:rPr>
                <w:rFonts w:eastAsia="MS Mincho"/>
                <w:b/>
                <w:bCs/>
                <w:sz w:val="28"/>
                <w:szCs w:val="28"/>
              </w:rPr>
            </w:pPr>
            <w:r w:rsidRPr="00850C17">
              <w:rPr>
                <w:b/>
                <w:sz w:val="22"/>
                <w:szCs w:val="22"/>
              </w:rPr>
              <w:t>Set or domain</w:t>
            </w:r>
          </w:p>
        </w:tc>
        <w:tc>
          <w:tcPr>
            <w:tcW w:w="6740" w:type="dxa"/>
          </w:tcPr>
          <w:p w14:paraId="41C65359" w14:textId="0E9755E6" w:rsidR="00395707" w:rsidRDefault="00395707" w:rsidP="00395707">
            <w:pPr>
              <w:rPr>
                <w:rFonts w:eastAsia="MS Mincho"/>
                <w:b/>
                <w:bCs/>
                <w:sz w:val="28"/>
                <w:szCs w:val="28"/>
              </w:rPr>
            </w:pPr>
            <w:r w:rsidRPr="00850C17">
              <w:rPr>
                <w:sz w:val="22"/>
                <w:szCs w:val="22"/>
              </w:rPr>
              <w:t>CCG OIS 1.12</w:t>
            </w:r>
          </w:p>
        </w:tc>
      </w:tr>
      <w:tr w:rsidR="00395707" w14:paraId="65D333D6" w14:textId="77777777" w:rsidTr="00395707">
        <w:tc>
          <w:tcPr>
            <w:tcW w:w="3261" w:type="dxa"/>
          </w:tcPr>
          <w:p w14:paraId="4589F90E" w14:textId="00048FB4" w:rsidR="00395707" w:rsidRPr="00850C17" w:rsidRDefault="00395707" w:rsidP="00395707">
            <w:pPr>
              <w:rPr>
                <w:b/>
                <w:sz w:val="22"/>
                <w:szCs w:val="22"/>
              </w:rPr>
            </w:pPr>
            <w:r w:rsidRPr="00850C17">
              <w:rPr>
                <w:b/>
                <w:sz w:val="22"/>
                <w:szCs w:val="22"/>
              </w:rPr>
              <w:t>Topic area</w:t>
            </w:r>
          </w:p>
        </w:tc>
        <w:tc>
          <w:tcPr>
            <w:tcW w:w="6740" w:type="dxa"/>
          </w:tcPr>
          <w:p w14:paraId="59246F6B" w14:textId="4A0989E9" w:rsidR="00395707" w:rsidRPr="00850C17" w:rsidRDefault="00395707" w:rsidP="00395707">
            <w:pPr>
              <w:rPr>
                <w:sz w:val="22"/>
                <w:szCs w:val="22"/>
              </w:rPr>
            </w:pPr>
            <w:r w:rsidRPr="00850C17">
              <w:rPr>
                <w:sz w:val="22"/>
                <w:szCs w:val="22"/>
              </w:rPr>
              <w:t>Mental Health</w:t>
            </w:r>
          </w:p>
        </w:tc>
      </w:tr>
      <w:tr w:rsidR="00395707" w14:paraId="73F4A936" w14:textId="77777777" w:rsidTr="00395707">
        <w:tc>
          <w:tcPr>
            <w:tcW w:w="3261" w:type="dxa"/>
          </w:tcPr>
          <w:p w14:paraId="34F8C7AD" w14:textId="0C0C7508" w:rsidR="00395707" w:rsidRPr="00850C17" w:rsidRDefault="00395707" w:rsidP="00395707">
            <w:pPr>
              <w:rPr>
                <w:b/>
                <w:sz w:val="22"/>
                <w:szCs w:val="22"/>
              </w:rPr>
            </w:pPr>
            <w:r w:rsidRPr="00850C17">
              <w:rPr>
                <w:b/>
                <w:sz w:val="22"/>
                <w:szCs w:val="22"/>
              </w:rPr>
              <w:t>Definition</w:t>
            </w:r>
          </w:p>
        </w:tc>
        <w:tc>
          <w:tcPr>
            <w:tcW w:w="6740" w:type="dxa"/>
          </w:tcPr>
          <w:p w14:paraId="54F2637C" w14:textId="77777777" w:rsidR="00395707" w:rsidRPr="00850C17" w:rsidRDefault="00395707" w:rsidP="00395707">
            <w:pPr>
              <w:spacing w:before="240"/>
              <w:rPr>
                <w:sz w:val="22"/>
                <w:szCs w:val="22"/>
              </w:rPr>
            </w:pPr>
            <w:r w:rsidRPr="00850C17">
              <w:rPr>
                <w:sz w:val="22"/>
                <w:szCs w:val="22"/>
              </w:rPr>
              <w:t>This indicator provides a CCG- and National-level percentage of patients diagnosed with Serious Mental Illness (SMI)  (schizophrenia, bipolar affective disorder and other psychoses) who have received a complete list of physical checks (i.e. record of BMI, blood pressure, ratio of total cholesterol:hdl, blood glucose or HbA1c, alcohol consumption and smoking status.)</w:t>
            </w:r>
          </w:p>
          <w:p w14:paraId="71DF72FF" w14:textId="77777777" w:rsidR="00395707" w:rsidRPr="00850C17" w:rsidRDefault="00395707" w:rsidP="00395707">
            <w:pPr>
              <w:spacing w:before="240"/>
              <w:rPr>
                <w:sz w:val="22"/>
                <w:szCs w:val="22"/>
              </w:rPr>
            </w:pPr>
            <w:r w:rsidRPr="00850C17">
              <w:rPr>
                <w:sz w:val="22"/>
                <w:szCs w:val="22"/>
              </w:rPr>
              <w:t>This indicator only refers to primary care. If patients with SMI are in long term, institutional care and are not on a GP list, they are excluded from this indicator.</w:t>
            </w:r>
          </w:p>
          <w:p w14:paraId="244B9082" w14:textId="77777777" w:rsidR="00395707" w:rsidRPr="00850C17" w:rsidRDefault="00395707" w:rsidP="00395707">
            <w:pPr>
              <w:spacing w:before="240"/>
              <w:rPr>
                <w:sz w:val="22"/>
                <w:szCs w:val="22"/>
              </w:rPr>
            </w:pPr>
            <w:r w:rsidRPr="00850C17">
              <w:rPr>
                <w:sz w:val="22"/>
                <w:szCs w:val="22"/>
              </w:rPr>
              <w:t>If patients with SMI are in long term, institutional care and are on a GP list, they are counted for this indicator according to their electronic health record at the general practice. This may show they have an SMI, so they are included in the denominator, but will not have the results of tests so are not included in the numerator (even if they have had the tests elsewhere).</w:t>
            </w:r>
          </w:p>
          <w:p w14:paraId="47110B8B" w14:textId="01F3860D" w:rsidR="00395707" w:rsidRPr="00850C17" w:rsidRDefault="00395707" w:rsidP="00395707">
            <w:pPr>
              <w:rPr>
                <w:sz w:val="22"/>
                <w:szCs w:val="22"/>
              </w:rPr>
            </w:pPr>
            <w:r w:rsidRPr="00850C17">
              <w:rPr>
                <w:sz w:val="22"/>
                <w:szCs w:val="22"/>
              </w:rPr>
              <w:t>This indicator has been developed to measure the effectiveness of the provision of a clinical care component for patients with a specific set of defined mental health problems. The aspect that is being measured is that relating to receiving a complete list of physical checks appropriate to their age and condition.</w:t>
            </w:r>
          </w:p>
        </w:tc>
      </w:tr>
      <w:tr w:rsidR="00395707" w14:paraId="44C30AE9" w14:textId="77777777" w:rsidTr="00395707">
        <w:tc>
          <w:tcPr>
            <w:tcW w:w="3261" w:type="dxa"/>
          </w:tcPr>
          <w:p w14:paraId="3C7E1FFE" w14:textId="09866537" w:rsidR="00395707" w:rsidRPr="00850C17" w:rsidRDefault="00395707" w:rsidP="00395707">
            <w:pPr>
              <w:rPr>
                <w:b/>
                <w:sz w:val="22"/>
                <w:szCs w:val="22"/>
              </w:rPr>
            </w:pPr>
            <w:r w:rsidRPr="00850C17">
              <w:rPr>
                <w:b/>
                <w:sz w:val="22"/>
                <w:szCs w:val="22"/>
              </w:rPr>
              <w:t>Indicator owner &amp; contact details</w:t>
            </w:r>
          </w:p>
        </w:tc>
        <w:tc>
          <w:tcPr>
            <w:tcW w:w="6740" w:type="dxa"/>
          </w:tcPr>
          <w:p w14:paraId="4D9E161C" w14:textId="77777777" w:rsidR="00395707" w:rsidRPr="00850C17" w:rsidRDefault="00395707" w:rsidP="00395707">
            <w:pPr>
              <w:spacing w:before="240"/>
              <w:rPr>
                <w:sz w:val="22"/>
                <w:szCs w:val="22"/>
              </w:rPr>
            </w:pPr>
          </w:p>
        </w:tc>
      </w:tr>
      <w:tr w:rsidR="00395707" w14:paraId="37897465" w14:textId="77777777" w:rsidTr="00395707">
        <w:tc>
          <w:tcPr>
            <w:tcW w:w="3261" w:type="dxa"/>
          </w:tcPr>
          <w:p w14:paraId="1600C894" w14:textId="1C42BFE3" w:rsidR="00395707" w:rsidRPr="00850C17" w:rsidRDefault="00395707" w:rsidP="00395707">
            <w:pPr>
              <w:rPr>
                <w:b/>
                <w:sz w:val="22"/>
                <w:szCs w:val="22"/>
              </w:rPr>
            </w:pPr>
            <w:r>
              <w:rPr>
                <w:b/>
                <w:sz w:val="22"/>
                <w:szCs w:val="22"/>
              </w:rPr>
              <w:t>Publication status</w:t>
            </w:r>
          </w:p>
        </w:tc>
        <w:tc>
          <w:tcPr>
            <w:tcW w:w="6740" w:type="dxa"/>
          </w:tcPr>
          <w:p w14:paraId="371B90A9" w14:textId="06058BA4" w:rsidR="00395707" w:rsidRPr="00850C17" w:rsidRDefault="00395707" w:rsidP="00395707">
            <w:pPr>
              <w:spacing w:before="240"/>
              <w:rPr>
                <w:sz w:val="22"/>
                <w:szCs w:val="22"/>
              </w:rPr>
            </w:pPr>
          </w:p>
        </w:tc>
      </w:tr>
      <w:tr w:rsidR="00395707" w14:paraId="4C757E1C" w14:textId="77777777" w:rsidTr="00395707">
        <w:tc>
          <w:tcPr>
            <w:tcW w:w="3261" w:type="dxa"/>
          </w:tcPr>
          <w:p w14:paraId="1BC5CCF2" w14:textId="3E17085A" w:rsidR="00395707" w:rsidRPr="00850C17" w:rsidRDefault="00395707" w:rsidP="00395707">
            <w:pPr>
              <w:rPr>
                <w:b/>
                <w:sz w:val="22"/>
                <w:szCs w:val="22"/>
              </w:rPr>
            </w:pPr>
            <w:r w:rsidRPr="00850C17">
              <w:rPr>
                <w:b/>
                <w:sz w:val="22"/>
                <w:szCs w:val="22"/>
              </w:rPr>
              <w:t>Purpose</w:t>
            </w:r>
          </w:p>
        </w:tc>
        <w:tc>
          <w:tcPr>
            <w:tcW w:w="6740" w:type="dxa"/>
          </w:tcPr>
          <w:p w14:paraId="14A83001" w14:textId="77777777" w:rsidR="00395707" w:rsidRPr="00850C17" w:rsidRDefault="00395707" w:rsidP="00395707">
            <w:pPr>
              <w:spacing w:before="240"/>
              <w:rPr>
                <w:sz w:val="22"/>
                <w:szCs w:val="22"/>
              </w:rPr>
            </w:pPr>
            <w:r w:rsidRPr="00850C17">
              <w:rPr>
                <w:sz w:val="22"/>
                <w:szCs w:val="22"/>
              </w:rPr>
              <w:t>This indicator is intended to help inform decisions by CCGs about how best to deploy physical health checks for their SMI populations.</w:t>
            </w:r>
          </w:p>
          <w:p w14:paraId="0E5420A8" w14:textId="0A1B73D3" w:rsidR="00395707" w:rsidRPr="00850C17" w:rsidRDefault="00395707" w:rsidP="00395707">
            <w:pPr>
              <w:spacing w:before="240"/>
              <w:rPr>
                <w:sz w:val="22"/>
                <w:szCs w:val="22"/>
              </w:rPr>
            </w:pPr>
            <w:r w:rsidRPr="00850C17">
              <w:rPr>
                <w:sz w:val="22"/>
                <w:szCs w:val="22"/>
              </w:rPr>
              <w:t>There is a wealth of evidence that those with serious mental illness are generally less healthy than the rest of the population and that poor mental health fosters a decline in physical health. Ensuring those with SMI diagnoses undergo thorough regular physical health checks is essential in ensuring the increased risks of physical health-deterioration are mitigated.</w:t>
            </w:r>
          </w:p>
        </w:tc>
      </w:tr>
      <w:tr w:rsidR="00395707" w14:paraId="1A38A84C" w14:textId="77777777" w:rsidTr="00395707">
        <w:tc>
          <w:tcPr>
            <w:tcW w:w="3261" w:type="dxa"/>
          </w:tcPr>
          <w:p w14:paraId="704B48D5" w14:textId="0A9D1CEA" w:rsidR="00395707" w:rsidRPr="00850C17" w:rsidRDefault="00395707" w:rsidP="00395707">
            <w:pPr>
              <w:rPr>
                <w:b/>
                <w:sz w:val="22"/>
                <w:szCs w:val="22"/>
              </w:rPr>
            </w:pPr>
            <w:r w:rsidRPr="00850C17">
              <w:rPr>
                <w:b/>
                <w:sz w:val="22"/>
                <w:szCs w:val="22"/>
              </w:rPr>
              <w:t>Sponsor</w:t>
            </w:r>
          </w:p>
        </w:tc>
        <w:tc>
          <w:tcPr>
            <w:tcW w:w="6740" w:type="dxa"/>
          </w:tcPr>
          <w:p w14:paraId="133603B3" w14:textId="77777777" w:rsidR="00395707" w:rsidRPr="00850C17" w:rsidRDefault="00395707" w:rsidP="00395707">
            <w:pPr>
              <w:spacing w:before="240"/>
              <w:rPr>
                <w:sz w:val="22"/>
                <w:szCs w:val="22"/>
              </w:rPr>
            </w:pPr>
          </w:p>
        </w:tc>
      </w:tr>
      <w:tr w:rsidR="00395707" w14:paraId="17045016" w14:textId="77777777" w:rsidTr="00395707">
        <w:tc>
          <w:tcPr>
            <w:tcW w:w="3261" w:type="dxa"/>
          </w:tcPr>
          <w:p w14:paraId="1304F127" w14:textId="1B812CEB" w:rsidR="00395707" w:rsidRPr="00850C17" w:rsidRDefault="00395707" w:rsidP="00395707">
            <w:pPr>
              <w:rPr>
                <w:b/>
                <w:sz w:val="22"/>
                <w:szCs w:val="22"/>
              </w:rPr>
            </w:pPr>
            <w:r w:rsidRPr="00850C17">
              <w:rPr>
                <w:b/>
                <w:sz w:val="22"/>
                <w:szCs w:val="22"/>
              </w:rPr>
              <w:t>Endorsement</w:t>
            </w:r>
          </w:p>
        </w:tc>
        <w:tc>
          <w:tcPr>
            <w:tcW w:w="6740" w:type="dxa"/>
          </w:tcPr>
          <w:p w14:paraId="3FA423F5" w14:textId="77777777" w:rsidR="00395707" w:rsidRPr="00850C17" w:rsidRDefault="00395707" w:rsidP="00395707">
            <w:pPr>
              <w:spacing w:before="240"/>
              <w:rPr>
                <w:sz w:val="22"/>
                <w:szCs w:val="22"/>
              </w:rPr>
            </w:pPr>
          </w:p>
        </w:tc>
      </w:tr>
      <w:tr w:rsidR="00395707" w14:paraId="3BC01D55" w14:textId="77777777" w:rsidTr="00395707">
        <w:tc>
          <w:tcPr>
            <w:tcW w:w="3261" w:type="dxa"/>
          </w:tcPr>
          <w:p w14:paraId="543207AA" w14:textId="77777777" w:rsidR="00395707" w:rsidRPr="00850C17" w:rsidRDefault="00395707" w:rsidP="00395707">
            <w:pPr>
              <w:spacing w:before="240"/>
              <w:rPr>
                <w:b/>
                <w:sz w:val="22"/>
                <w:szCs w:val="22"/>
              </w:rPr>
            </w:pPr>
            <w:r w:rsidRPr="00850C17">
              <w:rPr>
                <w:b/>
                <w:sz w:val="22"/>
                <w:szCs w:val="22"/>
              </w:rPr>
              <w:t>Evidence and Policy base</w:t>
            </w:r>
          </w:p>
          <w:p w14:paraId="23D768A2" w14:textId="1E5CF108" w:rsidR="00395707" w:rsidRPr="00850C17" w:rsidRDefault="00395707" w:rsidP="00395707">
            <w:pPr>
              <w:rPr>
                <w:b/>
                <w:sz w:val="22"/>
                <w:szCs w:val="22"/>
              </w:rPr>
            </w:pPr>
            <w:r w:rsidRPr="00850C17">
              <w:rPr>
                <w:sz w:val="22"/>
                <w:szCs w:val="22"/>
              </w:rPr>
              <w:t>Including related national incentives, critical business question, NICE quality standard and set or domain rationale, if appropriate</w:t>
            </w:r>
          </w:p>
        </w:tc>
        <w:tc>
          <w:tcPr>
            <w:tcW w:w="6740" w:type="dxa"/>
          </w:tcPr>
          <w:p w14:paraId="6E978570" w14:textId="77777777" w:rsidR="00395707" w:rsidRPr="00850C17" w:rsidRDefault="00395707" w:rsidP="00395707">
            <w:pPr>
              <w:spacing w:before="240"/>
              <w:rPr>
                <w:sz w:val="22"/>
                <w:szCs w:val="22"/>
              </w:rPr>
            </w:pPr>
            <w:r w:rsidRPr="00850C17">
              <w:rPr>
                <w:sz w:val="22"/>
                <w:szCs w:val="22"/>
              </w:rPr>
              <w:t>This indicator is intended to ensure adherence to NICE Clinical Guideline 178 (CG178) recommendation 1.5.3.2 (indicator was previously supporting CG82, rec 1.1.4.1).</w:t>
            </w:r>
          </w:p>
          <w:p w14:paraId="45E7091B" w14:textId="77777777" w:rsidR="00395707" w:rsidRPr="00850C17" w:rsidRDefault="00395707" w:rsidP="00395707">
            <w:pPr>
              <w:spacing w:before="240"/>
              <w:rPr>
                <w:i/>
                <w:sz w:val="22"/>
                <w:szCs w:val="22"/>
              </w:rPr>
            </w:pPr>
            <w:r w:rsidRPr="00850C17">
              <w:rPr>
                <w:sz w:val="22"/>
                <w:szCs w:val="22"/>
              </w:rPr>
              <w:t>Recommendation 1.5.3.2 states:</w:t>
            </w:r>
            <w:r w:rsidRPr="00850C17">
              <w:rPr>
                <w:sz w:val="22"/>
                <w:szCs w:val="22"/>
              </w:rPr>
              <w:br/>
            </w:r>
            <w:r w:rsidRPr="00850C17">
              <w:rPr>
                <w:i/>
                <w:sz w:val="22"/>
                <w:szCs w:val="22"/>
              </w:rPr>
              <w:t>GPs and other primary healthcare professionals should monitor the physical health of people with psychosis or schizophrenia when responsibility for monitoring is transferred from secondary care, and then at least annually. The health check should be comprehensive, focusing on physical health problems that are common in people with psychosis and schizophrenia. Include all the checks recommended in 1.3.6.1 and refer to relevant NICE guidance on monitoring for cardiovascular disease, diabetes, obesity and respiratory disease. A copy of the results should be sent to the care coordinator and psychiatrist and put in the secondary care notes.</w:t>
            </w:r>
          </w:p>
          <w:p w14:paraId="4B552E8B" w14:textId="77777777" w:rsidR="00395707" w:rsidRPr="00850C17" w:rsidRDefault="00395707" w:rsidP="00395707">
            <w:pPr>
              <w:spacing w:before="240"/>
              <w:rPr>
                <w:i/>
                <w:sz w:val="22"/>
                <w:szCs w:val="22"/>
              </w:rPr>
            </w:pPr>
          </w:p>
          <w:p w14:paraId="19D5D7AF" w14:textId="1DE76D41" w:rsidR="00395707" w:rsidRPr="00850C17" w:rsidRDefault="00395707" w:rsidP="00395707">
            <w:pPr>
              <w:spacing w:before="240"/>
              <w:rPr>
                <w:sz w:val="22"/>
                <w:szCs w:val="22"/>
              </w:rPr>
            </w:pPr>
            <w:r w:rsidRPr="00850C17">
              <w:rPr>
                <w:sz w:val="22"/>
                <w:szCs w:val="22"/>
              </w:rPr>
              <w:t>This indicator also supports some of the goals of NICE Quality Standard 80 (QS80) Quality Statement 6 – Assessing Physical Health. Although this Quality Statement is explicitly supported by CQUIN indicator 1.</w:t>
            </w:r>
          </w:p>
        </w:tc>
      </w:tr>
      <w:tr w:rsidR="00395707" w14:paraId="415E2CD7" w14:textId="77777777" w:rsidTr="00395707">
        <w:tc>
          <w:tcPr>
            <w:tcW w:w="3261" w:type="dxa"/>
          </w:tcPr>
          <w:p w14:paraId="7B53D7BE" w14:textId="76BAA531" w:rsidR="00395707" w:rsidRPr="00850C17" w:rsidRDefault="00395707" w:rsidP="00395707">
            <w:pPr>
              <w:spacing w:before="240"/>
              <w:rPr>
                <w:b/>
                <w:sz w:val="22"/>
                <w:szCs w:val="22"/>
              </w:rPr>
            </w:pPr>
            <w:r w:rsidRPr="00850C17">
              <w:rPr>
                <w:b/>
                <w:sz w:val="22"/>
                <w:szCs w:val="22"/>
              </w:rPr>
              <w:t>Data source</w:t>
            </w:r>
          </w:p>
        </w:tc>
        <w:tc>
          <w:tcPr>
            <w:tcW w:w="6740" w:type="dxa"/>
          </w:tcPr>
          <w:p w14:paraId="5A887E32" w14:textId="71602D47" w:rsidR="00395707" w:rsidRPr="00850C17" w:rsidRDefault="00395707" w:rsidP="00395707">
            <w:pPr>
              <w:spacing w:before="240"/>
              <w:rPr>
                <w:sz w:val="22"/>
                <w:szCs w:val="22"/>
              </w:rPr>
            </w:pPr>
            <w:r w:rsidRPr="00850C17">
              <w:rPr>
                <w:sz w:val="22"/>
                <w:szCs w:val="22"/>
              </w:rPr>
              <w:t xml:space="preserve"> General Practice Extract Service (GPES)</w:t>
            </w:r>
          </w:p>
        </w:tc>
      </w:tr>
      <w:tr w:rsidR="00395707" w14:paraId="4EEABB1E" w14:textId="77777777" w:rsidTr="00395707">
        <w:tc>
          <w:tcPr>
            <w:tcW w:w="3261" w:type="dxa"/>
          </w:tcPr>
          <w:p w14:paraId="27E7CF5C" w14:textId="1E195A79" w:rsidR="00395707" w:rsidRPr="00850C17" w:rsidRDefault="00395707" w:rsidP="00395707">
            <w:pPr>
              <w:spacing w:before="240"/>
              <w:rPr>
                <w:b/>
                <w:sz w:val="22"/>
                <w:szCs w:val="22"/>
              </w:rPr>
            </w:pPr>
            <w:r w:rsidRPr="00850C17">
              <w:rPr>
                <w:b/>
                <w:sz w:val="22"/>
                <w:szCs w:val="22"/>
              </w:rPr>
              <w:t>Justification of source and others considered</w:t>
            </w:r>
          </w:p>
        </w:tc>
        <w:tc>
          <w:tcPr>
            <w:tcW w:w="6740" w:type="dxa"/>
          </w:tcPr>
          <w:p w14:paraId="030AC315" w14:textId="4DB0A601" w:rsidR="00395707" w:rsidRPr="00850C17" w:rsidRDefault="00395707" w:rsidP="00395707">
            <w:pPr>
              <w:spacing w:before="240"/>
              <w:rPr>
                <w:sz w:val="22"/>
                <w:szCs w:val="22"/>
              </w:rPr>
            </w:pPr>
            <w:r w:rsidRPr="00850C17">
              <w:rPr>
                <w:sz w:val="22"/>
                <w:szCs w:val="22"/>
              </w:rPr>
              <w:t xml:space="preserve"> As this indicator is only looking at primary care GPES is the only suitable way to get the needed data</w:t>
            </w:r>
          </w:p>
        </w:tc>
      </w:tr>
      <w:tr w:rsidR="00395707" w14:paraId="0CAB7C99" w14:textId="77777777" w:rsidTr="00395707">
        <w:tc>
          <w:tcPr>
            <w:tcW w:w="3261" w:type="dxa"/>
          </w:tcPr>
          <w:p w14:paraId="5A8B6B7F" w14:textId="29D7B11B" w:rsidR="00395707" w:rsidRPr="00850C17" w:rsidRDefault="00395707" w:rsidP="00395707">
            <w:pPr>
              <w:spacing w:before="240"/>
              <w:rPr>
                <w:b/>
                <w:sz w:val="22"/>
                <w:szCs w:val="22"/>
              </w:rPr>
            </w:pPr>
            <w:r w:rsidRPr="00850C17">
              <w:rPr>
                <w:b/>
                <w:sz w:val="22"/>
                <w:szCs w:val="22"/>
              </w:rPr>
              <w:t>Data availability</w:t>
            </w:r>
          </w:p>
        </w:tc>
        <w:tc>
          <w:tcPr>
            <w:tcW w:w="6740" w:type="dxa"/>
          </w:tcPr>
          <w:p w14:paraId="31A7C7DF" w14:textId="52B22323" w:rsidR="00395707" w:rsidRPr="00850C17" w:rsidRDefault="00395707" w:rsidP="00395707">
            <w:pPr>
              <w:spacing w:before="240"/>
              <w:rPr>
                <w:sz w:val="22"/>
                <w:szCs w:val="22"/>
              </w:rPr>
            </w:pPr>
            <w:r w:rsidRPr="00850C17">
              <w:rPr>
                <w:sz w:val="22"/>
                <w:szCs w:val="22"/>
              </w:rPr>
              <w:t xml:space="preserve">Data from GPES is provided in an aggregate form, so data would be supplied at the granularity requested, in this case CCG and National. </w:t>
            </w:r>
          </w:p>
        </w:tc>
      </w:tr>
      <w:tr w:rsidR="00395707" w14:paraId="51AAA70D" w14:textId="77777777" w:rsidTr="00395707">
        <w:tc>
          <w:tcPr>
            <w:tcW w:w="3261" w:type="dxa"/>
          </w:tcPr>
          <w:p w14:paraId="07570EE0" w14:textId="1AD77A7D" w:rsidR="00395707" w:rsidRPr="00850C17" w:rsidRDefault="00395707" w:rsidP="00395707">
            <w:pPr>
              <w:spacing w:before="240"/>
              <w:rPr>
                <w:b/>
                <w:sz w:val="22"/>
                <w:szCs w:val="22"/>
              </w:rPr>
            </w:pPr>
            <w:r w:rsidRPr="00850C17">
              <w:rPr>
                <w:b/>
                <w:sz w:val="22"/>
                <w:szCs w:val="22"/>
              </w:rPr>
              <w:t>Data quality</w:t>
            </w:r>
          </w:p>
        </w:tc>
        <w:tc>
          <w:tcPr>
            <w:tcW w:w="6740" w:type="dxa"/>
          </w:tcPr>
          <w:p w14:paraId="5782BBF1" w14:textId="77777777" w:rsidR="00395707" w:rsidRPr="00850C17" w:rsidRDefault="00395707" w:rsidP="00395707">
            <w:pPr>
              <w:spacing w:before="240"/>
              <w:rPr>
                <w:b/>
                <w:sz w:val="22"/>
                <w:szCs w:val="22"/>
              </w:rPr>
            </w:pPr>
            <w:r w:rsidRPr="00850C17">
              <w:rPr>
                <w:b/>
                <w:sz w:val="22"/>
                <w:szCs w:val="22"/>
              </w:rPr>
              <w:t xml:space="preserve"> i) What data quality checks are relevant to this indicator?</w:t>
            </w:r>
          </w:p>
          <w:p w14:paraId="4D70DEAC" w14:textId="77777777" w:rsidR="00395707" w:rsidRPr="00850C17" w:rsidRDefault="00395707" w:rsidP="00395707">
            <w:pPr>
              <w:spacing w:before="240"/>
              <w:rPr>
                <w:sz w:val="22"/>
                <w:szCs w:val="22"/>
              </w:rPr>
            </w:pPr>
            <w:r w:rsidRPr="00850C17">
              <w:rPr>
                <w:b/>
                <w:sz w:val="22"/>
                <w:szCs w:val="22"/>
              </w:rPr>
              <w:t>Coverage</w:t>
            </w:r>
            <w:r w:rsidRPr="00850C17">
              <w:rPr>
                <w:sz w:val="22"/>
                <w:szCs w:val="22"/>
              </w:rPr>
              <w:t xml:space="preserve"> </w:t>
            </w:r>
            <w:sdt>
              <w:sdtPr>
                <w:rPr>
                  <w:sz w:val="22"/>
                  <w:szCs w:val="22"/>
                </w:rPr>
                <w:id w:val="-1734614186"/>
                <w14:checkbox>
                  <w14:checked w14:val="0"/>
                  <w14:checkedState w14:val="2612" w14:font="MS Gothic"/>
                  <w14:uncheckedState w14:val="2610" w14:font="MS Gothic"/>
                </w14:checkbox>
              </w:sdtPr>
              <w:sdtContent>
                <w:r w:rsidRPr="00850C17">
                  <w:rPr>
                    <w:rFonts w:ascii="Segoe UI Symbol" w:eastAsia="MS Gothic" w:hAnsi="Segoe UI Symbol" w:cs="Segoe UI Symbol"/>
                    <w:sz w:val="22"/>
                    <w:szCs w:val="22"/>
                  </w:rPr>
                  <w:t>☐</w:t>
                </w:r>
              </w:sdtContent>
            </w:sdt>
            <w:r w:rsidRPr="00850C17">
              <w:rPr>
                <w:sz w:val="22"/>
                <w:szCs w:val="22"/>
              </w:rPr>
              <w:t xml:space="preserve"> </w:t>
            </w:r>
          </w:p>
          <w:p w14:paraId="7E1B4951" w14:textId="77777777" w:rsidR="00395707" w:rsidRPr="00850C17" w:rsidRDefault="00395707" w:rsidP="00395707">
            <w:pPr>
              <w:spacing w:before="240"/>
              <w:rPr>
                <w:sz w:val="22"/>
                <w:szCs w:val="22"/>
              </w:rPr>
            </w:pPr>
            <w:r w:rsidRPr="00850C17">
              <w:rPr>
                <w:b/>
                <w:sz w:val="22"/>
                <w:szCs w:val="22"/>
              </w:rPr>
              <w:t>Completeness</w:t>
            </w:r>
            <w:r w:rsidRPr="00850C17">
              <w:rPr>
                <w:sz w:val="22"/>
                <w:szCs w:val="22"/>
              </w:rPr>
              <w:t xml:space="preserve"> </w:t>
            </w:r>
            <w:sdt>
              <w:sdtPr>
                <w:rPr>
                  <w:sz w:val="22"/>
                  <w:szCs w:val="22"/>
                </w:rPr>
                <w:id w:val="-1726368152"/>
                <w14:checkbox>
                  <w14:checked w14:val="0"/>
                  <w14:checkedState w14:val="2612" w14:font="MS Gothic"/>
                  <w14:uncheckedState w14:val="2610" w14:font="MS Gothic"/>
                </w14:checkbox>
              </w:sdtPr>
              <w:sdtContent>
                <w:r w:rsidRPr="00850C17">
                  <w:rPr>
                    <w:rFonts w:ascii="Segoe UI Symbol" w:eastAsia="MS Gothic" w:hAnsi="Segoe UI Symbol" w:cs="Segoe UI Symbol"/>
                    <w:sz w:val="22"/>
                    <w:szCs w:val="22"/>
                  </w:rPr>
                  <w:t>☐</w:t>
                </w:r>
              </w:sdtContent>
            </w:sdt>
            <w:r w:rsidRPr="00850C17">
              <w:rPr>
                <w:sz w:val="22"/>
                <w:szCs w:val="22"/>
              </w:rPr>
              <w:t xml:space="preserve"> </w:t>
            </w:r>
            <w:r w:rsidRPr="00850C17">
              <w:rPr>
                <w:b/>
                <w:sz w:val="22"/>
                <w:szCs w:val="22"/>
              </w:rPr>
              <w:t>Validity</w:t>
            </w:r>
            <w:r w:rsidRPr="00850C17">
              <w:rPr>
                <w:sz w:val="22"/>
                <w:szCs w:val="22"/>
              </w:rPr>
              <w:t xml:space="preserve"> </w:t>
            </w:r>
            <w:sdt>
              <w:sdtPr>
                <w:rPr>
                  <w:sz w:val="22"/>
                  <w:szCs w:val="22"/>
                </w:rPr>
                <w:id w:val="325330801"/>
                <w14:checkbox>
                  <w14:checked w14:val="0"/>
                  <w14:checkedState w14:val="2612" w14:font="MS Gothic"/>
                  <w14:uncheckedState w14:val="2610" w14:font="MS Gothic"/>
                </w14:checkbox>
              </w:sdtPr>
              <w:sdtContent>
                <w:r w:rsidRPr="00850C17">
                  <w:rPr>
                    <w:rFonts w:ascii="Segoe UI Symbol" w:eastAsia="MS Gothic" w:hAnsi="Segoe UI Symbol" w:cs="Segoe UI Symbol"/>
                    <w:sz w:val="22"/>
                    <w:szCs w:val="22"/>
                  </w:rPr>
                  <w:t>☐</w:t>
                </w:r>
              </w:sdtContent>
            </w:sdt>
            <w:r w:rsidRPr="00850C17">
              <w:rPr>
                <w:sz w:val="22"/>
                <w:szCs w:val="22"/>
              </w:rPr>
              <w:t xml:space="preserve"> </w:t>
            </w:r>
          </w:p>
          <w:p w14:paraId="77D8AAA6" w14:textId="77777777" w:rsidR="00395707" w:rsidRPr="00850C17" w:rsidRDefault="00395707" w:rsidP="00395707">
            <w:pPr>
              <w:spacing w:before="240"/>
              <w:rPr>
                <w:sz w:val="22"/>
                <w:szCs w:val="22"/>
              </w:rPr>
            </w:pPr>
            <w:r w:rsidRPr="00850C17">
              <w:rPr>
                <w:b/>
                <w:sz w:val="22"/>
                <w:szCs w:val="22"/>
              </w:rPr>
              <w:t>Default</w:t>
            </w:r>
            <w:r w:rsidRPr="00850C17">
              <w:rPr>
                <w:sz w:val="22"/>
                <w:szCs w:val="22"/>
              </w:rPr>
              <w:t xml:space="preserve"> </w:t>
            </w:r>
            <w:sdt>
              <w:sdtPr>
                <w:rPr>
                  <w:sz w:val="22"/>
                  <w:szCs w:val="22"/>
                </w:rPr>
                <w:id w:val="1614473230"/>
                <w14:checkbox>
                  <w14:checked w14:val="0"/>
                  <w14:checkedState w14:val="2612" w14:font="MS Gothic"/>
                  <w14:uncheckedState w14:val="2610" w14:font="MS Gothic"/>
                </w14:checkbox>
              </w:sdtPr>
              <w:sdtContent>
                <w:r w:rsidRPr="00850C17">
                  <w:rPr>
                    <w:rFonts w:ascii="Segoe UI Symbol" w:eastAsia="MS Gothic" w:hAnsi="Segoe UI Symbol" w:cs="Segoe UI Symbol"/>
                    <w:sz w:val="22"/>
                    <w:szCs w:val="22"/>
                  </w:rPr>
                  <w:t>☐</w:t>
                </w:r>
              </w:sdtContent>
            </w:sdt>
            <w:r w:rsidRPr="00850C17">
              <w:rPr>
                <w:sz w:val="22"/>
                <w:szCs w:val="22"/>
              </w:rPr>
              <w:t xml:space="preserve"> </w:t>
            </w:r>
          </w:p>
          <w:p w14:paraId="31E24CD7" w14:textId="4E1796D1" w:rsidR="00395707" w:rsidRPr="00850C17" w:rsidRDefault="00395707" w:rsidP="00395707">
            <w:pPr>
              <w:spacing w:before="240"/>
              <w:rPr>
                <w:sz w:val="22"/>
                <w:szCs w:val="22"/>
              </w:rPr>
            </w:pPr>
            <w:r w:rsidRPr="00850C17">
              <w:rPr>
                <w:b/>
                <w:sz w:val="22"/>
                <w:szCs w:val="22"/>
              </w:rPr>
              <w:t>Integrity</w:t>
            </w:r>
            <w:r w:rsidRPr="00850C17">
              <w:rPr>
                <w:sz w:val="22"/>
                <w:szCs w:val="22"/>
              </w:rPr>
              <w:t xml:space="preserve"> </w:t>
            </w:r>
            <w:sdt>
              <w:sdtPr>
                <w:rPr>
                  <w:sz w:val="22"/>
                  <w:szCs w:val="22"/>
                </w:rPr>
                <w:id w:val="-1098483664"/>
                <w14:checkbox>
                  <w14:checked w14:val="0"/>
                  <w14:checkedState w14:val="2612" w14:font="MS Gothic"/>
                  <w14:uncheckedState w14:val="2610" w14:font="MS Gothic"/>
                </w14:checkbox>
              </w:sdtPr>
              <w:sdtContent>
                <w:r w:rsidRPr="00850C17">
                  <w:rPr>
                    <w:rFonts w:ascii="Segoe UI Symbol" w:eastAsia="MS Gothic" w:hAnsi="Segoe UI Symbol" w:cs="Segoe UI Symbol"/>
                    <w:sz w:val="22"/>
                    <w:szCs w:val="22"/>
                  </w:rPr>
                  <w:t>☐</w:t>
                </w:r>
              </w:sdtContent>
            </w:sdt>
            <w:r w:rsidRPr="00850C17">
              <w:rPr>
                <w:sz w:val="22"/>
                <w:szCs w:val="22"/>
              </w:rPr>
              <w:t xml:space="preserve"> </w:t>
            </w:r>
            <w:r w:rsidRPr="00850C17">
              <w:rPr>
                <w:b/>
                <w:sz w:val="22"/>
                <w:szCs w:val="22"/>
              </w:rPr>
              <w:t>Timeliness</w:t>
            </w:r>
            <w:r w:rsidRPr="00850C17">
              <w:rPr>
                <w:sz w:val="22"/>
                <w:szCs w:val="22"/>
              </w:rPr>
              <w:t xml:space="preserve"> </w:t>
            </w:r>
            <w:sdt>
              <w:sdtPr>
                <w:rPr>
                  <w:sz w:val="22"/>
                  <w:szCs w:val="22"/>
                </w:rPr>
                <w:id w:val="1086498859"/>
                <w14:checkbox>
                  <w14:checked w14:val="0"/>
                  <w14:checkedState w14:val="2612" w14:font="MS Gothic"/>
                  <w14:uncheckedState w14:val="2610" w14:font="MS Gothic"/>
                </w14:checkbox>
              </w:sdtPr>
              <w:sdtContent>
                <w:r w:rsidRPr="00850C17">
                  <w:rPr>
                    <w:rFonts w:ascii="Segoe UI Symbol" w:eastAsia="MS Gothic" w:hAnsi="Segoe UI Symbol" w:cs="Segoe UI Symbol"/>
                    <w:sz w:val="22"/>
                    <w:szCs w:val="22"/>
                  </w:rPr>
                  <w:t>☐</w:t>
                </w:r>
              </w:sdtContent>
            </w:sdt>
            <w:r w:rsidRPr="00850C17">
              <w:rPr>
                <w:sz w:val="22"/>
                <w:szCs w:val="22"/>
              </w:rPr>
              <w:t xml:space="preserve"> </w:t>
            </w:r>
            <w:r w:rsidRPr="00850C17">
              <w:rPr>
                <w:b/>
                <w:sz w:val="22"/>
                <w:szCs w:val="22"/>
              </w:rPr>
              <w:t>Other</w:t>
            </w:r>
            <w:r w:rsidRPr="00850C17">
              <w:rPr>
                <w:sz w:val="22"/>
                <w:szCs w:val="22"/>
              </w:rPr>
              <w:t xml:space="preserve"> </w:t>
            </w:r>
            <w:sdt>
              <w:sdtPr>
                <w:rPr>
                  <w:sz w:val="22"/>
                  <w:szCs w:val="22"/>
                </w:rPr>
                <w:id w:val="1928450506"/>
                <w14:checkbox>
                  <w14:checked w14:val="0"/>
                  <w14:checkedState w14:val="2612" w14:font="MS Gothic"/>
                  <w14:uncheckedState w14:val="2610" w14:font="MS Gothic"/>
                </w14:checkbox>
              </w:sdtPr>
              <w:sdtContent>
                <w:r w:rsidRPr="00850C17">
                  <w:rPr>
                    <w:rFonts w:ascii="Segoe UI Symbol" w:eastAsia="MS Gothic" w:hAnsi="Segoe UI Symbol" w:cs="Segoe UI Symbol"/>
                    <w:sz w:val="22"/>
                    <w:szCs w:val="22"/>
                  </w:rPr>
                  <w:t>☐</w:t>
                </w:r>
              </w:sdtContent>
            </w:sdt>
          </w:p>
        </w:tc>
      </w:tr>
      <w:tr w:rsidR="00395707" w14:paraId="3FCDC51A" w14:textId="77777777" w:rsidTr="00395707">
        <w:tc>
          <w:tcPr>
            <w:tcW w:w="3261" w:type="dxa"/>
          </w:tcPr>
          <w:p w14:paraId="4884828C" w14:textId="77777777" w:rsidR="00395707" w:rsidRPr="00850C17" w:rsidRDefault="00395707" w:rsidP="00395707">
            <w:pPr>
              <w:spacing w:before="240"/>
              <w:rPr>
                <w:b/>
                <w:sz w:val="22"/>
                <w:szCs w:val="22"/>
              </w:rPr>
            </w:pPr>
          </w:p>
        </w:tc>
        <w:tc>
          <w:tcPr>
            <w:tcW w:w="6740" w:type="dxa"/>
          </w:tcPr>
          <w:p w14:paraId="540F5228" w14:textId="77777777" w:rsidR="00395707" w:rsidRPr="00850C17" w:rsidRDefault="00395707" w:rsidP="00395707">
            <w:pPr>
              <w:textboxTightWrap w:val="allLines"/>
              <w:rPr>
                <w:b/>
                <w:sz w:val="22"/>
                <w:szCs w:val="22"/>
              </w:rPr>
            </w:pPr>
            <w:r w:rsidRPr="00850C17">
              <w:rPr>
                <w:b/>
                <w:sz w:val="22"/>
                <w:szCs w:val="22"/>
              </w:rPr>
              <w:t xml:space="preserve">If you included ‘Other’ as a data quality check, please describe the check, how it will be measured, and its reason for use below: </w:t>
            </w:r>
          </w:p>
          <w:p w14:paraId="1E911B37" w14:textId="6ACFAEF5" w:rsidR="00395707" w:rsidRPr="00850C17" w:rsidRDefault="00395707" w:rsidP="00395707">
            <w:pPr>
              <w:spacing w:before="240"/>
              <w:rPr>
                <w:b/>
                <w:sz w:val="22"/>
                <w:szCs w:val="22"/>
              </w:rPr>
            </w:pPr>
            <w:r w:rsidRPr="00850C17">
              <w:rPr>
                <w:b/>
                <w:sz w:val="22"/>
                <w:szCs w:val="22"/>
              </w:rPr>
              <w:fldChar w:fldCharType="begin">
                <w:ffData>
                  <w:name w:val="Text5"/>
                  <w:enabled/>
                  <w:calcOnExit w:val="0"/>
                  <w:textInput/>
                </w:ffData>
              </w:fldChar>
            </w:r>
            <w:r w:rsidRPr="00850C17">
              <w:rPr>
                <w:b/>
                <w:sz w:val="22"/>
                <w:szCs w:val="22"/>
              </w:rPr>
              <w:instrText xml:space="preserve"> FORMTEXT </w:instrText>
            </w:r>
            <w:r w:rsidRPr="00850C17">
              <w:rPr>
                <w:b/>
                <w:sz w:val="22"/>
                <w:szCs w:val="22"/>
              </w:rPr>
            </w:r>
            <w:r w:rsidRPr="00850C17">
              <w:rPr>
                <w:b/>
                <w:sz w:val="22"/>
                <w:szCs w:val="22"/>
              </w:rPr>
              <w:fldChar w:fldCharType="separate"/>
            </w:r>
            <w:r w:rsidRPr="00850C17">
              <w:rPr>
                <w:b/>
                <w:sz w:val="22"/>
                <w:szCs w:val="22"/>
              </w:rPr>
              <w:t> </w:t>
            </w:r>
            <w:r w:rsidRPr="00850C17">
              <w:rPr>
                <w:b/>
                <w:sz w:val="22"/>
                <w:szCs w:val="22"/>
              </w:rPr>
              <w:t> </w:t>
            </w:r>
            <w:r w:rsidRPr="00850C17">
              <w:rPr>
                <w:b/>
                <w:sz w:val="22"/>
                <w:szCs w:val="22"/>
              </w:rPr>
              <w:t> </w:t>
            </w:r>
            <w:r w:rsidRPr="00850C17">
              <w:rPr>
                <w:b/>
                <w:sz w:val="22"/>
                <w:szCs w:val="22"/>
              </w:rPr>
              <w:t> </w:t>
            </w:r>
            <w:r w:rsidRPr="00850C17">
              <w:rPr>
                <w:b/>
                <w:sz w:val="22"/>
                <w:szCs w:val="22"/>
              </w:rPr>
              <w:t> </w:t>
            </w:r>
            <w:r w:rsidRPr="00850C17">
              <w:rPr>
                <w:b/>
                <w:sz w:val="22"/>
                <w:szCs w:val="22"/>
              </w:rPr>
              <w:fldChar w:fldCharType="end"/>
            </w:r>
            <w:r w:rsidRPr="00850C17">
              <w:rPr>
                <w:b/>
                <w:sz w:val="22"/>
                <w:szCs w:val="22"/>
              </w:rPr>
              <w:t xml:space="preserve">                                                                                                   </w:t>
            </w:r>
          </w:p>
        </w:tc>
      </w:tr>
      <w:tr w:rsidR="00395707" w14:paraId="401993A4" w14:textId="77777777" w:rsidTr="00395707">
        <w:tc>
          <w:tcPr>
            <w:tcW w:w="3261" w:type="dxa"/>
          </w:tcPr>
          <w:p w14:paraId="157D0144" w14:textId="77777777" w:rsidR="00395707" w:rsidRPr="00850C17" w:rsidRDefault="00395707" w:rsidP="00395707">
            <w:pPr>
              <w:spacing w:before="240"/>
              <w:rPr>
                <w:b/>
                <w:sz w:val="22"/>
                <w:szCs w:val="22"/>
              </w:rPr>
            </w:pPr>
          </w:p>
        </w:tc>
        <w:tc>
          <w:tcPr>
            <w:tcW w:w="6740" w:type="dxa"/>
          </w:tcPr>
          <w:p w14:paraId="3041DC36" w14:textId="77777777" w:rsidR="00395707" w:rsidRPr="00850C17" w:rsidRDefault="00395707" w:rsidP="00395707">
            <w:pPr>
              <w:textboxTightWrap w:val="allLines"/>
              <w:rPr>
                <w:sz w:val="22"/>
                <w:szCs w:val="22"/>
              </w:rPr>
            </w:pPr>
            <w:r w:rsidRPr="00850C17">
              <w:rPr>
                <w:b/>
                <w:sz w:val="22"/>
                <w:szCs w:val="22"/>
              </w:rPr>
              <w:t xml:space="preserve">ii)  What are the current values for the data quality checks selected? </w:t>
            </w:r>
            <w:r w:rsidRPr="00850C17">
              <w:rPr>
                <w:sz w:val="22"/>
                <w:szCs w:val="22"/>
              </w:rPr>
              <w:t xml:space="preserve">The period of data the current values are calculated from should be stated. Current values should be recorded as a percentage and calculated as described below. </w:t>
            </w:r>
          </w:p>
          <w:p w14:paraId="69A9D117" w14:textId="77777777" w:rsidR="00395707" w:rsidRPr="00850C17" w:rsidRDefault="00395707" w:rsidP="00395707">
            <w:pPr>
              <w:textboxTightWrap w:val="allLines"/>
              <w:rPr>
                <w:b/>
                <w:sz w:val="22"/>
                <w:szCs w:val="22"/>
              </w:rPr>
            </w:pPr>
            <w:r w:rsidRPr="00850C17">
              <w:rPr>
                <w:b/>
                <w:sz w:val="22"/>
                <w:szCs w:val="22"/>
              </w:rPr>
              <w:t xml:space="preserve">Period of data:                    </w:t>
            </w:r>
          </w:p>
          <w:p w14:paraId="32C75884" w14:textId="77777777" w:rsidR="00395707" w:rsidRPr="00850C17" w:rsidRDefault="00395707" w:rsidP="00395707">
            <w:pPr>
              <w:textboxTightWrap w:val="allLines"/>
              <w:rPr>
                <w:b/>
                <w:sz w:val="22"/>
                <w:szCs w:val="22"/>
              </w:rPr>
            </w:pPr>
            <w:r w:rsidRPr="00850C17">
              <w:rPr>
                <w:b/>
                <w:sz w:val="22"/>
                <w:szCs w:val="22"/>
              </w:rPr>
              <w:t xml:space="preserve">Coverage:           </w:t>
            </w:r>
          </w:p>
          <w:p w14:paraId="249B8EC8" w14:textId="77777777" w:rsidR="00395707" w:rsidRPr="00850C17" w:rsidRDefault="00395707" w:rsidP="00395707">
            <w:pPr>
              <w:spacing w:after="0"/>
              <w:textboxTightWrap w:val="allLines"/>
              <w:rPr>
                <w:b/>
                <w:sz w:val="22"/>
                <w:szCs w:val="22"/>
                <w:lang w:eastAsia="en-GB"/>
              </w:rPr>
            </w:pPr>
            <w:r w:rsidRPr="00850C17">
              <w:rPr>
                <w:b/>
                <w:sz w:val="22"/>
                <w:szCs w:val="22"/>
              </w:rPr>
              <w:t xml:space="preserve">Calculation:        </w:t>
            </w:r>
          </w:p>
          <w:p w14:paraId="7EC1456D" w14:textId="77777777" w:rsidR="00395707" w:rsidRPr="00850C17" w:rsidRDefault="00395707" w:rsidP="00395707">
            <w:pPr>
              <w:textboxTightWrap w:val="allLines"/>
              <w:rPr>
                <w:sz w:val="22"/>
                <w:szCs w:val="22"/>
              </w:rPr>
            </w:pPr>
            <w:r w:rsidRPr="00850C17">
              <w:rPr>
                <w:b/>
                <w:sz w:val="22"/>
                <w:szCs w:val="22"/>
              </w:rPr>
              <w:t>Completeness:</w:t>
            </w:r>
            <w:r w:rsidRPr="00850C17">
              <w:rPr>
                <w:sz w:val="22"/>
                <w:szCs w:val="22"/>
              </w:rPr>
              <w:t xml:space="preserve">          </w:t>
            </w:r>
          </w:p>
          <w:p w14:paraId="57915E55" w14:textId="77777777" w:rsidR="00395707" w:rsidRPr="00850C17" w:rsidRDefault="00395707" w:rsidP="00395707">
            <w:pPr>
              <w:spacing w:after="0"/>
              <w:textboxTightWrap w:val="allLines"/>
              <w:rPr>
                <w:sz w:val="22"/>
                <w:szCs w:val="22"/>
              </w:rPr>
            </w:pPr>
            <w:r w:rsidRPr="00850C17">
              <w:rPr>
                <w:b/>
                <w:sz w:val="22"/>
                <w:szCs w:val="22"/>
              </w:rPr>
              <w:t xml:space="preserve">Calculation:             </w:t>
            </w:r>
          </w:p>
          <w:p w14:paraId="7EDCC6E8" w14:textId="77777777" w:rsidR="00395707" w:rsidRPr="00850C17" w:rsidRDefault="00395707" w:rsidP="00395707">
            <w:pPr>
              <w:textboxTightWrap w:val="allLines"/>
              <w:rPr>
                <w:sz w:val="22"/>
                <w:szCs w:val="22"/>
              </w:rPr>
            </w:pPr>
            <w:r w:rsidRPr="00850C17">
              <w:rPr>
                <w:b/>
                <w:sz w:val="22"/>
                <w:szCs w:val="22"/>
              </w:rPr>
              <w:t>Validity:</w:t>
            </w:r>
            <w:r w:rsidRPr="00850C17">
              <w:rPr>
                <w:sz w:val="22"/>
                <w:szCs w:val="22"/>
              </w:rPr>
              <w:t xml:space="preserve">         </w:t>
            </w:r>
          </w:p>
          <w:p w14:paraId="76C79EED" w14:textId="77777777" w:rsidR="00395707" w:rsidRPr="00850C17" w:rsidRDefault="00395707" w:rsidP="00395707">
            <w:pPr>
              <w:spacing w:after="0"/>
              <w:textboxTightWrap w:val="allLines"/>
              <w:rPr>
                <w:sz w:val="22"/>
                <w:szCs w:val="22"/>
              </w:rPr>
            </w:pPr>
            <w:r w:rsidRPr="00850C17">
              <w:rPr>
                <w:b/>
                <w:sz w:val="22"/>
                <w:szCs w:val="22"/>
              </w:rPr>
              <w:t xml:space="preserve">Calculation:    </w:t>
            </w:r>
          </w:p>
          <w:p w14:paraId="6328D29F" w14:textId="77777777" w:rsidR="00395707" w:rsidRPr="00850C17" w:rsidRDefault="00395707" w:rsidP="00395707">
            <w:pPr>
              <w:textboxTightWrap w:val="allLines"/>
              <w:rPr>
                <w:sz w:val="22"/>
                <w:szCs w:val="22"/>
              </w:rPr>
            </w:pPr>
            <w:r w:rsidRPr="00850C17">
              <w:rPr>
                <w:b/>
                <w:sz w:val="22"/>
                <w:szCs w:val="22"/>
              </w:rPr>
              <w:t>Default:</w:t>
            </w:r>
            <w:r w:rsidRPr="00850C17">
              <w:rPr>
                <w:sz w:val="22"/>
                <w:szCs w:val="22"/>
              </w:rPr>
              <w:t xml:space="preserve">         </w:t>
            </w:r>
          </w:p>
          <w:p w14:paraId="30250696" w14:textId="77777777" w:rsidR="00395707" w:rsidRPr="00850C17" w:rsidRDefault="00395707" w:rsidP="00395707">
            <w:pPr>
              <w:spacing w:after="0"/>
              <w:textboxTightWrap w:val="allLines"/>
              <w:rPr>
                <w:sz w:val="22"/>
                <w:szCs w:val="22"/>
              </w:rPr>
            </w:pPr>
            <w:r w:rsidRPr="00850C17">
              <w:rPr>
                <w:b/>
                <w:sz w:val="22"/>
                <w:szCs w:val="22"/>
              </w:rPr>
              <w:t>Calculation:</w:t>
            </w:r>
            <w:r w:rsidRPr="00850C17">
              <w:rPr>
                <w:sz w:val="22"/>
                <w:szCs w:val="22"/>
              </w:rPr>
              <w:t xml:space="preserve">     </w:t>
            </w:r>
          </w:p>
          <w:p w14:paraId="177A86C1" w14:textId="77777777" w:rsidR="00395707" w:rsidRPr="00850C17" w:rsidRDefault="00395707" w:rsidP="00395707">
            <w:pPr>
              <w:textboxTightWrap w:val="allLines"/>
              <w:rPr>
                <w:sz w:val="22"/>
                <w:szCs w:val="22"/>
              </w:rPr>
            </w:pPr>
            <w:r w:rsidRPr="00850C17">
              <w:rPr>
                <w:b/>
                <w:sz w:val="22"/>
                <w:szCs w:val="22"/>
              </w:rPr>
              <w:t>Integrity:</w:t>
            </w:r>
            <w:r w:rsidRPr="00850C17">
              <w:rPr>
                <w:sz w:val="22"/>
                <w:szCs w:val="22"/>
              </w:rPr>
              <w:t xml:space="preserve">         </w:t>
            </w:r>
          </w:p>
          <w:p w14:paraId="529060EB" w14:textId="77777777" w:rsidR="00395707" w:rsidRPr="00850C17" w:rsidRDefault="00395707" w:rsidP="00395707">
            <w:pPr>
              <w:spacing w:after="0"/>
              <w:textboxTightWrap w:val="allLines"/>
              <w:rPr>
                <w:sz w:val="22"/>
                <w:szCs w:val="22"/>
              </w:rPr>
            </w:pPr>
            <w:r w:rsidRPr="00850C17">
              <w:rPr>
                <w:b/>
                <w:sz w:val="22"/>
                <w:szCs w:val="22"/>
              </w:rPr>
              <w:t xml:space="preserve">Calculation:       </w:t>
            </w:r>
          </w:p>
          <w:p w14:paraId="07E30A2A" w14:textId="77777777" w:rsidR="00395707" w:rsidRPr="00850C17" w:rsidRDefault="00395707" w:rsidP="00395707">
            <w:pPr>
              <w:textboxTightWrap w:val="allLines"/>
              <w:rPr>
                <w:sz w:val="22"/>
                <w:szCs w:val="22"/>
              </w:rPr>
            </w:pPr>
            <w:r w:rsidRPr="00850C17">
              <w:rPr>
                <w:b/>
                <w:sz w:val="22"/>
                <w:szCs w:val="22"/>
              </w:rPr>
              <w:t>Timeliness:</w:t>
            </w:r>
            <w:r w:rsidRPr="00850C17">
              <w:rPr>
                <w:sz w:val="22"/>
                <w:szCs w:val="22"/>
              </w:rPr>
              <w:t xml:space="preserve">         </w:t>
            </w:r>
          </w:p>
          <w:p w14:paraId="2C09AB3A" w14:textId="77777777" w:rsidR="00395707" w:rsidRPr="00850C17" w:rsidRDefault="00395707" w:rsidP="00395707">
            <w:pPr>
              <w:textboxTightWrap w:val="allLines"/>
              <w:rPr>
                <w:sz w:val="22"/>
                <w:szCs w:val="22"/>
              </w:rPr>
            </w:pPr>
            <w:r w:rsidRPr="00850C17">
              <w:rPr>
                <w:b/>
                <w:sz w:val="22"/>
                <w:szCs w:val="22"/>
              </w:rPr>
              <w:t xml:space="preserve">Calculation: </w:t>
            </w:r>
          </w:p>
          <w:p w14:paraId="09FA8BDE" w14:textId="77777777" w:rsidR="00395707" w:rsidRPr="00850C17" w:rsidRDefault="00395707" w:rsidP="00395707">
            <w:pPr>
              <w:textboxTightWrap w:val="allLines"/>
              <w:rPr>
                <w:b/>
                <w:sz w:val="22"/>
                <w:szCs w:val="22"/>
              </w:rPr>
            </w:pPr>
            <w:r w:rsidRPr="00850C17">
              <w:rPr>
                <w:b/>
                <w:sz w:val="22"/>
                <w:szCs w:val="22"/>
              </w:rPr>
              <w:t xml:space="preserve">Other:            </w:t>
            </w:r>
          </w:p>
          <w:p w14:paraId="77A64107" w14:textId="6BD4752C" w:rsidR="00395707" w:rsidRPr="00850C17" w:rsidRDefault="00395707" w:rsidP="00395707">
            <w:pPr>
              <w:textboxTightWrap w:val="allLines"/>
              <w:rPr>
                <w:b/>
                <w:sz w:val="22"/>
                <w:szCs w:val="22"/>
              </w:rPr>
            </w:pPr>
            <w:r w:rsidRPr="00850C17">
              <w:rPr>
                <w:b/>
                <w:sz w:val="22"/>
                <w:szCs w:val="22"/>
              </w:rPr>
              <w:t>Calculation:</w:t>
            </w:r>
          </w:p>
        </w:tc>
      </w:tr>
      <w:tr w:rsidR="00395707" w14:paraId="75E6F20F" w14:textId="77777777" w:rsidTr="00395707">
        <w:tc>
          <w:tcPr>
            <w:tcW w:w="3261" w:type="dxa"/>
          </w:tcPr>
          <w:p w14:paraId="480469F4" w14:textId="77777777" w:rsidR="00395707" w:rsidRPr="00850C17" w:rsidRDefault="00395707" w:rsidP="00395707">
            <w:pPr>
              <w:spacing w:before="240"/>
              <w:rPr>
                <w:b/>
                <w:sz w:val="22"/>
                <w:szCs w:val="22"/>
              </w:rPr>
            </w:pPr>
          </w:p>
        </w:tc>
        <w:tc>
          <w:tcPr>
            <w:tcW w:w="6740" w:type="dxa"/>
          </w:tcPr>
          <w:p w14:paraId="37E1265B" w14:textId="77777777" w:rsidR="00395707" w:rsidRPr="00850C17" w:rsidRDefault="00395707" w:rsidP="00395707">
            <w:pPr>
              <w:textboxTightWrap w:val="allLines"/>
              <w:rPr>
                <w:sz w:val="22"/>
                <w:szCs w:val="22"/>
              </w:rPr>
            </w:pPr>
            <w:r w:rsidRPr="00850C17">
              <w:rPr>
                <w:b/>
                <w:sz w:val="22"/>
                <w:szCs w:val="22"/>
              </w:rPr>
              <w:t xml:space="preserve">iii) What are the thresholds for the data quality checks selected? </w:t>
            </w:r>
          </w:p>
          <w:p w14:paraId="5389431B" w14:textId="77777777" w:rsidR="00395707" w:rsidRPr="00850C17" w:rsidRDefault="00395707" w:rsidP="00395707">
            <w:pPr>
              <w:textboxTightWrap w:val="allLines"/>
              <w:rPr>
                <w:b/>
                <w:sz w:val="22"/>
                <w:szCs w:val="22"/>
              </w:rPr>
            </w:pPr>
            <w:r w:rsidRPr="00850C17">
              <w:rPr>
                <w:b/>
                <w:sz w:val="22"/>
                <w:szCs w:val="22"/>
              </w:rPr>
              <w:t xml:space="preserve">Coverage:           </w:t>
            </w:r>
          </w:p>
          <w:p w14:paraId="53E038AD" w14:textId="77777777" w:rsidR="00395707" w:rsidRPr="00850C17" w:rsidRDefault="00395707" w:rsidP="00395707">
            <w:pPr>
              <w:textboxTightWrap w:val="allLines"/>
              <w:rPr>
                <w:sz w:val="22"/>
                <w:szCs w:val="22"/>
              </w:rPr>
            </w:pPr>
            <w:r w:rsidRPr="00850C17">
              <w:rPr>
                <w:b/>
                <w:sz w:val="22"/>
                <w:szCs w:val="22"/>
              </w:rPr>
              <w:t>Completeness:</w:t>
            </w:r>
            <w:r w:rsidRPr="00850C17">
              <w:rPr>
                <w:sz w:val="22"/>
                <w:szCs w:val="22"/>
              </w:rPr>
              <w:t xml:space="preserve">          </w:t>
            </w:r>
          </w:p>
          <w:p w14:paraId="5BEB24D4" w14:textId="77777777" w:rsidR="00395707" w:rsidRPr="00850C17" w:rsidRDefault="00395707" w:rsidP="00395707">
            <w:pPr>
              <w:textboxTightWrap w:val="allLines"/>
              <w:rPr>
                <w:sz w:val="22"/>
                <w:szCs w:val="22"/>
              </w:rPr>
            </w:pPr>
            <w:r w:rsidRPr="00850C17">
              <w:rPr>
                <w:b/>
                <w:sz w:val="22"/>
                <w:szCs w:val="22"/>
              </w:rPr>
              <w:t>Validity:</w:t>
            </w:r>
            <w:r w:rsidRPr="00850C17">
              <w:rPr>
                <w:sz w:val="22"/>
                <w:szCs w:val="22"/>
              </w:rPr>
              <w:t xml:space="preserve">         </w:t>
            </w:r>
          </w:p>
          <w:p w14:paraId="66F0CD01" w14:textId="77777777" w:rsidR="00395707" w:rsidRPr="00850C17" w:rsidRDefault="00395707" w:rsidP="00395707">
            <w:pPr>
              <w:textboxTightWrap w:val="allLines"/>
              <w:rPr>
                <w:sz w:val="22"/>
                <w:szCs w:val="22"/>
              </w:rPr>
            </w:pPr>
            <w:r w:rsidRPr="00850C17">
              <w:rPr>
                <w:b/>
                <w:sz w:val="22"/>
                <w:szCs w:val="22"/>
              </w:rPr>
              <w:t>Default:</w:t>
            </w:r>
            <w:r w:rsidRPr="00850C17">
              <w:rPr>
                <w:sz w:val="22"/>
                <w:szCs w:val="22"/>
              </w:rPr>
              <w:t xml:space="preserve">         </w:t>
            </w:r>
          </w:p>
          <w:p w14:paraId="3EF58019" w14:textId="77777777" w:rsidR="00395707" w:rsidRPr="00850C17" w:rsidRDefault="00395707" w:rsidP="00395707">
            <w:pPr>
              <w:textboxTightWrap w:val="allLines"/>
              <w:rPr>
                <w:sz w:val="22"/>
                <w:szCs w:val="22"/>
              </w:rPr>
            </w:pPr>
            <w:r w:rsidRPr="00850C17">
              <w:rPr>
                <w:b/>
                <w:sz w:val="22"/>
                <w:szCs w:val="22"/>
              </w:rPr>
              <w:t>Integrity:</w:t>
            </w:r>
            <w:r w:rsidRPr="00850C17">
              <w:rPr>
                <w:sz w:val="22"/>
                <w:szCs w:val="22"/>
              </w:rPr>
              <w:t xml:space="preserve">         </w:t>
            </w:r>
          </w:p>
          <w:p w14:paraId="6B4005AA" w14:textId="77777777" w:rsidR="00395707" w:rsidRPr="00850C17" w:rsidRDefault="00395707" w:rsidP="00395707">
            <w:pPr>
              <w:textboxTightWrap w:val="allLines"/>
              <w:rPr>
                <w:sz w:val="22"/>
                <w:szCs w:val="22"/>
              </w:rPr>
            </w:pPr>
            <w:r w:rsidRPr="00850C17">
              <w:rPr>
                <w:b/>
                <w:sz w:val="22"/>
                <w:szCs w:val="22"/>
              </w:rPr>
              <w:t>Timeliness:</w:t>
            </w:r>
            <w:r w:rsidRPr="00850C17">
              <w:rPr>
                <w:sz w:val="22"/>
                <w:szCs w:val="22"/>
              </w:rPr>
              <w:t xml:space="preserve">         </w:t>
            </w:r>
          </w:p>
          <w:p w14:paraId="6C61903A" w14:textId="122628A5" w:rsidR="00395707" w:rsidRPr="00850C17" w:rsidRDefault="00395707" w:rsidP="00395707">
            <w:pPr>
              <w:textboxTightWrap w:val="allLines"/>
              <w:rPr>
                <w:b/>
                <w:sz w:val="22"/>
                <w:szCs w:val="22"/>
              </w:rPr>
            </w:pPr>
            <w:r w:rsidRPr="00850C17">
              <w:rPr>
                <w:b/>
                <w:sz w:val="22"/>
                <w:szCs w:val="22"/>
              </w:rPr>
              <w:t xml:space="preserve">Other:             </w:t>
            </w:r>
          </w:p>
        </w:tc>
      </w:tr>
      <w:tr w:rsidR="00395707" w14:paraId="32BD271E" w14:textId="77777777" w:rsidTr="00395707">
        <w:tc>
          <w:tcPr>
            <w:tcW w:w="3261" w:type="dxa"/>
          </w:tcPr>
          <w:p w14:paraId="73FDCF6D" w14:textId="77777777" w:rsidR="00395707" w:rsidRPr="00850C17" w:rsidRDefault="00395707" w:rsidP="00395707">
            <w:pPr>
              <w:spacing w:before="240"/>
              <w:rPr>
                <w:b/>
                <w:sz w:val="22"/>
                <w:szCs w:val="22"/>
              </w:rPr>
            </w:pPr>
          </w:p>
        </w:tc>
        <w:tc>
          <w:tcPr>
            <w:tcW w:w="6740" w:type="dxa"/>
          </w:tcPr>
          <w:p w14:paraId="1D927641" w14:textId="77777777" w:rsidR="00395707" w:rsidRPr="00850C17" w:rsidRDefault="00395707" w:rsidP="00395707">
            <w:pPr>
              <w:textboxTightWrap w:val="allLines"/>
              <w:rPr>
                <w:sz w:val="22"/>
                <w:szCs w:val="22"/>
              </w:rPr>
            </w:pPr>
            <w:r w:rsidRPr="00850C17">
              <w:rPr>
                <w:b/>
                <w:sz w:val="22"/>
                <w:szCs w:val="22"/>
              </w:rPr>
              <w:t xml:space="preserve">iv) What is the rationale for the selection of the data quality checks and thresholds selected above? </w:t>
            </w:r>
          </w:p>
          <w:p w14:paraId="6B0B7CBC" w14:textId="16CF529D" w:rsidR="00395707" w:rsidRPr="00850C17" w:rsidRDefault="00395707" w:rsidP="00395707">
            <w:pPr>
              <w:textboxTightWrap w:val="allLines"/>
              <w:rPr>
                <w:b/>
                <w:sz w:val="22"/>
                <w:szCs w:val="22"/>
              </w:rPr>
            </w:pPr>
            <w:r w:rsidRPr="00850C17">
              <w:rPr>
                <w:sz w:val="22"/>
                <w:szCs w:val="22"/>
              </w:rPr>
              <w:t xml:space="preserve">                                                                                                                              </w:t>
            </w:r>
          </w:p>
        </w:tc>
      </w:tr>
      <w:tr w:rsidR="00395707" w14:paraId="1CC5678A" w14:textId="77777777" w:rsidTr="00395707">
        <w:tc>
          <w:tcPr>
            <w:tcW w:w="3261" w:type="dxa"/>
          </w:tcPr>
          <w:p w14:paraId="1CFB7895" w14:textId="77777777" w:rsidR="00395707" w:rsidRPr="00850C17" w:rsidRDefault="00395707" w:rsidP="00395707">
            <w:pPr>
              <w:spacing w:before="240"/>
              <w:rPr>
                <w:b/>
                <w:sz w:val="22"/>
                <w:szCs w:val="22"/>
              </w:rPr>
            </w:pPr>
          </w:p>
        </w:tc>
        <w:tc>
          <w:tcPr>
            <w:tcW w:w="6740" w:type="dxa"/>
          </w:tcPr>
          <w:p w14:paraId="5C21E14A" w14:textId="77777777" w:rsidR="00395707" w:rsidRPr="00850C17" w:rsidRDefault="00395707" w:rsidP="00395707">
            <w:pPr>
              <w:textboxTightWrap w:val="allLines"/>
              <w:rPr>
                <w:sz w:val="22"/>
                <w:szCs w:val="22"/>
              </w:rPr>
            </w:pPr>
            <w:r w:rsidRPr="00850C17">
              <w:rPr>
                <w:b/>
                <w:sz w:val="22"/>
                <w:szCs w:val="22"/>
              </w:rPr>
              <w:t xml:space="preserve">v) Describe how you would plan to improve data quality should it not meet, or subsequently fall below, the thresholds required for this indicator. </w:t>
            </w:r>
          </w:p>
          <w:p w14:paraId="764DABD1" w14:textId="1ACCAAA7" w:rsidR="00395707" w:rsidRPr="00850C17" w:rsidRDefault="00395707" w:rsidP="00395707">
            <w:pPr>
              <w:textboxTightWrap w:val="allLines"/>
              <w:rPr>
                <w:b/>
                <w:sz w:val="22"/>
                <w:szCs w:val="22"/>
              </w:rPr>
            </w:pPr>
            <w:r w:rsidRPr="00850C17">
              <w:rPr>
                <w:b/>
                <w:sz w:val="22"/>
                <w:szCs w:val="22"/>
              </w:rPr>
              <w:t xml:space="preserve">                                                                                                                  </w:t>
            </w:r>
          </w:p>
        </w:tc>
      </w:tr>
      <w:tr w:rsidR="00395707" w14:paraId="70C9EE1C" w14:textId="77777777" w:rsidTr="00395707">
        <w:tc>
          <w:tcPr>
            <w:tcW w:w="3261" w:type="dxa"/>
          </w:tcPr>
          <w:p w14:paraId="18274FE7" w14:textId="77777777" w:rsidR="00395707" w:rsidRPr="00850C17" w:rsidRDefault="00395707" w:rsidP="00395707">
            <w:pPr>
              <w:spacing w:before="240"/>
              <w:rPr>
                <w:b/>
                <w:sz w:val="22"/>
                <w:szCs w:val="22"/>
              </w:rPr>
            </w:pPr>
          </w:p>
        </w:tc>
        <w:tc>
          <w:tcPr>
            <w:tcW w:w="6740" w:type="dxa"/>
          </w:tcPr>
          <w:p w14:paraId="0DC088FC" w14:textId="77777777" w:rsidR="00395707" w:rsidRPr="00850C17" w:rsidRDefault="00395707" w:rsidP="00395707">
            <w:pPr>
              <w:textboxTightWrap w:val="allLines"/>
              <w:rPr>
                <w:b/>
                <w:sz w:val="22"/>
                <w:szCs w:val="22"/>
              </w:rPr>
            </w:pPr>
            <w:r w:rsidRPr="00850C17">
              <w:rPr>
                <w:b/>
                <w:sz w:val="22"/>
                <w:szCs w:val="22"/>
              </w:rPr>
              <w:t xml:space="preserve">vi) Who will own the data quality risks and issues for this indicator? </w:t>
            </w:r>
          </w:p>
          <w:p w14:paraId="2E53D2BC" w14:textId="77777777" w:rsidR="00395707" w:rsidRPr="00850C17" w:rsidRDefault="00395707" w:rsidP="00395707">
            <w:pPr>
              <w:textboxTightWrap w:val="allLines"/>
              <w:rPr>
                <w:sz w:val="22"/>
                <w:szCs w:val="22"/>
              </w:rPr>
            </w:pPr>
            <w:r w:rsidRPr="00850C17">
              <w:rPr>
                <w:b/>
                <w:sz w:val="22"/>
                <w:szCs w:val="22"/>
              </w:rPr>
              <w:t>Name:</w:t>
            </w:r>
            <w:r w:rsidRPr="00850C17">
              <w:rPr>
                <w:sz w:val="22"/>
                <w:szCs w:val="22"/>
              </w:rPr>
              <w:t xml:space="preserve">                               </w:t>
            </w:r>
          </w:p>
          <w:p w14:paraId="60C8500F" w14:textId="77777777" w:rsidR="00395707" w:rsidRPr="00850C17" w:rsidRDefault="00395707" w:rsidP="00395707">
            <w:pPr>
              <w:textboxTightWrap w:val="allLines"/>
              <w:rPr>
                <w:sz w:val="22"/>
                <w:szCs w:val="22"/>
              </w:rPr>
            </w:pPr>
            <w:r w:rsidRPr="00850C17">
              <w:rPr>
                <w:b/>
                <w:sz w:val="22"/>
                <w:szCs w:val="22"/>
              </w:rPr>
              <w:t>Job Title:</w:t>
            </w:r>
            <w:r w:rsidRPr="00850C17">
              <w:rPr>
                <w:sz w:val="22"/>
                <w:szCs w:val="22"/>
              </w:rPr>
              <w:t xml:space="preserve">                               </w:t>
            </w:r>
          </w:p>
          <w:p w14:paraId="7FB44083" w14:textId="77777777" w:rsidR="00395707" w:rsidRPr="00850C17" w:rsidRDefault="00395707" w:rsidP="00395707">
            <w:pPr>
              <w:textboxTightWrap w:val="allLines"/>
              <w:rPr>
                <w:sz w:val="22"/>
                <w:szCs w:val="22"/>
              </w:rPr>
            </w:pPr>
            <w:r w:rsidRPr="00850C17">
              <w:rPr>
                <w:b/>
                <w:sz w:val="22"/>
                <w:szCs w:val="22"/>
              </w:rPr>
              <w:t>Role:</w:t>
            </w:r>
            <w:r w:rsidRPr="00850C17">
              <w:rPr>
                <w:sz w:val="22"/>
                <w:szCs w:val="22"/>
              </w:rPr>
              <w:t xml:space="preserve">                               </w:t>
            </w:r>
          </w:p>
          <w:p w14:paraId="411BE577" w14:textId="77777777" w:rsidR="00395707" w:rsidRPr="00850C17" w:rsidRDefault="00395707" w:rsidP="00395707">
            <w:pPr>
              <w:textboxTightWrap w:val="allLines"/>
              <w:rPr>
                <w:sz w:val="22"/>
                <w:szCs w:val="22"/>
              </w:rPr>
            </w:pPr>
            <w:r w:rsidRPr="00850C17">
              <w:rPr>
                <w:b/>
                <w:sz w:val="22"/>
                <w:szCs w:val="22"/>
              </w:rPr>
              <w:t>Email:</w:t>
            </w:r>
            <w:r w:rsidRPr="00850C17">
              <w:rPr>
                <w:sz w:val="22"/>
                <w:szCs w:val="22"/>
              </w:rPr>
              <w:t xml:space="preserve">                               </w:t>
            </w:r>
          </w:p>
          <w:p w14:paraId="3731139B" w14:textId="663ED414" w:rsidR="00395707" w:rsidRPr="00850C17" w:rsidRDefault="00395707" w:rsidP="00395707">
            <w:pPr>
              <w:textboxTightWrap w:val="allLines"/>
              <w:rPr>
                <w:b/>
                <w:sz w:val="22"/>
                <w:szCs w:val="22"/>
              </w:rPr>
            </w:pPr>
            <w:r w:rsidRPr="00850C17">
              <w:rPr>
                <w:b/>
                <w:sz w:val="22"/>
                <w:szCs w:val="22"/>
              </w:rPr>
              <w:t>Telephone:</w:t>
            </w:r>
            <w:r w:rsidRPr="00850C17">
              <w:rPr>
                <w:sz w:val="22"/>
                <w:szCs w:val="22"/>
              </w:rPr>
              <w:t xml:space="preserve">                               </w:t>
            </w:r>
          </w:p>
        </w:tc>
      </w:tr>
      <w:tr w:rsidR="00395707" w14:paraId="5070CCB6" w14:textId="77777777" w:rsidTr="00395707">
        <w:tc>
          <w:tcPr>
            <w:tcW w:w="3261" w:type="dxa"/>
          </w:tcPr>
          <w:p w14:paraId="6B998B82" w14:textId="77777777" w:rsidR="00395707" w:rsidRPr="00850C17" w:rsidRDefault="00395707" w:rsidP="00395707">
            <w:pPr>
              <w:spacing w:before="240"/>
              <w:rPr>
                <w:b/>
                <w:sz w:val="22"/>
                <w:szCs w:val="22"/>
              </w:rPr>
            </w:pPr>
          </w:p>
        </w:tc>
        <w:tc>
          <w:tcPr>
            <w:tcW w:w="6740" w:type="dxa"/>
          </w:tcPr>
          <w:p w14:paraId="126A513D" w14:textId="77777777" w:rsidR="00395707" w:rsidRPr="00850C17" w:rsidRDefault="00395707" w:rsidP="00395707">
            <w:pPr>
              <w:spacing w:before="240"/>
              <w:textboxTightWrap w:val="allLines"/>
              <w:rPr>
                <w:sz w:val="22"/>
                <w:szCs w:val="22"/>
              </w:rPr>
            </w:pPr>
            <w:r w:rsidRPr="00850C17">
              <w:rPr>
                <w:b/>
                <w:sz w:val="22"/>
                <w:szCs w:val="22"/>
              </w:rPr>
              <w:t xml:space="preserve">vii) Describe how the data quality risks and issues will be managed for this indicator, including the escalation process. </w:t>
            </w:r>
          </w:p>
          <w:p w14:paraId="7C89E05A" w14:textId="13BB52F3" w:rsidR="00395707" w:rsidRPr="00850C17" w:rsidRDefault="00395707" w:rsidP="00395707">
            <w:pPr>
              <w:textboxTightWrap w:val="allLines"/>
              <w:rPr>
                <w:b/>
                <w:sz w:val="22"/>
                <w:szCs w:val="22"/>
              </w:rPr>
            </w:pPr>
            <w:r w:rsidRPr="00850C17">
              <w:rPr>
                <w:b/>
                <w:sz w:val="22"/>
                <w:szCs w:val="22"/>
              </w:rPr>
              <w:t xml:space="preserve">                                                                                                                  </w:t>
            </w:r>
          </w:p>
        </w:tc>
      </w:tr>
      <w:tr w:rsidR="00395707" w14:paraId="36381F0A" w14:textId="77777777" w:rsidTr="00395707">
        <w:tc>
          <w:tcPr>
            <w:tcW w:w="3261" w:type="dxa"/>
          </w:tcPr>
          <w:p w14:paraId="32BDC183" w14:textId="77777777" w:rsidR="00395707" w:rsidRPr="00850C17" w:rsidRDefault="00395707" w:rsidP="00395707">
            <w:pPr>
              <w:spacing w:before="240"/>
              <w:rPr>
                <w:b/>
                <w:sz w:val="22"/>
                <w:szCs w:val="22"/>
              </w:rPr>
            </w:pPr>
          </w:p>
        </w:tc>
        <w:tc>
          <w:tcPr>
            <w:tcW w:w="6740" w:type="dxa"/>
          </w:tcPr>
          <w:p w14:paraId="220B89AB" w14:textId="77777777" w:rsidR="00395707" w:rsidRPr="00850C17" w:rsidRDefault="00395707" w:rsidP="00395707">
            <w:pPr>
              <w:textboxTightWrap w:val="allLines"/>
              <w:rPr>
                <w:sz w:val="22"/>
                <w:szCs w:val="22"/>
              </w:rPr>
            </w:pPr>
            <w:r w:rsidRPr="00850C17">
              <w:rPr>
                <w:b/>
                <w:sz w:val="22"/>
                <w:szCs w:val="22"/>
              </w:rPr>
              <w:t xml:space="preserve">viii) Describe any assumptions you have made about data quality for this indicator. </w:t>
            </w:r>
          </w:p>
          <w:p w14:paraId="34B59C40" w14:textId="2FAD2017" w:rsidR="00395707" w:rsidRPr="00850C17" w:rsidRDefault="00395707" w:rsidP="00395707">
            <w:pPr>
              <w:spacing w:before="240"/>
              <w:textboxTightWrap w:val="allLines"/>
              <w:rPr>
                <w:b/>
                <w:sz w:val="22"/>
                <w:szCs w:val="22"/>
              </w:rPr>
            </w:pPr>
            <w:r w:rsidRPr="00850C17">
              <w:rPr>
                <w:b/>
                <w:sz w:val="22"/>
                <w:szCs w:val="22"/>
              </w:rPr>
              <w:t xml:space="preserve">                                                                                                                  </w:t>
            </w:r>
          </w:p>
        </w:tc>
      </w:tr>
      <w:tr w:rsidR="00395707" w14:paraId="779C394A" w14:textId="77777777" w:rsidTr="00395707">
        <w:tc>
          <w:tcPr>
            <w:tcW w:w="3261" w:type="dxa"/>
          </w:tcPr>
          <w:p w14:paraId="3BB092DE" w14:textId="77777777" w:rsidR="00395707" w:rsidRPr="00850C17" w:rsidRDefault="00395707" w:rsidP="00395707">
            <w:pPr>
              <w:spacing w:before="240"/>
              <w:rPr>
                <w:b/>
                <w:sz w:val="22"/>
                <w:szCs w:val="22"/>
              </w:rPr>
            </w:pPr>
          </w:p>
        </w:tc>
        <w:tc>
          <w:tcPr>
            <w:tcW w:w="6740" w:type="dxa"/>
          </w:tcPr>
          <w:p w14:paraId="3F4ECEC8" w14:textId="77777777" w:rsidR="00395707" w:rsidRPr="00850C17" w:rsidRDefault="00395707" w:rsidP="00395707">
            <w:pPr>
              <w:textboxTightWrap w:val="allLines"/>
              <w:rPr>
                <w:b/>
                <w:sz w:val="22"/>
                <w:szCs w:val="22"/>
              </w:rPr>
            </w:pPr>
            <w:r w:rsidRPr="00850C17">
              <w:rPr>
                <w:b/>
                <w:sz w:val="22"/>
                <w:szCs w:val="22"/>
              </w:rPr>
              <w:t>ix) Describe any data quality constraints you are aware of for this indicator.</w:t>
            </w:r>
            <w:r w:rsidRPr="00850C17">
              <w:rPr>
                <w:sz w:val="22"/>
                <w:szCs w:val="22"/>
              </w:rPr>
              <w:t xml:space="preserve"> </w:t>
            </w:r>
          </w:p>
          <w:p w14:paraId="7FFF1381" w14:textId="4D5FB515" w:rsidR="00395707" w:rsidRPr="00850C17" w:rsidRDefault="00395707" w:rsidP="00395707">
            <w:pPr>
              <w:textboxTightWrap w:val="allLines"/>
              <w:rPr>
                <w:b/>
                <w:sz w:val="22"/>
                <w:szCs w:val="22"/>
              </w:rPr>
            </w:pPr>
            <w:r w:rsidRPr="00850C17">
              <w:rPr>
                <w:b/>
                <w:sz w:val="22"/>
                <w:szCs w:val="22"/>
              </w:rPr>
              <w:t xml:space="preserve">                                                                                                                  </w:t>
            </w:r>
          </w:p>
        </w:tc>
      </w:tr>
      <w:tr w:rsidR="00395707" w14:paraId="755C88C0" w14:textId="77777777" w:rsidTr="00395707">
        <w:tc>
          <w:tcPr>
            <w:tcW w:w="3261" w:type="dxa"/>
          </w:tcPr>
          <w:p w14:paraId="13706039" w14:textId="77777777" w:rsidR="00395707" w:rsidRPr="00850C17" w:rsidRDefault="00395707" w:rsidP="00395707">
            <w:pPr>
              <w:spacing w:before="240"/>
              <w:rPr>
                <w:b/>
                <w:sz w:val="22"/>
                <w:szCs w:val="22"/>
              </w:rPr>
            </w:pPr>
          </w:p>
        </w:tc>
        <w:tc>
          <w:tcPr>
            <w:tcW w:w="6740" w:type="dxa"/>
          </w:tcPr>
          <w:p w14:paraId="79F716CC" w14:textId="77777777" w:rsidR="00395707" w:rsidRPr="00850C17" w:rsidRDefault="00395707" w:rsidP="00395707">
            <w:pPr>
              <w:spacing w:before="240"/>
              <w:rPr>
                <w:b/>
                <w:sz w:val="22"/>
                <w:szCs w:val="22"/>
              </w:rPr>
            </w:pPr>
            <w:r w:rsidRPr="00850C17">
              <w:rPr>
                <w:b/>
                <w:sz w:val="22"/>
                <w:szCs w:val="22"/>
              </w:rPr>
              <w:t xml:space="preserve">x) Additional data quality information: </w:t>
            </w:r>
          </w:p>
          <w:p w14:paraId="1732836D" w14:textId="77777777" w:rsidR="00395707" w:rsidRPr="00850C17" w:rsidRDefault="00395707" w:rsidP="00395707">
            <w:pPr>
              <w:spacing w:before="240"/>
              <w:rPr>
                <w:b/>
                <w:sz w:val="22"/>
                <w:szCs w:val="22"/>
              </w:rPr>
            </w:pPr>
            <w:r w:rsidRPr="00850C17">
              <w:rPr>
                <w:b/>
                <w:sz w:val="22"/>
                <w:szCs w:val="22"/>
              </w:rPr>
              <w:t xml:space="preserve">                                                                                                                 </w:t>
            </w:r>
          </w:p>
          <w:p w14:paraId="59282D3E" w14:textId="07E8B50F" w:rsidR="00395707" w:rsidRPr="00850C17" w:rsidRDefault="00395707" w:rsidP="00395707">
            <w:pPr>
              <w:textboxTightWrap w:val="allLines"/>
              <w:rPr>
                <w:b/>
                <w:sz w:val="22"/>
                <w:szCs w:val="22"/>
              </w:rPr>
            </w:pPr>
            <w:r w:rsidRPr="00850C17">
              <w:rPr>
                <w:b/>
                <w:sz w:val="22"/>
                <w:szCs w:val="22"/>
              </w:rPr>
              <w:t xml:space="preserve">                                                                                                                  </w:t>
            </w:r>
          </w:p>
        </w:tc>
      </w:tr>
      <w:tr w:rsidR="00395707" w14:paraId="55094866" w14:textId="77777777" w:rsidTr="00395707">
        <w:tc>
          <w:tcPr>
            <w:tcW w:w="3261" w:type="dxa"/>
          </w:tcPr>
          <w:p w14:paraId="29E7ECBF" w14:textId="602B4559" w:rsidR="00395707" w:rsidRPr="00850C17" w:rsidRDefault="00395707" w:rsidP="00395707">
            <w:pPr>
              <w:spacing w:before="240"/>
              <w:rPr>
                <w:b/>
                <w:sz w:val="22"/>
                <w:szCs w:val="22"/>
              </w:rPr>
            </w:pPr>
            <w:r w:rsidRPr="00850C17">
              <w:rPr>
                <w:b/>
                <w:sz w:val="22"/>
                <w:szCs w:val="22"/>
              </w:rPr>
              <w:t>Quality assurance</w:t>
            </w:r>
          </w:p>
        </w:tc>
        <w:tc>
          <w:tcPr>
            <w:tcW w:w="6740" w:type="dxa"/>
          </w:tcPr>
          <w:p w14:paraId="41723287" w14:textId="77777777" w:rsidR="00395707" w:rsidRPr="00850C17" w:rsidRDefault="00395707" w:rsidP="00395707">
            <w:pPr>
              <w:spacing w:before="240"/>
              <w:rPr>
                <w:b/>
                <w:sz w:val="22"/>
                <w:szCs w:val="22"/>
              </w:rPr>
            </w:pPr>
          </w:p>
        </w:tc>
      </w:tr>
      <w:tr w:rsidR="00395707" w14:paraId="3DCD89D3" w14:textId="77777777" w:rsidTr="00395707">
        <w:tc>
          <w:tcPr>
            <w:tcW w:w="3261" w:type="dxa"/>
          </w:tcPr>
          <w:p w14:paraId="0C386B26" w14:textId="112D2D76" w:rsidR="00395707" w:rsidRPr="00850C17" w:rsidRDefault="00395707" w:rsidP="00395707">
            <w:pPr>
              <w:spacing w:before="240"/>
              <w:rPr>
                <w:b/>
                <w:sz w:val="22"/>
                <w:szCs w:val="22"/>
              </w:rPr>
            </w:pPr>
            <w:r w:rsidRPr="00850C17">
              <w:rPr>
                <w:b/>
                <w:sz w:val="22"/>
                <w:szCs w:val="22"/>
              </w:rPr>
              <w:t>Data linkage</w:t>
            </w:r>
          </w:p>
        </w:tc>
        <w:tc>
          <w:tcPr>
            <w:tcW w:w="6740" w:type="dxa"/>
          </w:tcPr>
          <w:p w14:paraId="6B733538" w14:textId="77777777" w:rsidR="00395707" w:rsidRPr="00850C17" w:rsidRDefault="00395707" w:rsidP="00395707">
            <w:pPr>
              <w:spacing w:before="240"/>
              <w:rPr>
                <w:b/>
                <w:sz w:val="22"/>
                <w:szCs w:val="22"/>
              </w:rPr>
            </w:pPr>
          </w:p>
        </w:tc>
      </w:tr>
      <w:tr w:rsidR="00395707" w14:paraId="418E7CAD" w14:textId="77777777" w:rsidTr="00395707">
        <w:tc>
          <w:tcPr>
            <w:tcW w:w="3261" w:type="dxa"/>
          </w:tcPr>
          <w:p w14:paraId="5928D3AB" w14:textId="1251C880" w:rsidR="00395707" w:rsidRPr="00850C17" w:rsidRDefault="00395707" w:rsidP="00395707">
            <w:pPr>
              <w:spacing w:before="240"/>
              <w:rPr>
                <w:b/>
                <w:sz w:val="22"/>
                <w:szCs w:val="22"/>
              </w:rPr>
            </w:pPr>
            <w:r w:rsidRPr="00850C17">
              <w:rPr>
                <w:b/>
                <w:sz w:val="22"/>
                <w:szCs w:val="22"/>
              </w:rPr>
              <w:t>Quality of data linkage</w:t>
            </w:r>
          </w:p>
        </w:tc>
        <w:tc>
          <w:tcPr>
            <w:tcW w:w="6740" w:type="dxa"/>
          </w:tcPr>
          <w:p w14:paraId="0E4D2B9A" w14:textId="77777777" w:rsidR="00395707" w:rsidRPr="00850C17" w:rsidRDefault="00395707" w:rsidP="00395707">
            <w:pPr>
              <w:spacing w:before="240"/>
              <w:rPr>
                <w:b/>
                <w:sz w:val="22"/>
                <w:szCs w:val="22"/>
              </w:rPr>
            </w:pPr>
          </w:p>
        </w:tc>
      </w:tr>
      <w:tr w:rsidR="00395707" w14:paraId="5721B6AA" w14:textId="77777777" w:rsidTr="00395707">
        <w:tc>
          <w:tcPr>
            <w:tcW w:w="3261" w:type="dxa"/>
          </w:tcPr>
          <w:p w14:paraId="44E53D76" w14:textId="4369866D" w:rsidR="00395707" w:rsidRPr="00850C17" w:rsidRDefault="00395707" w:rsidP="00395707">
            <w:pPr>
              <w:spacing w:before="240"/>
              <w:rPr>
                <w:b/>
                <w:sz w:val="22"/>
                <w:szCs w:val="22"/>
              </w:rPr>
            </w:pPr>
            <w:r w:rsidRPr="00850C17">
              <w:rPr>
                <w:b/>
                <w:sz w:val="22"/>
                <w:szCs w:val="22"/>
              </w:rPr>
              <w:t>Data fields</w:t>
            </w:r>
          </w:p>
        </w:tc>
        <w:tc>
          <w:tcPr>
            <w:tcW w:w="6740" w:type="dxa"/>
          </w:tcPr>
          <w:p w14:paraId="4256E84D" w14:textId="77777777" w:rsidR="00395707" w:rsidRPr="00850C17" w:rsidRDefault="00395707" w:rsidP="00395707">
            <w:pPr>
              <w:autoSpaceDE w:val="0"/>
              <w:autoSpaceDN w:val="0"/>
              <w:adjustRightInd w:val="0"/>
              <w:spacing w:after="0"/>
              <w:textboxTightWrap w:val="none"/>
              <w:rPr>
                <w:sz w:val="22"/>
                <w:szCs w:val="22"/>
              </w:rPr>
            </w:pPr>
            <w:r w:rsidRPr="00850C17">
              <w:rPr>
                <w:sz w:val="22"/>
                <w:szCs w:val="22"/>
              </w:rPr>
              <w:t xml:space="preserve"> The data fields supplied by GPES are as follows. Details of GPES are available from</w:t>
            </w:r>
          </w:p>
          <w:p w14:paraId="1B1AB09C" w14:textId="77777777" w:rsidR="00395707" w:rsidRPr="00850C17" w:rsidRDefault="00395707" w:rsidP="00395707">
            <w:pPr>
              <w:autoSpaceDE w:val="0"/>
              <w:autoSpaceDN w:val="0"/>
              <w:adjustRightInd w:val="0"/>
              <w:spacing w:after="0"/>
              <w:textboxTightWrap w:val="none"/>
              <w:rPr>
                <w:sz w:val="22"/>
                <w:szCs w:val="22"/>
              </w:rPr>
            </w:pPr>
            <w:hyperlink r:id="rId8" w:history="1">
              <w:r w:rsidRPr="00850C17">
                <w:rPr>
                  <w:rStyle w:val="Hyperlink"/>
                  <w:rFonts w:ascii="Arial" w:hAnsi="Arial"/>
                  <w:color w:val="auto"/>
                  <w:sz w:val="22"/>
                  <w:szCs w:val="22"/>
                </w:rPr>
                <w:t>http://content.digital.nhs.uk/gpes</w:t>
              </w:r>
            </w:hyperlink>
            <w:r w:rsidRPr="00850C17">
              <w:rPr>
                <w:sz w:val="22"/>
                <w:szCs w:val="22"/>
              </w:rPr>
              <w:t>.</w:t>
            </w:r>
          </w:p>
          <w:p w14:paraId="69F613F5" w14:textId="77777777" w:rsidR="00395707" w:rsidRPr="00850C17" w:rsidRDefault="00395707" w:rsidP="00395707">
            <w:pPr>
              <w:autoSpaceDE w:val="0"/>
              <w:autoSpaceDN w:val="0"/>
              <w:adjustRightInd w:val="0"/>
              <w:spacing w:after="0"/>
              <w:textboxTightWrap w:val="none"/>
              <w:rPr>
                <w:sz w:val="22"/>
                <w:szCs w:val="22"/>
              </w:rPr>
            </w:pPr>
            <w:r w:rsidRPr="00850C17">
              <w:rPr>
                <w:sz w:val="22"/>
                <w:szCs w:val="22"/>
              </w:rPr>
              <w:t>Practice_ID – GP practice code</w:t>
            </w:r>
          </w:p>
          <w:p w14:paraId="20687C31" w14:textId="77777777" w:rsidR="00395707" w:rsidRPr="00850C17" w:rsidRDefault="00395707" w:rsidP="00395707">
            <w:pPr>
              <w:autoSpaceDE w:val="0"/>
              <w:autoSpaceDN w:val="0"/>
              <w:adjustRightInd w:val="0"/>
              <w:spacing w:after="0"/>
              <w:textboxTightWrap w:val="none"/>
              <w:rPr>
                <w:sz w:val="22"/>
                <w:szCs w:val="22"/>
              </w:rPr>
            </w:pPr>
            <w:r w:rsidRPr="00850C17">
              <w:rPr>
                <w:sz w:val="22"/>
                <w:szCs w:val="22"/>
              </w:rPr>
              <w:t>RID – unique count of records associated to a GP practice</w:t>
            </w:r>
          </w:p>
          <w:p w14:paraId="637123A3" w14:textId="77777777" w:rsidR="00395707" w:rsidRPr="00850C17" w:rsidRDefault="00395707" w:rsidP="00395707">
            <w:pPr>
              <w:autoSpaceDE w:val="0"/>
              <w:autoSpaceDN w:val="0"/>
              <w:adjustRightInd w:val="0"/>
              <w:spacing w:after="0"/>
              <w:textboxTightWrap w:val="none"/>
              <w:rPr>
                <w:sz w:val="22"/>
                <w:szCs w:val="22"/>
              </w:rPr>
            </w:pPr>
            <w:r w:rsidRPr="00850C17">
              <w:rPr>
                <w:sz w:val="22"/>
                <w:szCs w:val="22"/>
              </w:rPr>
              <w:t>AID – unique record identifier for a GP practice</w:t>
            </w:r>
          </w:p>
          <w:p w14:paraId="2973B634" w14:textId="06711B21" w:rsidR="00395707" w:rsidRPr="00850C17" w:rsidRDefault="00395707" w:rsidP="00395707">
            <w:pPr>
              <w:spacing w:before="240"/>
              <w:rPr>
                <w:b/>
                <w:sz w:val="22"/>
                <w:szCs w:val="22"/>
              </w:rPr>
            </w:pPr>
            <w:r w:rsidRPr="00850C17">
              <w:rPr>
                <w:sz w:val="22"/>
                <w:szCs w:val="22"/>
              </w:rPr>
              <w:t>Aggregate Record – includes numbers for the denominator/ numerator and reporting periods</w:t>
            </w:r>
          </w:p>
        </w:tc>
      </w:tr>
      <w:tr w:rsidR="00395707" w14:paraId="450AD7AA" w14:textId="77777777" w:rsidTr="00395707">
        <w:tc>
          <w:tcPr>
            <w:tcW w:w="3261" w:type="dxa"/>
          </w:tcPr>
          <w:p w14:paraId="4C0073B1" w14:textId="77777777" w:rsidR="00395707" w:rsidRPr="00850C17" w:rsidRDefault="00395707" w:rsidP="00395707">
            <w:pPr>
              <w:spacing w:before="240" w:after="0"/>
              <w:ind w:left="34"/>
              <w:rPr>
                <w:b/>
                <w:sz w:val="22"/>
                <w:szCs w:val="22"/>
              </w:rPr>
            </w:pPr>
            <w:r w:rsidRPr="00850C17">
              <w:rPr>
                <w:b/>
                <w:sz w:val="22"/>
                <w:szCs w:val="22"/>
              </w:rPr>
              <w:t>Data filters</w:t>
            </w:r>
          </w:p>
          <w:p w14:paraId="4A10B08C" w14:textId="77777777" w:rsidR="00395707" w:rsidRPr="00850C17" w:rsidRDefault="00395707" w:rsidP="00395707">
            <w:pPr>
              <w:spacing w:before="240"/>
              <w:rPr>
                <w:b/>
                <w:sz w:val="22"/>
                <w:szCs w:val="22"/>
              </w:rPr>
            </w:pPr>
          </w:p>
        </w:tc>
        <w:tc>
          <w:tcPr>
            <w:tcW w:w="6740" w:type="dxa"/>
          </w:tcPr>
          <w:p w14:paraId="7D51C54B" w14:textId="48632C76" w:rsidR="00395707" w:rsidRPr="00850C17" w:rsidRDefault="00395707" w:rsidP="00395707">
            <w:pPr>
              <w:autoSpaceDE w:val="0"/>
              <w:autoSpaceDN w:val="0"/>
              <w:adjustRightInd w:val="0"/>
              <w:spacing w:after="0"/>
              <w:textboxTightWrap w:val="none"/>
              <w:rPr>
                <w:sz w:val="22"/>
                <w:szCs w:val="22"/>
              </w:rPr>
            </w:pPr>
            <w:r w:rsidRPr="00850C17">
              <w:rPr>
                <w:sz w:val="22"/>
                <w:szCs w:val="22"/>
              </w:rPr>
              <w:t>The comprehensive list of criteria applied when selecting records for the numerator and denominator can be found in the appendices of the specification document:</w:t>
            </w:r>
            <w:r w:rsidRPr="00850C17">
              <w:rPr>
                <w:sz w:val="22"/>
                <w:szCs w:val="22"/>
              </w:rPr>
              <w:br/>
            </w:r>
            <w:hyperlink r:id="rId9" w:history="1">
              <w:r w:rsidRPr="00850C17">
                <w:rPr>
                  <w:rStyle w:val="Hyperlink"/>
                  <w:rFonts w:ascii="Arial" w:hAnsi="Arial"/>
                  <w:color w:val="auto"/>
                  <w:sz w:val="22"/>
                  <w:szCs w:val="22"/>
                </w:rPr>
                <w:t>https://indicators.hscic.gov.uk/download/Clinical%20Commissioning%20Group%20Indicators/Specification/CCG_1.12_I00777_S.pdf</w:t>
              </w:r>
            </w:hyperlink>
            <w:r w:rsidRPr="00850C17">
              <w:rPr>
                <w:sz w:val="22"/>
                <w:szCs w:val="22"/>
              </w:rPr>
              <w:t xml:space="preserve"> </w:t>
            </w:r>
          </w:p>
        </w:tc>
      </w:tr>
      <w:tr w:rsidR="00395707" w14:paraId="04BA2FB2" w14:textId="77777777" w:rsidTr="00395707">
        <w:tc>
          <w:tcPr>
            <w:tcW w:w="3261" w:type="dxa"/>
          </w:tcPr>
          <w:p w14:paraId="75C465BA" w14:textId="77777777" w:rsidR="00395707" w:rsidRPr="00850C17" w:rsidRDefault="00395707" w:rsidP="00395707">
            <w:pPr>
              <w:spacing w:before="240"/>
              <w:ind w:left="34"/>
              <w:rPr>
                <w:b/>
                <w:sz w:val="22"/>
                <w:szCs w:val="22"/>
              </w:rPr>
            </w:pPr>
            <w:r w:rsidRPr="00850C17">
              <w:rPr>
                <w:b/>
                <w:sz w:val="22"/>
                <w:szCs w:val="22"/>
              </w:rPr>
              <w:t xml:space="preserve">Justifications of inclusions and exclusions </w:t>
            </w:r>
          </w:p>
          <w:p w14:paraId="13875DB4" w14:textId="0A7F74E7" w:rsidR="00395707" w:rsidRPr="00850C17" w:rsidRDefault="00395707" w:rsidP="00395707">
            <w:pPr>
              <w:spacing w:before="240" w:after="0"/>
              <w:ind w:left="34"/>
              <w:rPr>
                <w:b/>
                <w:sz w:val="22"/>
                <w:szCs w:val="22"/>
              </w:rPr>
            </w:pPr>
            <w:r w:rsidRPr="00850C17">
              <w:rPr>
                <w:sz w:val="22"/>
                <w:szCs w:val="22"/>
              </w:rPr>
              <w:t>and how these adhere to standard definitions</w:t>
            </w:r>
          </w:p>
        </w:tc>
        <w:tc>
          <w:tcPr>
            <w:tcW w:w="6740" w:type="dxa"/>
          </w:tcPr>
          <w:p w14:paraId="4B227A49" w14:textId="77777777" w:rsidR="00395707" w:rsidRPr="00850C17" w:rsidRDefault="00395707" w:rsidP="00395707">
            <w:pPr>
              <w:autoSpaceDE w:val="0"/>
              <w:autoSpaceDN w:val="0"/>
              <w:adjustRightInd w:val="0"/>
              <w:spacing w:after="0"/>
              <w:textboxTightWrap w:val="none"/>
              <w:rPr>
                <w:sz w:val="22"/>
                <w:szCs w:val="22"/>
              </w:rPr>
            </w:pPr>
          </w:p>
        </w:tc>
      </w:tr>
      <w:tr w:rsidR="00395707" w14:paraId="4262027C" w14:textId="77777777" w:rsidTr="00395707">
        <w:tc>
          <w:tcPr>
            <w:tcW w:w="3261" w:type="dxa"/>
          </w:tcPr>
          <w:p w14:paraId="72599DED" w14:textId="4506151B" w:rsidR="00395707" w:rsidRPr="00850C17" w:rsidRDefault="00395707" w:rsidP="00395707">
            <w:pPr>
              <w:spacing w:before="240"/>
              <w:ind w:left="34"/>
              <w:rPr>
                <w:b/>
                <w:sz w:val="22"/>
                <w:szCs w:val="22"/>
              </w:rPr>
            </w:pPr>
            <w:r w:rsidRPr="00850C17">
              <w:rPr>
                <w:b/>
                <w:sz w:val="22"/>
                <w:szCs w:val="22"/>
              </w:rPr>
              <w:t>Data processing</w:t>
            </w:r>
          </w:p>
        </w:tc>
        <w:tc>
          <w:tcPr>
            <w:tcW w:w="6740" w:type="dxa"/>
          </w:tcPr>
          <w:p w14:paraId="730C8548" w14:textId="77777777" w:rsidR="00395707" w:rsidRPr="00850C17" w:rsidRDefault="00395707" w:rsidP="00395707">
            <w:pPr>
              <w:autoSpaceDE w:val="0"/>
              <w:autoSpaceDN w:val="0"/>
              <w:adjustRightInd w:val="0"/>
              <w:spacing w:after="0"/>
              <w:textboxTightWrap w:val="none"/>
              <w:rPr>
                <w:sz w:val="22"/>
                <w:szCs w:val="22"/>
              </w:rPr>
            </w:pPr>
          </w:p>
        </w:tc>
      </w:tr>
      <w:tr w:rsidR="00395707" w14:paraId="4B36D95F" w14:textId="77777777" w:rsidTr="00395707">
        <w:tc>
          <w:tcPr>
            <w:tcW w:w="3261" w:type="dxa"/>
          </w:tcPr>
          <w:p w14:paraId="06B62627" w14:textId="1A09C1E2" w:rsidR="00395707" w:rsidRPr="00850C17" w:rsidRDefault="00395707" w:rsidP="00395707">
            <w:pPr>
              <w:spacing w:before="240"/>
              <w:ind w:left="34"/>
              <w:rPr>
                <w:b/>
                <w:sz w:val="22"/>
                <w:szCs w:val="22"/>
              </w:rPr>
            </w:pPr>
            <w:r w:rsidRPr="00850C17">
              <w:rPr>
                <w:b/>
                <w:sz w:val="22"/>
                <w:szCs w:val="22"/>
              </w:rPr>
              <w:t>Numerator</w:t>
            </w:r>
          </w:p>
        </w:tc>
        <w:tc>
          <w:tcPr>
            <w:tcW w:w="6740" w:type="dxa"/>
          </w:tcPr>
          <w:p w14:paraId="035FB088" w14:textId="77777777" w:rsidR="00395707" w:rsidRPr="00850C17" w:rsidRDefault="00395707" w:rsidP="00395707">
            <w:pPr>
              <w:spacing w:before="240"/>
              <w:rPr>
                <w:sz w:val="22"/>
                <w:szCs w:val="22"/>
              </w:rPr>
            </w:pPr>
            <w:r w:rsidRPr="00850C17">
              <w:rPr>
                <w:sz w:val="22"/>
                <w:szCs w:val="22"/>
              </w:rPr>
              <w:t>The number of people in the denominator who have a record of a complete list of physical checks appropriate to their age and condition in the preceding 12 months:</w:t>
            </w:r>
          </w:p>
          <w:p w14:paraId="0903F214" w14:textId="77777777" w:rsidR="00395707" w:rsidRPr="00850C17" w:rsidRDefault="00395707" w:rsidP="00395707">
            <w:pPr>
              <w:spacing w:before="240"/>
              <w:rPr>
                <w:sz w:val="22"/>
                <w:szCs w:val="22"/>
              </w:rPr>
            </w:pPr>
            <w:r w:rsidRPr="00850C17">
              <w:rPr>
                <w:sz w:val="22"/>
                <w:szCs w:val="22"/>
              </w:rPr>
              <w:t>• body mass index (BMI),</w:t>
            </w:r>
          </w:p>
          <w:p w14:paraId="776AA43B" w14:textId="77777777" w:rsidR="00395707" w:rsidRPr="00850C17" w:rsidRDefault="00395707" w:rsidP="00395707">
            <w:pPr>
              <w:spacing w:before="240"/>
              <w:rPr>
                <w:sz w:val="22"/>
                <w:szCs w:val="22"/>
              </w:rPr>
            </w:pPr>
            <w:r w:rsidRPr="00850C17">
              <w:rPr>
                <w:sz w:val="22"/>
                <w:szCs w:val="22"/>
              </w:rPr>
              <w:t>• blood pressure,</w:t>
            </w:r>
          </w:p>
          <w:p w14:paraId="512B69C3" w14:textId="77777777" w:rsidR="00395707" w:rsidRPr="00850C17" w:rsidRDefault="00395707" w:rsidP="00395707">
            <w:pPr>
              <w:spacing w:before="240"/>
              <w:rPr>
                <w:sz w:val="22"/>
                <w:szCs w:val="22"/>
              </w:rPr>
            </w:pPr>
            <w:r w:rsidRPr="00850C17">
              <w:rPr>
                <w:sz w:val="22"/>
                <w:szCs w:val="22"/>
              </w:rPr>
              <w:t>• ratio of total cholesterol:hdl (high-density lipoprotein cholesterol or "good cholesterol.")* †,</w:t>
            </w:r>
          </w:p>
          <w:p w14:paraId="09854146" w14:textId="77777777" w:rsidR="00395707" w:rsidRPr="00850C17" w:rsidRDefault="00395707" w:rsidP="00395707">
            <w:pPr>
              <w:spacing w:before="240"/>
              <w:rPr>
                <w:sz w:val="22"/>
                <w:szCs w:val="22"/>
              </w:rPr>
            </w:pPr>
            <w:r w:rsidRPr="00850C17">
              <w:rPr>
                <w:sz w:val="22"/>
                <w:szCs w:val="22"/>
              </w:rPr>
              <w:t>• blood glucose or HbA1c (glycated haemoglobin)*,</w:t>
            </w:r>
          </w:p>
          <w:p w14:paraId="5825CF54" w14:textId="77777777" w:rsidR="00395707" w:rsidRPr="00850C17" w:rsidRDefault="00395707" w:rsidP="00395707">
            <w:pPr>
              <w:spacing w:before="240"/>
              <w:rPr>
                <w:sz w:val="22"/>
                <w:szCs w:val="22"/>
              </w:rPr>
            </w:pPr>
            <w:r w:rsidRPr="00850C17">
              <w:rPr>
                <w:sz w:val="22"/>
                <w:szCs w:val="22"/>
              </w:rPr>
              <w:t>• alcohol consumption and</w:t>
            </w:r>
          </w:p>
          <w:p w14:paraId="3D8FAC7F" w14:textId="77777777" w:rsidR="00395707" w:rsidRPr="00850C17" w:rsidRDefault="00395707" w:rsidP="00395707">
            <w:pPr>
              <w:spacing w:before="240"/>
              <w:rPr>
                <w:sz w:val="22"/>
                <w:szCs w:val="22"/>
              </w:rPr>
            </w:pPr>
            <w:r w:rsidRPr="00850C17">
              <w:rPr>
                <w:sz w:val="22"/>
                <w:szCs w:val="22"/>
              </w:rPr>
              <w:t>• smoking status.</w:t>
            </w:r>
          </w:p>
          <w:p w14:paraId="4BD95BF4" w14:textId="77777777" w:rsidR="00395707" w:rsidRPr="00850C17" w:rsidRDefault="00395707" w:rsidP="00395707">
            <w:pPr>
              <w:spacing w:before="240"/>
              <w:rPr>
                <w:sz w:val="22"/>
                <w:szCs w:val="22"/>
              </w:rPr>
            </w:pPr>
            <w:r w:rsidRPr="00850C17">
              <w:rPr>
                <w:sz w:val="22"/>
                <w:szCs w:val="22"/>
              </w:rPr>
              <w:t>* These two tests are only relevant to people aged 40 or over. Therefore, the complete list of tests refers to only the four relevant tests for people aged under 40</w:t>
            </w:r>
          </w:p>
          <w:p w14:paraId="14E25DD8" w14:textId="6CA974FB" w:rsidR="00395707" w:rsidRPr="00850C17" w:rsidRDefault="00395707" w:rsidP="00395707">
            <w:pPr>
              <w:autoSpaceDE w:val="0"/>
              <w:autoSpaceDN w:val="0"/>
              <w:adjustRightInd w:val="0"/>
              <w:spacing w:after="0"/>
              <w:textboxTightWrap w:val="none"/>
              <w:rPr>
                <w:sz w:val="22"/>
                <w:szCs w:val="22"/>
              </w:rPr>
            </w:pPr>
            <w:r w:rsidRPr="00850C17">
              <w:rPr>
                <w:sz w:val="22"/>
                <w:szCs w:val="22"/>
              </w:rPr>
              <w:t>† This test is not relevant for patients aged 40 and over with established CVD. Therefore, the complete list of tests refers to only the other five tests for people aged 40 and over with established CVD</w:t>
            </w:r>
          </w:p>
        </w:tc>
      </w:tr>
      <w:tr w:rsidR="00395707" w14:paraId="46B871B6" w14:textId="77777777" w:rsidTr="00395707">
        <w:tc>
          <w:tcPr>
            <w:tcW w:w="3261" w:type="dxa"/>
          </w:tcPr>
          <w:p w14:paraId="7AE8A693" w14:textId="2CEF2E62" w:rsidR="00395707" w:rsidRPr="00850C17" w:rsidRDefault="00395707" w:rsidP="00395707">
            <w:pPr>
              <w:spacing w:before="240"/>
              <w:ind w:left="34"/>
              <w:rPr>
                <w:b/>
                <w:sz w:val="22"/>
                <w:szCs w:val="22"/>
              </w:rPr>
            </w:pPr>
            <w:r w:rsidRPr="00850C17">
              <w:rPr>
                <w:b/>
                <w:sz w:val="22"/>
                <w:szCs w:val="22"/>
              </w:rPr>
              <w:t>Denominator</w:t>
            </w:r>
          </w:p>
        </w:tc>
        <w:tc>
          <w:tcPr>
            <w:tcW w:w="6740" w:type="dxa"/>
          </w:tcPr>
          <w:p w14:paraId="4A4B52E8" w14:textId="6ED32237" w:rsidR="00395707" w:rsidRPr="00850C17" w:rsidRDefault="00395707" w:rsidP="00395707">
            <w:pPr>
              <w:spacing w:before="240"/>
              <w:rPr>
                <w:sz w:val="22"/>
                <w:szCs w:val="22"/>
              </w:rPr>
            </w:pPr>
            <w:r w:rsidRPr="00850C17">
              <w:rPr>
                <w:sz w:val="22"/>
                <w:szCs w:val="22"/>
              </w:rPr>
              <w:t>The number of people on the GP list at 31 March with a diagnosis of SMI. Patients identified for this indicator have one or more of the diagnosis codes for schizophrenia, bipolar affective disorder or other psychoses in their electronic health record and their latest mental health diagnosis is not in remission.</w:t>
            </w:r>
          </w:p>
        </w:tc>
      </w:tr>
      <w:tr w:rsidR="00395707" w14:paraId="1D88BF1C" w14:textId="77777777" w:rsidTr="00395707">
        <w:tc>
          <w:tcPr>
            <w:tcW w:w="3261" w:type="dxa"/>
          </w:tcPr>
          <w:p w14:paraId="19BE91BB" w14:textId="22184E0B" w:rsidR="00395707" w:rsidRPr="00850C17" w:rsidRDefault="00395707" w:rsidP="00395707">
            <w:pPr>
              <w:spacing w:before="240"/>
              <w:ind w:left="34"/>
              <w:rPr>
                <w:b/>
                <w:sz w:val="22"/>
                <w:szCs w:val="22"/>
              </w:rPr>
            </w:pPr>
            <w:r w:rsidRPr="00850C17">
              <w:rPr>
                <w:b/>
                <w:sz w:val="22"/>
                <w:szCs w:val="22"/>
              </w:rPr>
              <w:t>Computation</w:t>
            </w:r>
          </w:p>
        </w:tc>
        <w:tc>
          <w:tcPr>
            <w:tcW w:w="6740" w:type="dxa"/>
          </w:tcPr>
          <w:p w14:paraId="3EE9770B" w14:textId="1976D0AB" w:rsidR="00395707" w:rsidRPr="00850C17" w:rsidRDefault="00395707" w:rsidP="00395707">
            <w:pPr>
              <w:spacing w:before="240"/>
              <w:rPr>
                <w:sz w:val="22"/>
                <w:szCs w:val="22"/>
              </w:rPr>
            </w:pPr>
            <w:r w:rsidRPr="00850C17">
              <w:rPr>
                <w:sz w:val="22"/>
                <w:szCs w:val="22"/>
              </w:rPr>
              <w:t>The indicator value is calculated as the percentage of the denominator that the numerator representes.</w:t>
            </w:r>
          </w:p>
        </w:tc>
      </w:tr>
      <w:tr w:rsidR="00395707" w14:paraId="5F4D0B93" w14:textId="77777777" w:rsidTr="00395707">
        <w:tc>
          <w:tcPr>
            <w:tcW w:w="3261" w:type="dxa"/>
          </w:tcPr>
          <w:p w14:paraId="105EFACB" w14:textId="29C1FF7D" w:rsidR="00395707" w:rsidRPr="00850C17" w:rsidRDefault="00395707" w:rsidP="00395707">
            <w:pPr>
              <w:spacing w:before="240"/>
              <w:ind w:left="34"/>
              <w:rPr>
                <w:b/>
                <w:sz w:val="22"/>
                <w:szCs w:val="22"/>
              </w:rPr>
            </w:pPr>
            <w:r w:rsidRPr="00850C17">
              <w:rPr>
                <w:b/>
                <w:sz w:val="22"/>
                <w:szCs w:val="22"/>
              </w:rPr>
              <w:t>Risk adjustment or standardisation type and methodology</w:t>
            </w:r>
          </w:p>
        </w:tc>
        <w:tc>
          <w:tcPr>
            <w:tcW w:w="6740" w:type="dxa"/>
          </w:tcPr>
          <w:sdt>
            <w:sdtPr>
              <w:rPr>
                <w:b/>
                <w:sz w:val="22"/>
                <w:szCs w:val="22"/>
              </w:rPr>
              <w:alias w:val="Risk adjustment type"/>
              <w:tag w:val="Risk adjustment type"/>
              <w:id w:val="1214319314"/>
              <w:dropDownList>
                <w:listItem w:value="Choose an item."/>
                <w:listItem w:displayText="Direct Standardisation" w:value="Direct Standardisation"/>
                <w:listItem w:displayText="Indirect Standardisation" w:value="Indirect Standardisation"/>
                <w:listItem w:displayText="Weighting Methodology" w:value="Weighting Methodology"/>
                <w:listItem w:displayText="Regression Model" w:value="Regression Model"/>
                <w:listItem w:displayText="None" w:value="None"/>
              </w:dropDownList>
            </w:sdtPr>
            <w:sdtEndPr>
              <w:rPr>
                <w:b w:val="0"/>
              </w:rPr>
            </w:sdtEndPr>
            <w:sdtContent>
              <w:p w14:paraId="12732645" w14:textId="77777777" w:rsidR="00395707" w:rsidRPr="00850C17" w:rsidRDefault="00395707" w:rsidP="00395707">
                <w:pPr>
                  <w:spacing w:before="240"/>
                  <w:rPr>
                    <w:sz w:val="22"/>
                    <w:szCs w:val="22"/>
                  </w:rPr>
                </w:pPr>
                <w:r w:rsidRPr="00850C17">
                  <w:rPr>
                    <w:b/>
                    <w:sz w:val="22"/>
                    <w:szCs w:val="22"/>
                  </w:rPr>
                  <w:t>None</w:t>
                </w:r>
              </w:p>
            </w:sdtContent>
          </w:sdt>
          <w:p w14:paraId="668FDFF5" w14:textId="77777777" w:rsidR="00395707" w:rsidRPr="00850C17" w:rsidRDefault="00395707" w:rsidP="00395707">
            <w:pPr>
              <w:spacing w:before="240"/>
              <w:rPr>
                <w:i/>
                <w:sz w:val="22"/>
                <w:szCs w:val="22"/>
              </w:rPr>
            </w:pPr>
            <w:r w:rsidRPr="00850C17">
              <w:rPr>
                <w:i/>
                <w:sz w:val="22"/>
                <w:szCs w:val="22"/>
              </w:rPr>
              <w:t>Variables and methodology:</w:t>
            </w:r>
          </w:p>
          <w:p w14:paraId="26C7EFF3" w14:textId="77777777" w:rsidR="00395707" w:rsidRPr="00850C17" w:rsidRDefault="00395707" w:rsidP="00395707">
            <w:pPr>
              <w:spacing w:before="240"/>
              <w:rPr>
                <w:sz w:val="22"/>
                <w:szCs w:val="22"/>
              </w:rPr>
            </w:pPr>
          </w:p>
        </w:tc>
      </w:tr>
      <w:tr w:rsidR="00395707" w14:paraId="6C96415E" w14:textId="77777777" w:rsidTr="00395707">
        <w:tc>
          <w:tcPr>
            <w:tcW w:w="3261" w:type="dxa"/>
          </w:tcPr>
          <w:p w14:paraId="5B56B6DF" w14:textId="77777777" w:rsidR="00395707" w:rsidRPr="00850C17" w:rsidRDefault="00395707" w:rsidP="00395707">
            <w:pPr>
              <w:spacing w:before="240"/>
              <w:ind w:left="34"/>
              <w:rPr>
                <w:b/>
                <w:sz w:val="22"/>
                <w:szCs w:val="22"/>
              </w:rPr>
            </w:pPr>
            <w:r w:rsidRPr="00850C17">
              <w:rPr>
                <w:b/>
                <w:sz w:val="22"/>
                <w:szCs w:val="22"/>
              </w:rPr>
              <w:t>Justification of risk adjustment type and variables</w:t>
            </w:r>
          </w:p>
          <w:p w14:paraId="7D3D1263" w14:textId="28B26F71" w:rsidR="00395707" w:rsidRPr="00850C17" w:rsidRDefault="00395707" w:rsidP="00395707">
            <w:pPr>
              <w:spacing w:before="240"/>
              <w:ind w:left="34"/>
              <w:rPr>
                <w:b/>
                <w:sz w:val="22"/>
                <w:szCs w:val="22"/>
              </w:rPr>
            </w:pPr>
            <w:r w:rsidRPr="00850C17">
              <w:rPr>
                <w:sz w:val="22"/>
                <w:szCs w:val="22"/>
              </w:rPr>
              <w:t>or why risk adjustment is not used</w:t>
            </w:r>
          </w:p>
        </w:tc>
        <w:tc>
          <w:tcPr>
            <w:tcW w:w="6740" w:type="dxa"/>
          </w:tcPr>
          <w:p w14:paraId="2AF74EC9" w14:textId="77777777" w:rsidR="00395707" w:rsidRPr="00850C17" w:rsidRDefault="00395707" w:rsidP="00395707">
            <w:pPr>
              <w:spacing w:before="240"/>
              <w:rPr>
                <w:b/>
                <w:sz w:val="22"/>
                <w:szCs w:val="22"/>
              </w:rPr>
            </w:pPr>
          </w:p>
        </w:tc>
      </w:tr>
      <w:tr w:rsidR="00395707" w14:paraId="1861791C" w14:textId="77777777" w:rsidTr="00395707">
        <w:tc>
          <w:tcPr>
            <w:tcW w:w="3261" w:type="dxa"/>
          </w:tcPr>
          <w:p w14:paraId="5AA61BEC" w14:textId="6E6FE97B" w:rsidR="00395707" w:rsidRPr="00850C17" w:rsidRDefault="00395707" w:rsidP="00395707">
            <w:pPr>
              <w:spacing w:before="240"/>
              <w:ind w:left="34"/>
              <w:rPr>
                <w:b/>
                <w:sz w:val="22"/>
                <w:szCs w:val="22"/>
              </w:rPr>
            </w:pPr>
            <w:r w:rsidRPr="00850C17">
              <w:rPr>
                <w:b/>
                <w:sz w:val="22"/>
                <w:szCs w:val="22"/>
              </w:rPr>
              <w:t>Confidence interval / control limit use and methodology</w:t>
            </w:r>
          </w:p>
        </w:tc>
        <w:tc>
          <w:tcPr>
            <w:tcW w:w="6740" w:type="dxa"/>
          </w:tcPr>
          <w:sdt>
            <w:sdtPr>
              <w:rPr>
                <w:sz w:val="22"/>
                <w:szCs w:val="22"/>
              </w:rPr>
              <w:alias w:val="Confidence Interval/control limit use"/>
              <w:tag w:val="Confidence Interval/control limit use"/>
              <w:id w:val="1287858884"/>
              <w:dropDownList>
                <w:listItem w:value="Choose an item."/>
                <w:listItem w:displayText="Confidence Intervals" w:value="Confidence Intervals"/>
                <w:listItem w:displayText="Control Limits" w:value="Control Limits"/>
                <w:listItem w:displayText="None" w:value="None"/>
              </w:dropDownList>
            </w:sdtPr>
            <w:sdtContent>
              <w:p w14:paraId="565D0A5E" w14:textId="77777777" w:rsidR="00395707" w:rsidRPr="00850C17" w:rsidRDefault="00395707" w:rsidP="00395707">
                <w:pPr>
                  <w:spacing w:before="240"/>
                  <w:rPr>
                    <w:sz w:val="22"/>
                    <w:szCs w:val="22"/>
                  </w:rPr>
                </w:pPr>
                <w:r w:rsidRPr="00850C17">
                  <w:rPr>
                    <w:sz w:val="22"/>
                    <w:szCs w:val="22"/>
                  </w:rPr>
                  <w:t>Confidence Intervals</w:t>
                </w:r>
              </w:p>
            </w:sdtContent>
          </w:sdt>
          <w:p w14:paraId="4A63AD90" w14:textId="77777777" w:rsidR="00395707" w:rsidRPr="00850C17" w:rsidRDefault="00395707" w:rsidP="00395707">
            <w:pPr>
              <w:spacing w:before="240"/>
              <w:rPr>
                <w:i/>
                <w:sz w:val="22"/>
                <w:szCs w:val="22"/>
              </w:rPr>
            </w:pPr>
            <w:r w:rsidRPr="00850C17">
              <w:rPr>
                <w:i/>
                <w:sz w:val="22"/>
                <w:szCs w:val="22"/>
              </w:rPr>
              <w:t>Methodology:</w:t>
            </w:r>
          </w:p>
          <w:p w14:paraId="6D0638FD" w14:textId="77777777" w:rsidR="00395707" w:rsidRPr="00850C17" w:rsidRDefault="00395707" w:rsidP="00395707">
            <w:pPr>
              <w:spacing w:before="240"/>
              <w:rPr>
                <w:sz w:val="22"/>
                <w:szCs w:val="22"/>
              </w:rPr>
            </w:pPr>
            <w:r w:rsidRPr="00850C17">
              <w:rPr>
                <w:sz w:val="22"/>
                <w:szCs w:val="22"/>
              </w:rPr>
              <w:t xml:space="preserve">The formulae for the 100(1 – </w:t>
            </w:r>
            <w:r w:rsidRPr="00850C17">
              <w:rPr>
                <w:i/>
                <w:sz w:val="22"/>
                <w:szCs w:val="22"/>
              </w:rPr>
              <w:t>α</w:t>
            </w:r>
            <w:r w:rsidRPr="00850C17">
              <w:rPr>
                <w:sz w:val="22"/>
                <w:szCs w:val="22"/>
              </w:rPr>
              <w:t xml:space="preserve">)% confidence interval limits for the proportion </w:t>
            </w:r>
            <w:r w:rsidRPr="00850C17">
              <w:rPr>
                <w:i/>
                <w:sz w:val="22"/>
                <w:szCs w:val="22"/>
              </w:rPr>
              <w:t>p</w:t>
            </w:r>
            <w:r w:rsidRPr="00850C17">
              <w:rPr>
                <w:sz w:val="22"/>
                <w:szCs w:val="22"/>
              </w:rPr>
              <w:t xml:space="preserve"> are:</w:t>
            </w:r>
          </w:p>
          <w:p w14:paraId="22C52D49" w14:textId="77777777" w:rsidR="00395707" w:rsidRPr="00850C17" w:rsidRDefault="00395707" w:rsidP="00395707">
            <w:pPr>
              <w:spacing w:before="240"/>
              <w:rPr>
                <w:sz w:val="22"/>
                <w:szCs w:val="22"/>
              </w:rPr>
            </w:pPr>
            <w:r w:rsidRPr="00850C17">
              <w:rPr>
                <w:noProof/>
                <w:sz w:val="22"/>
                <w:szCs w:val="22"/>
                <w:lang w:eastAsia="en-GB"/>
              </w:rPr>
              <w:drawing>
                <wp:inline distT="0" distB="0" distL="0" distR="0" wp14:anchorId="37B07357" wp14:editId="688A82F5">
                  <wp:extent cx="2407920" cy="1424940"/>
                  <wp:effectExtent l="0" t="0" r="0" b="3810"/>
                  <wp:docPr id="1" name="Picture 1" descr="The formulae for the 100(1 – α)% confidence interval limits for the proportion 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407920" cy="1424940"/>
                          </a:xfrm>
                          <a:prstGeom prst="rect">
                            <a:avLst/>
                          </a:prstGeom>
                        </pic:spPr>
                      </pic:pic>
                    </a:graphicData>
                  </a:graphic>
                </wp:inline>
              </w:drawing>
            </w:r>
          </w:p>
          <w:p w14:paraId="0167083D" w14:textId="77777777" w:rsidR="00395707" w:rsidRPr="00850C17" w:rsidRDefault="00395707" w:rsidP="00395707">
            <w:pPr>
              <w:spacing w:before="240"/>
              <w:rPr>
                <w:sz w:val="22"/>
                <w:szCs w:val="22"/>
              </w:rPr>
            </w:pPr>
          </w:p>
          <w:p w14:paraId="68B3C0E8" w14:textId="77777777" w:rsidR="00395707" w:rsidRPr="00850C17" w:rsidRDefault="00395707" w:rsidP="00395707">
            <w:pPr>
              <w:spacing w:before="240"/>
              <w:rPr>
                <w:sz w:val="22"/>
                <w:szCs w:val="22"/>
              </w:rPr>
            </w:pPr>
            <w:r w:rsidRPr="00850C17">
              <w:rPr>
                <w:sz w:val="22"/>
                <w:szCs w:val="22"/>
              </w:rPr>
              <w:t>where:</w:t>
            </w:r>
          </w:p>
          <w:p w14:paraId="52FC7FB0" w14:textId="77777777" w:rsidR="00395707" w:rsidRPr="00850C17" w:rsidRDefault="00395707" w:rsidP="00395707">
            <w:pPr>
              <w:spacing w:before="240"/>
              <w:rPr>
                <w:sz w:val="22"/>
                <w:szCs w:val="22"/>
              </w:rPr>
            </w:pPr>
            <w:r w:rsidRPr="00850C17">
              <w:rPr>
                <w:i/>
                <w:sz w:val="22"/>
                <w:szCs w:val="22"/>
              </w:rPr>
              <w:t>O</w:t>
            </w:r>
            <w:r w:rsidRPr="00850C17">
              <w:rPr>
                <w:sz w:val="22"/>
                <w:szCs w:val="22"/>
              </w:rPr>
              <w:t xml:space="preserve"> is the observed number of individuals in the sample/population having the specified characteristic (i.e., the numerator);</w:t>
            </w:r>
          </w:p>
          <w:p w14:paraId="3BBB6E76" w14:textId="77777777" w:rsidR="00395707" w:rsidRPr="00850C17" w:rsidRDefault="00395707" w:rsidP="00395707">
            <w:pPr>
              <w:spacing w:before="240"/>
              <w:rPr>
                <w:sz w:val="22"/>
                <w:szCs w:val="22"/>
              </w:rPr>
            </w:pPr>
            <w:r w:rsidRPr="00850C17">
              <w:rPr>
                <w:i/>
                <w:sz w:val="22"/>
                <w:szCs w:val="22"/>
              </w:rPr>
              <w:t>n</w:t>
            </w:r>
            <w:r w:rsidRPr="00850C17">
              <w:rPr>
                <w:sz w:val="22"/>
                <w:szCs w:val="22"/>
              </w:rPr>
              <w:t xml:space="preserve"> is the total number of individuals in the sample/population (i.e., the denominator);</w:t>
            </w:r>
          </w:p>
          <w:p w14:paraId="20897172" w14:textId="77777777" w:rsidR="00395707" w:rsidRPr="00850C17" w:rsidRDefault="00395707" w:rsidP="00395707">
            <w:pPr>
              <w:spacing w:before="240"/>
              <w:rPr>
                <w:sz w:val="22"/>
                <w:szCs w:val="22"/>
              </w:rPr>
            </w:pPr>
            <w:r w:rsidRPr="00850C17">
              <w:rPr>
                <w:i/>
                <w:sz w:val="22"/>
                <w:szCs w:val="22"/>
              </w:rPr>
              <w:t>q</w:t>
            </w:r>
            <w:r w:rsidRPr="00850C17">
              <w:rPr>
                <w:sz w:val="22"/>
                <w:szCs w:val="22"/>
              </w:rPr>
              <w:t xml:space="preserve"> = (1 – </w:t>
            </w:r>
            <w:r w:rsidRPr="00850C17">
              <w:rPr>
                <w:i/>
                <w:sz w:val="22"/>
                <w:szCs w:val="22"/>
              </w:rPr>
              <w:t>p</w:t>
            </w:r>
            <w:r w:rsidRPr="00850C17">
              <w:rPr>
                <w:sz w:val="22"/>
                <w:szCs w:val="22"/>
              </w:rPr>
              <w:t>) is the proportion without the specified characteristic;</w:t>
            </w:r>
          </w:p>
          <w:p w14:paraId="318A0EAB" w14:textId="53D1EE51" w:rsidR="00395707" w:rsidRPr="00850C17" w:rsidRDefault="00395707" w:rsidP="00395707">
            <w:pPr>
              <w:spacing w:before="240"/>
              <w:rPr>
                <w:b/>
                <w:sz w:val="22"/>
                <w:szCs w:val="22"/>
              </w:rPr>
            </w:pPr>
            <w:r w:rsidRPr="00850C17">
              <w:rPr>
                <w:i/>
                <w:sz w:val="22"/>
                <w:szCs w:val="22"/>
              </w:rPr>
              <w:t>z</w:t>
            </w:r>
            <w:r w:rsidRPr="00850C17">
              <w:rPr>
                <w:sz w:val="22"/>
                <w:szCs w:val="22"/>
              </w:rPr>
              <w:t xml:space="preserve"> is the 100(1 – </w:t>
            </w:r>
            <w:r w:rsidRPr="00850C17">
              <w:rPr>
                <w:i/>
                <w:sz w:val="22"/>
                <w:szCs w:val="22"/>
              </w:rPr>
              <w:t>α</w:t>
            </w:r>
            <w:r w:rsidRPr="00850C17">
              <w:rPr>
                <w:sz w:val="22"/>
                <w:szCs w:val="22"/>
              </w:rPr>
              <w:t>/2)</w:t>
            </w:r>
            <w:r w:rsidRPr="00850C17">
              <w:rPr>
                <w:sz w:val="22"/>
                <w:szCs w:val="22"/>
                <w:vertAlign w:val="superscript"/>
              </w:rPr>
              <w:t>th</w:t>
            </w:r>
            <w:r w:rsidRPr="00850C17">
              <w:rPr>
                <w:sz w:val="22"/>
                <w:szCs w:val="22"/>
              </w:rPr>
              <w:t xml:space="preserve"> percentile value from the Standard Normal distribution. For example for a 95% confidence interval, </w:t>
            </w:r>
            <w:r w:rsidRPr="00850C17">
              <w:rPr>
                <w:i/>
                <w:sz w:val="22"/>
                <w:szCs w:val="22"/>
              </w:rPr>
              <w:t>α</w:t>
            </w:r>
            <w:r w:rsidRPr="00850C17">
              <w:rPr>
                <w:sz w:val="22"/>
                <w:szCs w:val="22"/>
              </w:rPr>
              <w:t xml:space="preserve"> = 0.05, and </w:t>
            </w:r>
            <w:r w:rsidRPr="00850C17">
              <w:rPr>
                <w:i/>
                <w:sz w:val="22"/>
                <w:szCs w:val="22"/>
              </w:rPr>
              <w:t>z</w:t>
            </w:r>
            <w:r w:rsidRPr="00850C17">
              <w:rPr>
                <w:sz w:val="22"/>
                <w:szCs w:val="22"/>
              </w:rPr>
              <w:t xml:space="preserve"> = 1.96 (i.e. the 97.5th percentile value from the Standard Normal distribution).</w:t>
            </w:r>
          </w:p>
        </w:tc>
      </w:tr>
      <w:tr w:rsidR="00395707" w14:paraId="071E4A0B" w14:textId="77777777" w:rsidTr="00395707">
        <w:tc>
          <w:tcPr>
            <w:tcW w:w="3261" w:type="dxa"/>
          </w:tcPr>
          <w:p w14:paraId="06E39C96" w14:textId="300B4AE9" w:rsidR="00395707" w:rsidRPr="00850C17" w:rsidRDefault="00395707" w:rsidP="00395707">
            <w:pPr>
              <w:spacing w:before="240"/>
              <w:ind w:left="34"/>
              <w:rPr>
                <w:b/>
                <w:sz w:val="22"/>
                <w:szCs w:val="22"/>
              </w:rPr>
            </w:pPr>
            <w:r w:rsidRPr="00850C17">
              <w:rPr>
                <w:b/>
                <w:sz w:val="22"/>
                <w:szCs w:val="22"/>
              </w:rPr>
              <w:t>Justification of confidence intervals / control limits used</w:t>
            </w:r>
          </w:p>
        </w:tc>
        <w:tc>
          <w:tcPr>
            <w:tcW w:w="6740" w:type="dxa"/>
          </w:tcPr>
          <w:p w14:paraId="3C4587FD" w14:textId="77777777" w:rsidR="00395707" w:rsidRPr="00850C17" w:rsidRDefault="00395707" w:rsidP="00395707">
            <w:pPr>
              <w:spacing w:before="240"/>
              <w:rPr>
                <w:sz w:val="22"/>
                <w:szCs w:val="22"/>
              </w:rPr>
            </w:pPr>
            <w:r w:rsidRPr="00850C17">
              <w:rPr>
                <w:sz w:val="22"/>
                <w:szCs w:val="22"/>
              </w:rPr>
              <w:t xml:space="preserve">Confidence intervals are calculated using the Wilson Score method, as specified in </w:t>
            </w:r>
            <w:r w:rsidRPr="00850C17">
              <w:rPr>
                <w:i/>
                <w:sz w:val="22"/>
                <w:szCs w:val="22"/>
              </w:rPr>
              <w:t>“Commonly used public health statistics and their confidence intervals” (APHO, March 2008).</w:t>
            </w:r>
          </w:p>
          <w:p w14:paraId="64FADDDD" w14:textId="77777777" w:rsidR="00395707" w:rsidRPr="00850C17" w:rsidRDefault="00395707" w:rsidP="00395707">
            <w:pPr>
              <w:spacing w:before="240"/>
              <w:rPr>
                <w:sz w:val="22"/>
                <w:szCs w:val="22"/>
              </w:rPr>
            </w:pPr>
          </w:p>
        </w:tc>
      </w:tr>
      <w:tr w:rsidR="00395707" w14:paraId="59CDC6E1" w14:textId="77777777" w:rsidTr="00395707">
        <w:tc>
          <w:tcPr>
            <w:tcW w:w="3261" w:type="dxa"/>
          </w:tcPr>
          <w:p w14:paraId="377AD97F" w14:textId="5356B4D8" w:rsidR="00395707" w:rsidRPr="00850C17" w:rsidRDefault="00395707" w:rsidP="00395707">
            <w:pPr>
              <w:spacing w:before="240"/>
              <w:ind w:left="34"/>
              <w:rPr>
                <w:b/>
                <w:sz w:val="22"/>
                <w:szCs w:val="22"/>
              </w:rPr>
            </w:pPr>
            <w:r w:rsidRPr="00850C17">
              <w:rPr>
                <w:b/>
                <w:sz w:val="22"/>
                <w:szCs w:val="22"/>
              </w:rPr>
              <w:t>Presentation of indicator</w:t>
            </w:r>
          </w:p>
        </w:tc>
        <w:tc>
          <w:tcPr>
            <w:tcW w:w="6740" w:type="dxa"/>
          </w:tcPr>
          <w:p w14:paraId="4064B27D" w14:textId="77777777" w:rsidR="00395707" w:rsidRPr="00850C17" w:rsidRDefault="00395707" w:rsidP="00395707">
            <w:pPr>
              <w:spacing w:before="240"/>
              <w:rPr>
                <w:sz w:val="22"/>
                <w:szCs w:val="22"/>
              </w:rPr>
            </w:pPr>
            <w:r w:rsidRPr="00850C17">
              <w:rPr>
                <w:sz w:val="22"/>
                <w:szCs w:val="22"/>
              </w:rPr>
              <w:t>The indicator values are presented as Excel and CSV files, with column headings: Percentage (indicator value), CI Lower, CI Upper, Denominator, Numerator and Data completeness banding values.</w:t>
            </w:r>
          </w:p>
          <w:p w14:paraId="72202E16" w14:textId="77777777" w:rsidR="00395707" w:rsidRPr="00850C17" w:rsidRDefault="00395707" w:rsidP="00395707">
            <w:pPr>
              <w:spacing w:before="240"/>
              <w:rPr>
                <w:sz w:val="22"/>
                <w:szCs w:val="22"/>
              </w:rPr>
            </w:pPr>
            <w:r w:rsidRPr="00850C17">
              <w:rPr>
                <w:sz w:val="22"/>
                <w:szCs w:val="22"/>
              </w:rPr>
              <w:t xml:space="preserve">It is presented at National- and CCG-level. </w:t>
            </w:r>
          </w:p>
          <w:p w14:paraId="57950989" w14:textId="77777777" w:rsidR="00395707" w:rsidRPr="00850C17" w:rsidRDefault="00395707" w:rsidP="00395707">
            <w:pPr>
              <w:spacing w:before="240"/>
              <w:rPr>
                <w:sz w:val="22"/>
                <w:szCs w:val="22"/>
              </w:rPr>
            </w:pPr>
            <w:r w:rsidRPr="00850C17">
              <w:rPr>
                <w:sz w:val="22"/>
                <w:szCs w:val="22"/>
              </w:rPr>
              <w:t>Data is presented for financial years 2013/14 and 2014/15.</w:t>
            </w:r>
          </w:p>
          <w:p w14:paraId="7EF6B6BF" w14:textId="0B9BBD3E" w:rsidR="00395707" w:rsidRPr="00850C17" w:rsidRDefault="00395707" w:rsidP="00395707">
            <w:pPr>
              <w:spacing w:before="240"/>
              <w:rPr>
                <w:sz w:val="22"/>
                <w:szCs w:val="22"/>
              </w:rPr>
            </w:pPr>
            <w:r w:rsidRPr="00850C17">
              <w:rPr>
                <w:sz w:val="22"/>
                <w:szCs w:val="22"/>
              </w:rPr>
              <w:t xml:space="preserve">Document available on request by email to </w:t>
            </w:r>
            <w:hyperlink r:id="rId11" w:history="1">
              <w:r w:rsidRPr="00850C17">
                <w:rPr>
                  <w:rStyle w:val="Hyperlink"/>
                  <w:color w:val="auto"/>
                  <w:sz w:val="22"/>
                  <w:szCs w:val="22"/>
                </w:rPr>
                <w:t>indicators@nice.org.uk</w:t>
              </w:r>
            </w:hyperlink>
          </w:p>
        </w:tc>
      </w:tr>
      <w:tr w:rsidR="00395707" w14:paraId="1BC11B11" w14:textId="77777777" w:rsidTr="00395707">
        <w:tc>
          <w:tcPr>
            <w:tcW w:w="3261" w:type="dxa"/>
          </w:tcPr>
          <w:p w14:paraId="5A380C54" w14:textId="77777777" w:rsidR="00395707" w:rsidRPr="00850C17" w:rsidRDefault="00395707" w:rsidP="00395707">
            <w:pPr>
              <w:spacing w:before="240"/>
              <w:ind w:left="34"/>
              <w:rPr>
                <w:b/>
                <w:sz w:val="22"/>
                <w:szCs w:val="22"/>
              </w:rPr>
            </w:pPr>
            <w:r w:rsidRPr="00850C17">
              <w:rPr>
                <w:b/>
                <w:sz w:val="22"/>
                <w:szCs w:val="22"/>
              </w:rPr>
              <w:t>Contextual information provided alongside indicator</w:t>
            </w:r>
          </w:p>
          <w:p w14:paraId="30FBF9F5" w14:textId="333DD25A" w:rsidR="00395707" w:rsidRPr="00850C17" w:rsidRDefault="00395707" w:rsidP="00395707">
            <w:pPr>
              <w:spacing w:before="240"/>
              <w:ind w:left="34"/>
              <w:rPr>
                <w:b/>
                <w:sz w:val="22"/>
                <w:szCs w:val="22"/>
              </w:rPr>
            </w:pPr>
            <w:r w:rsidRPr="00850C17">
              <w:rPr>
                <w:sz w:val="22"/>
                <w:szCs w:val="22"/>
              </w:rPr>
              <w:t>with justification</w:t>
            </w:r>
          </w:p>
        </w:tc>
        <w:tc>
          <w:tcPr>
            <w:tcW w:w="6740" w:type="dxa"/>
          </w:tcPr>
          <w:p w14:paraId="4DB1095D" w14:textId="65BB8662" w:rsidR="00395707" w:rsidRPr="00850C17" w:rsidRDefault="00395707" w:rsidP="00395707">
            <w:pPr>
              <w:spacing w:before="240"/>
              <w:rPr>
                <w:sz w:val="22"/>
                <w:szCs w:val="22"/>
              </w:rPr>
            </w:pPr>
            <w:r w:rsidRPr="00850C17">
              <w:rPr>
                <w:sz w:val="22"/>
                <w:szCs w:val="22"/>
              </w:rPr>
              <w:t>This indicator requires careful interpretation and should not be viewed in isolation, but instead be considered alongside information from other indicators and alternative sources such as patient feedback, staff surveys and similar material. When evaluated together, these help to provide a holistic view of CCG outcomes and provide a more complete overview of the impact of the CCGs’ processes on outcomes.</w:t>
            </w:r>
          </w:p>
        </w:tc>
      </w:tr>
      <w:tr w:rsidR="00395707" w14:paraId="08A8F97E" w14:textId="77777777" w:rsidTr="00395707">
        <w:tc>
          <w:tcPr>
            <w:tcW w:w="3261" w:type="dxa"/>
          </w:tcPr>
          <w:p w14:paraId="26240F83" w14:textId="55780FB8" w:rsidR="00395707" w:rsidRPr="00850C17" w:rsidRDefault="00395707" w:rsidP="00395707">
            <w:pPr>
              <w:spacing w:before="240"/>
              <w:ind w:left="34"/>
              <w:rPr>
                <w:b/>
                <w:sz w:val="22"/>
                <w:szCs w:val="22"/>
              </w:rPr>
            </w:pPr>
            <w:r w:rsidRPr="00850C17">
              <w:rPr>
                <w:b/>
                <w:sz w:val="22"/>
                <w:szCs w:val="22"/>
              </w:rPr>
              <w:t>Calculation and data source of contextual information</w:t>
            </w:r>
          </w:p>
        </w:tc>
        <w:tc>
          <w:tcPr>
            <w:tcW w:w="6740" w:type="dxa"/>
          </w:tcPr>
          <w:p w14:paraId="5073E1C4" w14:textId="77777777" w:rsidR="00395707" w:rsidRPr="00850C17" w:rsidRDefault="00395707" w:rsidP="00395707">
            <w:pPr>
              <w:spacing w:before="240"/>
              <w:rPr>
                <w:sz w:val="22"/>
                <w:szCs w:val="22"/>
              </w:rPr>
            </w:pPr>
          </w:p>
        </w:tc>
      </w:tr>
      <w:tr w:rsidR="00395707" w14:paraId="5E3A5A34" w14:textId="77777777" w:rsidTr="00395707">
        <w:tc>
          <w:tcPr>
            <w:tcW w:w="3261" w:type="dxa"/>
          </w:tcPr>
          <w:p w14:paraId="7FA3743F" w14:textId="77777777" w:rsidR="00395707" w:rsidRPr="00850C17" w:rsidRDefault="00395707" w:rsidP="00395707">
            <w:pPr>
              <w:spacing w:before="240"/>
              <w:ind w:left="34"/>
              <w:rPr>
                <w:b/>
                <w:sz w:val="22"/>
                <w:szCs w:val="22"/>
              </w:rPr>
            </w:pPr>
            <w:r w:rsidRPr="00850C17">
              <w:rPr>
                <w:b/>
                <w:sz w:val="22"/>
                <w:szCs w:val="22"/>
              </w:rPr>
              <w:t>Use of bandings, benchmarks or targets</w:t>
            </w:r>
          </w:p>
          <w:p w14:paraId="2D0A4DCE" w14:textId="3CAFA2A7" w:rsidR="00395707" w:rsidRPr="00850C17" w:rsidRDefault="00395707" w:rsidP="00395707">
            <w:pPr>
              <w:spacing w:before="240"/>
              <w:ind w:left="34"/>
              <w:rPr>
                <w:b/>
                <w:sz w:val="22"/>
                <w:szCs w:val="22"/>
              </w:rPr>
            </w:pPr>
            <w:r w:rsidRPr="00850C17">
              <w:rPr>
                <w:sz w:val="22"/>
                <w:szCs w:val="22"/>
              </w:rPr>
              <w:t>with justification</w:t>
            </w:r>
          </w:p>
        </w:tc>
        <w:tc>
          <w:tcPr>
            <w:tcW w:w="6740" w:type="dxa"/>
          </w:tcPr>
          <w:p w14:paraId="7F57969F" w14:textId="77777777" w:rsidR="00395707" w:rsidRPr="00850C17" w:rsidRDefault="00395707" w:rsidP="00395707">
            <w:pPr>
              <w:spacing w:before="240"/>
              <w:rPr>
                <w:sz w:val="22"/>
                <w:szCs w:val="22"/>
              </w:rPr>
            </w:pPr>
          </w:p>
        </w:tc>
      </w:tr>
      <w:tr w:rsidR="00395707" w14:paraId="5A552D5D" w14:textId="77777777" w:rsidTr="00395707">
        <w:tc>
          <w:tcPr>
            <w:tcW w:w="3261" w:type="dxa"/>
          </w:tcPr>
          <w:p w14:paraId="10BA2374" w14:textId="77777777" w:rsidR="00395707" w:rsidRPr="00850C17" w:rsidRDefault="00395707" w:rsidP="00395707">
            <w:pPr>
              <w:spacing w:before="240"/>
              <w:ind w:left="34"/>
              <w:rPr>
                <w:b/>
                <w:sz w:val="22"/>
                <w:szCs w:val="22"/>
              </w:rPr>
            </w:pPr>
            <w:r w:rsidRPr="00850C17">
              <w:rPr>
                <w:b/>
                <w:sz w:val="22"/>
                <w:szCs w:val="22"/>
              </w:rPr>
              <w:t>Banding, benchmark or target methodology</w:t>
            </w:r>
          </w:p>
          <w:p w14:paraId="7CFED1BF" w14:textId="4FEEC460" w:rsidR="00395707" w:rsidRPr="00850C17" w:rsidRDefault="00395707" w:rsidP="00395707">
            <w:pPr>
              <w:spacing w:before="240"/>
              <w:ind w:left="34"/>
              <w:rPr>
                <w:b/>
                <w:sz w:val="22"/>
                <w:szCs w:val="22"/>
              </w:rPr>
            </w:pPr>
            <w:r w:rsidRPr="00850C17">
              <w:rPr>
                <w:sz w:val="22"/>
                <w:szCs w:val="22"/>
              </w:rPr>
              <w:t>if appropriate</w:t>
            </w:r>
          </w:p>
        </w:tc>
        <w:tc>
          <w:tcPr>
            <w:tcW w:w="6740" w:type="dxa"/>
          </w:tcPr>
          <w:p w14:paraId="56C18D43" w14:textId="77777777" w:rsidR="00395707" w:rsidRPr="00850C17" w:rsidRDefault="00395707" w:rsidP="00395707">
            <w:pPr>
              <w:spacing w:before="240"/>
              <w:rPr>
                <w:sz w:val="22"/>
                <w:szCs w:val="22"/>
              </w:rPr>
            </w:pPr>
          </w:p>
        </w:tc>
      </w:tr>
      <w:tr w:rsidR="00395707" w14:paraId="75EF6AD3" w14:textId="77777777" w:rsidTr="00395707">
        <w:tc>
          <w:tcPr>
            <w:tcW w:w="3261" w:type="dxa"/>
          </w:tcPr>
          <w:p w14:paraId="5126AB92" w14:textId="3CD45F7C" w:rsidR="00395707" w:rsidRPr="00850C17" w:rsidRDefault="00395707" w:rsidP="00395707">
            <w:pPr>
              <w:spacing w:before="240"/>
              <w:ind w:left="34"/>
              <w:rPr>
                <w:b/>
                <w:sz w:val="22"/>
                <w:szCs w:val="22"/>
              </w:rPr>
            </w:pPr>
            <w:r w:rsidRPr="00850C17">
              <w:rPr>
                <w:b/>
                <w:sz w:val="22"/>
                <w:szCs w:val="22"/>
              </w:rPr>
              <w:t>Interpretation guidelines</w:t>
            </w:r>
          </w:p>
        </w:tc>
        <w:tc>
          <w:tcPr>
            <w:tcW w:w="6740" w:type="dxa"/>
          </w:tcPr>
          <w:p w14:paraId="5390D2AF" w14:textId="3A5FF81B" w:rsidR="00395707" w:rsidRPr="00850C17" w:rsidRDefault="00395707" w:rsidP="00395707">
            <w:pPr>
              <w:spacing w:before="240"/>
              <w:rPr>
                <w:sz w:val="22"/>
                <w:szCs w:val="22"/>
              </w:rPr>
            </w:pPr>
            <w:r w:rsidRPr="00850C17">
              <w:rPr>
                <w:sz w:val="22"/>
                <w:szCs w:val="22"/>
              </w:rPr>
              <w:t>This indicator requires careful interpretation and should not be viewed in isolation, but instead be considered alongside information from other indicators and alternative sources such as patient feedback, staff surveys and similar material. When evaluated together, these help to provide a holistic view of CCG outcomes and provide a more complete overview of the impact of the CCGs’ processes on outcomes.</w:t>
            </w:r>
          </w:p>
        </w:tc>
      </w:tr>
      <w:tr w:rsidR="00395707" w14:paraId="62434964" w14:textId="77777777" w:rsidTr="00395707">
        <w:tc>
          <w:tcPr>
            <w:tcW w:w="3261" w:type="dxa"/>
          </w:tcPr>
          <w:p w14:paraId="02DD4DDE" w14:textId="4A637B3C" w:rsidR="00395707" w:rsidRPr="00850C17" w:rsidRDefault="00395707" w:rsidP="00395707">
            <w:pPr>
              <w:spacing w:before="240"/>
              <w:ind w:left="34"/>
              <w:rPr>
                <w:b/>
                <w:sz w:val="22"/>
                <w:szCs w:val="22"/>
              </w:rPr>
            </w:pPr>
            <w:r w:rsidRPr="00850C17">
              <w:rPr>
                <w:b/>
                <w:sz w:val="22"/>
                <w:szCs w:val="22"/>
              </w:rPr>
              <w:t>Limitations and potential bias</w:t>
            </w:r>
          </w:p>
        </w:tc>
        <w:tc>
          <w:tcPr>
            <w:tcW w:w="6740" w:type="dxa"/>
          </w:tcPr>
          <w:p w14:paraId="657B9AF1" w14:textId="77777777" w:rsidR="00395707" w:rsidRPr="00850C17" w:rsidRDefault="00395707" w:rsidP="00395707">
            <w:pPr>
              <w:pStyle w:val="ListParagraph"/>
              <w:numPr>
                <w:ilvl w:val="0"/>
                <w:numId w:val="9"/>
              </w:numPr>
              <w:spacing w:before="240"/>
              <w:rPr>
                <w:sz w:val="22"/>
                <w:szCs w:val="22"/>
              </w:rPr>
            </w:pPr>
            <w:r w:rsidRPr="00850C17">
              <w:rPr>
                <w:sz w:val="22"/>
                <w:szCs w:val="22"/>
              </w:rPr>
              <w:t>This indicator requires careful interpretation and should not be used in isolation. It should be taken in conjunction with other indicators and information from other sources (patient feedback, staff surveys and other such material) that together form a holistic view of CCG outcomes and a fuller overview of how CCG processes are impacting on outcomes.</w:t>
            </w:r>
          </w:p>
          <w:p w14:paraId="51F3E9D7" w14:textId="77777777" w:rsidR="00395707" w:rsidRPr="00850C17" w:rsidRDefault="00395707" w:rsidP="00395707">
            <w:pPr>
              <w:pStyle w:val="ListParagraph"/>
              <w:numPr>
                <w:ilvl w:val="0"/>
                <w:numId w:val="9"/>
              </w:numPr>
              <w:spacing w:before="240"/>
              <w:rPr>
                <w:sz w:val="22"/>
                <w:szCs w:val="22"/>
              </w:rPr>
            </w:pPr>
            <w:r w:rsidRPr="00850C17">
              <w:rPr>
                <w:sz w:val="22"/>
                <w:szCs w:val="22"/>
              </w:rPr>
              <w:t>There is no standardisation for this indicator. Indicator values are presented with 95% confidence intervals recognising the existence of natural variation between the CCG populations.</w:t>
            </w:r>
          </w:p>
          <w:p w14:paraId="155EB23A" w14:textId="77777777" w:rsidR="00395707" w:rsidRPr="00850C17" w:rsidRDefault="00395707" w:rsidP="00395707">
            <w:pPr>
              <w:pStyle w:val="ListParagraph"/>
              <w:numPr>
                <w:ilvl w:val="0"/>
                <w:numId w:val="9"/>
              </w:numPr>
              <w:spacing w:before="240"/>
              <w:rPr>
                <w:sz w:val="22"/>
                <w:szCs w:val="22"/>
              </w:rPr>
            </w:pPr>
            <w:r w:rsidRPr="00850C17">
              <w:rPr>
                <w:sz w:val="22"/>
                <w:szCs w:val="22"/>
              </w:rPr>
              <w:t>The indicator only measures care delivered to patients registered with a GP.</w:t>
            </w:r>
          </w:p>
          <w:p w14:paraId="6CE81BBB" w14:textId="77777777" w:rsidR="00395707" w:rsidRPr="00850C17" w:rsidRDefault="00395707" w:rsidP="00395707">
            <w:pPr>
              <w:pStyle w:val="ListParagraph"/>
              <w:numPr>
                <w:ilvl w:val="0"/>
                <w:numId w:val="9"/>
              </w:numPr>
              <w:spacing w:before="240"/>
              <w:rPr>
                <w:sz w:val="22"/>
                <w:szCs w:val="22"/>
              </w:rPr>
            </w:pPr>
            <w:r w:rsidRPr="00850C17">
              <w:rPr>
                <w:sz w:val="22"/>
                <w:szCs w:val="22"/>
              </w:rPr>
              <w:t>A number of factors outside the control of GPs, such as the socio-economic mix of local populations and events in patients’ lives, may determine whether the checks are carried out and may influence rates.</w:t>
            </w:r>
          </w:p>
          <w:p w14:paraId="1F7CCBC6" w14:textId="77777777" w:rsidR="00395707" w:rsidRPr="00850C17" w:rsidRDefault="00395707" w:rsidP="00395707">
            <w:pPr>
              <w:pStyle w:val="ListParagraph"/>
              <w:numPr>
                <w:ilvl w:val="0"/>
                <w:numId w:val="9"/>
              </w:numPr>
              <w:spacing w:before="240"/>
              <w:rPr>
                <w:sz w:val="22"/>
                <w:szCs w:val="22"/>
              </w:rPr>
            </w:pPr>
            <w:r w:rsidRPr="00850C17">
              <w:rPr>
                <w:sz w:val="22"/>
                <w:szCs w:val="22"/>
              </w:rPr>
              <w:t>The patterns of providing the physical health checks may vary between practices in terms of: timing and location of tests, whether they are carried out by a GP or nurse, whether they are carried out in a specific clinic, whether all patients could be invited to the clinic or if it is specific to patients with SMI.</w:t>
            </w:r>
          </w:p>
          <w:p w14:paraId="11A221B5" w14:textId="77777777" w:rsidR="00395707" w:rsidRPr="00850C17" w:rsidRDefault="00395707" w:rsidP="00395707">
            <w:pPr>
              <w:pStyle w:val="ListParagraph"/>
              <w:numPr>
                <w:ilvl w:val="0"/>
                <w:numId w:val="9"/>
              </w:numPr>
              <w:spacing w:before="240"/>
              <w:rPr>
                <w:sz w:val="22"/>
                <w:szCs w:val="22"/>
              </w:rPr>
            </w:pPr>
            <w:r w:rsidRPr="00850C17">
              <w:rPr>
                <w:sz w:val="22"/>
                <w:szCs w:val="22"/>
              </w:rPr>
              <w:t>There may be local variation in data quality, particularly in terms of coding and recording of results.</w:t>
            </w:r>
          </w:p>
          <w:p w14:paraId="13F3C7C4" w14:textId="77777777" w:rsidR="00395707" w:rsidRPr="00850C17" w:rsidRDefault="00395707" w:rsidP="00395707">
            <w:pPr>
              <w:pStyle w:val="ListParagraph"/>
              <w:numPr>
                <w:ilvl w:val="0"/>
                <w:numId w:val="9"/>
              </w:numPr>
              <w:spacing w:before="240"/>
              <w:rPr>
                <w:sz w:val="22"/>
                <w:szCs w:val="22"/>
              </w:rPr>
            </w:pPr>
            <w:r w:rsidRPr="00850C17">
              <w:rPr>
                <w:sz w:val="22"/>
                <w:szCs w:val="22"/>
              </w:rPr>
              <w:t>Some factors causing or exacerbating SMI are outside the control of the NHS and CCGs. These can vary by region, and may include environmental factors such as air quality, occupational hazards and deprivation.</w:t>
            </w:r>
          </w:p>
          <w:p w14:paraId="7F00F1A5" w14:textId="0A4367B9" w:rsidR="00395707" w:rsidRPr="00850C17" w:rsidRDefault="00395707" w:rsidP="00395707">
            <w:pPr>
              <w:spacing w:before="240"/>
              <w:rPr>
                <w:sz w:val="22"/>
                <w:szCs w:val="22"/>
              </w:rPr>
            </w:pPr>
            <w:r w:rsidRPr="00850C17">
              <w:rPr>
                <w:sz w:val="22"/>
                <w:szCs w:val="22"/>
              </w:rPr>
              <w:t>There may be variation in the prevalence of particular conditions due to differing levels of deprivation, for other geo-demographic reasons or between patients of different ethnic heritages.</w:t>
            </w:r>
          </w:p>
        </w:tc>
      </w:tr>
      <w:tr w:rsidR="00395707" w14:paraId="16507C8E" w14:textId="77777777" w:rsidTr="00395707">
        <w:tc>
          <w:tcPr>
            <w:tcW w:w="3261" w:type="dxa"/>
          </w:tcPr>
          <w:p w14:paraId="4309FB2B" w14:textId="28C722F0" w:rsidR="00395707" w:rsidRPr="00850C17" w:rsidRDefault="00395707" w:rsidP="00395707">
            <w:pPr>
              <w:spacing w:before="240"/>
              <w:ind w:left="34"/>
              <w:rPr>
                <w:b/>
                <w:sz w:val="22"/>
                <w:szCs w:val="22"/>
              </w:rPr>
            </w:pPr>
            <w:r w:rsidRPr="00850C17">
              <w:rPr>
                <w:b/>
                <w:sz w:val="22"/>
                <w:szCs w:val="22"/>
              </w:rPr>
              <w:t>Improvement actions</w:t>
            </w:r>
          </w:p>
        </w:tc>
        <w:tc>
          <w:tcPr>
            <w:tcW w:w="6740" w:type="dxa"/>
          </w:tcPr>
          <w:p w14:paraId="70F58732" w14:textId="77777777" w:rsidR="00395707" w:rsidRPr="00850C17" w:rsidRDefault="00395707" w:rsidP="00395707">
            <w:pPr>
              <w:pStyle w:val="ListParagraph"/>
              <w:numPr>
                <w:ilvl w:val="0"/>
                <w:numId w:val="9"/>
              </w:numPr>
              <w:spacing w:before="240"/>
              <w:rPr>
                <w:sz w:val="22"/>
                <w:szCs w:val="22"/>
              </w:rPr>
            </w:pPr>
          </w:p>
        </w:tc>
      </w:tr>
      <w:tr w:rsidR="00395707" w14:paraId="468CE1E7" w14:textId="77777777" w:rsidTr="00395707">
        <w:tc>
          <w:tcPr>
            <w:tcW w:w="3261" w:type="dxa"/>
          </w:tcPr>
          <w:p w14:paraId="7CA96A6A" w14:textId="25C34279" w:rsidR="00395707" w:rsidRPr="00850C17" w:rsidRDefault="00395707" w:rsidP="00395707">
            <w:pPr>
              <w:spacing w:before="240"/>
              <w:ind w:left="34"/>
              <w:rPr>
                <w:b/>
                <w:sz w:val="22"/>
                <w:szCs w:val="22"/>
              </w:rPr>
            </w:pPr>
            <w:r w:rsidRPr="00850C17">
              <w:rPr>
                <w:b/>
                <w:sz w:val="22"/>
                <w:szCs w:val="22"/>
              </w:rPr>
              <w:t>Evidence of variability</w:t>
            </w:r>
          </w:p>
        </w:tc>
        <w:tc>
          <w:tcPr>
            <w:tcW w:w="6740" w:type="dxa"/>
          </w:tcPr>
          <w:p w14:paraId="0A6457E7" w14:textId="4ED9D07B" w:rsidR="00395707" w:rsidRPr="00850C17" w:rsidRDefault="00395707" w:rsidP="00395707">
            <w:pPr>
              <w:pStyle w:val="ListParagraph"/>
              <w:numPr>
                <w:ilvl w:val="0"/>
                <w:numId w:val="9"/>
              </w:numPr>
              <w:spacing w:before="240"/>
              <w:rPr>
                <w:sz w:val="22"/>
                <w:szCs w:val="22"/>
              </w:rPr>
            </w:pPr>
            <w:r w:rsidRPr="00850C17">
              <w:rPr>
                <w:sz w:val="22"/>
                <w:szCs w:val="22"/>
              </w:rPr>
              <w:t>Evidence of variability can be seen in the embedded spreadsheet.</w:t>
            </w:r>
          </w:p>
        </w:tc>
      </w:tr>
      <w:tr w:rsidR="00395707" w14:paraId="222CE783" w14:textId="77777777" w:rsidTr="00395707">
        <w:tc>
          <w:tcPr>
            <w:tcW w:w="3261" w:type="dxa"/>
          </w:tcPr>
          <w:p w14:paraId="73602B74" w14:textId="070BF0AF" w:rsidR="00395707" w:rsidRPr="00850C17" w:rsidRDefault="00395707" w:rsidP="00395707">
            <w:pPr>
              <w:spacing w:before="240"/>
              <w:ind w:left="34"/>
              <w:rPr>
                <w:b/>
                <w:sz w:val="22"/>
                <w:szCs w:val="22"/>
              </w:rPr>
            </w:pPr>
            <w:r w:rsidRPr="00850C17">
              <w:rPr>
                <w:b/>
                <w:sz w:val="22"/>
                <w:szCs w:val="22"/>
              </w:rPr>
              <w:t>Similar existing indicators</w:t>
            </w:r>
          </w:p>
        </w:tc>
        <w:tc>
          <w:tcPr>
            <w:tcW w:w="6740" w:type="dxa"/>
          </w:tcPr>
          <w:p w14:paraId="701D0AEA" w14:textId="77777777" w:rsidR="00395707" w:rsidRPr="00850C17" w:rsidRDefault="00395707" w:rsidP="00395707">
            <w:pPr>
              <w:spacing w:before="240"/>
              <w:rPr>
                <w:sz w:val="22"/>
                <w:szCs w:val="22"/>
              </w:rPr>
            </w:pPr>
            <w:r w:rsidRPr="00850C17">
              <w:rPr>
                <w:sz w:val="22"/>
                <w:szCs w:val="22"/>
              </w:rPr>
              <w:t>Indicators being produced as part of Mental Health QOF:</w:t>
            </w:r>
          </w:p>
          <w:p w14:paraId="2538ACB1" w14:textId="77777777" w:rsidR="00395707" w:rsidRPr="00850C17" w:rsidRDefault="00395707" w:rsidP="00395707">
            <w:pPr>
              <w:spacing w:before="240"/>
              <w:rPr>
                <w:sz w:val="22"/>
                <w:szCs w:val="22"/>
              </w:rPr>
            </w:pPr>
            <w:r w:rsidRPr="00850C17">
              <w:rPr>
                <w:sz w:val="22"/>
                <w:szCs w:val="22"/>
              </w:rPr>
              <w:t>MH007 - The percentage of patients with schizophrenia, bipolar affective disorder and other psychoses who have a record of alcohol consumption in the preceding 12 months</w:t>
            </w:r>
          </w:p>
          <w:p w14:paraId="0A45DB8B" w14:textId="77777777" w:rsidR="00395707" w:rsidRPr="00850C17" w:rsidRDefault="00395707" w:rsidP="00395707">
            <w:pPr>
              <w:spacing w:before="240"/>
              <w:rPr>
                <w:sz w:val="22"/>
                <w:szCs w:val="22"/>
              </w:rPr>
            </w:pPr>
            <w:r w:rsidRPr="00850C17">
              <w:rPr>
                <w:sz w:val="22"/>
                <w:szCs w:val="22"/>
              </w:rPr>
              <w:t>MH003 - The percentage of patients with schizophrenia, bipolar affective disorder and other psychoses who have a record of blood pressure in the preceding 12 months</w:t>
            </w:r>
          </w:p>
          <w:p w14:paraId="350423C9" w14:textId="77777777" w:rsidR="00395707" w:rsidRPr="00850C17" w:rsidRDefault="00395707" w:rsidP="00395707">
            <w:pPr>
              <w:spacing w:before="240"/>
              <w:rPr>
                <w:sz w:val="22"/>
                <w:szCs w:val="22"/>
              </w:rPr>
            </w:pPr>
            <w:r w:rsidRPr="00850C17">
              <w:rPr>
                <w:sz w:val="22"/>
                <w:szCs w:val="22"/>
              </w:rPr>
              <w:t>While these two indicators are similar, they are only looking at specific health checks and not the full gamut.</w:t>
            </w:r>
          </w:p>
          <w:p w14:paraId="7ADDAA03" w14:textId="77777777" w:rsidR="00395707" w:rsidRPr="00850C17" w:rsidRDefault="00395707" w:rsidP="00395707">
            <w:pPr>
              <w:spacing w:before="240"/>
              <w:rPr>
                <w:sz w:val="22"/>
                <w:szCs w:val="22"/>
              </w:rPr>
            </w:pPr>
          </w:p>
          <w:p w14:paraId="24D026AF" w14:textId="77777777" w:rsidR="00395707" w:rsidRPr="00850C17" w:rsidRDefault="00395707" w:rsidP="00395707">
            <w:pPr>
              <w:spacing w:before="240"/>
              <w:rPr>
                <w:sz w:val="22"/>
                <w:szCs w:val="22"/>
              </w:rPr>
            </w:pPr>
            <w:r w:rsidRPr="00850C17">
              <w:rPr>
                <w:sz w:val="22"/>
                <w:szCs w:val="22"/>
              </w:rPr>
              <w:t>Indicators being produced as part of Smoking QOF:</w:t>
            </w:r>
          </w:p>
          <w:p w14:paraId="6068C923" w14:textId="77777777" w:rsidR="00395707" w:rsidRPr="00850C17" w:rsidRDefault="00395707" w:rsidP="00395707">
            <w:pPr>
              <w:spacing w:before="240"/>
              <w:rPr>
                <w:sz w:val="22"/>
                <w:szCs w:val="22"/>
              </w:rPr>
            </w:pPr>
            <w:r w:rsidRPr="00850C17">
              <w:rPr>
                <w:sz w:val="22"/>
                <w:szCs w:val="22"/>
              </w:rPr>
              <w:t>SMOK002 - The percentage of patients with any or any combination of the following conditions: CHD, PAD, stroke or TIA, hypertension, diabetes, COPD, CKD, asthma, schizophrenia, bipolar affective disorder or other psychoses whose notes record smoking status in the preceding 12 months.</w:t>
            </w:r>
            <w:r w:rsidRPr="00850C17">
              <w:rPr>
                <w:sz w:val="22"/>
                <w:szCs w:val="22"/>
              </w:rPr>
              <w:cr/>
            </w:r>
          </w:p>
          <w:p w14:paraId="2EF91B15" w14:textId="77777777" w:rsidR="00395707" w:rsidRPr="00850C17" w:rsidRDefault="00395707" w:rsidP="00395707">
            <w:pPr>
              <w:spacing w:before="240"/>
              <w:rPr>
                <w:sz w:val="22"/>
                <w:szCs w:val="22"/>
              </w:rPr>
            </w:pPr>
            <w:r w:rsidRPr="00850C17">
              <w:rPr>
                <w:sz w:val="22"/>
                <w:szCs w:val="22"/>
              </w:rPr>
              <w:t>SMOK005 - The percentage of patients with any or any combination of the following conditions: CHD, PAD, stroke or TIA, hypertension, diabetes, COPD, CKD, asthma, schizophrenia, bipolar affective disorder or other psychoses who are recorded as current smokers who have a record of an offer of support and treatment within the preceding 12 months.</w:t>
            </w:r>
          </w:p>
          <w:p w14:paraId="2590C687" w14:textId="77777777" w:rsidR="00395707" w:rsidRPr="00850C17" w:rsidRDefault="00395707" w:rsidP="00395707">
            <w:pPr>
              <w:spacing w:before="240"/>
              <w:rPr>
                <w:sz w:val="22"/>
                <w:szCs w:val="22"/>
              </w:rPr>
            </w:pPr>
          </w:p>
          <w:p w14:paraId="4B6FFC3F" w14:textId="3E1CF0F9" w:rsidR="00395707" w:rsidRPr="00850C17" w:rsidRDefault="00395707" w:rsidP="00395707">
            <w:pPr>
              <w:pStyle w:val="ListParagraph"/>
              <w:spacing w:before="240"/>
              <w:ind w:left="720" w:firstLine="0"/>
              <w:rPr>
                <w:sz w:val="22"/>
                <w:szCs w:val="22"/>
              </w:rPr>
            </w:pPr>
            <w:r w:rsidRPr="00850C17">
              <w:rPr>
                <w:sz w:val="22"/>
                <w:szCs w:val="22"/>
              </w:rPr>
              <w:t>CCG OIS 1.23 - Smoking rates in people with serious mental illness (SMI)</w:t>
            </w:r>
          </w:p>
        </w:tc>
      </w:tr>
      <w:tr w:rsidR="00395707" w14:paraId="4905F55F" w14:textId="77777777" w:rsidTr="00395707">
        <w:tc>
          <w:tcPr>
            <w:tcW w:w="3261" w:type="dxa"/>
          </w:tcPr>
          <w:p w14:paraId="1B05F9B5" w14:textId="04A32BCF" w:rsidR="00395707" w:rsidRPr="00850C17" w:rsidRDefault="00395707" w:rsidP="00395707">
            <w:pPr>
              <w:spacing w:before="240"/>
              <w:ind w:left="34"/>
              <w:rPr>
                <w:b/>
                <w:sz w:val="22"/>
                <w:szCs w:val="22"/>
              </w:rPr>
            </w:pPr>
            <w:r w:rsidRPr="00850C17">
              <w:rPr>
                <w:b/>
                <w:sz w:val="22"/>
                <w:szCs w:val="22"/>
              </w:rPr>
              <w:t>Coherence and comparability</w:t>
            </w:r>
          </w:p>
        </w:tc>
        <w:tc>
          <w:tcPr>
            <w:tcW w:w="6740" w:type="dxa"/>
          </w:tcPr>
          <w:p w14:paraId="02D46611" w14:textId="77777777" w:rsidR="00395707" w:rsidRPr="00850C17" w:rsidRDefault="00395707" w:rsidP="00395707">
            <w:pPr>
              <w:spacing w:before="240"/>
              <w:rPr>
                <w:sz w:val="22"/>
                <w:szCs w:val="22"/>
              </w:rPr>
            </w:pPr>
            <w:r w:rsidRPr="00850C17">
              <w:rPr>
                <w:sz w:val="22"/>
                <w:szCs w:val="22"/>
              </w:rPr>
              <w:t>This indicator is based on some components that are used in existing Quality and Outcomes Framework (QOF) indicators (i.e. the maintenance of a register of patients with SMI) The list of conditions included in the definition has been reviewed and it is, therefore, considered the most up-to-date and comprehensive list available.</w:t>
            </w:r>
          </w:p>
          <w:p w14:paraId="4F4945C2" w14:textId="295C40B1" w:rsidR="00395707" w:rsidRPr="00850C17" w:rsidRDefault="00395707" w:rsidP="00395707">
            <w:pPr>
              <w:spacing w:before="240"/>
              <w:rPr>
                <w:sz w:val="22"/>
                <w:szCs w:val="22"/>
              </w:rPr>
            </w:pPr>
            <w:r w:rsidRPr="00850C17">
              <w:rPr>
                <w:sz w:val="22"/>
                <w:szCs w:val="22"/>
              </w:rPr>
              <w:t>This indicator is made up of elements of other indicators. It shows how many patients with an SMI have received a complete list of six physical checks. The indicator is a percentage, so it should be possible to compare different CCGs and the same CCG in different time periods.</w:t>
            </w:r>
          </w:p>
        </w:tc>
      </w:tr>
      <w:tr w:rsidR="00395707" w14:paraId="26C1740C" w14:textId="77777777" w:rsidTr="00395707">
        <w:tc>
          <w:tcPr>
            <w:tcW w:w="3261" w:type="dxa"/>
          </w:tcPr>
          <w:p w14:paraId="5F2A7D14" w14:textId="668DB91D" w:rsidR="00395707" w:rsidRPr="00850C17" w:rsidRDefault="00395707" w:rsidP="00395707">
            <w:pPr>
              <w:spacing w:before="240"/>
              <w:ind w:left="34"/>
              <w:rPr>
                <w:b/>
                <w:sz w:val="22"/>
                <w:szCs w:val="22"/>
              </w:rPr>
            </w:pPr>
            <w:r w:rsidRPr="00850C17">
              <w:rPr>
                <w:b/>
                <w:sz w:val="22"/>
                <w:szCs w:val="22"/>
              </w:rPr>
              <w:t>Undesired behaviours and/or gaming</w:t>
            </w:r>
          </w:p>
        </w:tc>
        <w:tc>
          <w:tcPr>
            <w:tcW w:w="6740" w:type="dxa"/>
          </w:tcPr>
          <w:p w14:paraId="7C0D56A2" w14:textId="77777777" w:rsidR="00395707" w:rsidRPr="00850C17" w:rsidRDefault="00395707" w:rsidP="00395707">
            <w:pPr>
              <w:spacing w:before="240"/>
              <w:rPr>
                <w:sz w:val="22"/>
                <w:szCs w:val="22"/>
              </w:rPr>
            </w:pPr>
          </w:p>
        </w:tc>
      </w:tr>
      <w:tr w:rsidR="00395707" w14:paraId="55B4038D" w14:textId="77777777" w:rsidTr="00395707">
        <w:tc>
          <w:tcPr>
            <w:tcW w:w="3261" w:type="dxa"/>
          </w:tcPr>
          <w:p w14:paraId="38FB985E" w14:textId="75F91402" w:rsidR="00395707" w:rsidRPr="00850C17" w:rsidRDefault="00395707" w:rsidP="00395707">
            <w:pPr>
              <w:spacing w:before="240"/>
              <w:ind w:left="34"/>
              <w:rPr>
                <w:b/>
                <w:sz w:val="22"/>
                <w:szCs w:val="22"/>
              </w:rPr>
            </w:pPr>
            <w:r w:rsidRPr="00850C17">
              <w:rPr>
                <w:b/>
                <w:sz w:val="22"/>
                <w:szCs w:val="22"/>
              </w:rPr>
              <w:t>Approach to indicator review</w:t>
            </w:r>
          </w:p>
        </w:tc>
        <w:tc>
          <w:tcPr>
            <w:tcW w:w="6740" w:type="dxa"/>
          </w:tcPr>
          <w:p w14:paraId="27111735" w14:textId="77777777" w:rsidR="00395707" w:rsidRPr="00850C17" w:rsidRDefault="00395707" w:rsidP="00395707">
            <w:pPr>
              <w:spacing w:before="240"/>
              <w:rPr>
                <w:sz w:val="22"/>
                <w:szCs w:val="22"/>
              </w:rPr>
            </w:pPr>
          </w:p>
        </w:tc>
      </w:tr>
      <w:tr w:rsidR="00395707" w14:paraId="1DBEA347" w14:textId="77777777" w:rsidTr="00395707">
        <w:tc>
          <w:tcPr>
            <w:tcW w:w="3261" w:type="dxa"/>
          </w:tcPr>
          <w:p w14:paraId="33173B43" w14:textId="358AA007" w:rsidR="00395707" w:rsidRPr="00850C17" w:rsidRDefault="00395707" w:rsidP="00395707">
            <w:pPr>
              <w:spacing w:before="240"/>
              <w:ind w:left="34"/>
              <w:rPr>
                <w:b/>
                <w:sz w:val="22"/>
                <w:szCs w:val="22"/>
              </w:rPr>
            </w:pPr>
            <w:r w:rsidRPr="00850C17">
              <w:rPr>
                <w:b/>
                <w:sz w:val="22"/>
                <w:szCs w:val="22"/>
              </w:rPr>
              <w:t>Disclosure control</w:t>
            </w:r>
          </w:p>
        </w:tc>
        <w:tc>
          <w:tcPr>
            <w:tcW w:w="6740" w:type="dxa"/>
          </w:tcPr>
          <w:p w14:paraId="1D493D3A" w14:textId="222A0017" w:rsidR="00395707" w:rsidRPr="00850C17" w:rsidRDefault="00395707" w:rsidP="00395707">
            <w:pPr>
              <w:spacing w:before="240"/>
              <w:rPr>
                <w:sz w:val="22"/>
                <w:szCs w:val="22"/>
              </w:rPr>
            </w:pPr>
            <w:r w:rsidRPr="00850C17">
              <w:rPr>
                <w:sz w:val="22"/>
                <w:szCs w:val="22"/>
              </w:rPr>
              <w:t>This publication is subject to a standard NHS Digital risk assessment prior to issue. Disclosure control is implemented where judged necessary.</w:t>
            </w:r>
          </w:p>
        </w:tc>
      </w:tr>
      <w:tr w:rsidR="00395707" w14:paraId="5201E197" w14:textId="77777777" w:rsidTr="00395707">
        <w:tc>
          <w:tcPr>
            <w:tcW w:w="3261" w:type="dxa"/>
          </w:tcPr>
          <w:p w14:paraId="1BB79A7C" w14:textId="2D383AFE" w:rsidR="00395707" w:rsidRPr="00850C17" w:rsidRDefault="00395707" w:rsidP="00395707">
            <w:pPr>
              <w:spacing w:before="240"/>
              <w:ind w:left="34"/>
              <w:rPr>
                <w:b/>
                <w:sz w:val="22"/>
                <w:szCs w:val="22"/>
              </w:rPr>
            </w:pPr>
            <w:r w:rsidRPr="00850C17">
              <w:rPr>
                <w:b/>
                <w:sz w:val="22"/>
                <w:szCs w:val="22"/>
              </w:rPr>
              <w:t>Copyright</w:t>
            </w:r>
          </w:p>
        </w:tc>
        <w:tc>
          <w:tcPr>
            <w:tcW w:w="6740" w:type="dxa"/>
          </w:tcPr>
          <w:p w14:paraId="6DAE47B5" w14:textId="77777777" w:rsidR="00395707" w:rsidRPr="00850C17" w:rsidRDefault="00395707" w:rsidP="00395707">
            <w:pPr>
              <w:spacing w:before="240"/>
              <w:rPr>
                <w:sz w:val="22"/>
                <w:szCs w:val="22"/>
              </w:rPr>
            </w:pPr>
          </w:p>
        </w:tc>
      </w:tr>
    </w:tbl>
    <w:p w14:paraId="28A1966D" w14:textId="77777777" w:rsidR="00395707" w:rsidRPr="00395707" w:rsidRDefault="00395707" w:rsidP="00395707">
      <w:pPr>
        <w:rPr>
          <w:rFonts w:eastAsia="MS Mincho"/>
          <w:b/>
          <w:bCs/>
          <w:sz w:val="28"/>
          <w:szCs w:val="28"/>
        </w:rPr>
      </w:pPr>
    </w:p>
    <w:p w14:paraId="6C367C71" w14:textId="77777777" w:rsidR="00772A5C" w:rsidRPr="00850C17" w:rsidRDefault="00772A5C">
      <w:pPr>
        <w:rPr>
          <w:rFonts w:cs="Arial"/>
          <w:sz w:val="22"/>
          <w:szCs w:val="22"/>
        </w:rPr>
      </w:pPr>
      <w:r w:rsidRPr="00850C17">
        <w:rPr>
          <w:rFonts w:cs="Arial"/>
          <w:sz w:val="22"/>
          <w:szCs w:val="22"/>
        </w:rPr>
        <w:br w:type="page"/>
      </w:r>
    </w:p>
    <w:p w14:paraId="494DF950" w14:textId="749D2AFF" w:rsidR="00C12977" w:rsidRPr="00850C17" w:rsidRDefault="00C12977">
      <w:pPr>
        <w:spacing w:after="0"/>
        <w:textboxTightWrap w:val="none"/>
        <w:rPr>
          <w:rFonts w:cs="Arial"/>
          <w:sz w:val="22"/>
          <w:szCs w:val="22"/>
        </w:rPr>
      </w:pPr>
    </w:p>
    <w:tbl>
      <w:tblPr>
        <w:tblStyle w:val="TableGrid"/>
        <w:tblW w:w="9851" w:type="dxa"/>
        <w:tblLook w:val="01E0" w:firstRow="1" w:lastRow="1" w:firstColumn="1" w:lastColumn="1" w:noHBand="0" w:noVBand="0"/>
      </w:tblPr>
      <w:tblGrid>
        <w:gridCol w:w="2291"/>
        <w:gridCol w:w="7560"/>
      </w:tblGrid>
      <w:tr w:rsidR="00850C17" w:rsidRPr="00850C17" w14:paraId="2168DE01" w14:textId="77777777" w:rsidTr="00395707">
        <w:trPr>
          <w:trHeight w:val="525"/>
        </w:trPr>
        <w:tc>
          <w:tcPr>
            <w:tcW w:w="2291" w:type="dxa"/>
          </w:tcPr>
          <w:p w14:paraId="4394FE0A" w14:textId="77777777" w:rsidR="00C12977" w:rsidRPr="00850C17" w:rsidRDefault="00C12977" w:rsidP="00395707">
            <w:pPr>
              <w:rPr>
                <w:rFonts w:cs="Arial"/>
                <w:b/>
                <w:sz w:val="22"/>
                <w:szCs w:val="22"/>
              </w:rPr>
            </w:pPr>
            <w:r w:rsidRPr="00850C17">
              <w:rPr>
                <w:rFonts w:cs="Arial"/>
                <w:b/>
                <w:sz w:val="22"/>
                <w:szCs w:val="22"/>
              </w:rPr>
              <w:t>IAS Ref Code</w:t>
            </w:r>
          </w:p>
        </w:tc>
        <w:tc>
          <w:tcPr>
            <w:tcW w:w="7560" w:type="dxa"/>
          </w:tcPr>
          <w:p w14:paraId="45E29B33" w14:textId="35F19042" w:rsidR="00C12977" w:rsidRPr="00850C17" w:rsidRDefault="00C12977" w:rsidP="00395707">
            <w:pPr>
              <w:rPr>
                <w:rFonts w:cs="Arial"/>
                <w:b/>
                <w:sz w:val="22"/>
                <w:szCs w:val="22"/>
              </w:rPr>
            </w:pPr>
            <w:r w:rsidRPr="00850C17">
              <w:rPr>
                <w:rFonts w:cs="Arial"/>
                <w:b/>
                <w:sz w:val="22"/>
                <w:szCs w:val="22"/>
              </w:rPr>
              <w:t>NICE inherited this indicator and all its supporting documentation from NHS Digital on 1 April 2020</w:t>
            </w:r>
          </w:p>
        </w:tc>
      </w:tr>
      <w:tr w:rsidR="00850C17" w:rsidRPr="00850C17" w14:paraId="66523B73" w14:textId="77777777" w:rsidTr="00395707">
        <w:trPr>
          <w:trHeight w:val="973"/>
        </w:trPr>
        <w:tc>
          <w:tcPr>
            <w:tcW w:w="2291" w:type="dxa"/>
          </w:tcPr>
          <w:p w14:paraId="4F19841C" w14:textId="77777777" w:rsidR="00C12977" w:rsidRPr="00850C17" w:rsidRDefault="00C12977" w:rsidP="00395707">
            <w:pPr>
              <w:rPr>
                <w:rFonts w:cs="Arial"/>
                <w:b/>
                <w:sz w:val="22"/>
                <w:szCs w:val="22"/>
              </w:rPr>
            </w:pPr>
            <w:r w:rsidRPr="00850C17">
              <w:rPr>
                <w:rFonts w:cs="Arial"/>
                <w:b/>
                <w:sz w:val="22"/>
                <w:szCs w:val="22"/>
              </w:rPr>
              <w:t>Indicator Title</w:t>
            </w:r>
          </w:p>
        </w:tc>
        <w:tc>
          <w:tcPr>
            <w:tcW w:w="7560" w:type="dxa"/>
          </w:tcPr>
          <w:p w14:paraId="20EE0568" w14:textId="40909072" w:rsidR="00C12977" w:rsidRPr="00850C17" w:rsidRDefault="00C12977" w:rsidP="00395707">
            <w:pPr>
              <w:rPr>
                <w:rFonts w:cs="Arial"/>
                <w:b/>
                <w:sz w:val="22"/>
                <w:szCs w:val="22"/>
              </w:rPr>
            </w:pPr>
          </w:p>
        </w:tc>
      </w:tr>
      <w:tr w:rsidR="00850C17" w:rsidRPr="00850C17" w14:paraId="6BC018B6" w14:textId="77777777" w:rsidTr="00395707">
        <w:trPr>
          <w:trHeight w:val="548"/>
        </w:trPr>
        <w:tc>
          <w:tcPr>
            <w:tcW w:w="2291" w:type="dxa"/>
          </w:tcPr>
          <w:p w14:paraId="7BBF8E5B" w14:textId="77777777" w:rsidR="00C12977" w:rsidRPr="00850C17" w:rsidRDefault="00C12977" w:rsidP="00395707">
            <w:pPr>
              <w:rPr>
                <w:rFonts w:cs="Arial"/>
                <w:b/>
                <w:sz w:val="22"/>
                <w:szCs w:val="22"/>
              </w:rPr>
            </w:pPr>
            <w:r w:rsidRPr="00850C17">
              <w:rPr>
                <w:rFonts w:cs="Arial"/>
                <w:b/>
                <w:sz w:val="22"/>
                <w:szCs w:val="22"/>
              </w:rPr>
              <w:t>Indicator Set</w:t>
            </w:r>
          </w:p>
        </w:tc>
        <w:tc>
          <w:tcPr>
            <w:tcW w:w="7560" w:type="dxa"/>
          </w:tcPr>
          <w:p w14:paraId="7EC52241" w14:textId="0E6D33D4" w:rsidR="00C12977" w:rsidRPr="00850C17" w:rsidRDefault="00C12977" w:rsidP="00395707">
            <w:pPr>
              <w:rPr>
                <w:rFonts w:cs="Arial"/>
                <w:b/>
                <w:sz w:val="22"/>
                <w:szCs w:val="22"/>
              </w:rPr>
            </w:pPr>
          </w:p>
        </w:tc>
      </w:tr>
    </w:tbl>
    <w:p w14:paraId="4380FD1F" w14:textId="77777777" w:rsidR="00C12977" w:rsidRPr="00850C17" w:rsidRDefault="00C12977" w:rsidP="00395707">
      <w:pPr>
        <w:ind w:left="-540"/>
        <w:rPr>
          <w:rFonts w:cs="Arial"/>
          <w:sz w:val="22"/>
          <w:szCs w:val="22"/>
        </w:rPr>
      </w:pPr>
    </w:p>
    <w:tbl>
      <w:tblPr>
        <w:tblStyle w:val="TableGrid"/>
        <w:tblW w:w="9869" w:type="dxa"/>
        <w:tblLook w:val="01E0" w:firstRow="1" w:lastRow="1" w:firstColumn="1" w:lastColumn="1" w:noHBand="0" w:noVBand="0"/>
      </w:tblPr>
      <w:tblGrid>
        <w:gridCol w:w="1135"/>
        <w:gridCol w:w="1134"/>
        <w:gridCol w:w="1843"/>
        <w:gridCol w:w="5757"/>
      </w:tblGrid>
      <w:tr w:rsidR="00850C17" w:rsidRPr="00850C17" w14:paraId="0A64C43D" w14:textId="77777777" w:rsidTr="00395707">
        <w:trPr>
          <w:trHeight w:val="243"/>
        </w:trPr>
        <w:tc>
          <w:tcPr>
            <w:tcW w:w="1135" w:type="dxa"/>
          </w:tcPr>
          <w:p w14:paraId="79C99AC6" w14:textId="77777777" w:rsidR="00C12977" w:rsidRPr="00850C17" w:rsidRDefault="00C12977" w:rsidP="00395707">
            <w:pPr>
              <w:rPr>
                <w:rFonts w:cs="Arial"/>
                <w:sz w:val="22"/>
                <w:szCs w:val="22"/>
              </w:rPr>
            </w:pPr>
            <w:r w:rsidRPr="00850C17">
              <w:rPr>
                <w:rFonts w:cs="Arial"/>
                <w:sz w:val="22"/>
                <w:szCs w:val="22"/>
              </w:rPr>
              <w:t>Version</w:t>
            </w:r>
          </w:p>
        </w:tc>
        <w:tc>
          <w:tcPr>
            <w:tcW w:w="1134" w:type="dxa"/>
          </w:tcPr>
          <w:p w14:paraId="46438D20" w14:textId="77777777" w:rsidR="00C12977" w:rsidRPr="00850C17" w:rsidRDefault="00C12977" w:rsidP="00395707">
            <w:pPr>
              <w:rPr>
                <w:rFonts w:cs="Arial"/>
                <w:sz w:val="22"/>
                <w:szCs w:val="22"/>
              </w:rPr>
            </w:pPr>
            <w:r w:rsidRPr="00850C17">
              <w:rPr>
                <w:rFonts w:cs="Arial"/>
                <w:sz w:val="22"/>
                <w:szCs w:val="22"/>
              </w:rPr>
              <w:t>Date</w:t>
            </w:r>
          </w:p>
        </w:tc>
        <w:tc>
          <w:tcPr>
            <w:tcW w:w="1843" w:type="dxa"/>
          </w:tcPr>
          <w:p w14:paraId="2889CD62" w14:textId="77777777" w:rsidR="00C12977" w:rsidRPr="00850C17" w:rsidRDefault="00C12977" w:rsidP="00395707">
            <w:pPr>
              <w:rPr>
                <w:rFonts w:cs="Arial"/>
                <w:sz w:val="22"/>
                <w:szCs w:val="22"/>
              </w:rPr>
            </w:pPr>
            <w:r w:rsidRPr="00850C17">
              <w:rPr>
                <w:rFonts w:cs="Arial"/>
                <w:sz w:val="22"/>
                <w:szCs w:val="22"/>
              </w:rPr>
              <w:t>Changed By</w:t>
            </w:r>
          </w:p>
        </w:tc>
        <w:tc>
          <w:tcPr>
            <w:tcW w:w="5757" w:type="dxa"/>
          </w:tcPr>
          <w:p w14:paraId="4998EA63" w14:textId="77777777" w:rsidR="00C12977" w:rsidRPr="00850C17" w:rsidRDefault="00C12977" w:rsidP="00395707">
            <w:pPr>
              <w:rPr>
                <w:rFonts w:cs="Arial"/>
                <w:sz w:val="22"/>
                <w:szCs w:val="22"/>
              </w:rPr>
            </w:pPr>
            <w:r w:rsidRPr="00850C17">
              <w:rPr>
                <w:rFonts w:cs="Arial"/>
                <w:sz w:val="22"/>
                <w:szCs w:val="22"/>
              </w:rPr>
              <w:t>Summary of changes</w:t>
            </w:r>
          </w:p>
        </w:tc>
      </w:tr>
      <w:tr w:rsidR="00850C17" w:rsidRPr="00850C17" w14:paraId="2975E371" w14:textId="77777777" w:rsidTr="00395707">
        <w:trPr>
          <w:trHeight w:val="280"/>
        </w:trPr>
        <w:tc>
          <w:tcPr>
            <w:tcW w:w="1135" w:type="dxa"/>
          </w:tcPr>
          <w:p w14:paraId="56C91DB1" w14:textId="77777777" w:rsidR="00C12977" w:rsidRPr="00850C17" w:rsidRDefault="00C12977" w:rsidP="00395707">
            <w:pPr>
              <w:rPr>
                <w:rFonts w:cs="Arial"/>
                <w:sz w:val="22"/>
                <w:szCs w:val="22"/>
              </w:rPr>
            </w:pPr>
            <w:r w:rsidRPr="00850C17">
              <w:rPr>
                <w:rFonts w:cs="Arial"/>
                <w:sz w:val="22"/>
                <w:szCs w:val="22"/>
              </w:rPr>
              <w:t>v.01</w:t>
            </w:r>
          </w:p>
        </w:tc>
        <w:tc>
          <w:tcPr>
            <w:tcW w:w="1134" w:type="dxa"/>
          </w:tcPr>
          <w:p w14:paraId="7C84FEB7" w14:textId="77777777" w:rsidR="00C12977" w:rsidRPr="00850C17" w:rsidRDefault="00C12977" w:rsidP="00395707">
            <w:pPr>
              <w:rPr>
                <w:rFonts w:cs="Arial"/>
                <w:sz w:val="22"/>
                <w:szCs w:val="22"/>
              </w:rPr>
            </w:pPr>
            <w:r w:rsidRPr="00850C17">
              <w:rPr>
                <w:rFonts w:cs="Arial"/>
                <w:sz w:val="22"/>
                <w:szCs w:val="22"/>
              </w:rPr>
              <w:t>08/02/13</w:t>
            </w:r>
          </w:p>
        </w:tc>
        <w:tc>
          <w:tcPr>
            <w:tcW w:w="1843" w:type="dxa"/>
          </w:tcPr>
          <w:p w14:paraId="152CB682" w14:textId="77777777" w:rsidR="00C12977" w:rsidRPr="00850C17" w:rsidRDefault="00C12977" w:rsidP="00395707">
            <w:pPr>
              <w:rPr>
                <w:rFonts w:cs="Arial"/>
                <w:sz w:val="22"/>
                <w:szCs w:val="22"/>
              </w:rPr>
            </w:pPr>
            <w:r w:rsidRPr="00850C17">
              <w:rPr>
                <w:rFonts w:cs="Arial"/>
                <w:sz w:val="22"/>
                <w:szCs w:val="22"/>
              </w:rPr>
              <w:t>Gavin Harrison</w:t>
            </w:r>
          </w:p>
        </w:tc>
        <w:tc>
          <w:tcPr>
            <w:tcW w:w="5757" w:type="dxa"/>
          </w:tcPr>
          <w:p w14:paraId="6F624ECC" w14:textId="77777777" w:rsidR="00C12977" w:rsidRPr="00850C17" w:rsidRDefault="00C12977" w:rsidP="00395707">
            <w:pPr>
              <w:rPr>
                <w:rFonts w:cs="Arial"/>
                <w:sz w:val="22"/>
                <w:szCs w:val="22"/>
              </w:rPr>
            </w:pPr>
            <w:r w:rsidRPr="00850C17">
              <w:rPr>
                <w:rFonts w:cs="Arial"/>
                <w:sz w:val="22"/>
                <w:szCs w:val="22"/>
              </w:rPr>
              <w:t>Document Created</w:t>
            </w:r>
          </w:p>
        </w:tc>
      </w:tr>
      <w:tr w:rsidR="00850C17" w:rsidRPr="00850C17" w14:paraId="37C978E4" w14:textId="77777777" w:rsidTr="00395707">
        <w:trPr>
          <w:trHeight w:val="231"/>
        </w:trPr>
        <w:tc>
          <w:tcPr>
            <w:tcW w:w="1135" w:type="dxa"/>
          </w:tcPr>
          <w:p w14:paraId="2AA33F4B" w14:textId="77777777" w:rsidR="00C12977" w:rsidRPr="00850C17" w:rsidRDefault="00C12977" w:rsidP="00395707">
            <w:pPr>
              <w:rPr>
                <w:rFonts w:cs="Arial"/>
                <w:sz w:val="22"/>
                <w:szCs w:val="22"/>
              </w:rPr>
            </w:pPr>
            <w:r w:rsidRPr="00850C17">
              <w:rPr>
                <w:rFonts w:cs="Arial"/>
                <w:sz w:val="22"/>
                <w:szCs w:val="22"/>
              </w:rPr>
              <w:t>v.02</w:t>
            </w:r>
          </w:p>
        </w:tc>
        <w:tc>
          <w:tcPr>
            <w:tcW w:w="1134" w:type="dxa"/>
          </w:tcPr>
          <w:p w14:paraId="53BFE089" w14:textId="77777777" w:rsidR="00C12977" w:rsidRPr="00850C17" w:rsidRDefault="00C12977" w:rsidP="00395707">
            <w:pPr>
              <w:rPr>
                <w:rFonts w:cs="Arial"/>
                <w:sz w:val="22"/>
                <w:szCs w:val="22"/>
              </w:rPr>
            </w:pPr>
            <w:r w:rsidRPr="00850C17">
              <w:rPr>
                <w:rFonts w:cs="Arial"/>
                <w:sz w:val="22"/>
                <w:szCs w:val="22"/>
              </w:rPr>
              <w:t>02/06/17</w:t>
            </w:r>
          </w:p>
        </w:tc>
        <w:tc>
          <w:tcPr>
            <w:tcW w:w="1843" w:type="dxa"/>
          </w:tcPr>
          <w:p w14:paraId="0315BBC5" w14:textId="77777777" w:rsidR="00C12977" w:rsidRPr="00850C17" w:rsidRDefault="00C12977" w:rsidP="00395707">
            <w:pPr>
              <w:rPr>
                <w:rFonts w:cs="Arial"/>
                <w:sz w:val="22"/>
                <w:szCs w:val="22"/>
              </w:rPr>
            </w:pPr>
            <w:r w:rsidRPr="00850C17">
              <w:rPr>
                <w:rFonts w:cs="Arial"/>
                <w:sz w:val="22"/>
                <w:szCs w:val="22"/>
              </w:rPr>
              <w:t>Andrew Besch</w:t>
            </w:r>
          </w:p>
        </w:tc>
        <w:tc>
          <w:tcPr>
            <w:tcW w:w="5757" w:type="dxa"/>
          </w:tcPr>
          <w:p w14:paraId="73D1196E" w14:textId="77777777" w:rsidR="00C12977" w:rsidRPr="00850C17" w:rsidRDefault="00C12977" w:rsidP="00395707">
            <w:pPr>
              <w:rPr>
                <w:rFonts w:cs="Arial"/>
                <w:sz w:val="22"/>
                <w:szCs w:val="22"/>
              </w:rPr>
            </w:pPr>
            <w:r w:rsidRPr="00850C17">
              <w:rPr>
                <w:rFonts w:cs="Arial"/>
                <w:sz w:val="22"/>
                <w:szCs w:val="22"/>
              </w:rPr>
              <w:t>Updated to reflect outcome of IGB meeting of 16/08/2013</w:t>
            </w:r>
          </w:p>
        </w:tc>
      </w:tr>
      <w:tr w:rsidR="00850C17" w:rsidRPr="00850C17" w14:paraId="2F93C97C" w14:textId="77777777" w:rsidTr="00395707">
        <w:trPr>
          <w:trHeight w:val="231"/>
        </w:trPr>
        <w:tc>
          <w:tcPr>
            <w:tcW w:w="1135" w:type="dxa"/>
          </w:tcPr>
          <w:p w14:paraId="472F8AD6" w14:textId="77777777" w:rsidR="00C12977" w:rsidRPr="00850C17" w:rsidRDefault="00C12977" w:rsidP="00395707">
            <w:pPr>
              <w:rPr>
                <w:rFonts w:cs="Arial"/>
                <w:sz w:val="22"/>
                <w:szCs w:val="22"/>
              </w:rPr>
            </w:pPr>
          </w:p>
        </w:tc>
        <w:tc>
          <w:tcPr>
            <w:tcW w:w="1134" w:type="dxa"/>
          </w:tcPr>
          <w:p w14:paraId="05EDFC94" w14:textId="77777777" w:rsidR="00C12977" w:rsidRPr="00850C17" w:rsidRDefault="00C12977" w:rsidP="00395707">
            <w:pPr>
              <w:rPr>
                <w:rFonts w:cs="Arial"/>
                <w:sz w:val="22"/>
                <w:szCs w:val="22"/>
              </w:rPr>
            </w:pPr>
          </w:p>
        </w:tc>
        <w:tc>
          <w:tcPr>
            <w:tcW w:w="1843" w:type="dxa"/>
          </w:tcPr>
          <w:p w14:paraId="15FF5C29" w14:textId="77777777" w:rsidR="00C12977" w:rsidRPr="00850C17" w:rsidRDefault="00C12977" w:rsidP="00395707">
            <w:pPr>
              <w:rPr>
                <w:rFonts w:cs="Arial"/>
                <w:sz w:val="22"/>
                <w:szCs w:val="22"/>
              </w:rPr>
            </w:pPr>
          </w:p>
        </w:tc>
        <w:tc>
          <w:tcPr>
            <w:tcW w:w="5757" w:type="dxa"/>
          </w:tcPr>
          <w:p w14:paraId="007F52B0" w14:textId="77777777" w:rsidR="00C12977" w:rsidRPr="00850C17" w:rsidRDefault="00C12977" w:rsidP="00395707">
            <w:pPr>
              <w:rPr>
                <w:rFonts w:cs="Arial"/>
                <w:sz w:val="22"/>
                <w:szCs w:val="22"/>
              </w:rPr>
            </w:pPr>
          </w:p>
        </w:tc>
      </w:tr>
      <w:tr w:rsidR="00850C17" w:rsidRPr="00850C17" w14:paraId="1F098F19" w14:textId="77777777" w:rsidTr="00395707">
        <w:trPr>
          <w:trHeight w:val="231"/>
        </w:trPr>
        <w:tc>
          <w:tcPr>
            <w:tcW w:w="1135" w:type="dxa"/>
          </w:tcPr>
          <w:p w14:paraId="53A55F95" w14:textId="77777777" w:rsidR="00C12977" w:rsidRPr="00850C17" w:rsidRDefault="00C12977" w:rsidP="00395707">
            <w:pPr>
              <w:rPr>
                <w:rFonts w:cs="Arial"/>
                <w:sz w:val="22"/>
                <w:szCs w:val="22"/>
              </w:rPr>
            </w:pPr>
          </w:p>
        </w:tc>
        <w:tc>
          <w:tcPr>
            <w:tcW w:w="1134" w:type="dxa"/>
          </w:tcPr>
          <w:p w14:paraId="0A50ABB0" w14:textId="77777777" w:rsidR="00C12977" w:rsidRPr="00850C17" w:rsidRDefault="00C12977" w:rsidP="00395707">
            <w:pPr>
              <w:rPr>
                <w:rFonts w:cs="Arial"/>
                <w:sz w:val="22"/>
                <w:szCs w:val="22"/>
              </w:rPr>
            </w:pPr>
          </w:p>
        </w:tc>
        <w:tc>
          <w:tcPr>
            <w:tcW w:w="1843" w:type="dxa"/>
          </w:tcPr>
          <w:p w14:paraId="53D744EB" w14:textId="77777777" w:rsidR="00C12977" w:rsidRPr="00850C17" w:rsidRDefault="00C12977" w:rsidP="00395707">
            <w:pPr>
              <w:rPr>
                <w:rFonts w:cs="Arial"/>
                <w:sz w:val="22"/>
                <w:szCs w:val="22"/>
              </w:rPr>
            </w:pPr>
          </w:p>
        </w:tc>
        <w:tc>
          <w:tcPr>
            <w:tcW w:w="5757" w:type="dxa"/>
          </w:tcPr>
          <w:p w14:paraId="047BDE3D" w14:textId="77777777" w:rsidR="00C12977" w:rsidRPr="00850C17" w:rsidRDefault="00C12977" w:rsidP="00395707">
            <w:pPr>
              <w:rPr>
                <w:rFonts w:cs="Arial"/>
                <w:sz w:val="22"/>
                <w:szCs w:val="22"/>
              </w:rPr>
            </w:pPr>
          </w:p>
        </w:tc>
      </w:tr>
      <w:tr w:rsidR="00850C17" w:rsidRPr="00850C17" w14:paraId="3E48BDFB" w14:textId="77777777" w:rsidTr="00395707">
        <w:trPr>
          <w:trHeight w:val="231"/>
        </w:trPr>
        <w:tc>
          <w:tcPr>
            <w:tcW w:w="1135" w:type="dxa"/>
          </w:tcPr>
          <w:p w14:paraId="4CC369C1" w14:textId="77777777" w:rsidR="00C12977" w:rsidRPr="00850C17" w:rsidRDefault="00C12977" w:rsidP="00395707">
            <w:pPr>
              <w:rPr>
                <w:rFonts w:cs="Arial"/>
                <w:sz w:val="22"/>
                <w:szCs w:val="22"/>
              </w:rPr>
            </w:pPr>
          </w:p>
        </w:tc>
        <w:tc>
          <w:tcPr>
            <w:tcW w:w="1134" w:type="dxa"/>
          </w:tcPr>
          <w:p w14:paraId="7FBCE960" w14:textId="77777777" w:rsidR="00C12977" w:rsidRPr="00850C17" w:rsidRDefault="00C12977" w:rsidP="00395707">
            <w:pPr>
              <w:rPr>
                <w:rFonts w:cs="Arial"/>
                <w:sz w:val="22"/>
                <w:szCs w:val="22"/>
              </w:rPr>
            </w:pPr>
          </w:p>
        </w:tc>
        <w:tc>
          <w:tcPr>
            <w:tcW w:w="1843" w:type="dxa"/>
          </w:tcPr>
          <w:p w14:paraId="0D520708" w14:textId="77777777" w:rsidR="00C12977" w:rsidRPr="00850C17" w:rsidRDefault="00C12977" w:rsidP="00395707">
            <w:pPr>
              <w:rPr>
                <w:rFonts w:cs="Arial"/>
                <w:sz w:val="22"/>
                <w:szCs w:val="22"/>
              </w:rPr>
            </w:pPr>
          </w:p>
        </w:tc>
        <w:tc>
          <w:tcPr>
            <w:tcW w:w="5757" w:type="dxa"/>
          </w:tcPr>
          <w:p w14:paraId="1EE47AD3" w14:textId="77777777" w:rsidR="00C12977" w:rsidRPr="00850C17" w:rsidRDefault="00C12977" w:rsidP="00395707">
            <w:pPr>
              <w:rPr>
                <w:rFonts w:cs="Arial"/>
                <w:sz w:val="22"/>
                <w:szCs w:val="22"/>
              </w:rPr>
            </w:pPr>
          </w:p>
        </w:tc>
      </w:tr>
    </w:tbl>
    <w:p w14:paraId="52621025" w14:textId="77777777" w:rsidR="00C12977" w:rsidRPr="00850C17" w:rsidRDefault="00C12977" w:rsidP="00395707">
      <w:pPr>
        <w:ind w:left="-540"/>
        <w:rPr>
          <w:rFonts w:cs="Arial"/>
          <w:sz w:val="22"/>
          <w:szCs w:val="22"/>
        </w:rPr>
      </w:pPr>
    </w:p>
    <w:p w14:paraId="17124A1D" w14:textId="77777777" w:rsidR="00C12977" w:rsidRPr="00850C17" w:rsidRDefault="00C12977" w:rsidP="00395707">
      <w:pPr>
        <w:ind w:left="-540"/>
        <w:rPr>
          <w:rFonts w:cs="Arial"/>
          <w:sz w:val="22"/>
          <w:szCs w:val="22"/>
        </w:rPr>
      </w:pPr>
    </w:p>
    <w:p w14:paraId="33B1F8E0" w14:textId="77777777" w:rsidR="00C12977" w:rsidRPr="00850C17" w:rsidRDefault="00C12977" w:rsidP="00395707">
      <w:pPr>
        <w:ind w:left="-540"/>
        <w:rPr>
          <w:rFonts w:cs="Arial"/>
          <w:sz w:val="22"/>
          <w:szCs w:val="22"/>
        </w:rPr>
      </w:pPr>
    </w:p>
    <w:p w14:paraId="4DA58802" w14:textId="77777777" w:rsidR="00C12977" w:rsidRPr="00850C17" w:rsidRDefault="00C12977" w:rsidP="00395707">
      <w:pPr>
        <w:ind w:left="-540"/>
        <w:rPr>
          <w:rFonts w:cs="Arial"/>
          <w:sz w:val="22"/>
          <w:szCs w:val="22"/>
        </w:rPr>
      </w:pPr>
    </w:p>
    <w:p w14:paraId="625F9E60" w14:textId="77777777" w:rsidR="00C12977" w:rsidRPr="00850C17" w:rsidRDefault="00C12977" w:rsidP="00395707">
      <w:pPr>
        <w:ind w:left="-540"/>
        <w:rPr>
          <w:rFonts w:cs="Arial"/>
          <w:sz w:val="22"/>
          <w:szCs w:val="22"/>
        </w:rPr>
      </w:pPr>
    </w:p>
    <w:p w14:paraId="094BA710" w14:textId="77777777" w:rsidR="00C12977" w:rsidRPr="00850C17" w:rsidRDefault="00C12977" w:rsidP="00395707">
      <w:pPr>
        <w:ind w:left="-540"/>
        <w:rPr>
          <w:rFonts w:cs="Arial"/>
          <w:sz w:val="22"/>
          <w:szCs w:val="22"/>
        </w:rPr>
      </w:pPr>
    </w:p>
    <w:p w14:paraId="3654D0A7" w14:textId="77777777" w:rsidR="00C12977" w:rsidRPr="00850C17" w:rsidRDefault="00C12977">
      <w:pPr>
        <w:rPr>
          <w:rFonts w:cs="Arial"/>
          <w:sz w:val="22"/>
          <w:szCs w:val="22"/>
        </w:rPr>
      </w:pPr>
      <w:r w:rsidRPr="00850C17">
        <w:rPr>
          <w:rFonts w:cs="Arial"/>
          <w:sz w:val="22"/>
          <w:szCs w:val="22"/>
        </w:rPr>
        <w:br w:type="page"/>
      </w:r>
    </w:p>
    <w:p w14:paraId="6ED56737" w14:textId="77777777" w:rsidR="00C12977" w:rsidRPr="00850C17" w:rsidRDefault="00C12977" w:rsidP="00395707">
      <w:pPr>
        <w:ind w:left="-851"/>
        <w:jc w:val="both"/>
        <w:rPr>
          <w:rFonts w:cs="Arial"/>
          <w:sz w:val="22"/>
          <w:szCs w:val="22"/>
        </w:rPr>
      </w:pPr>
    </w:p>
    <w:p w14:paraId="0BE58CF0" w14:textId="77777777" w:rsidR="00C12977" w:rsidRPr="00850C17" w:rsidRDefault="00C12977" w:rsidP="00395707">
      <w:pPr>
        <w:ind w:left="-851"/>
        <w:rPr>
          <w:rFonts w:cs="Arial"/>
          <w:b/>
          <w:sz w:val="22"/>
          <w:szCs w:val="22"/>
        </w:rPr>
      </w:pPr>
      <w:r w:rsidRPr="00850C17">
        <w:rPr>
          <w:rFonts w:cs="Arial"/>
          <w:b/>
          <w:sz w:val="22"/>
          <w:szCs w:val="22"/>
        </w:rPr>
        <w:t>Assurance Summary</w:t>
      </w:r>
    </w:p>
    <w:p w14:paraId="005C92A8" w14:textId="77777777" w:rsidR="00C12977" w:rsidRPr="00850C17" w:rsidRDefault="00C12977" w:rsidP="00395707">
      <w:pPr>
        <w:ind w:left="-851"/>
        <w:rPr>
          <w:rFonts w:cs="Arial"/>
          <w:sz w:val="22"/>
          <w:szCs w:val="22"/>
        </w:rPr>
      </w:pPr>
    </w:p>
    <w:tbl>
      <w:tblPr>
        <w:tblStyle w:val="TableGrid"/>
        <w:tblW w:w="9923" w:type="dxa"/>
        <w:tblLook w:val="01E0" w:firstRow="1" w:lastRow="1" w:firstColumn="1" w:lastColumn="1" w:noHBand="0" w:noVBand="0"/>
      </w:tblPr>
      <w:tblGrid>
        <w:gridCol w:w="2127"/>
        <w:gridCol w:w="7796"/>
      </w:tblGrid>
      <w:tr w:rsidR="00850C17" w:rsidRPr="00850C17" w14:paraId="2700DBD3" w14:textId="77777777" w:rsidTr="00395707">
        <w:trPr>
          <w:trHeight w:val="321"/>
        </w:trPr>
        <w:tc>
          <w:tcPr>
            <w:tcW w:w="2127" w:type="dxa"/>
          </w:tcPr>
          <w:p w14:paraId="7A72E4BC" w14:textId="77777777" w:rsidR="00C12977" w:rsidRPr="00850C17" w:rsidRDefault="00C12977" w:rsidP="00395707">
            <w:pPr>
              <w:rPr>
                <w:rFonts w:cs="Arial"/>
                <w:b/>
                <w:sz w:val="22"/>
                <w:szCs w:val="22"/>
              </w:rPr>
            </w:pPr>
            <w:r w:rsidRPr="00850C17">
              <w:rPr>
                <w:rFonts w:cs="Arial"/>
                <w:b/>
                <w:sz w:val="22"/>
                <w:szCs w:val="22"/>
              </w:rPr>
              <w:t>IAS Ref Code</w:t>
            </w:r>
          </w:p>
        </w:tc>
        <w:tc>
          <w:tcPr>
            <w:tcW w:w="7796" w:type="dxa"/>
          </w:tcPr>
          <w:p w14:paraId="24BDF8DC" w14:textId="6CF39F3B" w:rsidR="00C12977" w:rsidRPr="00850C17" w:rsidRDefault="00C12977" w:rsidP="00395707">
            <w:pPr>
              <w:rPr>
                <w:rFonts w:cs="Arial"/>
                <w:b/>
                <w:sz w:val="22"/>
                <w:szCs w:val="22"/>
              </w:rPr>
            </w:pPr>
            <w:r w:rsidRPr="00850C17">
              <w:rPr>
                <w:rFonts w:cs="Arial"/>
                <w:sz w:val="22"/>
                <w:szCs w:val="22"/>
              </w:rPr>
              <w:t>NICE inherited this indicator and all its supporting documentation from NHS Digital on 1 April 2020</w:t>
            </w:r>
          </w:p>
        </w:tc>
      </w:tr>
      <w:tr w:rsidR="00850C17" w:rsidRPr="00850C17" w14:paraId="3A18DEB2" w14:textId="77777777" w:rsidTr="00395707">
        <w:trPr>
          <w:trHeight w:val="681"/>
        </w:trPr>
        <w:tc>
          <w:tcPr>
            <w:tcW w:w="2127" w:type="dxa"/>
          </w:tcPr>
          <w:p w14:paraId="66FE0790" w14:textId="77777777" w:rsidR="00C12977" w:rsidRPr="00850C17" w:rsidRDefault="00C12977" w:rsidP="00395707">
            <w:pPr>
              <w:rPr>
                <w:rFonts w:cs="Arial"/>
                <w:b/>
                <w:sz w:val="22"/>
                <w:szCs w:val="22"/>
              </w:rPr>
            </w:pPr>
            <w:r w:rsidRPr="00850C17">
              <w:rPr>
                <w:rFonts w:cs="Arial"/>
                <w:b/>
                <w:sz w:val="22"/>
                <w:szCs w:val="22"/>
              </w:rPr>
              <w:t>Indicator Title</w:t>
            </w:r>
          </w:p>
        </w:tc>
        <w:tc>
          <w:tcPr>
            <w:tcW w:w="7796" w:type="dxa"/>
          </w:tcPr>
          <w:p w14:paraId="3A751E51" w14:textId="10419F7F" w:rsidR="00C12977" w:rsidRPr="00850C17" w:rsidRDefault="00C12977" w:rsidP="00395707">
            <w:pPr>
              <w:rPr>
                <w:rFonts w:cs="Arial"/>
                <w:b/>
                <w:sz w:val="22"/>
                <w:szCs w:val="22"/>
              </w:rPr>
            </w:pPr>
          </w:p>
        </w:tc>
      </w:tr>
      <w:tr w:rsidR="00850C17" w:rsidRPr="00850C17" w14:paraId="2213AF90" w14:textId="77777777" w:rsidTr="00395707">
        <w:trPr>
          <w:trHeight w:val="408"/>
        </w:trPr>
        <w:tc>
          <w:tcPr>
            <w:tcW w:w="2127" w:type="dxa"/>
          </w:tcPr>
          <w:p w14:paraId="67242143" w14:textId="77777777" w:rsidR="00C12977" w:rsidRPr="00850C17" w:rsidRDefault="00C12977" w:rsidP="00395707">
            <w:pPr>
              <w:rPr>
                <w:rFonts w:cs="Arial"/>
                <w:b/>
                <w:sz w:val="22"/>
                <w:szCs w:val="22"/>
              </w:rPr>
            </w:pPr>
            <w:r w:rsidRPr="00850C17">
              <w:rPr>
                <w:rFonts w:cs="Arial"/>
                <w:b/>
                <w:sz w:val="22"/>
                <w:szCs w:val="22"/>
              </w:rPr>
              <w:t>Indicator Set</w:t>
            </w:r>
          </w:p>
        </w:tc>
        <w:tc>
          <w:tcPr>
            <w:tcW w:w="7796" w:type="dxa"/>
          </w:tcPr>
          <w:p w14:paraId="701CF5EE" w14:textId="0262413B" w:rsidR="00C12977" w:rsidRPr="00850C17" w:rsidRDefault="00C12977" w:rsidP="00395707">
            <w:pPr>
              <w:rPr>
                <w:rFonts w:cs="Arial"/>
                <w:b/>
                <w:sz w:val="22"/>
                <w:szCs w:val="22"/>
              </w:rPr>
            </w:pPr>
          </w:p>
        </w:tc>
      </w:tr>
    </w:tbl>
    <w:p w14:paraId="6842E3C7" w14:textId="77777777" w:rsidR="00C12977" w:rsidRPr="00850C17" w:rsidRDefault="00C12977" w:rsidP="00395707">
      <w:pPr>
        <w:ind w:left="-851"/>
        <w:rPr>
          <w:rFonts w:cs="Arial"/>
          <w:sz w:val="22"/>
          <w:szCs w:val="22"/>
        </w:rPr>
      </w:pPr>
    </w:p>
    <w:p w14:paraId="69293989" w14:textId="77777777" w:rsidR="00C12977" w:rsidRPr="00850C17" w:rsidRDefault="00C12977" w:rsidP="00395707">
      <w:pPr>
        <w:ind w:left="-851"/>
        <w:rPr>
          <w:rFonts w:cs="Arial"/>
          <w:sz w:val="22"/>
          <w:szCs w:val="22"/>
        </w:rPr>
      </w:pPr>
    </w:p>
    <w:p w14:paraId="6D911A5A" w14:textId="77777777" w:rsidR="00C12977" w:rsidRPr="00850C17" w:rsidRDefault="00C12977" w:rsidP="00395707">
      <w:pPr>
        <w:ind w:left="-851"/>
        <w:rPr>
          <w:rFonts w:cs="Arial"/>
          <w:sz w:val="22"/>
          <w:szCs w:val="22"/>
        </w:rPr>
      </w:pPr>
    </w:p>
    <w:tbl>
      <w:tblPr>
        <w:tblStyle w:val="TableGrid"/>
        <w:tblW w:w="9923" w:type="dxa"/>
        <w:tblLayout w:type="fixed"/>
        <w:tblLook w:val="01E0" w:firstRow="1" w:lastRow="1" w:firstColumn="1" w:lastColumn="1" w:noHBand="0" w:noVBand="0"/>
      </w:tblPr>
      <w:tblGrid>
        <w:gridCol w:w="3828"/>
        <w:gridCol w:w="567"/>
        <w:gridCol w:w="2552"/>
        <w:gridCol w:w="2976"/>
      </w:tblGrid>
      <w:tr w:rsidR="00395707" w:rsidRPr="00850C17" w14:paraId="16178682" w14:textId="77777777" w:rsidTr="00395707">
        <w:trPr>
          <w:trHeight w:val="270"/>
        </w:trPr>
        <w:tc>
          <w:tcPr>
            <w:tcW w:w="3828" w:type="dxa"/>
          </w:tcPr>
          <w:p w14:paraId="5E9A67BF" w14:textId="36DF2A2D" w:rsidR="00395707" w:rsidRPr="00850C17" w:rsidRDefault="00395707" w:rsidP="00395707">
            <w:pPr>
              <w:rPr>
                <w:rFonts w:cs="Arial"/>
                <w:sz w:val="22"/>
                <w:szCs w:val="22"/>
              </w:rPr>
            </w:pPr>
            <w:r w:rsidRPr="00850C17">
              <w:rPr>
                <w:rFonts w:cs="Arial"/>
                <w:sz w:val="22"/>
                <w:szCs w:val="22"/>
              </w:rPr>
              <w:t>Assurance Stage</w:t>
            </w:r>
          </w:p>
        </w:tc>
        <w:tc>
          <w:tcPr>
            <w:tcW w:w="567" w:type="dxa"/>
          </w:tcPr>
          <w:p w14:paraId="648B03EB" w14:textId="77777777" w:rsidR="00395707" w:rsidRPr="00850C17" w:rsidRDefault="00395707" w:rsidP="00395707">
            <w:pPr>
              <w:jc w:val="center"/>
              <w:rPr>
                <w:rFonts w:cs="Arial"/>
                <w:sz w:val="22"/>
                <w:szCs w:val="22"/>
              </w:rPr>
            </w:pPr>
          </w:p>
        </w:tc>
        <w:tc>
          <w:tcPr>
            <w:tcW w:w="2552" w:type="dxa"/>
          </w:tcPr>
          <w:p w14:paraId="4422400A" w14:textId="7E14028D" w:rsidR="00395707" w:rsidRPr="00850C17" w:rsidRDefault="00395707" w:rsidP="00395707">
            <w:pPr>
              <w:jc w:val="right"/>
              <w:rPr>
                <w:rFonts w:cs="Arial"/>
                <w:sz w:val="22"/>
                <w:szCs w:val="22"/>
              </w:rPr>
            </w:pPr>
            <w:r w:rsidRPr="00850C17">
              <w:rPr>
                <w:rFonts w:cs="Arial"/>
                <w:sz w:val="22"/>
                <w:szCs w:val="22"/>
              </w:rPr>
              <w:t>Date(s)</w:t>
            </w:r>
          </w:p>
        </w:tc>
        <w:tc>
          <w:tcPr>
            <w:tcW w:w="2976" w:type="dxa"/>
          </w:tcPr>
          <w:p w14:paraId="70FF8829" w14:textId="60B2E95C" w:rsidR="00395707" w:rsidRPr="00850C17" w:rsidRDefault="00395707" w:rsidP="00395707">
            <w:pPr>
              <w:rPr>
                <w:rFonts w:cs="Arial"/>
                <w:sz w:val="22"/>
                <w:szCs w:val="22"/>
              </w:rPr>
            </w:pPr>
            <w:r w:rsidRPr="00850C17">
              <w:rPr>
                <w:rFonts w:cs="Arial"/>
                <w:sz w:val="22"/>
                <w:szCs w:val="22"/>
              </w:rPr>
              <w:t>Comments</w:t>
            </w:r>
          </w:p>
        </w:tc>
      </w:tr>
      <w:tr w:rsidR="00395707" w:rsidRPr="00850C17" w14:paraId="30361252" w14:textId="77777777" w:rsidTr="00395707">
        <w:trPr>
          <w:trHeight w:val="270"/>
        </w:trPr>
        <w:tc>
          <w:tcPr>
            <w:tcW w:w="3828" w:type="dxa"/>
          </w:tcPr>
          <w:p w14:paraId="6592CE95" w14:textId="77777777" w:rsidR="00395707" w:rsidRPr="00850C17" w:rsidRDefault="00395707" w:rsidP="00395707">
            <w:pPr>
              <w:rPr>
                <w:rFonts w:cs="Arial"/>
                <w:sz w:val="22"/>
                <w:szCs w:val="22"/>
              </w:rPr>
            </w:pPr>
            <w:r w:rsidRPr="00850C17">
              <w:rPr>
                <w:rFonts w:cs="Arial"/>
                <w:sz w:val="22"/>
                <w:szCs w:val="22"/>
              </w:rPr>
              <w:t>Application Received</w:t>
            </w:r>
          </w:p>
        </w:tc>
        <w:sdt>
          <w:sdtPr>
            <w:rPr>
              <w:rFonts w:cs="Arial"/>
              <w:sz w:val="22"/>
              <w:szCs w:val="22"/>
            </w:rPr>
            <w:id w:val="1768819078"/>
            <w14:checkbox>
              <w14:checked w14:val="0"/>
              <w14:checkedState w14:val="2612" w14:font="MS Gothic"/>
              <w14:uncheckedState w14:val="2610" w14:font="MS Gothic"/>
            </w14:checkbox>
          </w:sdtPr>
          <w:sdtContent>
            <w:tc>
              <w:tcPr>
                <w:tcW w:w="567" w:type="dxa"/>
              </w:tcPr>
              <w:p w14:paraId="4C0C1F2B" w14:textId="77777777" w:rsidR="00395707" w:rsidRPr="00850C17" w:rsidRDefault="00395707" w:rsidP="00395707">
                <w:pPr>
                  <w:jc w:val="center"/>
                  <w:rPr>
                    <w:rFonts w:cs="Arial"/>
                    <w:sz w:val="22"/>
                    <w:szCs w:val="22"/>
                  </w:rPr>
                </w:pPr>
                <w:r w:rsidRPr="00850C17">
                  <w:rPr>
                    <w:rFonts w:ascii="Segoe UI Symbol" w:eastAsia="MS Gothic" w:hAnsi="Segoe UI Symbol" w:cs="Segoe UI Symbol"/>
                    <w:sz w:val="22"/>
                    <w:szCs w:val="22"/>
                  </w:rPr>
                  <w:t>☐</w:t>
                </w:r>
              </w:p>
            </w:tc>
          </w:sdtContent>
        </w:sdt>
        <w:tc>
          <w:tcPr>
            <w:tcW w:w="2552" w:type="dxa"/>
          </w:tcPr>
          <w:p w14:paraId="08148F4A" w14:textId="77777777" w:rsidR="00395707" w:rsidRPr="00850C17" w:rsidRDefault="00395707" w:rsidP="00395707">
            <w:pPr>
              <w:jc w:val="right"/>
              <w:rPr>
                <w:rFonts w:cs="Arial"/>
                <w:sz w:val="22"/>
                <w:szCs w:val="22"/>
              </w:rPr>
            </w:pPr>
          </w:p>
        </w:tc>
        <w:tc>
          <w:tcPr>
            <w:tcW w:w="2976" w:type="dxa"/>
          </w:tcPr>
          <w:p w14:paraId="17C9B51F" w14:textId="77777777" w:rsidR="00395707" w:rsidRPr="00850C17" w:rsidRDefault="00395707" w:rsidP="00395707">
            <w:pPr>
              <w:rPr>
                <w:rFonts w:cs="Arial"/>
                <w:sz w:val="22"/>
                <w:szCs w:val="22"/>
              </w:rPr>
            </w:pPr>
          </w:p>
        </w:tc>
      </w:tr>
      <w:tr w:rsidR="00395707" w:rsidRPr="00850C17" w14:paraId="3642B53E" w14:textId="77777777" w:rsidTr="00395707">
        <w:trPr>
          <w:trHeight w:val="270"/>
        </w:trPr>
        <w:tc>
          <w:tcPr>
            <w:tcW w:w="3828" w:type="dxa"/>
          </w:tcPr>
          <w:p w14:paraId="2569A623" w14:textId="77777777" w:rsidR="00395707" w:rsidRPr="00850C17" w:rsidRDefault="00395707" w:rsidP="00395707">
            <w:pPr>
              <w:rPr>
                <w:rFonts w:cs="Arial"/>
                <w:sz w:val="22"/>
                <w:szCs w:val="22"/>
              </w:rPr>
            </w:pPr>
            <w:r w:rsidRPr="00850C17">
              <w:rPr>
                <w:rFonts w:cs="Arial"/>
                <w:sz w:val="22"/>
                <w:szCs w:val="22"/>
              </w:rPr>
              <w:t>Initial Appraisal Completed</w:t>
            </w:r>
          </w:p>
        </w:tc>
        <w:sdt>
          <w:sdtPr>
            <w:rPr>
              <w:rFonts w:cs="Arial"/>
              <w:sz w:val="22"/>
              <w:szCs w:val="22"/>
            </w:rPr>
            <w:id w:val="1458530912"/>
            <w14:checkbox>
              <w14:checked w14:val="0"/>
              <w14:checkedState w14:val="2612" w14:font="MS Gothic"/>
              <w14:uncheckedState w14:val="2610" w14:font="MS Gothic"/>
            </w14:checkbox>
          </w:sdtPr>
          <w:sdtContent>
            <w:tc>
              <w:tcPr>
                <w:tcW w:w="567" w:type="dxa"/>
              </w:tcPr>
              <w:p w14:paraId="61175817" w14:textId="77777777" w:rsidR="00395707" w:rsidRPr="00850C17" w:rsidRDefault="00395707" w:rsidP="00395707">
                <w:pPr>
                  <w:jc w:val="center"/>
                  <w:rPr>
                    <w:rFonts w:cs="Arial"/>
                    <w:sz w:val="22"/>
                    <w:szCs w:val="22"/>
                  </w:rPr>
                </w:pPr>
                <w:r w:rsidRPr="00850C17">
                  <w:rPr>
                    <w:rFonts w:ascii="Segoe UI Symbol" w:eastAsia="MS Gothic" w:hAnsi="Segoe UI Symbol" w:cs="Segoe UI Symbol"/>
                    <w:sz w:val="22"/>
                    <w:szCs w:val="22"/>
                  </w:rPr>
                  <w:t>☐</w:t>
                </w:r>
              </w:p>
            </w:tc>
          </w:sdtContent>
        </w:sdt>
        <w:tc>
          <w:tcPr>
            <w:tcW w:w="2552" w:type="dxa"/>
          </w:tcPr>
          <w:p w14:paraId="579B6037" w14:textId="77777777" w:rsidR="00395707" w:rsidRPr="00850C17" w:rsidRDefault="00395707" w:rsidP="00395707">
            <w:pPr>
              <w:jc w:val="right"/>
              <w:rPr>
                <w:rFonts w:cs="Arial"/>
                <w:sz w:val="22"/>
                <w:szCs w:val="22"/>
              </w:rPr>
            </w:pPr>
          </w:p>
        </w:tc>
        <w:tc>
          <w:tcPr>
            <w:tcW w:w="2976" w:type="dxa"/>
          </w:tcPr>
          <w:p w14:paraId="7EC71377" w14:textId="77777777" w:rsidR="00395707" w:rsidRPr="00850C17" w:rsidRDefault="00395707" w:rsidP="00395707">
            <w:pPr>
              <w:rPr>
                <w:rFonts w:cs="Arial"/>
                <w:sz w:val="22"/>
                <w:szCs w:val="22"/>
              </w:rPr>
            </w:pPr>
          </w:p>
        </w:tc>
      </w:tr>
      <w:tr w:rsidR="00395707" w:rsidRPr="00850C17" w14:paraId="3E3FAC1E" w14:textId="77777777" w:rsidTr="00395707">
        <w:trPr>
          <w:trHeight w:val="270"/>
        </w:trPr>
        <w:tc>
          <w:tcPr>
            <w:tcW w:w="3828" w:type="dxa"/>
          </w:tcPr>
          <w:p w14:paraId="382FCC7D" w14:textId="77777777" w:rsidR="00395707" w:rsidRPr="00850C17" w:rsidRDefault="00395707" w:rsidP="00395707">
            <w:pPr>
              <w:rPr>
                <w:rFonts w:cs="Arial"/>
                <w:sz w:val="22"/>
                <w:szCs w:val="22"/>
              </w:rPr>
            </w:pPr>
            <w:r w:rsidRPr="00850C17">
              <w:rPr>
                <w:rFonts w:cs="Arial"/>
                <w:sz w:val="22"/>
                <w:szCs w:val="22"/>
              </w:rPr>
              <w:t>Peer Review Appraisal</w:t>
            </w:r>
          </w:p>
        </w:tc>
        <w:sdt>
          <w:sdtPr>
            <w:rPr>
              <w:rFonts w:cs="Arial"/>
              <w:sz w:val="22"/>
              <w:szCs w:val="22"/>
            </w:rPr>
            <w:id w:val="-1207555589"/>
            <w14:checkbox>
              <w14:checked w14:val="0"/>
              <w14:checkedState w14:val="2612" w14:font="MS Gothic"/>
              <w14:uncheckedState w14:val="2610" w14:font="MS Gothic"/>
            </w14:checkbox>
          </w:sdtPr>
          <w:sdtContent>
            <w:tc>
              <w:tcPr>
                <w:tcW w:w="567" w:type="dxa"/>
              </w:tcPr>
              <w:p w14:paraId="1CC49D65" w14:textId="77777777" w:rsidR="00395707" w:rsidRPr="00850C17" w:rsidRDefault="00395707" w:rsidP="00395707">
                <w:pPr>
                  <w:jc w:val="center"/>
                  <w:rPr>
                    <w:rFonts w:cs="Arial"/>
                    <w:sz w:val="22"/>
                    <w:szCs w:val="22"/>
                  </w:rPr>
                </w:pPr>
                <w:r w:rsidRPr="00850C17">
                  <w:rPr>
                    <w:rFonts w:ascii="Segoe UI Symbol" w:eastAsia="MS Gothic" w:hAnsi="Segoe UI Symbol" w:cs="Segoe UI Symbol"/>
                    <w:sz w:val="22"/>
                    <w:szCs w:val="22"/>
                  </w:rPr>
                  <w:t>☐</w:t>
                </w:r>
              </w:p>
            </w:tc>
          </w:sdtContent>
        </w:sdt>
        <w:tc>
          <w:tcPr>
            <w:tcW w:w="2552" w:type="dxa"/>
          </w:tcPr>
          <w:p w14:paraId="3DD6F832" w14:textId="77777777" w:rsidR="00395707" w:rsidRPr="00850C17" w:rsidRDefault="00395707" w:rsidP="00395707">
            <w:pPr>
              <w:jc w:val="right"/>
              <w:rPr>
                <w:rFonts w:cs="Arial"/>
                <w:sz w:val="22"/>
                <w:szCs w:val="22"/>
              </w:rPr>
            </w:pPr>
          </w:p>
        </w:tc>
        <w:tc>
          <w:tcPr>
            <w:tcW w:w="2976" w:type="dxa"/>
          </w:tcPr>
          <w:p w14:paraId="7AFC5B18" w14:textId="77777777" w:rsidR="00395707" w:rsidRPr="00850C17" w:rsidRDefault="00395707" w:rsidP="00395707">
            <w:pPr>
              <w:rPr>
                <w:rFonts w:cs="Arial"/>
                <w:sz w:val="22"/>
                <w:szCs w:val="22"/>
              </w:rPr>
            </w:pPr>
            <w:r w:rsidRPr="00850C17">
              <w:rPr>
                <w:rFonts w:cs="Arial"/>
                <w:sz w:val="22"/>
                <w:szCs w:val="22"/>
              </w:rPr>
              <w:t>No peer review currently undertaken</w:t>
            </w:r>
          </w:p>
        </w:tc>
      </w:tr>
      <w:tr w:rsidR="00395707" w:rsidRPr="00850C17" w14:paraId="2903349F" w14:textId="77777777" w:rsidTr="00395707">
        <w:trPr>
          <w:trHeight w:val="270"/>
        </w:trPr>
        <w:tc>
          <w:tcPr>
            <w:tcW w:w="3828" w:type="dxa"/>
          </w:tcPr>
          <w:p w14:paraId="2BBAD33E" w14:textId="77777777" w:rsidR="00395707" w:rsidRPr="00850C17" w:rsidRDefault="00395707" w:rsidP="00395707">
            <w:pPr>
              <w:rPr>
                <w:rFonts w:cs="Arial"/>
                <w:sz w:val="22"/>
                <w:szCs w:val="22"/>
              </w:rPr>
            </w:pPr>
            <w:r w:rsidRPr="00850C17">
              <w:rPr>
                <w:rFonts w:cs="Arial"/>
                <w:sz w:val="22"/>
                <w:szCs w:val="22"/>
              </w:rPr>
              <w:t>Methodology Review Group Discussion</w:t>
            </w:r>
          </w:p>
        </w:tc>
        <w:sdt>
          <w:sdtPr>
            <w:rPr>
              <w:rFonts w:cs="Arial"/>
              <w:sz w:val="22"/>
              <w:szCs w:val="22"/>
            </w:rPr>
            <w:id w:val="-1508978988"/>
            <w14:checkbox>
              <w14:checked w14:val="1"/>
              <w14:checkedState w14:val="2612" w14:font="MS Gothic"/>
              <w14:uncheckedState w14:val="2610" w14:font="MS Gothic"/>
            </w14:checkbox>
          </w:sdtPr>
          <w:sdtContent>
            <w:tc>
              <w:tcPr>
                <w:tcW w:w="567" w:type="dxa"/>
              </w:tcPr>
              <w:p w14:paraId="3946AAEB" w14:textId="77777777" w:rsidR="00395707" w:rsidRPr="00850C17" w:rsidRDefault="00395707" w:rsidP="00395707">
                <w:pPr>
                  <w:jc w:val="center"/>
                  <w:rPr>
                    <w:rFonts w:cs="Arial"/>
                    <w:sz w:val="22"/>
                    <w:szCs w:val="22"/>
                  </w:rPr>
                </w:pPr>
                <w:r w:rsidRPr="00850C17">
                  <w:rPr>
                    <w:rFonts w:ascii="Segoe UI Symbol" w:eastAsia="MS Gothic" w:hAnsi="Segoe UI Symbol" w:cs="Segoe UI Symbol"/>
                    <w:sz w:val="22"/>
                    <w:szCs w:val="22"/>
                  </w:rPr>
                  <w:t>☒</w:t>
                </w:r>
              </w:p>
            </w:tc>
          </w:sdtContent>
        </w:sdt>
        <w:tc>
          <w:tcPr>
            <w:tcW w:w="2552" w:type="dxa"/>
          </w:tcPr>
          <w:p w14:paraId="6717D874" w14:textId="77777777" w:rsidR="00395707" w:rsidRPr="00850C17" w:rsidRDefault="00395707" w:rsidP="00395707">
            <w:pPr>
              <w:jc w:val="right"/>
              <w:rPr>
                <w:rFonts w:cs="Arial"/>
                <w:sz w:val="22"/>
                <w:szCs w:val="22"/>
              </w:rPr>
            </w:pPr>
            <w:r w:rsidRPr="00850C17">
              <w:rPr>
                <w:rFonts w:cs="Arial"/>
                <w:sz w:val="22"/>
                <w:szCs w:val="22"/>
              </w:rPr>
              <w:t>23/08/12</w:t>
            </w:r>
          </w:p>
        </w:tc>
        <w:tc>
          <w:tcPr>
            <w:tcW w:w="2976" w:type="dxa"/>
          </w:tcPr>
          <w:p w14:paraId="18D7C73D" w14:textId="77777777" w:rsidR="00395707" w:rsidRPr="00850C17" w:rsidRDefault="00395707" w:rsidP="00395707">
            <w:pPr>
              <w:rPr>
                <w:rFonts w:cs="Arial"/>
                <w:sz w:val="22"/>
                <w:szCs w:val="22"/>
              </w:rPr>
            </w:pPr>
          </w:p>
        </w:tc>
      </w:tr>
      <w:tr w:rsidR="00395707" w:rsidRPr="00850C17" w14:paraId="5EA1DD58" w14:textId="77777777" w:rsidTr="00395707">
        <w:trPr>
          <w:trHeight w:val="270"/>
        </w:trPr>
        <w:tc>
          <w:tcPr>
            <w:tcW w:w="3828" w:type="dxa"/>
          </w:tcPr>
          <w:p w14:paraId="7B0679D8" w14:textId="77777777" w:rsidR="00395707" w:rsidRPr="00850C17" w:rsidRDefault="00395707" w:rsidP="00395707">
            <w:pPr>
              <w:rPr>
                <w:rFonts w:cs="Arial"/>
                <w:sz w:val="22"/>
                <w:szCs w:val="22"/>
              </w:rPr>
            </w:pPr>
            <w:r w:rsidRPr="00850C17">
              <w:rPr>
                <w:rFonts w:cs="Arial"/>
                <w:sz w:val="22"/>
                <w:szCs w:val="22"/>
              </w:rPr>
              <w:t>Indicator Governance Board  Discussion</w:t>
            </w:r>
          </w:p>
        </w:tc>
        <w:sdt>
          <w:sdtPr>
            <w:rPr>
              <w:rFonts w:cs="Arial"/>
              <w:sz w:val="22"/>
              <w:szCs w:val="22"/>
            </w:rPr>
            <w:id w:val="-718508909"/>
            <w14:checkbox>
              <w14:checked w14:val="1"/>
              <w14:checkedState w14:val="2612" w14:font="MS Gothic"/>
              <w14:uncheckedState w14:val="2610" w14:font="MS Gothic"/>
            </w14:checkbox>
          </w:sdtPr>
          <w:sdtContent>
            <w:tc>
              <w:tcPr>
                <w:tcW w:w="567" w:type="dxa"/>
              </w:tcPr>
              <w:p w14:paraId="427D5B9D" w14:textId="77777777" w:rsidR="00395707" w:rsidRPr="00850C17" w:rsidRDefault="00395707" w:rsidP="00395707">
                <w:pPr>
                  <w:jc w:val="center"/>
                  <w:rPr>
                    <w:rFonts w:cs="Arial"/>
                    <w:sz w:val="22"/>
                    <w:szCs w:val="22"/>
                  </w:rPr>
                </w:pPr>
                <w:r w:rsidRPr="00850C17">
                  <w:rPr>
                    <w:rFonts w:ascii="Segoe UI Symbol" w:eastAsia="MS Gothic" w:hAnsi="Segoe UI Symbol" w:cs="Segoe UI Symbol"/>
                    <w:sz w:val="22"/>
                    <w:szCs w:val="22"/>
                  </w:rPr>
                  <w:t>☒</w:t>
                </w:r>
              </w:p>
            </w:tc>
          </w:sdtContent>
        </w:sdt>
        <w:tc>
          <w:tcPr>
            <w:tcW w:w="2552" w:type="dxa"/>
          </w:tcPr>
          <w:p w14:paraId="5E307185" w14:textId="77777777" w:rsidR="00395707" w:rsidRPr="00850C17" w:rsidRDefault="00395707" w:rsidP="00395707">
            <w:pPr>
              <w:jc w:val="right"/>
              <w:rPr>
                <w:rFonts w:cs="Arial"/>
                <w:sz w:val="22"/>
                <w:szCs w:val="22"/>
              </w:rPr>
            </w:pPr>
            <w:r w:rsidRPr="00850C17">
              <w:rPr>
                <w:rFonts w:cs="Arial"/>
                <w:sz w:val="22"/>
                <w:szCs w:val="22"/>
              </w:rPr>
              <w:t>28/05/13, 16/08/13</w:t>
            </w:r>
          </w:p>
        </w:tc>
        <w:tc>
          <w:tcPr>
            <w:tcW w:w="2976" w:type="dxa"/>
          </w:tcPr>
          <w:p w14:paraId="037FF335" w14:textId="77777777" w:rsidR="00395707" w:rsidRPr="00850C17" w:rsidRDefault="00395707" w:rsidP="00395707">
            <w:pPr>
              <w:rPr>
                <w:rFonts w:cs="Arial"/>
                <w:sz w:val="22"/>
                <w:szCs w:val="22"/>
              </w:rPr>
            </w:pPr>
          </w:p>
        </w:tc>
      </w:tr>
      <w:tr w:rsidR="00395707" w:rsidRPr="00850C17" w14:paraId="4D3A95EA" w14:textId="77777777" w:rsidTr="00395707">
        <w:trPr>
          <w:trHeight w:val="270"/>
        </w:trPr>
        <w:tc>
          <w:tcPr>
            <w:tcW w:w="3828" w:type="dxa"/>
          </w:tcPr>
          <w:p w14:paraId="02B54F71" w14:textId="77777777" w:rsidR="00395707" w:rsidRPr="00850C17" w:rsidRDefault="00395707" w:rsidP="00395707">
            <w:pPr>
              <w:rPr>
                <w:rFonts w:cs="Arial"/>
                <w:sz w:val="22"/>
                <w:szCs w:val="22"/>
              </w:rPr>
            </w:pPr>
            <w:r w:rsidRPr="00850C17">
              <w:rPr>
                <w:rFonts w:cs="Arial"/>
                <w:sz w:val="22"/>
                <w:szCs w:val="22"/>
              </w:rPr>
              <w:t>Signed-off</w:t>
            </w:r>
          </w:p>
        </w:tc>
        <w:sdt>
          <w:sdtPr>
            <w:rPr>
              <w:rFonts w:cs="Arial"/>
              <w:sz w:val="22"/>
              <w:szCs w:val="22"/>
            </w:rPr>
            <w:id w:val="-80447492"/>
            <w14:checkbox>
              <w14:checked w14:val="1"/>
              <w14:checkedState w14:val="2612" w14:font="MS Gothic"/>
              <w14:uncheckedState w14:val="2610" w14:font="MS Gothic"/>
            </w14:checkbox>
          </w:sdtPr>
          <w:sdtContent>
            <w:tc>
              <w:tcPr>
                <w:tcW w:w="567" w:type="dxa"/>
              </w:tcPr>
              <w:p w14:paraId="00B546B2" w14:textId="77777777" w:rsidR="00395707" w:rsidRPr="00850C17" w:rsidRDefault="00395707" w:rsidP="00395707">
                <w:pPr>
                  <w:jc w:val="center"/>
                  <w:rPr>
                    <w:rFonts w:cs="Arial"/>
                    <w:sz w:val="22"/>
                    <w:szCs w:val="22"/>
                  </w:rPr>
                </w:pPr>
                <w:r w:rsidRPr="00850C17">
                  <w:rPr>
                    <w:rFonts w:ascii="Segoe UI Symbol" w:eastAsia="MS Gothic" w:hAnsi="Segoe UI Symbol" w:cs="Segoe UI Symbol"/>
                    <w:sz w:val="22"/>
                    <w:szCs w:val="22"/>
                  </w:rPr>
                  <w:t>☒</w:t>
                </w:r>
              </w:p>
            </w:tc>
          </w:sdtContent>
        </w:sdt>
        <w:tc>
          <w:tcPr>
            <w:tcW w:w="2552" w:type="dxa"/>
          </w:tcPr>
          <w:p w14:paraId="4565C753" w14:textId="77777777" w:rsidR="00395707" w:rsidRPr="00850C17" w:rsidRDefault="00395707" w:rsidP="00395707">
            <w:pPr>
              <w:jc w:val="right"/>
              <w:rPr>
                <w:rFonts w:cs="Arial"/>
                <w:sz w:val="22"/>
                <w:szCs w:val="22"/>
              </w:rPr>
            </w:pPr>
            <w:r w:rsidRPr="00850C17">
              <w:rPr>
                <w:rFonts w:cs="Arial"/>
                <w:sz w:val="22"/>
                <w:szCs w:val="22"/>
              </w:rPr>
              <w:t>16/08/13</w:t>
            </w:r>
          </w:p>
        </w:tc>
        <w:tc>
          <w:tcPr>
            <w:tcW w:w="2976" w:type="dxa"/>
          </w:tcPr>
          <w:p w14:paraId="6C9C8F83" w14:textId="77777777" w:rsidR="00395707" w:rsidRPr="00850C17" w:rsidRDefault="00395707" w:rsidP="00395707">
            <w:pPr>
              <w:rPr>
                <w:rFonts w:cs="Arial"/>
                <w:sz w:val="22"/>
                <w:szCs w:val="22"/>
              </w:rPr>
            </w:pPr>
          </w:p>
        </w:tc>
      </w:tr>
    </w:tbl>
    <w:p w14:paraId="5B961FA0" w14:textId="77777777" w:rsidR="00C12977" w:rsidRPr="00850C17" w:rsidRDefault="00C12977" w:rsidP="00395707">
      <w:pPr>
        <w:ind w:left="-851"/>
        <w:rPr>
          <w:rFonts w:cs="Arial"/>
          <w:sz w:val="22"/>
          <w:szCs w:val="22"/>
        </w:rPr>
      </w:pPr>
    </w:p>
    <w:p w14:paraId="2948335D" w14:textId="77777777" w:rsidR="00C12977" w:rsidRPr="00850C17" w:rsidRDefault="00C12977" w:rsidP="00395707">
      <w:pPr>
        <w:ind w:left="-851"/>
        <w:rPr>
          <w:rFonts w:cs="Arial"/>
          <w:sz w:val="22"/>
          <w:szCs w:val="22"/>
        </w:rPr>
      </w:pPr>
    </w:p>
    <w:p w14:paraId="51E74263" w14:textId="77777777" w:rsidR="00C12977" w:rsidRPr="00850C17" w:rsidRDefault="00C12977" w:rsidP="00395707">
      <w:pPr>
        <w:ind w:left="-851"/>
        <w:rPr>
          <w:rFonts w:cs="Arial"/>
          <w:sz w:val="22"/>
          <w:szCs w:val="22"/>
        </w:rPr>
      </w:pPr>
    </w:p>
    <w:p w14:paraId="2FEAB45F" w14:textId="77777777" w:rsidR="00C12977" w:rsidRPr="00850C17" w:rsidRDefault="00C12977" w:rsidP="00FC7B7F">
      <w:pPr>
        <w:spacing w:after="120"/>
        <w:ind w:left="-851" w:firstLine="851"/>
        <w:rPr>
          <w:rFonts w:cs="Arial"/>
          <w:sz w:val="22"/>
          <w:szCs w:val="22"/>
        </w:rPr>
      </w:pPr>
      <w:r w:rsidRPr="00850C17">
        <w:rPr>
          <w:rFonts w:cs="Arial"/>
          <w:sz w:val="22"/>
          <w:szCs w:val="22"/>
        </w:rPr>
        <w:t>Peer Review</w:t>
      </w:r>
    </w:p>
    <w:tbl>
      <w:tblPr>
        <w:tblStyle w:val="TableGrid"/>
        <w:tblW w:w="9346" w:type="dxa"/>
        <w:tblLayout w:type="fixed"/>
        <w:tblLook w:val="01E0" w:firstRow="1" w:lastRow="1" w:firstColumn="1" w:lastColumn="1" w:noHBand="0" w:noVBand="0"/>
      </w:tblPr>
      <w:tblGrid>
        <w:gridCol w:w="2124"/>
        <w:gridCol w:w="6509"/>
        <w:gridCol w:w="713"/>
      </w:tblGrid>
      <w:tr w:rsidR="00FC7B7F" w:rsidRPr="00850C17" w14:paraId="7ACAA61D" w14:textId="77777777" w:rsidTr="00FC7B7F">
        <w:trPr>
          <w:trHeight w:val="230"/>
        </w:trPr>
        <w:tc>
          <w:tcPr>
            <w:tcW w:w="2124" w:type="dxa"/>
          </w:tcPr>
          <w:p w14:paraId="13702C55" w14:textId="6CEE0671" w:rsidR="00FC7B7F" w:rsidRPr="00850C17" w:rsidRDefault="00FC7B7F" w:rsidP="00395707">
            <w:pPr>
              <w:rPr>
                <w:rFonts w:cs="Arial"/>
                <w:i/>
                <w:sz w:val="22"/>
                <w:szCs w:val="22"/>
              </w:rPr>
            </w:pPr>
            <w:r w:rsidRPr="00850C17">
              <w:rPr>
                <w:rFonts w:cs="Arial"/>
                <w:sz w:val="22"/>
                <w:szCs w:val="22"/>
              </w:rPr>
              <w:t>Peer Reviewer(s) / Organisations :</w:t>
            </w:r>
          </w:p>
        </w:tc>
        <w:tc>
          <w:tcPr>
            <w:tcW w:w="6509" w:type="dxa"/>
          </w:tcPr>
          <w:p w14:paraId="516185C1" w14:textId="5C5BF95F" w:rsidR="00FC7B7F" w:rsidRPr="00FC7B7F" w:rsidRDefault="00FC7B7F" w:rsidP="00FC7B7F">
            <w:pPr>
              <w:spacing w:after="0"/>
              <w:contextualSpacing/>
              <w:textboxTightWrap w:val="none"/>
              <w:rPr>
                <w:rFonts w:cs="Arial"/>
                <w:b/>
                <w:sz w:val="22"/>
                <w:szCs w:val="22"/>
              </w:rPr>
            </w:pPr>
            <w:r w:rsidRPr="00FC7B7F">
              <w:rPr>
                <w:rFonts w:cs="Arial"/>
                <w:i/>
                <w:sz w:val="22"/>
                <w:szCs w:val="22"/>
              </w:rPr>
              <w:t>Outcome of Peer Review consideration:</w:t>
            </w:r>
          </w:p>
        </w:tc>
        <w:tc>
          <w:tcPr>
            <w:tcW w:w="713" w:type="dxa"/>
          </w:tcPr>
          <w:p w14:paraId="255524E4" w14:textId="77777777" w:rsidR="00FC7B7F" w:rsidRPr="00850C17" w:rsidRDefault="00FC7B7F" w:rsidP="00395707">
            <w:pPr>
              <w:jc w:val="center"/>
              <w:rPr>
                <w:rFonts w:cs="Arial"/>
                <w:sz w:val="22"/>
                <w:szCs w:val="22"/>
              </w:rPr>
            </w:pPr>
          </w:p>
        </w:tc>
      </w:tr>
      <w:tr w:rsidR="00FC7B7F" w:rsidRPr="00850C17" w14:paraId="75ADF078" w14:textId="77777777" w:rsidTr="00FC7B7F">
        <w:trPr>
          <w:trHeight w:val="230"/>
        </w:trPr>
        <w:tc>
          <w:tcPr>
            <w:tcW w:w="2124" w:type="dxa"/>
          </w:tcPr>
          <w:p w14:paraId="409170E8" w14:textId="0DA70AF4" w:rsidR="00FC7B7F" w:rsidRPr="00850C17" w:rsidRDefault="00FC7B7F" w:rsidP="00395707">
            <w:pPr>
              <w:rPr>
                <w:rFonts w:cs="Arial"/>
                <w:i/>
                <w:sz w:val="22"/>
                <w:szCs w:val="22"/>
              </w:rPr>
            </w:pPr>
          </w:p>
        </w:tc>
        <w:tc>
          <w:tcPr>
            <w:tcW w:w="6509" w:type="dxa"/>
          </w:tcPr>
          <w:p w14:paraId="26A54A87" w14:textId="77777777" w:rsidR="00FC7B7F" w:rsidRPr="00850C17" w:rsidRDefault="00FC7B7F" w:rsidP="00C12977">
            <w:pPr>
              <w:pStyle w:val="ListParagraph"/>
              <w:numPr>
                <w:ilvl w:val="0"/>
                <w:numId w:val="13"/>
              </w:numPr>
              <w:spacing w:after="0"/>
              <w:contextualSpacing/>
              <w:textboxTightWrap w:val="none"/>
              <w:rPr>
                <w:rFonts w:cs="Arial"/>
                <w:b/>
                <w:sz w:val="22"/>
                <w:szCs w:val="22"/>
              </w:rPr>
            </w:pPr>
            <w:r w:rsidRPr="00850C17">
              <w:rPr>
                <w:rFonts w:cs="Arial"/>
                <w:b/>
                <w:sz w:val="22"/>
                <w:szCs w:val="22"/>
              </w:rPr>
              <w:t>Proposal signed off, with or without caveats</w:t>
            </w:r>
          </w:p>
        </w:tc>
        <w:sdt>
          <w:sdtPr>
            <w:rPr>
              <w:rFonts w:cs="Arial"/>
              <w:sz w:val="22"/>
              <w:szCs w:val="22"/>
            </w:rPr>
            <w:id w:val="1921210024"/>
            <w14:checkbox>
              <w14:checked w14:val="0"/>
              <w14:checkedState w14:val="2612" w14:font="MS Gothic"/>
              <w14:uncheckedState w14:val="2610" w14:font="MS Gothic"/>
            </w14:checkbox>
          </w:sdtPr>
          <w:sdtContent>
            <w:tc>
              <w:tcPr>
                <w:tcW w:w="713" w:type="dxa"/>
              </w:tcPr>
              <w:p w14:paraId="2E28D325" w14:textId="77777777" w:rsidR="00FC7B7F" w:rsidRPr="00850C17" w:rsidRDefault="00FC7B7F" w:rsidP="00395707">
                <w:pPr>
                  <w:jc w:val="center"/>
                  <w:rPr>
                    <w:rFonts w:cs="Arial"/>
                    <w:sz w:val="22"/>
                    <w:szCs w:val="22"/>
                  </w:rPr>
                </w:pPr>
                <w:r w:rsidRPr="00850C17">
                  <w:rPr>
                    <w:rFonts w:ascii="Segoe UI Symbol" w:eastAsia="MS Gothic" w:hAnsi="Segoe UI Symbol" w:cs="Segoe UI Symbol"/>
                    <w:sz w:val="22"/>
                    <w:szCs w:val="22"/>
                  </w:rPr>
                  <w:t>☐</w:t>
                </w:r>
              </w:p>
            </w:tc>
          </w:sdtContent>
        </w:sdt>
      </w:tr>
      <w:tr w:rsidR="00FC7B7F" w:rsidRPr="00850C17" w14:paraId="119907A6" w14:textId="77777777" w:rsidTr="00FC7B7F">
        <w:trPr>
          <w:trHeight w:val="234"/>
        </w:trPr>
        <w:tc>
          <w:tcPr>
            <w:tcW w:w="2124" w:type="dxa"/>
          </w:tcPr>
          <w:p w14:paraId="2CEF2D4C" w14:textId="77777777" w:rsidR="00FC7B7F" w:rsidRPr="00850C17" w:rsidRDefault="00FC7B7F" w:rsidP="00395707">
            <w:pPr>
              <w:rPr>
                <w:rFonts w:cs="Arial"/>
                <w:sz w:val="22"/>
                <w:szCs w:val="22"/>
              </w:rPr>
            </w:pPr>
          </w:p>
        </w:tc>
        <w:tc>
          <w:tcPr>
            <w:tcW w:w="6509" w:type="dxa"/>
          </w:tcPr>
          <w:p w14:paraId="6EA98044" w14:textId="77777777" w:rsidR="00FC7B7F" w:rsidRPr="00850C17" w:rsidRDefault="00FC7B7F" w:rsidP="00C12977">
            <w:pPr>
              <w:pStyle w:val="ListParagraph"/>
              <w:numPr>
                <w:ilvl w:val="0"/>
                <w:numId w:val="13"/>
              </w:numPr>
              <w:spacing w:after="0"/>
              <w:contextualSpacing/>
              <w:textboxTightWrap w:val="none"/>
              <w:rPr>
                <w:rFonts w:cs="Arial"/>
                <w:b/>
                <w:sz w:val="22"/>
                <w:szCs w:val="22"/>
              </w:rPr>
            </w:pPr>
            <w:r w:rsidRPr="00850C17">
              <w:rPr>
                <w:rFonts w:cs="Arial"/>
                <w:b/>
                <w:sz w:val="22"/>
                <w:szCs w:val="22"/>
              </w:rPr>
              <w:t xml:space="preserve">Minor changes recommended  </w:t>
            </w:r>
          </w:p>
        </w:tc>
        <w:sdt>
          <w:sdtPr>
            <w:rPr>
              <w:rFonts w:cs="Arial"/>
              <w:sz w:val="22"/>
              <w:szCs w:val="22"/>
            </w:rPr>
            <w:id w:val="656268324"/>
            <w14:checkbox>
              <w14:checked w14:val="0"/>
              <w14:checkedState w14:val="2612" w14:font="MS Gothic"/>
              <w14:uncheckedState w14:val="2610" w14:font="MS Gothic"/>
            </w14:checkbox>
          </w:sdtPr>
          <w:sdtContent>
            <w:tc>
              <w:tcPr>
                <w:tcW w:w="713" w:type="dxa"/>
              </w:tcPr>
              <w:p w14:paraId="77AAB1BA" w14:textId="77777777" w:rsidR="00FC7B7F" w:rsidRPr="00850C17" w:rsidRDefault="00FC7B7F" w:rsidP="00395707">
                <w:pPr>
                  <w:jc w:val="center"/>
                  <w:rPr>
                    <w:rFonts w:cs="Arial"/>
                    <w:sz w:val="22"/>
                    <w:szCs w:val="22"/>
                  </w:rPr>
                </w:pPr>
                <w:r w:rsidRPr="00850C17">
                  <w:rPr>
                    <w:rFonts w:ascii="Segoe UI Symbol" w:eastAsia="MS Gothic" w:hAnsi="Segoe UI Symbol" w:cs="Segoe UI Symbol"/>
                    <w:sz w:val="22"/>
                    <w:szCs w:val="22"/>
                  </w:rPr>
                  <w:t>☐</w:t>
                </w:r>
              </w:p>
            </w:tc>
          </w:sdtContent>
        </w:sdt>
      </w:tr>
      <w:tr w:rsidR="00FC7B7F" w:rsidRPr="00850C17" w14:paraId="6BC479CE" w14:textId="77777777" w:rsidTr="00FC7B7F">
        <w:trPr>
          <w:trHeight w:val="228"/>
        </w:trPr>
        <w:tc>
          <w:tcPr>
            <w:tcW w:w="2124" w:type="dxa"/>
          </w:tcPr>
          <w:p w14:paraId="36C71604" w14:textId="77777777" w:rsidR="00FC7B7F" w:rsidRPr="00850C17" w:rsidRDefault="00FC7B7F" w:rsidP="00395707">
            <w:pPr>
              <w:rPr>
                <w:rFonts w:cs="Arial"/>
                <w:sz w:val="22"/>
                <w:szCs w:val="22"/>
              </w:rPr>
            </w:pPr>
          </w:p>
        </w:tc>
        <w:tc>
          <w:tcPr>
            <w:tcW w:w="6509" w:type="dxa"/>
          </w:tcPr>
          <w:p w14:paraId="0EA45F76" w14:textId="77777777" w:rsidR="00FC7B7F" w:rsidRPr="00850C17" w:rsidRDefault="00FC7B7F" w:rsidP="00C12977">
            <w:pPr>
              <w:pStyle w:val="ListParagraph"/>
              <w:numPr>
                <w:ilvl w:val="0"/>
                <w:numId w:val="13"/>
              </w:numPr>
              <w:spacing w:after="0"/>
              <w:contextualSpacing/>
              <w:textboxTightWrap w:val="none"/>
              <w:rPr>
                <w:rFonts w:cs="Arial"/>
                <w:b/>
                <w:sz w:val="22"/>
                <w:szCs w:val="22"/>
              </w:rPr>
            </w:pPr>
            <w:r w:rsidRPr="00850C17">
              <w:rPr>
                <w:rFonts w:cs="Arial"/>
                <w:b/>
                <w:sz w:val="22"/>
                <w:szCs w:val="22"/>
              </w:rPr>
              <w:t>Declined to sign-off</w:t>
            </w:r>
          </w:p>
        </w:tc>
        <w:sdt>
          <w:sdtPr>
            <w:rPr>
              <w:rFonts w:cs="Arial"/>
              <w:sz w:val="22"/>
              <w:szCs w:val="22"/>
            </w:rPr>
            <w:id w:val="-303159018"/>
            <w14:checkbox>
              <w14:checked w14:val="0"/>
              <w14:checkedState w14:val="2612" w14:font="MS Gothic"/>
              <w14:uncheckedState w14:val="2610" w14:font="MS Gothic"/>
            </w14:checkbox>
          </w:sdtPr>
          <w:sdtContent>
            <w:tc>
              <w:tcPr>
                <w:tcW w:w="713" w:type="dxa"/>
              </w:tcPr>
              <w:p w14:paraId="52EEFAB2" w14:textId="77777777" w:rsidR="00FC7B7F" w:rsidRPr="00850C17" w:rsidRDefault="00FC7B7F" w:rsidP="00395707">
                <w:pPr>
                  <w:jc w:val="center"/>
                  <w:rPr>
                    <w:rFonts w:cs="Arial"/>
                    <w:sz w:val="22"/>
                    <w:szCs w:val="22"/>
                  </w:rPr>
                </w:pPr>
                <w:r w:rsidRPr="00850C17">
                  <w:rPr>
                    <w:rFonts w:ascii="Segoe UI Symbol" w:eastAsia="MS Gothic" w:hAnsi="Segoe UI Symbol" w:cs="Segoe UI Symbol"/>
                    <w:sz w:val="22"/>
                    <w:szCs w:val="22"/>
                  </w:rPr>
                  <w:t>☐</w:t>
                </w:r>
              </w:p>
            </w:tc>
          </w:sdtContent>
        </w:sdt>
      </w:tr>
    </w:tbl>
    <w:p w14:paraId="6B81C01B" w14:textId="77777777" w:rsidR="00C12977" w:rsidRPr="00850C17" w:rsidRDefault="00C12977" w:rsidP="00395707">
      <w:pPr>
        <w:rPr>
          <w:rFonts w:cs="Arial"/>
          <w:sz w:val="22"/>
          <w:szCs w:val="22"/>
        </w:rPr>
      </w:pPr>
    </w:p>
    <w:p w14:paraId="6BB3B7C7" w14:textId="77777777" w:rsidR="00C12977" w:rsidRPr="00850C17" w:rsidRDefault="00C12977" w:rsidP="00FC7B7F">
      <w:pPr>
        <w:spacing w:after="120"/>
        <w:ind w:left="-851" w:firstLine="851"/>
        <w:rPr>
          <w:rFonts w:cs="Arial"/>
          <w:sz w:val="22"/>
          <w:szCs w:val="22"/>
        </w:rPr>
      </w:pPr>
      <w:r w:rsidRPr="00850C17">
        <w:rPr>
          <w:rFonts w:cs="Arial"/>
          <w:sz w:val="22"/>
          <w:szCs w:val="22"/>
        </w:rPr>
        <w:t>Methodology Review Group (MRG)</w:t>
      </w:r>
    </w:p>
    <w:tbl>
      <w:tblPr>
        <w:tblStyle w:val="TableGrid"/>
        <w:tblW w:w="7213" w:type="dxa"/>
        <w:tblLook w:val="01E0" w:firstRow="1" w:lastRow="1" w:firstColumn="1" w:lastColumn="1" w:noHBand="0" w:noVBand="0"/>
      </w:tblPr>
      <w:tblGrid>
        <w:gridCol w:w="6500"/>
        <w:gridCol w:w="713"/>
      </w:tblGrid>
      <w:tr w:rsidR="00FC7B7F" w:rsidRPr="00850C17" w14:paraId="4429DB80" w14:textId="77777777" w:rsidTr="00FC7B7F">
        <w:trPr>
          <w:trHeight w:val="230"/>
        </w:trPr>
        <w:tc>
          <w:tcPr>
            <w:tcW w:w="6500" w:type="dxa"/>
          </w:tcPr>
          <w:p w14:paraId="771CD483" w14:textId="73D6CA6F" w:rsidR="00FC7B7F" w:rsidRPr="00FC7B7F" w:rsidRDefault="00FC7B7F" w:rsidP="00FC7B7F">
            <w:pPr>
              <w:spacing w:after="0"/>
              <w:contextualSpacing/>
              <w:textboxTightWrap w:val="none"/>
              <w:rPr>
                <w:rFonts w:cs="Arial"/>
                <w:b/>
                <w:sz w:val="22"/>
                <w:szCs w:val="22"/>
              </w:rPr>
            </w:pPr>
            <w:r w:rsidRPr="00850C17">
              <w:rPr>
                <w:rFonts w:cs="Arial"/>
                <w:i/>
                <w:sz w:val="22"/>
                <w:szCs w:val="22"/>
              </w:rPr>
              <w:t>Outcome of MRG consideration:</w:t>
            </w:r>
          </w:p>
        </w:tc>
        <w:tc>
          <w:tcPr>
            <w:tcW w:w="713" w:type="dxa"/>
          </w:tcPr>
          <w:p w14:paraId="28118BB8" w14:textId="77777777" w:rsidR="00FC7B7F" w:rsidRPr="00850C17" w:rsidRDefault="00FC7B7F" w:rsidP="00395707">
            <w:pPr>
              <w:jc w:val="center"/>
              <w:rPr>
                <w:rFonts w:cs="Arial"/>
                <w:sz w:val="22"/>
                <w:szCs w:val="22"/>
              </w:rPr>
            </w:pPr>
          </w:p>
        </w:tc>
      </w:tr>
      <w:tr w:rsidR="00FC7B7F" w:rsidRPr="00850C17" w14:paraId="37BE9E9E" w14:textId="77777777" w:rsidTr="00FC7B7F">
        <w:trPr>
          <w:trHeight w:val="230"/>
        </w:trPr>
        <w:tc>
          <w:tcPr>
            <w:tcW w:w="6500" w:type="dxa"/>
          </w:tcPr>
          <w:p w14:paraId="1A9A23B3" w14:textId="77777777" w:rsidR="00FC7B7F" w:rsidRPr="00850C17" w:rsidRDefault="00FC7B7F" w:rsidP="00C12977">
            <w:pPr>
              <w:pStyle w:val="ListParagraph"/>
              <w:numPr>
                <w:ilvl w:val="0"/>
                <w:numId w:val="14"/>
              </w:numPr>
              <w:spacing w:after="0"/>
              <w:contextualSpacing/>
              <w:textboxTightWrap w:val="none"/>
              <w:rPr>
                <w:rFonts w:cs="Arial"/>
                <w:b/>
                <w:sz w:val="22"/>
                <w:szCs w:val="22"/>
              </w:rPr>
            </w:pPr>
            <w:r w:rsidRPr="00850C17">
              <w:rPr>
                <w:rFonts w:cs="Arial"/>
                <w:b/>
                <w:sz w:val="22"/>
                <w:szCs w:val="22"/>
              </w:rPr>
              <w:t>No significant issues identified</w:t>
            </w:r>
          </w:p>
        </w:tc>
        <w:sdt>
          <w:sdtPr>
            <w:rPr>
              <w:rFonts w:cs="Arial"/>
              <w:sz w:val="22"/>
              <w:szCs w:val="22"/>
            </w:rPr>
            <w:id w:val="1710449055"/>
            <w14:checkbox>
              <w14:checked w14:val="0"/>
              <w14:checkedState w14:val="2612" w14:font="MS Gothic"/>
              <w14:uncheckedState w14:val="2610" w14:font="MS Gothic"/>
            </w14:checkbox>
          </w:sdtPr>
          <w:sdtContent>
            <w:tc>
              <w:tcPr>
                <w:tcW w:w="713" w:type="dxa"/>
              </w:tcPr>
              <w:p w14:paraId="265842AD" w14:textId="77777777" w:rsidR="00FC7B7F" w:rsidRPr="00850C17" w:rsidRDefault="00FC7B7F" w:rsidP="00395707">
                <w:pPr>
                  <w:jc w:val="center"/>
                  <w:rPr>
                    <w:rFonts w:cs="Arial"/>
                    <w:sz w:val="22"/>
                    <w:szCs w:val="22"/>
                  </w:rPr>
                </w:pPr>
                <w:r w:rsidRPr="00850C17">
                  <w:rPr>
                    <w:rFonts w:ascii="Segoe UI Symbol" w:eastAsia="MS Gothic" w:hAnsi="Segoe UI Symbol" w:cs="Segoe UI Symbol"/>
                    <w:sz w:val="22"/>
                    <w:szCs w:val="22"/>
                  </w:rPr>
                  <w:t>☐</w:t>
                </w:r>
              </w:p>
            </w:tc>
          </w:sdtContent>
        </w:sdt>
      </w:tr>
      <w:tr w:rsidR="00FC7B7F" w:rsidRPr="00850C17" w14:paraId="5EE1A3AE" w14:textId="77777777" w:rsidTr="00FC7B7F">
        <w:trPr>
          <w:trHeight w:val="234"/>
        </w:trPr>
        <w:tc>
          <w:tcPr>
            <w:tcW w:w="6500" w:type="dxa"/>
          </w:tcPr>
          <w:p w14:paraId="4117787A" w14:textId="77777777" w:rsidR="00FC7B7F" w:rsidRPr="00850C17" w:rsidRDefault="00FC7B7F" w:rsidP="00C12977">
            <w:pPr>
              <w:pStyle w:val="ListParagraph"/>
              <w:numPr>
                <w:ilvl w:val="0"/>
                <w:numId w:val="14"/>
              </w:numPr>
              <w:spacing w:after="0"/>
              <w:contextualSpacing/>
              <w:textboxTightWrap w:val="none"/>
              <w:rPr>
                <w:rFonts w:cs="Arial"/>
                <w:b/>
                <w:sz w:val="22"/>
                <w:szCs w:val="22"/>
              </w:rPr>
            </w:pPr>
            <w:r w:rsidRPr="00850C17">
              <w:rPr>
                <w:rFonts w:cs="Arial"/>
                <w:b/>
                <w:sz w:val="22"/>
                <w:szCs w:val="22"/>
              </w:rPr>
              <w:t>No significant issues on basis of completion of outstanding actions</w:t>
            </w:r>
          </w:p>
        </w:tc>
        <w:sdt>
          <w:sdtPr>
            <w:rPr>
              <w:rFonts w:cs="Arial"/>
              <w:sz w:val="22"/>
              <w:szCs w:val="22"/>
            </w:rPr>
            <w:id w:val="1461998664"/>
            <w14:checkbox>
              <w14:checked w14:val="0"/>
              <w14:checkedState w14:val="2612" w14:font="MS Gothic"/>
              <w14:uncheckedState w14:val="2610" w14:font="MS Gothic"/>
            </w14:checkbox>
          </w:sdtPr>
          <w:sdtContent>
            <w:tc>
              <w:tcPr>
                <w:tcW w:w="713" w:type="dxa"/>
              </w:tcPr>
              <w:p w14:paraId="3C75A9FA" w14:textId="77777777" w:rsidR="00FC7B7F" w:rsidRPr="00850C17" w:rsidRDefault="00FC7B7F" w:rsidP="00395707">
                <w:pPr>
                  <w:jc w:val="center"/>
                  <w:rPr>
                    <w:rFonts w:cs="Arial"/>
                    <w:sz w:val="22"/>
                    <w:szCs w:val="22"/>
                  </w:rPr>
                </w:pPr>
                <w:r w:rsidRPr="00850C17">
                  <w:rPr>
                    <w:rFonts w:ascii="Segoe UI Symbol" w:eastAsia="MS Gothic" w:hAnsi="Segoe UI Symbol" w:cs="Segoe UI Symbol"/>
                    <w:sz w:val="22"/>
                    <w:szCs w:val="22"/>
                  </w:rPr>
                  <w:t>☐</w:t>
                </w:r>
              </w:p>
            </w:tc>
          </w:sdtContent>
        </w:sdt>
      </w:tr>
      <w:tr w:rsidR="00FC7B7F" w:rsidRPr="00850C17" w14:paraId="7456F21E" w14:textId="77777777" w:rsidTr="00FC7B7F">
        <w:trPr>
          <w:trHeight w:val="225"/>
        </w:trPr>
        <w:tc>
          <w:tcPr>
            <w:tcW w:w="6500" w:type="dxa"/>
          </w:tcPr>
          <w:p w14:paraId="74421177" w14:textId="77777777" w:rsidR="00FC7B7F" w:rsidRPr="00850C17" w:rsidRDefault="00FC7B7F" w:rsidP="00C12977">
            <w:pPr>
              <w:pStyle w:val="ListParagraph"/>
              <w:numPr>
                <w:ilvl w:val="0"/>
                <w:numId w:val="14"/>
              </w:numPr>
              <w:spacing w:after="0"/>
              <w:contextualSpacing/>
              <w:textboxTightWrap w:val="none"/>
              <w:rPr>
                <w:rFonts w:cs="Arial"/>
                <w:b/>
                <w:sz w:val="22"/>
                <w:szCs w:val="22"/>
              </w:rPr>
            </w:pPr>
            <w:r w:rsidRPr="00850C17">
              <w:rPr>
                <w:rFonts w:cs="Arial"/>
                <w:b/>
                <w:sz w:val="22"/>
                <w:szCs w:val="22"/>
              </w:rPr>
              <w:t>Some concerns expressed as caveats or limitations</w:t>
            </w:r>
          </w:p>
        </w:tc>
        <w:sdt>
          <w:sdtPr>
            <w:rPr>
              <w:rFonts w:cs="Arial"/>
              <w:sz w:val="22"/>
              <w:szCs w:val="22"/>
            </w:rPr>
            <w:id w:val="542646888"/>
            <w14:checkbox>
              <w14:checked w14:val="1"/>
              <w14:checkedState w14:val="2612" w14:font="MS Gothic"/>
              <w14:uncheckedState w14:val="2610" w14:font="MS Gothic"/>
            </w14:checkbox>
          </w:sdtPr>
          <w:sdtContent>
            <w:tc>
              <w:tcPr>
                <w:tcW w:w="713" w:type="dxa"/>
              </w:tcPr>
              <w:p w14:paraId="25A4F52C" w14:textId="77777777" w:rsidR="00FC7B7F" w:rsidRPr="00850C17" w:rsidRDefault="00FC7B7F" w:rsidP="00395707">
                <w:pPr>
                  <w:jc w:val="center"/>
                  <w:rPr>
                    <w:rFonts w:cs="Arial"/>
                    <w:sz w:val="22"/>
                    <w:szCs w:val="22"/>
                  </w:rPr>
                </w:pPr>
                <w:r w:rsidRPr="00850C17">
                  <w:rPr>
                    <w:rFonts w:ascii="Segoe UI Symbol" w:eastAsia="MS Gothic" w:hAnsi="Segoe UI Symbol" w:cs="Segoe UI Symbol"/>
                    <w:sz w:val="22"/>
                    <w:szCs w:val="22"/>
                  </w:rPr>
                  <w:t>☒</w:t>
                </w:r>
              </w:p>
            </w:tc>
          </w:sdtContent>
        </w:sdt>
      </w:tr>
      <w:tr w:rsidR="00FC7B7F" w:rsidRPr="00850C17" w14:paraId="6E58E2A2" w14:textId="77777777" w:rsidTr="00FC7B7F">
        <w:trPr>
          <w:trHeight w:val="225"/>
        </w:trPr>
        <w:tc>
          <w:tcPr>
            <w:tcW w:w="6500" w:type="dxa"/>
          </w:tcPr>
          <w:p w14:paraId="1EC9AC7D" w14:textId="77777777" w:rsidR="00FC7B7F" w:rsidRPr="00850C17" w:rsidRDefault="00FC7B7F" w:rsidP="00C12977">
            <w:pPr>
              <w:pStyle w:val="ListParagraph"/>
              <w:numPr>
                <w:ilvl w:val="0"/>
                <w:numId w:val="14"/>
              </w:numPr>
              <w:spacing w:after="0"/>
              <w:contextualSpacing/>
              <w:textboxTightWrap w:val="none"/>
              <w:rPr>
                <w:rFonts w:cs="Arial"/>
                <w:b/>
                <w:sz w:val="22"/>
                <w:szCs w:val="22"/>
              </w:rPr>
            </w:pPr>
            <w:r w:rsidRPr="00850C17">
              <w:rPr>
                <w:rFonts w:cs="Arial"/>
                <w:b/>
                <w:sz w:val="22"/>
                <w:szCs w:val="22"/>
              </w:rPr>
              <w:t>Significant reservations</w:t>
            </w:r>
          </w:p>
        </w:tc>
        <w:sdt>
          <w:sdtPr>
            <w:rPr>
              <w:rFonts w:cs="Arial"/>
              <w:sz w:val="22"/>
              <w:szCs w:val="22"/>
            </w:rPr>
            <w:id w:val="374438656"/>
            <w14:checkbox>
              <w14:checked w14:val="1"/>
              <w14:checkedState w14:val="2612" w14:font="MS Gothic"/>
              <w14:uncheckedState w14:val="2610" w14:font="MS Gothic"/>
            </w14:checkbox>
          </w:sdtPr>
          <w:sdtContent>
            <w:tc>
              <w:tcPr>
                <w:tcW w:w="713" w:type="dxa"/>
              </w:tcPr>
              <w:p w14:paraId="39EB05F0" w14:textId="7872E837" w:rsidR="00FC7B7F" w:rsidRPr="00850C17" w:rsidRDefault="00FC7B7F" w:rsidP="00395707">
                <w:pPr>
                  <w:jc w:val="center"/>
                  <w:rPr>
                    <w:rFonts w:cs="Arial"/>
                    <w:sz w:val="22"/>
                    <w:szCs w:val="22"/>
                  </w:rPr>
                </w:pPr>
                <w:r>
                  <w:rPr>
                    <w:rFonts w:ascii="MS Gothic" w:eastAsia="MS Gothic" w:hAnsi="MS Gothic" w:cs="Arial" w:hint="eastAsia"/>
                    <w:sz w:val="22"/>
                    <w:szCs w:val="22"/>
                  </w:rPr>
                  <w:t>☒</w:t>
                </w:r>
              </w:p>
            </w:tc>
          </w:sdtContent>
        </w:sdt>
      </w:tr>
      <w:tr w:rsidR="00FC7B7F" w:rsidRPr="00850C17" w14:paraId="4198A878" w14:textId="77777777" w:rsidTr="00FC7B7F">
        <w:trPr>
          <w:trHeight w:val="225"/>
        </w:trPr>
        <w:tc>
          <w:tcPr>
            <w:tcW w:w="6500" w:type="dxa"/>
          </w:tcPr>
          <w:p w14:paraId="5C4F1B4E" w14:textId="77777777" w:rsidR="00FC7B7F" w:rsidRPr="00850C17" w:rsidRDefault="00FC7B7F" w:rsidP="00C12977">
            <w:pPr>
              <w:pStyle w:val="ListParagraph"/>
              <w:numPr>
                <w:ilvl w:val="0"/>
                <w:numId w:val="14"/>
              </w:numPr>
              <w:spacing w:after="0"/>
              <w:contextualSpacing/>
              <w:textboxTightWrap w:val="none"/>
              <w:rPr>
                <w:rFonts w:cs="Arial"/>
                <w:b/>
                <w:sz w:val="22"/>
                <w:szCs w:val="22"/>
              </w:rPr>
            </w:pPr>
            <w:r w:rsidRPr="00850C17">
              <w:rPr>
                <w:rFonts w:cs="Arial"/>
                <w:b/>
                <w:sz w:val="22"/>
                <w:szCs w:val="22"/>
              </w:rPr>
              <w:t>Unresolved issues</w:t>
            </w:r>
          </w:p>
        </w:tc>
        <w:sdt>
          <w:sdtPr>
            <w:rPr>
              <w:rFonts w:cs="Arial"/>
              <w:sz w:val="22"/>
              <w:szCs w:val="22"/>
            </w:rPr>
            <w:id w:val="-1882858430"/>
            <w14:checkbox>
              <w14:checked w14:val="0"/>
              <w14:checkedState w14:val="2612" w14:font="MS Gothic"/>
              <w14:uncheckedState w14:val="2610" w14:font="MS Gothic"/>
            </w14:checkbox>
          </w:sdtPr>
          <w:sdtContent>
            <w:tc>
              <w:tcPr>
                <w:tcW w:w="713" w:type="dxa"/>
              </w:tcPr>
              <w:p w14:paraId="61D75640" w14:textId="77777777" w:rsidR="00FC7B7F" w:rsidRPr="00850C17" w:rsidRDefault="00FC7B7F" w:rsidP="00395707">
                <w:pPr>
                  <w:jc w:val="center"/>
                  <w:rPr>
                    <w:rFonts w:cs="Arial"/>
                    <w:sz w:val="22"/>
                    <w:szCs w:val="22"/>
                  </w:rPr>
                </w:pPr>
                <w:r w:rsidRPr="00850C17">
                  <w:rPr>
                    <w:rFonts w:ascii="Segoe UI Symbol" w:eastAsia="MS Gothic" w:hAnsi="Segoe UI Symbol" w:cs="Segoe UI Symbol"/>
                    <w:sz w:val="22"/>
                    <w:szCs w:val="22"/>
                  </w:rPr>
                  <w:t>☐</w:t>
                </w:r>
              </w:p>
            </w:tc>
          </w:sdtContent>
        </w:sdt>
      </w:tr>
    </w:tbl>
    <w:p w14:paraId="1883E993" w14:textId="77777777" w:rsidR="00C12977" w:rsidRPr="00850C17" w:rsidRDefault="00C12977" w:rsidP="00395707">
      <w:pPr>
        <w:ind w:left="-540"/>
        <w:rPr>
          <w:rFonts w:cs="Arial"/>
          <w:sz w:val="22"/>
          <w:szCs w:val="22"/>
        </w:rPr>
      </w:pPr>
    </w:p>
    <w:p w14:paraId="17A4680C" w14:textId="77777777" w:rsidR="00C12977" w:rsidRPr="00850C17" w:rsidRDefault="00C12977" w:rsidP="00FC7B7F">
      <w:pPr>
        <w:spacing w:after="120"/>
        <w:ind w:left="-851" w:firstLine="851"/>
        <w:rPr>
          <w:rFonts w:cs="Arial"/>
          <w:sz w:val="22"/>
          <w:szCs w:val="22"/>
        </w:rPr>
      </w:pPr>
      <w:r w:rsidRPr="00850C17">
        <w:rPr>
          <w:rFonts w:cs="Arial"/>
          <w:sz w:val="22"/>
          <w:szCs w:val="22"/>
        </w:rPr>
        <w:t>Indicator Governance Board (IGB)</w:t>
      </w:r>
    </w:p>
    <w:tbl>
      <w:tblPr>
        <w:tblStyle w:val="TableGrid"/>
        <w:tblW w:w="7221" w:type="dxa"/>
        <w:tblLook w:val="01E0" w:firstRow="1" w:lastRow="1" w:firstColumn="1" w:lastColumn="1" w:noHBand="0" w:noVBand="0"/>
      </w:tblPr>
      <w:tblGrid>
        <w:gridCol w:w="6508"/>
        <w:gridCol w:w="713"/>
      </w:tblGrid>
      <w:tr w:rsidR="00FC7B7F" w:rsidRPr="00850C17" w14:paraId="47E9D50A" w14:textId="77777777" w:rsidTr="00FC7B7F">
        <w:trPr>
          <w:trHeight w:val="230"/>
        </w:trPr>
        <w:tc>
          <w:tcPr>
            <w:tcW w:w="6508" w:type="dxa"/>
          </w:tcPr>
          <w:p w14:paraId="1210132D" w14:textId="726CFFC7" w:rsidR="00FC7B7F" w:rsidRPr="00850C17" w:rsidRDefault="00FC7B7F" w:rsidP="00FC7B7F">
            <w:pPr>
              <w:pStyle w:val="ListParagraph"/>
              <w:spacing w:after="0"/>
              <w:ind w:left="360" w:firstLine="0"/>
              <w:contextualSpacing/>
              <w:textboxTightWrap w:val="none"/>
              <w:rPr>
                <w:rFonts w:cs="Arial"/>
                <w:b/>
                <w:sz w:val="22"/>
                <w:szCs w:val="22"/>
              </w:rPr>
            </w:pPr>
            <w:r w:rsidRPr="00850C17">
              <w:rPr>
                <w:rFonts w:cs="Arial"/>
                <w:i/>
                <w:sz w:val="22"/>
                <w:szCs w:val="22"/>
              </w:rPr>
              <w:t>Final Appraisal Status</w:t>
            </w:r>
          </w:p>
        </w:tc>
        <w:tc>
          <w:tcPr>
            <w:tcW w:w="713" w:type="dxa"/>
          </w:tcPr>
          <w:p w14:paraId="0DBC566E" w14:textId="77777777" w:rsidR="00FC7B7F" w:rsidRPr="00850C17" w:rsidRDefault="00FC7B7F" w:rsidP="00395707">
            <w:pPr>
              <w:jc w:val="center"/>
              <w:rPr>
                <w:rFonts w:cs="Arial"/>
                <w:sz w:val="22"/>
                <w:szCs w:val="22"/>
              </w:rPr>
            </w:pPr>
          </w:p>
        </w:tc>
      </w:tr>
      <w:tr w:rsidR="00FC7B7F" w:rsidRPr="00850C17" w14:paraId="166A711C" w14:textId="77777777" w:rsidTr="00FC7B7F">
        <w:trPr>
          <w:trHeight w:val="230"/>
        </w:trPr>
        <w:tc>
          <w:tcPr>
            <w:tcW w:w="6508" w:type="dxa"/>
          </w:tcPr>
          <w:p w14:paraId="2287079E" w14:textId="77777777" w:rsidR="00FC7B7F" w:rsidRPr="00850C17" w:rsidRDefault="00FC7B7F" w:rsidP="00C12977">
            <w:pPr>
              <w:pStyle w:val="ListParagraph"/>
              <w:numPr>
                <w:ilvl w:val="0"/>
                <w:numId w:val="15"/>
              </w:numPr>
              <w:spacing w:after="0"/>
              <w:contextualSpacing/>
              <w:textboxTightWrap w:val="none"/>
              <w:rPr>
                <w:rFonts w:cs="Arial"/>
                <w:b/>
                <w:sz w:val="22"/>
                <w:szCs w:val="22"/>
              </w:rPr>
            </w:pPr>
            <w:r w:rsidRPr="00850C17">
              <w:rPr>
                <w:rFonts w:cs="Arial"/>
                <w:b/>
                <w:sz w:val="22"/>
                <w:szCs w:val="22"/>
              </w:rPr>
              <w:t>Assured</w:t>
            </w:r>
          </w:p>
        </w:tc>
        <w:sdt>
          <w:sdtPr>
            <w:rPr>
              <w:rFonts w:cs="Arial"/>
              <w:sz w:val="22"/>
              <w:szCs w:val="22"/>
            </w:rPr>
            <w:id w:val="-1533957486"/>
            <w14:checkbox>
              <w14:checked w14:val="0"/>
              <w14:checkedState w14:val="2612" w14:font="MS Gothic"/>
              <w14:uncheckedState w14:val="2610" w14:font="MS Gothic"/>
            </w14:checkbox>
          </w:sdtPr>
          <w:sdtContent>
            <w:tc>
              <w:tcPr>
                <w:tcW w:w="713" w:type="dxa"/>
              </w:tcPr>
              <w:p w14:paraId="313C0919" w14:textId="77777777" w:rsidR="00FC7B7F" w:rsidRPr="00850C17" w:rsidRDefault="00FC7B7F" w:rsidP="00395707">
                <w:pPr>
                  <w:jc w:val="center"/>
                  <w:rPr>
                    <w:rFonts w:cs="Arial"/>
                    <w:sz w:val="22"/>
                    <w:szCs w:val="22"/>
                  </w:rPr>
                </w:pPr>
                <w:r w:rsidRPr="00850C17">
                  <w:rPr>
                    <w:rFonts w:ascii="Segoe UI Symbol" w:eastAsia="MS Gothic" w:hAnsi="Segoe UI Symbol" w:cs="Segoe UI Symbol"/>
                    <w:sz w:val="22"/>
                    <w:szCs w:val="22"/>
                  </w:rPr>
                  <w:t>☐</w:t>
                </w:r>
              </w:p>
            </w:tc>
          </w:sdtContent>
        </w:sdt>
      </w:tr>
      <w:tr w:rsidR="00FC7B7F" w:rsidRPr="00850C17" w14:paraId="0B8616DF" w14:textId="77777777" w:rsidTr="00FC7B7F">
        <w:trPr>
          <w:trHeight w:val="234"/>
        </w:trPr>
        <w:tc>
          <w:tcPr>
            <w:tcW w:w="6508" w:type="dxa"/>
          </w:tcPr>
          <w:p w14:paraId="732F1A7A" w14:textId="77777777" w:rsidR="00FC7B7F" w:rsidRPr="00850C17" w:rsidRDefault="00FC7B7F" w:rsidP="00C12977">
            <w:pPr>
              <w:pStyle w:val="ListParagraph"/>
              <w:numPr>
                <w:ilvl w:val="0"/>
                <w:numId w:val="12"/>
              </w:numPr>
              <w:spacing w:after="0"/>
              <w:contextualSpacing/>
              <w:textboxTightWrap w:val="none"/>
              <w:rPr>
                <w:rFonts w:cs="Arial"/>
                <w:b/>
                <w:sz w:val="22"/>
                <w:szCs w:val="22"/>
              </w:rPr>
            </w:pPr>
            <w:r w:rsidRPr="00850C17">
              <w:rPr>
                <w:rFonts w:cs="Arial"/>
                <w:b/>
                <w:sz w:val="22"/>
                <w:szCs w:val="22"/>
              </w:rPr>
              <w:t>Assured with Comments</w:t>
            </w:r>
          </w:p>
        </w:tc>
        <w:sdt>
          <w:sdtPr>
            <w:rPr>
              <w:rFonts w:cs="Arial"/>
              <w:sz w:val="22"/>
              <w:szCs w:val="22"/>
            </w:rPr>
            <w:id w:val="670753281"/>
            <w14:checkbox>
              <w14:checked w14:val="1"/>
              <w14:checkedState w14:val="2612" w14:font="MS Gothic"/>
              <w14:uncheckedState w14:val="2610" w14:font="MS Gothic"/>
            </w14:checkbox>
          </w:sdtPr>
          <w:sdtContent>
            <w:tc>
              <w:tcPr>
                <w:tcW w:w="713" w:type="dxa"/>
              </w:tcPr>
              <w:p w14:paraId="7117C0E4" w14:textId="77777777" w:rsidR="00FC7B7F" w:rsidRPr="00850C17" w:rsidRDefault="00FC7B7F" w:rsidP="00395707">
                <w:pPr>
                  <w:jc w:val="center"/>
                  <w:rPr>
                    <w:rFonts w:cs="Arial"/>
                    <w:sz w:val="22"/>
                    <w:szCs w:val="22"/>
                  </w:rPr>
                </w:pPr>
                <w:r w:rsidRPr="00850C17">
                  <w:rPr>
                    <w:rFonts w:ascii="Segoe UI Symbol" w:eastAsia="MS Gothic" w:hAnsi="Segoe UI Symbol" w:cs="Segoe UI Symbol"/>
                    <w:sz w:val="22"/>
                    <w:szCs w:val="22"/>
                  </w:rPr>
                  <w:t>☒</w:t>
                </w:r>
              </w:p>
            </w:tc>
          </w:sdtContent>
        </w:sdt>
      </w:tr>
      <w:tr w:rsidR="00FC7B7F" w:rsidRPr="00850C17" w14:paraId="610C81C4" w14:textId="77777777" w:rsidTr="00FC7B7F">
        <w:trPr>
          <w:trHeight w:val="228"/>
        </w:trPr>
        <w:tc>
          <w:tcPr>
            <w:tcW w:w="6508" w:type="dxa"/>
          </w:tcPr>
          <w:p w14:paraId="462D6C5A" w14:textId="77777777" w:rsidR="00FC7B7F" w:rsidRPr="00850C17" w:rsidRDefault="00FC7B7F" w:rsidP="00C12977">
            <w:pPr>
              <w:pStyle w:val="ListParagraph"/>
              <w:numPr>
                <w:ilvl w:val="0"/>
                <w:numId w:val="12"/>
              </w:numPr>
              <w:spacing w:after="0"/>
              <w:contextualSpacing/>
              <w:textboxTightWrap w:val="none"/>
              <w:rPr>
                <w:rFonts w:cs="Arial"/>
                <w:b/>
                <w:sz w:val="22"/>
                <w:szCs w:val="22"/>
              </w:rPr>
            </w:pPr>
            <w:r w:rsidRPr="00850C17">
              <w:rPr>
                <w:rFonts w:cs="Arial"/>
                <w:b/>
                <w:sz w:val="22"/>
                <w:szCs w:val="22"/>
              </w:rPr>
              <w:t>Failed Assurance</w:t>
            </w:r>
          </w:p>
        </w:tc>
        <w:sdt>
          <w:sdtPr>
            <w:rPr>
              <w:rFonts w:cs="Arial"/>
              <w:sz w:val="22"/>
              <w:szCs w:val="22"/>
            </w:rPr>
            <w:id w:val="516811208"/>
            <w14:checkbox>
              <w14:checked w14:val="0"/>
              <w14:checkedState w14:val="2612" w14:font="MS Gothic"/>
              <w14:uncheckedState w14:val="2610" w14:font="MS Gothic"/>
            </w14:checkbox>
          </w:sdtPr>
          <w:sdtContent>
            <w:tc>
              <w:tcPr>
                <w:tcW w:w="713" w:type="dxa"/>
              </w:tcPr>
              <w:p w14:paraId="57A2924F" w14:textId="77777777" w:rsidR="00FC7B7F" w:rsidRPr="00850C17" w:rsidRDefault="00FC7B7F" w:rsidP="00395707">
                <w:pPr>
                  <w:jc w:val="center"/>
                  <w:rPr>
                    <w:rFonts w:cs="Arial"/>
                    <w:sz w:val="22"/>
                    <w:szCs w:val="22"/>
                  </w:rPr>
                </w:pPr>
                <w:r w:rsidRPr="00850C17">
                  <w:rPr>
                    <w:rFonts w:ascii="Segoe UI Symbol" w:eastAsia="MS Gothic" w:hAnsi="Segoe UI Symbol" w:cs="Segoe UI Symbol"/>
                    <w:sz w:val="22"/>
                    <w:szCs w:val="22"/>
                  </w:rPr>
                  <w:t>☐</w:t>
                </w:r>
              </w:p>
            </w:tc>
          </w:sdtContent>
        </w:sdt>
      </w:tr>
    </w:tbl>
    <w:p w14:paraId="37DB2FAB" w14:textId="77777777" w:rsidR="00C12977" w:rsidRPr="00850C17" w:rsidRDefault="00C12977">
      <w:pPr>
        <w:rPr>
          <w:rFonts w:cs="Arial"/>
          <w:sz w:val="22"/>
          <w:szCs w:val="22"/>
        </w:rPr>
      </w:pPr>
      <w:r w:rsidRPr="00850C17">
        <w:rPr>
          <w:rFonts w:cs="Arial"/>
          <w:sz w:val="22"/>
          <w:szCs w:val="22"/>
        </w:rPr>
        <w:br w:type="page"/>
      </w:r>
    </w:p>
    <w:p w14:paraId="6EC08970" w14:textId="77777777" w:rsidR="00C12977" w:rsidRPr="00850C17" w:rsidRDefault="00C12977" w:rsidP="00395707">
      <w:pPr>
        <w:ind w:left="-851"/>
        <w:rPr>
          <w:rFonts w:cs="Arial"/>
          <w:sz w:val="22"/>
          <w:szCs w:val="22"/>
        </w:rPr>
      </w:pPr>
    </w:p>
    <w:p w14:paraId="6B65711D" w14:textId="77777777" w:rsidR="00C12977" w:rsidRPr="00850C17" w:rsidRDefault="00C12977" w:rsidP="00395707">
      <w:pPr>
        <w:ind w:left="-851"/>
        <w:rPr>
          <w:rFonts w:cs="Arial"/>
          <w:sz w:val="22"/>
          <w:szCs w:val="22"/>
        </w:rPr>
      </w:pPr>
      <w:r w:rsidRPr="00850C17">
        <w:rPr>
          <w:rFonts w:cs="Arial"/>
          <w:b/>
          <w:sz w:val="22"/>
          <w:szCs w:val="22"/>
        </w:rPr>
        <w:t xml:space="preserve">Peer Review </w:t>
      </w:r>
      <w:r w:rsidRPr="00850C17">
        <w:rPr>
          <w:rFonts w:cs="Arial"/>
          <w:sz w:val="22"/>
          <w:szCs w:val="22"/>
        </w:rPr>
        <w:t xml:space="preserve">Summary </w:t>
      </w:r>
    </w:p>
    <w:p w14:paraId="2DB1673D" w14:textId="77777777" w:rsidR="00C12977" w:rsidRPr="00850C17" w:rsidRDefault="00C12977" w:rsidP="00395707">
      <w:pPr>
        <w:ind w:left="-540"/>
        <w:rPr>
          <w:rFonts w:cs="Arial"/>
          <w:sz w:val="22"/>
          <w:szCs w:val="22"/>
        </w:rPr>
      </w:pPr>
    </w:p>
    <w:p w14:paraId="09D252D3" w14:textId="77777777" w:rsidR="00C12977" w:rsidRPr="00850C17" w:rsidRDefault="00C12977" w:rsidP="00395707">
      <w:pPr>
        <w:rPr>
          <w:rFonts w:cs="Arial"/>
          <w:sz w:val="22"/>
          <w:szCs w:val="22"/>
        </w:rPr>
      </w:pPr>
    </w:p>
    <w:tbl>
      <w:tblPr>
        <w:tblStyle w:val="TableGrid"/>
        <w:tblW w:w="9923" w:type="dxa"/>
        <w:tblLayout w:type="fixed"/>
        <w:tblLook w:val="01E0" w:firstRow="1" w:lastRow="1" w:firstColumn="1" w:lastColumn="1" w:noHBand="0" w:noVBand="0"/>
      </w:tblPr>
      <w:tblGrid>
        <w:gridCol w:w="2124"/>
        <w:gridCol w:w="7799"/>
      </w:tblGrid>
      <w:tr w:rsidR="00FC7B7F" w:rsidRPr="00850C17" w14:paraId="722297B3" w14:textId="77777777" w:rsidTr="00395707">
        <w:tc>
          <w:tcPr>
            <w:tcW w:w="2124" w:type="dxa"/>
          </w:tcPr>
          <w:p w14:paraId="77753DE9" w14:textId="09E8B5C2" w:rsidR="00FC7B7F" w:rsidRPr="00850C17" w:rsidRDefault="00FC7B7F" w:rsidP="00FC7B7F">
            <w:pPr>
              <w:rPr>
                <w:rFonts w:cs="Arial"/>
                <w:sz w:val="22"/>
                <w:szCs w:val="22"/>
              </w:rPr>
            </w:pPr>
            <w:r w:rsidRPr="00850C17">
              <w:rPr>
                <w:rFonts w:cs="Arial"/>
                <w:b/>
                <w:sz w:val="22"/>
                <w:szCs w:val="22"/>
              </w:rPr>
              <w:t>Indicator Title</w:t>
            </w:r>
          </w:p>
        </w:tc>
        <w:tc>
          <w:tcPr>
            <w:tcW w:w="7799" w:type="dxa"/>
          </w:tcPr>
          <w:p w14:paraId="67D504B6" w14:textId="77777777" w:rsidR="00FC7B7F" w:rsidRPr="00850C17" w:rsidRDefault="00FC7B7F" w:rsidP="00FC7B7F">
            <w:pPr>
              <w:rPr>
                <w:rFonts w:cs="Arial"/>
                <w:sz w:val="22"/>
                <w:szCs w:val="22"/>
              </w:rPr>
            </w:pPr>
          </w:p>
        </w:tc>
      </w:tr>
      <w:tr w:rsidR="00FC7B7F" w:rsidRPr="00850C17" w14:paraId="75656BCF" w14:textId="77777777" w:rsidTr="00395707">
        <w:tc>
          <w:tcPr>
            <w:tcW w:w="2124" w:type="dxa"/>
          </w:tcPr>
          <w:p w14:paraId="665DD223" w14:textId="3F9195DD" w:rsidR="00FC7B7F" w:rsidRPr="00850C17" w:rsidRDefault="00FC7B7F" w:rsidP="00FC7B7F">
            <w:pPr>
              <w:rPr>
                <w:rFonts w:cs="Arial"/>
                <w:sz w:val="22"/>
                <w:szCs w:val="22"/>
              </w:rPr>
            </w:pPr>
            <w:r w:rsidRPr="00850C17">
              <w:rPr>
                <w:rFonts w:cs="Arial"/>
                <w:sz w:val="22"/>
                <w:szCs w:val="22"/>
              </w:rPr>
              <w:t>Indicator Set</w:t>
            </w:r>
          </w:p>
        </w:tc>
        <w:tc>
          <w:tcPr>
            <w:tcW w:w="7799" w:type="dxa"/>
          </w:tcPr>
          <w:p w14:paraId="38537968" w14:textId="77777777" w:rsidR="00FC7B7F" w:rsidRPr="00850C17" w:rsidRDefault="00FC7B7F" w:rsidP="00FC7B7F">
            <w:pPr>
              <w:rPr>
                <w:rFonts w:cs="Arial"/>
                <w:sz w:val="22"/>
                <w:szCs w:val="22"/>
              </w:rPr>
            </w:pPr>
          </w:p>
        </w:tc>
      </w:tr>
      <w:tr w:rsidR="00FC7B7F" w:rsidRPr="00850C17" w14:paraId="2287C3B5" w14:textId="77777777" w:rsidTr="00395707">
        <w:tc>
          <w:tcPr>
            <w:tcW w:w="2124" w:type="dxa"/>
          </w:tcPr>
          <w:p w14:paraId="447249D2" w14:textId="520EFB13" w:rsidR="00FC7B7F" w:rsidRPr="00850C17" w:rsidRDefault="00FC7B7F" w:rsidP="00FC7B7F">
            <w:pPr>
              <w:rPr>
                <w:rFonts w:cs="Arial"/>
                <w:sz w:val="22"/>
                <w:szCs w:val="22"/>
              </w:rPr>
            </w:pPr>
            <w:r w:rsidRPr="00850C17">
              <w:rPr>
                <w:rFonts w:cs="Arial"/>
                <w:sz w:val="22"/>
                <w:szCs w:val="22"/>
              </w:rPr>
              <w:t>IAS Ref Code:</w:t>
            </w:r>
          </w:p>
        </w:tc>
        <w:tc>
          <w:tcPr>
            <w:tcW w:w="7799" w:type="dxa"/>
          </w:tcPr>
          <w:p w14:paraId="6F86D434" w14:textId="77777777" w:rsidR="00FC7B7F" w:rsidRPr="00850C17" w:rsidRDefault="00FC7B7F" w:rsidP="00FC7B7F">
            <w:pPr>
              <w:rPr>
                <w:rFonts w:cs="Arial"/>
                <w:sz w:val="22"/>
                <w:szCs w:val="22"/>
              </w:rPr>
            </w:pPr>
          </w:p>
        </w:tc>
      </w:tr>
      <w:tr w:rsidR="00FC7B7F" w:rsidRPr="00850C17" w14:paraId="6F4D33A2" w14:textId="77777777" w:rsidTr="00395707">
        <w:tc>
          <w:tcPr>
            <w:tcW w:w="2124" w:type="dxa"/>
          </w:tcPr>
          <w:p w14:paraId="03F4BA2F" w14:textId="77777777" w:rsidR="00FC7B7F" w:rsidRPr="00850C17" w:rsidRDefault="00FC7B7F" w:rsidP="00FC7B7F">
            <w:pPr>
              <w:rPr>
                <w:rFonts w:cs="Arial"/>
                <w:sz w:val="22"/>
                <w:szCs w:val="22"/>
              </w:rPr>
            </w:pPr>
            <w:r w:rsidRPr="00850C17">
              <w:rPr>
                <w:rFonts w:cs="Arial"/>
                <w:sz w:val="22"/>
                <w:szCs w:val="22"/>
              </w:rPr>
              <w:t>Date of Peer Review</w:t>
            </w:r>
          </w:p>
        </w:tc>
        <w:tc>
          <w:tcPr>
            <w:tcW w:w="7799" w:type="dxa"/>
          </w:tcPr>
          <w:p w14:paraId="5E975964" w14:textId="77777777" w:rsidR="00FC7B7F" w:rsidRPr="00850C17" w:rsidRDefault="00FC7B7F" w:rsidP="00FC7B7F">
            <w:pPr>
              <w:rPr>
                <w:rFonts w:cs="Arial"/>
                <w:sz w:val="22"/>
                <w:szCs w:val="22"/>
              </w:rPr>
            </w:pPr>
          </w:p>
        </w:tc>
      </w:tr>
      <w:tr w:rsidR="00FC7B7F" w:rsidRPr="00850C17" w14:paraId="4C0F7C0D" w14:textId="77777777" w:rsidTr="00395707">
        <w:tc>
          <w:tcPr>
            <w:tcW w:w="2124" w:type="dxa"/>
          </w:tcPr>
          <w:p w14:paraId="7FC2B3AD" w14:textId="77777777" w:rsidR="00FC7B7F" w:rsidRPr="00850C17" w:rsidRDefault="00FC7B7F" w:rsidP="00FC7B7F">
            <w:pPr>
              <w:rPr>
                <w:rFonts w:cs="Arial"/>
                <w:sz w:val="22"/>
                <w:szCs w:val="22"/>
              </w:rPr>
            </w:pPr>
            <w:r w:rsidRPr="00850C17">
              <w:rPr>
                <w:rFonts w:cs="Arial"/>
                <w:sz w:val="22"/>
                <w:szCs w:val="22"/>
              </w:rPr>
              <w:t>Peer Reviewer(s) / Organisations :</w:t>
            </w:r>
          </w:p>
          <w:p w14:paraId="6B73EE5A" w14:textId="77777777" w:rsidR="00FC7B7F" w:rsidRPr="00850C17" w:rsidRDefault="00FC7B7F" w:rsidP="00FC7B7F">
            <w:pPr>
              <w:rPr>
                <w:rFonts w:cs="Arial"/>
                <w:sz w:val="22"/>
                <w:szCs w:val="22"/>
              </w:rPr>
            </w:pPr>
          </w:p>
        </w:tc>
        <w:tc>
          <w:tcPr>
            <w:tcW w:w="7799" w:type="dxa"/>
          </w:tcPr>
          <w:p w14:paraId="598BF24C" w14:textId="77777777" w:rsidR="00FC7B7F" w:rsidRPr="00850C17" w:rsidRDefault="00FC7B7F" w:rsidP="00FC7B7F">
            <w:pPr>
              <w:rPr>
                <w:rFonts w:cs="Arial"/>
                <w:sz w:val="22"/>
                <w:szCs w:val="22"/>
              </w:rPr>
            </w:pPr>
            <w:r w:rsidRPr="00850C17">
              <w:rPr>
                <w:rFonts w:cs="Arial"/>
                <w:sz w:val="22"/>
                <w:szCs w:val="22"/>
              </w:rPr>
              <w:t>No peer review currently undertaken</w:t>
            </w:r>
          </w:p>
          <w:p w14:paraId="68DB3455" w14:textId="77777777" w:rsidR="00FC7B7F" w:rsidRPr="00850C17" w:rsidRDefault="00FC7B7F" w:rsidP="00FC7B7F">
            <w:pPr>
              <w:rPr>
                <w:rFonts w:cs="Arial"/>
                <w:sz w:val="22"/>
                <w:szCs w:val="22"/>
              </w:rPr>
            </w:pPr>
          </w:p>
          <w:p w14:paraId="3C73A235" w14:textId="77777777" w:rsidR="00FC7B7F" w:rsidRPr="00850C17" w:rsidRDefault="00FC7B7F" w:rsidP="00FC7B7F">
            <w:pPr>
              <w:rPr>
                <w:rFonts w:cs="Arial"/>
                <w:sz w:val="22"/>
                <w:szCs w:val="22"/>
              </w:rPr>
            </w:pPr>
          </w:p>
          <w:p w14:paraId="3B22925D" w14:textId="77777777" w:rsidR="00FC7B7F" w:rsidRPr="00850C17" w:rsidRDefault="00FC7B7F" w:rsidP="00FC7B7F">
            <w:pPr>
              <w:rPr>
                <w:rFonts w:cs="Arial"/>
                <w:sz w:val="22"/>
                <w:szCs w:val="22"/>
              </w:rPr>
            </w:pPr>
          </w:p>
          <w:p w14:paraId="3855BBB9" w14:textId="77777777" w:rsidR="00FC7B7F" w:rsidRPr="00850C17" w:rsidRDefault="00FC7B7F" w:rsidP="00FC7B7F">
            <w:pPr>
              <w:rPr>
                <w:rFonts w:cs="Arial"/>
                <w:sz w:val="22"/>
                <w:szCs w:val="22"/>
              </w:rPr>
            </w:pPr>
          </w:p>
        </w:tc>
      </w:tr>
      <w:tr w:rsidR="00FC7B7F" w:rsidRPr="00850C17" w14:paraId="7B6B4198" w14:textId="77777777" w:rsidTr="00FC7B7F">
        <w:trPr>
          <w:trHeight w:val="230"/>
        </w:trPr>
        <w:tc>
          <w:tcPr>
            <w:tcW w:w="2124" w:type="dxa"/>
          </w:tcPr>
          <w:p w14:paraId="0916E262" w14:textId="77777777" w:rsidR="00FC7B7F" w:rsidRPr="00850C17" w:rsidRDefault="00FC7B7F" w:rsidP="00FC7B7F">
            <w:pPr>
              <w:rPr>
                <w:rFonts w:cs="Arial"/>
                <w:i/>
                <w:sz w:val="22"/>
                <w:szCs w:val="22"/>
              </w:rPr>
            </w:pPr>
            <w:r w:rsidRPr="00850C17">
              <w:rPr>
                <w:rFonts w:cs="Arial"/>
                <w:i/>
                <w:sz w:val="22"/>
                <w:szCs w:val="22"/>
              </w:rPr>
              <w:t>Outcome of MRG consideration:</w:t>
            </w:r>
          </w:p>
        </w:tc>
        <w:tc>
          <w:tcPr>
            <w:tcW w:w="7794" w:type="dxa"/>
          </w:tcPr>
          <w:p w14:paraId="281F159D" w14:textId="4618E9CD" w:rsidR="00FC7B7F" w:rsidRPr="00850C17" w:rsidRDefault="00FC7B7F" w:rsidP="00FC7B7F">
            <w:pPr>
              <w:rPr>
                <w:rFonts w:cs="Arial"/>
                <w:sz w:val="22"/>
                <w:szCs w:val="22"/>
              </w:rPr>
            </w:pPr>
            <w:r w:rsidRPr="00850C17">
              <w:rPr>
                <w:rFonts w:cs="Arial"/>
                <w:b/>
                <w:sz w:val="22"/>
                <w:szCs w:val="22"/>
              </w:rPr>
              <w:t>Proposal signed off, with or without caveats</w:t>
            </w:r>
            <w:r>
              <w:rPr>
                <w:rFonts w:cs="Arial"/>
                <w:b/>
                <w:sz w:val="22"/>
                <w:szCs w:val="22"/>
              </w:rPr>
              <w:t xml:space="preserve"> </w:t>
            </w:r>
            <w:sdt>
              <w:sdtPr>
                <w:rPr>
                  <w:rFonts w:cs="Arial"/>
                  <w:sz w:val="22"/>
                  <w:szCs w:val="22"/>
                </w:rPr>
                <w:id w:val="196308045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FC7B7F" w:rsidRPr="00850C17" w14:paraId="7B2ABE42" w14:textId="77777777" w:rsidTr="00395707">
        <w:tc>
          <w:tcPr>
            <w:tcW w:w="2124" w:type="dxa"/>
          </w:tcPr>
          <w:p w14:paraId="3D5BEA39" w14:textId="77777777" w:rsidR="00FC7B7F" w:rsidRPr="00850C17" w:rsidRDefault="00FC7B7F" w:rsidP="00FC7B7F">
            <w:pPr>
              <w:rPr>
                <w:rFonts w:cs="Arial"/>
                <w:sz w:val="22"/>
                <w:szCs w:val="22"/>
              </w:rPr>
            </w:pPr>
            <w:r w:rsidRPr="00850C17">
              <w:rPr>
                <w:rFonts w:cs="Arial"/>
                <w:sz w:val="22"/>
                <w:szCs w:val="22"/>
              </w:rPr>
              <w:t>Link to Peer Review Appraisal</w:t>
            </w:r>
          </w:p>
          <w:p w14:paraId="0A3562CE" w14:textId="77777777" w:rsidR="00FC7B7F" w:rsidRPr="00850C17" w:rsidRDefault="00FC7B7F" w:rsidP="00FC7B7F">
            <w:pPr>
              <w:rPr>
                <w:rFonts w:cs="Arial"/>
                <w:sz w:val="22"/>
                <w:szCs w:val="22"/>
              </w:rPr>
            </w:pPr>
          </w:p>
        </w:tc>
        <w:tc>
          <w:tcPr>
            <w:tcW w:w="7799" w:type="dxa"/>
          </w:tcPr>
          <w:p w14:paraId="3D1C20FF" w14:textId="77777777" w:rsidR="00FC7B7F" w:rsidRPr="00850C17" w:rsidRDefault="00FC7B7F" w:rsidP="00FC7B7F">
            <w:pPr>
              <w:rPr>
                <w:rFonts w:cs="Arial"/>
                <w:sz w:val="22"/>
                <w:szCs w:val="22"/>
              </w:rPr>
            </w:pPr>
          </w:p>
        </w:tc>
      </w:tr>
    </w:tbl>
    <w:p w14:paraId="31D1F233" w14:textId="77777777" w:rsidR="00C12977" w:rsidRPr="00850C17" w:rsidRDefault="00C12977" w:rsidP="00395707">
      <w:pPr>
        <w:ind w:left="-540"/>
        <w:rPr>
          <w:rFonts w:cs="Arial"/>
          <w:sz w:val="22"/>
          <w:szCs w:val="22"/>
        </w:rPr>
      </w:pPr>
    </w:p>
    <w:p w14:paraId="5E454AB1" w14:textId="77777777" w:rsidR="00C12977" w:rsidRPr="00850C17" w:rsidRDefault="00C12977" w:rsidP="00395707">
      <w:pPr>
        <w:ind w:left="-851"/>
        <w:rPr>
          <w:rFonts w:cs="Arial"/>
          <w:sz w:val="22"/>
          <w:szCs w:val="22"/>
        </w:rPr>
      </w:pPr>
    </w:p>
    <w:p w14:paraId="234F6309" w14:textId="77777777" w:rsidR="00C12977" w:rsidRPr="00850C17" w:rsidRDefault="00C12977" w:rsidP="00395707">
      <w:pPr>
        <w:ind w:left="-851"/>
        <w:rPr>
          <w:rFonts w:cs="Arial"/>
          <w:sz w:val="22"/>
          <w:szCs w:val="22"/>
        </w:rPr>
      </w:pPr>
    </w:p>
    <w:p w14:paraId="379717FA" w14:textId="77777777" w:rsidR="00C12977" w:rsidRPr="00850C17" w:rsidRDefault="00C12977" w:rsidP="00395707">
      <w:pPr>
        <w:ind w:left="-851"/>
        <w:rPr>
          <w:rFonts w:cs="Arial"/>
          <w:sz w:val="22"/>
          <w:szCs w:val="22"/>
        </w:rPr>
      </w:pPr>
    </w:p>
    <w:p w14:paraId="3A7FA524" w14:textId="77777777" w:rsidR="00C12977" w:rsidRPr="00850C17" w:rsidRDefault="00C12977">
      <w:pPr>
        <w:rPr>
          <w:rFonts w:cs="Arial"/>
          <w:sz w:val="22"/>
          <w:szCs w:val="22"/>
        </w:rPr>
      </w:pPr>
      <w:r w:rsidRPr="00850C17">
        <w:rPr>
          <w:rFonts w:cs="Arial"/>
          <w:sz w:val="22"/>
          <w:szCs w:val="22"/>
        </w:rPr>
        <w:br w:type="page"/>
      </w:r>
    </w:p>
    <w:p w14:paraId="4DEF2F51" w14:textId="77777777" w:rsidR="00C12977" w:rsidRPr="00850C17" w:rsidRDefault="00C12977" w:rsidP="00395707">
      <w:pPr>
        <w:ind w:left="-851"/>
        <w:rPr>
          <w:rFonts w:cs="Arial"/>
          <w:sz w:val="22"/>
          <w:szCs w:val="22"/>
        </w:rPr>
      </w:pPr>
    </w:p>
    <w:p w14:paraId="6BF71D13" w14:textId="77777777" w:rsidR="00C12977" w:rsidRPr="00850C17" w:rsidRDefault="00C12977" w:rsidP="00FC7B7F">
      <w:pPr>
        <w:ind w:left="-851" w:firstLine="851"/>
        <w:rPr>
          <w:rFonts w:cs="Arial"/>
          <w:b/>
          <w:sz w:val="22"/>
          <w:szCs w:val="22"/>
        </w:rPr>
      </w:pPr>
      <w:r w:rsidRPr="00850C17">
        <w:rPr>
          <w:rFonts w:cs="Arial"/>
          <w:sz w:val="22"/>
          <w:szCs w:val="22"/>
        </w:rPr>
        <w:t xml:space="preserve">Indicator Methodology for Consideration - </w:t>
      </w:r>
      <w:r w:rsidRPr="00850C17">
        <w:rPr>
          <w:rFonts w:cs="Arial"/>
          <w:b/>
          <w:sz w:val="22"/>
          <w:szCs w:val="22"/>
        </w:rPr>
        <w:t>Methodology Review Group</w:t>
      </w:r>
    </w:p>
    <w:p w14:paraId="02235C44" w14:textId="77777777" w:rsidR="00C12977" w:rsidRPr="00850C17" w:rsidRDefault="00C12977" w:rsidP="00395707">
      <w:pPr>
        <w:ind w:left="-851"/>
        <w:rPr>
          <w:rFonts w:cs="Arial"/>
          <w:sz w:val="22"/>
          <w:szCs w:val="22"/>
        </w:rPr>
      </w:pPr>
    </w:p>
    <w:tbl>
      <w:tblPr>
        <w:tblStyle w:val="TableGrid"/>
        <w:tblW w:w="9923" w:type="dxa"/>
        <w:tblLayout w:type="fixed"/>
        <w:tblLook w:val="01E0" w:firstRow="1" w:lastRow="1" w:firstColumn="1" w:lastColumn="1" w:noHBand="0" w:noVBand="0"/>
      </w:tblPr>
      <w:tblGrid>
        <w:gridCol w:w="2125"/>
        <w:gridCol w:w="7798"/>
      </w:tblGrid>
      <w:tr w:rsidR="00FC7B7F" w:rsidRPr="00850C17" w14:paraId="3736D944" w14:textId="77777777" w:rsidTr="00395707">
        <w:tc>
          <w:tcPr>
            <w:tcW w:w="2125" w:type="dxa"/>
          </w:tcPr>
          <w:p w14:paraId="7B51EDBC" w14:textId="65794B99" w:rsidR="00FC7B7F" w:rsidRPr="00850C17" w:rsidRDefault="00FC7B7F" w:rsidP="00FC7B7F">
            <w:pPr>
              <w:rPr>
                <w:rFonts w:cs="Arial"/>
                <w:sz w:val="22"/>
                <w:szCs w:val="22"/>
              </w:rPr>
            </w:pPr>
            <w:r w:rsidRPr="00850C17">
              <w:rPr>
                <w:rFonts w:cs="Arial"/>
                <w:b/>
                <w:sz w:val="22"/>
                <w:szCs w:val="22"/>
              </w:rPr>
              <w:t>Initial Indicator Title</w:t>
            </w:r>
          </w:p>
        </w:tc>
        <w:tc>
          <w:tcPr>
            <w:tcW w:w="7798" w:type="dxa"/>
          </w:tcPr>
          <w:p w14:paraId="795617CD" w14:textId="77777777" w:rsidR="00FC7B7F" w:rsidRPr="00850C17" w:rsidRDefault="00FC7B7F" w:rsidP="00FC7B7F">
            <w:pPr>
              <w:rPr>
                <w:rFonts w:cs="Arial"/>
                <w:sz w:val="22"/>
                <w:szCs w:val="22"/>
              </w:rPr>
            </w:pPr>
            <w:r w:rsidRPr="00850C17">
              <w:rPr>
                <w:rFonts w:cs="Arial"/>
                <w:sz w:val="22"/>
                <w:szCs w:val="22"/>
              </w:rPr>
              <w:t>[Indicator title submitted pre - MRG discussion]</w:t>
            </w:r>
          </w:p>
          <w:p w14:paraId="111A40DB" w14:textId="76DC10E6" w:rsidR="00FC7B7F" w:rsidRPr="00850C17" w:rsidRDefault="00FC7B7F" w:rsidP="00FC7B7F">
            <w:pPr>
              <w:rPr>
                <w:rFonts w:cs="Arial"/>
                <w:sz w:val="22"/>
                <w:szCs w:val="22"/>
              </w:rPr>
            </w:pPr>
            <w:r w:rsidRPr="00850C17">
              <w:rPr>
                <w:rFonts w:cs="Arial"/>
                <w:b/>
                <w:sz w:val="22"/>
                <w:szCs w:val="22"/>
              </w:rPr>
              <w:t>1.30 People with Serious Mental Illness (SMI) who have received complete list of physical checks</w:t>
            </w:r>
          </w:p>
        </w:tc>
      </w:tr>
      <w:tr w:rsidR="00FC7B7F" w:rsidRPr="00850C17" w14:paraId="20DCA176" w14:textId="77777777" w:rsidTr="00395707">
        <w:tc>
          <w:tcPr>
            <w:tcW w:w="2125" w:type="dxa"/>
          </w:tcPr>
          <w:p w14:paraId="7C17A8F6" w14:textId="73814A74" w:rsidR="00FC7B7F" w:rsidRPr="00850C17" w:rsidRDefault="00FC7B7F" w:rsidP="00FC7B7F">
            <w:pPr>
              <w:rPr>
                <w:rFonts w:cs="Arial"/>
                <w:sz w:val="22"/>
                <w:szCs w:val="22"/>
              </w:rPr>
            </w:pPr>
            <w:r w:rsidRPr="00850C17">
              <w:rPr>
                <w:rFonts w:cs="Arial"/>
                <w:sz w:val="22"/>
                <w:szCs w:val="22"/>
              </w:rPr>
              <w:t>Indicator Set</w:t>
            </w:r>
          </w:p>
        </w:tc>
        <w:tc>
          <w:tcPr>
            <w:tcW w:w="7798" w:type="dxa"/>
          </w:tcPr>
          <w:p w14:paraId="32B9E6EB" w14:textId="77777777" w:rsidR="00FC7B7F" w:rsidRPr="00850C17" w:rsidRDefault="00FC7B7F" w:rsidP="00FC7B7F">
            <w:pPr>
              <w:rPr>
                <w:rFonts w:cs="Arial"/>
                <w:sz w:val="22"/>
                <w:szCs w:val="22"/>
              </w:rPr>
            </w:pPr>
          </w:p>
        </w:tc>
      </w:tr>
      <w:tr w:rsidR="00FC7B7F" w:rsidRPr="00850C17" w14:paraId="60C21CC4" w14:textId="77777777" w:rsidTr="00395707">
        <w:tc>
          <w:tcPr>
            <w:tcW w:w="2125" w:type="dxa"/>
          </w:tcPr>
          <w:p w14:paraId="1507326C" w14:textId="39ADC373" w:rsidR="00FC7B7F" w:rsidRPr="00850C17" w:rsidRDefault="00FC7B7F" w:rsidP="00395707">
            <w:pPr>
              <w:rPr>
                <w:rFonts w:cs="Arial"/>
                <w:sz w:val="22"/>
                <w:szCs w:val="22"/>
              </w:rPr>
            </w:pPr>
            <w:r w:rsidRPr="00850C17">
              <w:rPr>
                <w:rFonts w:cs="Arial"/>
                <w:sz w:val="22"/>
                <w:szCs w:val="22"/>
              </w:rPr>
              <w:t>IAS Ref Code:</w:t>
            </w:r>
          </w:p>
        </w:tc>
        <w:tc>
          <w:tcPr>
            <w:tcW w:w="7798" w:type="dxa"/>
          </w:tcPr>
          <w:p w14:paraId="50261A0C" w14:textId="77777777" w:rsidR="00FC7B7F" w:rsidRPr="00850C17" w:rsidRDefault="00FC7B7F" w:rsidP="00395707">
            <w:pPr>
              <w:rPr>
                <w:rFonts w:cs="Arial"/>
                <w:sz w:val="22"/>
                <w:szCs w:val="22"/>
              </w:rPr>
            </w:pPr>
          </w:p>
        </w:tc>
      </w:tr>
      <w:tr w:rsidR="00850C17" w:rsidRPr="00850C17" w14:paraId="35B45063" w14:textId="77777777" w:rsidTr="00395707">
        <w:tc>
          <w:tcPr>
            <w:tcW w:w="2125" w:type="dxa"/>
          </w:tcPr>
          <w:p w14:paraId="313FD4DB" w14:textId="77777777" w:rsidR="00C12977" w:rsidRPr="00850C17" w:rsidRDefault="00C12977" w:rsidP="00395707">
            <w:pPr>
              <w:rPr>
                <w:rFonts w:cs="Arial"/>
                <w:sz w:val="22"/>
                <w:szCs w:val="22"/>
              </w:rPr>
            </w:pPr>
            <w:r w:rsidRPr="00850C17">
              <w:rPr>
                <w:rFonts w:cs="Arial"/>
                <w:sz w:val="22"/>
                <w:szCs w:val="22"/>
              </w:rPr>
              <w:t>Introduction</w:t>
            </w:r>
          </w:p>
        </w:tc>
        <w:tc>
          <w:tcPr>
            <w:tcW w:w="7798" w:type="dxa"/>
          </w:tcPr>
          <w:p w14:paraId="4C4E2C13" w14:textId="77777777" w:rsidR="00FC7B7F" w:rsidRPr="00850C17" w:rsidRDefault="00FC7B7F" w:rsidP="00FC7B7F">
            <w:pPr>
              <w:rPr>
                <w:rFonts w:cs="Arial"/>
                <w:sz w:val="22"/>
                <w:szCs w:val="22"/>
              </w:rPr>
            </w:pPr>
            <w:r w:rsidRPr="00850C17">
              <w:rPr>
                <w:rFonts w:cs="Arial"/>
                <w:sz w:val="22"/>
                <w:szCs w:val="22"/>
              </w:rPr>
              <w:t xml:space="preserve">[Give a brief background on which indicators are being considered, especially if they form part of a programme of indicators.  Provide any general information such as </w:t>
            </w:r>
          </w:p>
          <w:p w14:paraId="6DFDAFDD" w14:textId="77777777" w:rsidR="00FC7B7F" w:rsidRPr="00850C17" w:rsidRDefault="00FC7B7F" w:rsidP="00FC7B7F">
            <w:pPr>
              <w:rPr>
                <w:rFonts w:cs="Arial"/>
                <w:sz w:val="22"/>
                <w:szCs w:val="22"/>
              </w:rPr>
            </w:pPr>
            <w:r w:rsidRPr="00850C17">
              <w:rPr>
                <w:rFonts w:cs="Arial"/>
                <w:sz w:val="22"/>
                <w:szCs w:val="22"/>
              </w:rPr>
              <w:t>•urgency of approval / broad timescales</w:t>
            </w:r>
          </w:p>
          <w:p w14:paraId="38509EC2" w14:textId="77777777" w:rsidR="00FC7B7F" w:rsidRPr="00850C17" w:rsidRDefault="00FC7B7F" w:rsidP="00FC7B7F">
            <w:pPr>
              <w:rPr>
                <w:rFonts w:cs="Arial"/>
                <w:sz w:val="22"/>
                <w:szCs w:val="22"/>
              </w:rPr>
            </w:pPr>
            <w:r w:rsidRPr="00850C17">
              <w:rPr>
                <w:rFonts w:cs="Arial"/>
                <w:sz w:val="22"/>
                <w:szCs w:val="22"/>
              </w:rPr>
              <w:t>•history and direction of any indicator programmes involved e.g. General news about NHS Outcomes Framework</w:t>
            </w:r>
          </w:p>
          <w:p w14:paraId="07E73A7E" w14:textId="77777777" w:rsidR="00FC7B7F" w:rsidRPr="00850C17" w:rsidRDefault="00FC7B7F" w:rsidP="00FC7B7F">
            <w:pPr>
              <w:rPr>
                <w:rFonts w:cs="Arial"/>
                <w:sz w:val="22"/>
                <w:szCs w:val="22"/>
              </w:rPr>
            </w:pPr>
            <w:r w:rsidRPr="00850C17">
              <w:rPr>
                <w:rFonts w:cs="Arial"/>
                <w:sz w:val="22"/>
                <w:szCs w:val="22"/>
              </w:rPr>
              <w:t>•Level of IC’s involvement, e.g. is it commissioned to produce or surface the data ]</w:t>
            </w:r>
          </w:p>
          <w:p w14:paraId="78D59B50" w14:textId="77777777" w:rsidR="00C12977" w:rsidRPr="00850C17" w:rsidRDefault="00C12977" w:rsidP="00395707">
            <w:pPr>
              <w:rPr>
                <w:rFonts w:cs="Arial"/>
                <w:sz w:val="22"/>
                <w:szCs w:val="22"/>
              </w:rPr>
            </w:pPr>
          </w:p>
        </w:tc>
      </w:tr>
    </w:tbl>
    <w:p w14:paraId="683A101A" w14:textId="77777777" w:rsidR="00C12977" w:rsidRPr="00850C17" w:rsidRDefault="00C12977" w:rsidP="00395707">
      <w:pPr>
        <w:ind w:left="-851"/>
        <w:rPr>
          <w:rFonts w:cs="Arial"/>
          <w:sz w:val="22"/>
          <w:szCs w:val="22"/>
        </w:rPr>
      </w:pPr>
    </w:p>
    <w:tbl>
      <w:tblPr>
        <w:tblStyle w:val="TableGrid"/>
        <w:tblW w:w="9923" w:type="dxa"/>
        <w:tblLayout w:type="fixed"/>
        <w:tblLook w:val="01E0" w:firstRow="1" w:lastRow="1" w:firstColumn="1" w:lastColumn="1" w:noHBand="0" w:noVBand="0"/>
      </w:tblPr>
      <w:tblGrid>
        <w:gridCol w:w="2125"/>
        <w:gridCol w:w="7798"/>
      </w:tblGrid>
      <w:tr w:rsidR="00FC7B7F" w:rsidRPr="00850C17" w14:paraId="7F20B7AF" w14:textId="77777777" w:rsidTr="00395707">
        <w:tc>
          <w:tcPr>
            <w:tcW w:w="2125" w:type="dxa"/>
          </w:tcPr>
          <w:p w14:paraId="4B7B9E4E" w14:textId="2CD2F29B" w:rsidR="00FC7B7F" w:rsidRPr="00850C17" w:rsidRDefault="00FC7B7F" w:rsidP="00FC7B7F">
            <w:pPr>
              <w:rPr>
                <w:rFonts w:cs="Arial"/>
                <w:sz w:val="22"/>
                <w:szCs w:val="22"/>
              </w:rPr>
            </w:pPr>
            <w:r w:rsidRPr="00850C17">
              <w:rPr>
                <w:rFonts w:cs="Arial"/>
                <w:sz w:val="22"/>
                <w:szCs w:val="22"/>
              </w:rPr>
              <w:t>Indicator Details - Initial MRG Submission</w:t>
            </w:r>
          </w:p>
        </w:tc>
        <w:tc>
          <w:tcPr>
            <w:tcW w:w="7798" w:type="dxa"/>
          </w:tcPr>
          <w:p w14:paraId="6074E276" w14:textId="33B1F6BB" w:rsidR="00FC7B7F" w:rsidRPr="00850C17" w:rsidRDefault="00FC7B7F" w:rsidP="00FC7B7F">
            <w:pPr>
              <w:pStyle w:val="Default"/>
              <w:spacing w:after="60"/>
              <w:rPr>
                <w:color w:val="auto"/>
                <w:sz w:val="22"/>
                <w:szCs w:val="22"/>
              </w:rPr>
            </w:pPr>
            <w:r w:rsidRPr="00850C17">
              <w:rPr>
                <w:sz w:val="22"/>
                <w:szCs w:val="22"/>
              </w:rPr>
              <w:t>Date of Initial Discussion: 08/02/13</w:t>
            </w:r>
          </w:p>
        </w:tc>
      </w:tr>
      <w:tr w:rsidR="00FC7B7F" w:rsidRPr="00850C17" w14:paraId="33FE0F72" w14:textId="77777777" w:rsidTr="00395707">
        <w:tc>
          <w:tcPr>
            <w:tcW w:w="2125" w:type="dxa"/>
          </w:tcPr>
          <w:p w14:paraId="71919E47" w14:textId="77777777" w:rsidR="00FC7B7F" w:rsidRPr="00850C17" w:rsidRDefault="00FC7B7F" w:rsidP="00FC7B7F">
            <w:pPr>
              <w:rPr>
                <w:rFonts w:cs="Arial"/>
                <w:sz w:val="22"/>
                <w:szCs w:val="22"/>
              </w:rPr>
            </w:pPr>
            <w:r w:rsidRPr="00850C17">
              <w:rPr>
                <w:rFonts w:cs="Arial"/>
                <w:sz w:val="22"/>
                <w:szCs w:val="22"/>
              </w:rPr>
              <w:t xml:space="preserve">Rationale / usefulness </w:t>
            </w:r>
          </w:p>
          <w:p w14:paraId="7A71F4A3" w14:textId="77777777" w:rsidR="00FC7B7F" w:rsidRPr="00850C17" w:rsidRDefault="00FC7B7F" w:rsidP="00FC7B7F">
            <w:pPr>
              <w:rPr>
                <w:rFonts w:cs="Arial"/>
                <w:sz w:val="22"/>
                <w:szCs w:val="22"/>
              </w:rPr>
            </w:pPr>
            <w:r w:rsidRPr="00850C17">
              <w:rPr>
                <w:rFonts w:cs="Arial"/>
                <w:sz w:val="22"/>
                <w:szCs w:val="22"/>
              </w:rPr>
              <w:t>Evidence and action ability of indicator [take this directly from the application if possible]</w:t>
            </w:r>
          </w:p>
        </w:tc>
        <w:tc>
          <w:tcPr>
            <w:tcW w:w="7798" w:type="dxa"/>
          </w:tcPr>
          <w:p w14:paraId="00C31252" w14:textId="77777777" w:rsidR="00FC7B7F" w:rsidRPr="00850C17" w:rsidRDefault="00FC7B7F" w:rsidP="00FC7B7F">
            <w:pPr>
              <w:pStyle w:val="Default"/>
              <w:spacing w:after="60"/>
              <w:rPr>
                <w:color w:val="auto"/>
                <w:sz w:val="22"/>
                <w:szCs w:val="22"/>
              </w:rPr>
            </w:pPr>
            <w:r w:rsidRPr="00850C17">
              <w:rPr>
                <w:color w:val="auto"/>
                <w:sz w:val="22"/>
                <w:szCs w:val="22"/>
              </w:rPr>
              <w:t>This indicator will support the delivery of healthcare to meet the NICE clinical guideline GC82 on schizophrenia recommendation 1.1.4.1 which says “people with schizophrenia receive a comprehensive multidisciplinary assessment, including a psychiatric, psychological and physical health assessment”</w:t>
            </w:r>
          </w:p>
          <w:p w14:paraId="56A28611" w14:textId="77777777" w:rsidR="00FC7B7F" w:rsidRPr="00850C17" w:rsidRDefault="00FC7B7F" w:rsidP="00FC7B7F">
            <w:pPr>
              <w:rPr>
                <w:rFonts w:cs="Arial"/>
                <w:sz w:val="22"/>
                <w:szCs w:val="22"/>
              </w:rPr>
            </w:pPr>
          </w:p>
        </w:tc>
      </w:tr>
      <w:tr w:rsidR="00FC7B7F" w:rsidRPr="00850C17" w14:paraId="1398DF7B" w14:textId="77777777" w:rsidTr="00395707">
        <w:tc>
          <w:tcPr>
            <w:tcW w:w="2125" w:type="dxa"/>
          </w:tcPr>
          <w:p w14:paraId="34A3627B" w14:textId="77777777" w:rsidR="00FC7B7F" w:rsidRPr="00850C17" w:rsidRDefault="00FC7B7F" w:rsidP="00FC7B7F">
            <w:pPr>
              <w:rPr>
                <w:rFonts w:cs="Arial"/>
                <w:sz w:val="22"/>
                <w:szCs w:val="22"/>
              </w:rPr>
            </w:pPr>
            <w:r w:rsidRPr="00850C17">
              <w:rPr>
                <w:rFonts w:cs="Arial"/>
                <w:sz w:val="22"/>
                <w:szCs w:val="22"/>
              </w:rPr>
              <w:t>Data source</w:t>
            </w:r>
          </w:p>
        </w:tc>
        <w:tc>
          <w:tcPr>
            <w:tcW w:w="7798" w:type="dxa"/>
          </w:tcPr>
          <w:p w14:paraId="7B05C8E5" w14:textId="77777777" w:rsidR="00FC7B7F" w:rsidRPr="00850C17" w:rsidRDefault="00FC7B7F" w:rsidP="00FC7B7F">
            <w:pPr>
              <w:rPr>
                <w:rFonts w:cs="Arial"/>
                <w:sz w:val="22"/>
                <w:szCs w:val="22"/>
              </w:rPr>
            </w:pPr>
            <w:r w:rsidRPr="00850C17">
              <w:rPr>
                <w:rFonts w:cs="Arial"/>
                <w:sz w:val="22"/>
                <w:szCs w:val="22"/>
              </w:rPr>
              <w:t>GPES</w:t>
            </w:r>
          </w:p>
          <w:p w14:paraId="27F8EC95" w14:textId="77777777" w:rsidR="00FC7B7F" w:rsidRPr="00850C17" w:rsidRDefault="00FC7B7F" w:rsidP="00FC7B7F">
            <w:pPr>
              <w:rPr>
                <w:rFonts w:cs="Arial"/>
                <w:sz w:val="22"/>
                <w:szCs w:val="22"/>
              </w:rPr>
            </w:pPr>
          </w:p>
        </w:tc>
      </w:tr>
      <w:tr w:rsidR="00FC7B7F" w:rsidRPr="00850C17" w14:paraId="4D1C6104" w14:textId="77777777" w:rsidTr="00395707">
        <w:trPr>
          <w:trHeight w:val="819"/>
        </w:trPr>
        <w:tc>
          <w:tcPr>
            <w:tcW w:w="2125" w:type="dxa"/>
          </w:tcPr>
          <w:p w14:paraId="6AC232DE" w14:textId="77777777" w:rsidR="00FC7B7F" w:rsidRPr="00850C17" w:rsidRDefault="00FC7B7F" w:rsidP="00FC7B7F">
            <w:pPr>
              <w:rPr>
                <w:rFonts w:cs="Arial"/>
                <w:sz w:val="22"/>
                <w:szCs w:val="22"/>
              </w:rPr>
            </w:pPr>
            <w:r w:rsidRPr="00850C17">
              <w:rPr>
                <w:rFonts w:cs="Arial"/>
                <w:sz w:val="22"/>
                <w:szCs w:val="22"/>
              </w:rPr>
              <w:t>Construction</w:t>
            </w:r>
          </w:p>
          <w:p w14:paraId="346218B3" w14:textId="77777777" w:rsidR="00FC7B7F" w:rsidRPr="00850C17" w:rsidRDefault="00FC7B7F" w:rsidP="00FC7B7F">
            <w:pPr>
              <w:rPr>
                <w:rFonts w:cs="Arial"/>
                <w:sz w:val="22"/>
                <w:szCs w:val="22"/>
              </w:rPr>
            </w:pPr>
          </w:p>
        </w:tc>
        <w:tc>
          <w:tcPr>
            <w:tcW w:w="7798" w:type="dxa"/>
          </w:tcPr>
          <w:p w14:paraId="325A4BD8" w14:textId="77777777" w:rsidR="00FC7B7F" w:rsidRPr="00850C17" w:rsidRDefault="00FC7B7F" w:rsidP="00FC7B7F">
            <w:pPr>
              <w:rPr>
                <w:rFonts w:cs="Arial"/>
                <w:sz w:val="22"/>
                <w:szCs w:val="22"/>
              </w:rPr>
            </w:pPr>
            <w:r w:rsidRPr="00850C17">
              <w:rPr>
                <w:rFonts w:cs="Arial"/>
                <w:b/>
                <w:i/>
                <w:sz w:val="22"/>
                <w:szCs w:val="22"/>
              </w:rPr>
              <w:t xml:space="preserve">Summary description of the calculation: </w:t>
            </w:r>
            <w:r w:rsidRPr="00850C17">
              <w:rPr>
                <w:rFonts w:cs="Arial"/>
                <w:sz w:val="22"/>
                <w:szCs w:val="22"/>
              </w:rPr>
              <w:t>This indicator will be reported annually as a percentage. The indicator will be based upon 12 months of data.</w:t>
            </w:r>
          </w:p>
        </w:tc>
      </w:tr>
      <w:tr w:rsidR="00FC7B7F" w:rsidRPr="00850C17" w14:paraId="09E083C2" w14:textId="77777777" w:rsidTr="00395707">
        <w:trPr>
          <w:trHeight w:val="341"/>
        </w:trPr>
        <w:tc>
          <w:tcPr>
            <w:tcW w:w="2125" w:type="dxa"/>
          </w:tcPr>
          <w:p w14:paraId="54C2B9D8" w14:textId="16FFE76F" w:rsidR="00FC7B7F" w:rsidRPr="00850C17" w:rsidRDefault="00FC7B7F" w:rsidP="00FC7B7F">
            <w:pPr>
              <w:rPr>
                <w:rFonts w:cs="Arial"/>
                <w:sz w:val="22"/>
                <w:szCs w:val="22"/>
              </w:rPr>
            </w:pPr>
            <w:r w:rsidRPr="00762C94">
              <w:rPr>
                <w:rFonts w:cs="Arial"/>
                <w:sz w:val="22"/>
                <w:szCs w:val="22"/>
              </w:rPr>
              <w:t>Construction</w:t>
            </w:r>
          </w:p>
        </w:tc>
        <w:tc>
          <w:tcPr>
            <w:tcW w:w="7798" w:type="dxa"/>
          </w:tcPr>
          <w:p w14:paraId="4D607E77" w14:textId="77777777" w:rsidR="00FC7B7F" w:rsidRPr="00850C17" w:rsidRDefault="00FC7B7F" w:rsidP="00FC7B7F">
            <w:pPr>
              <w:rPr>
                <w:rFonts w:cs="Arial"/>
                <w:sz w:val="22"/>
                <w:szCs w:val="22"/>
              </w:rPr>
            </w:pPr>
            <w:r w:rsidRPr="00850C17">
              <w:rPr>
                <w:rFonts w:cs="Arial"/>
                <w:b/>
                <w:i/>
                <w:sz w:val="22"/>
                <w:szCs w:val="22"/>
              </w:rPr>
              <w:t xml:space="preserve">Calculation type: </w:t>
            </w:r>
            <w:r w:rsidRPr="00850C17">
              <w:rPr>
                <w:rFonts w:cs="Arial"/>
                <w:sz w:val="22"/>
                <w:szCs w:val="22"/>
              </w:rPr>
              <w:t>Percentage</w:t>
            </w:r>
          </w:p>
        </w:tc>
      </w:tr>
      <w:tr w:rsidR="00FC7B7F" w:rsidRPr="00850C17" w14:paraId="6E1304B7" w14:textId="77777777" w:rsidTr="00395707">
        <w:trPr>
          <w:trHeight w:val="819"/>
        </w:trPr>
        <w:tc>
          <w:tcPr>
            <w:tcW w:w="2125" w:type="dxa"/>
          </w:tcPr>
          <w:p w14:paraId="052B6BDE" w14:textId="725E5A0C" w:rsidR="00FC7B7F" w:rsidRPr="00850C17" w:rsidRDefault="00FC7B7F" w:rsidP="00FC7B7F">
            <w:pPr>
              <w:rPr>
                <w:rFonts w:cs="Arial"/>
                <w:sz w:val="22"/>
                <w:szCs w:val="22"/>
              </w:rPr>
            </w:pPr>
            <w:r w:rsidRPr="00762C94">
              <w:rPr>
                <w:rFonts w:cs="Arial"/>
                <w:sz w:val="22"/>
                <w:szCs w:val="22"/>
              </w:rPr>
              <w:t>Construction</w:t>
            </w:r>
          </w:p>
        </w:tc>
        <w:tc>
          <w:tcPr>
            <w:tcW w:w="7798" w:type="dxa"/>
          </w:tcPr>
          <w:p w14:paraId="6DD5D493" w14:textId="77777777" w:rsidR="00FC7B7F" w:rsidRPr="00850C17" w:rsidRDefault="00FC7B7F" w:rsidP="00FC7B7F">
            <w:pPr>
              <w:rPr>
                <w:rFonts w:cs="Arial"/>
                <w:b/>
                <w:i/>
                <w:sz w:val="22"/>
                <w:szCs w:val="22"/>
              </w:rPr>
            </w:pPr>
            <w:r w:rsidRPr="00850C17">
              <w:rPr>
                <w:rFonts w:cs="Arial"/>
                <w:b/>
                <w:i/>
                <w:sz w:val="22"/>
                <w:szCs w:val="22"/>
              </w:rPr>
              <w:t xml:space="preserve">Denominator: </w:t>
            </w:r>
            <w:r w:rsidRPr="00850C17">
              <w:rPr>
                <w:rFonts w:cs="Arial"/>
                <w:sz w:val="22"/>
                <w:szCs w:val="22"/>
              </w:rPr>
              <w:t xml:space="preserve">Number of people on the practice list with a diagnosis of SMI (schizophrenia, bipolar affective disorder and other psychoses – see list at end) as defined in appendix 1 of the QOF Mental Health Ruleset  v22.0.  Patients identified for this indicator have one or more of these diagnosis codes in their electronic health record.  </w:t>
            </w:r>
          </w:p>
          <w:p w14:paraId="3F48FCB2" w14:textId="77777777" w:rsidR="00FC7B7F" w:rsidRPr="00850C17" w:rsidRDefault="00FC7B7F" w:rsidP="00FC7B7F">
            <w:pPr>
              <w:rPr>
                <w:rFonts w:cs="Arial"/>
                <w:b/>
                <w:i/>
                <w:sz w:val="22"/>
                <w:szCs w:val="22"/>
              </w:rPr>
            </w:pPr>
            <w:r w:rsidRPr="00850C17">
              <w:rPr>
                <w:rFonts w:cs="Arial"/>
                <w:b/>
                <w:i/>
                <w:sz w:val="22"/>
                <w:szCs w:val="22"/>
              </w:rPr>
              <w:t xml:space="preserve">Numerator: </w:t>
            </w:r>
            <w:r w:rsidRPr="00850C17">
              <w:rPr>
                <w:rFonts w:cs="Arial"/>
                <w:sz w:val="22"/>
                <w:szCs w:val="22"/>
              </w:rPr>
              <w:t>Number of people with a diagnosis of SMI (as above) with a record of BMI, blood pressure, ratio of total cholesterol:hdl, blood glucose or HbA1c, alcohol consumption and smoking status.</w:t>
            </w:r>
          </w:p>
        </w:tc>
      </w:tr>
      <w:tr w:rsidR="00FC7B7F" w:rsidRPr="00850C17" w14:paraId="18615C0E" w14:textId="77777777" w:rsidTr="00395707">
        <w:trPr>
          <w:trHeight w:val="819"/>
        </w:trPr>
        <w:tc>
          <w:tcPr>
            <w:tcW w:w="2125" w:type="dxa"/>
          </w:tcPr>
          <w:p w14:paraId="6AA8C854" w14:textId="77777777" w:rsidR="00FC7B7F" w:rsidRPr="00850C17" w:rsidRDefault="00FC7B7F" w:rsidP="00FC7B7F">
            <w:pPr>
              <w:rPr>
                <w:rFonts w:cs="Arial"/>
                <w:sz w:val="22"/>
                <w:szCs w:val="22"/>
              </w:rPr>
            </w:pPr>
          </w:p>
        </w:tc>
        <w:tc>
          <w:tcPr>
            <w:tcW w:w="7798" w:type="dxa"/>
          </w:tcPr>
          <w:p w14:paraId="681A356D" w14:textId="77777777" w:rsidR="00FC7B7F" w:rsidRPr="00850C17" w:rsidRDefault="00FC7B7F" w:rsidP="00FC7B7F">
            <w:pPr>
              <w:rPr>
                <w:rFonts w:cs="Arial"/>
                <w:b/>
                <w:i/>
                <w:sz w:val="22"/>
                <w:szCs w:val="22"/>
              </w:rPr>
            </w:pPr>
            <w:r w:rsidRPr="00850C17">
              <w:rPr>
                <w:rFonts w:cs="Arial"/>
                <w:b/>
                <w:i/>
                <w:sz w:val="22"/>
                <w:szCs w:val="22"/>
              </w:rPr>
              <w:t>Statistical Methods / Risk adjustment variables:</w:t>
            </w:r>
          </w:p>
          <w:p w14:paraId="50807A8D" w14:textId="77777777" w:rsidR="00FC7B7F" w:rsidRPr="00850C17" w:rsidRDefault="00FC7B7F" w:rsidP="00FC7B7F">
            <w:pPr>
              <w:rPr>
                <w:rFonts w:cs="Arial"/>
                <w:sz w:val="22"/>
                <w:szCs w:val="22"/>
              </w:rPr>
            </w:pPr>
          </w:p>
          <w:p w14:paraId="6BEA58E6" w14:textId="77777777" w:rsidR="00FC7B7F" w:rsidRPr="00850C17" w:rsidRDefault="00FC7B7F" w:rsidP="00FC7B7F">
            <w:pPr>
              <w:rPr>
                <w:rFonts w:cs="Arial"/>
                <w:b/>
                <w:sz w:val="22"/>
                <w:szCs w:val="22"/>
              </w:rPr>
            </w:pPr>
          </w:p>
        </w:tc>
      </w:tr>
      <w:tr w:rsidR="00FC7B7F" w:rsidRPr="00850C17" w14:paraId="40E39510" w14:textId="77777777" w:rsidTr="00395707">
        <w:trPr>
          <w:trHeight w:val="819"/>
        </w:trPr>
        <w:tc>
          <w:tcPr>
            <w:tcW w:w="2125" w:type="dxa"/>
          </w:tcPr>
          <w:p w14:paraId="28B17E90" w14:textId="77777777" w:rsidR="00FC7B7F" w:rsidRPr="00850C17" w:rsidRDefault="00FC7B7F" w:rsidP="00FC7B7F">
            <w:pPr>
              <w:rPr>
                <w:rFonts w:cs="Arial"/>
                <w:sz w:val="22"/>
                <w:szCs w:val="22"/>
              </w:rPr>
            </w:pPr>
            <w:r w:rsidRPr="00850C17">
              <w:rPr>
                <w:rFonts w:cs="Arial"/>
                <w:sz w:val="22"/>
                <w:szCs w:val="22"/>
              </w:rPr>
              <w:t>Construction</w:t>
            </w:r>
          </w:p>
          <w:p w14:paraId="6A153929" w14:textId="77777777" w:rsidR="00FC7B7F" w:rsidRPr="00850C17" w:rsidRDefault="00FC7B7F" w:rsidP="00FC7B7F">
            <w:pPr>
              <w:rPr>
                <w:rFonts w:cs="Arial"/>
                <w:sz w:val="22"/>
                <w:szCs w:val="22"/>
              </w:rPr>
            </w:pPr>
          </w:p>
        </w:tc>
        <w:tc>
          <w:tcPr>
            <w:tcW w:w="7798" w:type="dxa"/>
          </w:tcPr>
          <w:p w14:paraId="4B3EBCF3" w14:textId="77777777" w:rsidR="00FC7B7F" w:rsidRPr="00850C17" w:rsidRDefault="00FC7B7F" w:rsidP="00FC7B7F">
            <w:pPr>
              <w:rPr>
                <w:rFonts w:cs="Arial"/>
                <w:b/>
                <w:sz w:val="22"/>
                <w:szCs w:val="22"/>
              </w:rPr>
            </w:pPr>
            <w:r w:rsidRPr="00850C17">
              <w:rPr>
                <w:rFonts w:cs="Arial"/>
                <w:b/>
                <w:i/>
                <w:sz w:val="22"/>
                <w:szCs w:val="22"/>
              </w:rPr>
              <w:t>Other (Quality assurance/interpretation/known limitations):</w:t>
            </w:r>
          </w:p>
        </w:tc>
      </w:tr>
      <w:tr w:rsidR="00FC7B7F" w:rsidRPr="00850C17" w14:paraId="7EA56736" w14:textId="77777777" w:rsidTr="00395707">
        <w:tc>
          <w:tcPr>
            <w:tcW w:w="2125" w:type="dxa"/>
          </w:tcPr>
          <w:p w14:paraId="75DA5808" w14:textId="77777777" w:rsidR="00FC7B7F" w:rsidRPr="00850C17" w:rsidRDefault="00FC7B7F" w:rsidP="00FC7B7F">
            <w:pPr>
              <w:rPr>
                <w:rFonts w:cs="Arial"/>
                <w:sz w:val="22"/>
                <w:szCs w:val="22"/>
              </w:rPr>
            </w:pPr>
            <w:r w:rsidRPr="00850C17">
              <w:rPr>
                <w:rFonts w:cs="Arial"/>
                <w:sz w:val="22"/>
                <w:szCs w:val="22"/>
              </w:rPr>
              <w:t>Potential Issues</w:t>
            </w:r>
          </w:p>
          <w:p w14:paraId="54702736" w14:textId="77777777" w:rsidR="00FC7B7F" w:rsidRPr="00850C17" w:rsidRDefault="00FC7B7F" w:rsidP="00FC7B7F">
            <w:pPr>
              <w:rPr>
                <w:rFonts w:cs="Arial"/>
                <w:sz w:val="22"/>
                <w:szCs w:val="22"/>
              </w:rPr>
            </w:pPr>
            <w:r w:rsidRPr="00850C17">
              <w:rPr>
                <w:rFonts w:cs="Arial"/>
                <w:sz w:val="22"/>
                <w:szCs w:val="22"/>
              </w:rPr>
              <w:t>Highlight any of the following that apply</w:t>
            </w:r>
          </w:p>
          <w:p w14:paraId="6D9D29A4" w14:textId="77777777" w:rsidR="00FC7B7F" w:rsidRPr="00850C17" w:rsidRDefault="00FC7B7F" w:rsidP="00FC7B7F">
            <w:pPr>
              <w:rPr>
                <w:rFonts w:cs="Arial"/>
                <w:sz w:val="22"/>
                <w:szCs w:val="22"/>
              </w:rPr>
            </w:pPr>
            <w:r w:rsidRPr="00850C17">
              <w:rPr>
                <w:rFonts w:cs="Arial"/>
                <w:sz w:val="22"/>
                <w:szCs w:val="22"/>
              </w:rPr>
              <w:t>-data source(s) do not collect 100% of events</w:t>
            </w:r>
          </w:p>
          <w:p w14:paraId="41536F6A" w14:textId="77777777" w:rsidR="00FC7B7F" w:rsidRPr="00850C17" w:rsidRDefault="00FC7B7F" w:rsidP="00FC7B7F">
            <w:pPr>
              <w:rPr>
                <w:rFonts w:cs="Arial"/>
                <w:sz w:val="22"/>
                <w:szCs w:val="22"/>
              </w:rPr>
            </w:pPr>
            <w:r w:rsidRPr="00850C17">
              <w:rPr>
                <w:rFonts w:cs="Arial"/>
                <w:sz w:val="22"/>
                <w:szCs w:val="22"/>
              </w:rPr>
              <w:t>-data source(s) organisation or geographic coverage shortfalls</w:t>
            </w:r>
          </w:p>
          <w:p w14:paraId="38E612A5" w14:textId="77777777" w:rsidR="00FC7B7F" w:rsidRPr="00850C17" w:rsidRDefault="00FC7B7F" w:rsidP="00FC7B7F">
            <w:pPr>
              <w:rPr>
                <w:rFonts w:cs="Arial"/>
                <w:sz w:val="22"/>
                <w:szCs w:val="22"/>
              </w:rPr>
            </w:pPr>
            <w:r w:rsidRPr="00850C17">
              <w:rPr>
                <w:rFonts w:cs="Arial"/>
                <w:sz w:val="22"/>
                <w:szCs w:val="22"/>
              </w:rPr>
              <w:t>-codes or filters not matching the policy question</w:t>
            </w:r>
          </w:p>
          <w:p w14:paraId="6D661550" w14:textId="77777777" w:rsidR="00FC7B7F" w:rsidRPr="00850C17" w:rsidRDefault="00FC7B7F" w:rsidP="00FC7B7F">
            <w:pPr>
              <w:rPr>
                <w:rFonts w:cs="Arial"/>
                <w:sz w:val="22"/>
                <w:szCs w:val="22"/>
              </w:rPr>
            </w:pPr>
            <w:r w:rsidRPr="00850C17">
              <w:rPr>
                <w:rFonts w:cs="Arial"/>
                <w:sz w:val="22"/>
                <w:szCs w:val="22"/>
              </w:rPr>
              <w:t>-data source(s) definitions not meeting policy question</w:t>
            </w:r>
          </w:p>
          <w:p w14:paraId="004C81F2" w14:textId="77777777" w:rsidR="00FC7B7F" w:rsidRPr="00850C17" w:rsidRDefault="00FC7B7F" w:rsidP="00FC7B7F">
            <w:pPr>
              <w:rPr>
                <w:rFonts w:cs="Arial"/>
                <w:sz w:val="22"/>
                <w:szCs w:val="22"/>
              </w:rPr>
            </w:pPr>
            <w:r w:rsidRPr="00850C17">
              <w:rPr>
                <w:rFonts w:cs="Arial"/>
                <w:sz w:val="22"/>
                <w:szCs w:val="22"/>
              </w:rPr>
              <w:t>-data source(s) quality problems or inconsistency of reporting</w:t>
            </w:r>
          </w:p>
          <w:p w14:paraId="1221D957" w14:textId="77777777" w:rsidR="00FC7B7F" w:rsidRPr="00850C17" w:rsidRDefault="00FC7B7F" w:rsidP="00FC7B7F">
            <w:pPr>
              <w:rPr>
                <w:rFonts w:cs="Arial"/>
                <w:sz w:val="22"/>
                <w:szCs w:val="22"/>
              </w:rPr>
            </w:pPr>
            <w:r w:rsidRPr="00850C17">
              <w:rPr>
                <w:rFonts w:cs="Arial"/>
                <w:sz w:val="22"/>
                <w:szCs w:val="22"/>
              </w:rPr>
              <w:t>-statistical methods not appropriate for test or audience</w:t>
            </w:r>
          </w:p>
          <w:p w14:paraId="379B8977" w14:textId="77777777" w:rsidR="00FC7B7F" w:rsidRPr="00850C17" w:rsidRDefault="00FC7B7F" w:rsidP="00FC7B7F">
            <w:pPr>
              <w:rPr>
                <w:rFonts w:cs="Arial"/>
                <w:sz w:val="22"/>
                <w:szCs w:val="22"/>
              </w:rPr>
            </w:pPr>
            <w:r w:rsidRPr="00850C17">
              <w:rPr>
                <w:rFonts w:cs="Arial"/>
                <w:sz w:val="22"/>
                <w:szCs w:val="22"/>
              </w:rPr>
              <w:t>-risk adjustment not considered</w:t>
            </w:r>
          </w:p>
          <w:p w14:paraId="64F57E8A" w14:textId="77777777" w:rsidR="00FC7B7F" w:rsidRPr="00850C17" w:rsidRDefault="00FC7B7F" w:rsidP="00FC7B7F">
            <w:pPr>
              <w:rPr>
                <w:rFonts w:cs="Arial"/>
                <w:sz w:val="22"/>
                <w:szCs w:val="22"/>
              </w:rPr>
            </w:pPr>
            <w:r w:rsidRPr="00850C17">
              <w:rPr>
                <w:rFonts w:cs="Arial"/>
                <w:sz w:val="22"/>
                <w:szCs w:val="22"/>
              </w:rPr>
              <w:t>-long term security of the data source(s)</w:t>
            </w:r>
          </w:p>
          <w:p w14:paraId="39045E28" w14:textId="77777777" w:rsidR="00FC7B7F" w:rsidRPr="00850C17" w:rsidRDefault="00FC7B7F" w:rsidP="00FC7B7F">
            <w:pPr>
              <w:rPr>
                <w:rFonts w:cs="Arial"/>
                <w:sz w:val="22"/>
                <w:szCs w:val="22"/>
              </w:rPr>
            </w:pPr>
            <w:r w:rsidRPr="00850C17">
              <w:rPr>
                <w:rFonts w:cs="Arial"/>
                <w:sz w:val="22"/>
                <w:szCs w:val="22"/>
              </w:rPr>
              <w:t>-timing of data availability for use in indicator</w:t>
            </w:r>
          </w:p>
          <w:p w14:paraId="779CFF31" w14:textId="77777777" w:rsidR="00FC7B7F" w:rsidRPr="00850C17" w:rsidRDefault="00FC7B7F" w:rsidP="00FC7B7F">
            <w:pPr>
              <w:rPr>
                <w:rFonts w:cs="Arial"/>
                <w:sz w:val="22"/>
                <w:szCs w:val="22"/>
              </w:rPr>
            </w:pPr>
            <w:r w:rsidRPr="00850C17">
              <w:rPr>
                <w:rFonts w:cs="Arial"/>
                <w:sz w:val="22"/>
                <w:szCs w:val="22"/>
              </w:rPr>
              <w:t>presentation of data likely to mislead or give false confidence in findings</w:t>
            </w:r>
          </w:p>
          <w:p w14:paraId="5CF6F2C2" w14:textId="77777777" w:rsidR="00FC7B7F" w:rsidRPr="00850C17" w:rsidRDefault="00FC7B7F" w:rsidP="00FC7B7F">
            <w:pPr>
              <w:rPr>
                <w:rFonts w:cs="Arial"/>
                <w:sz w:val="22"/>
                <w:szCs w:val="22"/>
              </w:rPr>
            </w:pPr>
          </w:p>
        </w:tc>
        <w:tc>
          <w:tcPr>
            <w:tcW w:w="7798" w:type="dxa"/>
          </w:tcPr>
          <w:p w14:paraId="08CBF557" w14:textId="77777777" w:rsidR="00FC7B7F" w:rsidRPr="00850C17" w:rsidRDefault="00FC7B7F" w:rsidP="00FC7B7F">
            <w:pPr>
              <w:pStyle w:val="ListParagraph"/>
              <w:numPr>
                <w:ilvl w:val="0"/>
                <w:numId w:val="17"/>
              </w:numPr>
              <w:spacing w:before="180" w:after="200" w:line="276" w:lineRule="auto"/>
              <w:contextualSpacing/>
              <w:textboxTightWrap w:val="none"/>
              <w:rPr>
                <w:rFonts w:cs="Arial"/>
                <w:sz w:val="22"/>
                <w:szCs w:val="22"/>
              </w:rPr>
            </w:pPr>
            <w:r w:rsidRPr="00850C17">
              <w:rPr>
                <w:rFonts w:cs="Arial"/>
                <w:sz w:val="22"/>
                <w:szCs w:val="22"/>
              </w:rPr>
              <w:t>These physical checks are defined in the QOF Mental Health indicators MH11-13, MH19-20 and Smoking 5.  However, these are separate and distinct QOF indicators that cannot be used to calculate a proportion of patients receiving all six care processes.</w:t>
            </w:r>
          </w:p>
          <w:p w14:paraId="138FBD8F" w14:textId="77777777" w:rsidR="00FC7B7F" w:rsidRPr="00850C17" w:rsidRDefault="00FC7B7F" w:rsidP="00FC7B7F">
            <w:pPr>
              <w:pStyle w:val="ListParagraph"/>
              <w:numPr>
                <w:ilvl w:val="0"/>
                <w:numId w:val="17"/>
              </w:numPr>
              <w:spacing w:before="180" w:after="200" w:line="276" w:lineRule="auto"/>
              <w:contextualSpacing/>
              <w:textboxTightWrap w:val="none"/>
              <w:rPr>
                <w:rFonts w:cs="Arial"/>
                <w:sz w:val="22"/>
                <w:szCs w:val="22"/>
              </w:rPr>
            </w:pPr>
            <w:r w:rsidRPr="00850C17">
              <w:rPr>
                <w:rFonts w:cs="Arial"/>
                <w:sz w:val="22"/>
                <w:szCs w:val="22"/>
              </w:rPr>
              <w:t>Aside from the 12 month timescale, with no exclusions because of a diagnosis late in the year, standard QOF definitions and rules will be used in for this indicator, specifically:</w:t>
            </w:r>
          </w:p>
          <w:p w14:paraId="0C67DE36" w14:textId="77777777" w:rsidR="00FC7B7F" w:rsidRPr="00850C17" w:rsidRDefault="00FC7B7F" w:rsidP="00FC7B7F">
            <w:pPr>
              <w:pStyle w:val="ListParagraph"/>
              <w:numPr>
                <w:ilvl w:val="0"/>
                <w:numId w:val="16"/>
              </w:numPr>
              <w:spacing w:before="180" w:after="200" w:line="276" w:lineRule="auto"/>
              <w:contextualSpacing/>
              <w:textboxTightWrap w:val="none"/>
              <w:rPr>
                <w:rFonts w:cs="Arial"/>
                <w:sz w:val="22"/>
                <w:szCs w:val="22"/>
              </w:rPr>
            </w:pPr>
            <w:r w:rsidRPr="00850C17">
              <w:rPr>
                <w:rFonts w:cs="Arial"/>
                <w:sz w:val="22"/>
                <w:szCs w:val="22"/>
              </w:rPr>
              <w:t xml:space="preserve">Patients in remission from SMI are excluded (see below for definitions). </w:t>
            </w:r>
          </w:p>
          <w:p w14:paraId="07C46722" w14:textId="77777777" w:rsidR="00FC7B7F" w:rsidRPr="00850C17" w:rsidRDefault="00FC7B7F" w:rsidP="00FC7B7F">
            <w:pPr>
              <w:pStyle w:val="ListParagraph"/>
              <w:numPr>
                <w:ilvl w:val="0"/>
                <w:numId w:val="16"/>
              </w:numPr>
              <w:spacing w:before="180" w:after="200" w:line="276" w:lineRule="auto"/>
              <w:contextualSpacing/>
              <w:textboxTightWrap w:val="none"/>
              <w:rPr>
                <w:rFonts w:cs="Arial"/>
                <w:sz w:val="22"/>
                <w:szCs w:val="22"/>
              </w:rPr>
            </w:pPr>
            <w:r w:rsidRPr="00850C17">
              <w:rPr>
                <w:rFonts w:cs="Arial"/>
                <w:sz w:val="22"/>
                <w:szCs w:val="22"/>
              </w:rPr>
              <w:t xml:space="preserve">Smoking status to use the QOF definition (see below) </w:t>
            </w:r>
          </w:p>
          <w:p w14:paraId="14B52898" w14:textId="77777777" w:rsidR="00FC7B7F" w:rsidRPr="00850C17" w:rsidRDefault="00FC7B7F" w:rsidP="00FC7B7F">
            <w:pPr>
              <w:pStyle w:val="ListParagraph"/>
              <w:numPr>
                <w:ilvl w:val="0"/>
                <w:numId w:val="16"/>
              </w:numPr>
              <w:spacing w:before="180" w:after="200" w:line="276" w:lineRule="auto"/>
              <w:contextualSpacing/>
              <w:textboxTightWrap w:val="none"/>
              <w:rPr>
                <w:rFonts w:cs="Arial"/>
                <w:sz w:val="22"/>
                <w:szCs w:val="22"/>
              </w:rPr>
            </w:pPr>
            <w:r w:rsidRPr="00850C17">
              <w:rPr>
                <w:rFonts w:cs="Arial"/>
                <w:sz w:val="22"/>
                <w:szCs w:val="22"/>
              </w:rPr>
              <w:t>The cholesterol:hdl ratio is required only for patients aged 40 and above who do not have established CVD.</w:t>
            </w:r>
          </w:p>
          <w:p w14:paraId="04E30D43" w14:textId="77777777" w:rsidR="00FC7B7F" w:rsidRPr="00850C17" w:rsidRDefault="00FC7B7F" w:rsidP="00FC7B7F">
            <w:pPr>
              <w:pStyle w:val="ListParagraph"/>
              <w:numPr>
                <w:ilvl w:val="0"/>
                <w:numId w:val="16"/>
              </w:numPr>
              <w:spacing w:before="180" w:after="0" w:line="276" w:lineRule="auto"/>
              <w:contextualSpacing/>
              <w:textboxTightWrap w:val="none"/>
              <w:rPr>
                <w:rFonts w:cs="Arial"/>
                <w:sz w:val="22"/>
                <w:szCs w:val="22"/>
              </w:rPr>
            </w:pPr>
            <w:r w:rsidRPr="00850C17">
              <w:rPr>
                <w:rFonts w:cs="Arial"/>
                <w:sz w:val="22"/>
                <w:szCs w:val="22"/>
              </w:rPr>
              <w:t>Blood glucose or HbA1c tests should be performed for people aged over 40 only.</w:t>
            </w:r>
          </w:p>
          <w:p w14:paraId="1580861B" w14:textId="77777777" w:rsidR="00FC7B7F" w:rsidRPr="00850C17" w:rsidRDefault="00FC7B7F" w:rsidP="00FC7B7F">
            <w:pPr>
              <w:pStyle w:val="ListParagraph"/>
              <w:numPr>
                <w:ilvl w:val="0"/>
                <w:numId w:val="17"/>
              </w:numPr>
              <w:spacing w:before="180" w:after="0" w:line="276" w:lineRule="auto"/>
              <w:contextualSpacing/>
              <w:textboxTightWrap w:val="none"/>
              <w:rPr>
                <w:rFonts w:cs="Arial"/>
                <w:sz w:val="22"/>
                <w:szCs w:val="22"/>
              </w:rPr>
            </w:pPr>
            <w:r w:rsidRPr="00850C17">
              <w:rPr>
                <w:rFonts w:cs="Arial"/>
                <w:sz w:val="22"/>
                <w:szCs w:val="22"/>
              </w:rPr>
              <w:t>These data will only be collectable using GPES.  While the data extraction specifications have been rigorously tested as a part of QOF, GPES is not due to deliver data until April 2013.</w:t>
            </w:r>
          </w:p>
        </w:tc>
      </w:tr>
      <w:tr w:rsidR="00FC7B7F" w:rsidRPr="00850C17" w14:paraId="6293A01E" w14:textId="77777777" w:rsidTr="00395707">
        <w:tc>
          <w:tcPr>
            <w:tcW w:w="2125" w:type="dxa"/>
          </w:tcPr>
          <w:p w14:paraId="2A7585AB" w14:textId="77777777" w:rsidR="00FC7B7F" w:rsidRPr="00850C17" w:rsidRDefault="00FC7B7F" w:rsidP="00FC7B7F">
            <w:pPr>
              <w:rPr>
                <w:rFonts w:cs="Arial"/>
                <w:sz w:val="22"/>
                <w:szCs w:val="22"/>
              </w:rPr>
            </w:pPr>
            <w:r w:rsidRPr="00850C17">
              <w:rPr>
                <w:rFonts w:cs="Arial"/>
                <w:sz w:val="22"/>
                <w:szCs w:val="22"/>
              </w:rPr>
              <w:t>Supporting Documents</w:t>
            </w:r>
          </w:p>
          <w:p w14:paraId="7995BF1E" w14:textId="77777777" w:rsidR="00FC7B7F" w:rsidRPr="00850C17" w:rsidRDefault="00FC7B7F" w:rsidP="00FC7B7F">
            <w:pPr>
              <w:rPr>
                <w:rFonts w:cs="Arial"/>
                <w:sz w:val="22"/>
                <w:szCs w:val="22"/>
              </w:rPr>
            </w:pPr>
            <w:r w:rsidRPr="00850C17">
              <w:rPr>
                <w:rFonts w:cs="Arial"/>
                <w:sz w:val="22"/>
                <w:szCs w:val="22"/>
              </w:rPr>
              <w:t>Provide links to any additional documentation used to support discussion at MRG</w:t>
            </w:r>
          </w:p>
          <w:p w14:paraId="00D1E57A" w14:textId="77777777" w:rsidR="00FC7B7F" w:rsidRPr="00850C17" w:rsidRDefault="00FC7B7F" w:rsidP="00FC7B7F">
            <w:pPr>
              <w:rPr>
                <w:rFonts w:cs="Arial"/>
                <w:sz w:val="22"/>
                <w:szCs w:val="22"/>
              </w:rPr>
            </w:pPr>
          </w:p>
        </w:tc>
        <w:tc>
          <w:tcPr>
            <w:tcW w:w="7798" w:type="dxa"/>
          </w:tcPr>
          <w:p w14:paraId="0F5D2B4D" w14:textId="77777777" w:rsidR="00FC7B7F" w:rsidRPr="00850C17" w:rsidRDefault="00FC7B7F" w:rsidP="00FC7B7F">
            <w:pPr>
              <w:pStyle w:val="ListParagraph"/>
              <w:numPr>
                <w:ilvl w:val="0"/>
                <w:numId w:val="18"/>
              </w:numPr>
              <w:spacing w:after="200" w:line="276" w:lineRule="auto"/>
              <w:contextualSpacing/>
              <w:textboxTightWrap w:val="none"/>
              <w:rPr>
                <w:rFonts w:cs="Arial"/>
                <w:sz w:val="22"/>
                <w:szCs w:val="22"/>
              </w:rPr>
            </w:pPr>
            <w:r w:rsidRPr="00850C17">
              <w:rPr>
                <w:rFonts w:cs="Arial"/>
                <w:sz w:val="22"/>
                <w:szCs w:val="22"/>
              </w:rPr>
              <w:t>QOF Mental Health Ruleset, v22.0 (appendix 1)</w:t>
            </w:r>
          </w:p>
          <w:p w14:paraId="0452E25F" w14:textId="77777777" w:rsidR="00FC7B7F" w:rsidRPr="00850C17" w:rsidRDefault="00FC7B7F" w:rsidP="00FC7B7F">
            <w:pPr>
              <w:pStyle w:val="ListParagraph"/>
              <w:numPr>
                <w:ilvl w:val="0"/>
                <w:numId w:val="18"/>
              </w:numPr>
              <w:spacing w:after="200" w:line="276" w:lineRule="auto"/>
              <w:contextualSpacing/>
              <w:textboxTightWrap w:val="none"/>
              <w:rPr>
                <w:rFonts w:cs="Arial"/>
                <w:sz w:val="22"/>
                <w:szCs w:val="22"/>
              </w:rPr>
            </w:pPr>
            <w:r w:rsidRPr="00850C17">
              <w:rPr>
                <w:rFonts w:cs="Arial"/>
                <w:sz w:val="22"/>
                <w:szCs w:val="22"/>
              </w:rPr>
              <w:t>QOF Smoking Ruleset v22.0</w:t>
            </w:r>
          </w:p>
          <w:p w14:paraId="7AC31ABB" w14:textId="77777777" w:rsidR="00FC7B7F" w:rsidRPr="00850C17" w:rsidRDefault="00FC7B7F" w:rsidP="00FC7B7F">
            <w:pPr>
              <w:pStyle w:val="ListParagraph"/>
              <w:numPr>
                <w:ilvl w:val="0"/>
                <w:numId w:val="18"/>
              </w:numPr>
              <w:spacing w:after="200" w:line="276" w:lineRule="auto"/>
              <w:contextualSpacing/>
              <w:textboxTightWrap w:val="none"/>
              <w:rPr>
                <w:rFonts w:cs="Arial"/>
                <w:sz w:val="22"/>
                <w:szCs w:val="22"/>
              </w:rPr>
            </w:pPr>
            <w:r w:rsidRPr="00850C17">
              <w:rPr>
                <w:rFonts w:cs="Arial"/>
                <w:sz w:val="22"/>
                <w:szCs w:val="22"/>
              </w:rPr>
              <w:t xml:space="preserve">Quality and Outcomes Framework guidance for GMS contract 2012/13  </w:t>
            </w:r>
            <w:hyperlink r:id="rId12" w:history="1">
              <w:r w:rsidRPr="00850C17">
                <w:rPr>
                  <w:rStyle w:val="Hyperlink"/>
                  <w:rFonts w:ascii="Arial" w:eastAsia="MS Mincho" w:hAnsi="Arial" w:cs="Arial"/>
                  <w:color w:val="auto"/>
                  <w:sz w:val="22"/>
                  <w:szCs w:val="22"/>
                </w:rPr>
                <w:t>http://www.nhsemployers.org/Aboutus/Publications/Documents/QOF_2012-13.pdf</w:t>
              </w:r>
            </w:hyperlink>
            <w:r w:rsidRPr="00850C17">
              <w:rPr>
                <w:rFonts w:cs="Arial"/>
                <w:sz w:val="22"/>
                <w:szCs w:val="22"/>
              </w:rPr>
              <w:t xml:space="preserve"> </w:t>
            </w:r>
          </w:p>
          <w:p w14:paraId="29E573AE" w14:textId="77777777" w:rsidR="00FC7B7F" w:rsidRPr="00850C17" w:rsidRDefault="00FC7B7F" w:rsidP="00FC7B7F">
            <w:pPr>
              <w:pStyle w:val="ListParagraph"/>
              <w:numPr>
                <w:ilvl w:val="0"/>
                <w:numId w:val="18"/>
              </w:numPr>
              <w:spacing w:after="0"/>
              <w:contextualSpacing/>
              <w:textboxTightWrap w:val="none"/>
              <w:rPr>
                <w:rFonts w:cs="Arial"/>
                <w:sz w:val="22"/>
                <w:szCs w:val="22"/>
              </w:rPr>
            </w:pPr>
            <w:r w:rsidRPr="00850C17">
              <w:rPr>
                <w:rFonts w:cs="Arial"/>
                <w:sz w:val="22"/>
                <w:szCs w:val="22"/>
              </w:rPr>
              <w:t>Harrison, G., Hopper, K., Craig, T., Laska, E., Siegel, C., Wanderling, J. et al. (2001) Recovery from psychotic illness: A 15- and 25-year international follow-up study. British Journal of Psychiatry, 178:506-517</w:t>
            </w:r>
          </w:p>
        </w:tc>
      </w:tr>
    </w:tbl>
    <w:p w14:paraId="4972CC31" w14:textId="77777777" w:rsidR="00FC7B7F" w:rsidRDefault="00FC7B7F"/>
    <w:tbl>
      <w:tblPr>
        <w:tblStyle w:val="TableGrid"/>
        <w:tblW w:w="9923" w:type="dxa"/>
        <w:tblLayout w:type="fixed"/>
        <w:tblLook w:val="01E0" w:firstRow="1" w:lastRow="1" w:firstColumn="1" w:lastColumn="1" w:noHBand="0" w:noVBand="0"/>
      </w:tblPr>
      <w:tblGrid>
        <w:gridCol w:w="9923"/>
      </w:tblGrid>
      <w:tr w:rsidR="00FC7B7F" w:rsidRPr="00850C17" w14:paraId="61B15370" w14:textId="77777777" w:rsidTr="00395707">
        <w:tc>
          <w:tcPr>
            <w:tcW w:w="9923" w:type="dxa"/>
          </w:tcPr>
          <w:p w14:paraId="54728ACB" w14:textId="4D533648" w:rsidR="00FC7B7F" w:rsidRPr="00850C17" w:rsidRDefault="00FC7B7F" w:rsidP="00FC7B7F">
            <w:pPr>
              <w:rPr>
                <w:rFonts w:cs="Arial"/>
                <w:sz w:val="22"/>
                <w:szCs w:val="22"/>
              </w:rPr>
            </w:pPr>
            <w:r w:rsidRPr="00850C17">
              <w:rPr>
                <w:rFonts w:cs="Arial"/>
                <w:sz w:val="22"/>
                <w:szCs w:val="22"/>
              </w:rPr>
              <w:t xml:space="preserve">Additional Information / Sample Data : </w:t>
            </w:r>
          </w:p>
          <w:p w14:paraId="49437D2A" w14:textId="77777777" w:rsidR="00FC7B7F" w:rsidRPr="00850C17" w:rsidRDefault="00FC7B7F" w:rsidP="00FC7B7F">
            <w:pPr>
              <w:rPr>
                <w:rFonts w:cs="Arial"/>
                <w:sz w:val="22"/>
                <w:szCs w:val="22"/>
              </w:rPr>
            </w:pPr>
            <w:r w:rsidRPr="00850C17">
              <w:rPr>
                <w:rFonts w:cs="Arial"/>
                <w:sz w:val="22"/>
                <w:szCs w:val="22"/>
              </w:rPr>
              <w:t>Care processes are defined in the QOD Mental Health indicators as follows.</w:t>
            </w:r>
          </w:p>
          <w:p w14:paraId="3D2591EB" w14:textId="77777777" w:rsidR="00FC7B7F" w:rsidRPr="00850C17" w:rsidRDefault="00FC7B7F" w:rsidP="00FC7B7F">
            <w:pPr>
              <w:spacing w:before="180"/>
              <w:rPr>
                <w:rFonts w:cs="Arial"/>
                <w:sz w:val="22"/>
                <w:szCs w:val="22"/>
              </w:rPr>
            </w:pPr>
            <w:r w:rsidRPr="00850C17">
              <w:rPr>
                <w:rFonts w:cs="Arial"/>
                <w:sz w:val="22"/>
                <w:szCs w:val="22"/>
              </w:rPr>
              <w:t>Alcohol consumption</w:t>
            </w:r>
            <w:r w:rsidRPr="00850C17">
              <w:rPr>
                <w:rFonts w:cs="Arial"/>
                <w:sz w:val="22"/>
                <w:szCs w:val="22"/>
              </w:rPr>
              <w:tab/>
              <w:t>(MH11)</w:t>
            </w:r>
          </w:p>
          <w:p w14:paraId="655BC028" w14:textId="77777777" w:rsidR="00FC7B7F" w:rsidRPr="00850C17" w:rsidRDefault="00FC7B7F" w:rsidP="00FC7B7F">
            <w:pPr>
              <w:rPr>
                <w:rFonts w:cs="Arial"/>
                <w:sz w:val="22"/>
                <w:szCs w:val="22"/>
              </w:rPr>
            </w:pPr>
            <w:r w:rsidRPr="00850C17">
              <w:rPr>
                <w:rFonts w:cs="Arial"/>
                <w:sz w:val="22"/>
                <w:szCs w:val="22"/>
              </w:rPr>
              <w:t>BMI</w:t>
            </w:r>
            <w:r w:rsidRPr="00850C17">
              <w:rPr>
                <w:rFonts w:cs="Arial"/>
                <w:sz w:val="22"/>
                <w:szCs w:val="22"/>
              </w:rPr>
              <w:tab/>
            </w:r>
            <w:r w:rsidRPr="00850C17">
              <w:rPr>
                <w:rFonts w:cs="Arial"/>
                <w:sz w:val="22"/>
                <w:szCs w:val="22"/>
              </w:rPr>
              <w:tab/>
            </w:r>
            <w:r w:rsidRPr="00850C17">
              <w:rPr>
                <w:rFonts w:cs="Arial"/>
                <w:sz w:val="22"/>
                <w:szCs w:val="22"/>
              </w:rPr>
              <w:tab/>
              <w:t>(MH12)</w:t>
            </w:r>
          </w:p>
          <w:p w14:paraId="0BE7ABEE" w14:textId="77777777" w:rsidR="00FC7B7F" w:rsidRPr="00850C17" w:rsidRDefault="00FC7B7F" w:rsidP="00FC7B7F">
            <w:pPr>
              <w:rPr>
                <w:rFonts w:cs="Arial"/>
                <w:sz w:val="22"/>
                <w:szCs w:val="22"/>
              </w:rPr>
            </w:pPr>
            <w:r w:rsidRPr="00850C17">
              <w:rPr>
                <w:rFonts w:cs="Arial"/>
                <w:sz w:val="22"/>
                <w:szCs w:val="22"/>
              </w:rPr>
              <w:t>Blood pressure</w:t>
            </w:r>
            <w:r w:rsidRPr="00850C17">
              <w:rPr>
                <w:rFonts w:cs="Arial"/>
                <w:sz w:val="22"/>
                <w:szCs w:val="22"/>
              </w:rPr>
              <w:tab/>
            </w:r>
            <w:r w:rsidRPr="00850C17">
              <w:rPr>
                <w:rFonts w:cs="Arial"/>
                <w:sz w:val="22"/>
                <w:szCs w:val="22"/>
              </w:rPr>
              <w:tab/>
              <w:t>(MH13)</w:t>
            </w:r>
          </w:p>
          <w:p w14:paraId="51BB846E" w14:textId="77777777" w:rsidR="00FC7B7F" w:rsidRPr="00850C17" w:rsidRDefault="00FC7B7F" w:rsidP="00FC7B7F">
            <w:pPr>
              <w:rPr>
                <w:rFonts w:cs="Arial"/>
                <w:sz w:val="22"/>
                <w:szCs w:val="22"/>
              </w:rPr>
            </w:pPr>
            <w:r w:rsidRPr="00850C17">
              <w:rPr>
                <w:rFonts w:cs="Arial"/>
                <w:sz w:val="22"/>
                <w:szCs w:val="22"/>
              </w:rPr>
              <w:t>Total cholesterol:hdl ratio</w:t>
            </w:r>
            <w:r w:rsidRPr="00850C17">
              <w:rPr>
                <w:rFonts w:cs="Arial"/>
                <w:sz w:val="22"/>
                <w:szCs w:val="22"/>
              </w:rPr>
              <w:tab/>
              <w:t>(MH19)</w:t>
            </w:r>
          </w:p>
          <w:p w14:paraId="21D447EE" w14:textId="77777777" w:rsidR="00FC7B7F" w:rsidRPr="00850C17" w:rsidRDefault="00FC7B7F" w:rsidP="00FC7B7F">
            <w:pPr>
              <w:rPr>
                <w:rFonts w:cs="Arial"/>
                <w:sz w:val="22"/>
                <w:szCs w:val="22"/>
              </w:rPr>
            </w:pPr>
            <w:r w:rsidRPr="00850C17">
              <w:rPr>
                <w:rFonts w:cs="Arial"/>
                <w:sz w:val="22"/>
                <w:szCs w:val="22"/>
              </w:rPr>
              <w:t>Blood glucose or HbA1c</w:t>
            </w:r>
            <w:r w:rsidRPr="00850C17">
              <w:rPr>
                <w:rFonts w:cs="Arial"/>
                <w:sz w:val="22"/>
                <w:szCs w:val="22"/>
              </w:rPr>
              <w:tab/>
              <w:t>(MH20)</w:t>
            </w:r>
          </w:p>
          <w:p w14:paraId="67D83260" w14:textId="77777777" w:rsidR="00FC7B7F" w:rsidRPr="00850C17" w:rsidRDefault="00FC7B7F" w:rsidP="00FC7B7F">
            <w:pPr>
              <w:rPr>
                <w:rFonts w:cs="Arial"/>
                <w:sz w:val="22"/>
                <w:szCs w:val="22"/>
              </w:rPr>
            </w:pPr>
            <w:r w:rsidRPr="00850C17">
              <w:rPr>
                <w:rFonts w:cs="Arial"/>
                <w:sz w:val="22"/>
                <w:szCs w:val="22"/>
              </w:rPr>
              <w:t>Smoking status</w:t>
            </w:r>
            <w:r w:rsidRPr="00850C17">
              <w:rPr>
                <w:rFonts w:cs="Arial"/>
                <w:sz w:val="22"/>
                <w:szCs w:val="22"/>
              </w:rPr>
              <w:tab/>
            </w:r>
            <w:r w:rsidRPr="00850C17">
              <w:rPr>
                <w:rFonts w:cs="Arial"/>
                <w:sz w:val="22"/>
                <w:szCs w:val="22"/>
              </w:rPr>
              <w:tab/>
              <w:t>(Smoking 5)</w:t>
            </w:r>
          </w:p>
          <w:p w14:paraId="6C118090" w14:textId="77777777" w:rsidR="00FC7B7F" w:rsidRPr="00850C17" w:rsidRDefault="00FC7B7F" w:rsidP="00FC7B7F">
            <w:pPr>
              <w:autoSpaceDE w:val="0"/>
              <w:autoSpaceDN w:val="0"/>
              <w:adjustRightInd w:val="0"/>
              <w:rPr>
                <w:rFonts w:cs="Arial"/>
                <w:b/>
                <w:sz w:val="22"/>
                <w:szCs w:val="22"/>
                <w:u w:val="single"/>
              </w:rPr>
            </w:pPr>
          </w:p>
          <w:p w14:paraId="767DFF88" w14:textId="77777777" w:rsidR="00FC7B7F" w:rsidRPr="00850C17" w:rsidRDefault="00FC7B7F" w:rsidP="00FC7B7F">
            <w:pPr>
              <w:autoSpaceDE w:val="0"/>
              <w:autoSpaceDN w:val="0"/>
              <w:adjustRightInd w:val="0"/>
              <w:rPr>
                <w:rFonts w:cs="Arial"/>
                <w:b/>
                <w:sz w:val="22"/>
                <w:szCs w:val="22"/>
                <w:u w:val="single"/>
              </w:rPr>
            </w:pPr>
            <w:r w:rsidRPr="00850C17">
              <w:rPr>
                <w:rFonts w:cs="Arial"/>
                <w:b/>
                <w:sz w:val="22"/>
                <w:szCs w:val="22"/>
                <w:u w:val="single"/>
              </w:rPr>
              <w:t>Remission from serious mental illness</w:t>
            </w:r>
          </w:p>
          <w:p w14:paraId="5AC101E9" w14:textId="77777777" w:rsidR="00FC7B7F" w:rsidRPr="00850C17" w:rsidRDefault="00FC7B7F" w:rsidP="00FC7B7F">
            <w:pPr>
              <w:autoSpaceDE w:val="0"/>
              <w:autoSpaceDN w:val="0"/>
              <w:adjustRightInd w:val="0"/>
              <w:rPr>
                <w:rFonts w:cs="Arial"/>
                <w:sz w:val="22"/>
                <w:szCs w:val="22"/>
              </w:rPr>
            </w:pPr>
            <w:r w:rsidRPr="00850C17">
              <w:rPr>
                <w:rFonts w:cs="Arial"/>
                <w:sz w:val="22"/>
                <w:szCs w:val="22"/>
              </w:rPr>
              <w:t>Historically, patients have been added to the QOF mental health register for schizophrenia, bipolar affective disorder and other psychoses, but over time it has become apparent that it may be appropriate to exclude some of them from the associated indicators because their illness is in remission.</w:t>
            </w:r>
          </w:p>
          <w:p w14:paraId="39732B13" w14:textId="77777777" w:rsidR="00FC7B7F" w:rsidRPr="00850C17" w:rsidRDefault="00FC7B7F" w:rsidP="00FC7B7F">
            <w:pPr>
              <w:autoSpaceDE w:val="0"/>
              <w:autoSpaceDN w:val="0"/>
              <w:adjustRightInd w:val="0"/>
              <w:rPr>
                <w:rFonts w:cs="Arial"/>
                <w:sz w:val="22"/>
                <w:szCs w:val="22"/>
              </w:rPr>
            </w:pPr>
            <w:r w:rsidRPr="00850C17">
              <w:rPr>
                <w:rFonts w:cs="Arial"/>
                <w:sz w:val="22"/>
                <w:szCs w:val="22"/>
              </w:rPr>
              <w:t>Making an accurate diagnosis of remission for a patient with a diagnosis of serious mental illness can be challenging and the evidence base to support when to use the ‘remission code’ is largely based on clinical judgment. A recent longitudinal international study of recovery from psychotic illnesses found that as many as 56 per cent of patients recovered from psychotic illnesses to some extent, although only 16 per cent recover if a more stringent concept of recovery is used.</w:t>
            </w:r>
          </w:p>
          <w:p w14:paraId="1248532B" w14:textId="77777777" w:rsidR="00FC7B7F" w:rsidRPr="00850C17" w:rsidRDefault="00FC7B7F" w:rsidP="00FC7B7F">
            <w:pPr>
              <w:autoSpaceDE w:val="0"/>
              <w:autoSpaceDN w:val="0"/>
              <w:adjustRightInd w:val="0"/>
              <w:rPr>
                <w:rFonts w:cs="Arial"/>
                <w:sz w:val="22"/>
                <w:szCs w:val="22"/>
              </w:rPr>
            </w:pPr>
            <w:r w:rsidRPr="00850C17">
              <w:rPr>
                <w:rFonts w:cs="Arial"/>
                <w:sz w:val="22"/>
                <w:szCs w:val="22"/>
              </w:rPr>
              <w:t>In the absence of strong evidence of what constitutes ‘remission’ from serious mental illness, clinicians should only consider using the remission codes if the patient has been in remission for at least five years, that is:</w:t>
            </w:r>
          </w:p>
          <w:p w14:paraId="7BAB553C" w14:textId="77777777" w:rsidR="00FC7B7F" w:rsidRPr="00850C17" w:rsidRDefault="00FC7B7F" w:rsidP="00FC7B7F">
            <w:pPr>
              <w:numPr>
                <w:ilvl w:val="0"/>
                <w:numId w:val="20"/>
              </w:numPr>
              <w:autoSpaceDE w:val="0"/>
              <w:autoSpaceDN w:val="0"/>
              <w:adjustRightInd w:val="0"/>
              <w:spacing w:after="0"/>
              <w:textboxTightWrap w:val="none"/>
              <w:rPr>
                <w:rFonts w:cs="Arial"/>
                <w:sz w:val="22"/>
                <w:szCs w:val="22"/>
              </w:rPr>
            </w:pPr>
            <w:r w:rsidRPr="00850C17">
              <w:rPr>
                <w:rFonts w:cs="Arial"/>
                <w:sz w:val="22"/>
                <w:szCs w:val="22"/>
              </w:rPr>
              <w:t>where there is no record of antipsychotic medication</w:t>
            </w:r>
          </w:p>
          <w:p w14:paraId="76F1DCF9" w14:textId="77777777" w:rsidR="00FC7B7F" w:rsidRPr="00850C17" w:rsidRDefault="00FC7B7F" w:rsidP="00FC7B7F">
            <w:pPr>
              <w:numPr>
                <w:ilvl w:val="0"/>
                <w:numId w:val="20"/>
              </w:numPr>
              <w:autoSpaceDE w:val="0"/>
              <w:autoSpaceDN w:val="0"/>
              <w:adjustRightInd w:val="0"/>
              <w:spacing w:after="0"/>
              <w:textboxTightWrap w:val="none"/>
              <w:rPr>
                <w:rFonts w:cs="Arial"/>
                <w:sz w:val="22"/>
                <w:szCs w:val="22"/>
              </w:rPr>
            </w:pPr>
            <w:r w:rsidRPr="00850C17">
              <w:rPr>
                <w:rFonts w:cs="Arial"/>
                <w:sz w:val="22"/>
                <w:szCs w:val="22"/>
              </w:rPr>
              <w:t>with no mental health in-patient episodes; and</w:t>
            </w:r>
          </w:p>
          <w:p w14:paraId="37B7382A" w14:textId="77777777" w:rsidR="00FC7B7F" w:rsidRPr="00850C17" w:rsidRDefault="00FC7B7F" w:rsidP="00FC7B7F">
            <w:pPr>
              <w:numPr>
                <w:ilvl w:val="0"/>
                <w:numId w:val="20"/>
              </w:numPr>
              <w:autoSpaceDE w:val="0"/>
              <w:autoSpaceDN w:val="0"/>
              <w:adjustRightInd w:val="0"/>
              <w:spacing w:after="0"/>
              <w:textboxTightWrap w:val="none"/>
              <w:rPr>
                <w:rFonts w:cs="Arial"/>
                <w:sz w:val="22"/>
                <w:szCs w:val="22"/>
              </w:rPr>
            </w:pPr>
            <w:r w:rsidRPr="00850C17">
              <w:rPr>
                <w:rFonts w:cs="Arial"/>
                <w:sz w:val="22"/>
                <w:szCs w:val="22"/>
              </w:rPr>
              <w:t>no secondary or community care mental health follow-up for at least five years.</w:t>
            </w:r>
          </w:p>
          <w:p w14:paraId="0AF278E8" w14:textId="77777777" w:rsidR="00FC7B7F" w:rsidRPr="00850C17" w:rsidRDefault="00FC7B7F" w:rsidP="00FC7B7F">
            <w:pPr>
              <w:autoSpaceDE w:val="0"/>
              <w:autoSpaceDN w:val="0"/>
              <w:adjustRightInd w:val="0"/>
              <w:ind w:left="720"/>
              <w:rPr>
                <w:rFonts w:cs="Arial"/>
                <w:sz w:val="22"/>
                <w:szCs w:val="22"/>
              </w:rPr>
            </w:pPr>
          </w:p>
          <w:p w14:paraId="13150100" w14:textId="77777777" w:rsidR="00FC7B7F" w:rsidRPr="00850C17" w:rsidRDefault="00FC7B7F" w:rsidP="00FC7B7F">
            <w:pPr>
              <w:autoSpaceDE w:val="0"/>
              <w:autoSpaceDN w:val="0"/>
              <w:adjustRightInd w:val="0"/>
              <w:rPr>
                <w:rFonts w:cs="Arial"/>
                <w:sz w:val="22"/>
                <w:szCs w:val="22"/>
              </w:rPr>
            </w:pPr>
            <w:r w:rsidRPr="00850C17">
              <w:rPr>
                <w:rFonts w:cs="Arial"/>
                <w:sz w:val="22"/>
                <w:szCs w:val="22"/>
              </w:rPr>
              <w:t>Practices may record patients as being in remission. Where a patient is recorded as being ‘in remission’ they remain on the register (in case their condition relapses at a later date) but they are excluded from mental health indicators MH11, MH12, MH13, MH16, MH19 and MH20.</w:t>
            </w:r>
          </w:p>
          <w:p w14:paraId="27D410A1" w14:textId="77777777" w:rsidR="00FC7B7F" w:rsidRPr="00850C17" w:rsidRDefault="00FC7B7F" w:rsidP="00FC7B7F">
            <w:pPr>
              <w:autoSpaceDE w:val="0"/>
              <w:autoSpaceDN w:val="0"/>
              <w:adjustRightInd w:val="0"/>
              <w:rPr>
                <w:rFonts w:cs="Arial"/>
                <w:sz w:val="22"/>
                <w:szCs w:val="22"/>
              </w:rPr>
            </w:pPr>
            <w:r w:rsidRPr="00850C17">
              <w:rPr>
                <w:rFonts w:cs="Arial"/>
                <w:sz w:val="22"/>
                <w:szCs w:val="22"/>
              </w:rPr>
              <w:t>The accuracy of this coding should be reviewed on an annual basis by a clinician. Should a patient who has been coded as ‘in remission’ experience a relapse then this should be recorded as such in their medical record.</w:t>
            </w:r>
          </w:p>
          <w:p w14:paraId="0D8EA9BD" w14:textId="77777777" w:rsidR="00FC7B7F" w:rsidRPr="00850C17" w:rsidRDefault="00FC7B7F" w:rsidP="00FC7B7F">
            <w:pPr>
              <w:pStyle w:val="ListBullet"/>
              <w:numPr>
                <w:ilvl w:val="0"/>
                <w:numId w:val="0"/>
              </w:numPr>
              <w:tabs>
                <w:tab w:val="num" w:pos="61"/>
              </w:tabs>
              <w:rPr>
                <w:rFonts w:cs="Arial"/>
                <w:sz w:val="22"/>
                <w:szCs w:val="22"/>
              </w:rPr>
            </w:pPr>
            <w:r w:rsidRPr="00850C17">
              <w:rPr>
                <w:rFonts w:cs="Arial"/>
                <w:sz w:val="22"/>
                <w:szCs w:val="22"/>
              </w:rPr>
              <w:t>In the event that a patient experiences a relapse and is coded as such, they will once again be included in the associated indicators for schizophrenia, bipolar affective disorder and other psychoses.  (see Recovery from psychotic illness: A 15- and 25-year international follow-up study. British Journal of Psychiatry, 178:506-517)</w:t>
            </w:r>
          </w:p>
          <w:p w14:paraId="20687085" w14:textId="77777777" w:rsidR="00FC7B7F" w:rsidRPr="00850C17" w:rsidRDefault="00FC7B7F" w:rsidP="00FC7B7F">
            <w:pPr>
              <w:rPr>
                <w:rFonts w:cs="Arial"/>
                <w:sz w:val="22"/>
                <w:szCs w:val="22"/>
              </w:rPr>
            </w:pPr>
          </w:p>
        </w:tc>
      </w:tr>
    </w:tbl>
    <w:p w14:paraId="6ADAE792" w14:textId="43FFBDF6" w:rsidR="00C12977" w:rsidRDefault="00C12977" w:rsidP="00395707">
      <w:pPr>
        <w:ind w:left="-851"/>
        <w:rPr>
          <w:rFonts w:cs="Arial"/>
          <w:sz w:val="22"/>
          <w:szCs w:val="22"/>
        </w:rPr>
      </w:pPr>
    </w:p>
    <w:p w14:paraId="06A08989" w14:textId="77777777" w:rsidR="00FC7B7F" w:rsidRDefault="00FC7B7F" w:rsidP="00FC7B7F">
      <w:pPr>
        <w:ind w:left="-851" w:firstLine="851"/>
        <w:rPr>
          <w:rFonts w:cs="Arial"/>
          <w:sz w:val="22"/>
          <w:szCs w:val="22"/>
        </w:rPr>
      </w:pPr>
    </w:p>
    <w:p w14:paraId="45276AEC" w14:textId="2B9B79E8" w:rsidR="00FC7B7F" w:rsidRDefault="00FC7B7F" w:rsidP="00FC7B7F">
      <w:pPr>
        <w:ind w:left="-851" w:firstLine="851"/>
        <w:rPr>
          <w:rFonts w:cs="Arial"/>
          <w:sz w:val="22"/>
          <w:szCs w:val="22"/>
        </w:rPr>
      </w:pPr>
      <w:r w:rsidRPr="00850C17">
        <w:rPr>
          <w:rFonts w:cs="Arial"/>
          <w:sz w:val="22"/>
          <w:szCs w:val="22"/>
        </w:rPr>
        <w:t>MHREM COD</w:t>
      </w:r>
    </w:p>
    <w:p w14:paraId="21F83C31" w14:textId="4B29DCBF" w:rsidR="00FC7B7F" w:rsidRPr="00850C17" w:rsidRDefault="00FC7B7F" w:rsidP="00FC7B7F">
      <w:pPr>
        <w:ind w:left="-851" w:firstLine="851"/>
        <w:rPr>
          <w:rFonts w:cs="Arial"/>
          <w:sz w:val="22"/>
          <w:szCs w:val="22"/>
        </w:rPr>
      </w:pPr>
      <w:r w:rsidRPr="00850C17">
        <w:rPr>
          <w:rFonts w:cs="Arial"/>
          <w:sz w:val="22"/>
          <w:szCs w:val="22"/>
        </w:rPr>
        <w:t>Codes in remission from serious mental illness</w:t>
      </w:r>
    </w:p>
    <w:tbl>
      <w:tblPr>
        <w:tblStyle w:val="TableGrid"/>
        <w:tblW w:w="0" w:type="auto"/>
        <w:tblLayout w:type="fixed"/>
        <w:tblLook w:val="00A0" w:firstRow="1" w:lastRow="0" w:firstColumn="1" w:lastColumn="0" w:noHBand="0" w:noVBand="0"/>
      </w:tblPr>
      <w:tblGrid>
        <w:gridCol w:w="3341"/>
        <w:gridCol w:w="3686"/>
      </w:tblGrid>
      <w:tr w:rsidR="00FC7B7F" w:rsidRPr="00850C17" w14:paraId="5BD26A6B" w14:textId="77777777" w:rsidTr="00DD3C37">
        <w:tc>
          <w:tcPr>
            <w:tcW w:w="3341" w:type="dxa"/>
          </w:tcPr>
          <w:p w14:paraId="1F9D4680" w14:textId="77777777" w:rsidR="00FC7B7F" w:rsidRPr="00850C17" w:rsidRDefault="00FC7B7F" w:rsidP="00DD3C37">
            <w:pPr>
              <w:rPr>
                <w:rFonts w:cs="Arial"/>
                <w:sz w:val="22"/>
                <w:szCs w:val="22"/>
              </w:rPr>
            </w:pPr>
            <w:r w:rsidRPr="00850C17">
              <w:rPr>
                <w:rFonts w:cs="Arial"/>
                <w:sz w:val="22"/>
                <w:szCs w:val="22"/>
              </w:rPr>
              <w:t>Read codes V2</w:t>
            </w:r>
          </w:p>
        </w:tc>
        <w:tc>
          <w:tcPr>
            <w:tcW w:w="3686" w:type="dxa"/>
          </w:tcPr>
          <w:p w14:paraId="6FA659DD" w14:textId="77777777" w:rsidR="00FC7B7F" w:rsidRPr="00850C17" w:rsidRDefault="00FC7B7F" w:rsidP="00DD3C37">
            <w:pPr>
              <w:rPr>
                <w:rFonts w:cs="Arial"/>
                <w:sz w:val="22"/>
                <w:szCs w:val="22"/>
              </w:rPr>
            </w:pPr>
            <w:r w:rsidRPr="00850C17">
              <w:rPr>
                <w:rFonts w:cs="Arial"/>
                <w:sz w:val="22"/>
                <w:szCs w:val="22"/>
              </w:rPr>
              <w:t>CTV3</w:t>
            </w:r>
          </w:p>
        </w:tc>
      </w:tr>
      <w:tr w:rsidR="00FC7B7F" w:rsidRPr="00850C17" w14:paraId="5771F1B2" w14:textId="77777777" w:rsidTr="00DD3C37">
        <w:tc>
          <w:tcPr>
            <w:tcW w:w="3341" w:type="dxa"/>
          </w:tcPr>
          <w:p w14:paraId="495535FD" w14:textId="77777777" w:rsidR="00FC7B7F" w:rsidRPr="00850C17" w:rsidRDefault="00FC7B7F" w:rsidP="00DD3C37">
            <w:pPr>
              <w:jc w:val="center"/>
              <w:rPr>
                <w:rFonts w:cs="Arial"/>
                <w:sz w:val="22"/>
                <w:szCs w:val="22"/>
                <w:lang w:val="it-IT"/>
              </w:rPr>
            </w:pPr>
            <w:r w:rsidRPr="00850C17">
              <w:rPr>
                <w:rFonts w:cs="Arial"/>
                <w:sz w:val="22"/>
                <w:szCs w:val="22"/>
                <w:lang w:val="it-IT"/>
              </w:rPr>
              <w:t>E1005, E1015, E1025</w:t>
            </w:r>
          </w:p>
          <w:p w14:paraId="65051049" w14:textId="77777777" w:rsidR="00FC7B7F" w:rsidRPr="00850C17" w:rsidRDefault="00FC7B7F" w:rsidP="00DD3C37">
            <w:pPr>
              <w:jc w:val="center"/>
              <w:rPr>
                <w:rFonts w:cs="Arial"/>
                <w:sz w:val="22"/>
                <w:szCs w:val="22"/>
                <w:lang w:val="it-IT"/>
              </w:rPr>
            </w:pPr>
            <w:r w:rsidRPr="00850C17">
              <w:rPr>
                <w:rFonts w:cs="Arial"/>
                <w:sz w:val="22"/>
                <w:szCs w:val="22"/>
                <w:lang w:val="it-IT"/>
              </w:rPr>
              <w:t>E1035, E1055, E1075</w:t>
            </w:r>
          </w:p>
          <w:p w14:paraId="0E4EB782" w14:textId="77777777" w:rsidR="00FC7B7F" w:rsidRPr="00850C17" w:rsidRDefault="00FC7B7F" w:rsidP="00DD3C37">
            <w:pPr>
              <w:jc w:val="center"/>
              <w:rPr>
                <w:rFonts w:cs="Arial"/>
                <w:sz w:val="22"/>
                <w:szCs w:val="22"/>
                <w:lang w:val="it-IT"/>
              </w:rPr>
            </w:pPr>
            <w:r w:rsidRPr="00850C17">
              <w:rPr>
                <w:rFonts w:cs="Arial"/>
                <w:sz w:val="22"/>
                <w:szCs w:val="22"/>
                <w:lang w:val="it-IT"/>
              </w:rPr>
              <w:t>E1106, E1116, E1146</w:t>
            </w:r>
          </w:p>
          <w:p w14:paraId="7CE2BAC8" w14:textId="77777777" w:rsidR="00FC7B7F" w:rsidRPr="00850C17" w:rsidRDefault="00FC7B7F" w:rsidP="00DD3C37">
            <w:pPr>
              <w:jc w:val="center"/>
              <w:rPr>
                <w:rFonts w:cs="Arial"/>
                <w:sz w:val="22"/>
                <w:szCs w:val="22"/>
                <w:lang w:val="it-IT"/>
              </w:rPr>
            </w:pPr>
            <w:r w:rsidRPr="00850C17">
              <w:rPr>
                <w:rFonts w:cs="Arial"/>
                <w:sz w:val="22"/>
                <w:szCs w:val="22"/>
                <w:lang w:val="it-IT"/>
              </w:rPr>
              <w:t>E1156, Eu317, E1166</w:t>
            </w:r>
          </w:p>
          <w:p w14:paraId="21249294" w14:textId="77777777" w:rsidR="00FC7B7F" w:rsidRPr="00850C17" w:rsidRDefault="00FC7B7F" w:rsidP="00DD3C37">
            <w:pPr>
              <w:jc w:val="center"/>
              <w:rPr>
                <w:rFonts w:cs="Arial"/>
                <w:sz w:val="22"/>
                <w:szCs w:val="22"/>
                <w:lang w:val="fr-FR"/>
              </w:rPr>
            </w:pPr>
            <w:r w:rsidRPr="00850C17">
              <w:rPr>
                <w:rFonts w:cs="Arial"/>
                <w:sz w:val="22"/>
                <w:szCs w:val="22"/>
                <w:lang w:val="fr-FR"/>
              </w:rPr>
              <w:t>E1176,</w:t>
            </w:r>
          </w:p>
          <w:p w14:paraId="1317FE6D" w14:textId="77777777" w:rsidR="00FC7B7F" w:rsidRPr="00850C17" w:rsidRDefault="00FC7B7F" w:rsidP="00DD3C37">
            <w:pPr>
              <w:jc w:val="center"/>
              <w:rPr>
                <w:rFonts w:cs="Arial"/>
                <w:sz w:val="22"/>
                <w:szCs w:val="22"/>
                <w:lang w:val="fr-FR"/>
              </w:rPr>
            </w:pPr>
            <w:r w:rsidRPr="00850C17">
              <w:rPr>
                <w:rFonts w:cs="Arial"/>
                <w:sz w:val="22"/>
                <w:szCs w:val="22"/>
                <w:lang w:val="fr-FR"/>
              </w:rPr>
              <w:t>Eu329, Eu32A, Eu26., Eu223</w:t>
            </w:r>
          </w:p>
        </w:tc>
        <w:tc>
          <w:tcPr>
            <w:tcW w:w="3686" w:type="dxa"/>
          </w:tcPr>
          <w:p w14:paraId="1A885A17" w14:textId="77777777" w:rsidR="00FC7B7F" w:rsidRPr="00850C17" w:rsidRDefault="00FC7B7F" w:rsidP="00DD3C37">
            <w:pPr>
              <w:jc w:val="center"/>
              <w:rPr>
                <w:rFonts w:cs="Arial"/>
                <w:sz w:val="22"/>
                <w:szCs w:val="22"/>
                <w:lang w:val="it-IT"/>
              </w:rPr>
            </w:pPr>
            <w:r w:rsidRPr="00850C17">
              <w:rPr>
                <w:rFonts w:cs="Arial"/>
                <w:sz w:val="22"/>
                <w:szCs w:val="22"/>
                <w:lang w:val="it-IT"/>
              </w:rPr>
              <w:t>E1005, E1015, E1025</w:t>
            </w:r>
          </w:p>
          <w:p w14:paraId="7BF4EA8F" w14:textId="77777777" w:rsidR="00FC7B7F" w:rsidRPr="00850C17" w:rsidRDefault="00FC7B7F" w:rsidP="00DD3C37">
            <w:pPr>
              <w:jc w:val="center"/>
              <w:rPr>
                <w:rFonts w:cs="Arial"/>
                <w:sz w:val="22"/>
                <w:szCs w:val="22"/>
                <w:lang w:val="it-IT"/>
              </w:rPr>
            </w:pPr>
            <w:r w:rsidRPr="00850C17">
              <w:rPr>
                <w:rFonts w:cs="Arial"/>
                <w:sz w:val="22"/>
                <w:szCs w:val="22"/>
                <w:lang w:val="it-IT"/>
              </w:rPr>
              <w:t>E1035, E1055, E1075</w:t>
            </w:r>
          </w:p>
          <w:p w14:paraId="7DD777B7" w14:textId="77777777" w:rsidR="00FC7B7F" w:rsidRPr="00850C17" w:rsidRDefault="00FC7B7F" w:rsidP="00DD3C37">
            <w:pPr>
              <w:jc w:val="center"/>
              <w:rPr>
                <w:rFonts w:cs="Arial"/>
                <w:sz w:val="22"/>
                <w:szCs w:val="22"/>
                <w:lang w:val="it-IT"/>
              </w:rPr>
            </w:pPr>
            <w:r w:rsidRPr="00850C17">
              <w:rPr>
                <w:rFonts w:cs="Arial"/>
                <w:sz w:val="22"/>
                <w:szCs w:val="22"/>
                <w:lang w:val="it-IT"/>
              </w:rPr>
              <w:t>E1106, E1116, E1146</w:t>
            </w:r>
          </w:p>
          <w:p w14:paraId="4E18ACC7" w14:textId="77777777" w:rsidR="00FC7B7F" w:rsidRPr="00850C17" w:rsidRDefault="00FC7B7F" w:rsidP="00DD3C37">
            <w:pPr>
              <w:jc w:val="center"/>
              <w:rPr>
                <w:rFonts w:cs="Arial"/>
                <w:sz w:val="22"/>
                <w:szCs w:val="22"/>
                <w:lang w:val="it-IT"/>
              </w:rPr>
            </w:pPr>
            <w:r w:rsidRPr="00850C17">
              <w:rPr>
                <w:rFonts w:cs="Arial"/>
                <w:sz w:val="22"/>
                <w:szCs w:val="22"/>
                <w:lang w:val="it-IT"/>
              </w:rPr>
              <w:t>E1156, Eu317, E1166</w:t>
            </w:r>
          </w:p>
          <w:p w14:paraId="23A92D87" w14:textId="77777777" w:rsidR="00FC7B7F" w:rsidRPr="00850C17" w:rsidRDefault="00FC7B7F" w:rsidP="00DD3C37">
            <w:pPr>
              <w:jc w:val="center"/>
              <w:rPr>
                <w:rFonts w:cs="Arial"/>
                <w:sz w:val="22"/>
                <w:szCs w:val="22"/>
                <w:lang w:val="fr-FR"/>
              </w:rPr>
            </w:pPr>
            <w:r w:rsidRPr="00850C17">
              <w:rPr>
                <w:rFonts w:cs="Arial"/>
                <w:sz w:val="22"/>
                <w:szCs w:val="22"/>
                <w:lang w:val="fr-FR"/>
              </w:rPr>
              <w:t>E1176,</w:t>
            </w:r>
          </w:p>
          <w:p w14:paraId="2C4468B7" w14:textId="77777777" w:rsidR="00FC7B7F" w:rsidRPr="00850C17" w:rsidRDefault="00FC7B7F" w:rsidP="00DD3C37">
            <w:pPr>
              <w:jc w:val="center"/>
              <w:rPr>
                <w:rFonts w:cs="Arial"/>
                <w:sz w:val="22"/>
                <w:szCs w:val="22"/>
                <w:lang w:val="nl-NL"/>
              </w:rPr>
            </w:pPr>
            <w:r w:rsidRPr="00850C17">
              <w:rPr>
                <w:rFonts w:cs="Arial"/>
                <w:sz w:val="22"/>
                <w:szCs w:val="22"/>
                <w:lang w:val="nl-NL"/>
              </w:rPr>
              <w:t>XaX51, XaX52, XaX53, XaX54</w:t>
            </w:r>
          </w:p>
        </w:tc>
      </w:tr>
    </w:tbl>
    <w:p w14:paraId="6AF2BDDA" w14:textId="77777777" w:rsidR="00C12977" w:rsidRPr="00850C17" w:rsidRDefault="00C12977" w:rsidP="00395707">
      <w:pPr>
        <w:ind w:left="-851"/>
        <w:rPr>
          <w:rFonts w:cs="Arial"/>
          <w:sz w:val="22"/>
          <w:szCs w:val="22"/>
        </w:rPr>
      </w:pPr>
    </w:p>
    <w:p w14:paraId="7D6A5119" w14:textId="77777777" w:rsidR="00C12977" w:rsidRPr="00850C17" w:rsidRDefault="00C12977" w:rsidP="00FC7B7F">
      <w:pPr>
        <w:ind w:left="-851" w:firstLine="851"/>
        <w:rPr>
          <w:rFonts w:cs="Arial"/>
          <w:sz w:val="22"/>
          <w:szCs w:val="22"/>
        </w:rPr>
      </w:pPr>
      <w:r w:rsidRPr="00850C17">
        <w:rPr>
          <w:rFonts w:cs="Arial"/>
          <w:sz w:val="22"/>
          <w:szCs w:val="22"/>
        </w:rPr>
        <w:t>Revisions:</w:t>
      </w:r>
    </w:p>
    <w:p w14:paraId="72B6247D" w14:textId="77777777" w:rsidR="00C12977" w:rsidRPr="00850C17" w:rsidRDefault="00C12977" w:rsidP="00395707">
      <w:pPr>
        <w:ind w:left="-851"/>
        <w:rPr>
          <w:rFonts w:cs="Arial"/>
          <w:sz w:val="22"/>
          <w:szCs w:val="22"/>
        </w:rPr>
      </w:pPr>
    </w:p>
    <w:tbl>
      <w:tblPr>
        <w:tblStyle w:val="TableGrid"/>
        <w:tblW w:w="9923" w:type="dxa"/>
        <w:tblLayout w:type="fixed"/>
        <w:tblLook w:val="01E0" w:firstRow="1" w:lastRow="1" w:firstColumn="1" w:lastColumn="1" w:noHBand="0" w:noVBand="0"/>
      </w:tblPr>
      <w:tblGrid>
        <w:gridCol w:w="2125"/>
        <w:gridCol w:w="7798"/>
      </w:tblGrid>
      <w:tr w:rsidR="00850C17" w:rsidRPr="00850C17" w14:paraId="69C8D5B3" w14:textId="77777777" w:rsidTr="00395707">
        <w:tc>
          <w:tcPr>
            <w:tcW w:w="2125" w:type="dxa"/>
          </w:tcPr>
          <w:p w14:paraId="50A2CBB7" w14:textId="77777777" w:rsidR="00C12977" w:rsidRPr="00850C17" w:rsidRDefault="00C12977" w:rsidP="00395707">
            <w:pPr>
              <w:rPr>
                <w:rFonts w:cs="Arial"/>
                <w:sz w:val="22"/>
                <w:szCs w:val="22"/>
              </w:rPr>
            </w:pPr>
            <w:r w:rsidRPr="00850C17">
              <w:rPr>
                <w:rFonts w:cs="Arial"/>
                <w:sz w:val="22"/>
                <w:szCs w:val="22"/>
              </w:rPr>
              <w:t>Revision Date:</w:t>
            </w:r>
          </w:p>
        </w:tc>
        <w:tc>
          <w:tcPr>
            <w:tcW w:w="7798" w:type="dxa"/>
          </w:tcPr>
          <w:p w14:paraId="106E1283" w14:textId="77777777" w:rsidR="00C12977" w:rsidRPr="00850C17" w:rsidRDefault="00C12977" w:rsidP="00395707">
            <w:pPr>
              <w:rPr>
                <w:rFonts w:cs="Arial"/>
                <w:sz w:val="22"/>
                <w:szCs w:val="22"/>
              </w:rPr>
            </w:pPr>
          </w:p>
        </w:tc>
      </w:tr>
      <w:tr w:rsidR="00850C17" w:rsidRPr="00850C17" w14:paraId="64C24870" w14:textId="77777777" w:rsidTr="00395707">
        <w:tc>
          <w:tcPr>
            <w:tcW w:w="2125" w:type="dxa"/>
          </w:tcPr>
          <w:p w14:paraId="58BB1103" w14:textId="77777777" w:rsidR="00C12977" w:rsidRPr="00850C17" w:rsidRDefault="00C12977" w:rsidP="00395707">
            <w:pPr>
              <w:rPr>
                <w:rFonts w:cs="Arial"/>
                <w:sz w:val="22"/>
                <w:szCs w:val="22"/>
              </w:rPr>
            </w:pPr>
            <w:r w:rsidRPr="00850C17">
              <w:rPr>
                <w:rFonts w:cs="Arial"/>
                <w:sz w:val="22"/>
                <w:szCs w:val="22"/>
              </w:rPr>
              <w:t>General Comments / Reasoning:</w:t>
            </w:r>
          </w:p>
        </w:tc>
        <w:tc>
          <w:tcPr>
            <w:tcW w:w="7798" w:type="dxa"/>
          </w:tcPr>
          <w:p w14:paraId="1B8889E4" w14:textId="77777777" w:rsidR="00C12977" w:rsidRPr="00850C17" w:rsidRDefault="00C12977" w:rsidP="00395707">
            <w:pPr>
              <w:rPr>
                <w:rFonts w:cs="Arial"/>
                <w:sz w:val="22"/>
                <w:szCs w:val="22"/>
              </w:rPr>
            </w:pPr>
          </w:p>
          <w:p w14:paraId="601EB596" w14:textId="77777777" w:rsidR="00C12977" w:rsidRPr="00850C17" w:rsidRDefault="00C12977" w:rsidP="00395707">
            <w:pPr>
              <w:rPr>
                <w:rFonts w:cs="Arial"/>
                <w:sz w:val="22"/>
                <w:szCs w:val="22"/>
              </w:rPr>
            </w:pPr>
          </w:p>
          <w:p w14:paraId="15291975" w14:textId="77777777" w:rsidR="00C12977" w:rsidRPr="00850C17" w:rsidRDefault="00C12977" w:rsidP="00395707">
            <w:pPr>
              <w:rPr>
                <w:rFonts w:cs="Arial"/>
                <w:sz w:val="22"/>
                <w:szCs w:val="22"/>
              </w:rPr>
            </w:pPr>
          </w:p>
        </w:tc>
      </w:tr>
      <w:tr w:rsidR="00850C17" w:rsidRPr="00850C17" w14:paraId="28223164" w14:textId="77777777" w:rsidTr="00395707">
        <w:tc>
          <w:tcPr>
            <w:tcW w:w="2125" w:type="dxa"/>
          </w:tcPr>
          <w:p w14:paraId="0C61CD9A" w14:textId="77777777" w:rsidR="00C12977" w:rsidRPr="00850C17" w:rsidRDefault="00C12977" w:rsidP="00395707">
            <w:pPr>
              <w:rPr>
                <w:rFonts w:cs="Arial"/>
                <w:sz w:val="22"/>
                <w:szCs w:val="22"/>
              </w:rPr>
            </w:pPr>
            <w:r w:rsidRPr="00850C17">
              <w:rPr>
                <w:rFonts w:cs="Arial"/>
                <w:sz w:val="22"/>
                <w:szCs w:val="22"/>
              </w:rPr>
              <w:t>Revisions:</w:t>
            </w:r>
          </w:p>
        </w:tc>
        <w:tc>
          <w:tcPr>
            <w:tcW w:w="7798" w:type="dxa"/>
          </w:tcPr>
          <w:p w14:paraId="1F19496A" w14:textId="77777777" w:rsidR="00C12977" w:rsidRPr="00850C17" w:rsidRDefault="00C12977" w:rsidP="00395707">
            <w:pPr>
              <w:rPr>
                <w:rFonts w:cs="Arial"/>
                <w:sz w:val="22"/>
                <w:szCs w:val="22"/>
              </w:rPr>
            </w:pPr>
          </w:p>
        </w:tc>
      </w:tr>
      <w:tr w:rsidR="00850C17" w:rsidRPr="00850C17" w14:paraId="586345C3" w14:textId="77777777" w:rsidTr="00395707">
        <w:tc>
          <w:tcPr>
            <w:tcW w:w="2125" w:type="dxa"/>
          </w:tcPr>
          <w:p w14:paraId="42CD808D" w14:textId="77777777" w:rsidR="00C12977" w:rsidRPr="00850C17" w:rsidRDefault="00C12977" w:rsidP="00395707">
            <w:pPr>
              <w:rPr>
                <w:rFonts w:cs="Arial"/>
                <w:sz w:val="22"/>
                <w:szCs w:val="22"/>
              </w:rPr>
            </w:pPr>
            <w:r w:rsidRPr="00850C17">
              <w:rPr>
                <w:rFonts w:cs="Arial"/>
                <w:sz w:val="22"/>
                <w:szCs w:val="22"/>
              </w:rPr>
              <w:t>Indicator Title</w:t>
            </w:r>
          </w:p>
        </w:tc>
        <w:tc>
          <w:tcPr>
            <w:tcW w:w="7798" w:type="dxa"/>
          </w:tcPr>
          <w:p w14:paraId="60C9760A" w14:textId="77777777" w:rsidR="00C12977" w:rsidRPr="00850C17" w:rsidRDefault="00C12977" w:rsidP="00395707">
            <w:pPr>
              <w:rPr>
                <w:rFonts w:cs="Arial"/>
                <w:sz w:val="22"/>
                <w:szCs w:val="22"/>
              </w:rPr>
            </w:pPr>
          </w:p>
          <w:p w14:paraId="2BC24F27" w14:textId="77777777" w:rsidR="00C12977" w:rsidRPr="00850C17" w:rsidRDefault="00C12977" w:rsidP="00395707">
            <w:pPr>
              <w:rPr>
                <w:rFonts w:cs="Arial"/>
                <w:sz w:val="22"/>
                <w:szCs w:val="22"/>
              </w:rPr>
            </w:pPr>
          </w:p>
        </w:tc>
      </w:tr>
      <w:tr w:rsidR="00850C17" w:rsidRPr="00850C17" w14:paraId="4C5EC276" w14:textId="77777777" w:rsidTr="00395707">
        <w:tc>
          <w:tcPr>
            <w:tcW w:w="2125" w:type="dxa"/>
          </w:tcPr>
          <w:p w14:paraId="73782553" w14:textId="77777777" w:rsidR="00C12977" w:rsidRPr="00850C17" w:rsidRDefault="00C12977" w:rsidP="00395707">
            <w:pPr>
              <w:rPr>
                <w:rFonts w:cs="Arial"/>
                <w:sz w:val="22"/>
                <w:szCs w:val="22"/>
              </w:rPr>
            </w:pPr>
            <w:r w:rsidRPr="00850C17">
              <w:rPr>
                <w:rFonts w:cs="Arial"/>
                <w:sz w:val="22"/>
                <w:szCs w:val="22"/>
              </w:rPr>
              <w:t>Data source</w:t>
            </w:r>
          </w:p>
        </w:tc>
        <w:tc>
          <w:tcPr>
            <w:tcW w:w="7798" w:type="dxa"/>
          </w:tcPr>
          <w:p w14:paraId="633CD909" w14:textId="77777777" w:rsidR="00C12977" w:rsidRPr="00850C17" w:rsidRDefault="00C12977" w:rsidP="00395707">
            <w:pPr>
              <w:rPr>
                <w:rFonts w:cs="Arial"/>
                <w:sz w:val="22"/>
                <w:szCs w:val="22"/>
              </w:rPr>
            </w:pPr>
          </w:p>
          <w:p w14:paraId="305F2016" w14:textId="77777777" w:rsidR="00C12977" w:rsidRPr="00850C17" w:rsidRDefault="00C12977" w:rsidP="00395707">
            <w:pPr>
              <w:rPr>
                <w:rFonts w:cs="Arial"/>
                <w:sz w:val="22"/>
                <w:szCs w:val="22"/>
              </w:rPr>
            </w:pPr>
          </w:p>
        </w:tc>
      </w:tr>
      <w:tr w:rsidR="00850C17" w:rsidRPr="00850C17" w14:paraId="7C2DC467" w14:textId="77777777" w:rsidTr="00395707">
        <w:tc>
          <w:tcPr>
            <w:tcW w:w="2125" w:type="dxa"/>
          </w:tcPr>
          <w:p w14:paraId="6A56F3DE" w14:textId="77777777" w:rsidR="00C12977" w:rsidRPr="00850C17" w:rsidRDefault="00C12977" w:rsidP="00395707">
            <w:pPr>
              <w:rPr>
                <w:rFonts w:cs="Arial"/>
                <w:sz w:val="22"/>
                <w:szCs w:val="22"/>
              </w:rPr>
            </w:pPr>
            <w:r w:rsidRPr="00850C17">
              <w:rPr>
                <w:rFonts w:cs="Arial"/>
                <w:sz w:val="22"/>
                <w:szCs w:val="22"/>
              </w:rPr>
              <w:t>Construction</w:t>
            </w:r>
          </w:p>
        </w:tc>
        <w:tc>
          <w:tcPr>
            <w:tcW w:w="7798" w:type="dxa"/>
          </w:tcPr>
          <w:p w14:paraId="24D68509" w14:textId="77777777" w:rsidR="00C12977" w:rsidRPr="00850C17" w:rsidRDefault="00C12977" w:rsidP="00395707">
            <w:pPr>
              <w:rPr>
                <w:rFonts w:cs="Arial"/>
                <w:sz w:val="22"/>
                <w:szCs w:val="22"/>
              </w:rPr>
            </w:pPr>
          </w:p>
          <w:p w14:paraId="54BA67A3" w14:textId="77777777" w:rsidR="00C12977" w:rsidRPr="00850C17" w:rsidRDefault="00C12977" w:rsidP="00395707">
            <w:pPr>
              <w:rPr>
                <w:rFonts w:cs="Arial"/>
                <w:sz w:val="22"/>
                <w:szCs w:val="22"/>
              </w:rPr>
            </w:pPr>
          </w:p>
          <w:p w14:paraId="0E26A8FE" w14:textId="77777777" w:rsidR="00C12977" w:rsidRPr="00850C17" w:rsidRDefault="00C12977" w:rsidP="00395707">
            <w:pPr>
              <w:rPr>
                <w:rFonts w:cs="Arial"/>
                <w:sz w:val="22"/>
                <w:szCs w:val="22"/>
              </w:rPr>
            </w:pPr>
          </w:p>
        </w:tc>
      </w:tr>
      <w:tr w:rsidR="00850C17" w:rsidRPr="00850C17" w14:paraId="7D175B4A" w14:textId="77777777" w:rsidTr="00395707">
        <w:tc>
          <w:tcPr>
            <w:tcW w:w="2125" w:type="dxa"/>
          </w:tcPr>
          <w:p w14:paraId="02D4A31A" w14:textId="77777777" w:rsidR="00C12977" w:rsidRPr="00850C17" w:rsidRDefault="00C12977" w:rsidP="00395707">
            <w:pPr>
              <w:rPr>
                <w:rFonts w:cs="Arial"/>
                <w:sz w:val="22"/>
                <w:szCs w:val="22"/>
              </w:rPr>
            </w:pPr>
            <w:r w:rsidRPr="00850C17">
              <w:rPr>
                <w:rFonts w:cs="Arial"/>
                <w:sz w:val="22"/>
                <w:szCs w:val="22"/>
              </w:rPr>
              <w:t>Updated Potential Issues</w:t>
            </w:r>
          </w:p>
        </w:tc>
        <w:tc>
          <w:tcPr>
            <w:tcW w:w="7798" w:type="dxa"/>
          </w:tcPr>
          <w:p w14:paraId="3281BD57" w14:textId="77777777" w:rsidR="00C12977" w:rsidRPr="00850C17" w:rsidRDefault="00C12977" w:rsidP="00395707">
            <w:pPr>
              <w:rPr>
                <w:rFonts w:cs="Arial"/>
                <w:sz w:val="22"/>
                <w:szCs w:val="22"/>
              </w:rPr>
            </w:pPr>
          </w:p>
          <w:p w14:paraId="3649827B" w14:textId="77777777" w:rsidR="00C12977" w:rsidRPr="00850C17" w:rsidRDefault="00C12977" w:rsidP="00395707">
            <w:pPr>
              <w:rPr>
                <w:rFonts w:cs="Arial"/>
                <w:sz w:val="22"/>
                <w:szCs w:val="22"/>
              </w:rPr>
            </w:pPr>
          </w:p>
          <w:p w14:paraId="3D1F8B4A" w14:textId="77777777" w:rsidR="00C12977" w:rsidRPr="00850C17" w:rsidRDefault="00C12977" w:rsidP="00395707">
            <w:pPr>
              <w:rPr>
                <w:rFonts w:cs="Arial"/>
                <w:sz w:val="22"/>
                <w:szCs w:val="22"/>
              </w:rPr>
            </w:pPr>
          </w:p>
          <w:p w14:paraId="7E2F7138" w14:textId="77777777" w:rsidR="00C12977" w:rsidRPr="00850C17" w:rsidRDefault="00C12977" w:rsidP="00395707">
            <w:pPr>
              <w:rPr>
                <w:rFonts w:cs="Arial"/>
                <w:sz w:val="22"/>
                <w:szCs w:val="22"/>
              </w:rPr>
            </w:pPr>
          </w:p>
        </w:tc>
      </w:tr>
    </w:tbl>
    <w:p w14:paraId="5FD9F615" w14:textId="71896E0A" w:rsidR="00C12977" w:rsidRPr="00850C17" w:rsidRDefault="00C12977" w:rsidP="00395707">
      <w:pPr>
        <w:rPr>
          <w:rFonts w:cs="Arial"/>
          <w:b/>
          <w:sz w:val="22"/>
          <w:szCs w:val="22"/>
        </w:rPr>
      </w:pPr>
    </w:p>
    <w:p w14:paraId="5C206BEC" w14:textId="17AB7E06" w:rsidR="00C12977" w:rsidRPr="00850C17" w:rsidRDefault="00C12977" w:rsidP="00FC7B7F">
      <w:pPr>
        <w:ind w:left="-851" w:firstLine="851"/>
        <w:rPr>
          <w:rFonts w:cs="Arial"/>
          <w:b/>
          <w:sz w:val="22"/>
          <w:szCs w:val="22"/>
        </w:rPr>
      </w:pPr>
      <w:r w:rsidRPr="00850C17">
        <w:rPr>
          <w:rFonts w:cs="Arial"/>
          <w:sz w:val="22"/>
          <w:szCs w:val="22"/>
        </w:rPr>
        <w:t>MRG Recommendations, Comments &amp; Updates:</w:t>
      </w:r>
    </w:p>
    <w:tbl>
      <w:tblPr>
        <w:tblStyle w:val="TableGrid"/>
        <w:tblW w:w="8904" w:type="dxa"/>
        <w:tblLayout w:type="fixed"/>
        <w:tblLook w:val="01E0" w:firstRow="1" w:lastRow="1" w:firstColumn="1" w:lastColumn="1" w:noHBand="0" w:noVBand="0"/>
      </w:tblPr>
      <w:tblGrid>
        <w:gridCol w:w="1395"/>
        <w:gridCol w:w="1395"/>
        <w:gridCol w:w="6114"/>
      </w:tblGrid>
      <w:tr w:rsidR="00FC7B7F" w:rsidRPr="00850C17" w14:paraId="77827916" w14:textId="77777777" w:rsidTr="00FC7B7F">
        <w:trPr>
          <w:trHeight w:val="677"/>
        </w:trPr>
        <w:tc>
          <w:tcPr>
            <w:tcW w:w="1395" w:type="dxa"/>
          </w:tcPr>
          <w:p w14:paraId="584AECC8" w14:textId="75233388" w:rsidR="00FC7B7F" w:rsidRPr="00850C17" w:rsidRDefault="00FC7B7F" w:rsidP="00FC7B7F">
            <w:pPr>
              <w:rPr>
                <w:rFonts w:cs="Arial"/>
                <w:sz w:val="22"/>
                <w:szCs w:val="22"/>
              </w:rPr>
            </w:pPr>
            <w:r w:rsidRPr="00850C17">
              <w:rPr>
                <w:rFonts w:cs="Arial"/>
                <w:b/>
                <w:sz w:val="22"/>
                <w:szCs w:val="22"/>
              </w:rPr>
              <w:t>Indicator Title</w:t>
            </w:r>
          </w:p>
        </w:tc>
        <w:tc>
          <w:tcPr>
            <w:tcW w:w="1395" w:type="dxa"/>
          </w:tcPr>
          <w:p w14:paraId="5629515B" w14:textId="6780EE82" w:rsidR="00FC7B7F" w:rsidRPr="00850C17" w:rsidRDefault="00FC7B7F" w:rsidP="00FC7B7F">
            <w:pPr>
              <w:rPr>
                <w:rFonts w:cs="Arial"/>
                <w:sz w:val="22"/>
                <w:szCs w:val="22"/>
              </w:rPr>
            </w:pPr>
          </w:p>
        </w:tc>
        <w:tc>
          <w:tcPr>
            <w:tcW w:w="6114" w:type="dxa"/>
          </w:tcPr>
          <w:p w14:paraId="0A22E39B" w14:textId="77777777" w:rsidR="00FC7B7F" w:rsidRPr="00850C17" w:rsidRDefault="00FC7B7F" w:rsidP="00FC7B7F">
            <w:pPr>
              <w:rPr>
                <w:rFonts w:cs="Arial"/>
                <w:sz w:val="22"/>
                <w:szCs w:val="22"/>
              </w:rPr>
            </w:pPr>
          </w:p>
        </w:tc>
      </w:tr>
      <w:tr w:rsidR="00FC7B7F" w:rsidRPr="00850C17" w14:paraId="08438B87" w14:textId="77777777" w:rsidTr="00FC7B7F">
        <w:trPr>
          <w:trHeight w:val="677"/>
        </w:trPr>
        <w:tc>
          <w:tcPr>
            <w:tcW w:w="1395" w:type="dxa"/>
          </w:tcPr>
          <w:p w14:paraId="0EEEAD06" w14:textId="627CE53C" w:rsidR="00FC7B7F" w:rsidRPr="00850C17" w:rsidRDefault="00FC7B7F" w:rsidP="00FC7B7F">
            <w:pPr>
              <w:rPr>
                <w:rFonts w:cs="Arial"/>
                <w:sz w:val="22"/>
                <w:szCs w:val="22"/>
              </w:rPr>
            </w:pPr>
            <w:r w:rsidRPr="00850C17">
              <w:rPr>
                <w:rFonts w:cs="Arial"/>
                <w:sz w:val="22"/>
                <w:szCs w:val="22"/>
              </w:rPr>
              <w:t>Indicator Set</w:t>
            </w:r>
          </w:p>
        </w:tc>
        <w:tc>
          <w:tcPr>
            <w:tcW w:w="1395" w:type="dxa"/>
          </w:tcPr>
          <w:p w14:paraId="6B302D54" w14:textId="4D6AA2A7" w:rsidR="00FC7B7F" w:rsidRPr="00850C17" w:rsidRDefault="00FC7B7F" w:rsidP="00FC7B7F">
            <w:pPr>
              <w:rPr>
                <w:rFonts w:cs="Arial"/>
                <w:sz w:val="22"/>
                <w:szCs w:val="22"/>
              </w:rPr>
            </w:pPr>
          </w:p>
        </w:tc>
        <w:tc>
          <w:tcPr>
            <w:tcW w:w="6114" w:type="dxa"/>
          </w:tcPr>
          <w:p w14:paraId="3247D1AC" w14:textId="77777777" w:rsidR="00FC7B7F" w:rsidRPr="00850C17" w:rsidRDefault="00FC7B7F" w:rsidP="00FC7B7F">
            <w:pPr>
              <w:rPr>
                <w:rFonts w:cs="Arial"/>
                <w:sz w:val="22"/>
                <w:szCs w:val="22"/>
              </w:rPr>
            </w:pPr>
          </w:p>
        </w:tc>
      </w:tr>
      <w:tr w:rsidR="00FC7B7F" w:rsidRPr="00850C17" w14:paraId="61C8625F" w14:textId="77777777" w:rsidTr="00FC7B7F">
        <w:trPr>
          <w:trHeight w:val="677"/>
        </w:trPr>
        <w:tc>
          <w:tcPr>
            <w:tcW w:w="1395" w:type="dxa"/>
          </w:tcPr>
          <w:p w14:paraId="7672829F" w14:textId="77777777" w:rsidR="00FC7B7F" w:rsidRPr="00850C17" w:rsidRDefault="00FC7B7F" w:rsidP="00FC7B7F">
            <w:pPr>
              <w:rPr>
                <w:rFonts w:cs="Arial"/>
                <w:sz w:val="22"/>
                <w:szCs w:val="22"/>
              </w:rPr>
            </w:pPr>
          </w:p>
        </w:tc>
        <w:tc>
          <w:tcPr>
            <w:tcW w:w="1395" w:type="dxa"/>
          </w:tcPr>
          <w:p w14:paraId="2F9234C7" w14:textId="7570762D" w:rsidR="00FC7B7F" w:rsidRPr="00850C17" w:rsidRDefault="00FC7B7F" w:rsidP="00FC7B7F">
            <w:pPr>
              <w:rPr>
                <w:rFonts w:cs="Arial"/>
                <w:sz w:val="22"/>
                <w:szCs w:val="22"/>
              </w:rPr>
            </w:pPr>
            <w:r w:rsidRPr="00850C17">
              <w:rPr>
                <w:rFonts w:cs="Arial"/>
                <w:sz w:val="22"/>
                <w:szCs w:val="22"/>
              </w:rPr>
              <w:t>IAS Ref Code:</w:t>
            </w:r>
          </w:p>
        </w:tc>
        <w:tc>
          <w:tcPr>
            <w:tcW w:w="6114" w:type="dxa"/>
          </w:tcPr>
          <w:p w14:paraId="16FF78C2" w14:textId="77777777" w:rsidR="00FC7B7F" w:rsidRPr="00850C17" w:rsidRDefault="00FC7B7F" w:rsidP="00FC7B7F">
            <w:pPr>
              <w:rPr>
                <w:rFonts w:cs="Arial"/>
                <w:sz w:val="22"/>
                <w:szCs w:val="22"/>
              </w:rPr>
            </w:pPr>
          </w:p>
        </w:tc>
      </w:tr>
      <w:tr w:rsidR="00FC7B7F" w:rsidRPr="00850C17" w14:paraId="62716054" w14:textId="77777777" w:rsidTr="00FC7B7F">
        <w:trPr>
          <w:trHeight w:val="2062"/>
        </w:trPr>
        <w:tc>
          <w:tcPr>
            <w:tcW w:w="1395" w:type="dxa"/>
          </w:tcPr>
          <w:p w14:paraId="7670525B" w14:textId="77777777" w:rsidR="00FC7B7F" w:rsidRPr="00850C17" w:rsidRDefault="00FC7B7F" w:rsidP="00FC7B7F">
            <w:pPr>
              <w:rPr>
                <w:rFonts w:cs="Arial"/>
                <w:sz w:val="22"/>
                <w:szCs w:val="22"/>
              </w:rPr>
            </w:pPr>
          </w:p>
        </w:tc>
        <w:tc>
          <w:tcPr>
            <w:tcW w:w="1395" w:type="dxa"/>
          </w:tcPr>
          <w:p w14:paraId="62D92316" w14:textId="220A0BB8" w:rsidR="00FC7B7F" w:rsidRPr="00850C17" w:rsidRDefault="00FC7B7F" w:rsidP="00FC7B7F">
            <w:pPr>
              <w:rPr>
                <w:rFonts w:cs="Arial"/>
                <w:sz w:val="22"/>
                <w:szCs w:val="22"/>
              </w:rPr>
            </w:pPr>
            <w:r w:rsidRPr="00850C17">
              <w:rPr>
                <w:rFonts w:cs="Arial"/>
                <w:sz w:val="22"/>
                <w:szCs w:val="22"/>
              </w:rPr>
              <w:t>Ref code</w:t>
            </w:r>
          </w:p>
          <w:p w14:paraId="3F23E17A" w14:textId="77777777" w:rsidR="00FC7B7F" w:rsidRPr="00850C17" w:rsidRDefault="00FC7B7F" w:rsidP="00FC7B7F">
            <w:pPr>
              <w:rPr>
                <w:rFonts w:cs="Arial"/>
                <w:b/>
                <w:sz w:val="22"/>
                <w:szCs w:val="22"/>
              </w:rPr>
            </w:pPr>
            <w:r w:rsidRPr="00850C17">
              <w:rPr>
                <w:rFonts w:cs="Arial"/>
                <w:b/>
                <w:sz w:val="22"/>
                <w:szCs w:val="22"/>
              </w:rPr>
              <w:t>Rec 2012/185</w:t>
            </w:r>
          </w:p>
          <w:p w14:paraId="5E8DE108" w14:textId="77777777" w:rsidR="00FC7B7F" w:rsidRPr="00850C17" w:rsidRDefault="00FC7B7F" w:rsidP="00FC7B7F">
            <w:pPr>
              <w:rPr>
                <w:rFonts w:cs="Arial"/>
                <w:sz w:val="22"/>
                <w:szCs w:val="22"/>
              </w:rPr>
            </w:pPr>
            <w:r w:rsidRPr="00850C17">
              <w:rPr>
                <w:rFonts w:cs="Arial"/>
                <w:sz w:val="22"/>
                <w:szCs w:val="22"/>
              </w:rPr>
              <w:t>Made: 23/08/12</w:t>
            </w:r>
          </w:p>
        </w:tc>
        <w:tc>
          <w:tcPr>
            <w:tcW w:w="6114" w:type="dxa"/>
          </w:tcPr>
          <w:p w14:paraId="03FED656" w14:textId="77777777" w:rsidR="00FC7B7F" w:rsidRPr="00850C17" w:rsidRDefault="00FC7B7F" w:rsidP="00FC7B7F">
            <w:pPr>
              <w:rPr>
                <w:rFonts w:cs="Arial"/>
                <w:b/>
                <w:sz w:val="22"/>
                <w:szCs w:val="22"/>
              </w:rPr>
            </w:pPr>
            <w:r w:rsidRPr="00850C17">
              <w:rPr>
                <w:rFonts w:cs="Arial"/>
                <w:sz w:val="22"/>
                <w:szCs w:val="22"/>
              </w:rPr>
              <w:t>More precision around timing and timescales involved would be useful in the description of the numerator and denominator. MRG requested that the indicator state “of the people on the GP list at (e.g. 31 March)”</w:t>
            </w:r>
          </w:p>
        </w:tc>
      </w:tr>
      <w:tr w:rsidR="00FC7B7F" w:rsidRPr="00850C17" w14:paraId="06E22629" w14:textId="77777777" w:rsidTr="00CF37CA">
        <w:trPr>
          <w:trHeight w:val="1119"/>
        </w:trPr>
        <w:tc>
          <w:tcPr>
            <w:tcW w:w="1395" w:type="dxa"/>
          </w:tcPr>
          <w:p w14:paraId="7D327D3B" w14:textId="77777777" w:rsidR="00FC7B7F" w:rsidRPr="00850C17" w:rsidRDefault="00FC7B7F" w:rsidP="00FC7B7F">
            <w:pPr>
              <w:rPr>
                <w:rFonts w:cs="Arial"/>
                <w:sz w:val="22"/>
                <w:szCs w:val="22"/>
              </w:rPr>
            </w:pPr>
          </w:p>
        </w:tc>
        <w:tc>
          <w:tcPr>
            <w:tcW w:w="1395" w:type="dxa"/>
          </w:tcPr>
          <w:p w14:paraId="32897479" w14:textId="4E1455F5" w:rsidR="00FC7B7F" w:rsidRPr="00850C17" w:rsidRDefault="00FC7B7F" w:rsidP="00FC7B7F">
            <w:pPr>
              <w:rPr>
                <w:rFonts w:cs="Arial"/>
                <w:sz w:val="22"/>
                <w:szCs w:val="22"/>
              </w:rPr>
            </w:pPr>
            <w:r w:rsidRPr="00850C17">
              <w:rPr>
                <w:rFonts w:cs="Arial"/>
                <w:sz w:val="22"/>
                <w:szCs w:val="22"/>
              </w:rPr>
              <w:t>Rec Status:</w:t>
            </w:r>
          </w:p>
        </w:tc>
        <w:tc>
          <w:tcPr>
            <w:tcW w:w="6114" w:type="dxa"/>
          </w:tcPr>
          <w:p w14:paraId="5D7905D8" w14:textId="6D6EEBAD" w:rsidR="00FC7B7F" w:rsidRPr="00850C17" w:rsidRDefault="00FC7B7F" w:rsidP="00FC7B7F">
            <w:pPr>
              <w:jc w:val="center"/>
              <w:rPr>
                <w:rFonts w:cs="Arial"/>
                <w:b/>
                <w:sz w:val="22"/>
                <w:szCs w:val="22"/>
              </w:rPr>
            </w:pPr>
            <w:r w:rsidRPr="00850C17">
              <w:rPr>
                <w:rFonts w:cs="Arial"/>
                <w:b/>
                <w:sz w:val="22"/>
                <w:szCs w:val="22"/>
              </w:rPr>
              <w:t>Resolved / No Action Required</w:t>
            </w:r>
          </w:p>
        </w:tc>
      </w:tr>
    </w:tbl>
    <w:p w14:paraId="2CDE9B95" w14:textId="77777777" w:rsidR="00C12977" w:rsidRPr="00850C17" w:rsidRDefault="00C12977" w:rsidP="00395707">
      <w:pPr>
        <w:ind w:left="-540"/>
        <w:rPr>
          <w:rFonts w:cs="Arial"/>
          <w:b/>
          <w:sz w:val="22"/>
          <w:szCs w:val="22"/>
        </w:rPr>
      </w:pPr>
    </w:p>
    <w:tbl>
      <w:tblPr>
        <w:tblStyle w:val="TableGrid"/>
        <w:tblW w:w="9923" w:type="dxa"/>
        <w:tblLayout w:type="fixed"/>
        <w:tblLook w:val="01E0" w:firstRow="1" w:lastRow="1" w:firstColumn="1" w:lastColumn="1" w:noHBand="0" w:noVBand="0"/>
      </w:tblPr>
      <w:tblGrid>
        <w:gridCol w:w="1844"/>
        <w:gridCol w:w="8079"/>
      </w:tblGrid>
      <w:tr w:rsidR="00850C17" w:rsidRPr="00850C17" w14:paraId="51FC8651" w14:textId="77777777" w:rsidTr="00395707">
        <w:tc>
          <w:tcPr>
            <w:tcW w:w="1844" w:type="dxa"/>
          </w:tcPr>
          <w:p w14:paraId="73036ECE" w14:textId="77777777" w:rsidR="00C12977" w:rsidRPr="00850C17" w:rsidRDefault="00C12977" w:rsidP="0004789B">
            <w:pPr>
              <w:rPr>
                <w:rFonts w:cs="Arial"/>
                <w:sz w:val="22"/>
                <w:szCs w:val="22"/>
              </w:rPr>
            </w:pPr>
            <w:r w:rsidRPr="00850C17">
              <w:rPr>
                <w:rFonts w:cs="Arial"/>
                <w:sz w:val="22"/>
                <w:szCs w:val="22"/>
              </w:rPr>
              <w:t>Ref code</w:t>
            </w:r>
          </w:p>
          <w:p w14:paraId="65BEC035" w14:textId="77777777" w:rsidR="00C12977" w:rsidRPr="00850C17" w:rsidRDefault="00C12977" w:rsidP="0004789B">
            <w:pPr>
              <w:rPr>
                <w:rFonts w:cs="Arial"/>
                <w:b/>
                <w:sz w:val="22"/>
                <w:szCs w:val="22"/>
              </w:rPr>
            </w:pPr>
            <w:r w:rsidRPr="00850C17">
              <w:rPr>
                <w:rFonts w:cs="Arial"/>
                <w:b/>
                <w:sz w:val="22"/>
                <w:szCs w:val="22"/>
              </w:rPr>
              <w:t>Rec 2012/186</w:t>
            </w:r>
          </w:p>
          <w:p w14:paraId="61E09655" w14:textId="77777777" w:rsidR="00C12977" w:rsidRPr="00850C17" w:rsidRDefault="00C12977" w:rsidP="0004789B">
            <w:pPr>
              <w:rPr>
                <w:rFonts w:cs="Arial"/>
                <w:sz w:val="22"/>
                <w:szCs w:val="22"/>
              </w:rPr>
            </w:pPr>
            <w:r w:rsidRPr="00850C17">
              <w:rPr>
                <w:rFonts w:cs="Arial"/>
                <w:sz w:val="22"/>
                <w:szCs w:val="22"/>
              </w:rPr>
              <w:t>Made: 23/08/12</w:t>
            </w:r>
          </w:p>
        </w:tc>
        <w:tc>
          <w:tcPr>
            <w:tcW w:w="8079" w:type="dxa"/>
          </w:tcPr>
          <w:p w14:paraId="7FF415FD" w14:textId="77777777" w:rsidR="00C12977" w:rsidRPr="00850C17" w:rsidRDefault="00C12977" w:rsidP="0004789B">
            <w:pPr>
              <w:rPr>
                <w:rFonts w:cs="Arial"/>
                <w:b/>
                <w:sz w:val="22"/>
                <w:szCs w:val="22"/>
              </w:rPr>
            </w:pPr>
            <w:r w:rsidRPr="00850C17">
              <w:rPr>
                <w:rFonts w:cs="Arial"/>
                <w:sz w:val="22"/>
                <w:szCs w:val="22"/>
              </w:rPr>
              <w:t>MRG recommended that the title be rephrased to state explicitly that the indicator relates to primary care, because some people with SMI are not on GP lists (e.g. those in institutions)</w:t>
            </w:r>
          </w:p>
        </w:tc>
      </w:tr>
      <w:tr w:rsidR="0004789B" w:rsidRPr="00850C17" w14:paraId="3211D0FE" w14:textId="77777777" w:rsidTr="00FA4111">
        <w:tc>
          <w:tcPr>
            <w:tcW w:w="1844" w:type="dxa"/>
          </w:tcPr>
          <w:p w14:paraId="5FB9B18F" w14:textId="77777777" w:rsidR="0004789B" w:rsidRPr="00850C17" w:rsidRDefault="0004789B" w:rsidP="0004789B">
            <w:pPr>
              <w:rPr>
                <w:rFonts w:cs="Arial"/>
                <w:sz w:val="22"/>
                <w:szCs w:val="22"/>
              </w:rPr>
            </w:pPr>
            <w:r w:rsidRPr="00850C17">
              <w:rPr>
                <w:rFonts w:cs="Arial"/>
                <w:sz w:val="22"/>
                <w:szCs w:val="22"/>
              </w:rPr>
              <w:t>Rec Status:</w:t>
            </w:r>
          </w:p>
        </w:tc>
        <w:tc>
          <w:tcPr>
            <w:tcW w:w="8079" w:type="dxa"/>
          </w:tcPr>
          <w:p w14:paraId="121B0815" w14:textId="7CC6F59E" w:rsidR="0004789B" w:rsidRPr="00850C17" w:rsidRDefault="0004789B" w:rsidP="0004789B">
            <w:pPr>
              <w:rPr>
                <w:rFonts w:cs="Arial"/>
                <w:b/>
                <w:sz w:val="22"/>
                <w:szCs w:val="22"/>
              </w:rPr>
            </w:pPr>
            <w:r w:rsidRPr="00850C17">
              <w:rPr>
                <w:rFonts w:cs="Arial"/>
                <w:b/>
                <w:sz w:val="22"/>
                <w:szCs w:val="22"/>
              </w:rPr>
              <w:t>Resolved / No Action Required</w:t>
            </w:r>
          </w:p>
        </w:tc>
      </w:tr>
    </w:tbl>
    <w:p w14:paraId="708B5F10" w14:textId="77777777" w:rsidR="00C12977" w:rsidRPr="00850C17" w:rsidRDefault="00C12977" w:rsidP="0004789B">
      <w:pPr>
        <w:ind w:left="-540"/>
        <w:rPr>
          <w:rFonts w:cs="Arial"/>
          <w:b/>
          <w:sz w:val="22"/>
          <w:szCs w:val="22"/>
        </w:rPr>
      </w:pPr>
    </w:p>
    <w:tbl>
      <w:tblPr>
        <w:tblStyle w:val="TableGrid"/>
        <w:tblW w:w="9923" w:type="dxa"/>
        <w:tblLayout w:type="fixed"/>
        <w:tblLook w:val="01E0" w:firstRow="1" w:lastRow="1" w:firstColumn="1" w:lastColumn="1" w:noHBand="0" w:noVBand="0"/>
      </w:tblPr>
      <w:tblGrid>
        <w:gridCol w:w="1844"/>
        <w:gridCol w:w="8079"/>
      </w:tblGrid>
      <w:tr w:rsidR="00850C17" w:rsidRPr="00850C17" w14:paraId="43F744D4" w14:textId="77777777" w:rsidTr="00395707">
        <w:tc>
          <w:tcPr>
            <w:tcW w:w="1844" w:type="dxa"/>
          </w:tcPr>
          <w:p w14:paraId="2DCACAE5" w14:textId="77777777" w:rsidR="00C12977" w:rsidRPr="00850C17" w:rsidRDefault="00C12977" w:rsidP="0004789B">
            <w:pPr>
              <w:rPr>
                <w:rFonts w:cs="Arial"/>
                <w:sz w:val="22"/>
                <w:szCs w:val="22"/>
              </w:rPr>
            </w:pPr>
            <w:r w:rsidRPr="00850C17">
              <w:rPr>
                <w:rFonts w:cs="Arial"/>
                <w:sz w:val="22"/>
                <w:szCs w:val="22"/>
              </w:rPr>
              <w:t>Ref code</w:t>
            </w:r>
          </w:p>
          <w:p w14:paraId="57D68430" w14:textId="77777777" w:rsidR="00C12977" w:rsidRPr="00850C17" w:rsidRDefault="00C12977" w:rsidP="0004789B">
            <w:pPr>
              <w:rPr>
                <w:rFonts w:cs="Arial"/>
                <w:b/>
                <w:sz w:val="22"/>
                <w:szCs w:val="22"/>
              </w:rPr>
            </w:pPr>
            <w:r w:rsidRPr="00850C17">
              <w:rPr>
                <w:rFonts w:cs="Arial"/>
                <w:b/>
                <w:sz w:val="22"/>
                <w:szCs w:val="22"/>
              </w:rPr>
              <w:t>Rec 2012/187</w:t>
            </w:r>
          </w:p>
          <w:p w14:paraId="5B9A0CD6" w14:textId="77777777" w:rsidR="00C12977" w:rsidRPr="00850C17" w:rsidRDefault="00C12977" w:rsidP="0004789B">
            <w:pPr>
              <w:rPr>
                <w:rFonts w:cs="Arial"/>
                <w:sz w:val="22"/>
                <w:szCs w:val="22"/>
              </w:rPr>
            </w:pPr>
            <w:r w:rsidRPr="00850C17">
              <w:rPr>
                <w:rFonts w:cs="Arial"/>
                <w:sz w:val="22"/>
                <w:szCs w:val="22"/>
              </w:rPr>
              <w:t>Made: 23/08/12</w:t>
            </w:r>
          </w:p>
        </w:tc>
        <w:tc>
          <w:tcPr>
            <w:tcW w:w="8079" w:type="dxa"/>
          </w:tcPr>
          <w:p w14:paraId="3FEB610F" w14:textId="04897852" w:rsidR="00C12977" w:rsidRPr="00850C17" w:rsidRDefault="00C12977" w:rsidP="0004789B">
            <w:pPr>
              <w:rPr>
                <w:rFonts w:cs="Arial"/>
                <w:b/>
                <w:sz w:val="22"/>
                <w:szCs w:val="22"/>
              </w:rPr>
            </w:pPr>
            <w:r w:rsidRPr="00850C17">
              <w:rPr>
                <w:rFonts w:cs="Arial"/>
                <w:sz w:val="22"/>
                <w:szCs w:val="22"/>
              </w:rPr>
              <w:t xml:space="preserve">Using a time period of 12 months provides a slight complication in that for people who are diagnosed or relapse in February there won’t be time to do the test by the end of March.  Therefore, the implication is that 100% should not be expected as the result of this indicator which needs clarifying in the quality statement.    </w:t>
            </w:r>
          </w:p>
        </w:tc>
      </w:tr>
      <w:tr w:rsidR="0004789B" w:rsidRPr="00850C17" w14:paraId="71B4F9A8" w14:textId="77777777" w:rsidTr="005B585F">
        <w:tc>
          <w:tcPr>
            <w:tcW w:w="1844" w:type="dxa"/>
          </w:tcPr>
          <w:p w14:paraId="001864B1" w14:textId="77777777" w:rsidR="0004789B" w:rsidRPr="00850C17" w:rsidRDefault="0004789B" w:rsidP="0004789B">
            <w:pPr>
              <w:rPr>
                <w:rFonts w:cs="Arial"/>
                <w:sz w:val="22"/>
                <w:szCs w:val="22"/>
              </w:rPr>
            </w:pPr>
            <w:r w:rsidRPr="00850C17">
              <w:rPr>
                <w:rFonts w:cs="Arial"/>
                <w:sz w:val="22"/>
                <w:szCs w:val="22"/>
              </w:rPr>
              <w:t>Rec Status:</w:t>
            </w:r>
          </w:p>
        </w:tc>
        <w:tc>
          <w:tcPr>
            <w:tcW w:w="8079" w:type="dxa"/>
          </w:tcPr>
          <w:p w14:paraId="79F972C5" w14:textId="7DAFB342" w:rsidR="0004789B" w:rsidRPr="00850C17" w:rsidRDefault="0004789B" w:rsidP="0004789B">
            <w:pPr>
              <w:rPr>
                <w:rFonts w:cs="Arial"/>
                <w:b/>
                <w:sz w:val="22"/>
                <w:szCs w:val="22"/>
              </w:rPr>
            </w:pPr>
            <w:r w:rsidRPr="00850C17">
              <w:rPr>
                <w:rFonts w:cs="Arial"/>
                <w:b/>
                <w:sz w:val="22"/>
                <w:szCs w:val="22"/>
              </w:rPr>
              <w:t>Resolved / No Action Required</w:t>
            </w:r>
          </w:p>
        </w:tc>
      </w:tr>
    </w:tbl>
    <w:p w14:paraId="46DA993E" w14:textId="77777777" w:rsidR="00C12977" w:rsidRPr="00850C17" w:rsidRDefault="00C12977" w:rsidP="0004789B">
      <w:pPr>
        <w:ind w:left="-540"/>
        <w:rPr>
          <w:rFonts w:cs="Arial"/>
          <w:b/>
          <w:sz w:val="22"/>
          <w:szCs w:val="22"/>
        </w:rPr>
      </w:pPr>
    </w:p>
    <w:tbl>
      <w:tblPr>
        <w:tblStyle w:val="TableGrid"/>
        <w:tblW w:w="9923" w:type="dxa"/>
        <w:tblLayout w:type="fixed"/>
        <w:tblLook w:val="01E0" w:firstRow="1" w:lastRow="1" w:firstColumn="1" w:lastColumn="1" w:noHBand="0" w:noVBand="0"/>
      </w:tblPr>
      <w:tblGrid>
        <w:gridCol w:w="1844"/>
        <w:gridCol w:w="8079"/>
      </w:tblGrid>
      <w:tr w:rsidR="00850C17" w:rsidRPr="00850C17" w14:paraId="1C61B126" w14:textId="77777777" w:rsidTr="00395707">
        <w:tc>
          <w:tcPr>
            <w:tcW w:w="1844" w:type="dxa"/>
          </w:tcPr>
          <w:p w14:paraId="4B35B910" w14:textId="77777777" w:rsidR="00C12977" w:rsidRPr="00850C17" w:rsidRDefault="00C12977" w:rsidP="0004789B">
            <w:pPr>
              <w:rPr>
                <w:rFonts w:cs="Arial"/>
                <w:sz w:val="22"/>
                <w:szCs w:val="22"/>
              </w:rPr>
            </w:pPr>
            <w:r w:rsidRPr="00850C17">
              <w:rPr>
                <w:rFonts w:cs="Arial"/>
                <w:sz w:val="22"/>
                <w:szCs w:val="22"/>
              </w:rPr>
              <w:t>Ref code</w:t>
            </w:r>
          </w:p>
          <w:p w14:paraId="670976F9" w14:textId="77777777" w:rsidR="00C12977" w:rsidRPr="00850C17" w:rsidRDefault="00C12977" w:rsidP="0004789B">
            <w:pPr>
              <w:rPr>
                <w:rFonts w:cs="Arial"/>
                <w:b/>
                <w:sz w:val="22"/>
                <w:szCs w:val="22"/>
              </w:rPr>
            </w:pPr>
            <w:r w:rsidRPr="00850C17">
              <w:rPr>
                <w:rFonts w:cs="Arial"/>
                <w:b/>
                <w:sz w:val="22"/>
                <w:szCs w:val="22"/>
              </w:rPr>
              <w:t>Rec 2012/188</w:t>
            </w:r>
          </w:p>
          <w:p w14:paraId="71261854" w14:textId="77777777" w:rsidR="00C12977" w:rsidRPr="00850C17" w:rsidRDefault="00C12977" w:rsidP="0004789B">
            <w:pPr>
              <w:rPr>
                <w:rFonts w:cs="Arial"/>
                <w:sz w:val="22"/>
                <w:szCs w:val="22"/>
              </w:rPr>
            </w:pPr>
            <w:r w:rsidRPr="00850C17">
              <w:rPr>
                <w:rFonts w:cs="Arial"/>
                <w:sz w:val="22"/>
                <w:szCs w:val="22"/>
              </w:rPr>
              <w:t>Made: 23/08/12</w:t>
            </w:r>
          </w:p>
        </w:tc>
        <w:tc>
          <w:tcPr>
            <w:tcW w:w="8079" w:type="dxa"/>
          </w:tcPr>
          <w:p w14:paraId="5D80419B" w14:textId="77777777" w:rsidR="00C12977" w:rsidRPr="00850C17" w:rsidRDefault="00C12977" w:rsidP="0004789B">
            <w:pPr>
              <w:rPr>
                <w:rFonts w:cs="Arial"/>
                <w:b/>
                <w:sz w:val="22"/>
                <w:szCs w:val="22"/>
              </w:rPr>
            </w:pPr>
            <w:r w:rsidRPr="00850C17">
              <w:rPr>
                <w:rFonts w:cs="Arial"/>
                <w:sz w:val="22"/>
                <w:szCs w:val="22"/>
              </w:rPr>
              <w:t>MRG commented on the construction of the numerator in which people aged under 40 are not eligible for the full set of physical checks.  MRG suggested that either a caveat could be applied to the indicator stating that people are counted as having treatment appropriate to their age, or that under 40’s could be split from those 40 and over in the indicator.</w:t>
            </w:r>
          </w:p>
        </w:tc>
      </w:tr>
      <w:tr w:rsidR="0004789B" w:rsidRPr="00850C17" w14:paraId="255690A0" w14:textId="77777777" w:rsidTr="007C7EED">
        <w:tc>
          <w:tcPr>
            <w:tcW w:w="1844" w:type="dxa"/>
          </w:tcPr>
          <w:p w14:paraId="6AD5D079" w14:textId="77777777" w:rsidR="0004789B" w:rsidRPr="00850C17" w:rsidRDefault="0004789B" w:rsidP="0004789B">
            <w:pPr>
              <w:rPr>
                <w:rFonts w:cs="Arial"/>
                <w:sz w:val="22"/>
                <w:szCs w:val="22"/>
              </w:rPr>
            </w:pPr>
            <w:r w:rsidRPr="00850C17">
              <w:rPr>
                <w:rFonts w:cs="Arial"/>
                <w:sz w:val="22"/>
                <w:szCs w:val="22"/>
              </w:rPr>
              <w:t>Rec Status:</w:t>
            </w:r>
          </w:p>
        </w:tc>
        <w:tc>
          <w:tcPr>
            <w:tcW w:w="8079" w:type="dxa"/>
          </w:tcPr>
          <w:p w14:paraId="5DFF4713" w14:textId="0FBFE790" w:rsidR="0004789B" w:rsidRPr="00850C17" w:rsidRDefault="0004789B" w:rsidP="0004789B">
            <w:pPr>
              <w:rPr>
                <w:rFonts w:cs="Arial"/>
                <w:b/>
                <w:sz w:val="22"/>
                <w:szCs w:val="22"/>
              </w:rPr>
            </w:pPr>
            <w:r w:rsidRPr="00850C17">
              <w:rPr>
                <w:rFonts w:cs="Arial"/>
                <w:b/>
                <w:sz w:val="22"/>
                <w:szCs w:val="22"/>
              </w:rPr>
              <w:t>Resolved / No Action Required</w:t>
            </w:r>
          </w:p>
        </w:tc>
      </w:tr>
    </w:tbl>
    <w:p w14:paraId="04F7131C" w14:textId="77777777" w:rsidR="00C12977" w:rsidRPr="00850C17" w:rsidRDefault="00C12977" w:rsidP="00395707">
      <w:pPr>
        <w:ind w:left="-540"/>
        <w:rPr>
          <w:rFonts w:cs="Arial"/>
          <w:b/>
          <w:sz w:val="22"/>
          <w:szCs w:val="22"/>
        </w:rPr>
      </w:pPr>
    </w:p>
    <w:tbl>
      <w:tblPr>
        <w:tblStyle w:val="TableGrid"/>
        <w:tblW w:w="9923" w:type="dxa"/>
        <w:tblLayout w:type="fixed"/>
        <w:tblLook w:val="01E0" w:firstRow="1" w:lastRow="1" w:firstColumn="1" w:lastColumn="1" w:noHBand="0" w:noVBand="0"/>
      </w:tblPr>
      <w:tblGrid>
        <w:gridCol w:w="1844"/>
        <w:gridCol w:w="8079"/>
      </w:tblGrid>
      <w:tr w:rsidR="00850C17" w:rsidRPr="00850C17" w14:paraId="7B95B697" w14:textId="77777777" w:rsidTr="00395707">
        <w:tc>
          <w:tcPr>
            <w:tcW w:w="1844" w:type="dxa"/>
          </w:tcPr>
          <w:p w14:paraId="15A4C981" w14:textId="77777777" w:rsidR="00C12977" w:rsidRPr="00850C17" w:rsidRDefault="00C12977" w:rsidP="00395707">
            <w:pPr>
              <w:rPr>
                <w:rFonts w:cs="Arial"/>
                <w:sz w:val="22"/>
                <w:szCs w:val="22"/>
              </w:rPr>
            </w:pPr>
            <w:r w:rsidRPr="00850C17">
              <w:rPr>
                <w:rFonts w:cs="Arial"/>
                <w:sz w:val="22"/>
                <w:szCs w:val="22"/>
              </w:rPr>
              <w:t>Ref code</w:t>
            </w:r>
          </w:p>
          <w:p w14:paraId="6DD31368" w14:textId="77777777" w:rsidR="00C12977" w:rsidRPr="00850C17" w:rsidRDefault="00C12977" w:rsidP="00395707">
            <w:pPr>
              <w:rPr>
                <w:rFonts w:cs="Arial"/>
                <w:b/>
                <w:sz w:val="22"/>
                <w:szCs w:val="22"/>
              </w:rPr>
            </w:pPr>
            <w:r w:rsidRPr="00850C17">
              <w:rPr>
                <w:rFonts w:cs="Arial"/>
                <w:b/>
                <w:sz w:val="22"/>
                <w:szCs w:val="22"/>
              </w:rPr>
              <w:t>Rec 2012/189</w:t>
            </w:r>
          </w:p>
          <w:p w14:paraId="559C69CD" w14:textId="77777777" w:rsidR="00C12977" w:rsidRPr="00850C17" w:rsidRDefault="00C12977" w:rsidP="00395707">
            <w:pPr>
              <w:rPr>
                <w:rFonts w:cs="Arial"/>
                <w:sz w:val="22"/>
                <w:szCs w:val="22"/>
              </w:rPr>
            </w:pPr>
            <w:r w:rsidRPr="00850C17">
              <w:rPr>
                <w:rFonts w:cs="Arial"/>
                <w:sz w:val="22"/>
                <w:szCs w:val="22"/>
              </w:rPr>
              <w:t>Made: 23/08/12</w:t>
            </w:r>
          </w:p>
        </w:tc>
        <w:tc>
          <w:tcPr>
            <w:tcW w:w="8079" w:type="dxa"/>
          </w:tcPr>
          <w:p w14:paraId="6C93C266" w14:textId="77777777" w:rsidR="00C12977" w:rsidRPr="00850C17" w:rsidRDefault="00C12977" w:rsidP="00395707">
            <w:pPr>
              <w:rPr>
                <w:rFonts w:cs="Arial"/>
                <w:sz w:val="22"/>
                <w:szCs w:val="22"/>
              </w:rPr>
            </w:pPr>
            <w:r w:rsidRPr="00850C17">
              <w:rPr>
                <w:rFonts w:cs="Arial"/>
                <w:sz w:val="22"/>
                <w:szCs w:val="22"/>
              </w:rPr>
              <w:t>Indicator approved for escalation to Indicator Governance Board on basis that clarification able to be provided for above recommendations.</w:t>
            </w:r>
          </w:p>
        </w:tc>
      </w:tr>
      <w:tr w:rsidR="0004789B" w:rsidRPr="00850C17" w14:paraId="4C201CA4" w14:textId="77777777" w:rsidTr="009F34F9">
        <w:tc>
          <w:tcPr>
            <w:tcW w:w="1844" w:type="dxa"/>
          </w:tcPr>
          <w:p w14:paraId="398AC2A8" w14:textId="77777777" w:rsidR="0004789B" w:rsidRPr="00850C17" w:rsidRDefault="0004789B" w:rsidP="00395707">
            <w:pPr>
              <w:rPr>
                <w:rFonts w:cs="Arial"/>
                <w:sz w:val="22"/>
                <w:szCs w:val="22"/>
              </w:rPr>
            </w:pPr>
            <w:r w:rsidRPr="00850C17">
              <w:rPr>
                <w:rFonts w:cs="Arial"/>
                <w:sz w:val="22"/>
                <w:szCs w:val="22"/>
              </w:rPr>
              <w:t>Rec Status:</w:t>
            </w:r>
          </w:p>
        </w:tc>
        <w:tc>
          <w:tcPr>
            <w:tcW w:w="8079" w:type="dxa"/>
          </w:tcPr>
          <w:p w14:paraId="004E04F0" w14:textId="7BEBA757" w:rsidR="0004789B" w:rsidRPr="00850C17" w:rsidRDefault="0004789B" w:rsidP="0004789B">
            <w:pPr>
              <w:rPr>
                <w:rFonts w:cs="Arial"/>
                <w:b/>
                <w:sz w:val="22"/>
                <w:szCs w:val="22"/>
              </w:rPr>
            </w:pPr>
            <w:r w:rsidRPr="00850C17">
              <w:rPr>
                <w:rFonts w:cs="Arial"/>
                <w:b/>
                <w:sz w:val="22"/>
                <w:szCs w:val="22"/>
              </w:rPr>
              <w:t>Resolved / No Action Required</w:t>
            </w:r>
          </w:p>
        </w:tc>
      </w:tr>
    </w:tbl>
    <w:p w14:paraId="06F794ED" w14:textId="77777777" w:rsidR="00C12977" w:rsidRPr="00850C17" w:rsidRDefault="00C12977" w:rsidP="00395707">
      <w:pPr>
        <w:ind w:left="-540"/>
        <w:rPr>
          <w:rFonts w:cs="Arial"/>
          <w:b/>
          <w:sz w:val="22"/>
          <w:szCs w:val="22"/>
        </w:rPr>
      </w:pPr>
    </w:p>
    <w:tbl>
      <w:tblPr>
        <w:tblStyle w:val="TableGrid"/>
        <w:tblW w:w="9923" w:type="dxa"/>
        <w:tblLayout w:type="fixed"/>
        <w:tblLook w:val="01E0" w:firstRow="1" w:lastRow="1" w:firstColumn="1" w:lastColumn="1" w:noHBand="0" w:noVBand="0"/>
      </w:tblPr>
      <w:tblGrid>
        <w:gridCol w:w="1844"/>
        <w:gridCol w:w="8079"/>
      </w:tblGrid>
      <w:tr w:rsidR="00850C17" w:rsidRPr="00850C17" w14:paraId="73141876" w14:textId="77777777" w:rsidTr="00395707">
        <w:tc>
          <w:tcPr>
            <w:tcW w:w="1844" w:type="dxa"/>
          </w:tcPr>
          <w:p w14:paraId="631905B0" w14:textId="77777777" w:rsidR="00C12977" w:rsidRPr="00850C17" w:rsidRDefault="00C12977" w:rsidP="00395707">
            <w:pPr>
              <w:rPr>
                <w:rFonts w:cs="Arial"/>
                <w:sz w:val="22"/>
                <w:szCs w:val="22"/>
              </w:rPr>
            </w:pPr>
            <w:r w:rsidRPr="00850C17">
              <w:rPr>
                <w:rFonts w:cs="Arial"/>
                <w:sz w:val="22"/>
                <w:szCs w:val="22"/>
              </w:rPr>
              <w:t>Ref code</w:t>
            </w:r>
          </w:p>
          <w:p w14:paraId="51FC169D" w14:textId="77777777" w:rsidR="00C12977" w:rsidRPr="00850C17" w:rsidRDefault="00C12977" w:rsidP="00395707">
            <w:pPr>
              <w:rPr>
                <w:rFonts w:cs="Arial"/>
                <w:b/>
                <w:sz w:val="22"/>
                <w:szCs w:val="22"/>
              </w:rPr>
            </w:pPr>
            <w:r w:rsidRPr="00850C17">
              <w:rPr>
                <w:rFonts w:cs="Arial"/>
                <w:b/>
                <w:sz w:val="22"/>
                <w:szCs w:val="22"/>
              </w:rPr>
              <w:t>Rec 2012/190</w:t>
            </w:r>
          </w:p>
          <w:p w14:paraId="4EFC7188" w14:textId="77777777" w:rsidR="00C12977" w:rsidRPr="00850C17" w:rsidRDefault="00C12977" w:rsidP="00395707">
            <w:pPr>
              <w:rPr>
                <w:rFonts w:cs="Arial"/>
                <w:sz w:val="22"/>
                <w:szCs w:val="22"/>
              </w:rPr>
            </w:pPr>
            <w:r w:rsidRPr="00850C17">
              <w:rPr>
                <w:rFonts w:cs="Arial"/>
                <w:sz w:val="22"/>
                <w:szCs w:val="22"/>
              </w:rPr>
              <w:t>Made: 23/08/12</w:t>
            </w:r>
          </w:p>
        </w:tc>
        <w:tc>
          <w:tcPr>
            <w:tcW w:w="8079" w:type="dxa"/>
          </w:tcPr>
          <w:p w14:paraId="459C48D8" w14:textId="77777777" w:rsidR="00C12977" w:rsidRPr="00850C17" w:rsidRDefault="00C12977" w:rsidP="00395707">
            <w:pPr>
              <w:rPr>
                <w:rFonts w:cs="Arial"/>
                <w:sz w:val="22"/>
                <w:szCs w:val="22"/>
              </w:rPr>
            </w:pPr>
            <w:r w:rsidRPr="00850C17">
              <w:rPr>
                <w:rFonts w:cs="Arial"/>
                <w:b/>
                <w:sz w:val="22"/>
                <w:szCs w:val="22"/>
              </w:rPr>
              <w:t>General Comment on all GPES based indicators</w:t>
            </w:r>
          </w:p>
          <w:p w14:paraId="17A36987" w14:textId="77777777" w:rsidR="00C12977" w:rsidRPr="00850C17" w:rsidRDefault="00C12977" w:rsidP="00395707">
            <w:pPr>
              <w:rPr>
                <w:rFonts w:cs="Arial"/>
                <w:sz w:val="22"/>
                <w:szCs w:val="22"/>
              </w:rPr>
            </w:pPr>
            <w:r w:rsidRPr="00850C17">
              <w:rPr>
                <w:rFonts w:cs="Arial"/>
                <w:sz w:val="22"/>
                <w:szCs w:val="22"/>
              </w:rPr>
              <w:t xml:space="preserve">At present GPES is something of an unknown source with the quality not known until the data is started to be used.  MRG commented that there needs to be some measure of quality reflected in the quality statement.  MRG recommended a comment about the issue of “deregistered patients” i.e. those who have left but remain on the GP list, and those who have died.  This is a general observation about GPES data and the exclusion of patients who have died.  </w:t>
            </w:r>
          </w:p>
        </w:tc>
      </w:tr>
      <w:tr w:rsidR="0004789B" w:rsidRPr="00850C17" w14:paraId="141A6A4D" w14:textId="77777777" w:rsidTr="001E2CD7">
        <w:tc>
          <w:tcPr>
            <w:tcW w:w="1844" w:type="dxa"/>
          </w:tcPr>
          <w:p w14:paraId="64FB5E73" w14:textId="77777777" w:rsidR="0004789B" w:rsidRPr="00850C17" w:rsidRDefault="0004789B" w:rsidP="00395707">
            <w:pPr>
              <w:rPr>
                <w:rFonts w:cs="Arial"/>
                <w:sz w:val="22"/>
                <w:szCs w:val="22"/>
              </w:rPr>
            </w:pPr>
            <w:r w:rsidRPr="00850C17">
              <w:rPr>
                <w:rFonts w:cs="Arial"/>
                <w:sz w:val="22"/>
                <w:szCs w:val="22"/>
              </w:rPr>
              <w:t>Rec Status:</w:t>
            </w:r>
          </w:p>
        </w:tc>
        <w:tc>
          <w:tcPr>
            <w:tcW w:w="8079" w:type="dxa"/>
          </w:tcPr>
          <w:p w14:paraId="590AF308" w14:textId="7001DDE4" w:rsidR="0004789B" w:rsidRPr="00850C17" w:rsidRDefault="0004789B" w:rsidP="0004789B">
            <w:pPr>
              <w:rPr>
                <w:rFonts w:cs="Arial"/>
                <w:b/>
                <w:sz w:val="22"/>
                <w:szCs w:val="22"/>
              </w:rPr>
            </w:pPr>
            <w:r w:rsidRPr="00850C17">
              <w:rPr>
                <w:rFonts w:cs="Arial"/>
                <w:b/>
                <w:sz w:val="22"/>
                <w:szCs w:val="22"/>
              </w:rPr>
              <w:t>Resolved / No Action Required</w:t>
            </w:r>
          </w:p>
        </w:tc>
      </w:tr>
    </w:tbl>
    <w:p w14:paraId="2745635D" w14:textId="2C219778" w:rsidR="00C12977" w:rsidRPr="00850C17" w:rsidRDefault="00C12977" w:rsidP="0004789B">
      <w:pPr>
        <w:ind w:left="-540" w:firstLine="1260"/>
        <w:rPr>
          <w:rFonts w:cs="Arial"/>
          <w:sz w:val="22"/>
          <w:szCs w:val="22"/>
        </w:rPr>
      </w:pPr>
      <w:r w:rsidRPr="00850C17">
        <w:rPr>
          <w:rFonts w:cs="Arial"/>
          <w:b/>
          <w:sz w:val="22"/>
          <w:szCs w:val="22"/>
        </w:rPr>
        <w:br w:type="page"/>
      </w:r>
      <w:r w:rsidRPr="00850C17">
        <w:rPr>
          <w:rFonts w:cs="Arial"/>
          <w:sz w:val="22"/>
          <w:szCs w:val="22"/>
        </w:rPr>
        <w:t xml:space="preserve">Record of Assurance provided by </w:t>
      </w:r>
      <w:r w:rsidRPr="00850C17">
        <w:rPr>
          <w:rFonts w:cs="Arial"/>
          <w:b/>
          <w:sz w:val="22"/>
          <w:szCs w:val="22"/>
        </w:rPr>
        <w:t>Indicator Governance Board</w:t>
      </w:r>
    </w:p>
    <w:p w14:paraId="2C01C0C7" w14:textId="77777777" w:rsidR="00C12977" w:rsidRPr="00850C17" w:rsidRDefault="00C12977" w:rsidP="00395707">
      <w:pPr>
        <w:rPr>
          <w:rFonts w:cs="Arial"/>
          <w:sz w:val="22"/>
          <w:szCs w:val="22"/>
        </w:rPr>
      </w:pPr>
    </w:p>
    <w:tbl>
      <w:tblPr>
        <w:tblStyle w:val="TableGrid"/>
        <w:tblW w:w="9923" w:type="dxa"/>
        <w:tblLayout w:type="fixed"/>
        <w:tblLook w:val="01E0" w:firstRow="1" w:lastRow="1" w:firstColumn="1" w:lastColumn="1" w:noHBand="0" w:noVBand="0"/>
      </w:tblPr>
      <w:tblGrid>
        <w:gridCol w:w="2122"/>
        <w:gridCol w:w="7801"/>
      </w:tblGrid>
      <w:tr w:rsidR="0004789B" w:rsidRPr="00850C17" w14:paraId="0ED0FA02" w14:textId="77777777" w:rsidTr="0004789B">
        <w:tc>
          <w:tcPr>
            <w:tcW w:w="2122" w:type="dxa"/>
          </w:tcPr>
          <w:p w14:paraId="4EC3B552" w14:textId="72BCC536" w:rsidR="0004789B" w:rsidRPr="00850C17" w:rsidRDefault="0004789B" w:rsidP="0004789B">
            <w:pPr>
              <w:rPr>
                <w:rFonts w:cs="Arial"/>
                <w:sz w:val="22"/>
                <w:szCs w:val="22"/>
              </w:rPr>
            </w:pPr>
            <w:r w:rsidRPr="00850C17">
              <w:rPr>
                <w:rFonts w:cs="Arial"/>
                <w:b/>
                <w:sz w:val="22"/>
                <w:szCs w:val="22"/>
              </w:rPr>
              <w:t>Indicator Title</w:t>
            </w:r>
          </w:p>
        </w:tc>
        <w:tc>
          <w:tcPr>
            <w:tcW w:w="7801" w:type="dxa"/>
          </w:tcPr>
          <w:p w14:paraId="450FEBAC" w14:textId="4EE69B08" w:rsidR="0004789B" w:rsidRPr="00850C17" w:rsidRDefault="0004789B" w:rsidP="0004789B">
            <w:pPr>
              <w:rPr>
                <w:rFonts w:cs="Arial"/>
                <w:i/>
                <w:sz w:val="22"/>
                <w:szCs w:val="22"/>
              </w:rPr>
            </w:pPr>
            <w:r w:rsidRPr="00850C17">
              <w:rPr>
                <w:rFonts w:cs="Arial"/>
                <w:b/>
                <w:sz w:val="22"/>
                <w:szCs w:val="22"/>
              </w:rPr>
              <w:t>1.12 People with Serious Mental Illness (SMI) who have received complete list of physical checks</w:t>
            </w:r>
          </w:p>
        </w:tc>
      </w:tr>
      <w:tr w:rsidR="0004789B" w:rsidRPr="00850C17" w14:paraId="64ED8CA9" w14:textId="77777777" w:rsidTr="0004789B">
        <w:tc>
          <w:tcPr>
            <w:tcW w:w="2122" w:type="dxa"/>
          </w:tcPr>
          <w:p w14:paraId="2E237E48" w14:textId="6C3ACEDF" w:rsidR="0004789B" w:rsidRPr="00850C17" w:rsidRDefault="0004789B" w:rsidP="0004789B">
            <w:pPr>
              <w:rPr>
                <w:rFonts w:cs="Arial"/>
                <w:sz w:val="22"/>
                <w:szCs w:val="22"/>
              </w:rPr>
            </w:pPr>
            <w:r w:rsidRPr="00850C17">
              <w:rPr>
                <w:rFonts w:cs="Arial"/>
                <w:sz w:val="22"/>
                <w:szCs w:val="22"/>
              </w:rPr>
              <w:t>Indicator Set</w:t>
            </w:r>
          </w:p>
        </w:tc>
        <w:tc>
          <w:tcPr>
            <w:tcW w:w="7801" w:type="dxa"/>
          </w:tcPr>
          <w:p w14:paraId="22B06A5F" w14:textId="77777777" w:rsidR="0004789B" w:rsidRPr="00850C17" w:rsidRDefault="0004789B" w:rsidP="0004789B">
            <w:pPr>
              <w:rPr>
                <w:rFonts w:cs="Arial"/>
                <w:i/>
                <w:sz w:val="22"/>
                <w:szCs w:val="22"/>
              </w:rPr>
            </w:pPr>
          </w:p>
        </w:tc>
      </w:tr>
      <w:tr w:rsidR="0004789B" w:rsidRPr="00850C17" w14:paraId="61F56805" w14:textId="77777777" w:rsidTr="0004789B">
        <w:tc>
          <w:tcPr>
            <w:tcW w:w="2122" w:type="dxa"/>
          </w:tcPr>
          <w:p w14:paraId="5B0805DB" w14:textId="35B5422D" w:rsidR="0004789B" w:rsidRPr="00850C17" w:rsidRDefault="0004789B" w:rsidP="0004789B">
            <w:pPr>
              <w:rPr>
                <w:rFonts w:cs="Arial"/>
                <w:sz w:val="22"/>
                <w:szCs w:val="22"/>
              </w:rPr>
            </w:pPr>
            <w:r w:rsidRPr="00850C17">
              <w:rPr>
                <w:rFonts w:cs="Arial"/>
                <w:sz w:val="22"/>
                <w:szCs w:val="22"/>
              </w:rPr>
              <w:t>IAS Ref Code:</w:t>
            </w:r>
          </w:p>
        </w:tc>
        <w:tc>
          <w:tcPr>
            <w:tcW w:w="7801" w:type="dxa"/>
          </w:tcPr>
          <w:p w14:paraId="5DD57BA6" w14:textId="05B891BE" w:rsidR="0004789B" w:rsidRPr="00850C17" w:rsidRDefault="0004789B" w:rsidP="0004789B">
            <w:pPr>
              <w:rPr>
                <w:rFonts w:cs="Arial"/>
                <w:i/>
                <w:sz w:val="22"/>
                <w:szCs w:val="22"/>
              </w:rPr>
            </w:pPr>
            <w:r w:rsidRPr="00850C17">
              <w:rPr>
                <w:rFonts w:cs="Arial"/>
                <w:sz w:val="22"/>
                <w:szCs w:val="22"/>
              </w:rPr>
              <w:t>IAP00133</w:t>
            </w:r>
          </w:p>
        </w:tc>
      </w:tr>
      <w:tr w:rsidR="0004789B" w:rsidRPr="00850C17" w14:paraId="04A48F48" w14:textId="77777777" w:rsidTr="0004789B">
        <w:tc>
          <w:tcPr>
            <w:tcW w:w="2122" w:type="dxa"/>
          </w:tcPr>
          <w:p w14:paraId="41C92B90" w14:textId="77777777" w:rsidR="0004789B" w:rsidRPr="00850C17" w:rsidRDefault="0004789B" w:rsidP="0004789B">
            <w:pPr>
              <w:rPr>
                <w:rFonts w:cs="Arial"/>
                <w:sz w:val="22"/>
                <w:szCs w:val="22"/>
              </w:rPr>
            </w:pPr>
            <w:r w:rsidRPr="00850C17">
              <w:rPr>
                <w:rFonts w:cs="Arial"/>
                <w:sz w:val="22"/>
                <w:szCs w:val="22"/>
              </w:rPr>
              <w:t>Construction Summary</w:t>
            </w:r>
            <w:r w:rsidRPr="00850C17">
              <w:rPr>
                <w:rFonts w:cs="Arial"/>
                <w:i/>
                <w:sz w:val="22"/>
                <w:szCs w:val="22"/>
              </w:rPr>
              <w:t xml:space="preserve"> </w:t>
            </w:r>
          </w:p>
        </w:tc>
        <w:tc>
          <w:tcPr>
            <w:tcW w:w="7801" w:type="dxa"/>
          </w:tcPr>
          <w:p w14:paraId="5D990AE7" w14:textId="77777777" w:rsidR="0004789B" w:rsidRPr="00850C17" w:rsidRDefault="0004789B" w:rsidP="0004789B">
            <w:pPr>
              <w:rPr>
                <w:rFonts w:cs="Arial"/>
                <w:i/>
                <w:sz w:val="22"/>
                <w:szCs w:val="22"/>
              </w:rPr>
            </w:pPr>
            <w:r w:rsidRPr="00850C17">
              <w:rPr>
                <w:rFonts w:cs="Arial"/>
                <w:i/>
                <w:sz w:val="22"/>
                <w:szCs w:val="22"/>
              </w:rPr>
              <w:t xml:space="preserve">Denominator: </w:t>
            </w:r>
            <w:r w:rsidRPr="00850C17">
              <w:rPr>
                <w:rFonts w:cs="Arial"/>
                <w:sz w:val="22"/>
                <w:szCs w:val="22"/>
              </w:rPr>
              <w:t xml:space="preserve">Number of people on the practice list with a diagnosis of SMI (schizophrenia, bipolar affective disorder and other psychoses) as defined in appendix 1 of the QOF Mental Health Ruleset  v22.0.  Patients identified for this indicator have one or more of these diagnosis codes in their electronic health record.  </w:t>
            </w:r>
          </w:p>
          <w:p w14:paraId="534426B8" w14:textId="77777777" w:rsidR="0004789B" w:rsidRPr="00850C17" w:rsidRDefault="0004789B" w:rsidP="0004789B">
            <w:pPr>
              <w:rPr>
                <w:rFonts w:cs="Arial"/>
                <w:b/>
                <w:i/>
                <w:sz w:val="22"/>
                <w:szCs w:val="22"/>
              </w:rPr>
            </w:pPr>
            <w:r w:rsidRPr="00850C17">
              <w:rPr>
                <w:rFonts w:cs="Arial"/>
                <w:i/>
                <w:sz w:val="22"/>
                <w:szCs w:val="22"/>
              </w:rPr>
              <w:t xml:space="preserve">Numerator: </w:t>
            </w:r>
            <w:r w:rsidRPr="00850C17">
              <w:rPr>
                <w:rFonts w:cs="Arial"/>
                <w:sz w:val="22"/>
                <w:szCs w:val="22"/>
              </w:rPr>
              <w:t>Number of people with a diagnosis of SMI (as above) with a record of BMI, blood pressure, ratio of total cholesterol:hdl, blood glucose or HbA1c, alcohol consumption and smoking status.</w:t>
            </w:r>
          </w:p>
          <w:p w14:paraId="788E42C6" w14:textId="77777777" w:rsidR="0004789B" w:rsidRPr="00850C17" w:rsidRDefault="0004789B" w:rsidP="0004789B">
            <w:pPr>
              <w:rPr>
                <w:rFonts w:cs="Arial"/>
                <w:sz w:val="22"/>
                <w:szCs w:val="22"/>
              </w:rPr>
            </w:pPr>
          </w:p>
        </w:tc>
      </w:tr>
    </w:tbl>
    <w:p w14:paraId="38197F9E" w14:textId="77777777" w:rsidR="00C12977" w:rsidRPr="00850C17" w:rsidRDefault="00C12977" w:rsidP="00395707">
      <w:pPr>
        <w:rPr>
          <w:rFonts w:cs="Arial"/>
          <w:sz w:val="22"/>
          <w:szCs w:val="22"/>
        </w:rPr>
      </w:pPr>
    </w:p>
    <w:tbl>
      <w:tblPr>
        <w:tblStyle w:val="TableGrid"/>
        <w:tblW w:w="9923" w:type="dxa"/>
        <w:tblLook w:val="01E0" w:firstRow="1" w:lastRow="1" w:firstColumn="1" w:lastColumn="1" w:noHBand="0" w:noVBand="0"/>
      </w:tblPr>
      <w:tblGrid>
        <w:gridCol w:w="2127"/>
        <w:gridCol w:w="1418"/>
        <w:gridCol w:w="1842"/>
        <w:gridCol w:w="4536"/>
      </w:tblGrid>
      <w:tr w:rsidR="00850C17" w:rsidRPr="00850C17" w14:paraId="3BA07845" w14:textId="77777777" w:rsidTr="00395707">
        <w:trPr>
          <w:trHeight w:val="229"/>
        </w:trPr>
        <w:tc>
          <w:tcPr>
            <w:tcW w:w="2127" w:type="dxa"/>
          </w:tcPr>
          <w:p w14:paraId="4541AEA9" w14:textId="77777777" w:rsidR="00C12977" w:rsidRPr="00850C17" w:rsidRDefault="00C12977" w:rsidP="00395707">
            <w:pPr>
              <w:rPr>
                <w:rFonts w:cs="Arial"/>
                <w:sz w:val="22"/>
                <w:szCs w:val="22"/>
              </w:rPr>
            </w:pPr>
            <w:r w:rsidRPr="00850C17">
              <w:rPr>
                <w:rFonts w:cs="Arial"/>
                <w:sz w:val="22"/>
                <w:szCs w:val="22"/>
              </w:rPr>
              <w:t xml:space="preserve">Initial IGB discussion </w:t>
            </w:r>
          </w:p>
        </w:tc>
        <w:tc>
          <w:tcPr>
            <w:tcW w:w="1418" w:type="dxa"/>
          </w:tcPr>
          <w:p w14:paraId="03D65035" w14:textId="77777777" w:rsidR="00C12977" w:rsidRPr="00850C17" w:rsidRDefault="00C12977" w:rsidP="00395707">
            <w:pPr>
              <w:rPr>
                <w:rFonts w:cs="Arial"/>
                <w:sz w:val="22"/>
                <w:szCs w:val="22"/>
              </w:rPr>
            </w:pPr>
            <w:r w:rsidRPr="00850C17">
              <w:rPr>
                <w:rFonts w:cs="Arial"/>
                <w:sz w:val="22"/>
                <w:szCs w:val="22"/>
              </w:rPr>
              <w:t>28/05/13</w:t>
            </w:r>
          </w:p>
        </w:tc>
        <w:tc>
          <w:tcPr>
            <w:tcW w:w="1842" w:type="dxa"/>
          </w:tcPr>
          <w:p w14:paraId="4FCFA751" w14:textId="77777777" w:rsidR="00C12977" w:rsidRPr="00850C17" w:rsidRDefault="00C12977" w:rsidP="00395707">
            <w:pPr>
              <w:rPr>
                <w:rFonts w:cs="Arial"/>
                <w:b/>
                <w:sz w:val="22"/>
                <w:szCs w:val="22"/>
              </w:rPr>
            </w:pPr>
            <w:r w:rsidRPr="00850C17">
              <w:rPr>
                <w:rFonts w:cs="Arial"/>
                <w:sz w:val="22"/>
                <w:szCs w:val="22"/>
              </w:rPr>
              <w:t>Further discussed</w:t>
            </w:r>
          </w:p>
        </w:tc>
        <w:tc>
          <w:tcPr>
            <w:tcW w:w="4536" w:type="dxa"/>
          </w:tcPr>
          <w:p w14:paraId="6C52B2C1" w14:textId="77777777" w:rsidR="00C12977" w:rsidRPr="00850C17" w:rsidRDefault="00C12977" w:rsidP="00395707">
            <w:pPr>
              <w:rPr>
                <w:rFonts w:cs="Arial"/>
                <w:b/>
                <w:sz w:val="22"/>
                <w:szCs w:val="22"/>
              </w:rPr>
            </w:pPr>
          </w:p>
        </w:tc>
      </w:tr>
    </w:tbl>
    <w:p w14:paraId="1632C71C" w14:textId="77777777" w:rsidR="00C12977" w:rsidRPr="00850C17" w:rsidRDefault="00C12977" w:rsidP="00395707">
      <w:pPr>
        <w:rPr>
          <w:rFonts w:cs="Arial"/>
          <w:sz w:val="22"/>
          <w:szCs w:val="22"/>
        </w:rPr>
      </w:pPr>
    </w:p>
    <w:tbl>
      <w:tblPr>
        <w:tblStyle w:val="TableGrid"/>
        <w:tblW w:w="9923" w:type="dxa"/>
        <w:tblLayout w:type="fixed"/>
        <w:tblLook w:val="01E0" w:firstRow="1" w:lastRow="1" w:firstColumn="1" w:lastColumn="1" w:noHBand="0" w:noVBand="0"/>
      </w:tblPr>
      <w:tblGrid>
        <w:gridCol w:w="2119"/>
        <w:gridCol w:w="7804"/>
      </w:tblGrid>
      <w:tr w:rsidR="0004789B" w:rsidRPr="00850C17" w14:paraId="700ABA33" w14:textId="77777777" w:rsidTr="00395707">
        <w:tc>
          <w:tcPr>
            <w:tcW w:w="2119" w:type="dxa"/>
          </w:tcPr>
          <w:p w14:paraId="7951816B" w14:textId="77777777" w:rsidR="0004789B" w:rsidRPr="00850C17" w:rsidRDefault="0004789B" w:rsidP="0004789B">
            <w:pPr>
              <w:rPr>
                <w:rFonts w:cs="Arial"/>
                <w:sz w:val="22"/>
                <w:szCs w:val="22"/>
              </w:rPr>
            </w:pPr>
          </w:p>
        </w:tc>
        <w:tc>
          <w:tcPr>
            <w:tcW w:w="7804" w:type="dxa"/>
          </w:tcPr>
          <w:p w14:paraId="46DEE52D" w14:textId="5CF970DE" w:rsidR="0004789B" w:rsidRPr="00850C17" w:rsidRDefault="0004789B" w:rsidP="0004789B">
            <w:pPr>
              <w:rPr>
                <w:rFonts w:cs="Arial"/>
                <w:sz w:val="22"/>
                <w:szCs w:val="22"/>
              </w:rPr>
            </w:pPr>
            <w:r w:rsidRPr="00850C17">
              <w:rPr>
                <w:rFonts w:cs="Arial"/>
                <w:b/>
                <w:sz w:val="22"/>
                <w:szCs w:val="22"/>
              </w:rPr>
              <w:t>Strategic Considerations &amp; Implications</w:t>
            </w:r>
          </w:p>
        </w:tc>
      </w:tr>
      <w:tr w:rsidR="0004789B" w:rsidRPr="00850C17" w14:paraId="13410C2A" w14:textId="77777777" w:rsidTr="00395707">
        <w:tc>
          <w:tcPr>
            <w:tcW w:w="2119" w:type="dxa"/>
          </w:tcPr>
          <w:p w14:paraId="23A5286F" w14:textId="2991B0F3" w:rsidR="0004789B" w:rsidRPr="00850C17" w:rsidRDefault="0004789B" w:rsidP="0004789B">
            <w:pPr>
              <w:rPr>
                <w:rFonts w:cs="Arial"/>
                <w:sz w:val="22"/>
                <w:szCs w:val="22"/>
              </w:rPr>
            </w:pPr>
            <w:r w:rsidRPr="00850C17">
              <w:rPr>
                <w:rFonts w:cs="Arial"/>
                <w:sz w:val="22"/>
                <w:szCs w:val="22"/>
              </w:rPr>
              <w:t>Applicant / Sponsor Organisation</w:t>
            </w:r>
          </w:p>
        </w:tc>
        <w:tc>
          <w:tcPr>
            <w:tcW w:w="7804" w:type="dxa"/>
          </w:tcPr>
          <w:p w14:paraId="553E1193" w14:textId="77777777" w:rsidR="0004789B" w:rsidRPr="00850C17" w:rsidRDefault="0004789B" w:rsidP="0004789B">
            <w:pPr>
              <w:rPr>
                <w:rFonts w:cs="Arial"/>
                <w:sz w:val="22"/>
                <w:szCs w:val="22"/>
              </w:rPr>
            </w:pPr>
            <w:r w:rsidRPr="00850C17">
              <w:rPr>
                <w:rFonts w:cs="Arial"/>
                <w:sz w:val="22"/>
                <w:szCs w:val="22"/>
              </w:rPr>
              <w:t>NHS England</w:t>
            </w:r>
          </w:p>
          <w:p w14:paraId="120CE1D9" w14:textId="49351030" w:rsidR="0004789B" w:rsidRPr="00850C17" w:rsidRDefault="0004789B" w:rsidP="0004789B">
            <w:pPr>
              <w:rPr>
                <w:rFonts w:cs="Arial"/>
                <w:sz w:val="22"/>
                <w:szCs w:val="22"/>
              </w:rPr>
            </w:pPr>
            <w:r w:rsidRPr="00850C17">
              <w:rPr>
                <w:rFonts w:cs="Arial"/>
                <w:sz w:val="22"/>
                <w:szCs w:val="22"/>
              </w:rPr>
              <w:t>*Costing for assurance appraisal included in development cost</w:t>
            </w:r>
          </w:p>
        </w:tc>
      </w:tr>
      <w:tr w:rsidR="0004789B" w:rsidRPr="00850C17" w14:paraId="374A0BC9" w14:textId="77777777" w:rsidTr="00395707">
        <w:tc>
          <w:tcPr>
            <w:tcW w:w="2119" w:type="dxa"/>
          </w:tcPr>
          <w:p w14:paraId="21155C6F" w14:textId="390A3B30" w:rsidR="0004789B" w:rsidRPr="00850C17" w:rsidRDefault="0004789B" w:rsidP="0004789B">
            <w:pPr>
              <w:rPr>
                <w:rFonts w:cs="Arial"/>
                <w:sz w:val="22"/>
                <w:szCs w:val="22"/>
              </w:rPr>
            </w:pPr>
            <w:r w:rsidRPr="00850C17">
              <w:rPr>
                <w:rFonts w:cs="Arial"/>
                <w:sz w:val="22"/>
                <w:szCs w:val="22"/>
              </w:rPr>
              <w:t>Assurance  process funded?</w:t>
            </w:r>
          </w:p>
        </w:tc>
        <w:tc>
          <w:tcPr>
            <w:tcW w:w="7804" w:type="dxa"/>
          </w:tcPr>
          <w:p w14:paraId="4B87E431" w14:textId="46E80546" w:rsidR="0004789B" w:rsidRPr="00850C17" w:rsidRDefault="0004789B" w:rsidP="0004789B">
            <w:pPr>
              <w:rPr>
                <w:rFonts w:cs="Arial"/>
                <w:sz w:val="22"/>
                <w:szCs w:val="22"/>
              </w:rPr>
            </w:pPr>
            <w:r>
              <w:rPr>
                <w:rFonts w:cs="Arial"/>
                <w:sz w:val="22"/>
                <w:szCs w:val="22"/>
              </w:rPr>
              <w:t>Yes</w:t>
            </w:r>
          </w:p>
        </w:tc>
      </w:tr>
      <w:tr w:rsidR="0004789B" w:rsidRPr="00850C17" w14:paraId="338FA0DB" w14:textId="77777777" w:rsidTr="00395707">
        <w:tc>
          <w:tcPr>
            <w:tcW w:w="2119" w:type="dxa"/>
          </w:tcPr>
          <w:p w14:paraId="493F3E82" w14:textId="77777777" w:rsidR="0004789B" w:rsidRPr="00850C17" w:rsidRDefault="0004789B" w:rsidP="0004789B">
            <w:pPr>
              <w:rPr>
                <w:rFonts w:cs="Arial"/>
                <w:sz w:val="22"/>
                <w:szCs w:val="22"/>
              </w:rPr>
            </w:pPr>
            <w:r w:rsidRPr="00850C17">
              <w:rPr>
                <w:rFonts w:cs="Arial"/>
                <w:sz w:val="22"/>
                <w:szCs w:val="22"/>
              </w:rPr>
              <w:t xml:space="preserve">Indicator rationale </w:t>
            </w:r>
          </w:p>
        </w:tc>
        <w:tc>
          <w:tcPr>
            <w:tcW w:w="7804" w:type="dxa"/>
          </w:tcPr>
          <w:p w14:paraId="1A4DD60C" w14:textId="77777777" w:rsidR="0004789B" w:rsidRPr="00850C17" w:rsidRDefault="0004789B" w:rsidP="0004789B">
            <w:pPr>
              <w:rPr>
                <w:rFonts w:cs="Arial"/>
                <w:sz w:val="22"/>
                <w:szCs w:val="22"/>
              </w:rPr>
            </w:pPr>
            <w:r w:rsidRPr="00850C17">
              <w:rPr>
                <w:rFonts w:cs="Arial"/>
                <w:sz w:val="22"/>
                <w:szCs w:val="22"/>
              </w:rPr>
              <w:t>It is expected that CCGs will use this to identify which of the physical checks are not being carried out and which patients this relates to, so that the checks can be carried out and the care for the patient be made appropriate.</w:t>
            </w:r>
          </w:p>
          <w:p w14:paraId="37195583" w14:textId="77777777" w:rsidR="0004789B" w:rsidRPr="00850C17" w:rsidRDefault="0004789B" w:rsidP="0004789B">
            <w:pPr>
              <w:rPr>
                <w:rFonts w:cs="Arial"/>
                <w:sz w:val="22"/>
                <w:szCs w:val="22"/>
              </w:rPr>
            </w:pPr>
          </w:p>
          <w:p w14:paraId="61F2638C" w14:textId="77777777" w:rsidR="0004789B" w:rsidRPr="00850C17" w:rsidRDefault="0004789B" w:rsidP="0004789B">
            <w:pPr>
              <w:rPr>
                <w:rFonts w:cs="Arial"/>
                <w:sz w:val="22"/>
                <w:szCs w:val="22"/>
              </w:rPr>
            </w:pPr>
            <w:r w:rsidRPr="00850C17">
              <w:rPr>
                <w:rFonts w:cs="Arial"/>
                <w:sz w:val="22"/>
                <w:szCs w:val="22"/>
              </w:rPr>
              <w:t>The aspect that is being measured is that relating to receiving a complete list of physical checks appropriate to their age and condition.</w:t>
            </w:r>
          </w:p>
          <w:p w14:paraId="2AE1CD59" w14:textId="77777777" w:rsidR="0004789B" w:rsidRPr="00850C17" w:rsidRDefault="0004789B" w:rsidP="0004789B">
            <w:pPr>
              <w:rPr>
                <w:rFonts w:cs="Arial"/>
                <w:sz w:val="22"/>
                <w:szCs w:val="22"/>
              </w:rPr>
            </w:pPr>
          </w:p>
        </w:tc>
      </w:tr>
      <w:tr w:rsidR="0004789B" w:rsidRPr="00850C17" w14:paraId="5D28E01F" w14:textId="77777777" w:rsidTr="00395707">
        <w:tc>
          <w:tcPr>
            <w:tcW w:w="2119" w:type="dxa"/>
          </w:tcPr>
          <w:p w14:paraId="281ABD03" w14:textId="77777777" w:rsidR="0004789B" w:rsidRPr="00850C17" w:rsidRDefault="0004789B" w:rsidP="0004789B">
            <w:pPr>
              <w:rPr>
                <w:rFonts w:cs="Arial"/>
                <w:sz w:val="22"/>
                <w:szCs w:val="22"/>
              </w:rPr>
            </w:pPr>
            <w:r w:rsidRPr="00850C17">
              <w:rPr>
                <w:rFonts w:cs="Arial"/>
                <w:sz w:val="22"/>
                <w:szCs w:val="22"/>
              </w:rPr>
              <w:t xml:space="preserve">Basis for rationale </w:t>
            </w:r>
          </w:p>
          <w:p w14:paraId="24D1F28F" w14:textId="77777777" w:rsidR="0004789B" w:rsidRPr="00850C17" w:rsidRDefault="0004789B" w:rsidP="0004789B">
            <w:pPr>
              <w:rPr>
                <w:rFonts w:cs="Arial"/>
                <w:sz w:val="22"/>
                <w:szCs w:val="22"/>
              </w:rPr>
            </w:pPr>
            <w:r w:rsidRPr="00850C17">
              <w:rPr>
                <w:rFonts w:cs="Arial"/>
                <w:sz w:val="22"/>
                <w:szCs w:val="22"/>
              </w:rPr>
              <w:t>[Details of quality statement, policy etc.]</w:t>
            </w:r>
            <w:r w:rsidRPr="00850C17">
              <w:rPr>
                <w:rFonts w:cs="Arial"/>
                <w:i/>
                <w:sz w:val="22"/>
                <w:szCs w:val="22"/>
              </w:rPr>
              <w:t xml:space="preserve"> </w:t>
            </w:r>
          </w:p>
        </w:tc>
        <w:tc>
          <w:tcPr>
            <w:tcW w:w="7804" w:type="dxa"/>
          </w:tcPr>
          <w:p w14:paraId="255322F4" w14:textId="77777777" w:rsidR="0004789B" w:rsidRPr="00850C17" w:rsidRDefault="0004789B" w:rsidP="0004789B">
            <w:pPr>
              <w:rPr>
                <w:rFonts w:cs="Arial"/>
                <w:sz w:val="22"/>
                <w:szCs w:val="22"/>
              </w:rPr>
            </w:pPr>
            <w:r w:rsidRPr="00850C17">
              <w:rPr>
                <w:rFonts w:cs="Arial"/>
                <w:sz w:val="22"/>
                <w:szCs w:val="22"/>
              </w:rPr>
              <w:t>This indicator will support the delivery of healthcare to meet the NICE clinical guideline CG82 on schizophrenia recommendation 1.1.4.1 which says “people with schizophrenia receive a comprehensive multidisciplinary assessment, including a psychiatric, psychological and physical health assessment”</w:t>
            </w:r>
          </w:p>
          <w:p w14:paraId="0170BDAA" w14:textId="77777777" w:rsidR="0004789B" w:rsidRPr="00850C17" w:rsidRDefault="0004789B" w:rsidP="0004789B">
            <w:pPr>
              <w:rPr>
                <w:rFonts w:cs="Arial"/>
                <w:sz w:val="22"/>
                <w:szCs w:val="22"/>
              </w:rPr>
            </w:pPr>
          </w:p>
        </w:tc>
      </w:tr>
      <w:tr w:rsidR="0004789B" w:rsidRPr="00850C17" w14:paraId="7F086731" w14:textId="77777777" w:rsidTr="0004789B">
        <w:trPr>
          <w:trHeight w:val="1503"/>
        </w:trPr>
        <w:tc>
          <w:tcPr>
            <w:tcW w:w="2119" w:type="dxa"/>
          </w:tcPr>
          <w:p w14:paraId="042AFC67" w14:textId="77777777" w:rsidR="0004789B" w:rsidRPr="00850C17" w:rsidRDefault="0004789B" w:rsidP="0004789B">
            <w:pPr>
              <w:rPr>
                <w:rFonts w:cs="Arial"/>
                <w:sz w:val="22"/>
                <w:szCs w:val="22"/>
              </w:rPr>
            </w:pPr>
            <w:r w:rsidRPr="00850C17">
              <w:rPr>
                <w:rFonts w:cs="Arial"/>
                <w:sz w:val="22"/>
                <w:szCs w:val="22"/>
              </w:rPr>
              <w:t>Risks &amp; assumptions</w:t>
            </w:r>
          </w:p>
        </w:tc>
        <w:tc>
          <w:tcPr>
            <w:tcW w:w="7804" w:type="dxa"/>
          </w:tcPr>
          <w:p w14:paraId="0021B305" w14:textId="77777777" w:rsidR="0004789B" w:rsidRPr="00850C17" w:rsidRDefault="0004789B" w:rsidP="0004789B">
            <w:pPr>
              <w:pStyle w:val="ListParagraph"/>
              <w:numPr>
                <w:ilvl w:val="0"/>
                <w:numId w:val="22"/>
              </w:numPr>
              <w:spacing w:after="0"/>
              <w:contextualSpacing/>
              <w:textboxTightWrap w:val="none"/>
              <w:rPr>
                <w:rFonts w:cs="Arial"/>
                <w:sz w:val="22"/>
                <w:szCs w:val="22"/>
              </w:rPr>
            </w:pPr>
            <w:r w:rsidRPr="00850C17">
              <w:rPr>
                <w:rFonts w:cs="Arial"/>
                <w:sz w:val="22"/>
                <w:szCs w:val="22"/>
              </w:rPr>
              <w:t>The indicator is reliant on GPES delivery</w:t>
            </w:r>
          </w:p>
          <w:p w14:paraId="27DD71C1" w14:textId="77777777" w:rsidR="0004789B" w:rsidRPr="00850C17" w:rsidRDefault="0004789B" w:rsidP="0004789B">
            <w:pPr>
              <w:pStyle w:val="ListParagraph"/>
              <w:numPr>
                <w:ilvl w:val="0"/>
                <w:numId w:val="22"/>
              </w:numPr>
              <w:spacing w:after="0"/>
              <w:contextualSpacing/>
              <w:textboxTightWrap w:val="none"/>
              <w:rPr>
                <w:rFonts w:cs="Arial"/>
                <w:sz w:val="22"/>
                <w:szCs w:val="22"/>
              </w:rPr>
            </w:pPr>
            <w:r w:rsidRPr="00850C17">
              <w:rPr>
                <w:rFonts w:cs="Arial"/>
                <w:sz w:val="22"/>
                <w:szCs w:val="22"/>
              </w:rPr>
              <w:t>GPES IAG has given approval for the extract request for this indicator</w:t>
            </w:r>
          </w:p>
          <w:p w14:paraId="7561AFA9" w14:textId="77777777" w:rsidR="0004789B" w:rsidRPr="00850C17" w:rsidRDefault="0004789B" w:rsidP="0004789B">
            <w:pPr>
              <w:rPr>
                <w:rFonts w:cs="Arial"/>
                <w:sz w:val="22"/>
                <w:szCs w:val="22"/>
              </w:rPr>
            </w:pPr>
          </w:p>
          <w:p w14:paraId="3F9CD79D" w14:textId="77777777" w:rsidR="0004789B" w:rsidRPr="00850C17" w:rsidRDefault="0004789B" w:rsidP="0004789B">
            <w:pPr>
              <w:rPr>
                <w:rFonts w:cs="Arial"/>
                <w:sz w:val="22"/>
                <w:szCs w:val="22"/>
              </w:rPr>
            </w:pPr>
          </w:p>
        </w:tc>
      </w:tr>
      <w:tr w:rsidR="0004789B" w:rsidRPr="00850C17" w14:paraId="5A80C445" w14:textId="77777777" w:rsidTr="00395707">
        <w:trPr>
          <w:trHeight w:val="427"/>
        </w:trPr>
        <w:tc>
          <w:tcPr>
            <w:tcW w:w="2119" w:type="dxa"/>
          </w:tcPr>
          <w:p w14:paraId="633D3DF9" w14:textId="785B11CB" w:rsidR="0004789B" w:rsidRPr="00850C17" w:rsidRDefault="0004789B" w:rsidP="0004789B">
            <w:pPr>
              <w:rPr>
                <w:rFonts w:cs="Arial"/>
                <w:sz w:val="22"/>
                <w:szCs w:val="22"/>
              </w:rPr>
            </w:pPr>
            <w:r w:rsidRPr="00850C17">
              <w:rPr>
                <w:rFonts w:cs="Arial"/>
                <w:sz w:val="22"/>
                <w:szCs w:val="22"/>
              </w:rPr>
              <w:t>IG Considerations  [e.g. release of under-lying data, intermediaries access to data, data ownership impact on production]</w:t>
            </w:r>
          </w:p>
        </w:tc>
        <w:tc>
          <w:tcPr>
            <w:tcW w:w="7804" w:type="dxa"/>
          </w:tcPr>
          <w:p w14:paraId="3C2290A5" w14:textId="77777777" w:rsidR="0004789B" w:rsidRDefault="0004789B" w:rsidP="0004789B">
            <w:pPr>
              <w:rPr>
                <w:rFonts w:cs="Arial"/>
                <w:sz w:val="22"/>
                <w:szCs w:val="22"/>
              </w:rPr>
            </w:pPr>
            <w:r w:rsidRPr="00850C17">
              <w:rPr>
                <w:rFonts w:cs="Arial"/>
                <w:i/>
                <w:sz w:val="22"/>
                <w:szCs w:val="22"/>
              </w:rPr>
              <w:t>Data Source:</w:t>
            </w:r>
            <w:r w:rsidRPr="00850C17">
              <w:rPr>
                <w:rFonts w:cs="Arial"/>
                <w:sz w:val="22"/>
                <w:szCs w:val="22"/>
              </w:rPr>
              <w:t xml:space="preserve"> GPES</w:t>
            </w:r>
            <w:r w:rsidRPr="00850C17">
              <w:rPr>
                <w:rFonts w:cs="Arial"/>
                <w:sz w:val="22"/>
                <w:szCs w:val="22"/>
              </w:rPr>
              <w:t xml:space="preserve"> </w:t>
            </w:r>
          </w:p>
          <w:p w14:paraId="3F7F6DF9" w14:textId="0EAFE04F" w:rsidR="0004789B" w:rsidRDefault="0004789B" w:rsidP="0004789B">
            <w:pPr>
              <w:rPr>
                <w:rFonts w:cs="Arial"/>
                <w:sz w:val="22"/>
                <w:szCs w:val="22"/>
              </w:rPr>
            </w:pPr>
            <w:r w:rsidRPr="00850C17">
              <w:rPr>
                <w:rFonts w:cs="Arial"/>
                <w:sz w:val="22"/>
                <w:szCs w:val="22"/>
              </w:rPr>
              <w:t>Access to the underlying data could potentially be sourced from HSCIC who will hold extracted GPES data for a set period or from requests to GPES directly</w:t>
            </w:r>
          </w:p>
          <w:p w14:paraId="16AAAE3E" w14:textId="77777777" w:rsidR="0004789B" w:rsidRPr="00850C17" w:rsidRDefault="0004789B" w:rsidP="0004789B">
            <w:pPr>
              <w:rPr>
                <w:rFonts w:cs="Arial"/>
                <w:sz w:val="22"/>
                <w:szCs w:val="22"/>
              </w:rPr>
            </w:pPr>
          </w:p>
          <w:p w14:paraId="2CEB50A0" w14:textId="77777777" w:rsidR="0004789B" w:rsidRPr="00850C17" w:rsidRDefault="0004789B" w:rsidP="0004789B">
            <w:pPr>
              <w:rPr>
                <w:rFonts w:cs="Arial"/>
                <w:sz w:val="22"/>
                <w:szCs w:val="22"/>
              </w:rPr>
            </w:pPr>
          </w:p>
        </w:tc>
      </w:tr>
      <w:tr w:rsidR="0004789B" w:rsidRPr="00850C17" w14:paraId="6A166F2E" w14:textId="77777777" w:rsidTr="00395707">
        <w:tc>
          <w:tcPr>
            <w:tcW w:w="2119" w:type="dxa"/>
          </w:tcPr>
          <w:p w14:paraId="18F6631C" w14:textId="77777777" w:rsidR="0004789B" w:rsidRPr="00850C17" w:rsidRDefault="0004789B" w:rsidP="0004789B">
            <w:pPr>
              <w:rPr>
                <w:rFonts w:cs="Arial"/>
                <w:sz w:val="22"/>
                <w:szCs w:val="22"/>
              </w:rPr>
            </w:pPr>
            <w:r w:rsidRPr="00850C17">
              <w:rPr>
                <w:rFonts w:cs="Arial"/>
                <w:sz w:val="22"/>
                <w:szCs w:val="22"/>
              </w:rPr>
              <w:t>Potential impacts on other business areas [inc outstanding generic issues]</w:t>
            </w:r>
          </w:p>
        </w:tc>
        <w:tc>
          <w:tcPr>
            <w:tcW w:w="7804" w:type="dxa"/>
          </w:tcPr>
          <w:p w14:paraId="3F44ED0F" w14:textId="77777777" w:rsidR="0004789B" w:rsidRPr="00850C17" w:rsidRDefault="0004789B" w:rsidP="0004789B">
            <w:pPr>
              <w:rPr>
                <w:rFonts w:cs="Arial"/>
                <w:sz w:val="22"/>
                <w:szCs w:val="22"/>
              </w:rPr>
            </w:pPr>
            <w:r w:rsidRPr="00850C17">
              <w:rPr>
                <w:rFonts w:cs="Arial"/>
                <w:sz w:val="22"/>
                <w:szCs w:val="22"/>
              </w:rPr>
              <w:t xml:space="preserve">Although this indicator is not seen anywhere else, it is made up of elements of other indicators.  This indicator shows how many patients with an SMI, schizophrenia, bipolar affective disorder and other psychoses, have received a complete list of six physical checks.  Each of these checks is individually an indicator within the Quality and Outcomes Framework (QOF).  </w:t>
            </w:r>
          </w:p>
          <w:p w14:paraId="524721A7" w14:textId="77777777" w:rsidR="0004789B" w:rsidRPr="00850C17" w:rsidRDefault="0004789B" w:rsidP="0004789B">
            <w:pPr>
              <w:rPr>
                <w:rFonts w:cs="Arial"/>
                <w:b/>
                <w:sz w:val="22"/>
                <w:szCs w:val="22"/>
              </w:rPr>
            </w:pPr>
          </w:p>
          <w:p w14:paraId="0DE2EF45" w14:textId="77777777" w:rsidR="0004789B" w:rsidRPr="00850C17" w:rsidRDefault="0004789B" w:rsidP="0004789B">
            <w:pPr>
              <w:rPr>
                <w:rFonts w:cs="Arial"/>
                <w:sz w:val="22"/>
                <w:szCs w:val="22"/>
              </w:rPr>
            </w:pPr>
            <w:r w:rsidRPr="00850C17">
              <w:rPr>
                <w:rFonts w:cs="Arial"/>
                <w:b/>
                <w:sz w:val="22"/>
                <w:szCs w:val="22"/>
              </w:rPr>
              <w:t>General Comment on all GPES based indicators</w:t>
            </w:r>
          </w:p>
          <w:p w14:paraId="5601D73F" w14:textId="77777777" w:rsidR="0004789B" w:rsidRPr="00850C17" w:rsidRDefault="0004789B" w:rsidP="0004789B">
            <w:pPr>
              <w:pStyle w:val="ListParagraph"/>
              <w:numPr>
                <w:ilvl w:val="0"/>
                <w:numId w:val="23"/>
              </w:numPr>
              <w:spacing w:after="0"/>
              <w:contextualSpacing/>
              <w:textboxTightWrap w:val="none"/>
              <w:rPr>
                <w:rFonts w:cs="Arial"/>
                <w:sz w:val="22"/>
                <w:szCs w:val="22"/>
              </w:rPr>
            </w:pPr>
            <w:r w:rsidRPr="00850C17">
              <w:rPr>
                <w:rFonts w:cs="Arial"/>
                <w:sz w:val="22"/>
                <w:szCs w:val="22"/>
              </w:rPr>
              <w:t xml:space="preserve">At present GPES is something of an unknown source with the quality not known until the data is started to be used.  </w:t>
            </w:r>
          </w:p>
          <w:p w14:paraId="1FAB7A09" w14:textId="77777777" w:rsidR="0004789B" w:rsidRPr="00850C17" w:rsidRDefault="0004789B" w:rsidP="0004789B">
            <w:pPr>
              <w:pStyle w:val="ListParagraph"/>
              <w:numPr>
                <w:ilvl w:val="0"/>
                <w:numId w:val="23"/>
              </w:numPr>
              <w:spacing w:after="0"/>
              <w:contextualSpacing/>
              <w:textboxTightWrap w:val="none"/>
              <w:rPr>
                <w:rFonts w:cs="Arial"/>
                <w:sz w:val="22"/>
                <w:szCs w:val="22"/>
              </w:rPr>
            </w:pPr>
            <w:r w:rsidRPr="00850C17">
              <w:rPr>
                <w:rFonts w:cs="Arial"/>
                <w:sz w:val="22"/>
                <w:szCs w:val="22"/>
              </w:rPr>
              <w:t xml:space="preserve">MRG commented on the issue of “deregistered patients” i.e. those who have left but remain on the GP list, and those who have died.  This was a general observation about GP records and a recommendation to further consider the issue of exclusion of patients who have died during the year.  </w:t>
            </w:r>
          </w:p>
          <w:p w14:paraId="10755F33" w14:textId="77777777" w:rsidR="0004789B" w:rsidRPr="00850C17" w:rsidRDefault="0004789B" w:rsidP="0004789B">
            <w:pPr>
              <w:pStyle w:val="ListParagraph"/>
              <w:numPr>
                <w:ilvl w:val="0"/>
                <w:numId w:val="23"/>
              </w:numPr>
              <w:spacing w:after="0"/>
              <w:contextualSpacing/>
              <w:textboxTightWrap w:val="none"/>
              <w:rPr>
                <w:rFonts w:cs="Arial"/>
                <w:sz w:val="22"/>
                <w:szCs w:val="22"/>
              </w:rPr>
            </w:pPr>
            <w:r w:rsidRPr="00850C17">
              <w:rPr>
                <w:rFonts w:cs="Arial"/>
                <w:sz w:val="22"/>
                <w:szCs w:val="22"/>
              </w:rPr>
              <w:t>GPES are currently waiting for a response from system suppliers as to whether records of deceased patients could be queried from an archive.</w:t>
            </w:r>
          </w:p>
          <w:p w14:paraId="01D1D649" w14:textId="77777777" w:rsidR="0004789B" w:rsidRPr="00850C17" w:rsidRDefault="0004789B" w:rsidP="0004789B">
            <w:pPr>
              <w:rPr>
                <w:rFonts w:cs="Arial"/>
                <w:sz w:val="22"/>
                <w:szCs w:val="22"/>
              </w:rPr>
            </w:pPr>
          </w:p>
        </w:tc>
      </w:tr>
      <w:tr w:rsidR="0004789B" w:rsidRPr="00850C17" w14:paraId="3338237A" w14:textId="77777777" w:rsidTr="00395707">
        <w:tc>
          <w:tcPr>
            <w:tcW w:w="2119" w:type="dxa"/>
          </w:tcPr>
          <w:p w14:paraId="79B42E8C" w14:textId="77777777" w:rsidR="0004789B" w:rsidRPr="00850C17" w:rsidRDefault="0004789B" w:rsidP="0004789B">
            <w:pPr>
              <w:rPr>
                <w:rFonts w:cs="Arial"/>
                <w:sz w:val="22"/>
                <w:szCs w:val="22"/>
              </w:rPr>
            </w:pPr>
            <w:r w:rsidRPr="00850C17">
              <w:rPr>
                <w:rFonts w:cs="Arial"/>
                <w:sz w:val="22"/>
                <w:szCs w:val="22"/>
              </w:rPr>
              <w:t>Implementation Method</w:t>
            </w:r>
          </w:p>
          <w:p w14:paraId="106AA4DA" w14:textId="77777777" w:rsidR="0004789B" w:rsidRPr="00850C17" w:rsidRDefault="0004789B" w:rsidP="0004789B">
            <w:pPr>
              <w:rPr>
                <w:rFonts w:cs="Arial"/>
                <w:i/>
                <w:sz w:val="22"/>
                <w:szCs w:val="22"/>
              </w:rPr>
            </w:pPr>
            <w:r w:rsidRPr="00850C17">
              <w:rPr>
                <w:rFonts w:cs="Arial"/>
                <w:sz w:val="22"/>
                <w:szCs w:val="22"/>
              </w:rPr>
              <w:t>[inc production funding]</w:t>
            </w:r>
          </w:p>
        </w:tc>
        <w:tc>
          <w:tcPr>
            <w:tcW w:w="7804" w:type="dxa"/>
          </w:tcPr>
          <w:p w14:paraId="6642F990" w14:textId="77777777" w:rsidR="0004789B" w:rsidRPr="00850C17" w:rsidRDefault="0004789B" w:rsidP="0004789B">
            <w:pPr>
              <w:rPr>
                <w:rFonts w:cs="Arial"/>
                <w:sz w:val="22"/>
                <w:szCs w:val="22"/>
              </w:rPr>
            </w:pPr>
            <w:r w:rsidRPr="00850C17">
              <w:rPr>
                <w:rFonts w:cs="Arial"/>
                <w:sz w:val="22"/>
                <w:szCs w:val="22"/>
              </w:rPr>
              <w:t>NHS England has commissioned HSCIC to produce and disseminate the CCG OIS indicators; this is funded via the Grant In Aid funding to HSCIC.</w:t>
            </w:r>
          </w:p>
          <w:p w14:paraId="326CF642" w14:textId="77777777" w:rsidR="0004789B" w:rsidRPr="00850C17" w:rsidRDefault="0004789B" w:rsidP="0004789B">
            <w:pPr>
              <w:rPr>
                <w:rFonts w:cs="Arial"/>
                <w:sz w:val="22"/>
                <w:szCs w:val="22"/>
              </w:rPr>
            </w:pPr>
          </w:p>
          <w:p w14:paraId="19301FDD" w14:textId="77777777" w:rsidR="0004789B" w:rsidRPr="00850C17" w:rsidRDefault="0004789B" w:rsidP="0004789B">
            <w:pPr>
              <w:rPr>
                <w:rFonts w:cs="Arial"/>
                <w:sz w:val="22"/>
                <w:szCs w:val="22"/>
              </w:rPr>
            </w:pPr>
            <w:r w:rsidRPr="00850C17">
              <w:rPr>
                <w:rFonts w:cs="Arial"/>
                <w:sz w:val="22"/>
                <w:szCs w:val="22"/>
              </w:rPr>
              <w:t>Collection of the data for the CCG OIS is via existing data collections, in this case the Improving Access to Psychological Therapies dataset.  Testing and specification of the indicators is carried out by the Specification Development Service and construction of the indicators is provided by Clinical Indicators via the CI Platform.</w:t>
            </w:r>
          </w:p>
          <w:p w14:paraId="66432B9D" w14:textId="77777777" w:rsidR="0004789B" w:rsidRPr="00850C17" w:rsidRDefault="0004789B" w:rsidP="0004789B">
            <w:pPr>
              <w:rPr>
                <w:rFonts w:cs="Arial"/>
                <w:sz w:val="22"/>
                <w:szCs w:val="22"/>
              </w:rPr>
            </w:pPr>
          </w:p>
          <w:p w14:paraId="39ED0711" w14:textId="77777777" w:rsidR="0004789B" w:rsidRPr="00850C17" w:rsidRDefault="0004789B" w:rsidP="0004789B">
            <w:pPr>
              <w:rPr>
                <w:rFonts w:cs="Arial"/>
                <w:sz w:val="22"/>
                <w:szCs w:val="22"/>
              </w:rPr>
            </w:pPr>
            <w:r w:rsidRPr="00850C17">
              <w:rPr>
                <w:rFonts w:cs="Arial"/>
                <w:sz w:val="22"/>
                <w:szCs w:val="22"/>
              </w:rPr>
              <w:t>Dissemination and presentation of the CCG OIS will be via a number of routes:</w:t>
            </w:r>
          </w:p>
          <w:p w14:paraId="5534F9A1" w14:textId="77777777" w:rsidR="0004789B" w:rsidRPr="00850C17" w:rsidRDefault="0004789B" w:rsidP="0004789B">
            <w:pPr>
              <w:pStyle w:val="ListParagraph"/>
              <w:numPr>
                <w:ilvl w:val="0"/>
                <w:numId w:val="21"/>
              </w:numPr>
              <w:spacing w:after="0"/>
              <w:contextualSpacing/>
              <w:textboxTightWrap w:val="none"/>
              <w:rPr>
                <w:rFonts w:cs="Arial"/>
                <w:sz w:val="22"/>
                <w:szCs w:val="22"/>
              </w:rPr>
            </w:pPr>
            <w:r w:rsidRPr="00850C17">
              <w:rPr>
                <w:rFonts w:cs="Arial"/>
                <w:sz w:val="22"/>
                <w:szCs w:val="22"/>
              </w:rPr>
              <w:t xml:space="preserve">The calculated indicator, numerator and denominator for CCGs will be supplied by messaging to the Calculating Quality Reporting Service (CQRS) for use by CCGs as part of their management information </w:t>
            </w:r>
            <w:r w:rsidRPr="00850C17">
              <w:rPr>
                <w:rFonts w:cs="Arial"/>
                <w:i/>
                <w:sz w:val="22"/>
                <w:szCs w:val="22"/>
              </w:rPr>
              <w:t>– this is to be confirmed by NHS England</w:t>
            </w:r>
          </w:p>
          <w:p w14:paraId="6C598940" w14:textId="77777777" w:rsidR="0004789B" w:rsidRPr="00850C17" w:rsidRDefault="0004789B" w:rsidP="0004789B">
            <w:pPr>
              <w:pStyle w:val="ListParagraph"/>
              <w:numPr>
                <w:ilvl w:val="0"/>
                <w:numId w:val="21"/>
              </w:numPr>
              <w:spacing w:after="0"/>
              <w:contextualSpacing/>
              <w:textboxTightWrap w:val="none"/>
              <w:rPr>
                <w:rFonts w:cs="Arial"/>
                <w:sz w:val="22"/>
                <w:szCs w:val="22"/>
              </w:rPr>
            </w:pPr>
            <w:r w:rsidRPr="00850C17">
              <w:rPr>
                <w:rFonts w:cs="Arial"/>
                <w:sz w:val="22"/>
                <w:szCs w:val="22"/>
              </w:rPr>
              <w:t xml:space="preserve">The indicators and their underlying data will be made publically available via the HSCIC website. </w:t>
            </w:r>
          </w:p>
          <w:p w14:paraId="41F34E71" w14:textId="77777777" w:rsidR="0004789B" w:rsidRPr="00850C17" w:rsidRDefault="0004789B" w:rsidP="0004789B">
            <w:pPr>
              <w:pStyle w:val="ListParagraph"/>
              <w:numPr>
                <w:ilvl w:val="0"/>
                <w:numId w:val="21"/>
              </w:numPr>
              <w:spacing w:after="0"/>
              <w:contextualSpacing/>
              <w:textboxTightWrap w:val="none"/>
              <w:rPr>
                <w:rFonts w:cs="Arial"/>
                <w:sz w:val="22"/>
                <w:szCs w:val="22"/>
              </w:rPr>
            </w:pPr>
            <w:r w:rsidRPr="00850C17">
              <w:rPr>
                <w:rFonts w:cs="Arial"/>
                <w:sz w:val="22"/>
                <w:szCs w:val="22"/>
              </w:rPr>
              <w:t>The data will also be provided to the NHS England for use in their internal Intelligence Tool.</w:t>
            </w:r>
          </w:p>
          <w:p w14:paraId="2E1517FF" w14:textId="77777777" w:rsidR="0004789B" w:rsidRPr="00850C17" w:rsidRDefault="0004789B" w:rsidP="0004789B">
            <w:pPr>
              <w:rPr>
                <w:rFonts w:cs="Arial"/>
                <w:sz w:val="22"/>
                <w:szCs w:val="22"/>
              </w:rPr>
            </w:pPr>
          </w:p>
          <w:p w14:paraId="7A466E65" w14:textId="77777777" w:rsidR="0004789B" w:rsidRPr="00850C17" w:rsidRDefault="0004789B" w:rsidP="0004789B">
            <w:pPr>
              <w:rPr>
                <w:rFonts w:cs="Arial"/>
                <w:sz w:val="22"/>
                <w:szCs w:val="22"/>
              </w:rPr>
            </w:pPr>
            <w:r w:rsidRPr="00850C17">
              <w:rPr>
                <w:rFonts w:cs="Arial"/>
                <w:sz w:val="22"/>
                <w:szCs w:val="22"/>
              </w:rPr>
              <w:t>HSCIC expect to produce this indicator as part of the CCG OIS for use by the NHS England from April 2013.</w:t>
            </w:r>
          </w:p>
          <w:p w14:paraId="7B0613F2" w14:textId="77777777" w:rsidR="0004789B" w:rsidRPr="00850C17" w:rsidRDefault="0004789B" w:rsidP="0004789B">
            <w:pPr>
              <w:rPr>
                <w:rFonts w:cs="Arial"/>
                <w:sz w:val="22"/>
                <w:szCs w:val="22"/>
              </w:rPr>
            </w:pPr>
          </w:p>
        </w:tc>
      </w:tr>
    </w:tbl>
    <w:p w14:paraId="0BB5BCD7" w14:textId="77777777" w:rsidR="00C12977" w:rsidRPr="00850C17" w:rsidRDefault="00C12977" w:rsidP="00395707">
      <w:pPr>
        <w:rPr>
          <w:rFonts w:cs="Arial"/>
          <w:sz w:val="22"/>
          <w:szCs w:val="22"/>
        </w:rPr>
      </w:pPr>
    </w:p>
    <w:tbl>
      <w:tblPr>
        <w:tblStyle w:val="TableGrid"/>
        <w:tblW w:w="9923" w:type="dxa"/>
        <w:tblLayout w:type="fixed"/>
        <w:tblLook w:val="01E0" w:firstRow="1" w:lastRow="1" w:firstColumn="1" w:lastColumn="1" w:noHBand="0" w:noVBand="0"/>
      </w:tblPr>
      <w:tblGrid>
        <w:gridCol w:w="2119"/>
        <w:gridCol w:w="7804"/>
      </w:tblGrid>
      <w:tr w:rsidR="0004789B" w:rsidRPr="00850C17" w14:paraId="4313338D" w14:textId="77777777" w:rsidTr="00395707">
        <w:tc>
          <w:tcPr>
            <w:tcW w:w="2119" w:type="dxa"/>
          </w:tcPr>
          <w:p w14:paraId="61FFDA6C" w14:textId="77777777" w:rsidR="0004789B" w:rsidRPr="00850C17" w:rsidRDefault="0004789B" w:rsidP="00395707">
            <w:pPr>
              <w:rPr>
                <w:rFonts w:cs="Arial"/>
                <w:sz w:val="22"/>
                <w:szCs w:val="22"/>
              </w:rPr>
            </w:pPr>
          </w:p>
        </w:tc>
        <w:tc>
          <w:tcPr>
            <w:tcW w:w="7804" w:type="dxa"/>
          </w:tcPr>
          <w:p w14:paraId="2F6B511B" w14:textId="5068C748" w:rsidR="0004789B" w:rsidRPr="0004789B" w:rsidRDefault="0004789B" w:rsidP="0004789B">
            <w:pPr>
              <w:spacing w:after="0"/>
              <w:contextualSpacing/>
              <w:textboxTightWrap w:val="none"/>
              <w:rPr>
                <w:rFonts w:cs="Arial"/>
                <w:sz w:val="22"/>
                <w:szCs w:val="22"/>
              </w:rPr>
            </w:pPr>
            <w:r w:rsidRPr="00850C17">
              <w:rPr>
                <w:rFonts w:cs="Arial"/>
                <w:b/>
                <w:sz w:val="22"/>
                <w:szCs w:val="22"/>
              </w:rPr>
              <w:t>Record of MRG Discussion</w:t>
            </w:r>
          </w:p>
        </w:tc>
      </w:tr>
      <w:tr w:rsidR="0004789B" w:rsidRPr="00850C17" w14:paraId="7BC3EF7F" w14:textId="77777777" w:rsidTr="00395707">
        <w:tc>
          <w:tcPr>
            <w:tcW w:w="2119" w:type="dxa"/>
          </w:tcPr>
          <w:p w14:paraId="5D264C2D" w14:textId="1F1025BA" w:rsidR="0004789B" w:rsidRPr="00850C17" w:rsidRDefault="0004789B" w:rsidP="0004789B">
            <w:pPr>
              <w:rPr>
                <w:rFonts w:cs="Arial"/>
                <w:sz w:val="22"/>
                <w:szCs w:val="22"/>
              </w:rPr>
            </w:pPr>
            <w:r w:rsidRPr="00850C17">
              <w:rPr>
                <w:rFonts w:cs="Arial"/>
                <w:sz w:val="22"/>
                <w:szCs w:val="22"/>
              </w:rPr>
              <w:t xml:space="preserve">Discussion dates: </w:t>
            </w:r>
          </w:p>
        </w:tc>
        <w:tc>
          <w:tcPr>
            <w:tcW w:w="7804" w:type="dxa"/>
          </w:tcPr>
          <w:p w14:paraId="21455468" w14:textId="4984040C" w:rsidR="0004789B" w:rsidRPr="0004789B" w:rsidRDefault="0004789B" w:rsidP="0004789B">
            <w:pPr>
              <w:spacing w:after="0"/>
              <w:contextualSpacing/>
              <w:textboxTightWrap w:val="none"/>
              <w:rPr>
                <w:rFonts w:cs="Arial"/>
                <w:sz w:val="22"/>
                <w:szCs w:val="22"/>
              </w:rPr>
            </w:pPr>
            <w:r w:rsidRPr="0004789B">
              <w:rPr>
                <w:rFonts w:cs="Arial"/>
                <w:sz w:val="22"/>
                <w:szCs w:val="22"/>
              </w:rPr>
              <w:t>23/08/12</w:t>
            </w:r>
          </w:p>
        </w:tc>
      </w:tr>
      <w:tr w:rsidR="0004789B" w:rsidRPr="00850C17" w14:paraId="52631360" w14:textId="77777777" w:rsidTr="00395707">
        <w:tc>
          <w:tcPr>
            <w:tcW w:w="2119" w:type="dxa"/>
          </w:tcPr>
          <w:p w14:paraId="4E699871" w14:textId="4E62A8E4" w:rsidR="0004789B" w:rsidRPr="00850C17" w:rsidRDefault="0004789B" w:rsidP="0004789B">
            <w:pPr>
              <w:rPr>
                <w:rFonts w:cs="Arial"/>
                <w:sz w:val="22"/>
                <w:szCs w:val="22"/>
              </w:rPr>
            </w:pPr>
            <w:r w:rsidRPr="00850C17">
              <w:rPr>
                <w:rFonts w:cs="Arial"/>
                <w:sz w:val="22"/>
                <w:szCs w:val="22"/>
              </w:rPr>
              <w:t>By:</w:t>
            </w:r>
          </w:p>
        </w:tc>
        <w:tc>
          <w:tcPr>
            <w:tcW w:w="7804" w:type="dxa"/>
          </w:tcPr>
          <w:p w14:paraId="440A18B8" w14:textId="39F6240C" w:rsidR="0004789B" w:rsidRPr="0004789B" w:rsidRDefault="0004789B" w:rsidP="0004789B">
            <w:pPr>
              <w:spacing w:after="0"/>
              <w:contextualSpacing/>
              <w:textboxTightWrap w:val="none"/>
              <w:rPr>
                <w:rFonts w:cs="Arial"/>
                <w:sz w:val="22"/>
                <w:szCs w:val="22"/>
              </w:rPr>
            </w:pPr>
            <w:r w:rsidRPr="0004789B">
              <w:rPr>
                <w:rFonts w:cs="Arial"/>
                <w:sz w:val="22"/>
                <w:szCs w:val="22"/>
              </w:rPr>
              <w:t>Alyson Whitmarsh, Andy Sutherland, Azim Lakhani, Jonathan Hope</w:t>
            </w:r>
          </w:p>
        </w:tc>
      </w:tr>
      <w:tr w:rsidR="0004789B" w:rsidRPr="00850C17" w14:paraId="40D5C973" w14:textId="77777777" w:rsidTr="00395707">
        <w:tc>
          <w:tcPr>
            <w:tcW w:w="2119" w:type="dxa"/>
          </w:tcPr>
          <w:p w14:paraId="37B89FA2" w14:textId="77777777" w:rsidR="0004789B" w:rsidRPr="00850C17" w:rsidRDefault="0004789B" w:rsidP="0004789B">
            <w:pPr>
              <w:rPr>
                <w:rFonts w:cs="Arial"/>
                <w:sz w:val="22"/>
                <w:szCs w:val="22"/>
              </w:rPr>
            </w:pPr>
            <w:r w:rsidRPr="00850C17">
              <w:rPr>
                <w:rFonts w:cs="Arial"/>
                <w:sz w:val="22"/>
                <w:szCs w:val="22"/>
              </w:rPr>
              <w:t xml:space="preserve">Summary of MRG discussions: </w:t>
            </w:r>
          </w:p>
        </w:tc>
        <w:tc>
          <w:tcPr>
            <w:tcW w:w="7804" w:type="dxa"/>
          </w:tcPr>
          <w:p w14:paraId="40D0C9FE" w14:textId="77777777" w:rsidR="0004789B" w:rsidRPr="00850C17" w:rsidRDefault="0004789B" w:rsidP="0004789B">
            <w:pPr>
              <w:pStyle w:val="ListParagraph"/>
              <w:numPr>
                <w:ilvl w:val="0"/>
                <w:numId w:val="10"/>
              </w:numPr>
              <w:spacing w:after="0"/>
              <w:ind w:left="325" w:hanging="283"/>
              <w:contextualSpacing/>
              <w:textboxTightWrap w:val="none"/>
              <w:rPr>
                <w:rFonts w:cs="Arial"/>
                <w:sz w:val="22"/>
                <w:szCs w:val="22"/>
              </w:rPr>
            </w:pPr>
            <w:r w:rsidRPr="00850C17">
              <w:rPr>
                <w:rFonts w:cs="Arial"/>
                <w:sz w:val="22"/>
                <w:szCs w:val="22"/>
              </w:rPr>
              <w:t>More precision around timing and timescales involved would be useful in the description of the numerator and denominator. MRG requested that the indicator metadata state “of the people on the GP list at (e.g. 31 March)”</w:t>
            </w:r>
          </w:p>
          <w:p w14:paraId="24E1DB55" w14:textId="77777777" w:rsidR="0004789B" w:rsidRPr="00850C17" w:rsidRDefault="0004789B" w:rsidP="0004789B">
            <w:pPr>
              <w:pStyle w:val="ListParagraph"/>
              <w:numPr>
                <w:ilvl w:val="0"/>
                <w:numId w:val="10"/>
              </w:numPr>
              <w:spacing w:after="0"/>
              <w:ind w:left="325" w:hanging="283"/>
              <w:contextualSpacing/>
              <w:textboxTightWrap w:val="none"/>
              <w:rPr>
                <w:rFonts w:cs="Arial"/>
                <w:sz w:val="22"/>
                <w:szCs w:val="22"/>
              </w:rPr>
            </w:pPr>
            <w:r w:rsidRPr="00850C17">
              <w:rPr>
                <w:rFonts w:cs="Arial"/>
                <w:sz w:val="22"/>
                <w:szCs w:val="22"/>
              </w:rPr>
              <w:t>MRG recommended that documentation be rephrased to state explicitly that the indicator relates to primary care, because some people with SMI are not on GP lists (e.g. those in institutions).  The accompanying quality statement has been updated accordingly.</w:t>
            </w:r>
          </w:p>
          <w:p w14:paraId="07A81F5A" w14:textId="0457EFB4" w:rsidR="0004789B" w:rsidRPr="00850C17" w:rsidRDefault="0004789B" w:rsidP="0004789B">
            <w:pPr>
              <w:pStyle w:val="ListParagraph"/>
              <w:numPr>
                <w:ilvl w:val="0"/>
                <w:numId w:val="10"/>
              </w:numPr>
              <w:spacing w:after="0"/>
              <w:ind w:left="325" w:hanging="283"/>
              <w:contextualSpacing/>
              <w:textboxTightWrap w:val="none"/>
              <w:rPr>
                <w:rFonts w:cs="Arial"/>
                <w:sz w:val="22"/>
                <w:szCs w:val="22"/>
              </w:rPr>
            </w:pPr>
            <w:r w:rsidRPr="00850C17">
              <w:rPr>
                <w:rFonts w:cs="Arial"/>
                <w:sz w:val="22"/>
                <w:szCs w:val="22"/>
              </w:rPr>
              <w:t>Using a time period of 12 months provides a slight complication in that for people who are diagnosed or relapse in February there won’t be time to do the test by the end of March.  Therefore, the implication is that 100% should not be expected as the result of this indicator.  This is clarified in the accompanying quality statement.</w:t>
            </w:r>
          </w:p>
          <w:p w14:paraId="57C78082" w14:textId="77777777" w:rsidR="0004789B" w:rsidRPr="00850C17" w:rsidRDefault="0004789B" w:rsidP="0004789B">
            <w:pPr>
              <w:pStyle w:val="ListParagraph"/>
              <w:numPr>
                <w:ilvl w:val="0"/>
                <w:numId w:val="10"/>
              </w:numPr>
              <w:spacing w:after="0"/>
              <w:ind w:left="325" w:hanging="283"/>
              <w:contextualSpacing/>
              <w:textboxTightWrap w:val="none"/>
              <w:rPr>
                <w:rFonts w:cs="Arial"/>
                <w:sz w:val="22"/>
                <w:szCs w:val="22"/>
              </w:rPr>
            </w:pPr>
            <w:r w:rsidRPr="00850C17">
              <w:rPr>
                <w:rFonts w:cs="Arial"/>
                <w:sz w:val="22"/>
                <w:szCs w:val="22"/>
              </w:rPr>
              <w:t xml:space="preserve">MRG commented on the construction of the numerator in which people aged under 40 are not eligible for the full set of physical checks.  MRG suggested that either a caveat could be applied to the indicator stating that people are counted as having treatment appropriate to their age, or that under 40’s could be split from those 40 and over in the indicator.    </w:t>
            </w:r>
          </w:p>
          <w:p w14:paraId="1B99D9A4" w14:textId="77777777" w:rsidR="0004789B" w:rsidRPr="00850C17" w:rsidRDefault="0004789B" w:rsidP="0004789B">
            <w:pPr>
              <w:ind w:left="42"/>
              <w:rPr>
                <w:rFonts w:cs="Arial"/>
                <w:sz w:val="22"/>
                <w:szCs w:val="22"/>
              </w:rPr>
            </w:pPr>
          </w:p>
          <w:p w14:paraId="783F16F5" w14:textId="77777777" w:rsidR="0004789B" w:rsidRPr="00850C17" w:rsidRDefault="0004789B" w:rsidP="0004789B">
            <w:pPr>
              <w:pStyle w:val="ListParagraph"/>
              <w:numPr>
                <w:ilvl w:val="0"/>
                <w:numId w:val="10"/>
              </w:numPr>
              <w:spacing w:after="0"/>
              <w:ind w:left="325" w:hanging="283"/>
              <w:contextualSpacing/>
              <w:textboxTightWrap w:val="none"/>
              <w:rPr>
                <w:rFonts w:cs="Arial"/>
                <w:sz w:val="22"/>
                <w:szCs w:val="22"/>
              </w:rPr>
            </w:pPr>
            <w:r w:rsidRPr="00850C17">
              <w:rPr>
                <w:rFonts w:cs="Arial"/>
                <w:sz w:val="22"/>
                <w:szCs w:val="22"/>
              </w:rPr>
              <w:t>The points above have been covered in the Quality Statement produced by the Specification Delivery Service team</w:t>
            </w:r>
          </w:p>
          <w:p w14:paraId="27609F8E" w14:textId="77777777" w:rsidR="0004789B" w:rsidRPr="00850C17" w:rsidRDefault="0004789B" w:rsidP="0004789B">
            <w:pPr>
              <w:rPr>
                <w:rFonts w:cs="Arial"/>
                <w:sz w:val="22"/>
                <w:szCs w:val="22"/>
              </w:rPr>
            </w:pPr>
          </w:p>
        </w:tc>
      </w:tr>
      <w:tr w:rsidR="0004789B" w:rsidRPr="00850C17" w14:paraId="166863AD" w14:textId="77777777" w:rsidTr="0004789B">
        <w:trPr>
          <w:trHeight w:val="1201"/>
        </w:trPr>
        <w:tc>
          <w:tcPr>
            <w:tcW w:w="2119" w:type="dxa"/>
          </w:tcPr>
          <w:p w14:paraId="649E29D3" w14:textId="77777777" w:rsidR="0004789B" w:rsidRPr="00850C17" w:rsidRDefault="0004789B" w:rsidP="0004789B">
            <w:pPr>
              <w:rPr>
                <w:rFonts w:cs="Arial"/>
                <w:i/>
                <w:sz w:val="22"/>
                <w:szCs w:val="22"/>
              </w:rPr>
            </w:pPr>
            <w:r w:rsidRPr="00850C17">
              <w:rPr>
                <w:rFonts w:cs="Arial"/>
                <w:i/>
                <w:sz w:val="22"/>
                <w:szCs w:val="22"/>
              </w:rPr>
              <w:t>Outcome of MRG consideration:</w:t>
            </w:r>
          </w:p>
        </w:tc>
        <w:tc>
          <w:tcPr>
            <w:tcW w:w="7804" w:type="dxa"/>
          </w:tcPr>
          <w:p w14:paraId="735610BB" w14:textId="7E3870A5" w:rsidR="0004789B" w:rsidRPr="00850C17" w:rsidRDefault="0004789B" w:rsidP="0004789B">
            <w:pPr>
              <w:rPr>
                <w:rFonts w:cs="Arial"/>
                <w:sz w:val="22"/>
                <w:szCs w:val="22"/>
              </w:rPr>
            </w:pPr>
            <w:r w:rsidRPr="00850C17">
              <w:rPr>
                <w:rFonts w:cs="Arial"/>
                <w:b/>
                <w:sz w:val="22"/>
                <w:szCs w:val="22"/>
              </w:rPr>
              <w:t>Some concerns expressed as caveats or limitations</w:t>
            </w:r>
          </w:p>
        </w:tc>
      </w:tr>
      <w:tr w:rsidR="0004789B" w:rsidRPr="00850C17" w14:paraId="4743B3D3" w14:textId="77777777" w:rsidTr="00395707">
        <w:trPr>
          <w:trHeight w:val="805"/>
        </w:trPr>
        <w:tc>
          <w:tcPr>
            <w:tcW w:w="2119" w:type="dxa"/>
          </w:tcPr>
          <w:p w14:paraId="5381E896" w14:textId="77777777" w:rsidR="0004789B" w:rsidRPr="00850C17" w:rsidRDefault="0004789B" w:rsidP="0004789B">
            <w:pPr>
              <w:rPr>
                <w:rFonts w:cs="Arial"/>
                <w:sz w:val="22"/>
                <w:szCs w:val="22"/>
              </w:rPr>
            </w:pPr>
            <w:r w:rsidRPr="00850C17">
              <w:rPr>
                <w:rFonts w:cs="Arial"/>
                <w:sz w:val="22"/>
                <w:szCs w:val="22"/>
              </w:rPr>
              <w:t>MRG statement of recommendation:</w:t>
            </w:r>
          </w:p>
        </w:tc>
        <w:tc>
          <w:tcPr>
            <w:tcW w:w="7804" w:type="dxa"/>
          </w:tcPr>
          <w:p w14:paraId="39C4A03A" w14:textId="77777777" w:rsidR="0004789B" w:rsidRPr="00850C17" w:rsidRDefault="0004789B" w:rsidP="0004789B">
            <w:pPr>
              <w:rPr>
                <w:rFonts w:cs="Arial"/>
                <w:b/>
                <w:sz w:val="22"/>
                <w:szCs w:val="22"/>
              </w:rPr>
            </w:pPr>
            <w:r w:rsidRPr="00850C17">
              <w:rPr>
                <w:rFonts w:cs="Arial"/>
                <w:sz w:val="22"/>
                <w:szCs w:val="22"/>
              </w:rPr>
              <w:t>Indicator approved for escalation to Indicator Governance Board on basis that clarification able to be provided for above recommendations.</w:t>
            </w:r>
          </w:p>
        </w:tc>
      </w:tr>
      <w:tr w:rsidR="0004789B" w:rsidRPr="00850C17" w14:paraId="0DC02F3D" w14:textId="77777777" w:rsidTr="00395707">
        <w:trPr>
          <w:trHeight w:val="404"/>
        </w:trPr>
        <w:tc>
          <w:tcPr>
            <w:tcW w:w="2119" w:type="dxa"/>
          </w:tcPr>
          <w:p w14:paraId="6B1CE860" w14:textId="77777777" w:rsidR="0004789B" w:rsidRPr="00850C17" w:rsidRDefault="0004789B" w:rsidP="0004789B">
            <w:pPr>
              <w:rPr>
                <w:rFonts w:cs="Arial"/>
                <w:sz w:val="22"/>
                <w:szCs w:val="22"/>
              </w:rPr>
            </w:pPr>
          </w:p>
        </w:tc>
        <w:tc>
          <w:tcPr>
            <w:tcW w:w="7804" w:type="dxa"/>
          </w:tcPr>
          <w:p w14:paraId="4F0BAB87" w14:textId="316A6F7B" w:rsidR="0004789B" w:rsidRPr="00850C17" w:rsidRDefault="0004789B" w:rsidP="0004789B">
            <w:pPr>
              <w:rPr>
                <w:rFonts w:cs="Arial"/>
                <w:sz w:val="22"/>
                <w:szCs w:val="22"/>
              </w:rPr>
            </w:pPr>
            <w:r w:rsidRPr="00850C17">
              <w:rPr>
                <w:rFonts w:cs="Arial"/>
                <w:b/>
                <w:sz w:val="22"/>
                <w:szCs w:val="22"/>
              </w:rPr>
              <w:t>Additional Assurance Details</w:t>
            </w:r>
          </w:p>
        </w:tc>
      </w:tr>
      <w:tr w:rsidR="0004789B" w:rsidRPr="00850C17" w14:paraId="036B6495" w14:textId="77777777" w:rsidTr="00395707">
        <w:trPr>
          <w:trHeight w:val="404"/>
        </w:trPr>
        <w:tc>
          <w:tcPr>
            <w:tcW w:w="2119" w:type="dxa"/>
          </w:tcPr>
          <w:p w14:paraId="6A89E247" w14:textId="77777777" w:rsidR="0004789B" w:rsidRPr="00850C17" w:rsidRDefault="0004789B" w:rsidP="0004789B">
            <w:pPr>
              <w:rPr>
                <w:rFonts w:cs="Arial"/>
                <w:sz w:val="22"/>
                <w:szCs w:val="22"/>
              </w:rPr>
            </w:pPr>
            <w:r w:rsidRPr="00850C17">
              <w:rPr>
                <w:rFonts w:cs="Arial"/>
                <w:sz w:val="22"/>
                <w:szCs w:val="22"/>
              </w:rPr>
              <w:t>Peer Reviewers:</w:t>
            </w:r>
          </w:p>
        </w:tc>
        <w:tc>
          <w:tcPr>
            <w:tcW w:w="7804" w:type="dxa"/>
          </w:tcPr>
          <w:p w14:paraId="46BAB2D5" w14:textId="77777777" w:rsidR="0004789B" w:rsidRPr="00850C17" w:rsidRDefault="0004789B" w:rsidP="0004789B">
            <w:pPr>
              <w:rPr>
                <w:rFonts w:cs="Arial"/>
                <w:sz w:val="22"/>
                <w:szCs w:val="22"/>
              </w:rPr>
            </w:pPr>
            <w:r w:rsidRPr="00850C17">
              <w:rPr>
                <w:rFonts w:cs="Arial"/>
                <w:sz w:val="22"/>
                <w:szCs w:val="22"/>
              </w:rPr>
              <w:t>No peer review currently undertaken</w:t>
            </w:r>
          </w:p>
        </w:tc>
      </w:tr>
      <w:tr w:rsidR="0004789B" w:rsidRPr="00850C17" w14:paraId="4CFDAAE7" w14:textId="77777777" w:rsidTr="00395707">
        <w:trPr>
          <w:trHeight w:val="413"/>
        </w:trPr>
        <w:tc>
          <w:tcPr>
            <w:tcW w:w="2119" w:type="dxa"/>
          </w:tcPr>
          <w:p w14:paraId="49FE5B61" w14:textId="77777777" w:rsidR="0004789B" w:rsidRPr="00850C17" w:rsidRDefault="0004789B" w:rsidP="0004789B">
            <w:pPr>
              <w:rPr>
                <w:rFonts w:cs="Arial"/>
                <w:i/>
                <w:sz w:val="22"/>
                <w:szCs w:val="22"/>
              </w:rPr>
            </w:pPr>
            <w:r w:rsidRPr="00850C17">
              <w:rPr>
                <w:rFonts w:cs="Arial"/>
                <w:sz w:val="22"/>
                <w:szCs w:val="22"/>
              </w:rPr>
              <w:t>Peer Review summary:</w:t>
            </w:r>
          </w:p>
        </w:tc>
        <w:tc>
          <w:tcPr>
            <w:tcW w:w="7804" w:type="dxa"/>
          </w:tcPr>
          <w:p w14:paraId="3E047B5E" w14:textId="77777777" w:rsidR="0004789B" w:rsidRPr="00850C17" w:rsidRDefault="0004789B" w:rsidP="0004789B">
            <w:pPr>
              <w:rPr>
                <w:rFonts w:cs="Arial"/>
                <w:sz w:val="22"/>
                <w:szCs w:val="22"/>
              </w:rPr>
            </w:pPr>
            <w:r w:rsidRPr="00850C17">
              <w:rPr>
                <w:rFonts w:cs="Arial"/>
                <w:sz w:val="22"/>
                <w:szCs w:val="22"/>
              </w:rPr>
              <w:t>n/a</w:t>
            </w:r>
          </w:p>
        </w:tc>
      </w:tr>
      <w:tr w:rsidR="0004789B" w:rsidRPr="00850C17" w14:paraId="3A60A9EB" w14:textId="77777777" w:rsidTr="00395707">
        <w:trPr>
          <w:trHeight w:val="413"/>
        </w:trPr>
        <w:tc>
          <w:tcPr>
            <w:tcW w:w="2119" w:type="dxa"/>
          </w:tcPr>
          <w:p w14:paraId="3A922D05" w14:textId="77777777" w:rsidR="0004789B" w:rsidRPr="00850C17" w:rsidRDefault="0004789B" w:rsidP="0004789B">
            <w:pPr>
              <w:rPr>
                <w:rFonts w:cs="Arial"/>
                <w:sz w:val="22"/>
                <w:szCs w:val="22"/>
              </w:rPr>
            </w:pPr>
            <w:r w:rsidRPr="00850C17">
              <w:rPr>
                <w:rFonts w:cs="Arial"/>
                <w:sz w:val="22"/>
                <w:szCs w:val="22"/>
              </w:rPr>
              <w:t>Range of input</w:t>
            </w:r>
          </w:p>
          <w:p w14:paraId="14D5EF23" w14:textId="77777777" w:rsidR="0004789B" w:rsidRPr="00850C17" w:rsidRDefault="0004789B" w:rsidP="0004789B">
            <w:pPr>
              <w:rPr>
                <w:rFonts w:cs="Arial"/>
                <w:sz w:val="22"/>
                <w:szCs w:val="22"/>
              </w:rPr>
            </w:pPr>
            <w:r w:rsidRPr="00850C17">
              <w:rPr>
                <w:rFonts w:cs="Arial"/>
                <w:sz w:val="22"/>
                <w:szCs w:val="22"/>
              </w:rPr>
              <w:t xml:space="preserve">[Have relevant business areas contributed e.g. clinical assurance?] </w:t>
            </w:r>
          </w:p>
        </w:tc>
        <w:tc>
          <w:tcPr>
            <w:tcW w:w="7804" w:type="dxa"/>
          </w:tcPr>
          <w:p w14:paraId="6E43CEC7" w14:textId="77777777" w:rsidR="0004789B" w:rsidRPr="00850C17" w:rsidRDefault="0004789B" w:rsidP="0004789B">
            <w:pPr>
              <w:rPr>
                <w:rFonts w:cs="Arial"/>
                <w:sz w:val="22"/>
                <w:szCs w:val="22"/>
              </w:rPr>
            </w:pPr>
          </w:p>
        </w:tc>
      </w:tr>
    </w:tbl>
    <w:p w14:paraId="691F3740" w14:textId="77777777" w:rsidR="00C12977" w:rsidRPr="00850C17" w:rsidRDefault="00C12977" w:rsidP="00395707">
      <w:pPr>
        <w:rPr>
          <w:rFonts w:cs="Arial"/>
          <w:sz w:val="22"/>
          <w:szCs w:val="22"/>
        </w:rPr>
      </w:pPr>
    </w:p>
    <w:p w14:paraId="6D9785B6" w14:textId="77777777" w:rsidR="00C12977" w:rsidRPr="00850C17" w:rsidRDefault="00C12977" w:rsidP="0004789B">
      <w:pPr>
        <w:rPr>
          <w:rFonts w:cs="Arial"/>
          <w:sz w:val="22"/>
          <w:szCs w:val="22"/>
        </w:rPr>
      </w:pPr>
      <w:r w:rsidRPr="00850C17">
        <w:rPr>
          <w:rFonts w:cs="Arial"/>
          <w:sz w:val="22"/>
          <w:szCs w:val="22"/>
        </w:rPr>
        <w:t>IGB – Additional Recommendations:</w:t>
      </w:r>
    </w:p>
    <w:p w14:paraId="68F193CC" w14:textId="77777777" w:rsidR="00C12977" w:rsidRPr="00850C17" w:rsidRDefault="00C12977" w:rsidP="0004789B">
      <w:pPr>
        <w:rPr>
          <w:rFonts w:cs="Arial"/>
          <w:sz w:val="22"/>
          <w:szCs w:val="22"/>
        </w:rPr>
      </w:pPr>
      <w:r w:rsidRPr="00850C17">
        <w:rPr>
          <w:rFonts w:cs="Arial"/>
          <w:sz w:val="22"/>
          <w:szCs w:val="22"/>
        </w:rPr>
        <w:t>[Add new section as necessary]</w:t>
      </w:r>
    </w:p>
    <w:tbl>
      <w:tblPr>
        <w:tblStyle w:val="TableGrid"/>
        <w:tblW w:w="9923" w:type="dxa"/>
        <w:tblLayout w:type="fixed"/>
        <w:tblLook w:val="01E0" w:firstRow="1" w:lastRow="1" w:firstColumn="1" w:lastColumn="1" w:noHBand="0" w:noVBand="0"/>
      </w:tblPr>
      <w:tblGrid>
        <w:gridCol w:w="2127"/>
        <w:gridCol w:w="7796"/>
      </w:tblGrid>
      <w:tr w:rsidR="0004789B" w:rsidRPr="00850C17" w14:paraId="5B8CDA5D" w14:textId="77777777" w:rsidTr="00395707">
        <w:tc>
          <w:tcPr>
            <w:tcW w:w="2127" w:type="dxa"/>
          </w:tcPr>
          <w:p w14:paraId="4683EC1E" w14:textId="77777777" w:rsidR="0004789B" w:rsidRPr="00850C17" w:rsidRDefault="0004789B" w:rsidP="00395707">
            <w:pPr>
              <w:rPr>
                <w:rFonts w:cs="Arial"/>
                <w:sz w:val="22"/>
                <w:szCs w:val="22"/>
              </w:rPr>
            </w:pPr>
          </w:p>
        </w:tc>
        <w:tc>
          <w:tcPr>
            <w:tcW w:w="7796" w:type="dxa"/>
          </w:tcPr>
          <w:p w14:paraId="1F23D3B2" w14:textId="77777777" w:rsidR="0004789B" w:rsidRPr="00850C17" w:rsidRDefault="0004789B" w:rsidP="0004789B">
            <w:pPr>
              <w:rPr>
                <w:rFonts w:cs="Arial"/>
                <w:b/>
                <w:sz w:val="22"/>
                <w:szCs w:val="22"/>
              </w:rPr>
            </w:pPr>
            <w:r w:rsidRPr="00850C17">
              <w:rPr>
                <w:rFonts w:cs="Arial"/>
                <w:b/>
                <w:sz w:val="22"/>
                <w:szCs w:val="22"/>
              </w:rPr>
              <w:t>Recommendations &amp; Updates</w:t>
            </w:r>
          </w:p>
          <w:p w14:paraId="4E061CD4" w14:textId="3C7D1860" w:rsidR="0004789B" w:rsidRPr="0004789B" w:rsidRDefault="0004789B" w:rsidP="0004789B">
            <w:pPr>
              <w:spacing w:after="0"/>
              <w:contextualSpacing/>
              <w:textboxTightWrap w:val="none"/>
              <w:rPr>
                <w:rFonts w:cs="Arial"/>
                <w:sz w:val="22"/>
                <w:szCs w:val="22"/>
              </w:rPr>
            </w:pPr>
            <w:r w:rsidRPr="00850C17">
              <w:rPr>
                <w:rFonts w:cs="Arial"/>
                <w:sz w:val="22"/>
                <w:szCs w:val="22"/>
              </w:rPr>
              <w:t>Made: 28/05/13</w:t>
            </w:r>
          </w:p>
        </w:tc>
      </w:tr>
      <w:tr w:rsidR="00850C17" w:rsidRPr="00850C17" w14:paraId="08995D60" w14:textId="77777777" w:rsidTr="00395707">
        <w:tc>
          <w:tcPr>
            <w:tcW w:w="2127" w:type="dxa"/>
          </w:tcPr>
          <w:p w14:paraId="0D2B4C4E" w14:textId="77777777" w:rsidR="00C12977" w:rsidRPr="00850C17" w:rsidRDefault="00C12977" w:rsidP="00395707">
            <w:pPr>
              <w:rPr>
                <w:rFonts w:cs="Arial"/>
                <w:sz w:val="22"/>
                <w:szCs w:val="22"/>
              </w:rPr>
            </w:pPr>
            <w:r w:rsidRPr="00850C17">
              <w:rPr>
                <w:rFonts w:cs="Arial"/>
                <w:sz w:val="22"/>
                <w:szCs w:val="22"/>
              </w:rPr>
              <w:t>Comments &amp; Recommendations</w:t>
            </w:r>
          </w:p>
          <w:p w14:paraId="511AFB51" w14:textId="77777777" w:rsidR="00C12977" w:rsidRPr="00850C17" w:rsidRDefault="00C12977" w:rsidP="00395707">
            <w:pPr>
              <w:rPr>
                <w:rFonts w:cs="Arial"/>
                <w:sz w:val="22"/>
                <w:szCs w:val="22"/>
              </w:rPr>
            </w:pPr>
            <w:r w:rsidRPr="00850C17">
              <w:rPr>
                <w:rFonts w:cs="Arial"/>
                <w:sz w:val="22"/>
                <w:szCs w:val="22"/>
              </w:rPr>
              <w:t>[List additional comments and recommendations raised by IGB]</w:t>
            </w:r>
          </w:p>
        </w:tc>
        <w:tc>
          <w:tcPr>
            <w:tcW w:w="7796" w:type="dxa"/>
          </w:tcPr>
          <w:p w14:paraId="132827FF" w14:textId="77777777" w:rsidR="00C12977" w:rsidRPr="00850C17" w:rsidRDefault="00C12977" w:rsidP="00C12977">
            <w:pPr>
              <w:pStyle w:val="ListParagraph"/>
              <w:numPr>
                <w:ilvl w:val="0"/>
                <w:numId w:val="10"/>
              </w:numPr>
              <w:spacing w:after="0"/>
              <w:ind w:left="325" w:hanging="283"/>
              <w:contextualSpacing/>
              <w:textboxTightWrap w:val="none"/>
              <w:rPr>
                <w:rFonts w:cs="Arial"/>
                <w:sz w:val="22"/>
                <w:szCs w:val="22"/>
              </w:rPr>
            </w:pPr>
            <w:r w:rsidRPr="00850C17">
              <w:rPr>
                <w:rFonts w:cs="Arial"/>
                <w:sz w:val="22"/>
                <w:szCs w:val="22"/>
              </w:rPr>
              <w:t xml:space="preserve">Clarification sought on whether the MRG suggestion that either a caveat could be applied to the indicator stating that “people are counted as having treatment appropriate to their age”, or that “under 40’s could be split from those 40 and over in the indicator” was followed up, and if so which option was progressed. </w:t>
            </w:r>
          </w:p>
          <w:p w14:paraId="069325C0" w14:textId="77777777" w:rsidR="00C12977" w:rsidRPr="00850C17" w:rsidRDefault="00C12977" w:rsidP="00C12977">
            <w:pPr>
              <w:pStyle w:val="ListParagraph"/>
              <w:numPr>
                <w:ilvl w:val="0"/>
                <w:numId w:val="10"/>
              </w:numPr>
              <w:spacing w:after="0"/>
              <w:ind w:left="325" w:hanging="283"/>
              <w:contextualSpacing/>
              <w:textboxTightWrap w:val="none"/>
              <w:rPr>
                <w:rFonts w:cs="Arial"/>
                <w:sz w:val="22"/>
                <w:szCs w:val="22"/>
              </w:rPr>
            </w:pPr>
            <w:r w:rsidRPr="00850C17">
              <w:rPr>
                <w:rFonts w:cs="Arial"/>
                <w:sz w:val="22"/>
                <w:szCs w:val="22"/>
              </w:rPr>
              <w:t>Further clarity was also asked for with regards to what the rationale sets out compared to what the indicator is measuring, with further evidence of the discussion around the construct of the numerator had at MRG to be circulated to the board.</w:t>
            </w:r>
          </w:p>
          <w:p w14:paraId="561BEE7F" w14:textId="77777777" w:rsidR="00C12977" w:rsidRPr="00850C17" w:rsidRDefault="00C12977" w:rsidP="00395707">
            <w:pPr>
              <w:rPr>
                <w:rFonts w:cs="Arial"/>
                <w:b/>
                <w:sz w:val="22"/>
                <w:szCs w:val="22"/>
              </w:rPr>
            </w:pPr>
          </w:p>
        </w:tc>
      </w:tr>
      <w:tr w:rsidR="0004789B" w:rsidRPr="00850C17" w14:paraId="6D183847" w14:textId="77777777" w:rsidTr="00A45D68">
        <w:tc>
          <w:tcPr>
            <w:tcW w:w="2127" w:type="dxa"/>
          </w:tcPr>
          <w:p w14:paraId="7E9FDA2D" w14:textId="77777777" w:rsidR="0004789B" w:rsidRPr="00850C17" w:rsidRDefault="0004789B" w:rsidP="00395707">
            <w:pPr>
              <w:rPr>
                <w:rFonts w:cs="Arial"/>
                <w:sz w:val="22"/>
                <w:szCs w:val="22"/>
              </w:rPr>
            </w:pPr>
            <w:r w:rsidRPr="00850C17">
              <w:rPr>
                <w:rFonts w:cs="Arial"/>
                <w:sz w:val="22"/>
                <w:szCs w:val="22"/>
              </w:rPr>
              <w:t>Action required:</w:t>
            </w:r>
          </w:p>
        </w:tc>
        <w:tc>
          <w:tcPr>
            <w:tcW w:w="7796" w:type="dxa"/>
          </w:tcPr>
          <w:p w14:paraId="3726F881" w14:textId="3343CC5C" w:rsidR="0004789B" w:rsidRPr="00850C17" w:rsidRDefault="0004789B" w:rsidP="00395707">
            <w:pPr>
              <w:rPr>
                <w:rFonts w:cs="Arial"/>
                <w:b/>
                <w:sz w:val="22"/>
                <w:szCs w:val="22"/>
              </w:rPr>
            </w:pPr>
            <w:r w:rsidRPr="00850C17">
              <w:rPr>
                <w:rFonts w:cs="Arial"/>
                <w:b/>
                <w:sz w:val="22"/>
                <w:szCs w:val="22"/>
              </w:rPr>
              <w:t>Further Update IGB</w:t>
            </w:r>
          </w:p>
        </w:tc>
      </w:tr>
      <w:tr w:rsidR="00850C17" w:rsidRPr="00850C17" w14:paraId="5CEC431D" w14:textId="77777777" w:rsidTr="00395707">
        <w:tc>
          <w:tcPr>
            <w:tcW w:w="2127" w:type="dxa"/>
          </w:tcPr>
          <w:p w14:paraId="5533E1FF" w14:textId="77777777" w:rsidR="00C12977" w:rsidRPr="00850C17" w:rsidRDefault="00C12977" w:rsidP="00395707">
            <w:pPr>
              <w:rPr>
                <w:rFonts w:cs="Arial"/>
                <w:sz w:val="22"/>
                <w:szCs w:val="22"/>
              </w:rPr>
            </w:pPr>
            <w:r w:rsidRPr="00850C17">
              <w:rPr>
                <w:rFonts w:cs="Arial"/>
                <w:sz w:val="22"/>
                <w:szCs w:val="22"/>
              </w:rPr>
              <w:t>Update:</w:t>
            </w:r>
          </w:p>
          <w:p w14:paraId="4271C42F" w14:textId="77777777" w:rsidR="00C12977" w:rsidRPr="00850C17" w:rsidRDefault="00C12977" w:rsidP="00395707">
            <w:pPr>
              <w:rPr>
                <w:rFonts w:cs="Arial"/>
                <w:sz w:val="22"/>
                <w:szCs w:val="22"/>
              </w:rPr>
            </w:pPr>
            <w:r w:rsidRPr="00850C17">
              <w:rPr>
                <w:rFonts w:cs="Arial"/>
                <w:sz w:val="22"/>
                <w:szCs w:val="22"/>
              </w:rPr>
              <w:t>Made: 07/08/13</w:t>
            </w:r>
          </w:p>
        </w:tc>
        <w:tc>
          <w:tcPr>
            <w:tcW w:w="7796" w:type="dxa"/>
          </w:tcPr>
          <w:p w14:paraId="21802308" w14:textId="77777777" w:rsidR="00C12977" w:rsidRPr="00850C17" w:rsidRDefault="00C12977" w:rsidP="00C12977">
            <w:pPr>
              <w:pStyle w:val="ListParagraph"/>
              <w:numPr>
                <w:ilvl w:val="0"/>
                <w:numId w:val="10"/>
              </w:numPr>
              <w:spacing w:after="0"/>
              <w:ind w:left="325" w:hanging="283"/>
              <w:contextualSpacing/>
              <w:textboxTightWrap w:val="none"/>
              <w:rPr>
                <w:rFonts w:cs="Arial"/>
                <w:sz w:val="22"/>
                <w:szCs w:val="22"/>
              </w:rPr>
            </w:pPr>
            <w:r w:rsidRPr="00850C17">
              <w:rPr>
                <w:rFonts w:cs="Arial"/>
                <w:sz w:val="22"/>
                <w:szCs w:val="22"/>
              </w:rPr>
              <w:t xml:space="preserve">Discussion held at MRG on 23/8/12 included consideration of the construction of the numerator in which people aged under 40 are not eligible for the full set of physical checks.  </w:t>
            </w:r>
          </w:p>
          <w:p w14:paraId="4BCCA938" w14:textId="77777777" w:rsidR="00C12977" w:rsidRPr="00850C17" w:rsidRDefault="00C12977" w:rsidP="00C12977">
            <w:pPr>
              <w:pStyle w:val="ListParagraph"/>
              <w:numPr>
                <w:ilvl w:val="0"/>
                <w:numId w:val="10"/>
              </w:numPr>
              <w:spacing w:after="0"/>
              <w:ind w:left="325" w:hanging="283"/>
              <w:contextualSpacing/>
              <w:textboxTightWrap w:val="none"/>
              <w:rPr>
                <w:rFonts w:cs="Arial"/>
                <w:sz w:val="22"/>
                <w:szCs w:val="22"/>
              </w:rPr>
            </w:pPr>
            <w:r w:rsidRPr="00850C17">
              <w:rPr>
                <w:rFonts w:cs="Arial"/>
                <w:sz w:val="22"/>
                <w:szCs w:val="22"/>
              </w:rPr>
              <w:t>The issue was identified to the group with the applicant proposing that standard QOF definitions and rules will be used in for this indicator, specifically:</w:t>
            </w:r>
          </w:p>
          <w:p w14:paraId="0584B5D8" w14:textId="77777777" w:rsidR="00C12977" w:rsidRPr="00850C17" w:rsidRDefault="00C12977" w:rsidP="00C12977">
            <w:pPr>
              <w:pStyle w:val="ListParagraph"/>
              <w:numPr>
                <w:ilvl w:val="1"/>
                <w:numId w:val="10"/>
              </w:numPr>
              <w:spacing w:after="0"/>
              <w:ind w:left="601" w:hanging="284"/>
              <w:contextualSpacing/>
              <w:textboxTightWrap w:val="none"/>
              <w:rPr>
                <w:rFonts w:cs="Arial"/>
                <w:sz w:val="22"/>
                <w:szCs w:val="22"/>
              </w:rPr>
            </w:pPr>
            <w:r w:rsidRPr="00850C17">
              <w:rPr>
                <w:rFonts w:cs="Arial"/>
                <w:sz w:val="22"/>
                <w:szCs w:val="22"/>
              </w:rPr>
              <w:t xml:space="preserve">Patients in remission from SMI are excluded. </w:t>
            </w:r>
          </w:p>
          <w:p w14:paraId="4F40D38B" w14:textId="77777777" w:rsidR="00C12977" w:rsidRPr="00850C17" w:rsidRDefault="00C12977" w:rsidP="00C12977">
            <w:pPr>
              <w:pStyle w:val="ListParagraph"/>
              <w:numPr>
                <w:ilvl w:val="1"/>
                <w:numId w:val="10"/>
              </w:numPr>
              <w:spacing w:after="0"/>
              <w:ind w:left="601" w:hanging="284"/>
              <w:contextualSpacing/>
              <w:textboxTightWrap w:val="none"/>
              <w:rPr>
                <w:rFonts w:cs="Arial"/>
                <w:sz w:val="22"/>
                <w:szCs w:val="22"/>
              </w:rPr>
            </w:pPr>
            <w:r w:rsidRPr="00850C17">
              <w:rPr>
                <w:rFonts w:cs="Arial"/>
                <w:sz w:val="22"/>
                <w:szCs w:val="22"/>
              </w:rPr>
              <w:t xml:space="preserve">Smoking status to use the QOF definition. </w:t>
            </w:r>
          </w:p>
          <w:p w14:paraId="05005E8E" w14:textId="77777777" w:rsidR="00C12977" w:rsidRPr="00850C17" w:rsidRDefault="00C12977" w:rsidP="00C12977">
            <w:pPr>
              <w:pStyle w:val="ListParagraph"/>
              <w:numPr>
                <w:ilvl w:val="1"/>
                <w:numId w:val="10"/>
              </w:numPr>
              <w:spacing w:after="0"/>
              <w:ind w:left="601" w:hanging="284"/>
              <w:contextualSpacing/>
              <w:textboxTightWrap w:val="none"/>
              <w:rPr>
                <w:rFonts w:cs="Arial"/>
                <w:sz w:val="22"/>
                <w:szCs w:val="22"/>
              </w:rPr>
            </w:pPr>
            <w:r w:rsidRPr="00850C17">
              <w:rPr>
                <w:rFonts w:cs="Arial"/>
                <w:sz w:val="22"/>
                <w:szCs w:val="22"/>
              </w:rPr>
              <w:t>The cholesterol:hdl ratio is required only for patients aged 40 and above who do not have established CVD.</w:t>
            </w:r>
          </w:p>
          <w:p w14:paraId="7A382601" w14:textId="77777777" w:rsidR="00C12977" w:rsidRPr="00850C17" w:rsidRDefault="00C12977" w:rsidP="00C12977">
            <w:pPr>
              <w:pStyle w:val="ListParagraph"/>
              <w:numPr>
                <w:ilvl w:val="1"/>
                <w:numId w:val="10"/>
              </w:numPr>
              <w:spacing w:after="0"/>
              <w:ind w:left="601" w:hanging="284"/>
              <w:contextualSpacing/>
              <w:textboxTightWrap w:val="none"/>
              <w:rPr>
                <w:rFonts w:cs="Arial"/>
                <w:sz w:val="22"/>
                <w:szCs w:val="22"/>
              </w:rPr>
            </w:pPr>
            <w:r w:rsidRPr="00850C17">
              <w:rPr>
                <w:rFonts w:cs="Arial"/>
                <w:sz w:val="22"/>
                <w:szCs w:val="22"/>
              </w:rPr>
              <w:t>Blood glucose or HbA1c tests should be performed for people aged over 40 only</w:t>
            </w:r>
          </w:p>
          <w:p w14:paraId="5716EBF3" w14:textId="77777777" w:rsidR="00C12977" w:rsidRPr="00850C17" w:rsidRDefault="00C12977" w:rsidP="00C12977">
            <w:pPr>
              <w:pStyle w:val="ListParagraph"/>
              <w:numPr>
                <w:ilvl w:val="0"/>
                <w:numId w:val="10"/>
              </w:numPr>
              <w:spacing w:after="0"/>
              <w:ind w:left="325" w:hanging="283"/>
              <w:contextualSpacing/>
              <w:textboxTightWrap w:val="none"/>
              <w:rPr>
                <w:rFonts w:cs="Arial"/>
                <w:sz w:val="22"/>
                <w:szCs w:val="22"/>
              </w:rPr>
            </w:pPr>
            <w:r w:rsidRPr="00850C17">
              <w:rPr>
                <w:rFonts w:cs="Arial"/>
                <w:sz w:val="22"/>
                <w:szCs w:val="22"/>
              </w:rPr>
              <w:t xml:space="preserve">The suggestion made was that either a caveat could be applied to the indicator stating that people are counted as having treatment appropriate to their age, or that under 40’s could be split from those 40 and over in the indicator.    </w:t>
            </w:r>
          </w:p>
          <w:p w14:paraId="25669F39" w14:textId="77777777" w:rsidR="00C12977" w:rsidRPr="00850C17" w:rsidRDefault="00C12977" w:rsidP="00C12977">
            <w:pPr>
              <w:pStyle w:val="ListParagraph"/>
              <w:numPr>
                <w:ilvl w:val="0"/>
                <w:numId w:val="10"/>
              </w:numPr>
              <w:spacing w:after="0"/>
              <w:ind w:left="325" w:hanging="283"/>
              <w:contextualSpacing/>
              <w:textboxTightWrap w:val="none"/>
              <w:rPr>
                <w:rFonts w:cs="Arial"/>
                <w:sz w:val="22"/>
                <w:szCs w:val="22"/>
              </w:rPr>
            </w:pPr>
            <w:r w:rsidRPr="00850C17">
              <w:rPr>
                <w:rFonts w:cs="Arial"/>
                <w:sz w:val="22"/>
                <w:szCs w:val="22"/>
              </w:rPr>
              <w:t>The quality statement for this indicator has been updated to set out that of the 6 tests, 2 are only relevant to people aged 40 or over  (these being ratio of total cholesterol:hdl, and blood glucose or HbA1c).  As such “the complete list of tests refers to only the four relevant tests for people under 40, but all six tests for people aged 40 or over.</w:t>
            </w:r>
          </w:p>
          <w:p w14:paraId="6CF70E4B" w14:textId="77777777" w:rsidR="00C12977" w:rsidRPr="00850C17" w:rsidRDefault="00C12977" w:rsidP="00395707">
            <w:pPr>
              <w:rPr>
                <w:rFonts w:cs="Arial"/>
                <w:b/>
                <w:sz w:val="22"/>
                <w:szCs w:val="22"/>
              </w:rPr>
            </w:pPr>
          </w:p>
        </w:tc>
      </w:tr>
    </w:tbl>
    <w:p w14:paraId="6ED790B7" w14:textId="77777777" w:rsidR="00C12977" w:rsidRPr="00850C17" w:rsidRDefault="00C12977" w:rsidP="00395707">
      <w:pPr>
        <w:ind w:left="-851"/>
        <w:rPr>
          <w:rFonts w:cs="Arial"/>
          <w:sz w:val="22"/>
          <w:szCs w:val="22"/>
        </w:rPr>
      </w:pPr>
    </w:p>
    <w:p w14:paraId="130FD289" w14:textId="77777777" w:rsidR="00C12977" w:rsidRPr="00850C17" w:rsidRDefault="00C12977" w:rsidP="0004789B">
      <w:pPr>
        <w:ind w:left="-851" w:firstLine="851"/>
        <w:rPr>
          <w:rFonts w:cs="Arial"/>
          <w:sz w:val="22"/>
          <w:szCs w:val="22"/>
        </w:rPr>
      </w:pPr>
      <w:r w:rsidRPr="00850C17">
        <w:rPr>
          <w:rFonts w:cs="Arial"/>
          <w:sz w:val="22"/>
          <w:szCs w:val="22"/>
        </w:rPr>
        <w:t>Review:</w:t>
      </w:r>
    </w:p>
    <w:tbl>
      <w:tblPr>
        <w:tblStyle w:val="TableGrid"/>
        <w:tblW w:w="9923" w:type="dxa"/>
        <w:tblLayout w:type="fixed"/>
        <w:tblLook w:val="01E0" w:firstRow="1" w:lastRow="1" w:firstColumn="1" w:lastColumn="1" w:noHBand="0" w:noVBand="0"/>
      </w:tblPr>
      <w:tblGrid>
        <w:gridCol w:w="2127"/>
        <w:gridCol w:w="7796"/>
      </w:tblGrid>
      <w:tr w:rsidR="0004789B" w:rsidRPr="00850C17" w14:paraId="2AB1FC05" w14:textId="77777777" w:rsidTr="00395707">
        <w:trPr>
          <w:trHeight w:val="285"/>
        </w:trPr>
        <w:tc>
          <w:tcPr>
            <w:tcW w:w="2127" w:type="dxa"/>
          </w:tcPr>
          <w:p w14:paraId="77F098A1" w14:textId="74DA080B" w:rsidR="0004789B" w:rsidRPr="00850C17" w:rsidRDefault="0004789B" w:rsidP="00395707">
            <w:pPr>
              <w:rPr>
                <w:rFonts w:cs="Arial"/>
                <w:sz w:val="22"/>
                <w:szCs w:val="22"/>
              </w:rPr>
            </w:pPr>
            <w:r w:rsidRPr="00850C17">
              <w:rPr>
                <w:rFonts w:cs="Arial"/>
                <w:sz w:val="22"/>
                <w:szCs w:val="22"/>
              </w:rPr>
              <w:t>Review Timescale</w:t>
            </w:r>
          </w:p>
        </w:tc>
        <w:tc>
          <w:tcPr>
            <w:tcW w:w="7796" w:type="dxa"/>
          </w:tcPr>
          <w:p w14:paraId="641C3F37" w14:textId="6CF3E938" w:rsidR="0004789B" w:rsidRPr="00850C17" w:rsidRDefault="0004789B" w:rsidP="00395707">
            <w:pPr>
              <w:rPr>
                <w:rFonts w:cs="Arial"/>
                <w:sz w:val="22"/>
                <w:szCs w:val="22"/>
              </w:rPr>
            </w:pPr>
            <w:r>
              <w:rPr>
                <w:rFonts w:cs="Arial"/>
                <w:sz w:val="22"/>
                <w:szCs w:val="22"/>
              </w:rPr>
              <w:t>Other</w:t>
            </w:r>
          </w:p>
        </w:tc>
      </w:tr>
      <w:tr w:rsidR="0004789B" w:rsidRPr="00850C17" w14:paraId="565018FB" w14:textId="77777777" w:rsidTr="00395707">
        <w:trPr>
          <w:trHeight w:val="285"/>
        </w:trPr>
        <w:tc>
          <w:tcPr>
            <w:tcW w:w="2127" w:type="dxa"/>
          </w:tcPr>
          <w:p w14:paraId="72056053" w14:textId="772892A7" w:rsidR="0004789B" w:rsidRPr="00850C17" w:rsidRDefault="0004789B" w:rsidP="00395707">
            <w:pPr>
              <w:rPr>
                <w:rFonts w:cs="Arial"/>
                <w:sz w:val="22"/>
                <w:szCs w:val="22"/>
              </w:rPr>
            </w:pPr>
            <w:r w:rsidRPr="00850C17">
              <w:rPr>
                <w:rFonts w:cs="Arial"/>
                <w:sz w:val="22"/>
                <w:szCs w:val="22"/>
              </w:rPr>
              <w:t xml:space="preserve">Rationale       </w:t>
            </w:r>
          </w:p>
        </w:tc>
        <w:tc>
          <w:tcPr>
            <w:tcW w:w="7796" w:type="dxa"/>
          </w:tcPr>
          <w:p w14:paraId="534D44AA" w14:textId="350CAEB3" w:rsidR="0004789B" w:rsidRPr="00850C17" w:rsidRDefault="0004789B" w:rsidP="00395707">
            <w:pPr>
              <w:rPr>
                <w:rFonts w:cs="Arial"/>
                <w:sz w:val="22"/>
                <w:szCs w:val="22"/>
              </w:rPr>
            </w:pPr>
            <w:r w:rsidRPr="00850C17">
              <w:rPr>
                <w:rFonts w:cs="Arial"/>
                <w:sz w:val="22"/>
                <w:szCs w:val="22"/>
              </w:rPr>
              <w:t>Issues to consider  – Changes to process, policy data source, coding definitions HES definitions ] Indicator recommended for review as GPES comes online</w:t>
            </w:r>
          </w:p>
        </w:tc>
      </w:tr>
    </w:tbl>
    <w:p w14:paraId="0FD40637" w14:textId="77777777" w:rsidR="00C12977" w:rsidRPr="00850C17" w:rsidRDefault="00C12977" w:rsidP="00395707">
      <w:pPr>
        <w:tabs>
          <w:tab w:val="left" w:pos="2830"/>
        </w:tabs>
        <w:ind w:left="-851"/>
        <w:rPr>
          <w:rFonts w:cs="Arial"/>
          <w:sz w:val="22"/>
          <w:szCs w:val="22"/>
        </w:rPr>
      </w:pPr>
    </w:p>
    <w:p w14:paraId="53FF151D" w14:textId="6E1C4432" w:rsidR="00C12977" w:rsidRPr="00850C17" w:rsidRDefault="0004789B" w:rsidP="00395707">
      <w:pPr>
        <w:tabs>
          <w:tab w:val="left" w:pos="2830"/>
        </w:tabs>
        <w:ind w:left="-851"/>
        <w:rPr>
          <w:rFonts w:cs="Arial"/>
          <w:sz w:val="22"/>
          <w:szCs w:val="22"/>
        </w:rPr>
      </w:pPr>
      <w:r>
        <w:rPr>
          <w:rFonts w:cs="Arial"/>
          <w:sz w:val="22"/>
          <w:szCs w:val="22"/>
        </w:rPr>
        <w:t xml:space="preserve">             </w:t>
      </w:r>
      <w:r w:rsidR="00C12977" w:rsidRPr="00850C17">
        <w:rPr>
          <w:rFonts w:cs="Arial"/>
          <w:sz w:val="22"/>
          <w:szCs w:val="22"/>
        </w:rPr>
        <w:t>IGB Sign-</w:t>
      </w:r>
      <w:r w:rsidR="00C12977" w:rsidRPr="0004789B">
        <w:rPr>
          <w:rFonts w:cs="Arial"/>
          <w:sz w:val="22"/>
          <w:szCs w:val="22"/>
        </w:rPr>
        <w:t xml:space="preserve">off: </w:t>
      </w:r>
      <w:r w:rsidRPr="0004789B">
        <w:rPr>
          <w:rFonts w:cs="Arial"/>
          <w:sz w:val="22"/>
          <w:szCs w:val="22"/>
        </w:rPr>
        <w:t>Indicator Assurance Process Output</w:t>
      </w:r>
    </w:p>
    <w:tbl>
      <w:tblPr>
        <w:tblStyle w:val="TableGrid"/>
        <w:tblW w:w="9923" w:type="dxa"/>
        <w:tblLayout w:type="fixed"/>
        <w:tblLook w:val="01E0" w:firstRow="1" w:lastRow="1" w:firstColumn="1" w:lastColumn="1" w:noHBand="0" w:noVBand="0"/>
      </w:tblPr>
      <w:tblGrid>
        <w:gridCol w:w="2124"/>
        <w:gridCol w:w="7799"/>
      </w:tblGrid>
      <w:tr w:rsidR="0004789B" w:rsidRPr="00850C17" w14:paraId="71D3373A" w14:textId="77777777" w:rsidTr="0004789B">
        <w:trPr>
          <w:trHeight w:val="650"/>
        </w:trPr>
        <w:tc>
          <w:tcPr>
            <w:tcW w:w="2124" w:type="dxa"/>
          </w:tcPr>
          <w:p w14:paraId="6D0804FA" w14:textId="77777777" w:rsidR="0004789B" w:rsidRPr="00850C17" w:rsidRDefault="0004789B" w:rsidP="00395707">
            <w:pPr>
              <w:rPr>
                <w:rFonts w:cs="Arial"/>
                <w:i/>
                <w:sz w:val="22"/>
                <w:szCs w:val="22"/>
              </w:rPr>
            </w:pPr>
            <w:r w:rsidRPr="00850C17">
              <w:rPr>
                <w:rFonts w:cs="Arial"/>
                <w:i/>
                <w:sz w:val="22"/>
                <w:szCs w:val="22"/>
              </w:rPr>
              <w:t>Final Appraisal Status</w:t>
            </w:r>
          </w:p>
        </w:tc>
        <w:tc>
          <w:tcPr>
            <w:tcW w:w="7799" w:type="dxa"/>
          </w:tcPr>
          <w:p w14:paraId="557B2F52" w14:textId="34322D19" w:rsidR="0004789B" w:rsidRPr="00850C17" w:rsidRDefault="0004789B" w:rsidP="00395707">
            <w:pPr>
              <w:rPr>
                <w:rFonts w:cs="Arial"/>
                <w:b/>
                <w:sz w:val="22"/>
                <w:szCs w:val="22"/>
              </w:rPr>
            </w:pPr>
            <w:r w:rsidRPr="00850C17">
              <w:rPr>
                <w:rFonts w:cs="Arial"/>
                <w:b/>
                <w:sz w:val="22"/>
                <w:szCs w:val="22"/>
              </w:rPr>
              <w:t>Assured with Comments</w:t>
            </w:r>
          </w:p>
        </w:tc>
      </w:tr>
      <w:tr w:rsidR="00850C17" w:rsidRPr="00850C17" w14:paraId="1C5DE251" w14:textId="77777777" w:rsidTr="00395707">
        <w:tc>
          <w:tcPr>
            <w:tcW w:w="2124" w:type="dxa"/>
          </w:tcPr>
          <w:p w14:paraId="5360D8B2" w14:textId="77777777" w:rsidR="00C12977" w:rsidRPr="00850C17" w:rsidRDefault="00C12977" w:rsidP="00395707">
            <w:pPr>
              <w:rPr>
                <w:rFonts w:cs="Arial"/>
                <w:sz w:val="22"/>
                <w:szCs w:val="22"/>
              </w:rPr>
            </w:pPr>
            <w:r w:rsidRPr="00850C17">
              <w:rPr>
                <w:rFonts w:cs="Arial"/>
                <w:sz w:val="22"/>
                <w:szCs w:val="22"/>
              </w:rPr>
              <w:t>Basis of Sign-off</w:t>
            </w:r>
          </w:p>
          <w:p w14:paraId="45660C97" w14:textId="77777777" w:rsidR="00C12977" w:rsidRPr="00850C17" w:rsidRDefault="00C12977" w:rsidP="00395707">
            <w:pPr>
              <w:rPr>
                <w:rFonts w:cs="Arial"/>
                <w:sz w:val="22"/>
                <w:szCs w:val="22"/>
              </w:rPr>
            </w:pPr>
            <w:r w:rsidRPr="00850C17">
              <w:rPr>
                <w:rFonts w:cs="Arial"/>
                <w:sz w:val="22"/>
                <w:szCs w:val="22"/>
              </w:rPr>
              <w:t>[Detail caveats and limitations ]</w:t>
            </w:r>
          </w:p>
        </w:tc>
        <w:tc>
          <w:tcPr>
            <w:tcW w:w="7799" w:type="dxa"/>
          </w:tcPr>
          <w:p w14:paraId="76FDD438" w14:textId="77777777" w:rsidR="00C12977" w:rsidRPr="00850C17" w:rsidRDefault="00C12977" w:rsidP="00395707">
            <w:pPr>
              <w:rPr>
                <w:rFonts w:cs="Arial"/>
                <w:sz w:val="22"/>
                <w:szCs w:val="22"/>
              </w:rPr>
            </w:pPr>
            <w:r w:rsidRPr="00850C17">
              <w:rPr>
                <w:rFonts w:cs="Arial"/>
                <w:sz w:val="22"/>
                <w:szCs w:val="22"/>
              </w:rPr>
              <w:t>The board determined that further clarification is required as to why the QOF cut-off was being used.  If it is purely financial, which may not be appropriate clinically, this needs to be fed-back to the board, and if there isn’t a clear clinical reason this would need caveating.   Alison Roe suggested that further explanation may have already been included within earlier MRG documentation, and this will be checked. The indicator will be signed off as assured with the recommendation to review when GPES data becomes available</w:t>
            </w:r>
          </w:p>
          <w:p w14:paraId="02C3609C" w14:textId="77777777" w:rsidR="00C12977" w:rsidRPr="00850C17" w:rsidRDefault="00C12977" w:rsidP="00395707">
            <w:pPr>
              <w:rPr>
                <w:rFonts w:cs="Arial"/>
                <w:sz w:val="22"/>
                <w:szCs w:val="22"/>
              </w:rPr>
            </w:pPr>
          </w:p>
        </w:tc>
      </w:tr>
      <w:tr w:rsidR="00850C17" w:rsidRPr="00850C17" w14:paraId="40929862" w14:textId="77777777" w:rsidTr="00395707">
        <w:tc>
          <w:tcPr>
            <w:tcW w:w="2124" w:type="dxa"/>
          </w:tcPr>
          <w:p w14:paraId="58C00642" w14:textId="77777777" w:rsidR="00C12977" w:rsidRPr="00850C17" w:rsidRDefault="00C12977" w:rsidP="00395707">
            <w:pPr>
              <w:rPr>
                <w:rFonts w:cs="Arial"/>
                <w:sz w:val="22"/>
                <w:szCs w:val="22"/>
              </w:rPr>
            </w:pPr>
            <w:r w:rsidRPr="00850C17">
              <w:rPr>
                <w:rFonts w:cs="Arial"/>
                <w:sz w:val="22"/>
                <w:szCs w:val="22"/>
              </w:rPr>
              <w:t>Sign-off Date</w:t>
            </w:r>
          </w:p>
        </w:tc>
        <w:tc>
          <w:tcPr>
            <w:tcW w:w="7799" w:type="dxa"/>
          </w:tcPr>
          <w:p w14:paraId="59BCF1BC" w14:textId="77777777" w:rsidR="00C12977" w:rsidRPr="00850C17" w:rsidRDefault="00C12977" w:rsidP="00395707">
            <w:pPr>
              <w:rPr>
                <w:rFonts w:cs="Arial"/>
                <w:sz w:val="22"/>
                <w:szCs w:val="22"/>
              </w:rPr>
            </w:pPr>
            <w:r w:rsidRPr="00850C17">
              <w:rPr>
                <w:rFonts w:cs="Arial"/>
                <w:sz w:val="22"/>
                <w:szCs w:val="22"/>
              </w:rPr>
              <w:t>16/08/2013</w:t>
            </w:r>
          </w:p>
        </w:tc>
      </w:tr>
    </w:tbl>
    <w:p w14:paraId="52ECAE55" w14:textId="77777777" w:rsidR="00C12977" w:rsidRPr="00850C17" w:rsidRDefault="00C12977" w:rsidP="00395707">
      <w:pPr>
        <w:rPr>
          <w:rFonts w:cs="Arial"/>
          <w:sz w:val="22"/>
          <w:szCs w:val="22"/>
        </w:rPr>
      </w:pPr>
    </w:p>
    <w:p w14:paraId="5CE8DEB3" w14:textId="77777777" w:rsidR="00C12977" w:rsidRPr="00850C17" w:rsidRDefault="00C12977" w:rsidP="00395707">
      <w:pPr>
        <w:rPr>
          <w:rFonts w:cs="Arial"/>
          <w:sz w:val="22"/>
          <w:szCs w:val="22"/>
        </w:rPr>
      </w:pPr>
    </w:p>
    <w:p w14:paraId="6CB4617A" w14:textId="77777777" w:rsidR="00C12977" w:rsidRPr="00850C17" w:rsidRDefault="00C12977" w:rsidP="00395707">
      <w:pPr>
        <w:rPr>
          <w:rFonts w:cs="Arial"/>
          <w:sz w:val="22"/>
          <w:szCs w:val="22"/>
        </w:rPr>
      </w:pPr>
    </w:p>
    <w:p w14:paraId="5F0C671A" w14:textId="77777777" w:rsidR="00C12977" w:rsidRPr="00850C17" w:rsidRDefault="00C12977" w:rsidP="00395707">
      <w:pPr>
        <w:ind w:left="-851"/>
        <w:rPr>
          <w:rFonts w:cs="Arial"/>
          <w:sz w:val="22"/>
          <w:szCs w:val="22"/>
        </w:rPr>
      </w:pPr>
    </w:p>
    <w:p w14:paraId="0D49128D" w14:textId="77777777" w:rsidR="00395707" w:rsidRPr="00850C17" w:rsidRDefault="00395707" w:rsidP="001D243C">
      <w:pPr>
        <w:rPr>
          <w:rFonts w:cs="Arial"/>
          <w:sz w:val="22"/>
          <w:szCs w:val="22"/>
        </w:rPr>
      </w:pPr>
    </w:p>
    <w:sectPr w:rsidR="00395707" w:rsidRPr="00850C17" w:rsidSect="000C24AF">
      <w:headerReference w:type="default" r:id="rId13"/>
      <w:pgSz w:w="11906" w:h="16838"/>
      <w:pgMar w:top="1021" w:right="1021" w:bottom="1021" w:left="1021"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67D28" w14:textId="77777777" w:rsidR="00395707" w:rsidRDefault="00395707" w:rsidP="000C24AF">
      <w:pPr>
        <w:spacing w:after="0"/>
      </w:pPr>
      <w:r>
        <w:separator/>
      </w:r>
    </w:p>
  </w:endnote>
  <w:endnote w:type="continuationSeparator" w:id="0">
    <w:p w14:paraId="6C367D29" w14:textId="77777777" w:rsidR="00395707" w:rsidRDefault="00395707" w:rsidP="000C24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Goudy Old Style">
    <w:altName w:val="Bell MT"/>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67D26" w14:textId="77777777" w:rsidR="00395707" w:rsidRDefault="00395707" w:rsidP="000C24AF">
      <w:pPr>
        <w:spacing w:after="0"/>
      </w:pPr>
      <w:r>
        <w:separator/>
      </w:r>
    </w:p>
  </w:footnote>
  <w:footnote w:type="continuationSeparator" w:id="0">
    <w:p w14:paraId="6C367D27" w14:textId="77777777" w:rsidR="00395707" w:rsidRDefault="00395707" w:rsidP="000C24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67D32" w14:textId="79F54652" w:rsidR="00395707" w:rsidRPr="001D243C" w:rsidRDefault="00395707" w:rsidP="00395707">
    <w:pPr>
      <w:jc w:val="center"/>
    </w:pPr>
    <w:r>
      <w:rPr>
        <w:rFonts w:eastAsia="Calibri" w:cs="Arial"/>
        <w:b/>
        <w:bCs/>
      </w:rPr>
      <w:t>NICE inherited this indicator and all its supporting documentation from NHS Digital on 1 April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85F38"/>
    <w:multiLevelType w:val="hybridMultilevel"/>
    <w:tmpl w:val="0006678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 w15:restartNumberingAfterBreak="0">
    <w:nsid w:val="06785D78"/>
    <w:multiLevelType w:val="hybridMultilevel"/>
    <w:tmpl w:val="67C8DBE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76556F0"/>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98036BC"/>
    <w:multiLevelType w:val="hybridMultilevel"/>
    <w:tmpl w:val="1AC65D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B500DF"/>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4F94F0D"/>
    <w:multiLevelType w:val="hybridMultilevel"/>
    <w:tmpl w:val="742058C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 w15:restartNumberingAfterBreak="0">
    <w:nsid w:val="1A475686"/>
    <w:multiLevelType w:val="hybridMultilevel"/>
    <w:tmpl w:val="1B563CBC"/>
    <w:lvl w:ilvl="0" w:tplc="08090001">
      <w:start w:val="1"/>
      <w:numFmt w:val="bullet"/>
      <w:lvlText w:val=""/>
      <w:lvlJc w:val="left"/>
      <w:pPr>
        <w:ind w:left="360" w:hanging="360"/>
      </w:pPr>
      <w:rPr>
        <w:rFonts w:ascii="Symbol" w:hAnsi="Symbol" w:hint="default"/>
      </w:rPr>
    </w:lvl>
    <w:lvl w:ilvl="1" w:tplc="B03C5C9E">
      <w:numFmt w:val="bullet"/>
      <w:lvlText w:val="•"/>
      <w:lvlJc w:val="left"/>
      <w:pPr>
        <w:ind w:left="1440" w:hanging="720"/>
      </w:pPr>
      <w:rPr>
        <w:rFonts w:ascii="Calibri" w:eastAsia="Times New Roman"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4A3367D"/>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60138D8"/>
    <w:multiLevelType w:val="hybridMultilevel"/>
    <w:tmpl w:val="C846A7C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0" w15:restartNumberingAfterBreak="0">
    <w:nsid w:val="392868E5"/>
    <w:multiLevelType w:val="hybridMultilevel"/>
    <w:tmpl w:val="5AFAA2C4"/>
    <w:lvl w:ilvl="0" w:tplc="7F1AAFD4">
      <w:start w:val="1"/>
      <w:numFmt w:val="bullet"/>
      <w:pStyle w:val="ListBullet"/>
      <w:lvlText w:val=""/>
      <w:lvlJc w:val="left"/>
      <w:pPr>
        <w:tabs>
          <w:tab w:val="num" w:pos="360"/>
        </w:tabs>
        <w:ind w:left="360" w:hanging="360"/>
      </w:pPr>
      <w:rPr>
        <w:rFonts w:ascii="Symbol" w:hAnsi="Symbol" w:hint="default"/>
      </w:rPr>
    </w:lvl>
    <w:lvl w:ilvl="1" w:tplc="D74C30DA">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6E47EA"/>
    <w:multiLevelType w:val="hybridMultilevel"/>
    <w:tmpl w:val="EC76EAE0"/>
    <w:lvl w:ilvl="0" w:tplc="86C8438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39226D"/>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2E5A1F"/>
    <w:multiLevelType w:val="hybridMultilevel"/>
    <w:tmpl w:val="CD8E6D52"/>
    <w:lvl w:ilvl="0" w:tplc="C9009796">
      <w:start w:val="1"/>
      <w:numFmt w:val="lowerRoman"/>
      <w:lvlText w:val="%1)"/>
      <w:lvlJc w:val="left"/>
      <w:pPr>
        <w:ind w:left="780" w:hanging="720"/>
      </w:pPr>
      <w:rPr>
        <w:rFonts w:hint="default"/>
        <w:b w:val="0"/>
        <w:sz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0A36951"/>
    <w:multiLevelType w:val="hybridMultilevel"/>
    <w:tmpl w:val="CA70B230"/>
    <w:lvl w:ilvl="0" w:tplc="A092ADB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50474C"/>
    <w:multiLevelType w:val="hybridMultilevel"/>
    <w:tmpl w:val="783C2DF6"/>
    <w:lvl w:ilvl="0" w:tplc="A7D662C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9E32E9"/>
    <w:multiLevelType w:val="hybridMultilevel"/>
    <w:tmpl w:val="5ADE5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D72DE0"/>
    <w:multiLevelType w:val="hybridMultilevel"/>
    <w:tmpl w:val="3236AE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5C142460"/>
    <w:multiLevelType w:val="hybridMultilevel"/>
    <w:tmpl w:val="3DB23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69773E"/>
    <w:multiLevelType w:val="hybridMultilevel"/>
    <w:tmpl w:val="A1722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191984"/>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C5C5F7A"/>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515017F"/>
    <w:multiLevelType w:val="multilevel"/>
    <w:tmpl w:val="823223DC"/>
    <w:lvl w:ilvl="0">
      <w:start w:val="1"/>
      <w:numFmt w:val="decimal"/>
      <w:lvlText w:val="Section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DDD5A34"/>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15"/>
  </w:num>
  <w:num w:numId="4">
    <w:abstractNumId w:val="22"/>
  </w:num>
  <w:num w:numId="5">
    <w:abstractNumId w:val="13"/>
  </w:num>
  <w:num w:numId="6">
    <w:abstractNumId w:val="18"/>
  </w:num>
  <w:num w:numId="7">
    <w:abstractNumId w:val="9"/>
  </w:num>
  <w:num w:numId="8">
    <w:abstractNumId w:val="17"/>
  </w:num>
  <w:num w:numId="9">
    <w:abstractNumId w:val="19"/>
  </w:num>
  <w:num w:numId="10">
    <w:abstractNumId w:val="16"/>
  </w:num>
  <w:num w:numId="11">
    <w:abstractNumId w:val="8"/>
  </w:num>
  <w:num w:numId="12">
    <w:abstractNumId w:val="3"/>
  </w:num>
  <w:num w:numId="13">
    <w:abstractNumId w:val="21"/>
  </w:num>
  <w:num w:numId="14">
    <w:abstractNumId w:val="5"/>
  </w:num>
  <w:num w:numId="15">
    <w:abstractNumId w:val="23"/>
  </w:num>
  <w:num w:numId="16">
    <w:abstractNumId w:val="2"/>
  </w:num>
  <w:num w:numId="17">
    <w:abstractNumId w:val="6"/>
  </w:num>
  <w:num w:numId="18">
    <w:abstractNumId w:val="1"/>
  </w:num>
  <w:num w:numId="19">
    <w:abstractNumId w:val="10"/>
  </w:num>
  <w:num w:numId="20">
    <w:abstractNumId w:val="14"/>
  </w:num>
  <w:num w:numId="21">
    <w:abstractNumId w:val="7"/>
  </w:num>
  <w:num w:numId="22">
    <w:abstractNumId w:val="4"/>
  </w:num>
  <w:num w:numId="23">
    <w:abstractNumId w:val="11"/>
  </w:num>
  <w:num w:numId="24">
    <w:abstractNumId w:val="2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documentProtection w:edit="readOnly" w:enforcement="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528"/>
    <w:rsid w:val="00000197"/>
    <w:rsid w:val="000277F8"/>
    <w:rsid w:val="0004789B"/>
    <w:rsid w:val="00095621"/>
    <w:rsid w:val="000C24AF"/>
    <w:rsid w:val="0010192E"/>
    <w:rsid w:val="0010571A"/>
    <w:rsid w:val="00110985"/>
    <w:rsid w:val="001170A5"/>
    <w:rsid w:val="001453B1"/>
    <w:rsid w:val="0015258C"/>
    <w:rsid w:val="001757E3"/>
    <w:rsid w:val="001A5F3E"/>
    <w:rsid w:val="001C3565"/>
    <w:rsid w:val="001C53D7"/>
    <w:rsid w:val="001D243C"/>
    <w:rsid w:val="001F155F"/>
    <w:rsid w:val="00274F7A"/>
    <w:rsid w:val="002A7E9E"/>
    <w:rsid w:val="002C1D57"/>
    <w:rsid w:val="002C446A"/>
    <w:rsid w:val="002E727A"/>
    <w:rsid w:val="002F470F"/>
    <w:rsid w:val="0033715E"/>
    <w:rsid w:val="00395707"/>
    <w:rsid w:val="003D3A42"/>
    <w:rsid w:val="00420E7F"/>
    <w:rsid w:val="00435C46"/>
    <w:rsid w:val="00445086"/>
    <w:rsid w:val="00465F04"/>
    <w:rsid w:val="00477AAC"/>
    <w:rsid w:val="0049769C"/>
    <w:rsid w:val="004E445F"/>
    <w:rsid w:val="004F2E0F"/>
    <w:rsid w:val="004F7D68"/>
    <w:rsid w:val="00503698"/>
    <w:rsid w:val="00514083"/>
    <w:rsid w:val="00616632"/>
    <w:rsid w:val="0062039B"/>
    <w:rsid w:val="00654AA5"/>
    <w:rsid w:val="006B3E0F"/>
    <w:rsid w:val="00702B4D"/>
    <w:rsid w:val="0071497F"/>
    <w:rsid w:val="00763FA3"/>
    <w:rsid w:val="00772A5C"/>
    <w:rsid w:val="007D6E37"/>
    <w:rsid w:val="007E4138"/>
    <w:rsid w:val="008022CE"/>
    <w:rsid w:val="008144A7"/>
    <w:rsid w:val="0084201B"/>
    <w:rsid w:val="00850C17"/>
    <w:rsid w:val="00856A34"/>
    <w:rsid w:val="008C6900"/>
    <w:rsid w:val="008D5953"/>
    <w:rsid w:val="008D61AB"/>
    <w:rsid w:val="00915399"/>
    <w:rsid w:val="00922ED1"/>
    <w:rsid w:val="009B4AB9"/>
    <w:rsid w:val="00A268E2"/>
    <w:rsid w:val="00A57320"/>
    <w:rsid w:val="00A73E11"/>
    <w:rsid w:val="00A748BF"/>
    <w:rsid w:val="00A9244F"/>
    <w:rsid w:val="00AC1C39"/>
    <w:rsid w:val="00AD2BEF"/>
    <w:rsid w:val="00AE6A14"/>
    <w:rsid w:val="00B77C41"/>
    <w:rsid w:val="00BD2300"/>
    <w:rsid w:val="00C12977"/>
    <w:rsid w:val="00C44A7A"/>
    <w:rsid w:val="00CC0C0F"/>
    <w:rsid w:val="00CC26CF"/>
    <w:rsid w:val="00D53105"/>
    <w:rsid w:val="00D93D0D"/>
    <w:rsid w:val="00DB22A0"/>
    <w:rsid w:val="00DC7D44"/>
    <w:rsid w:val="00DD7C30"/>
    <w:rsid w:val="00E45C31"/>
    <w:rsid w:val="00E5704B"/>
    <w:rsid w:val="00E60528"/>
    <w:rsid w:val="00E60E30"/>
    <w:rsid w:val="00EB1195"/>
    <w:rsid w:val="00ED3649"/>
    <w:rsid w:val="00F02A7E"/>
    <w:rsid w:val="00F20FDC"/>
    <w:rsid w:val="00FC1184"/>
    <w:rsid w:val="00FC7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C36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4AF"/>
    <w:pPr>
      <w:spacing w:after="140"/>
      <w:textboxTightWrap w:val="lastLineOnly"/>
    </w:pPr>
    <w:rPr>
      <w:rFonts w:ascii="Arial" w:hAnsi="Arial"/>
      <w:sz w:val="24"/>
      <w:szCs w:val="24"/>
    </w:rPr>
  </w:style>
  <w:style w:type="paragraph" w:styleId="Heading1">
    <w:name w:val="heading 1"/>
    <w:next w:val="Normal"/>
    <w:link w:val="Heading1Char"/>
    <w:qFormat/>
    <w:rsid w:val="000C24AF"/>
    <w:pPr>
      <w:keepNext/>
      <w:spacing w:before="140" w:after="280"/>
      <w:outlineLvl w:val="0"/>
    </w:pPr>
    <w:rPr>
      <w:rFonts w:ascii="Arial" w:hAnsi="Arial" w:cs="Arial"/>
      <w:b/>
      <w:bCs/>
      <w:color w:val="003360" w:themeColor="accent1"/>
      <w:spacing w:val="-14"/>
      <w:kern w:val="28"/>
      <w:sz w:val="42"/>
      <w:szCs w:val="32"/>
      <w14:ligatures w14:val="standardContextual"/>
    </w:rPr>
  </w:style>
  <w:style w:type="paragraph" w:styleId="Heading2">
    <w:name w:val="heading 2"/>
    <w:next w:val="Normal"/>
    <w:link w:val="Heading2Char"/>
    <w:autoRedefine/>
    <w:qFormat/>
    <w:rsid w:val="008D5953"/>
    <w:pPr>
      <w:keepNext/>
      <w:spacing w:before="70" w:after="140"/>
      <w:outlineLvl w:val="1"/>
    </w:pPr>
    <w:rPr>
      <w:rFonts w:ascii="Arial" w:eastAsia="MS Mincho" w:hAnsi="Arial"/>
      <w:b/>
      <w:color w:val="003360" w:themeColor="accent1"/>
      <w:spacing w:val="-8"/>
      <w:kern w:val="28"/>
      <w:sz w:val="35"/>
      <w:szCs w:val="28"/>
      <w14:ligatures w14:val="standardContextual"/>
    </w:rPr>
  </w:style>
  <w:style w:type="paragraph" w:styleId="Heading3">
    <w:name w:val="heading 3"/>
    <w:basedOn w:val="Heading2"/>
    <w:next w:val="Normal"/>
    <w:link w:val="Heading3Char"/>
    <w:autoRedefine/>
    <w:qFormat/>
    <w:rsid w:val="000C24AF"/>
    <w:pPr>
      <w:outlineLvl w:val="2"/>
    </w:pPr>
    <w:rPr>
      <w:rFonts w:cs="Arial"/>
      <w:bCs/>
      <w:sz w:val="28"/>
      <w:szCs w:val="26"/>
    </w:rPr>
  </w:style>
  <w:style w:type="paragraph" w:styleId="Heading4">
    <w:name w:val="heading 4"/>
    <w:basedOn w:val="Normal"/>
    <w:next w:val="Normal"/>
    <w:link w:val="Heading4Char"/>
    <w:qFormat/>
    <w:rsid w:val="000C24AF"/>
    <w:pPr>
      <w:keepNext/>
      <w:spacing w:before="70" w:after="70"/>
      <w:outlineLvl w:val="3"/>
    </w:pPr>
    <w:rPr>
      <w:b/>
      <w:color w:val="003360"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5953"/>
    <w:rPr>
      <w:rFonts w:ascii="Arial" w:eastAsia="MS Mincho" w:hAnsi="Arial"/>
      <w:b/>
      <w:color w:val="003360" w:themeColor="accent1"/>
      <w:spacing w:val="-8"/>
      <w:kern w:val="28"/>
      <w:sz w:val="35"/>
      <w:szCs w:val="28"/>
      <w14:ligatures w14:val="standardContextual"/>
    </w:rPr>
  </w:style>
  <w:style w:type="character" w:customStyle="1" w:styleId="Heading1Char">
    <w:name w:val="Heading 1 Char"/>
    <w:basedOn w:val="DefaultParagraphFont"/>
    <w:link w:val="Heading1"/>
    <w:rsid w:val="000C24AF"/>
    <w:rPr>
      <w:rFonts w:ascii="Arial" w:hAnsi="Arial" w:cs="Arial"/>
      <w:b/>
      <w:bCs/>
      <w:color w:val="003360" w:themeColor="accent1"/>
      <w:spacing w:val="-14"/>
      <w:kern w:val="28"/>
      <w:sz w:val="42"/>
      <w:szCs w:val="32"/>
      <w14:ligatures w14:val="standardContextual"/>
    </w:rPr>
  </w:style>
  <w:style w:type="paragraph" w:styleId="ListParagraph">
    <w:name w:val="List Paragraph"/>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rsid w:val="000C24AF"/>
    <w:rPr>
      <w:rFonts w:ascii="Arial" w:eastAsia="MS Mincho" w:hAnsi="Arial" w:cs="Arial"/>
      <w:b/>
      <w:bCs/>
      <w:color w:val="003360" w:themeColor="accent1"/>
      <w:spacing w:val="-8"/>
      <w:kern w:val="28"/>
      <w:sz w:val="28"/>
      <w:szCs w:val="26"/>
      <w14:ligatures w14:val="standardContextual"/>
    </w:rPr>
  </w:style>
  <w:style w:type="paragraph" w:customStyle="1" w:styleId="Bulletlist">
    <w:name w:val="Bullet list"/>
    <w:basedOn w:val="ListParagraph"/>
    <w:link w:val="BulletlistChar"/>
    <w:autoRedefine/>
    <w:qFormat/>
    <w:rsid w:val="00616632"/>
    <w:pPr>
      <w:numPr>
        <w:numId w:val="1"/>
      </w:numPr>
      <w:autoSpaceDE w:val="0"/>
      <w:autoSpaceDN w:val="0"/>
      <w:adjustRightInd w:val="0"/>
      <w:spacing w:after="140"/>
      <w:ind w:left="510" w:hanging="510"/>
      <w:textboxTightWrap w:val="none"/>
    </w:pPr>
    <w:rPr>
      <w:rFonts w:cs="FrutigerLTStd-Light"/>
      <w:szCs w:val="22"/>
    </w:rPr>
  </w:style>
  <w:style w:type="character" w:customStyle="1" w:styleId="BulletlistChar">
    <w:name w:val="Bullet list Char"/>
    <w:basedOn w:val="DefaultParagraphFont"/>
    <w:link w:val="Bulletlist"/>
    <w:rsid w:val="00616632"/>
    <w:rPr>
      <w:rFonts w:ascii="Arial" w:hAnsi="Arial" w:cs="FrutigerLTStd-Light"/>
      <w:sz w:val="24"/>
      <w:szCs w:val="22"/>
    </w:rPr>
  </w:style>
  <w:style w:type="paragraph" w:customStyle="1" w:styleId="Footnote-hanging">
    <w:name w:val="Footnote - hanging"/>
    <w:basedOn w:val="Bulletlist"/>
    <w:link w:val="Footnote-hangingChar"/>
    <w:qFormat/>
    <w:rsid w:val="008D5953"/>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rsid w:val="008D5953"/>
    <w:rPr>
      <w:rFonts w:ascii="Arial" w:hAnsi="Arial" w:cs="FrutigerLTStd-Light"/>
      <w:sz w:val="18"/>
      <w:szCs w:val="18"/>
    </w:rPr>
  </w:style>
  <w:style w:type="character" w:customStyle="1" w:styleId="Heading4Char">
    <w:name w:val="Heading 4 Char"/>
    <w:basedOn w:val="DefaultParagraphFont"/>
    <w:link w:val="Heading4"/>
    <w:rsid w:val="000C24AF"/>
    <w:rPr>
      <w:rFonts w:ascii="Arial" w:hAnsi="Arial"/>
      <w:b/>
      <w:color w:val="003360" w:themeColor="accent1"/>
      <w:sz w:val="24"/>
    </w:rPr>
  </w:style>
  <w:style w:type="character" w:styleId="Hyperlink">
    <w:name w:val="Hyperlink"/>
    <w:basedOn w:val="DefaultParagraphFont"/>
    <w:unhideWhenUsed/>
    <w:qFormat/>
    <w:rsid w:val="000C24AF"/>
    <w:rPr>
      <w:rFonts w:asciiTheme="minorHAnsi" w:hAnsiTheme="minorHAnsi"/>
      <w:color w:val="0051A3" w:themeColor="text1" w:themeTint="BF"/>
      <w:u w:val="none"/>
    </w:rPr>
  </w:style>
  <w:style w:type="paragraph" w:customStyle="1" w:styleId="Standfirst">
    <w:name w:val="Standfirst"/>
    <w:basedOn w:val="Heading4"/>
    <w:link w:val="StandfirstChar"/>
    <w:autoRedefine/>
    <w:qFormat/>
    <w:rsid w:val="000C24AF"/>
    <w:pPr>
      <w:spacing w:before="0" w:after="140" w:line="420" w:lineRule="atLeast"/>
    </w:pPr>
    <w:rPr>
      <w:color w:val="505050" w:themeColor="accent3"/>
      <w:spacing w:val="4"/>
      <w:kern w:val="28"/>
      <w:sz w:val="28"/>
      <w:szCs w:val="28"/>
      <w14:textFill>
        <w14:solidFill>
          <w14:schemeClr w14:val="accent3">
            <w14:lumMod w14:val="75000"/>
            <w14:lumOff w14:val="25000"/>
            <w14:lumMod w14:val="75000"/>
            <w14:lumOff w14:val="25000"/>
          </w14:schemeClr>
        </w14:solidFill>
      </w14:textFill>
      <w14:ligatures w14:val="standardContextual"/>
    </w:rPr>
  </w:style>
  <w:style w:type="character" w:customStyle="1" w:styleId="StandfirstChar">
    <w:name w:val="Standfirst Char"/>
    <w:basedOn w:val="Heading4Char"/>
    <w:link w:val="Standfirst"/>
    <w:rsid w:val="000C24AF"/>
    <w:rPr>
      <w:rFonts w:ascii="Arial" w:hAnsi="Arial"/>
      <w:b/>
      <w:color w:val="505050" w:themeColor="accent3"/>
      <w:spacing w:val="4"/>
      <w:kern w:val="28"/>
      <w:sz w:val="28"/>
      <w:szCs w:val="28"/>
      <w14:textFill>
        <w14:solidFill>
          <w14:schemeClr w14:val="accent3">
            <w14:lumMod w14:val="75000"/>
            <w14:lumOff w14:val="25000"/>
            <w14:lumMod w14:val="75000"/>
            <w14:lumOff w14:val="25000"/>
          </w14:schemeClr>
        </w14:solidFill>
      </w14:textFill>
      <w14:ligatures w14:val="standardContextual"/>
    </w:rPr>
  </w:style>
  <w:style w:type="paragraph" w:styleId="TOC1">
    <w:name w:val="toc 1"/>
    <w:basedOn w:val="Normal"/>
    <w:next w:val="Normal"/>
    <w:autoRedefine/>
    <w:uiPriority w:val="39"/>
    <w:unhideWhenUsed/>
    <w:qFormat/>
    <w:rsid w:val="008D5953"/>
    <w:pPr>
      <w:pBdr>
        <w:top w:val="single" w:sz="4" w:space="4" w:color="B9B9B9" w:themeColor="accent3" w:themeTint="66"/>
        <w:bottom w:val="single" w:sz="4" w:space="4" w:color="B9B9B9" w:themeColor="accent3" w:themeTint="66"/>
      </w:pBdr>
      <w:tabs>
        <w:tab w:val="right" w:pos="9854"/>
      </w:tabs>
    </w:pPr>
    <w:rPr>
      <w:b/>
      <w:noProof/>
      <w:color w:val="003360" w:themeColor="accent1"/>
      <w:sz w:val="28"/>
    </w:rPr>
  </w:style>
  <w:style w:type="paragraph" w:styleId="TOCHeading">
    <w:name w:val="TOC Heading"/>
    <w:basedOn w:val="Heading1"/>
    <w:next w:val="Normal"/>
    <w:uiPriority w:val="39"/>
    <w:unhideWhenUsed/>
    <w:qFormat/>
    <w:rsid w:val="000C24AF"/>
    <w:pPr>
      <w:keepLines/>
      <w:spacing w:before="480" w:after="0" w:line="276" w:lineRule="auto"/>
      <w:outlineLvl w:val="9"/>
    </w:pPr>
    <w:rPr>
      <w:rFonts w:asciiTheme="majorHAnsi" w:eastAsiaTheme="majorEastAsia" w:hAnsiTheme="majorHAnsi" w:cstheme="majorBidi"/>
      <w:kern w:val="0"/>
      <w:sz w:val="28"/>
      <w:szCs w:val="28"/>
      <w:lang w:val="en-US" w:eastAsia="ja-JP"/>
    </w:rPr>
  </w:style>
  <w:style w:type="paragraph" w:customStyle="1" w:styleId="FrontpageTitle">
    <w:name w:val="Frontpage_Title"/>
    <w:basedOn w:val="Normal"/>
    <w:link w:val="FrontpageTitleChar"/>
    <w:autoRedefine/>
    <w:qFormat/>
    <w:rsid w:val="00E5704B"/>
    <w:rPr>
      <w:color w:val="003360" w:themeColor="accent1"/>
      <w:sz w:val="70"/>
      <w:szCs w:val="84"/>
    </w:rPr>
  </w:style>
  <w:style w:type="character" w:customStyle="1" w:styleId="FrontpageTitleChar">
    <w:name w:val="Frontpage_Title Char"/>
    <w:basedOn w:val="DefaultParagraphFont"/>
    <w:link w:val="FrontpageTitle"/>
    <w:rsid w:val="00E5704B"/>
    <w:rPr>
      <w:rFonts w:ascii="Arial" w:hAnsi="Arial"/>
      <w:color w:val="003360" w:themeColor="accent1"/>
      <w:sz w:val="70"/>
      <w:szCs w:val="84"/>
    </w:rPr>
  </w:style>
  <w:style w:type="paragraph" w:customStyle="1" w:styleId="Frontpagesubhead">
    <w:name w:val="Frontpage_subhead"/>
    <w:basedOn w:val="Normal"/>
    <w:link w:val="FrontpagesubheadChar"/>
    <w:autoRedefine/>
    <w:qFormat/>
    <w:rsid w:val="00E5704B"/>
    <w:rPr>
      <w:b/>
      <w:color w:val="003360" w:themeColor="accent1"/>
      <w:sz w:val="35"/>
      <w:szCs w:val="42"/>
    </w:rPr>
  </w:style>
  <w:style w:type="character" w:customStyle="1" w:styleId="FrontpagesubheadChar">
    <w:name w:val="Frontpage_subhead Char"/>
    <w:basedOn w:val="DefaultParagraphFont"/>
    <w:link w:val="Frontpagesubhead"/>
    <w:rsid w:val="00E5704B"/>
    <w:rPr>
      <w:rFonts w:ascii="Arial" w:hAnsi="Arial"/>
      <w:b/>
      <w:color w:val="003360" w:themeColor="accent1"/>
      <w:sz w:val="35"/>
      <w:szCs w:val="42"/>
    </w:rPr>
  </w:style>
  <w:style w:type="paragraph" w:customStyle="1" w:styleId="Footnoteseparator">
    <w:name w:val="Footnote_separator"/>
    <w:basedOn w:val="Heading3"/>
    <w:link w:val="FootnoteseparatorChar"/>
    <w:rsid w:val="000C24AF"/>
    <w:rPr>
      <w:noProof/>
      <w:w w:val="200"/>
      <w:sz w:val="16"/>
      <w:szCs w:val="16"/>
    </w:rPr>
  </w:style>
  <w:style w:type="character" w:customStyle="1" w:styleId="FootnoteseparatorChar">
    <w:name w:val="Footnote_separator Char"/>
    <w:basedOn w:val="Heading3Char"/>
    <w:link w:val="Footnoteseparator"/>
    <w:rsid w:val="000C24AF"/>
    <w:rPr>
      <w:rFonts w:ascii="Arial" w:eastAsia="MS Mincho" w:hAnsi="Arial" w:cs="Arial"/>
      <w:b/>
      <w:bCs/>
      <w:noProof/>
      <w:color w:val="003360" w:themeColor="accent1"/>
      <w:spacing w:val="-8"/>
      <w:w w:val="200"/>
      <w:kern w:val="28"/>
      <w:sz w:val="16"/>
      <w:szCs w:val="16"/>
      <w14:ligatures w14:val="standardContextual"/>
    </w:rPr>
  </w:style>
  <w:style w:type="paragraph" w:customStyle="1" w:styleId="Numberedlist">
    <w:name w:val="Numbered list"/>
    <w:basedOn w:val="ListParagraph"/>
    <w:link w:val="NumberedlistChar"/>
    <w:qFormat/>
    <w:rsid w:val="000C24AF"/>
    <w:pPr>
      <w:spacing w:after="140"/>
      <w:ind w:left="510" w:hanging="510"/>
    </w:pPr>
  </w:style>
  <w:style w:type="character" w:customStyle="1" w:styleId="NumberedlistChar">
    <w:name w:val="Numbered list Char"/>
    <w:basedOn w:val="DefaultParagraphFont"/>
    <w:link w:val="Numberedlist"/>
    <w:rsid w:val="000C24AF"/>
    <w:rPr>
      <w:rFonts w:ascii="Arial" w:hAnsi="Arial"/>
      <w:sz w:val="24"/>
      <w:szCs w:val="24"/>
    </w:rPr>
  </w:style>
  <w:style w:type="paragraph" w:styleId="TOC2">
    <w:name w:val="toc 2"/>
    <w:basedOn w:val="Normal"/>
    <w:next w:val="Normal"/>
    <w:autoRedefine/>
    <w:uiPriority w:val="39"/>
    <w:unhideWhenUsed/>
    <w:qFormat/>
    <w:rsid w:val="000C24AF"/>
    <w:pPr>
      <w:spacing w:after="100"/>
      <w:ind w:left="220"/>
    </w:p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unhideWhenUsed/>
    <w:qFormat/>
    <w:rsid w:val="00095621"/>
    <w:pPr>
      <w:pBdr>
        <w:bottom w:val="single" w:sz="6" w:space="4" w:color="505050" w:themeColor="accent3"/>
      </w:pBdr>
      <w:tabs>
        <w:tab w:val="left" w:pos="9639"/>
      </w:tabs>
      <w:spacing w:after="0"/>
    </w:pPr>
    <w:rPr>
      <w:b/>
      <w:color w:val="505050" w:themeColor="accent3"/>
      <w:sz w:val="20"/>
    </w:rPr>
  </w:style>
  <w:style w:type="character" w:customStyle="1" w:styleId="HeaderChar">
    <w:name w:val="Header Char"/>
    <w:basedOn w:val="DefaultParagraphFont"/>
    <w:link w:val="Header"/>
    <w:uiPriority w:val="99"/>
    <w:rsid w:val="00095621"/>
    <w:rPr>
      <w:rFonts w:ascii="Arial" w:hAnsi="Arial"/>
      <w:b/>
      <w:color w:val="505050" w:themeColor="accent3"/>
      <w:szCs w:val="24"/>
    </w:rPr>
  </w:style>
  <w:style w:type="paragraph" w:styleId="Footer">
    <w:name w:val="footer"/>
    <w:basedOn w:val="Normal"/>
    <w:link w:val="FooterChar"/>
    <w:autoRedefine/>
    <w:uiPriority w:val="99"/>
    <w:unhideWhenUsed/>
    <w:qFormat/>
    <w:rsid w:val="00095621"/>
    <w:pPr>
      <w:tabs>
        <w:tab w:val="right" w:pos="9866"/>
      </w:tabs>
      <w:spacing w:after="0"/>
    </w:pPr>
    <w:rPr>
      <w:color w:val="505050" w:themeColor="accent3"/>
      <w:sz w:val="17"/>
    </w:rPr>
  </w:style>
  <w:style w:type="character" w:customStyle="1" w:styleId="FooterChar">
    <w:name w:val="Footer Char"/>
    <w:basedOn w:val="DefaultParagraphFont"/>
    <w:link w:val="Footer"/>
    <w:uiPriority w:val="99"/>
    <w:rsid w:val="00095621"/>
    <w:rPr>
      <w:rFonts w:ascii="Arial" w:hAnsi="Arial"/>
      <w:color w:val="505050" w:themeColor="accent3"/>
      <w:sz w:val="17"/>
      <w:szCs w:val="24"/>
    </w:rPr>
  </w:style>
  <w:style w:type="character" w:styleId="Strong">
    <w:name w:val="Strong"/>
    <w:aliases w:val="Bold"/>
    <w:qFormat/>
    <w:rsid w:val="000C24AF"/>
    <w:rPr>
      <w:rFonts w:asciiTheme="minorHAnsi" w:hAnsiTheme="minorHAnsi"/>
      <w:b/>
      <w:bCs/>
    </w:rPr>
  </w:style>
  <w:style w:type="paragraph" w:styleId="Quote">
    <w:name w:val="Quote"/>
    <w:basedOn w:val="Normal"/>
    <w:next w:val="Normal"/>
    <w:link w:val="QuoteChar"/>
    <w:uiPriority w:val="29"/>
    <w:qFormat/>
    <w:rsid w:val="000C24AF"/>
    <w:pPr>
      <w:spacing w:before="70" w:after="70"/>
    </w:pPr>
    <w:rPr>
      <w:rFonts w:ascii="Goudy Old Style" w:hAnsi="Goudy Old Style"/>
      <w:i/>
      <w:iCs/>
      <w:color w:val="003360" w:themeColor="accent1"/>
      <w:sz w:val="35"/>
    </w:rPr>
  </w:style>
  <w:style w:type="character" w:customStyle="1" w:styleId="QuoteChar">
    <w:name w:val="Quote Char"/>
    <w:basedOn w:val="DefaultParagraphFont"/>
    <w:link w:val="Quote"/>
    <w:uiPriority w:val="29"/>
    <w:rsid w:val="000C24AF"/>
    <w:rPr>
      <w:rFonts w:ascii="Goudy Old Style" w:hAnsi="Goudy Old Style"/>
      <w:i/>
      <w:iCs/>
      <w:color w:val="003360" w:themeColor="accent1"/>
      <w:sz w:val="35"/>
      <w:szCs w:val="24"/>
    </w:rPr>
  </w:style>
  <w:style w:type="character" w:customStyle="1" w:styleId="ListParagraphChar">
    <w:name w:val="List Paragraph Char"/>
    <w:basedOn w:val="DefaultParagraphFont"/>
    <w:link w:val="ListParagraph"/>
    <w:uiPriority w:val="34"/>
    <w:rsid w:val="001D243C"/>
    <w:rPr>
      <w:rFonts w:ascii="Arial" w:hAnsi="Arial"/>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table" w:customStyle="1" w:styleId="TableGrid1">
    <w:name w:val="Table Grid1"/>
    <w:basedOn w:val="TableNormal"/>
    <w:next w:val="TableGrid"/>
    <w:uiPriority w:val="59"/>
    <w:rsid w:val="00772A5C"/>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72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258C"/>
    <w:rPr>
      <w:color w:val="808080"/>
    </w:rPr>
  </w:style>
  <w:style w:type="character" w:styleId="CommentReference">
    <w:name w:val="annotation reference"/>
    <w:basedOn w:val="DefaultParagraphFont"/>
    <w:uiPriority w:val="99"/>
    <w:semiHidden/>
    <w:unhideWhenUsed/>
    <w:rsid w:val="00915399"/>
    <w:rPr>
      <w:sz w:val="16"/>
      <w:szCs w:val="16"/>
    </w:rPr>
  </w:style>
  <w:style w:type="paragraph" w:styleId="CommentText">
    <w:name w:val="annotation text"/>
    <w:basedOn w:val="Normal"/>
    <w:link w:val="CommentTextChar"/>
    <w:uiPriority w:val="99"/>
    <w:semiHidden/>
    <w:unhideWhenUsed/>
    <w:rsid w:val="00915399"/>
    <w:rPr>
      <w:sz w:val="20"/>
      <w:szCs w:val="20"/>
    </w:rPr>
  </w:style>
  <w:style w:type="character" w:customStyle="1" w:styleId="CommentTextChar">
    <w:name w:val="Comment Text Char"/>
    <w:basedOn w:val="DefaultParagraphFont"/>
    <w:link w:val="CommentText"/>
    <w:uiPriority w:val="99"/>
    <w:semiHidden/>
    <w:rsid w:val="00915399"/>
    <w:rPr>
      <w:rFonts w:ascii="Arial" w:hAnsi="Arial"/>
    </w:rPr>
  </w:style>
  <w:style w:type="paragraph" w:styleId="CommentSubject">
    <w:name w:val="annotation subject"/>
    <w:basedOn w:val="CommentText"/>
    <w:next w:val="CommentText"/>
    <w:link w:val="CommentSubjectChar"/>
    <w:uiPriority w:val="99"/>
    <w:semiHidden/>
    <w:unhideWhenUsed/>
    <w:rsid w:val="00915399"/>
    <w:rPr>
      <w:b/>
      <w:bCs/>
    </w:rPr>
  </w:style>
  <w:style w:type="character" w:customStyle="1" w:styleId="CommentSubjectChar">
    <w:name w:val="Comment Subject Char"/>
    <w:basedOn w:val="CommentTextChar"/>
    <w:link w:val="CommentSubject"/>
    <w:uiPriority w:val="99"/>
    <w:semiHidden/>
    <w:rsid w:val="00915399"/>
    <w:rPr>
      <w:rFonts w:ascii="Arial" w:hAnsi="Arial"/>
      <w:b/>
      <w:bCs/>
    </w:rPr>
  </w:style>
  <w:style w:type="character" w:styleId="FollowedHyperlink">
    <w:name w:val="FollowedHyperlink"/>
    <w:basedOn w:val="DefaultParagraphFont"/>
    <w:uiPriority w:val="99"/>
    <w:semiHidden/>
    <w:unhideWhenUsed/>
    <w:rsid w:val="00DB22A0"/>
    <w:rPr>
      <w:color w:val="701870" w:themeColor="followedHyperlink"/>
      <w:u w:val="single"/>
    </w:rPr>
  </w:style>
  <w:style w:type="paragraph" w:customStyle="1" w:styleId="Default">
    <w:name w:val="Default"/>
    <w:rsid w:val="00C12977"/>
    <w:pPr>
      <w:autoSpaceDE w:val="0"/>
      <w:autoSpaceDN w:val="0"/>
      <w:adjustRightInd w:val="0"/>
    </w:pPr>
    <w:rPr>
      <w:rFonts w:ascii="Arial" w:hAnsi="Arial" w:cs="Arial"/>
      <w:color w:val="000000"/>
      <w:sz w:val="24"/>
      <w:szCs w:val="24"/>
      <w:lang w:eastAsia="en-GB"/>
    </w:rPr>
  </w:style>
  <w:style w:type="paragraph" w:styleId="ListBullet">
    <w:name w:val="List Bullet"/>
    <w:basedOn w:val="Normal"/>
    <w:rsid w:val="00C12977"/>
    <w:pPr>
      <w:numPr>
        <w:numId w:val="19"/>
      </w:numPr>
      <w:spacing w:after="60"/>
      <w:jc w:val="both"/>
      <w:textboxTightWrap w:val="none"/>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3782">
      <w:bodyDiv w:val="1"/>
      <w:marLeft w:val="0"/>
      <w:marRight w:val="0"/>
      <w:marTop w:val="0"/>
      <w:marBottom w:val="0"/>
      <w:divBdr>
        <w:top w:val="none" w:sz="0" w:space="0" w:color="auto"/>
        <w:left w:val="none" w:sz="0" w:space="0" w:color="auto"/>
        <w:bottom w:val="none" w:sz="0" w:space="0" w:color="auto"/>
        <w:right w:val="none" w:sz="0" w:space="0" w:color="auto"/>
      </w:divBdr>
    </w:div>
    <w:div w:id="126873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tent.digital.nhs.uk/gp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hsemployers.org/Aboutus/Publications/Documents/QOF_2012-13.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dicators@nice.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indicators.hscic.gov.uk/download/Clinical%20Commissioning%20Group%20Indicators/Specification/CCG_1.12_I00777_S.pdf" TargetMode="External"/><Relationship Id="rId14" Type="http://schemas.openxmlformats.org/officeDocument/2006/relationships/fontTable" Target="fontTable.xml"/></Relationships>
</file>

<file path=word/theme/theme1.xml><?xml version="1.0" encoding="utf-8"?>
<a:theme xmlns:a="http://schemas.openxmlformats.org/drawingml/2006/main" name="HSCIC_Corporate">
  <a:themeElements>
    <a:clrScheme name="HSCIC_corporate">
      <a:dk1>
        <a:srgbClr val="001830"/>
      </a:dk1>
      <a:lt1>
        <a:srgbClr val="FAFCFC"/>
      </a:lt1>
      <a:dk2>
        <a:srgbClr val="000000"/>
      </a:dk2>
      <a:lt2>
        <a:srgbClr val="F0F8FC"/>
      </a:lt2>
      <a:accent1>
        <a:srgbClr val="00336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EA9AB-2EFF-46D2-8889-FAB3189A9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FD32D2F8</Template>
  <TotalTime>0</TotalTime>
  <Pages>23</Pages>
  <Words>5329</Words>
  <Characters>30380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2020-03-09T14:17:00Z</dcterms:created>
  <dcterms:modified xsi:type="dcterms:W3CDTF">2020-03-09T15:32:00Z</dcterms:modified>
</cp:coreProperties>
</file>