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3F971D7C" w14:textId="77777777" w:rsidR="00740BD6" w:rsidRPr="000A4D29" w:rsidRDefault="00740BD6" w:rsidP="00740BD6">
      <w:pPr>
        <w:pStyle w:val="Heading1"/>
        <w:rPr>
          <w:b w:val="0"/>
          <w:bCs w:val="0"/>
          <w:sz w:val="24"/>
          <w:szCs w:val="24"/>
          <w:lang w:eastAsia="en-GB"/>
        </w:rPr>
      </w:pPr>
      <w:r w:rsidRPr="000A4D29">
        <w:rPr>
          <w:b w:val="0"/>
          <w:bCs w:val="0"/>
          <w:sz w:val="24"/>
          <w:szCs w:val="24"/>
          <w:lang w:eastAsia="en-GB"/>
        </w:rPr>
        <w:t xml:space="preserve">Assurance date: </w:t>
      </w:r>
      <w:r>
        <w:rPr>
          <w:b w:val="0"/>
          <w:bCs w:val="0"/>
          <w:sz w:val="24"/>
          <w:szCs w:val="24"/>
          <w:lang w:eastAsia="en-GB"/>
        </w:rPr>
        <w:t>March 2022</w:t>
      </w:r>
    </w:p>
    <w:p w14:paraId="2352F4E4" w14:textId="77777777" w:rsidR="00740BD6" w:rsidRPr="000A4D29" w:rsidRDefault="00740BD6" w:rsidP="00740BD6">
      <w:pPr>
        <w:pStyle w:val="Heading1"/>
        <w:rPr>
          <w:b w:val="0"/>
          <w:bCs w:val="0"/>
          <w:sz w:val="24"/>
          <w:szCs w:val="24"/>
          <w:lang w:eastAsia="en-GB"/>
        </w:rPr>
      </w:pPr>
      <w:r w:rsidRPr="000A4D29">
        <w:rPr>
          <w:b w:val="0"/>
          <w:bCs w:val="0"/>
          <w:sz w:val="24"/>
          <w:szCs w:val="24"/>
          <w:lang w:eastAsia="en-GB"/>
        </w:rPr>
        <w:t xml:space="preserve">Review date: </w:t>
      </w:r>
      <w:r>
        <w:rPr>
          <w:b w:val="0"/>
          <w:bCs w:val="0"/>
          <w:sz w:val="24"/>
          <w:szCs w:val="24"/>
          <w:lang w:eastAsia="en-GB"/>
        </w:rPr>
        <w:t>March 2023</w:t>
      </w:r>
    </w:p>
    <w:p w14:paraId="047E7BC9" w14:textId="178A0595"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024773">
        <w:rPr>
          <w:lang w:eastAsia="en-GB"/>
        </w:rPr>
        <w:t>133</w:t>
      </w:r>
    </w:p>
    <w:p w14:paraId="4040A20E" w14:textId="77777777" w:rsidR="00024773" w:rsidRDefault="00024773" w:rsidP="009B0E59">
      <w:pPr>
        <w:pStyle w:val="Heading1"/>
        <w:rPr>
          <w:b w:val="0"/>
          <w:bCs w:val="0"/>
          <w:kern w:val="0"/>
          <w:sz w:val="24"/>
          <w:szCs w:val="24"/>
          <w:lang w:eastAsia="en-GB"/>
        </w:rPr>
      </w:pPr>
      <w:r w:rsidRPr="00024773">
        <w:rPr>
          <w:b w:val="0"/>
          <w:bCs w:val="0"/>
          <w:kern w:val="0"/>
          <w:sz w:val="24"/>
          <w:szCs w:val="24"/>
          <w:lang w:eastAsia="en-GB"/>
        </w:rPr>
        <w:t>People with serious mental illness (SMI) who have received the complete list of physical checks</w:t>
      </w:r>
    </w:p>
    <w:p w14:paraId="7C25BFBC" w14:textId="512980D7"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01B103AE"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F20712">
              <w:rPr>
                <w:rFonts w:ascii="Arial" w:hAnsi="Arial" w:cs="Arial"/>
                <w:sz w:val="22"/>
                <w:szCs w:val="22"/>
              </w:rPr>
              <w:t>CCG</w:t>
            </w:r>
            <w:r w:rsidR="006A6B79">
              <w:rPr>
                <w:rFonts w:ascii="Arial" w:hAnsi="Arial" w:cs="Arial"/>
                <w:sz w:val="22"/>
                <w:szCs w:val="22"/>
              </w:rPr>
              <w:t xml:space="preserve"> outcomes </w:t>
            </w:r>
            <w:r w:rsidR="00F20712">
              <w:rPr>
                <w:rFonts w:ascii="Arial" w:hAnsi="Arial" w:cs="Arial"/>
                <w:sz w:val="22"/>
                <w:szCs w:val="22"/>
              </w:rPr>
              <w:t>indicator set</w:t>
            </w:r>
            <w:r w:rsidR="00402BFB">
              <w:rPr>
                <w:rFonts w:ascii="Arial" w:hAnsi="Arial" w:cs="Arial"/>
                <w:sz w:val="22"/>
                <w:szCs w:val="22"/>
              </w:rPr>
              <w:t xml:space="preserve"> </w:t>
            </w:r>
            <w:r w:rsidR="00F75B77">
              <w:rPr>
                <w:rFonts w:ascii="Arial" w:hAnsi="Arial" w:cs="Arial"/>
                <w:sz w:val="22"/>
                <w:szCs w:val="22"/>
              </w:rPr>
              <w:t xml:space="preserve">domain </w:t>
            </w:r>
            <w:r w:rsidR="00F20712">
              <w:rPr>
                <w:rFonts w:ascii="Arial" w:hAnsi="Arial" w:cs="Arial"/>
                <w:sz w:val="22"/>
                <w:szCs w:val="22"/>
              </w:rPr>
              <w:t>1</w:t>
            </w:r>
            <w:r w:rsidR="00F75B77">
              <w:rPr>
                <w:rFonts w:ascii="Arial" w:hAnsi="Arial" w:cs="Arial"/>
                <w:sz w:val="22"/>
                <w:szCs w:val="22"/>
              </w:rPr>
              <w:t xml:space="preserve"> – </w:t>
            </w:r>
            <w:r w:rsidR="00F20712" w:rsidRPr="00F20712">
              <w:rPr>
                <w:rFonts w:ascii="Arial" w:hAnsi="Arial" w:cs="Arial"/>
                <w:sz w:val="22"/>
                <w:szCs w:val="22"/>
              </w:rPr>
              <w:t>Preventing people from dying prematurely</w:t>
            </w:r>
            <w:r w:rsidR="00402BFB">
              <w:rPr>
                <w:rFonts w:ascii="Arial" w:hAnsi="Arial" w:cs="Arial"/>
                <w:sz w:val="22"/>
                <w:szCs w:val="22"/>
              </w:rPr>
              <w:t>.</w:t>
            </w:r>
          </w:p>
          <w:p w14:paraId="6A0AAFD7" w14:textId="7B8BF735" w:rsidR="00645411" w:rsidRPr="006E1387" w:rsidRDefault="00011892" w:rsidP="00284539">
            <w:pPr>
              <w:spacing w:before="120" w:after="120"/>
              <w:rPr>
                <w:rFonts w:ascii="Arial" w:hAnsi="Arial" w:cs="Arial"/>
                <w:sz w:val="22"/>
                <w:szCs w:val="22"/>
              </w:rPr>
            </w:pPr>
            <w:r>
              <w:rPr>
                <w:rFonts w:ascii="Arial" w:hAnsi="Arial" w:cs="Arial"/>
                <w:sz w:val="22"/>
                <w:szCs w:val="22"/>
              </w:rPr>
              <w:t xml:space="preserve">This indicator </w:t>
            </w:r>
            <w:r w:rsidR="00F8003F">
              <w:rPr>
                <w:rFonts w:ascii="Arial" w:hAnsi="Arial" w:cs="Arial"/>
                <w:sz w:val="22"/>
                <w:szCs w:val="22"/>
              </w:rPr>
              <w:t>had data published in 2013/14 (England: 53.4%) and 2014/15 (England: 34.8%). In the latest year this varied from 17.5% to 53.4% across CCGs in England.</w:t>
            </w:r>
          </w:p>
        </w:tc>
        <w:tc>
          <w:tcPr>
            <w:tcW w:w="3047" w:type="dxa"/>
          </w:tcPr>
          <w:p w14:paraId="34B49690" w14:textId="1389F426"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220702">
              <w:rPr>
                <w:rFonts w:eastAsiaTheme="minorEastAsia" w:cs="Arial"/>
                <w:color w:val="000000" w:themeColor="dark1"/>
                <w:kern w:val="24"/>
                <w:sz w:val="22"/>
                <w:szCs w:val="22"/>
              </w:rPr>
              <w:t xml:space="preserve"> a </w:t>
            </w:r>
            <w:proofErr w:type="spellStart"/>
            <w:r w:rsidR="00220702">
              <w:rPr>
                <w:rFonts w:eastAsiaTheme="minorEastAsia" w:cs="Arial"/>
                <w:color w:val="000000" w:themeColor="dark1"/>
                <w:kern w:val="24"/>
                <w:sz w:val="22"/>
                <w:szCs w:val="22"/>
              </w:rPr>
              <w:t>recogni</w:t>
            </w:r>
            <w:r w:rsidR="00A27390">
              <w:rPr>
                <w:rFonts w:eastAsiaTheme="minorEastAsia" w:cs="Arial"/>
                <w:color w:val="000000" w:themeColor="dark1"/>
                <w:kern w:val="24"/>
                <w:sz w:val="22"/>
                <w:szCs w:val="22"/>
              </w:rPr>
              <w:t>s</w:t>
            </w:r>
            <w:r w:rsidR="00220702">
              <w:rPr>
                <w:rFonts w:eastAsiaTheme="minorEastAsia" w:cs="Arial"/>
                <w:color w:val="000000" w:themeColor="dark1"/>
                <w:kern w:val="24"/>
                <w:sz w:val="22"/>
                <w:szCs w:val="22"/>
              </w:rPr>
              <w:t>ed</w:t>
            </w:r>
            <w:proofErr w:type="spellEnd"/>
            <w:r w:rsidR="00220702">
              <w:rPr>
                <w:rFonts w:eastAsiaTheme="minorEastAsia" w:cs="Arial"/>
                <w:color w:val="000000" w:themeColor="dark1"/>
                <w:kern w:val="24"/>
                <w:sz w:val="22"/>
                <w:szCs w:val="22"/>
              </w:rPr>
              <w:t xml:space="preserve"> dataset</w:t>
            </w:r>
            <w:r w:rsidR="006A6B79">
              <w:rPr>
                <w:rFonts w:eastAsiaTheme="minorEastAsia" w:cs="Arial"/>
                <w:color w:val="000000" w:themeColor="dark1"/>
                <w:kern w:val="24"/>
                <w:sz w:val="22"/>
                <w:szCs w:val="22"/>
              </w:rPr>
              <w:t>.</w:t>
            </w:r>
          </w:p>
          <w:p w14:paraId="78280FB7" w14:textId="7A45FA18" w:rsidR="00E05AB5" w:rsidRPr="006E1387" w:rsidRDefault="00F8003F" w:rsidP="00EC727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In the period published this indicator value had fallen over the two years available.</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3BC29013" w14:textId="77777777" w:rsidR="00843532" w:rsidRPr="00843532" w:rsidRDefault="0019550C" w:rsidP="00843532">
            <w:pPr>
              <w:spacing w:before="120" w:after="120"/>
              <w:rPr>
                <w:rFonts w:ascii="Arial" w:hAnsi="Arial" w:cs="Arial"/>
                <w:sz w:val="22"/>
                <w:szCs w:val="22"/>
              </w:rPr>
            </w:pPr>
            <w:r>
              <w:rPr>
                <w:rFonts w:ascii="Arial" w:hAnsi="Arial" w:cs="Arial"/>
                <w:sz w:val="22"/>
                <w:szCs w:val="22"/>
              </w:rPr>
              <w:t>“</w:t>
            </w:r>
            <w:r w:rsidR="00843532" w:rsidRPr="00843532">
              <w:rPr>
                <w:rFonts w:ascii="Arial" w:hAnsi="Arial" w:cs="Arial"/>
                <w:sz w:val="22"/>
                <w:szCs w:val="22"/>
              </w:rPr>
              <w:t>This indicator supports the delivery of healthcare to meet the NICE clinical guideline CG178 Psychosis and schizophrenia in adults: prevention and management recommendations 1.1.3 Physical health and 1.5.3 Primary care.</w:t>
            </w:r>
          </w:p>
          <w:p w14:paraId="321E09C9" w14:textId="77777777" w:rsidR="00843532" w:rsidRPr="00843532" w:rsidRDefault="00843532" w:rsidP="00843532">
            <w:pPr>
              <w:spacing w:before="120" w:after="120"/>
              <w:rPr>
                <w:rFonts w:ascii="Arial" w:hAnsi="Arial" w:cs="Arial"/>
                <w:sz w:val="22"/>
                <w:szCs w:val="22"/>
              </w:rPr>
            </w:pPr>
            <w:r w:rsidRPr="00843532">
              <w:rPr>
                <w:rFonts w:ascii="Arial" w:hAnsi="Arial" w:cs="Arial"/>
                <w:sz w:val="22"/>
                <w:szCs w:val="22"/>
              </w:rPr>
              <w:t>How actionable is the indicator?</w:t>
            </w:r>
          </w:p>
          <w:p w14:paraId="46FD2163" w14:textId="6348B0FE" w:rsidR="005F3926" w:rsidRPr="006E1387" w:rsidRDefault="00843532" w:rsidP="00843532">
            <w:pPr>
              <w:spacing w:before="120" w:after="120"/>
              <w:rPr>
                <w:rFonts w:ascii="Arial" w:hAnsi="Arial" w:cs="Arial"/>
                <w:sz w:val="22"/>
                <w:szCs w:val="22"/>
              </w:rPr>
            </w:pPr>
            <w:r w:rsidRPr="00843532">
              <w:rPr>
                <w:rFonts w:ascii="Arial" w:hAnsi="Arial" w:cs="Arial"/>
                <w:sz w:val="22"/>
                <w:szCs w:val="22"/>
              </w:rPr>
              <w:t>It is expected that CCGs will use this to identify their level of achievement and, if necessary, will investigate which of the physical checks are not being carried out and which patients this relates to, so that the checks can be carried out and the care for the patient be made appropriate.</w:t>
            </w:r>
            <w:r w:rsidR="0019550C" w:rsidRPr="0019550C">
              <w:rPr>
                <w:rFonts w:ascii="Arial" w:hAnsi="Arial" w:cs="Arial"/>
                <w:sz w:val="22"/>
                <w:szCs w:val="22"/>
              </w:rPr>
              <w:t>”</w:t>
            </w:r>
          </w:p>
        </w:tc>
        <w:tc>
          <w:tcPr>
            <w:tcW w:w="3047" w:type="dxa"/>
          </w:tcPr>
          <w:p w14:paraId="12B8C1AB" w14:textId="75C117C6" w:rsidR="00E05AB5" w:rsidRPr="006E1387" w:rsidRDefault="00187006" w:rsidP="00AE660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Evidence base exists. </w:t>
            </w:r>
            <w:r w:rsidR="00843532" w:rsidRPr="00843532">
              <w:rPr>
                <w:rFonts w:eastAsiaTheme="minorEastAsia" w:cs="Arial"/>
                <w:color w:val="000000" w:themeColor="dark1"/>
                <w:kern w:val="24"/>
                <w:sz w:val="22"/>
                <w:szCs w:val="22"/>
              </w:rPr>
              <w:t xml:space="preserve">This indicator aligns with NICE guidance on </w:t>
            </w:r>
            <w:r w:rsidR="00843532">
              <w:rPr>
                <w:rFonts w:eastAsiaTheme="minorEastAsia" w:cs="Arial"/>
                <w:color w:val="000000" w:themeColor="dark1"/>
                <w:kern w:val="24"/>
                <w:sz w:val="22"/>
                <w:szCs w:val="22"/>
              </w:rPr>
              <w:t>serious mental illness</w:t>
            </w:r>
            <w:r w:rsidR="00843532" w:rsidRPr="00843532">
              <w:rPr>
                <w:rFonts w:eastAsiaTheme="minorEastAsia" w:cs="Arial"/>
                <w:color w:val="000000" w:themeColor="dark1"/>
                <w:kern w:val="24"/>
                <w:sz w:val="22"/>
                <w:szCs w:val="22"/>
              </w:rPr>
              <w:t xml:space="preserve"> (CG</w:t>
            </w:r>
            <w:r w:rsidR="00843532">
              <w:rPr>
                <w:rFonts w:eastAsiaTheme="minorEastAsia" w:cs="Arial"/>
                <w:color w:val="000000" w:themeColor="dark1"/>
                <w:kern w:val="24"/>
                <w:sz w:val="22"/>
                <w:szCs w:val="22"/>
              </w:rPr>
              <w:t>178</w:t>
            </w:r>
            <w:r w:rsidR="00843532">
              <w:rPr>
                <w:rStyle w:val="FootnoteReference"/>
                <w:rFonts w:eastAsiaTheme="minorEastAsia" w:cs="Arial"/>
                <w:color w:val="000000" w:themeColor="dark1"/>
                <w:kern w:val="24"/>
                <w:sz w:val="22"/>
                <w:szCs w:val="22"/>
              </w:rPr>
              <w:footnoteReference w:id="2"/>
            </w:r>
            <w:r w:rsidR="00D858C4">
              <w:rPr>
                <w:rFonts w:eastAsiaTheme="minorEastAsia" w:cs="Arial"/>
                <w:color w:val="000000" w:themeColor="dark1"/>
                <w:kern w:val="24"/>
                <w:sz w:val="22"/>
                <w:szCs w:val="22"/>
              </w:rPr>
              <w:t>, QS80</w:t>
            </w:r>
            <w:r w:rsidR="000D34B8">
              <w:rPr>
                <w:rStyle w:val="FootnoteReference"/>
                <w:rFonts w:eastAsiaTheme="minorEastAsia" w:cs="Arial"/>
                <w:color w:val="000000" w:themeColor="dark1"/>
                <w:kern w:val="24"/>
                <w:sz w:val="22"/>
                <w:szCs w:val="22"/>
              </w:rPr>
              <w:footnoteReference w:id="3"/>
            </w:r>
            <w:r w:rsidR="00843532" w:rsidRPr="00843532">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092" w:type="dxa"/>
          </w:tcPr>
          <w:p w14:paraId="0CB62BC1" w14:textId="77777777" w:rsidR="00843532" w:rsidRPr="00843532" w:rsidRDefault="00F2277C" w:rsidP="00843532">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843532" w:rsidRPr="00843532">
              <w:rPr>
                <w:rFonts w:ascii="Arial" w:hAnsi="Arial" w:cs="Arial"/>
                <w:color w:val="000000"/>
                <w:kern w:val="24"/>
                <w:sz w:val="22"/>
                <w:szCs w:val="22"/>
                <w:lang w:eastAsia="en-GB"/>
              </w:rPr>
              <w:t>The number of people in the denominator who have a record of a complete list of physical checks appropriate to their age and condition in the preceding 12 months:</w:t>
            </w:r>
          </w:p>
          <w:p w14:paraId="43B93C31" w14:textId="77777777" w:rsidR="00843532" w:rsidRPr="00843532" w:rsidRDefault="00843532" w:rsidP="00843532">
            <w:pPr>
              <w:spacing w:before="120" w:after="120"/>
              <w:rPr>
                <w:rFonts w:ascii="Arial" w:hAnsi="Arial" w:cs="Arial"/>
                <w:color w:val="000000"/>
                <w:kern w:val="24"/>
                <w:sz w:val="22"/>
                <w:szCs w:val="22"/>
                <w:lang w:eastAsia="en-GB"/>
              </w:rPr>
            </w:pPr>
            <w:r w:rsidRPr="00843532">
              <w:rPr>
                <w:rFonts w:ascii="Arial" w:hAnsi="Arial" w:cs="Arial"/>
                <w:color w:val="000000"/>
                <w:kern w:val="24"/>
                <w:sz w:val="22"/>
                <w:szCs w:val="22"/>
                <w:lang w:eastAsia="en-GB"/>
              </w:rPr>
              <w:t>• body mass index (BMI),</w:t>
            </w:r>
          </w:p>
          <w:p w14:paraId="3446FCAB" w14:textId="77777777" w:rsidR="00843532" w:rsidRPr="00843532" w:rsidRDefault="00843532" w:rsidP="00843532">
            <w:pPr>
              <w:spacing w:before="120" w:after="120"/>
              <w:rPr>
                <w:rFonts w:ascii="Arial" w:hAnsi="Arial" w:cs="Arial"/>
                <w:color w:val="000000"/>
                <w:kern w:val="24"/>
                <w:sz w:val="22"/>
                <w:szCs w:val="22"/>
                <w:lang w:eastAsia="en-GB"/>
              </w:rPr>
            </w:pPr>
            <w:r w:rsidRPr="00843532">
              <w:rPr>
                <w:rFonts w:ascii="Arial" w:hAnsi="Arial" w:cs="Arial"/>
                <w:color w:val="000000"/>
                <w:kern w:val="24"/>
                <w:sz w:val="22"/>
                <w:szCs w:val="22"/>
                <w:lang w:eastAsia="en-GB"/>
              </w:rPr>
              <w:t>• blood pressure,</w:t>
            </w:r>
          </w:p>
          <w:p w14:paraId="2257EFEF" w14:textId="77777777" w:rsidR="00843532" w:rsidRPr="00843532" w:rsidRDefault="00843532" w:rsidP="00843532">
            <w:pPr>
              <w:spacing w:before="120" w:after="120"/>
              <w:rPr>
                <w:rFonts w:ascii="Arial" w:hAnsi="Arial" w:cs="Arial"/>
                <w:color w:val="000000"/>
                <w:kern w:val="24"/>
                <w:sz w:val="22"/>
                <w:szCs w:val="22"/>
                <w:lang w:eastAsia="en-GB"/>
              </w:rPr>
            </w:pPr>
            <w:r w:rsidRPr="00843532">
              <w:rPr>
                <w:rFonts w:ascii="Arial" w:hAnsi="Arial" w:cs="Arial"/>
                <w:color w:val="000000"/>
                <w:kern w:val="24"/>
                <w:sz w:val="22"/>
                <w:szCs w:val="22"/>
                <w:lang w:eastAsia="en-GB"/>
              </w:rPr>
              <w:t xml:space="preserve">• ratio of total </w:t>
            </w:r>
            <w:proofErr w:type="spellStart"/>
            <w:proofErr w:type="gramStart"/>
            <w:r w:rsidRPr="00843532">
              <w:rPr>
                <w:rFonts w:ascii="Arial" w:hAnsi="Arial" w:cs="Arial"/>
                <w:color w:val="000000"/>
                <w:kern w:val="24"/>
                <w:sz w:val="22"/>
                <w:szCs w:val="22"/>
                <w:lang w:eastAsia="en-GB"/>
              </w:rPr>
              <w:t>cholesterol:hdl</w:t>
            </w:r>
            <w:proofErr w:type="spellEnd"/>
            <w:proofErr w:type="gramEnd"/>
            <w:r w:rsidRPr="00843532">
              <w:rPr>
                <w:rFonts w:ascii="Arial" w:hAnsi="Arial" w:cs="Arial"/>
                <w:color w:val="000000"/>
                <w:kern w:val="24"/>
                <w:sz w:val="22"/>
                <w:szCs w:val="22"/>
                <w:lang w:eastAsia="en-GB"/>
              </w:rPr>
              <w:t xml:space="preserve"> (high-density lipoprotein cholesterol or "good cholesterol.")* †,</w:t>
            </w:r>
          </w:p>
          <w:p w14:paraId="229C6610" w14:textId="77777777" w:rsidR="00843532" w:rsidRPr="00843532" w:rsidRDefault="00843532" w:rsidP="00843532">
            <w:pPr>
              <w:spacing w:before="120" w:after="120"/>
              <w:rPr>
                <w:rFonts w:ascii="Arial" w:hAnsi="Arial" w:cs="Arial"/>
                <w:color w:val="000000"/>
                <w:kern w:val="24"/>
                <w:sz w:val="22"/>
                <w:szCs w:val="22"/>
                <w:lang w:eastAsia="en-GB"/>
              </w:rPr>
            </w:pPr>
            <w:r w:rsidRPr="00843532">
              <w:rPr>
                <w:rFonts w:ascii="Arial" w:hAnsi="Arial" w:cs="Arial"/>
                <w:color w:val="000000"/>
                <w:kern w:val="24"/>
                <w:sz w:val="22"/>
                <w:szCs w:val="22"/>
                <w:lang w:eastAsia="en-GB"/>
              </w:rPr>
              <w:t xml:space="preserve">• blood glucose or HbA1c (glycated </w:t>
            </w:r>
            <w:proofErr w:type="gramStart"/>
            <w:r w:rsidRPr="00843532">
              <w:rPr>
                <w:rFonts w:ascii="Arial" w:hAnsi="Arial" w:cs="Arial"/>
                <w:color w:val="000000"/>
                <w:kern w:val="24"/>
                <w:sz w:val="22"/>
                <w:szCs w:val="22"/>
                <w:lang w:eastAsia="en-GB"/>
              </w:rPr>
              <w:t>haemoglobin)*</w:t>
            </w:r>
            <w:proofErr w:type="gramEnd"/>
            <w:r w:rsidRPr="00843532">
              <w:rPr>
                <w:rFonts w:ascii="Arial" w:hAnsi="Arial" w:cs="Arial"/>
                <w:color w:val="000000"/>
                <w:kern w:val="24"/>
                <w:sz w:val="22"/>
                <w:szCs w:val="22"/>
                <w:lang w:eastAsia="en-GB"/>
              </w:rPr>
              <w:t>,</w:t>
            </w:r>
          </w:p>
          <w:p w14:paraId="65043D2A" w14:textId="77777777" w:rsidR="00843532" w:rsidRPr="00843532" w:rsidRDefault="00843532" w:rsidP="00843532">
            <w:pPr>
              <w:spacing w:before="120" w:after="120"/>
              <w:rPr>
                <w:rFonts w:ascii="Arial" w:hAnsi="Arial" w:cs="Arial"/>
                <w:color w:val="000000"/>
                <w:kern w:val="24"/>
                <w:sz w:val="22"/>
                <w:szCs w:val="22"/>
                <w:lang w:eastAsia="en-GB"/>
              </w:rPr>
            </w:pPr>
            <w:r w:rsidRPr="00843532">
              <w:rPr>
                <w:rFonts w:ascii="Arial" w:hAnsi="Arial" w:cs="Arial"/>
                <w:color w:val="000000"/>
                <w:kern w:val="24"/>
                <w:sz w:val="22"/>
                <w:szCs w:val="22"/>
                <w:lang w:eastAsia="en-GB"/>
              </w:rPr>
              <w:t>• alcohol consumption and</w:t>
            </w:r>
          </w:p>
          <w:p w14:paraId="6EAB6DCA" w14:textId="77777777" w:rsidR="00843532" w:rsidRPr="00843532" w:rsidRDefault="00843532" w:rsidP="00843532">
            <w:pPr>
              <w:spacing w:before="120" w:after="120"/>
              <w:rPr>
                <w:rFonts w:ascii="Arial" w:hAnsi="Arial" w:cs="Arial"/>
                <w:color w:val="000000"/>
                <w:kern w:val="24"/>
                <w:sz w:val="22"/>
                <w:szCs w:val="22"/>
                <w:lang w:eastAsia="en-GB"/>
              </w:rPr>
            </w:pPr>
            <w:r w:rsidRPr="00843532">
              <w:rPr>
                <w:rFonts w:ascii="Arial" w:hAnsi="Arial" w:cs="Arial"/>
                <w:color w:val="000000"/>
                <w:kern w:val="24"/>
                <w:sz w:val="22"/>
                <w:szCs w:val="22"/>
                <w:lang w:eastAsia="en-GB"/>
              </w:rPr>
              <w:t>• smoking status.</w:t>
            </w:r>
          </w:p>
          <w:p w14:paraId="7F5AB8B1" w14:textId="23575FD2" w:rsidR="00455B14" w:rsidRDefault="00843532" w:rsidP="00843532">
            <w:pPr>
              <w:spacing w:before="120" w:after="120"/>
              <w:rPr>
                <w:rFonts w:ascii="Arial" w:hAnsi="Arial" w:cs="Arial"/>
                <w:color w:val="000000"/>
                <w:kern w:val="24"/>
                <w:sz w:val="22"/>
                <w:szCs w:val="22"/>
                <w:lang w:eastAsia="en-GB"/>
              </w:rPr>
            </w:pPr>
            <w:r w:rsidRPr="00843532">
              <w:rPr>
                <w:rFonts w:ascii="Arial" w:hAnsi="Arial" w:cs="Arial"/>
                <w:color w:val="000000"/>
                <w:kern w:val="24"/>
                <w:sz w:val="22"/>
                <w:szCs w:val="22"/>
                <w:lang w:eastAsia="en-GB"/>
              </w:rPr>
              <w:t>* These two tests are only relevant to people aged 40 or over. Therefore, the complete list of tests refers to only the four relevant tests for people aged under 40</w:t>
            </w:r>
          </w:p>
          <w:p w14:paraId="6A03C085" w14:textId="1CDA382C" w:rsidR="00351A64" w:rsidRDefault="00351A64" w:rsidP="00843532">
            <w:pPr>
              <w:spacing w:before="120" w:after="120"/>
              <w:rPr>
                <w:rFonts w:ascii="Arial" w:hAnsi="Arial" w:cs="Arial"/>
                <w:color w:val="000000"/>
                <w:kern w:val="24"/>
                <w:sz w:val="22"/>
                <w:szCs w:val="22"/>
                <w:lang w:eastAsia="en-GB"/>
              </w:rPr>
            </w:pPr>
            <w:r w:rsidRPr="00351A64">
              <w:rPr>
                <w:rFonts w:ascii="Arial" w:hAnsi="Arial" w:cs="Arial"/>
                <w:color w:val="000000"/>
                <w:kern w:val="24"/>
                <w:sz w:val="22"/>
                <w:szCs w:val="22"/>
                <w:lang w:eastAsia="en-GB"/>
              </w:rPr>
              <w:t>† This test is not relevant for patients aged 40 and over with established CVD. Therefore, the complete list of tests refers to only the other five tests for people aged 40 and over with established CVD</w:t>
            </w:r>
          </w:p>
          <w:p w14:paraId="4FC7B690" w14:textId="66FF8BD3"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843532" w:rsidRPr="00843532">
              <w:rPr>
                <w:rFonts w:ascii="Arial" w:hAnsi="Arial" w:cs="Arial"/>
                <w:color w:val="000000"/>
                <w:kern w:val="24"/>
                <w:sz w:val="22"/>
                <w:szCs w:val="22"/>
                <w:lang w:eastAsia="en-GB"/>
              </w:rPr>
              <w:t xml:space="preserve">The number of people on the GP list </w:t>
            </w:r>
            <w:proofErr w:type="gramStart"/>
            <w:r w:rsidR="00843532" w:rsidRPr="00843532">
              <w:rPr>
                <w:rFonts w:ascii="Arial" w:hAnsi="Arial" w:cs="Arial"/>
                <w:color w:val="000000"/>
                <w:kern w:val="24"/>
                <w:sz w:val="22"/>
                <w:szCs w:val="22"/>
                <w:lang w:eastAsia="en-GB"/>
              </w:rPr>
              <w:t>at</w:t>
            </w:r>
            <w:proofErr w:type="gramEnd"/>
            <w:r w:rsidR="00843532" w:rsidRPr="00843532">
              <w:rPr>
                <w:rFonts w:ascii="Arial" w:hAnsi="Arial" w:cs="Arial"/>
                <w:color w:val="000000"/>
                <w:kern w:val="24"/>
                <w:sz w:val="22"/>
                <w:szCs w:val="22"/>
                <w:lang w:eastAsia="en-GB"/>
              </w:rPr>
              <w:t xml:space="preserve"> 31 March with a diagnosis of SMI. Patients identified for this indicator have one or more of the diagnosis codes for schizophrenia, bipolar affective disorder or other psychoses in their electronic health record and their latest mental health diagnosis is not in remission.</w:t>
            </w:r>
          </w:p>
          <w:p w14:paraId="158FFEDA" w14:textId="6D66E810"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EE34DF">
              <w:rPr>
                <w:rFonts w:ascii="Arial" w:hAnsi="Arial" w:cs="Arial"/>
                <w:color w:val="000000"/>
                <w:kern w:val="24"/>
                <w:sz w:val="22"/>
                <w:szCs w:val="22"/>
                <w:lang w:eastAsia="en-GB"/>
              </w:rPr>
              <w:t>Patients in remission from SMI are excluded</w:t>
            </w:r>
          </w:p>
          <w:p w14:paraId="46400236" w14:textId="3CD84B87"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011892">
              <w:rPr>
                <w:rFonts w:ascii="Arial" w:hAnsi="Arial" w:cs="Arial"/>
                <w:color w:val="000000"/>
                <w:kern w:val="24"/>
                <w:sz w:val="22"/>
                <w:szCs w:val="22"/>
                <w:lang w:eastAsia="en-GB"/>
              </w:rPr>
              <w:t>Percentage</w:t>
            </w:r>
          </w:p>
          <w:p w14:paraId="241B73C2" w14:textId="4A0BAC2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351A64">
              <w:rPr>
                <w:rFonts w:ascii="Arial" w:hAnsi="Arial" w:cs="Arial"/>
                <w:color w:val="000000"/>
                <w:kern w:val="24"/>
                <w:sz w:val="22"/>
                <w:szCs w:val="22"/>
                <w:lang w:eastAsia="en-GB"/>
              </w:rPr>
              <w:t>CCG</w:t>
            </w:r>
          </w:p>
          <w:p w14:paraId="5B155699" w14:textId="5B484A0E"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351A64" w:rsidRPr="00351A64">
              <w:rPr>
                <w:rFonts w:ascii="Arial" w:hAnsi="Arial" w:cs="Arial"/>
                <w:color w:val="000000"/>
                <w:kern w:val="24"/>
                <w:sz w:val="22"/>
                <w:szCs w:val="22"/>
                <w:lang w:eastAsia="en-GB"/>
              </w:rPr>
              <w:t>GP data, extracted via the GP Extraction Service (GPES)</w:t>
            </w:r>
          </w:p>
          <w:p w14:paraId="134E4565" w14:textId="0F0000FC" w:rsidR="00A54F81" w:rsidRPr="006E1387" w:rsidRDefault="00873503" w:rsidP="00EB525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EB5258">
              <w:t xml:space="preserve"> </w:t>
            </w:r>
            <w:r w:rsidR="00843532" w:rsidRPr="00843532">
              <w:rPr>
                <w:rFonts w:ascii="Arial" w:hAnsi="Arial" w:cs="Arial"/>
                <w:color w:val="000000"/>
                <w:kern w:val="24"/>
                <w:sz w:val="22"/>
                <w:szCs w:val="22"/>
                <w:lang w:eastAsia="en-GB"/>
              </w:rPr>
              <w:t>CCGs where the proportion of the registered population belonging to GPs included in the GPES extract is less than 50% of the CCGs total registered population are suppressed.</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lastRenderedPageBreak/>
              <w:t xml:space="preserve">Feasibility  </w:t>
            </w:r>
          </w:p>
        </w:tc>
        <w:tc>
          <w:tcPr>
            <w:tcW w:w="4092" w:type="dxa"/>
          </w:tcPr>
          <w:p w14:paraId="6164A0BB" w14:textId="181CDF3F" w:rsidR="00F656C3" w:rsidRDefault="00F52CF4" w:rsidP="00AF27B4">
            <w:pPr>
              <w:spacing w:before="120" w:after="120"/>
              <w:rPr>
                <w:rFonts w:ascii="Arial" w:hAnsi="Arial" w:cs="Arial"/>
                <w:sz w:val="22"/>
                <w:szCs w:val="22"/>
              </w:rPr>
            </w:pPr>
            <w:r>
              <w:rPr>
                <w:rFonts w:ascii="Arial" w:hAnsi="Arial" w:cs="Arial"/>
                <w:sz w:val="22"/>
                <w:szCs w:val="22"/>
              </w:rPr>
              <w:t>All data from long running data sources</w:t>
            </w:r>
            <w:r w:rsidR="0086695C">
              <w:rPr>
                <w:rFonts w:ascii="Arial" w:hAnsi="Arial" w:cs="Arial"/>
                <w:sz w:val="22"/>
                <w:szCs w:val="22"/>
              </w:rPr>
              <w:t>.</w:t>
            </w:r>
          </w:p>
          <w:p w14:paraId="01910D21" w14:textId="602A40D6" w:rsidR="0086695C" w:rsidRDefault="0086695C" w:rsidP="00AF27B4">
            <w:pPr>
              <w:spacing w:before="120" w:after="120"/>
              <w:rPr>
                <w:rFonts w:ascii="Arial" w:hAnsi="Arial" w:cs="Arial"/>
                <w:sz w:val="22"/>
                <w:szCs w:val="22"/>
              </w:rPr>
            </w:pPr>
            <w:r>
              <w:rPr>
                <w:rFonts w:ascii="Arial" w:hAnsi="Arial" w:cs="Arial"/>
                <w:sz w:val="22"/>
                <w:szCs w:val="22"/>
              </w:rPr>
              <w:t>Read codes are provided in the indicator specification which could be matched to SNOMED.</w:t>
            </w:r>
          </w:p>
          <w:p w14:paraId="23202A2C" w14:textId="319AD260" w:rsidR="002B4762" w:rsidRPr="006E1387" w:rsidRDefault="0086695C" w:rsidP="0086695C">
            <w:pPr>
              <w:spacing w:before="120" w:after="120"/>
              <w:rPr>
                <w:rFonts w:ascii="Arial" w:hAnsi="Arial" w:cs="Arial"/>
                <w:sz w:val="22"/>
                <w:szCs w:val="22"/>
              </w:rPr>
            </w:pPr>
            <w:r w:rsidRPr="00761AB6">
              <w:rPr>
                <w:rFonts w:ascii="Arial" w:hAnsi="Arial" w:cs="Arial"/>
                <w:sz w:val="22"/>
                <w:szCs w:val="22"/>
              </w:rPr>
              <w:t xml:space="preserve">Indicator methodology is well </w:t>
            </w:r>
            <w:proofErr w:type="gramStart"/>
            <w:r w:rsidRPr="00761AB6">
              <w:rPr>
                <w:rFonts w:ascii="Arial" w:hAnsi="Arial" w:cs="Arial"/>
                <w:sz w:val="22"/>
                <w:szCs w:val="22"/>
              </w:rPr>
              <w:t>established</w:t>
            </w:r>
            <w:proofErr w:type="gramEnd"/>
            <w:r w:rsidRPr="00761AB6">
              <w:rPr>
                <w:rFonts w:ascii="Arial" w:hAnsi="Arial" w:cs="Arial"/>
                <w:sz w:val="22"/>
                <w:szCs w:val="22"/>
              </w:rPr>
              <w:t xml:space="preserve"> </w:t>
            </w:r>
            <w:r>
              <w:rPr>
                <w:rFonts w:ascii="Arial" w:hAnsi="Arial" w:cs="Arial"/>
                <w:sz w:val="22"/>
                <w:szCs w:val="22"/>
              </w:rPr>
              <w:t xml:space="preserve">and data is available through GPES, however no published data in the CCGOIS since 2014/15. NHS Digital have </w:t>
            </w:r>
            <w:r w:rsidR="004B7BED">
              <w:rPr>
                <w:rFonts w:ascii="Arial" w:hAnsi="Arial" w:cs="Arial"/>
                <w:sz w:val="22"/>
                <w:szCs w:val="22"/>
              </w:rPr>
              <w:t xml:space="preserve">advised </w:t>
            </w:r>
            <w:r>
              <w:rPr>
                <w:rFonts w:ascii="Arial" w:hAnsi="Arial" w:cs="Arial"/>
                <w:sz w:val="22"/>
                <w:szCs w:val="22"/>
              </w:rPr>
              <w:t>that no active development is taking place for this indicator.</w:t>
            </w:r>
          </w:p>
        </w:tc>
        <w:tc>
          <w:tcPr>
            <w:tcW w:w="3047" w:type="dxa"/>
          </w:tcPr>
          <w:p w14:paraId="47E22865" w14:textId="77777777" w:rsidR="00455B14"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2B77DF">
              <w:rPr>
                <w:rFonts w:ascii="Arial" w:eastAsiaTheme="minorEastAsia" w:hAnsi="Arial" w:cs="Arial"/>
                <w:color w:val="000000" w:themeColor="dark1"/>
                <w:kern w:val="24"/>
                <w:sz w:val="22"/>
                <w:szCs w:val="22"/>
                <w:lang w:eastAsia="en-GB"/>
              </w:rPr>
              <w:t>.</w:t>
            </w:r>
          </w:p>
          <w:p w14:paraId="02DF8BBD" w14:textId="181382F3" w:rsidR="00490D3D" w:rsidRDefault="00490D3D" w:rsidP="00490D3D">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We have been advised by NHS Digital that no active development is taking place on this indicator.</w:t>
            </w:r>
          </w:p>
          <w:p w14:paraId="7C614BB1" w14:textId="3DA04195" w:rsidR="00D46556" w:rsidRPr="006E1387" w:rsidRDefault="00D46556" w:rsidP="00EC7278">
            <w:pPr>
              <w:spacing w:before="120" w:after="120"/>
              <w:rPr>
                <w:rFonts w:ascii="Arial" w:eastAsiaTheme="minorEastAsia" w:hAnsi="Arial" w:cs="Arial"/>
                <w:color w:val="000000" w:themeColor="dark1"/>
                <w:kern w:val="24"/>
                <w:sz w:val="22"/>
                <w:szCs w:val="22"/>
                <w:lang w:eastAsia="en-GB"/>
              </w:rPr>
            </w:pP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117977B" w14:textId="0CB1D4B4" w:rsidR="009F3187" w:rsidRPr="00761AB6" w:rsidRDefault="0086695C" w:rsidP="0086695C">
            <w:pPr>
              <w:spacing w:before="120" w:after="120"/>
              <w:rPr>
                <w:rFonts w:ascii="Arial" w:hAnsi="Arial" w:cs="Arial"/>
                <w:sz w:val="22"/>
                <w:szCs w:val="22"/>
              </w:rPr>
            </w:pPr>
            <w:r>
              <w:rPr>
                <w:rFonts w:ascii="Arial" w:hAnsi="Arial" w:cs="Arial"/>
                <w:sz w:val="22"/>
                <w:szCs w:val="22"/>
              </w:rPr>
              <w:t xml:space="preserve">Indicator data is extracted through GPES so is robust. </w:t>
            </w:r>
            <w:proofErr w:type="gramStart"/>
            <w:r>
              <w:rPr>
                <w:rFonts w:ascii="Arial" w:hAnsi="Arial" w:cs="Arial"/>
                <w:sz w:val="22"/>
                <w:szCs w:val="22"/>
              </w:rPr>
              <w:t>However</w:t>
            </w:r>
            <w:proofErr w:type="gramEnd"/>
            <w:r>
              <w:rPr>
                <w:rFonts w:ascii="Arial" w:hAnsi="Arial" w:cs="Arial"/>
                <w:sz w:val="22"/>
                <w:szCs w:val="22"/>
              </w:rPr>
              <w:t xml:space="preserve"> </w:t>
            </w:r>
            <w:r w:rsidRPr="00EE34DF">
              <w:rPr>
                <w:rFonts w:ascii="Arial" w:hAnsi="Arial" w:cs="Arial"/>
                <w:sz w:val="22"/>
                <w:szCs w:val="22"/>
              </w:rPr>
              <w:t>QOF indicators for recording cholesterol, blood glucose, and BMI were retired with the 2014/15 QOF release</w:t>
            </w:r>
            <w:r>
              <w:rPr>
                <w:rFonts w:ascii="Arial" w:hAnsi="Arial" w:cs="Arial"/>
                <w:sz w:val="22"/>
                <w:szCs w:val="22"/>
              </w:rPr>
              <w:t>. Various QOF changes have been made in the interim but as of 2021/22</w:t>
            </w:r>
            <w:r w:rsidR="002C2B73">
              <w:rPr>
                <w:rFonts w:ascii="Arial" w:hAnsi="Arial" w:cs="Arial"/>
                <w:sz w:val="22"/>
                <w:szCs w:val="22"/>
              </w:rPr>
              <w:t xml:space="preserve"> the</w:t>
            </w:r>
            <w:r>
              <w:rPr>
                <w:rFonts w:ascii="Arial" w:hAnsi="Arial" w:cs="Arial"/>
                <w:sz w:val="22"/>
                <w:szCs w:val="22"/>
              </w:rPr>
              <w:t xml:space="preserve"> indicator on cholesterol</w:t>
            </w:r>
            <w:r w:rsidR="002C2B73">
              <w:rPr>
                <w:rFonts w:ascii="Arial" w:hAnsi="Arial" w:cs="Arial"/>
                <w:sz w:val="22"/>
                <w:szCs w:val="22"/>
              </w:rPr>
              <w:t xml:space="preserve"> (MH004)</w:t>
            </w:r>
            <w:r>
              <w:rPr>
                <w:rFonts w:ascii="Arial" w:hAnsi="Arial" w:cs="Arial"/>
                <w:sz w:val="22"/>
                <w:szCs w:val="22"/>
              </w:rPr>
              <w:t xml:space="preserve"> </w:t>
            </w:r>
            <w:r w:rsidR="002C2B73">
              <w:rPr>
                <w:rFonts w:ascii="Arial" w:hAnsi="Arial" w:cs="Arial"/>
                <w:sz w:val="22"/>
                <w:szCs w:val="22"/>
              </w:rPr>
              <w:t>is</w:t>
            </w:r>
            <w:r>
              <w:rPr>
                <w:rFonts w:ascii="Arial" w:hAnsi="Arial" w:cs="Arial"/>
                <w:sz w:val="22"/>
                <w:szCs w:val="22"/>
              </w:rPr>
              <w:t xml:space="preserve"> </w:t>
            </w:r>
            <w:r w:rsidR="002C2B73">
              <w:rPr>
                <w:rFonts w:ascii="Arial" w:hAnsi="Arial" w:cs="Arial"/>
                <w:sz w:val="22"/>
                <w:szCs w:val="22"/>
              </w:rPr>
              <w:t>no longer</w:t>
            </w:r>
            <w:r>
              <w:rPr>
                <w:rFonts w:ascii="Arial" w:hAnsi="Arial" w:cs="Arial"/>
                <w:sz w:val="22"/>
                <w:szCs w:val="22"/>
              </w:rPr>
              <w:t xml:space="preserve"> in QOF. </w:t>
            </w:r>
            <w:r w:rsidR="002C2B73">
              <w:rPr>
                <w:rFonts w:ascii="Arial" w:hAnsi="Arial" w:cs="Arial"/>
                <w:sz w:val="22"/>
                <w:szCs w:val="22"/>
              </w:rPr>
              <w:t xml:space="preserve">The indicator relating to blood glucose for those aged 40 and over (MH005) is also no longer in QOF, however an </w:t>
            </w:r>
            <w:proofErr w:type="gramStart"/>
            <w:r w:rsidR="002C2B73">
              <w:rPr>
                <w:rFonts w:ascii="Arial" w:hAnsi="Arial" w:cs="Arial"/>
                <w:sz w:val="22"/>
                <w:szCs w:val="22"/>
              </w:rPr>
              <w:t>all ages</w:t>
            </w:r>
            <w:proofErr w:type="gramEnd"/>
            <w:r w:rsidR="002C2B73">
              <w:rPr>
                <w:rFonts w:ascii="Arial" w:hAnsi="Arial" w:cs="Arial"/>
                <w:sz w:val="22"/>
                <w:szCs w:val="22"/>
              </w:rPr>
              <w:t xml:space="preserve"> version (MH012) is. </w:t>
            </w:r>
            <w:r>
              <w:rPr>
                <w:rFonts w:ascii="Arial" w:hAnsi="Arial" w:cs="Arial"/>
                <w:sz w:val="22"/>
                <w:szCs w:val="22"/>
              </w:rPr>
              <w:t>This may impact on activity.</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A0ECD0F"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740BD6">
        <w:trPr>
          <w:trHeight w:val="1153"/>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252E8159" w:rsidR="00041011" w:rsidRPr="006E1387" w:rsidRDefault="000D34B8"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Changes to QOF over time may affect activity levels for individual checks and therefore indicator value.</w:t>
            </w:r>
          </w:p>
        </w:tc>
        <w:tc>
          <w:tcPr>
            <w:tcW w:w="3047" w:type="dxa"/>
          </w:tcPr>
          <w:p w14:paraId="7C2C11AA" w14:textId="4E8F3D37" w:rsidR="00041011" w:rsidRPr="006E1387" w:rsidRDefault="004E0C75" w:rsidP="00EC7278">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Changes to QOF may affect activity levels for individual checks.</w:t>
            </w:r>
          </w:p>
        </w:tc>
      </w:tr>
    </w:tbl>
    <w:p w14:paraId="37D9A2F5" w14:textId="084C27AB" w:rsidR="004A517E" w:rsidRDefault="004A517E">
      <w:pPr>
        <w:rPr>
          <w:rFonts w:ascii="Arial" w:hAnsi="Arial"/>
          <w:lang w:val="en-US"/>
        </w:rPr>
      </w:pPr>
    </w:p>
    <w:p w14:paraId="1762A90E" w14:textId="40333238" w:rsidR="001E4B73" w:rsidRDefault="00740BD6" w:rsidP="00937DDA">
      <w:pPr>
        <w:pStyle w:val="Paragraphnonumbers"/>
      </w:pPr>
      <w:r>
        <w:rPr>
          <w:b/>
        </w:rPr>
        <w:t>S</w:t>
      </w:r>
      <w:r w:rsidR="00937DDA" w:rsidRPr="00B12039">
        <w:rPr>
          <w:b/>
        </w:rPr>
        <w:t>ummary:</w:t>
      </w:r>
      <w:r w:rsidR="000D34B8">
        <w:rPr>
          <w:b/>
        </w:rPr>
        <w:t xml:space="preserve"> </w:t>
      </w:r>
      <w:bookmarkStart w:id="1" w:name="_Hlk96692161"/>
      <w:r>
        <w:rPr>
          <w:bCs/>
        </w:rPr>
        <w:t xml:space="preserve">Indicator to be provisionally renewed. </w:t>
      </w:r>
      <w:bookmarkEnd w:id="1"/>
    </w:p>
    <w:p w14:paraId="55E62290" w14:textId="29B171AC" w:rsidR="00937DDA" w:rsidRPr="000D34B8" w:rsidRDefault="001A0B49" w:rsidP="00937DDA">
      <w:pPr>
        <w:pStyle w:val="Paragraphnonumbers"/>
        <w:rPr>
          <w:bCs/>
        </w:rPr>
      </w:pPr>
      <w:r>
        <w:t xml:space="preserve">Note that </w:t>
      </w:r>
      <w:r w:rsidR="00941475">
        <w:t>‘</w:t>
      </w:r>
      <w:r>
        <w:t xml:space="preserve">experimental </w:t>
      </w:r>
      <w:r w:rsidR="00941475">
        <w:t>data’</w:t>
      </w:r>
      <w:r>
        <w:t xml:space="preserve"> </w:t>
      </w:r>
      <w:r w:rsidR="00A86770">
        <w:t xml:space="preserve">covering the same six checks </w:t>
      </w:r>
      <w:r>
        <w:t xml:space="preserve">with very similar methodology are published by NHS </w:t>
      </w:r>
      <w:r w:rsidR="001D30BB">
        <w:t>England</w:t>
      </w:r>
      <w:r>
        <w:t xml:space="preserve"> at the following link </w:t>
      </w:r>
      <w:hyperlink r:id="rId8" w:history="1">
        <w:r w:rsidRPr="00D07393">
          <w:rPr>
            <w:rStyle w:val="Hyperlink"/>
          </w:rPr>
          <w:t>https://www.england.nhs.uk/statistics/statistical-work-areas/serious-mental-illness-smi/</w:t>
        </w:r>
      </w:hyperlink>
      <w:r w:rsidR="00303786">
        <w:t xml:space="preserve">. This provides counts </w:t>
      </w:r>
      <w:r w:rsidR="00A86770">
        <w:t xml:space="preserve">at CCG level </w:t>
      </w:r>
      <w:r w:rsidR="00303786">
        <w:t>of each physical check and those receiving all six, taking place in either primary or secondary care.</w:t>
      </w:r>
    </w:p>
    <w:p w14:paraId="2037447A" w14:textId="77777777" w:rsidR="00011892" w:rsidRPr="00217BF3" w:rsidRDefault="00011892" w:rsidP="00011892">
      <w:pPr>
        <w:pStyle w:val="Paragraphnonumbers"/>
      </w:pPr>
      <w:r>
        <w:t>Potential impact of COVID-19 on this indicator, though difficult to predict.</w:t>
      </w:r>
    </w:p>
    <w:p w14:paraId="4114CF72" w14:textId="77777777" w:rsidR="004E0C75" w:rsidRDefault="004E0C75" w:rsidP="004E0C75">
      <w:pPr>
        <w:pStyle w:val="Paragraphnonumbers"/>
        <w:rPr>
          <w:b/>
        </w:rPr>
      </w:pPr>
      <w:r>
        <w:rPr>
          <w:b/>
        </w:rPr>
        <w:t xml:space="preserve">NHS Digital Indicator reference: </w:t>
      </w:r>
    </w:p>
    <w:p w14:paraId="56671404" w14:textId="0DC477D4" w:rsidR="004E0C75" w:rsidRDefault="004E0C75" w:rsidP="004E0C75">
      <w:pPr>
        <w:pStyle w:val="Paragraphnonumbers"/>
      </w:pPr>
      <w:r>
        <w:t xml:space="preserve">CCG Outcomes Indicator Set – 1.12 </w:t>
      </w:r>
      <w:r w:rsidRPr="004E0C75">
        <w:t>People with serious mental illness (SMI) who have received the complete list of physical checks</w:t>
      </w:r>
    </w:p>
    <w:p w14:paraId="123085F8" w14:textId="59F5B7D7" w:rsidR="00D73835" w:rsidRDefault="00D73835" w:rsidP="004E0C75">
      <w:pPr>
        <w:pStyle w:val="Paragraphnonumbers"/>
      </w:pPr>
    </w:p>
    <w:sectPr w:rsidR="00D73835" w:rsidSect="00192B09">
      <w:headerReference w:type="default" r:id="rId9"/>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3C7B40F3" w:rsidR="00BB14CA" w:rsidRPr="008C1C95" w:rsidRDefault="004E0C75" w:rsidP="004E0C75">
    <w:pPr>
      <w:pStyle w:val="Footer"/>
    </w:pPr>
    <w:r>
      <w:t xml:space="preserve">IAP00133 </w:t>
    </w:r>
    <w:r w:rsidRPr="004E0C75">
      <w:t>People with serious mental illness (SMI) who have received the complete list of physical checks</w:t>
    </w:r>
    <w:r w:rsidR="009B0E59">
      <w:t xml:space="preserve">: Validity assessment </w:t>
    </w:r>
    <w:r>
      <w:t>March 2022</w:t>
    </w:r>
    <w:r w:rsidR="009B0E59">
      <w:tab/>
    </w:r>
    <w:r w:rsidR="009B0E59">
      <w:tab/>
    </w:r>
    <w:r w:rsidR="00BB14CA">
      <w:fldChar w:fldCharType="begin"/>
    </w:r>
    <w:r w:rsidR="00BB14CA">
      <w:instrText xml:space="preserve"> PAGE </w:instrText>
    </w:r>
    <w:r w:rsidR="00BB14CA">
      <w:fldChar w:fldCharType="separate"/>
    </w:r>
    <w:r w:rsidR="00A353FE">
      <w:rPr>
        <w:noProof/>
      </w:rPr>
      <w:t>4</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A353FE">
      <w:rPr>
        <w:noProof/>
      </w:rPr>
      <w:t>4</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7B530682" w:rsidR="00521D6D" w:rsidRDefault="00521D6D">
      <w:pPr>
        <w:pStyle w:val="FootnoteText"/>
      </w:pPr>
      <w:r>
        <w:rPr>
          <w:rStyle w:val="FootnoteReference"/>
        </w:rPr>
        <w:footnoteRef/>
      </w:r>
      <w:r>
        <w:t xml:space="preserve"> NHS Digital. </w:t>
      </w:r>
      <w:r w:rsidR="00843532">
        <w:t>CCG outcomes indicator set</w:t>
      </w:r>
      <w:r w:rsidR="00EB5258">
        <w:t>,</w:t>
      </w:r>
      <w:r>
        <w:t xml:space="preserve"> Indicator Quality Statement, Domain </w:t>
      </w:r>
      <w:r w:rsidR="00843532">
        <w:t>1</w:t>
      </w:r>
      <w:r>
        <w:t xml:space="preserve">. </w:t>
      </w:r>
      <w:r w:rsidR="00843532" w:rsidRPr="00843532">
        <w:t>People with serious mental illness who have received the complete list of physical checks</w:t>
      </w:r>
      <w:r>
        <w:t xml:space="preserve">. Version </w:t>
      </w:r>
      <w:r w:rsidR="00843532">
        <w:t>1.0</w:t>
      </w:r>
      <w:r>
        <w:t xml:space="preserve">, </w:t>
      </w:r>
      <w:r w:rsidR="00843532">
        <w:t>March 2016</w:t>
      </w:r>
    </w:p>
  </w:footnote>
  <w:footnote w:id="2">
    <w:p w14:paraId="6070C23A" w14:textId="731B5278" w:rsidR="00843532" w:rsidRDefault="00843532">
      <w:pPr>
        <w:pStyle w:val="FootnoteText"/>
      </w:pPr>
      <w:r>
        <w:rPr>
          <w:rStyle w:val="FootnoteReference"/>
        </w:rPr>
        <w:footnoteRef/>
      </w:r>
      <w:r>
        <w:t xml:space="preserve"> </w:t>
      </w:r>
      <w:r w:rsidRPr="00843532">
        <w:t>Psychosis and schizophrenia in adults: prevention and management</w:t>
      </w:r>
      <w:r>
        <w:t xml:space="preserve">, Last updated 1 March 2014. </w:t>
      </w:r>
      <w:hyperlink r:id="rId1" w:history="1">
        <w:r w:rsidRPr="00BE7A66">
          <w:rPr>
            <w:rStyle w:val="Hyperlink"/>
          </w:rPr>
          <w:t>https://www.nice.org.uk/guidance/cg178</w:t>
        </w:r>
      </w:hyperlink>
      <w:r>
        <w:t xml:space="preserve"> </w:t>
      </w:r>
    </w:p>
  </w:footnote>
  <w:footnote w:id="3">
    <w:p w14:paraId="0BBA09E8" w14:textId="09CFA7F3" w:rsidR="000D34B8" w:rsidRDefault="000D34B8">
      <w:pPr>
        <w:pStyle w:val="FootnoteText"/>
      </w:pPr>
      <w:r>
        <w:rPr>
          <w:rStyle w:val="FootnoteReference"/>
        </w:rPr>
        <w:footnoteRef/>
      </w:r>
      <w:r>
        <w:t xml:space="preserve"> </w:t>
      </w:r>
      <w:r w:rsidRPr="000D34B8">
        <w:t>Psychosis and schizophrenia in adults</w:t>
      </w:r>
      <w:r>
        <w:t xml:space="preserve">, Published 12 February 2015. </w:t>
      </w:r>
      <w:hyperlink r:id="rId2" w:history="1">
        <w:r w:rsidRPr="00BE7A66">
          <w:rPr>
            <w:rStyle w:val="Hyperlink"/>
          </w:rPr>
          <w:t>https://www.nice.org.uk/guidance/qs80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892"/>
    <w:rsid w:val="00011FC6"/>
    <w:rsid w:val="0001222B"/>
    <w:rsid w:val="00013CC2"/>
    <w:rsid w:val="00015441"/>
    <w:rsid w:val="00016234"/>
    <w:rsid w:val="00017F45"/>
    <w:rsid w:val="000200AB"/>
    <w:rsid w:val="00020637"/>
    <w:rsid w:val="0002076F"/>
    <w:rsid w:val="0002231A"/>
    <w:rsid w:val="00023CA5"/>
    <w:rsid w:val="00024773"/>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4B8"/>
    <w:rsid w:val="000D3776"/>
    <w:rsid w:val="000E0E0D"/>
    <w:rsid w:val="000E24A0"/>
    <w:rsid w:val="000E4899"/>
    <w:rsid w:val="000E7E3C"/>
    <w:rsid w:val="000F3B49"/>
    <w:rsid w:val="000F6502"/>
    <w:rsid w:val="001043B0"/>
    <w:rsid w:val="001066B8"/>
    <w:rsid w:val="00110A94"/>
    <w:rsid w:val="00110AD8"/>
    <w:rsid w:val="00112FAE"/>
    <w:rsid w:val="0011312D"/>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27F7"/>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006"/>
    <w:rsid w:val="00187570"/>
    <w:rsid w:val="00192188"/>
    <w:rsid w:val="00192B09"/>
    <w:rsid w:val="001936A7"/>
    <w:rsid w:val="00193D4B"/>
    <w:rsid w:val="00194E6C"/>
    <w:rsid w:val="0019550C"/>
    <w:rsid w:val="00196653"/>
    <w:rsid w:val="00196E29"/>
    <w:rsid w:val="001976DA"/>
    <w:rsid w:val="001A056C"/>
    <w:rsid w:val="001A0B49"/>
    <w:rsid w:val="001A23E4"/>
    <w:rsid w:val="001A281B"/>
    <w:rsid w:val="001A3011"/>
    <w:rsid w:val="001A48E7"/>
    <w:rsid w:val="001A73CD"/>
    <w:rsid w:val="001A7C9F"/>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0BB"/>
    <w:rsid w:val="001D3D36"/>
    <w:rsid w:val="001D6DFD"/>
    <w:rsid w:val="001D6E16"/>
    <w:rsid w:val="001E08E9"/>
    <w:rsid w:val="001E0B63"/>
    <w:rsid w:val="001E0E8C"/>
    <w:rsid w:val="001E4B73"/>
    <w:rsid w:val="001E586B"/>
    <w:rsid w:val="001E6F20"/>
    <w:rsid w:val="001F1315"/>
    <w:rsid w:val="001F1D2D"/>
    <w:rsid w:val="001F3305"/>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0C67"/>
    <w:rsid w:val="002331C6"/>
    <w:rsid w:val="002363B6"/>
    <w:rsid w:val="00236B76"/>
    <w:rsid w:val="002408EA"/>
    <w:rsid w:val="00241410"/>
    <w:rsid w:val="002549B2"/>
    <w:rsid w:val="002563DF"/>
    <w:rsid w:val="0026014A"/>
    <w:rsid w:val="0026108E"/>
    <w:rsid w:val="002614ED"/>
    <w:rsid w:val="00262A3E"/>
    <w:rsid w:val="00265142"/>
    <w:rsid w:val="00266AA6"/>
    <w:rsid w:val="00266B50"/>
    <w:rsid w:val="00267D80"/>
    <w:rsid w:val="00270605"/>
    <w:rsid w:val="00271804"/>
    <w:rsid w:val="00271857"/>
    <w:rsid w:val="00276AC9"/>
    <w:rsid w:val="00277ED2"/>
    <w:rsid w:val="00280F8A"/>
    <w:rsid w:val="00284539"/>
    <w:rsid w:val="00284F52"/>
    <w:rsid w:val="00286537"/>
    <w:rsid w:val="00286C3A"/>
    <w:rsid w:val="00287467"/>
    <w:rsid w:val="002901B9"/>
    <w:rsid w:val="00291A5B"/>
    <w:rsid w:val="00292B2C"/>
    <w:rsid w:val="0029330E"/>
    <w:rsid w:val="002968A7"/>
    <w:rsid w:val="00296E2E"/>
    <w:rsid w:val="002A23A7"/>
    <w:rsid w:val="002A5503"/>
    <w:rsid w:val="002A6812"/>
    <w:rsid w:val="002A7339"/>
    <w:rsid w:val="002A7A24"/>
    <w:rsid w:val="002B4762"/>
    <w:rsid w:val="002B565A"/>
    <w:rsid w:val="002B71D2"/>
    <w:rsid w:val="002B769B"/>
    <w:rsid w:val="002B77DF"/>
    <w:rsid w:val="002C0DA9"/>
    <w:rsid w:val="002C1A7E"/>
    <w:rsid w:val="002C2893"/>
    <w:rsid w:val="002C292E"/>
    <w:rsid w:val="002C2B73"/>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3786"/>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A64"/>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090"/>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4DB4"/>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56E3A"/>
    <w:rsid w:val="004615CD"/>
    <w:rsid w:val="00461C01"/>
    <w:rsid w:val="00462AFA"/>
    <w:rsid w:val="0046325E"/>
    <w:rsid w:val="00463F62"/>
    <w:rsid w:val="0046445C"/>
    <w:rsid w:val="0046709A"/>
    <w:rsid w:val="00472CEC"/>
    <w:rsid w:val="00474FE4"/>
    <w:rsid w:val="00475500"/>
    <w:rsid w:val="00475C7C"/>
    <w:rsid w:val="00475D8E"/>
    <w:rsid w:val="00476940"/>
    <w:rsid w:val="0047731B"/>
    <w:rsid w:val="004824B6"/>
    <w:rsid w:val="00482C01"/>
    <w:rsid w:val="00483498"/>
    <w:rsid w:val="0048353B"/>
    <w:rsid w:val="00486953"/>
    <w:rsid w:val="004907E0"/>
    <w:rsid w:val="00490D3D"/>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B7BED"/>
    <w:rsid w:val="004C101D"/>
    <w:rsid w:val="004C3670"/>
    <w:rsid w:val="004C3BFD"/>
    <w:rsid w:val="004C5C89"/>
    <w:rsid w:val="004D1267"/>
    <w:rsid w:val="004D26AD"/>
    <w:rsid w:val="004D2897"/>
    <w:rsid w:val="004D39E2"/>
    <w:rsid w:val="004D6448"/>
    <w:rsid w:val="004D756F"/>
    <w:rsid w:val="004E0C75"/>
    <w:rsid w:val="004E0E78"/>
    <w:rsid w:val="004E39D5"/>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46504"/>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B795C"/>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1414"/>
    <w:rsid w:val="0060351B"/>
    <w:rsid w:val="00607959"/>
    <w:rsid w:val="0061221F"/>
    <w:rsid w:val="00614078"/>
    <w:rsid w:val="006150A0"/>
    <w:rsid w:val="0061798B"/>
    <w:rsid w:val="006179BD"/>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6F1A"/>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A6B79"/>
    <w:rsid w:val="006B0C90"/>
    <w:rsid w:val="006B17FD"/>
    <w:rsid w:val="006B44E2"/>
    <w:rsid w:val="006C0C61"/>
    <w:rsid w:val="006C3D61"/>
    <w:rsid w:val="006D0590"/>
    <w:rsid w:val="006D4325"/>
    <w:rsid w:val="006D55A6"/>
    <w:rsid w:val="006D6BD0"/>
    <w:rsid w:val="006E09CB"/>
    <w:rsid w:val="006E1387"/>
    <w:rsid w:val="006E2124"/>
    <w:rsid w:val="006E23A2"/>
    <w:rsid w:val="006E299B"/>
    <w:rsid w:val="006E303F"/>
    <w:rsid w:val="006E46C1"/>
    <w:rsid w:val="006E4E37"/>
    <w:rsid w:val="006E5D76"/>
    <w:rsid w:val="006F10B0"/>
    <w:rsid w:val="006F17D4"/>
    <w:rsid w:val="006F255A"/>
    <w:rsid w:val="006F2843"/>
    <w:rsid w:val="006F6463"/>
    <w:rsid w:val="007038F5"/>
    <w:rsid w:val="0070542C"/>
    <w:rsid w:val="007067D1"/>
    <w:rsid w:val="00713287"/>
    <w:rsid w:val="007136A7"/>
    <w:rsid w:val="007139DD"/>
    <w:rsid w:val="007143AC"/>
    <w:rsid w:val="00715962"/>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0BD6"/>
    <w:rsid w:val="007434C4"/>
    <w:rsid w:val="007469C6"/>
    <w:rsid w:val="00746C13"/>
    <w:rsid w:val="00747C1C"/>
    <w:rsid w:val="00751961"/>
    <w:rsid w:val="007522A0"/>
    <w:rsid w:val="00752F55"/>
    <w:rsid w:val="007573F4"/>
    <w:rsid w:val="007574DD"/>
    <w:rsid w:val="00760E09"/>
    <w:rsid w:val="00761AB6"/>
    <w:rsid w:val="00762D25"/>
    <w:rsid w:val="00762FFF"/>
    <w:rsid w:val="00763FE4"/>
    <w:rsid w:val="007646C3"/>
    <w:rsid w:val="007647C1"/>
    <w:rsid w:val="0076595B"/>
    <w:rsid w:val="007662E4"/>
    <w:rsid w:val="0076743A"/>
    <w:rsid w:val="00770B9A"/>
    <w:rsid w:val="007718E7"/>
    <w:rsid w:val="00773A28"/>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A3A"/>
    <w:rsid w:val="00822F81"/>
    <w:rsid w:val="00826926"/>
    <w:rsid w:val="008274B0"/>
    <w:rsid w:val="0082752E"/>
    <w:rsid w:val="008318F6"/>
    <w:rsid w:val="0083313E"/>
    <w:rsid w:val="008331BB"/>
    <w:rsid w:val="008338B5"/>
    <w:rsid w:val="00833D43"/>
    <w:rsid w:val="00836D1E"/>
    <w:rsid w:val="00840FF7"/>
    <w:rsid w:val="00841169"/>
    <w:rsid w:val="00843532"/>
    <w:rsid w:val="00843F79"/>
    <w:rsid w:val="00844032"/>
    <w:rsid w:val="008443D8"/>
    <w:rsid w:val="008445E7"/>
    <w:rsid w:val="00844854"/>
    <w:rsid w:val="00847D3A"/>
    <w:rsid w:val="008528FD"/>
    <w:rsid w:val="00855549"/>
    <w:rsid w:val="0086032D"/>
    <w:rsid w:val="00861B3D"/>
    <w:rsid w:val="00862879"/>
    <w:rsid w:val="00865CE7"/>
    <w:rsid w:val="0086695C"/>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04D2"/>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4F24"/>
    <w:rsid w:val="0093543E"/>
    <w:rsid w:val="009375F3"/>
    <w:rsid w:val="00937DDA"/>
    <w:rsid w:val="00937E8B"/>
    <w:rsid w:val="00941475"/>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4358"/>
    <w:rsid w:val="009669AD"/>
    <w:rsid w:val="00966EB0"/>
    <w:rsid w:val="0096715D"/>
    <w:rsid w:val="00970115"/>
    <w:rsid w:val="00972945"/>
    <w:rsid w:val="00973C64"/>
    <w:rsid w:val="00974384"/>
    <w:rsid w:val="00974D81"/>
    <w:rsid w:val="0097626E"/>
    <w:rsid w:val="00976903"/>
    <w:rsid w:val="00977F9C"/>
    <w:rsid w:val="009816E2"/>
    <w:rsid w:val="00983AF5"/>
    <w:rsid w:val="00984657"/>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376"/>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27390"/>
    <w:rsid w:val="00A3050E"/>
    <w:rsid w:val="00A305B3"/>
    <w:rsid w:val="00A32C40"/>
    <w:rsid w:val="00A3325A"/>
    <w:rsid w:val="00A353FE"/>
    <w:rsid w:val="00A40427"/>
    <w:rsid w:val="00A4094A"/>
    <w:rsid w:val="00A426B6"/>
    <w:rsid w:val="00A426BE"/>
    <w:rsid w:val="00A526EF"/>
    <w:rsid w:val="00A53E97"/>
    <w:rsid w:val="00A54F81"/>
    <w:rsid w:val="00A6048F"/>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6770"/>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60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1F24"/>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38C1"/>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425"/>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480F"/>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380"/>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556"/>
    <w:rsid w:val="00D46BC7"/>
    <w:rsid w:val="00D47082"/>
    <w:rsid w:val="00D51245"/>
    <w:rsid w:val="00D532B8"/>
    <w:rsid w:val="00D54B6F"/>
    <w:rsid w:val="00D54E73"/>
    <w:rsid w:val="00D55979"/>
    <w:rsid w:val="00D575A3"/>
    <w:rsid w:val="00D613A6"/>
    <w:rsid w:val="00D617A6"/>
    <w:rsid w:val="00D650EA"/>
    <w:rsid w:val="00D72C40"/>
    <w:rsid w:val="00D737C5"/>
    <w:rsid w:val="00D73835"/>
    <w:rsid w:val="00D76F5A"/>
    <w:rsid w:val="00D7722A"/>
    <w:rsid w:val="00D80B1B"/>
    <w:rsid w:val="00D82293"/>
    <w:rsid w:val="00D8405B"/>
    <w:rsid w:val="00D84E7D"/>
    <w:rsid w:val="00D858C4"/>
    <w:rsid w:val="00D85C3A"/>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221A"/>
    <w:rsid w:val="00DC334D"/>
    <w:rsid w:val="00DC6AAD"/>
    <w:rsid w:val="00DE165D"/>
    <w:rsid w:val="00DE2FD7"/>
    <w:rsid w:val="00DE45A3"/>
    <w:rsid w:val="00DE466D"/>
    <w:rsid w:val="00DE488C"/>
    <w:rsid w:val="00DE5EE7"/>
    <w:rsid w:val="00DF1EC1"/>
    <w:rsid w:val="00DF343E"/>
    <w:rsid w:val="00DF420B"/>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3D6"/>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2772"/>
    <w:rsid w:val="00EA4221"/>
    <w:rsid w:val="00EA5807"/>
    <w:rsid w:val="00EB2FE6"/>
    <w:rsid w:val="00EB3CD8"/>
    <w:rsid w:val="00EB5258"/>
    <w:rsid w:val="00EB6F5F"/>
    <w:rsid w:val="00EC7278"/>
    <w:rsid w:val="00ED07B2"/>
    <w:rsid w:val="00ED246E"/>
    <w:rsid w:val="00ED379C"/>
    <w:rsid w:val="00ED4D08"/>
    <w:rsid w:val="00ED5834"/>
    <w:rsid w:val="00ED6AAF"/>
    <w:rsid w:val="00ED6F53"/>
    <w:rsid w:val="00EE065C"/>
    <w:rsid w:val="00EE093B"/>
    <w:rsid w:val="00EE34DF"/>
    <w:rsid w:val="00EE3926"/>
    <w:rsid w:val="00EE5D34"/>
    <w:rsid w:val="00EE776F"/>
    <w:rsid w:val="00EF319C"/>
    <w:rsid w:val="00EF3258"/>
    <w:rsid w:val="00EF3C79"/>
    <w:rsid w:val="00EF7C4A"/>
    <w:rsid w:val="00F00846"/>
    <w:rsid w:val="00F02496"/>
    <w:rsid w:val="00F027E4"/>
    <w:rsid w:val="00F055F1"/>
    <w:rsid w:val="00F05A46"/>
    <w:rsid w:val="00F100EB"/>
    <w:rsid w:val="00F15458"/>
    <w:rsid w:val="00F158C7"/>
    <w:rsid w:val="00F162F4"/>
    <w:rsid w:val="00F16C11"/>
    <w:rsid w:val="00F20712"/>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003F"/>
    <w:rsid w:val="00F81C15"/>
    <w:rsid w:val="00F82391"/>
    <w:rsid w:val="00F8333E"/>
    <w:rsid w:val="00F858CA"/>
    <w:rsid w:val="00F87E9D"/>
    <w:rsid w:val="00F9034E"/>
    <w:rsid w:val="00F916DC"/>
    <w:rsid w:val="00F94BD6"/>
    <w:rsid w:val="00F958CC"/>
    <w:rsid w:val="00F97183"/>
    <w:rsid w:val="00FA464E"/>
    <w:rsid w:val="00FA60EE"/>
    <w:rsid w:val="00FB2379"/>
    <w:rsid w:val="00FB25E5"/>
    <w:rsid w:val="00FB376D"/>
    <w:rsid w:val="00FB3848"/>
    <w:rsid w:val="00FB5293"/>
    <w:rsid w:val="00FB5446"/>
    <w:rsid w:val="00FC0D46"/>
    <w:rsid w:val="00FC10ED"/>
    <w:rsid w:val="00FC1841"/>
    <w:rsid w:val="00FC2D11"/>
    <w:rsid w:val="00FC373B"/>
    <w:rsid w:val="00FC6230"/>
    <w:rsid w:val="00FC7C52"/>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E6604"/>
    <w:rPr>
      <w:sz w:val="20"/>
      <w:szCs w:val="20"/>
    </w:rPr>
  </w:style>
  <w:style w:type="character" w:customStyle="1" w:styleId="EndnoteTextChar">
    <w:name w:val="Endnote Text Char"/>
    <w:basedOn w:val="DefaultParagraphFont"/>
    <w:link w:val="EndnoteText"/>
    <w:semiHidden/>
    <w:rsid w:val="00AE6604"/>
    <w:rPr>
      <w:lang w:eastAsia="en-US"/>
    </w:rPr>
  </w:style>
  <w:style w:type="character" w:customStyle="1" w:styleId="UnresolvedMention2">
    <w:name w:val="Unresolved Mention2"/>
    <w:basedOn w:val="DefaultParagraphFont"/>
    <w:uiPriority w:val="99"/>
    <w:semiHidden/>
    <w:unhideWhenUsed/>
    <w:rsid w:val="00843532"/>
    <w:rPr>
      <w:color w:val="605E5C"/>
      <w:shd w:val="clear" w:color="auto" w:fill="E1DFDD"/>
    </w:rPr>
  </w:style>
  <w:style w:type="character" w:customStyle="1" w:styleId="UnresolvedMention3">
    <w:name w:val="Unresolved Mention3"/>
    <w:basedOn w:val="DefaultParagraphFont"/>
    <w:uiPriority w:val="99"/>
    <w:semiHidden/>
    <w:unhideWhenUsed/>
    <w:rsid w:val="001A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1049394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531190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239786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statistics/statistical-work-areas/serious-mental-illness-s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qs80" TargetMode="External"/><Relationship Id="rId1" Type="http://schemas.openxmlformats.org/officeDocument/2006/relationships/hyperlink" Target="https://www.nice.org.uk/guidance/cg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47D9-387D-42AD-8B10-AD51125C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2022-02-28T12:34:00Z</dcterms:created>
  <dcterms:modified xsi:type="dcterms:W3CDTF">2022-03-16T20:55:00Z</dcterms:modified>
</cp:coreProperties>
</file>