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670FA450" w14:textId="77777777" w:rsidR="009C147E" w:rsidRPr="002921E7" w:rsidRDefault="009C147E" w:rsidP="009C147E">
      <w:pPr>
        <w:spacing w:before="240" w:after="240" w:line="360" w:lineRule="auto"/>
        <w:rPr>
          <w:rFonts w:ascii="Arial" w:hAnsi="Arial"/>
          <w:lang w:eastAsia="en-GB"/>
        </w:rPr>
      </w:pPr>
      <w:r w:rsidRPr="002921E7">
        <w:rPr>
          <w:rFonts w:ascii="Arial" w:hAnsi="Arial"/>
          <w:lang w:eastAsia="en-GB"/>
        </w:rPr>
        <w:t>Assurance date:</w:t>
      </w:r>
      <w:r>
        <w:rPr>
          <w:rFonts w:ascii="Arial" w:hAnsi="Arial"/>
          <w:lang w:eastAsia="en-GB"/>
        </w:rPr>
        <w:t xml:space="preserve"> June 2021</w:t>
      </w:r>
    </w:p>
    <w:p w14:paraId="5E1F71A5" w14:textId="77777777" w:rsidR="009C147E" w:rsidRPr="00474A51" w:rsidRDefault="009C147E" w:rsidP="009C147E">
      <w:pPr>
        <w:spacing w:before="240" w:after="240" w:line="360" w:lineRule="auto"/>
        <w:rPr>
          <w:rFonts w:ascii="Arial" w:hAnsi="Arial"/>
          <w:lang w:eastAsia="en-GB"/>
        </w:rPr>
      </w:pPr>
      <w:r w:rsidRPr="002921E7">
        <w:rPr>
          <w:rFonts w:ascii="Arial" w:hAnsi="Arial"/>
          <w:lang w:eastAsia="en-GB"/>
        </w:rPr>
        <w:t>Review date:</w:t>
      </w:r>
      <w:r>
        <w:rPr>
          <w:rFonts w:ascii="Arial" w:hAnsi="Arial"/>
          <w:lang w:eastAsia="en-GB"/>
        </w:rPr>
        <w:t xml:space="preserve"> June 2024</w:t>
      </w:r>
    </w:p>
    <w:p w14:paraId="047E7BC9" w14:textId="7AA4CE48"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805022">
        <w:rPr>
          <w:lang w:eastAsia="en-GB"/>
        </w:rPr>
        <w:t>135</w:t>
      </w:r>
    </w:p>
    <w:p w14:paraId="6CEA4E8A" w14:textId="77777777" w:rsidR="00805022" w:rsidRDefault="00805022" w:rsidP="009B0E59">
      <w:pPr>
        <w:pStyle w:val="Heading1"/>
        <w:rPr>
          <w:b w:val="0"/>
          <w:bCs w:val="0"/>
          <w:kern w:val="0"/>
          <w:sz w:val="24"/>
          <w:szCs w:val="24"/>
          <w:lang w:eastAsia="en-GB"/>
        </w:rPr>
      </w:pPr>
      <w:r>
        <w:rPr>
          <w:b w:val="0"/>
          <w:bCs w:val="0"/>
          <w:kern w:val="0"/>
          <w:sz w:val="24"/>
          <w:szCs w:val="24"/>
          <w:lang w:eastAsia="en-GB"/>
        </w:rPr>
        <w:t>S</w:t>
      </w:r>
      <w:r w:rsidRPr="00805022">
        <w:rPr>
          <w:b w:val="0"/>
          <w:bCs w:val="0"/>
          <w:kern w:val="0"/>
          <w:sz w:val="24"/>
          <w:szCs w:val="24"/>
          <w:lang w:eastAsia="en-GB"/>
        </w:rPr>
        <w:t>troke patients who have a joint health and social care plan on discharge from hospital</w:t>
      </w:r>
    </w:p>
    <w:p w14:paraId="7C25BFBC" w14:textId="205EB8F5"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4B79423E"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A166AB">
              <w:rPr>
                <w:rFonts w:ascii="Arial" w:hAnsi="Arial" w:cs="Arial"/>
                <w:sz w:val="22"/>
                <w:szCs w:val="22"/>
              </w:rPr>
              <w:t>CCG</w:t>
            </w:r>
            <w:r w:rsidR="00402BFB">
              <w:rPr>
                <w:rFonts w:ascii="Arial" w:hAnsi="Arial" w:cs="Arial"/>
                <w:sz w:val="22"/>
                <w:szCs w:val="22"/>
              </w:rPr>
              <w:t xml:space="preserve"> Outcomes </w:t>
            </w:r>
            <w:r w:rsidR="00A166AB">
              <w:rPr>
                <w:rFonts w:ascii="Arial" w:hAnsi="Arial" w:cs="Arial"/>
                <w:sz w:val="22"/>
                <w:szCs w:val="22"/>
              </w:rPr>
              <w:t>Indicator Set domain</w:t>
            </w:r>
            <w:r w:rsidR="00F75B77">
              <w:rPr>
                <w:rFonts w:ascii="Arial" w:hAnsi="Arial" w:cs="Arial"/>
                <w:sz w:val="22"/>
                <w:szCs w:val="22"/>
              </w:rPr>
              <w:t xml:space="preserve"> </w:t>
            </w:r>
            <w:r w:rsidR="00244E9A">
              <w:rPr>
                <w:rFonts w:ascii="Arial" w:hAnsi="Arial" w:cs="Arial"/>
                <w:sz w:val="22"/>
                <w:szCs w:val="22"/>
              </w:rPr>
              <w:t>3</w:t>
            </w:r>
            <w:r w:rsidR="00F75B77">
              <w:rPr>
                <w:rFonts w:ascii="Arial" w:hAnsi="Arial" w:cs="Arial"/>
                <w:sz w:val="22"/>
                <w:szCs w:val="22"/>
              </w:rPr>
              <w:t xml:space="preserve"> – </w:t>
            </w:r>
            <w:r w:rsidR="00244E9A" w:rsidRPr="00244E9A">
              <w:rPr>
                <w:rFonts w:ascii="Arial" w:hAnsi="Arial" w:cs="Arial"/>
                <w:sz w:val="22"/>
                <w:szCs w:val="22"/>
              </w:rPr>
              <w:t>Helping people to recover from episodes of ill health or following</w:t>
            </w:r>
            <w:r w:rsidR="00244E9A">
              <w:rPr>
                <w:rFonts w:ascii="Arial" w:hAnsi="Arial" w:cs="Arial"/>
                <w:sz w:val="22"/>
                <w:szCs w:val="22"/>
              </w:rPr>
              <w:t xml:space="preserve"> injury</w:t>
            </w:r>
            <w:r w:rsidR="00402BFB">
              <w:rPr>
                <w:rFonts w:ascii="Arial" w:hAnsi="Arial" w:cs="Arial"/>
                <w:sz w:val="22"/>
                <w:szCs w:val="22"/>
              </w:rPr>
              <w:t>.</w:t>
            </w:r>
          </w:p>
          <w:p w14:paraId="05EF12AD" w14:textId="6369AAF0" w:rsidR="00CF110E" w:rsidRDefault="00CF110E" w:rsidP="00CF110E">
            <w:pPr>
              <w:spacing w:before="120" w:after="120"/>
              <w:rPr>
                <w:rFonts w:ascii="Arial" w:hAnsi="Arial" w:cs="Arial"/>
                <w:sz w:val="22"/>
                <w:szCs w:val="22"/>
              </w:rPr>
            </w:pPr>
            <w:r>
              <w:rPr>
                <w:rFonts w:ascii="Arial" w:hAnsi="Arial" w:cs="Arial"/>
                <w:sz w:val="22"/>
                <w:szCs w:val="22"/>
              </w:rPr>
              <w:t xml:space="preserve">Data has been published </w:t>
            </w:r>
            <w:r w:rsidR="000B29D8">
              <w:rPr>
                <w:rFonts w:ascii="Arial" w:hAnsi="Arial" w:cs="Arial"/>
                <w:sz w:val="22"/>
                <w:szCs w:val="22"/>
              </w:rPr>
              <w:t xml:space="preserve">annually </w:t>
            </w:r>
            <w:r>
              <w:rPr>
                <w:rFonts w:ascii="Arial" w:hAnsi="Arial" w:cs="Arial"/>
                <w:sz w:val="22"/>
                <w:szCs w:val="22"/>
              </w:rPr>
              <w:t xml:space="preserve">from 2013/14 to 2018/19, </w:t>
            </w:r>
            <w:r w:rsidR="00805022">
              <w:rPr>
                <w:rFonts w:ascii="Arial" w:hAnsi="Arial" w:cs="Arial"/>
                <w:sz w:val="22"/>
                <w:szCs w:val="22"/>
              </w:rPr>
              <w:t>in this time the national value has increased from 69.1% to 94.6%.</w:t>
            </w:r>
          </w:p>
          <w:p w14:paraId="6A0AAFD7" w14:textId="42103896" w:rsidR="00645411" w:rsidRPr="006E1387" w:rsidRDefault="006953F9" w:rsidP="00161404">
            <w:pPr>
              <w:spacing w:before="120" w:after="120"/>
              <w:rPr>
                <w:rFonts w:ascii="Arial" w:hAnsi="Arial" w:cs="Arial"/>
                <w:sz w:val="22"/>
                <w:szCs w:val="22"/>
              </w:rPr>
            </w:pPr>
            <w:r>
              <w:rPr>
                <w:rFonts w:ascii="Arial" w:hAnsi="Arial" w:cs="Arial"/>
                <w:sz w:val="22"/>
                <w:szCs w:val="22"/>
              </w:rPr>
              <w:t xml:space="preserve">In the most recent period of data (2018/19) values range from </w:t>
            </w:r>
            <w:r w:rsidR="00805022">
              <w:rPr>
                <w:rFonts w:ascii="Arial" w:hAnsi="Arial" w:cs="Arial"/>
                <w:sz w:val="22"/>
                <w:szCs w:val="22"/>
              </w:rPr>
              <w:t>2</w:t>
            </w:r>
            <w:r w:rsidR="000B29D8">
              <w:rPr>
                <w:rFonts w:ascii="Arial" w:hAnsi="Arial" w:cs="Arial"/>
                <w:sz w:val="22"/>
                <w:szCs w:val="22"/>
              </w:rPr>
              <w:t>8</w:t>
            </w:r>
            <w:r w:rsidR="00CF110E">
              <w:rPr>
                <w:rFonts w:ascii="Arial" w:hAnsi="Arial" w:cs="Arial"/>
                <w:sz w:val="22"/>
                <w:szCs w:val="22"/>
              </w:rPr>
              <w:t>.</w:t>
            </w:r>
            <w:r w:rsidR="00805022">
              <w:rPr>
                <w:rFonts w:ascii="Arial" w:hAnsi="Arial" w:cs="Arial"/>
                <w:sz w:val="22"/>
                <w:szCs w:val="22"/>
              </w:rPr>
              <w:t>6</w:t>
            </w:r>
            <w:r w:rsidR="00CF110E">
              <w:rPr>
                <w:rFonts w:ascii="Arial" w:hAnsi="Arial" w:cs="Arial"/>
                <w:sz w:val="22"/>
                <w:szCs w:val="22"/>
              </w:rPr>
              <w:t>%</w:t>
            </w:r>
            <w:r>
              <w:rPr>
                <w:rFonts w:ascii="Arial" w:hAnsi="Arial" w:cs="Arial"/>
                <w:sz w:val="22"/>
                <w:szCs w:val="22"/>
              </w:rPr>
              <w:t xml:space="preserve"> to </w:t>
            </w:r>
            <w:r w:rsidR="00805022">
              <w:rPr>
                <w:rFonts w:ascii="Arial" w:hAnsi="Arial" w:cs="Arial"/>
                <w:sz w:val="22"/>
                <w:szCs w:val="22"/>
              </w:rPr>
              <w:t>100</w:t>
            </w:r>
            <w:r w:rsidR="00CF110E">
              <w:rPr>
                <w:rFonts w:ascii="Arial" w:hAnsi="Arial" w:cs="Arial"/>
                <w:sz w:val="22"/>
                <w:szCs w:val="22"/>
              </w:rPr>
              <w:t>% across CCGs</w:t>
            </w:r>
            <w:r>
              <w:rPr>
                <w:rFonts w:ascii="Arial" w:hAnsi="Arial" w:cs="Arial"/>
                <w:sz w:val="22"/>
                <w:szCs w:val="22"/>
              </w:rPr>
              <w:t>.</w:t>
            </w:r>
          </w:p>
        </w:tc>
        <w:tc>
          <w:tcPr>
            <w:tcW w:w="3047" w:type="dxa"/>
          </w:tcPr>
          <w:p w14:paraId="34B49690" w14:textId="0D0814FA"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Pr>
                <w:rFonts w:eastAsiaTheme="minorEastAsia" w:cs="Arial"/>
                <w:color w:val="000000" w:themeColor="dark1"/>
                <w:kern w:val="24"/>
                <w:sz w:val="22"/>
                <w:szCs w:val="22"/>
              </w:rPr>
              <w:t xml:space="preserve"> a recogni</w:t>
            </w:r>
            <w:r w:rsidR="00D92AEB">
              <w:rPr>
                <w:rFonts w:eastAsiaTheme="minorEastAsia" w:cs="Arial"/>
                <w:color w:val="000000" w:themeColor="dark1"/>
                <w:kern w:val="24"/>
                <w:sz w:val="22"/>
                <w:szCs w:val="22"/>
              </w:rPr>
              <w:t>s</w:t>
            </w:r>
            <w:r>
              <w:rPr>
                <w:rFonts w:eastAsiaTheme="minorEastAsia" w:cs="Arial"/>
                <w:color w:val="000000" w:themeColor="dark1"/>
                <w:kern w:val="24"/>
                <w:sz w:val="22"/>
                <w:szCs w:val="22"/>
              </w:rPr>
              <w:t>ed dataset.</w:t>
            </w:r>
          </w:p>
          <w:p w14:paraId="78280FB7" w14:textId="437249DD" w:rsidR="00E05AB5" w:rsidRPr="006E1387" w:rsidRDefault="00CF110E"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The national value has </w:t>
            </w:r>
            <w:r w:rsidR="00805022">
              <w:rPr>
                <w:rFonts w:eastAsiaTheme="minorEastAsia" w:cs="Arial"/>
                <w:color w:val="000000" w:themeColor="dark1"/>
                <w:kern w:val="24"/>
                <w:sz w:val="22"/>
                <w:szCs w:val="22"/>
              </w:rPr>
              <w:t xml:space="preserve">increased </w:t>
            </w:r>
            <w:r>
              <w:rPr>
                <w:rFonts w:eastAsiaTheme="minorEastAsia" w:cs="Arial"/>
                <w:color w:val="000000" w:themeColor="dark1"/>
                <w:kern w:val="24"/>
                <w:sz w:val="22"/>
                <w:szCs w:val="22"/>
              </w:rPr>
              <w:t xml:space="preserve">over the period collected, </w:t>
            </w:r>
            <w:r w:rsidR="00805022">
              <w:rPr>
                <w:rFonts w:eastAsiaTheme="minorEastAsia" w:cs="Arial"/>
                <w:color w:val="000000" w:themeColor="dark1"/>
                <w:kern w:val="24"/>
                <w:sz w:val="22"/>
                <w:szCs w:val="22"/>
              </w:rPr>
              <w:t>and</w:t>
            </w:r>
            <w:r>
              <w:rPr>
                <w:rFonts w:eastAsiaTheme="minorEastAsia" w:cs="Arial"/>
                <w:color w:val="000000" w:themeColor="dark1"/>
                <w:kern w:val="24"/>
                <w:sz w:val="22"/>
                <w:szCs w:val="22"/>
              </w:rPr>
              <w:t xml:space="preserve"> variation does exist across CCGs.</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46FD2163" w14:textId="057E0EA9" w:rsidR="005F3926" w:rsidRPr="006E1387" w:rsidRDefault="0019550C" w:rsidP="00A166AB">
            <w:pPr>
              <w:spacing w:before="120" w:after="120"/>
              <w:rPr>
                <w:rFonts w:ascii="Arial" w:hAnsi="Arial" w:cs="Arial"/>
                <w:sz w:val="22"/>
                <w:szCs w:val="22"/>
              </w:rPr>
            </w:pPr>
            <w:r>
              <w:rPr>
                <w:rFonts w:ascii="Arial" w:hAnsi="Arial" w:cs="Arial"/>
                <w:sz w:val="22"/>
                <w:szCs w:val="22"/>
              </w:rPr>
              <w:t>“</w:t>
            </w:r>
            <w:r w:rsidR="00FD609F" w:rsidRPr="00FD609F">
              <w:rPr>
                <w:rFonts w:ascii="Arial" w:hAnsi="Arial" w:cs="Arial"/>
                <w:sz w:val="22"/>
                <w:szCs w:val="22"/>
              </w:rPr>
              <w:t xml:space="preserve">This indicator forms part of Domain 3: Helping people to recover from episodes of ill health or following injury. Where stroke patients have both health and social care needs on discharge from hospital, these should be documented in a joint health and social care plan. Starting a discharge plan as early as possible is important. It allows the patient and the stroke team to start </w:t>
            </w:r>
            <w:r w:rsidR="00FD609F" w:rsidRPr="00FD609F">
              <w:rPr>
                <w:rFonts w:ascii="Arial" w:hAnsi="Arial" w:cs="Arial"/>
                <w:sz w:val="22"/>
                <w:szCs w:val="22"/>
              </w:rPr>
              <w:lastRenderedPageBreak/>
              <w:t>planning for things the patient may need when they leave hospital.</w:t>
            </w:r>
            <w:r w:rsidR="006953F9">
              <w:rPr>
                <w:rFonts w:ascii="Arial" w:hAnsi="Arial" w:cs="Arial"/>
                <w:sz w:val="22"/>
                <w:szCs w:val="22"/>
              </w:rPr>
              <w:t>”</w:t>
            </w:r>
          </w:p>
        </w:tc>
        <w:tc>
          <w:tcPr>
            <w:tcW w:w="3047" w:type="dxa"/>
          </w:tcPr>
          <w:p w14:paraId="12B8C1AB" w14:textId="13EAC964" w:rsidR="00E05AB5" w:rsidRPr="006E1387" w:rsidRDefault="006953F9" w:rsidP="00A90153">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 xml:space="preserve">Evidence base exists. This indicator </w:t>
            </w:r>
            <w:r w:rsidR="00CF110E">
              <w:rPr>
                <w:rFonts w:eastAsiaTheme="minorEastAsia" w:cs="Arial"/>
                <w:color w:val="000000" w:themeColor="dark1"/>
                <w:kern w:val="24"/>
                <w:sz w:val="22"/>
                <w:szCs w:val="22"/>
              </w:rPr>
              <w:t xml:space="preserve">is concerned with </w:t>
            </w:r>
            <w:r w:rsidR="00E55833">
              <w:rPr>
                <w:rFonts w:eastAsiaTheme="minorEastAsia" w:cs="Arial"/>
                <w:color w:val="000000" w:themeColor="dark1"/>
                <w:kern w:val="24"/>
                <w:sz w:val="22"/>
                <w:szCs w:val="22"/>
              </w:rPr>
              <w:t>subsequent management</w:t>
            </w:r>
            <w:r w:rsidR="00CF110E">
              <w:rPr>
                <w:rFonts w:eastAsiaTheme="minorEastAsia" w:cs="Arial"/>
                <w:color w:val="000000" w:themeColor="dark1"/>
                <w:kern w:val="24"/>
                <w:sz w:val="22"/>
                <w:szCs w:val="22"/>
              </w:rPr>
              <w:t xml:space="preserve"> of stroke </w:t>
            </w:r>
            <w:r>
              <w:rPr>
                <w:rFonts w:eastAsiaTheme="minorEastAsia" w:cs="Arial"/>
                <w:color w:val="000000" w:themeColor="dark1"/>
                <w:kern w:val="24"/>
                <w:sz w:val="22"/>
                <w:szCs w:val="22"/>
              </w:rPr>
              <w:t xml:space="preserve">and reflects NICE </w:t>
            </w:r>
            <w:r w:rsidR="00C407A4">
              <w:rPr>
                <w:rFonts w:eastAsiaTheme="minorEastAsia" w:cs="Arial"/>
                <w:color w:val="000000" w:themeColor="dark1"/>
                <w:kern w:val="24"/>
                <w:sz w:val="22"/>
                <w:szCs w:val="22"/>
              </w:rPr>
              <w:t xml:space="preserve">guidelines </w:t>
            </w:r>
            <w:r w:rsidR="002D61AD">
              <w:rPr>
                <w:rFonts w:eastAsiaTheme="minorEastAsia" w:cs="Arial"/>
                <w:color w:val="000000" w:themeColor="dark1"/>
                <w:kern w:val="24"/>
                <w:sz w:val="22"/>
                <w:szCs w:val="22"/>
              </w:rPr>
              <w:t>and quality standard</w:t>
            </w:r>
            <w:r>
              <w:rPr>
                <w:rFonts w:eastAsiaTheme="minorEastAsia" w:cs="Arial"/>
                <w:color w:val="000000" w:themeColor="dark1"/>
                <w:kern w:val="24"/>
                <w:sz w:val="22"/>
                <w:szCs w:val="22"/>
              </w:rPr>
              <w:t xml:space="preserve"> (</w:t>
            </w:r>
            <w:r w:rsidR="00FD609F">
              <w:rPr>
                <w:rFonts w:eastAsiaTheme="minorEastAsia" w:cs="Arial"/>
                <w:color w:val="000000" w:themeColor="dark1"/>
                <w:kern w:val="24"/>
                <w:sz w:val="22"/>
                <w:szCs w:val="22"/>
              </w:rPr>
              <w:t>QS2</w:t>
            </w:r>
            <w:r w:rsidR="00FD609F">
              <w:rPr>
                <w:rStyle w:val="FootnoteReference"/>
                <w:rFonts w:eastAsiaTheme="minorEastAsia" w:cs="Arial"/>
                <w:color w:val="000000" w:themeColor="dark1"/>
                <w:kern w:val="24"/>
                <w:sz w:val="22"/>
                <w:szCs w:val="22"/>
              </w:rPr>
              <w:footnoteReference w:id="2"/>
            </w:r>
            <w:r w:rsidR="00FD609F">
              <w:rPr>
                <w:rFonts w:eastAsiaTheme="minorEastAsia" w:cs="Arial"/>
                <w:color w:val="000000" w:themeColor="dark1"/>
                <w:kern w:val="24"/>
                <w:sz w:val="22"/>
                <w:szCs w:val="22"/>
              </w:rPr>
              <w:t xml:space="preserve">, </w:t>
            </w:r>
            <w:r>
              <w:rPr>
                <w:rFonts w:eastAsiaTheme="minorEastAsia" w:cs="Arial"/>
                <w:color w:val="000000" w:themeColor="dark1"/>
                <w:kern w:val="24"/>
                <w:sz w:val="22"/>
                <w:szCs w:val="22"/>
              </w:rPr>
              <w:t>NG1</w:t>
            </w:r>
            <w:r w:rsidR="00244E9A">
              <w:rPr>
                <w:rFonts w:eastAsiaTheme="minorEastAsia" w:cs="Arial"/>
                <w:color w:val="000000" w:themeColor="dark1"/>
                <w:kern w:val="24"/>
                <w:sz w:val="22"/>
                <w:szCs w:val="22"/>
              </w:rPr>
              <w:t>28</w:t>
            </w:r>
            <w:r>
              <w:rPr>
                <w:rStyle w:val="FootnoteReference"/>
                <w:rFonts w:eastAsiaTheme="minorEastAsia" w:cs="Arial"/>
                <w:color w:val="000000" w:themeColor="dark1"/>
                <w:kern w:val="24"/>
                <w:sz w:val="22"/>
                <w:szCs w:val="22"/>
              </w:rPr>
              <w:footnoteReference w:id="3"/>
            </w:r>
            <w:r w:rsidR="00FD609F">
              <w:rPr>
                <w:rFonts w:eastAsiaTheme="minorEastAsia" w:cs="Arial"/>
                <w:color w:val="000000" w:themeColor="dark1"/>
                <w:kern w:val="24"/>
                <w:sz w:val="22"/>
                <w:szCs w:val="22"/>
              </w:rPr>
              <w:t>, CG162</w:t>
            </w:r>
            <w:r w:rsidR="00FD609F">
              <w:rPr>
                <w:rStyle w:val="FootnoteReference"/>
                <w:rFonts w:eastAsiaTheme="minorEastAsia" w:cs="Arial"/>
                <w:color w:val="000000" w:themeColor="dark1"/>
                <w:kern w:val="24"/>
                <w:sz w:val="22"/>
                <w:szCs w:val="22"/>
              </w:rPr>
              <w:footnoteReference w:id="4"/>
            </w:r>
            <w:r>
              <w:rPr>
                <w:rFonts w:eastAsiaTheme="minorEastAsia" w:cs="Arial"/>
                <w:color w:val="000000" w:themeColor="dark1"/>
                <w:kern w:val="24"/>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4F9B24A7" w14:textId="4095608C" w:rsidR="00BA478F" w:rsidRPr="006E1387" w:rsidRDefault="00F2277C" w:rsidP="00BA478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FD609F" w:rsidRPr="00FD609F">
              <w:rPr>
                <w:rFonts w:ascii="Arial" w:hAnsi="Arial" w:cs="Arial"/>
                <w:color w:val="000000"/>
                <w:kern w:val="24"/>
                <w:sz w:val="22"/>
                <w:szCs w:val="22"/>
                <w:lang w:eastAsia="en-GB"/>
              </w:rPr>
              <w:t>Of the denominator, the number of patients for whom there is documented evidence of joint care planning between health and social care for post discharge management.</w:t>
            </w:r>
          </w:p>
          <w:p w14:paraId="3D618AC5" w14:textId="2E33FFE8" w:rsidR="00FD609F" w:rsidRPr="00FD609F" w:rsidRDefault="00455B14" w:rsidP="00FD609F">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FD609F" w:rsidRPr="00FD609F">
              <w:rPr>
                <w:rFonts w:ascii="Arial" w:hAnsi="Arial" w:cs="Arial"/>
                <w:color w:val="000000"/>
                <w:kern w:val="24"/>
                <w:sz w:val="22"/>
                <w:szCs w:val="22"/>
                <w:lang w:eastAsia="en-GB"/>
              </w:rPr>
              <w:t xml:space="preserve">The number of eligible patients entered into the </w:t>
            </w:r>
            <w:r w:rsidR="00192078" w:rsidRPr="00192078">
              <w:rPr>
                <w:rFonts w:ascii="Arial" w:hAnsi="Arial" w:cs="Arial"/>
                <w:color w:val="000000"/>
                <w:kern w:val="24"/>
                <w:sz w:val="22"/>
                <w:szCs w:val="22"/>
                <w:lang w:eastAsia="en-GB"/>
              </w:rPr>
              <w:t xml:space="preserve">Sentinel Stroke National Audit Programme </w:t>
            </w:r>
            <w:r w:rsidR="00192078">
              <w:rPr>
                <w:rFonts w:ascii="Arial" w:hAnsi="Arial" w:cs="Arial"/>
                <w:color w:val="000000"/>
                <w:kern w:val="24"/>
                <w:sz w:val="22"/>
                <w:szCs w:val="22"/>
                <w:lang w:eastAsia="en-GB"/>
              </w:rPr>
              <w:t>(</w:t>
            </w:r>
            <w:r w:rsidR="00FD609F" w:rsidRPr="00FD609F">
              <w:rPr>
                <w:rFonts w:ascii="Arial" w:hAnsi="Arial" w:cs="Arial"/>
                <w:color w:val="000000"/>
                <w:kern w:val="24"/>
                <w:sz w:val="22"/>
                <w:szCs w:val="22"/>
                <w:lang w:eastAsia="en-GB"/>
              </w:rPr>
              <w:t>SSNAP</w:t>
            </w:r>
            <w:r w:rsidR="00192078">
              <w:rPr>
                <w:rFonts w:ascii="Arial" w:hAnsi="Arial" w:cs="Arial"/>
                <w:color w:val="000000"/>
                <w:kern w:val="24"/>
                <w:sz w:val="22"/>
                <w:szCs w:val="22"/>
                <w:lang w:eastAsia="en-GB"/>
              </w:rPr>
              <w:t>)</w:t>
            </w:r>
            <w:r w:rsidR="00FD609F" w:rsidRPr="00FD609F">
              <w:rPr>
                <w:rFonts w:ascii="Arial" w:hAnsi="Arial" w:cs="Arial"/>
                <w:color w:val="000000"/>
                <w:kern w:val="24"/>
                <w:sz w:val="22"/>
                <w:szCs w:val="22"/>
                <w:lang w:eastAsia="en-GB"/>
              </w:rPr>
              <w:t xml:space="preserve"> with a primary diagnosis of stroke. Eligible patients are those alive at time of discharge from their final hospital inpatient stay related to their stroke to their final place of residence excluding;</w:t>
            </w:r>
          </w:p>
          <w:p w14:paraId="62156A7A" w14:textId="77777777" w:rsidR="00FD609F" w:rsidRPr="00FD609F" w:rsidRDefault="00FD609F" w:rsidP="00FD609F">
            <w:pPr>
              <w:spacing w:before="120" w:after="120"/>
              <w:rPr>
                <w:rFonts w:ascii="Arial" w:hAnsi="Arial" w:cs="Arial"/>
                <w:color w:val="000000"/>
                <w:kern w:val="24"/>
                <w:sz w:val="22"/>
                <w:szCs w:val="22"/>
                <w:lang w:eastAsia="en-GB"/>
              </w:rPr>
            </w:pPr>
            <w:r w:rsidRPr="00FD609F">
              <w:rPr>
                <w:rFonts w:ascii="Arial" w:hAnsi="Arial" w:cs="Arial"/>
                <w:color w:val="000000"/>
                <w:kern w:val="24"/>
                <w:sz w:val="22"/>
                <w:szCs w:val="22"/>
                <w:lang w:eastAsia="en-GB"/>
              </w:rPr>
              <w:t>• Patients who refuse a health and/or social care assessment or intervention, or</w:t>
            </w:r>
          </w:p>
          <w:p w14:paraId="4FC7B690" w14:textId="6AA2AC06" w:rsidR="00455B14" w:rsidRPr="006E1387" w:rsidRDefault="00FD609F" w:rsidP="00FD609F">
            <w:pPr>
              <w:spacing w:before="120" w:after="120"/>
              <w:rPr>
                <w:rFonts w:ascii="Arial" w:hAnsi="Arial" w:cs="Arial"/>
                <w:color w:val="000000"/>
                <w:kern w:val="24"/>
                <w:sz w:val="22"/>
                <w:szCs w:val="22"/>
                <w:lang w:eastAsia="en-GB"/>
              </w:rPr>
            </w:pPr>
            <w:r w:rsidRPr="00FD609F">
              <w:rPr>
                <w:rFonts w:ascii="Arial" w:hAnsi="Arial" w:cs="Arial"/>
                <w:color w:val="000000"/>
                <w:kern w:val="24"/>
                <w:sz w:val="22"/>
                <w:szCs w:val="22"/>
                <w:lang w:eastAsia="en-GB"/>
              </w:rPr>
              <w:t>• Patients for whom a joint plan is not applicable as they only have a health or a social care need (not both) or have neither need.</w:t>
            </w:r>
          </w:p>
          <w:p w14:paraId="158FFEDA" w14:textId="670D9804"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607D7A">
              <w:rPr>
                <w:rFonts w:ascii="Arial" w:hAnsi="Arial" w:cs="Arial"/>
                <w:color w:val="000000"/>
                <w:kern w:val="24"/>
                <w:sz w:val="22"/>
                <w:szCs w:val="22"/>
                <w:lang w:eastAsia="en-GB"/>
              </w:rPr>
              <w:t>None</w:t>
            </w:r>
          </w:p>
          <w:p w14:paraId="46400236" w14:textId="5095C33F"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w:t>
            </w:r>
            <w:r w:rsidR="00CF110E">
              <w:rPr>
                <w:rFonts w:ascii="Arial" w:hAnsi="Arial" w:cs="Arial"/>
                <w:color w:val="000000"/>
                <w:kern w:val="24"/>
                <w:sz w:val="22"/>
                <w:szCs w:val="22"/>
                <w:lang w:eastAsia="en-GB"/>
              </w:rPr>
              <w:t>Percentage</w:t>
            </w:r>
          </w:p>
          <w:p w14:paraId="241B73C2" w14:textId="14C713AA"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D92AEB">
              <w:rPr>
                <w:rFonts w:ascii="Arial" w:hAnsi="Arial" w:cs="Arial"/>
                <w:color w:val="000000"/>
                <w:kern w:val="24"/>
                <w:sz w:val="22"/>
                <w:szCs w:val="22"/>
                <w:lang w:eastAsia="en-GB"/>
              </w:rPr>
              <w:t>CCG</w:t>
            </w:r>
            <w:r w:rsidR="00161404">
              <w:rPr>
                <w:rFonts w:ascii="Arial" w:hAnsi="Arial" w:cs="Arial"/>
                <w:color w:val="000000"/>
                <w:kern w:val="24"/>
                <w:sz w:val="22"/>
                <w:szCs w:val="22"/>
                <w:lang w:eastAsia="en-GB"/>
              </w:rPr>
              <w:t>.</w:t>
            </w:r>
          </w:p>
          <w:p w14:paraId="5B155699" w14:textId="2C4DC428"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CF110E" w:rsidRPr="00CF110E">
              <w:rPr>
                <w:rFonts w:ascii="Arial" w:hAnsi="Arial" w:cs="Arial"/>
                <w:color w:val="000000"/>
                <w:kern w:val="24"/>
                <w:sz w:val="22"/>
                <w:szCs w:val="22"/>
                <w:lang w:eastAsia="en-GB"/>
              </w:rPr>
              <w:t>The Royal College of Physicians (RCP) Sentinel Stroke National Audit Programme (SSNAP).</w:t>
            </w:r>
          </w:p>
          <w:p w14:paraId="134E4565" w14:textId="2B0142C0" w:rsidR="00A54F81" w:rsidRPr="006E1387" w:rsidRDefault="00873503" w:rsidP="0016140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CF110E">
              <w:rPr>
                <w:rFonts w:ascii="Arial" w:hAnsi="Arial" w:cs="Arial"/>
                <w:color w:val="000000"/>
                <w:kern w:val="24"/>
                <w:sz w:val="22"/>
                <w:szCs w:val="22"/>
                <w:lang w:eastAsia="en-GB"/>
              </w:rPr>
              <w:t>Values are not published for any CCG with fewer than 20 patients or case ascertainment (number of patients included in SSNAP compared to the estimated expected number of patients from Hospital Episode Statistics</w:t>
            </w:r>
            <w:r w:rsidR="00A611A1">
              <w:rPr>
                <w:rFonts w:ascii="Arial" w:hAnsi="Arial" w:cs="Arial"/>
                <w:color w:val="000000"/>
                <w:kern w:val="24"/>
                <w:sz w:val="22"/>
                <w:szCs w:val="22"/>
                <w:lang w:eastAsia="en-GB"/>
              </w:rPr>
              <w:t xml:space="preserve"> (HES)</w:t>
            </w:r>
            <w:r w:rsidR="00CF110E">
              <w:rPr>
                <w:rFonts w:ascii="Arial" w:hAnsi="Arial" w:cs="Arial"/>
                <w:color w:val="000000"/>
                <w:kern w:val="24"/>
                <w:sz w:val="22"/>
                <w:szCs w:val="22"/>
                <w:lang w:eastAsia="en-GB"/>
              </w:rPr>
              <w:t>) lower than 50%.</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6164A0BB" w14:textId="3F05EB80" w:rsidR="00F656C3" w:rsidRPr="006E1387" w:rsidRDefault="00F52CF4" w:rsidP="00AF27B4">
            <w:pPr>
              <w:spacing w:before="120" w:after="120"/>
              <w:rPr>
                <w:rFonts w:ascii="Arial" w:hAnsi="Arial" w:cs="Arial"/>
                <w:sz w:val="22"/>
                <w:szCs w:val="22"/>
              </w:rPr>
            </w:pPr>
            <w:r>
              <w:rPr>
                <w:rFonts w:ascii="Arial" w:hAnsi="Arial" w:cs="Arial"/>
                <w:sz w:val="22"/>
                <w:szCs w:val="22"/>
              </w:rPr>
              <w:t>All data from long running data sources.</w:t>
            </w:r>
          </w:p>
          <w:p w14:paraId="23202A2C" w14:textId="363ECA27" w:rsidR="002B4762" w:rsidRPr="006E1387" w:rsidRDefault="002B4762" w:rsidP="002B4762">
            <w:pPr>
              <w:spacing w:before="120" w:after="120"/>
              <w:rPr>
                <w:rFonts w:ascii="Arial" w:hAnsi="Arial" w:cs="Arial"/>
                <w:sz w:val="22"/>
                <w:szCs w:val="22"/>
              </w:rPr>
            </w:pPr>
          </w:p>
        </w:tc>
        <w:tc>
          <w:tcPr>
            <w:tcW w:w="3047" w:type="dxa"/>
          </w:tcPr>
          <w:p w14:paraId="7C614BB1" w14:textId="53419211" w:rsidR="00455B14" w:rsidRPr="006E1387"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EC7278">
              <w:rPr>
                <w:rFonts w:ascii="Arial" w:eastAsiaTheme="minorEastAsia" w:hAnsi="Arial" w:cs="Arial"/>
                <w:color w:val="000000" w:themeColor="dark1"/>
                <w:kern w:val="24"/>
                <w:sz w:val="22"/>
                <w:szCs w:val="22"/>
                <w:lang w:eastAsia="en-GB"/>
              </w:rPr>
              <w:t>.</w:t>
            </w:r>
          </w:p>
        </w:tc>
      </w:tr>
      <w:tr w:rsidR="00455B14" w:rsidRPr="006E1387" w14:paraId="211AFDFC" w14:textId="3BA1BF23" w:rsidTr="002D61AD">
        <w:trPr>
          <w:trHeight w:val="70"/>
        </w:trPr>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2117977B" w14:textId="330FEE3A" w:rsidR="009F3187" w:rsidRPr="006E1387" w:rsidRDefault="001E693E" w:rsidP="001E693E">
            <w:pPr>
              <w:spacing w:before="120" w:after="120"/>
              <w:rPr>
                <w:rFonts w:cs="Arial"/>
                <w:sz w:val="22"/>
                <w:szCs w:val="22"/>
              </w:rPr>
            </w:pPr>
            <w:r>
              <w:rPr>
                <w:rFonts w:ascii="Arial" w:hAnsi="Arial" w:cs="Arial"/>
                <w:sz w:val="22"/>
                <w:szCs w:val="22"/>
              </w:rPr>
              <w:t>Indicator source data is robust</w:t>
            </w:r>
            <w:r w:rsidR="00A611A1">
              <w:rPr>
                <w:rFonts w:ascii="Arial" w:hAnsi="Arial" w:cs="Arial"/>
                <w:sz w:val="22"/>
                <w:szCs w:val="22"/>
              </w:rPr>
              <w:t xml:space="preserve"> and comparison with HES provides additional reassurance.</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B8AC01A"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lastRenderedPageBreak/>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2D61AD">
        <w:trPr>
          <w:trHeight w:val="580"/>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lastRenderedPageBreak/>
              <w:t>Risk</w:t>
            </w:r>
          </w:p>
        </w:tc>
        <w:tc>
          <w:tcPr>
            <w:tcW w:w="4092" w:type="dxa"/>
          </w:tcPr>
          <w:p w14:paraId="6C854FEE" w14:textId="687A9016" w:rsidR="00041011" w:rsidRPr="006E1387" w:rsidRDefault="00CF110E" w:rsidP="00BA30D0">
            <w:pPr>
              <w:spacing w:before="120" w:after="120"/>
              <w:rPr>
                <w:rFonts w:ascii="Arial" w:hAnsi="Arial" w:cs="Arial"/>
                <w:color w:val="000000"/>
                <w:kern w:val="24"/>
                <w:sz w:val="22"/>
                <w:szCs w:val="22"/>
                <w:lang w:eastAsia="en-GB"/>
              </w:rPr>
            </w:pPr>
            <w:r>
              <w:rPr>
                <w:rFonts w:ascii="Arial" w:hAnsi="Arial" w:cs="Arial"/>
                <w:sz w:val="22"/>
                <w:szCs w:val="22"/>
              </w:rPr>
              <w:t>None identified.</w:t>
            </w:r>
          </w:p>
        </w:tc>
        <w:tc>
          <w:tcPr>
            <w:tcW w:w="3047" w:type="dxa"/>
          </w:tcPr>
          <w:p w14:paraId="7C2C11AA" w14:textId="2B3E3714" w:rsidR="00041011" w:rsidRPr="006E1387" w:rsidRDefault="00CF110E" w:rsidP="00EC7278">
            <w:pPr>
              <w:pStyle w:val="NICEnormal"/>
              <w:spacing w:before="120" w:after="120" w:line="240" w:lineRule="auto"/>
              <w:rPr>
                <w:rFonts w:cs="Arial"/>
                <w:color w:val="000000"/>
                <w:kern w:val="24"/>
                <w:sz w:val="22"/>
                <w:szCs w:val="22"/>
                <w:lang w:eastAsia="en-GB"/>
              </w:rPr>
            </w:pPr>
            <w:r>
              <w:rPr>
                <w:rFonts w:cs="Arial"/>
                <w:color w:val="000000"/>
                <w:kern w:val="24"/>
                <w:sz w:val="22"/>
                <w:szCs w:val="22"/>
                <w:lang w:eastAsia="en-GB"/>
              </w:rPr>
              <w:t>None identified.</w:t>
            </w:r>
          </w:p>
        </w:tc>
      </w:tr>
    </w:tbl>
    <w:p w14:paraId="37D9A2F5" w14:textId="084C27AB" w:rsidR="004A517E" w:rsidRDefault="004A517E">
      <w:pPr>
        <w:rPr>
          <w:rFonts w:ascii="Arial" w:hAnsi="Arial"/>
          <w:lang w:val="en-US"/>
        </w:rPr>
      </w:pPr>
    </w:p>
    <w:p w14:paraId="793A8B68" w14:textId="77777777" w:rsidR="009C147E" w:rsidRDefault="009C147E" w:rsidP="009C147E">
      <w:pPr>
        <w:pStyle w:val="Paragraphnonumbers"/>
      </w:pPr>
      <w:r w:rsidRPr="00B12039">
        <w:rPr>
          <w:b/>
        </w:rPr>
        <w:t>Summary:</w:t>
      </w:r>
      <w:r>
        <w:t xml:space="preserve"> </w:t>
      </w:r>
      <w:r w:rsidRPr="00B60A21">
        <w:t>Indicator to be renewed.</w:t>
      </w:r>
    </w:p>
    <w:p w14:paraId="474ACF1B" w14:textId="77777777" w:rsidR="00192078" w:rsidRDefault="00192078" w:rsidP="00192078">
      <w:pPr>
        <w:pStyle w:val="Paragraphnonumbers"/>
        <w:rPr>
          <w:b/>
        </w:rPr>
      </w:pPr>
      <w:r>
        <w:rPr>
          <w:b/>
        </w:rPr>
        <w:t xml:space="preserve">NHS Digital Indicator reference: </w:t>
      </w:r>
    </w:p>
    <w:p w14:paraId="123085F8" w14:textId="391DC0CC" w:rsidR="00D73835" w:rsidRDefault="00192078" w:rsidP="00D92AEB">
      <w:pPr>
        <w:pStyle w:val="Paragraphnonumbers"/>
      </w:pPr>
      <w:r>
        <w:t xml:space="preserve">CCG Outcomes Indicator Set - </w:t>
      </w:r>
      <w:r w:rsidRPr="00192078">
        <w:t>3.7 People with stroke who are discharged from hospital with a joint health and social care plan</w:t>
      </w:r>
    </w:p>
    <w:sectPr w:rsidR="00D73835" w:rsidSect="00192B09">
      <w:headerReference w:type="default" r:id="rId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AC44" w14:textId="77777777" w:rsidR="00192078" w:rsidRDefault="00192078" w:rsidP="00C24AF5">
    <w:pPr>
      <w:pStyle w:val="Footer"/>
    </w:pPr>
  </w:p>
  <w:p w14:paraId="723C54D2" w14:textId="0F8EE292" w:rsidR="00192078" w:rsidRDefault="00192078" w:rsidP="00C24AF5">
    <w:pPr>
      <w:pStyle w:val="Footer"/>
    </w:pPr>
    <w:r>
      <w:t xml:space="preserve">IAP00135 </w:t>
    </w:r>
    <w:r w:rsidRPr="00192078">
      <w:t>Stroke patients who have a joint health and social care plan on discharge from hospital</w:t>
    </w:r>
    <w:r>
      <w:t>: Validity assessment June 2021</w:t>
    </w:r>
  </w:p>
  <w:p w14:paraId="0042B07A" w14:textId="2B4431EF" w:rsidR="00BB14CA" w:rsidRPr="008C1C95" w:rsidRDefault="009B0E59" w:rsidP="00C24AF5">
    <w:pPr>
      <w:pStyle w:val="Footer"/>
    </w:pPr>
    <w:r>
      <w:tab/>
    </w:r>
    <w:r>
      <w:tab/>
    </w:r>
    <w:r w:rsidR="00BB14CA">
      <w:fldChar w:fldCharType="begin"/>
    </w:r>
    <w:r w:rsidR="00BB14CA">
      <w:instrText xml:space="preserve"> PAGE </w:instrText>
    </w:r>
    <w:r w:rsidR="00BB14CA">
      <w:fldChar w:fldCharType="separate"/>
    </w:r>
    <w:r w:rsidR="007472DA">
      <w:rPr>
        <w:noProof/>
      </w:rPr>
      <w:t>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7472DA">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67265045" w:rsidR="00521D6D" w:rsidRDefault="00521D6D">
      <w:pPr>
        <w:pStyle w:val="FootnoteText"/>
      </w:pPr>
      <w:r>
        <w:rPr>
          <w:rStyle w:val="FootnoteReference"/>
        </w:rPr>
        <w:footnoteRef/>
      </w:r>
      <w:r>
        <w:t xml:space="preserve"> NHS Digital. </w:t>
      </w:r>
      <w:r w:rsidR="00607D7A">
        <w:t>CCG</w:t>
      </w:r>
      <w:r>
        <w:t xml:space="preserve"> </w:t>
      </w:r>
      <w:r w:rsidR="00D92AEB">
        <w:t>outcomes indicator set</w:t>
      </w:r>
      <w:r>
        <w:t xml:space="preserve">, Indicator Quality Statement, Domain </w:t>
      </w:r>
      <w:r w:rsidR="00244E9A">
        <w:t>3</w:t>
      </w:r>
      <w:r>
        <w:t xml:space="preserve">. </w:t>
      </w:r>
      <w:r w:rsidR="00244E9A">
        <w:t>3.</w:t>
      </w:r>
      <w:r w:rsidR="00805022">
        <w:t xml:space="preserve">7 </w:t>
      </w:r>
      <w:r w:rsidR="00805022" w:rsidRPr="00805022">
        <w:t>People with stroke who are discharged from hospital with a joint health and social care plan</w:t>
      </w:r>
      <w:r>
        <w:t xml:space="preserve">. Version </w:t>
      </w:r>
      <w:r w:rsidR="00244E9A">
        <w:t>1.</w:t>
      </w:r>
      <w:r w:rsidR="00805022">
        <w:t>4</w:t>
      </w:r>
      <w:r>
        <w:t xml:space="preserve">, </w:t>
      </w:r>
      <w:r w:rsidR="00D92AEB">
        <w:t>September</w:t>
      </w:r>
      <w:r>
        <w:t xml:space="preserve"> 201</w:t>
      </w:r>
      <w:r w:rsidR="00244E9A">
        <w:t>9</w:t>
      </w:r>
    </w:p>
  </w:footnote>
  <w:footnote w:id="2">
    <w:p w14:paraId="69F41F06" w14:textId="77777777" w:rsidR="00FD609F" w:rsidRDefault="00FD609F" w:rsidP="00FD609F">
      <w:pPr>
        <w:pStyle w:val="FootnoteText"/>
      </w:pPr>
      <w:r>
        <w:rPr>
          <w:rStyle w:val="FootnoteReference"/>
        </w:rPr>
        <w:footnoteRef/>
      </w:r>
      <w:r>
        <w:t xml:space="preserve"> </w:t>
      </w:r>
      <w:r w:rsidRPr="00777BF6">
        <w:t>Stroke in adults</w:t>
      </w:r>
      <w:r>
        <w:t xml:space="preserve">, last updated 12 April 2016. </w:t>
      </w:r>
      <w:hyperlink r:id="rId1" w:history="1">
        <w:r w:rsidRPr="00B30CEC">
          <w:rPr>
            <w:rStyle w:val="Hyperlink"/>
          </w:rPr>
          <w:t>https://www.nice.org.uk/guidance/qs2</w:t>
        </w:r>
      </w:hyperlink>
      <w:r>
        <w:t xml:space="preserve"> </w:t>
      </w:r>
    </w:p>
  </w:footnote>
  <w:footnote w:id="3">
    <w:p w14:paraId="03BC7127" w14:textId="1EA1F560" w:rsidR="006953F9" w:rsidRDefault="006953F9" w:rsidP="006953F9">
      <w:pPr>
        <w:pStyle w:val="FootnoteText"/>
      </w:pPr>
      <w:r>
        <w:rPr>
          <w:rStyle w:val="FootnoteReference"/>
        </w:rPr>
        <w:footnoteRef/>
      </w:r>
      <w:r>
        <w:t xml:space="preserve"> </w:t>
      </w:r>
      <w:r w:rsidR="00244E9A" w:rsidRPr="00244E9A">
        <w:t>Stroke and transient ischaemic attack in over 16s: diagnosis and initial management</w:t>
      </w:r>
      <w:r>
        <w:t xml:space="preserve">, </w:t>
      </w:r>
      <w:r w:rsidR="00244E9A">
        <w:t>published</w:t>
      </w:r>
      <w:r>
        <w:t xml:space="preserve"> </w:t>
      </w:r>
      <w:r w:rsidR="00244E9A">
        <w:t>01</w:t>
      </w:r>
      <w:r>
        <w:t xml:space="preserve"> </w:t>
      </w:r>
      <w:r w:rsidR="00244E9A">
        <w:t>May</w:t>
      </w:r>
      <w:r>
        <w:t xml:space="preserve"> 20</w:t>
      </w:r>
      <w:r w:rsidR="00244E9A">
        <w:t>19</w:t>
      </w:r>
      <w:r>
        <w:t xml:space="preserve">. </w:t>
      </w:r>
      <w:hyperlink r:id="rId2" w:history="1">
        <w:r w:rsidR="00CF110E" w:rsidRPr="00CE172D">
          <w:rPr>
            <w:rStyle w:val="Hyperlink"/>
          </w:rPr>
          <w:t>https://www.nice.org.uk/guidance/ng128</w:t>
        </w:r>
      </w:hyperlink>
      <w:r w:rsidR="00CF110E">
        <w:t xml:space="preserve"> </w:t>
      </w:r>
    </w:p>
  </w:footnote>
  <w:footnote w:id="4">
    <w:p w14:paraId="40FE218A" w14:textId="1457C9A5" w:rsidR="00FD609F" w:rsidRDefault="00FD609F">
      <w:pPr>
        <w:pStyle w:val="FootnoteText"/>
      </w:pPr>
      <w:r>
        <w:rPr>
          <w:rStyle w:val="FootnoteReference"/>
        </w:rPr>
        <w:footnoteRef/>
      </w:r>
      <w:r>
        <w:t xml:space="preserve"> </w:t>
      </w:r>
      <w:r w:rsidRPr="00FD609F">
        <w:t>Stroke rehabilitation in adults</w:t>
      </w:r>
      <w:r>
        <w:t xml:space="preserve">, published 12 June 2013, </w:t>
      </w:r>
      <w:hyperlink r:id="rId3" w:history="1">
        <w:r w:rsidRPr="00B30CEC">
          <w:rPr>
            <w:rStyle w:val="Hyperlink"/>
          </w:rPr>
          <w:t>https://www.nice.org.uk/guidance/cg162</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5B99"/>
    <w:rsid w:val="000963D1"/>
    <w:rsid w:val="000A16C2"/>
    <w:rsid w:val="000A638C"/>
    <w:rsid w:val="000A7163"/>
    <w:rsid w:val="000B068B"/>
    <w:rsid w:val="000B1301"/>
    <w:rsid w:val="000B1CBF"/>
    <w:rsid w:val="000B29D8"/>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0EC1"/>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078"/>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93E"/>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13B0"/>
    <w:rsid w:val="0022189B"/>
    <w:rsid w:val="002223A6"/>
    <w:rsid w:val="002229AD"/>
    <w:rsid w:val="00224AEE"/>
    <w:rsid w:val="00225FF4"/>
    <w:rsid w:val="00230A13"/>
    <w:rsid w:val="002331C6"/>
    <w:rsid w:val="00236B76"/>
    <w:rsid w:val="002408EA"/>
    <w:rsid w:val="00241410"/>
    <w:rsid w:val="00244E9A"/>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6812"/>
    <w:rsid w:val="002A7339"/>
    <w:rsid w:val="002A7A24"/>
    <w:rsid w:val="002B4762"/>
    <w:rsid w:val="002B565A"/>
    <w:rsid w:val="002B71D2"/>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61AD"/>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275D7"/>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445C"/>
    <w:rsid w:val="0046709A"/>
    <w:rsid w:val="004700B2"/>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287A"/>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20E"/>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351B"/>
    <w:rsid w:val="00607959"/>
    <w:rsid w:val="00607D7A"/>
    <w:rsid w:val="0061221F"/>
    <w:rsid w:val="00614078"/>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53F9"/>
    <w:rsid w:val="00696325"/>
    <w:rsid w:val="006966FC"/>
    <w:rsid w:val="006A2C36"/>
    <w:rsid w:val="006A5E06"/>
    <w:rsid w:val="006B17FD"/>
    <w:rsid w:val="006B44E2"/>
    <w:rsid w:val="006C0C61"/>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3D8F"/>
    <w:rsid w:val="006F6463"/>
    <w:rsid w:val="0070542C"/>
    <w:rsid w:val="007067D1"/>
    <w:rsid w:val="00713287"/>
    <w:rsid w:val="007136A7"/>
    <w:rsid w:val="007139DD"/>
    <w:rsid w:val="007143AC"/>
    <w:rsid w:val="00716007"/>
    <w:rsid w:val="00716835"/>
    <w:rsid w:val="00716AC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2DA"/>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5022"/>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147E"/>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6AB"/>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A1"/>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153"/>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5610"/>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36F"/>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66A3"/>
    <w:rsid w:val="00C130C8"/>
    <w:rsid w:val="00C13168"/>
    <w:rsid w:val="00C13F60"/>
    <w:rsid w:val="00C14404"/>
    <w:rsid w:val="00C17D6A"/>
    <w:rsid w:val="00C203C9"/>
    <w:rsid w:val="00C21776"/>
    <w:rsid w:val="00C22E43"/>
    <w:rsid w:val="00C23238"/>
    <w:rsid w:val="00C235DF"/>
    <w:rsid w:val="00C24AF5"/>
    <w:rsid w:val="00C2539E"/>
    <w:rsid w:val="00C278DE"/>
    <w:rsid w:val="00C2796B"/>
    <w:rsid w:val="00C3004B"/>
    <w:rsid w:val="00C31F4C"/>
    <w:rsid w:val="00C3209A"/>
    <w:rsid w:val="00C32ADC"/>
    <w:rsid w:val="00C35755"/>
    <w:rsid w:val="00C407A4"/>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10E"/>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2AEB"/>
    <w:rsid w:val="00D939B7"/>
    <w:rsid w:val="00D950D8"/>
    <w:rsid w:val="00D95477"/>
    <w:rsid w:val="00D959C3"/>
    <w:rsid w:val="00D961B8"/>
    <w:rsid w:val="00DA1511"/>
    <w:rsid w:val="00DA6FB8"/>
    <w:rsid w:val="00DA777A"/>
    <w:rsid w:val="00DB0188"/>
    <w:rsid w:val="00DB26A8"/>
    <w:rsid w:val="00DB3C58"/>
    <w:rsid w:val="00DB48A4"/>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F1EC1"/>
    <w:rsid w:val="00DF343E"/>
    <w:rsid w:val="00DF67C3"/>
    <w:rsid w:val="00DF6CEB"/>
    <w:rsid w:val="00E0098A"/>
    <w:rsid w:val="00E009D9"/>
    <w:rsid w:val="00E027D1"/>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55833"/>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D609F"/>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90153"/>
    <w:rPr>
      <w:sz w:val="20"/>
      <w:szCs w:val="20"/>
    </w:rPr>
  </w:style>
  <w:style w:type="character" w:customStyle="1" w:styleId="EndnoteTextChar">
    <w:name w:val="Endnote Text Char"/>
    <w:basedOn w:val="DefaultParagraphFont"/>
    <w:link w:val="EndnoteText"/>
    <w:semiHidden/>
    <w:rsid w:val="00A90153"/>
    <w:rPr>
      <w:lang w:eastAsia="en-US"/>
    </w:rPr>
  </w:style>
  <w:style w:type="character" w:customStyle="1" w:styleId="UnresolvedMention2">
    <w:name w:val="Unresolved Mention2"/>
    <w:basedOn w:val="DefaultParagraphFont"/>
    <w:uiPriority w:val="99"/>
    <w:semiHidden/>
    <w:unhideWhenUsed/>
    <w:rsid w:val="00CF1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359092640">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93081279">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cg162" TargetMode="External"/><Relationship Id="rId2" Type="http://schemas.openxmlformats.org/officeDocument/2006/relationships/hyperlink" Target="https://www.nice.org.uk/guidance/ng128" TargetMode="External"/><Relationship Id="rId1" Type="http://schemas.openxmlformats.org/officeDocument/2006/relationships/hyperlink" Target="https://www.nice.org.uk/guidance/q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65A24-2620-4D19-A5F4-6589C623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2021-09-17T15:45:00Z</dcterms:created>
  <dcterms:modified xsi:type="dcterms:W3CDTF">2021-09-17T15:46:00Z</dcterms:modified>
</cp:coreProperties>
</file>