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1817FF11" w14:textId="77777777" w:rsidR="00902BED" w:rsidRPr="002921E7" w:rsidRDefault="00902BED" w:rsidP="00902BED">
      <w:pPr>
        <w:spacing w:before="480" w:after="240" w:line="360" w:lineRule="auto"/>
        <w:rPr>
          <w:rFonts w:ascii="Arial" w:hAnsi="Arial"/>
          <w:lang w:eastAsia="en-GB"/>
        </w:rPr>
      </w:pPr>
      <w:r w:rsidRPr="002921E7">
        <w:rPr>
          <w:rFonts w:ascii="Arial" w:hAnsi="Arial"/>
          <w:lang w:eastAsia="en-GB"/>
        </w:rPr>
        <w:t>Assurance date:</w:t>
      </w:r>
      <w:r>
        <w:rPr>
          <w:rFonts w:ascii="Arial" w:hAnsi="Arial"/>
          <w:lang w:eastAsia="en-GB"/>
        </w:rPr>
        <w:t xml:space="preserve"> September 2021</w:t>
      </w:r>
    </w:p>
    <w:p w14:paraId="6BA0E8A5" w14:textId="77777777" w:rsidR="00902BED" w:rsidRPr="00F66205" w:rsidRDefault="00902BED" w:rsidP="00902BED">
      <w:pPr>
        <w:spacing w:before="240" w:after="240" w:line="360" w:lineRule="auto"/>
        <w:rPr>
          <w:rFonts w:ascii="Arial" w:hAnsi="Arial"/>
          <w:lang w:eastAsia="en-GB"/>
        </w:rPr>
      </w:pPr>
      <w:r w:rsidRPr="002921E7">
        <w:rPr>
          <w:rFonts w:ascii="Arial" w:hAnsi="Arial"/>
          <w:lang w:eastAsia="en-GB"/>
        </w:rPr>
        <w:t>Review date:</w:t>
      </w:r>
      <w:r>
        <w:rPr>
          <w:rFonts w:ascii="Arial" w:hAnsi="Arial"/>
          <w:lang w:eastAsia="en-GB"/>
        </w:rPr>
        <w:t xml:space="preserve"> September 2024</w:t>
      </w:r>
    </w:p>
    <w:p w14:paraId="047E7BC9" w14:textId="6702A4AE"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0027FA">
        <w:rPr>
          <w:lang w:eastAsia="en-GB"/>
        </w:rPr>
        <w:t>139</w:t>
      </w:r>
    </w:p>
    <w:p w14:paraId="18EC4F48" w14:textId="2360939F" w:rsidR="000027FA" w:rsidRDefault="000027FA" w:rsidP="009B0E59">
      <w:pPr>
        <w:pStyle w:val="Heading1"/>
        <w:rPr>
          <w:b w:val="0"/>
          <w:bCs w:val="0"/>
          <w:kern w:val="0"/>
          <w:sz w:val="24"/>
          <w:szCs w:val="24"/>
          <w:lang w:eastAsia="en-GB"/>
        </w:rPr>
      </w:pPr>
      <w:r w:rsidRPr="000027FA">
        <w:rPr>
          <w:b w:val="0"/>
          <w:bCs w:val="0"/>
          <w:kern w:val="0"/>
          <w:sz w:val="24"/>
          <w:szCs w:val="24"/>
          <w:lang w:eastAsia="en-GB"/>
        </w:rPr>
        <w:t>Proportion of older people (65 and over) who were still at home 91 days after discharge from hospital into reablement/rehabilitation services</w:t>
      </w:r>
    </w:p>
    <w:p w14:paraId="4B0BFDE6" w14:textId="69AE3BC9" w:rsidR="002B3F5B" w:rsidRDefault="002B3F5B" w:rsidP="002B3F5B">
      <w:pPr>
        <w:pStyle w:val="Paragraph"/>
        <w:rPr>
          <w:lang w:eastAsia="en-GB"/>
        </w:rPr>
      </w:pPr>
      <w:r>
        <w:rPr>
          <w:lang w:eastAsia="en-GB"/>
        </w:rPr>
        <w:t>Note that this indicator is in two parts, where assessment criteria differs this will be noted:</w:t>
      </w:r>
    </w:p>
    <w:p w14:paraId="2258A968" w14:textId="77777777" w:rsidR="002B3F5B" w:rsidRDefault="002B3F5B" w:rsidP="002B3F5B">
      <w:pPr>
        <w:pStyle w:val="Heading1"/>
        <w:numPr>
          <w:ilvl w:val="0"/>
          <w:numId w:val="43"/>
        </w:numPr>
        <w:rPr>
          <w:b w:val="0"/>
          <w:bCs w:val="0"/>
          <w:kern w:val="0"/>
          <w:sz w:val="24"/>
          <w:szCs w:val="24"/>
          <w:lang w:eastAsia="en-GB"/>
        </w:rPr>
      </w:pPr>
      <w:r w:rsidRPr="000027FA">
        <w:rPr>
          <w:b w:val="0"/>
          <w:bCs w:val="0"/>
          <w:kern w:val="0"/>
          <w:sz w:val="24"/>
          <w:szCs w:val="24"/>
          <w:lang w:eastAsia="en-GB"/>
        </w:rPr>
        <w:t>Proportion of older people (65 and over) who were still at home 91 days after discharge from hospital into reablement/rehabilitation services</w:t>
      </w:r>
    </w:p>
    <w:p w14:paraId="281F3771" w14:textId="23B0EDE4" w:rsidR="002B3F5B" w:rsidRPr="002B3F5B" w:rsidRDefault="002B3F5B" w:rsidP="002B3F5B">
      <w:pPr>
        <w:pStyle w:val="Paragraph"/>
        <w:numPr>
          <w:ilvl w:val="0"/>
          <w:numId w:val="43"/>
        </w:numPr>
        <w:rPr>
          <w:lang w:eastAsia="en-GB"/>
        </w:rPr>
      </w:pPr>
      <w:r w:rsidRPr="002B3F5B">
        <w:rPr>
          <w:lang w:eastAsia="en-GB"/>
        </w:rPr>
        <w:t>The proportion of older people aged 65 and over offered reablement services following discharge from hospital.</w:t>
      </w:r>
    </w:p>
    <w:p w14:paraId="7C25BFBC" w14:textId="1382B87D"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43CB5B34" w:rsidR="00333A96" w:rsidRDefault="00333A96" w:rsidP="000027FA">
            <w:pPr>
              <w:spacing w:before="120" w:after="120"/>
              <w:rPr>
                <w:rFonts w:ascii="Arial" w:hAnsi="Arial" w:cs="Arial"/>
                <w:sz w:val="22"/>
                <w:szCs w:val="22"/>
              </w:rPr>
            </w:pPr>
            <w:r>
              <w:rPr>
                <w:rFonts w:ascii="Arial" w:hAnsi="Arial" w:cs="Arial"/>
                <w:sz w:val="22"/>
                <w:szCs w:val="22"/>
              </w:rPr>
              <w:t xml:space="preserve">Indicator is part of the </w:t>
            </w:r>
            <w:r w:rsidR="00F40961">
              <w:rPr>
                <w:rFonts w:ascii="Arial" w:hAnsi="Arial" w:cs="Arial"/>
                <w:sz w:val="22"/>
                <w:szCs w:val="22"/>
              </w:rPr>
              <w:t>Adult Social Care Outcomes Framework</w:t>
            </w:r>
            <w:r w:rsidR="00402BFB">
              <w:rPr>
                <w:rFonts w:ascii="Arial" w:hAnsi="Arial" w:cs="Arial"/>
                <w:sz w:val="22"/>
                <w:szCs w:val="22"/>
              </w:rPr>
              <w:t xml:space="preserve"> </w:t>
            </w:r>
            <w:r w:rsidR="00057F52">
              <w:rPr>
                <w:rFonts w:ascii="Arial" w:hAnsi="Arial" w:cs="Arial"/>
                <w:sz w:val="22"/>
                <w:szCs w:val="22"/>
              </w:rPr>
              <w:t xml:space="preserve">(ASCOF) </w:t>
            </w:r>
            <w:r w:rsidR="00F75B77">
              <w:rPr>
                <w:rFonts w:ascii="Arial" w:hAnsi="Arial" w:cs="Arial"/>
                <w:sz w:val="22"/>
                <w:szCs w:val="22"/>
              </w:rPr>
              <w:t xml:space="preserve">domain </w:t>
            </w:r>
            <w:r w:rsidR="000027FA">
              <w:rPr>
                <w:rFonts w:ascii="Arial" w:hAnsi="Arial" w:cs="Arial"/>
                <w:sz w:val="22"/>
                <w:szCs w:val="22"/>
              </w:rPr>
              <w:t>2</w:t>
            </w:r>
            <w:r w:rsidR="00F75B77">
              <w:rPr>
                <w:rFonts w:ascii="Arial" w:hAnsi="Arial" w:cs="Arial"/>
                <w:sz w:val="22"/>
                <w:szCs w:val="22"/>
              </w:rPr>
              <w:t xml:space="preserve"> – </w:t>
            </w:r>
            <w:r w:rsidR="000027FA" w:rsidRPr="000027FA">
              <w:rPr>
                <w:rFonts w:ascii="Arial" w:hAnsi="Arial" w:cs="Arial"/>
                <w:sz w:val="22"/>
                <w:szCs w:val="22"/>
              </w:rPr>
              <w:t>Delaying and reducing the need for care and support</w:t>
            </w:r>
            <w:r w:rsidR="000027FA">
              <w:rPr>
                <w:rFonts w:ascii="Arial" w:hAnsi="Arial" w:cs="Arial"/>
                <w:sz w:val="22"/>
                <w:szCs w:val="22"/>
              </w:rPr>
              <w:t xml:space="preserve">. The indicator is also linked to through the NHS Outcomes Framework where is it is part of domain 3 - </w:t>
            </w:r>
            <w:r w:rsidR="000027FA" w:rsidRPr="000027FA">
              <w:rPr>
                <w:rFonts w:ascii="Arial" w:hAnsi="Arial" w:cs="Arial"/>
                <w:sz w:val="22"/>
                <w:szCs w:val="22"/>
              </w:rPr>
              <w:t>Helping people to recover from episodes of ill health or</w:t>
            </w:r>
            <w:r w:rsidR="000027FA">
              <w:rPr>
                <w:rFonts w:ascii="Arial" w:hAnsi="Arial" w:cs="Arial"/>
                <w:sz w:val="22"/>
                <w:szCs w:val="22"/>
              </w:rPr>
              <w:t xml:space="preserve"> </w:t>
            </w:r>
            <w:r w:rsidR="000027FA" w:rsidRPr="000027FA">
              <w:rPr>
                <w:rFonts w:ascii="Arial" w:hAnsi="Arial" w:cs="Arial"/>
                <w:sz w:val="22"/>
                <w:szCs w:val="22"/>
              </w:rPr>
              <w:t>following injury</w:t>
            </w:r>
            <w:r w:rsidR="000027FA">
              <w:rPr>
                <w:rFonts w:ascii="Arial" w:hAnsi="Arial" w:cs="Arial"/>
                <w:sz w:val="22"/>
                <w:szCs w:val="22"/>
              </w:rPr>
              <w:t>.</w:t>
            </w:r>
          </w:p>
          <w:p w14:paraId="3D245F93" w14:textId="77777777" w:rsidR="00645411" w:rsidRDefault="002B3F5B" w:rsidP="00F40961">
            <w:pPr>
              <w:spacing w:before="120" w:after="120"/>
              <w:rPr>
                <w:rFonts w:ascii="Arial" w:hAnsi="Arial" w:cs="Arial"/>
                <w:sz w:val="22"/>
                <w:szCs w:val="22"/>
              </w:rPr>
            </w:pPr>
            <w:r>
              <w:rPr>
                <w:rFonts w:ascii="Arial" w:hAnsi="Arial" w:cs="Arial"/>
                <w:sz w:val="22"/>
                <w:szCs w:val="22"/>
              </w:rPr>
              <w:t xml:space="preserve">Part 1. </w:t>
            </w:r>
            <w:r w:rsidR="00E87D3D">
              <w:rPr>
                <w:rFonts w:ascii="Arial" w:hAnsi="Arial" w:cs="Arial"/>
                <w:sz w:val="22"/>
                <w:szCs w:val="22"/>
              </w:rPr>
              <w:t>At a national level the indicator value has remained fairly steady and was 82.0% in 2010/11 and in 2019/20, with values ranging between 81.4% and 82.9% over the period. Variation exists between local authorities.</w:t>
            </w:r>
          </w:p>
          <w:p w14:paraId="6A0AAFD7" w14:textId="22C83055" w:rsidR="002B3F5B" w:rsidRPr="006E1387" w:rsidRDefault="002B3F5B" w:rsidP="00F40961">
            <w:pPr>
              <w:spacing w:before="120" w:after="120"/>
              <w:rPr>
                <w:rFonts w:ascii="Arial" w:hAnsi="Arial" w:cs="Arial"/>
                <w:sz w:val="22"/>
                <w:szCs w:val="22"/>
              </w:rPr>
            </w:pPr>
            <w:r>
              <w:rPr>
                <w:rFonts w:ascii="Arial" w:hAnsi="Arial" w:cs="Arial"/>
                <w:sz w:val="22"/>
                <w:szCs w:val="22"/>
              </w:rPr>
              <w:t>Part 2.</w:t>
            </w:r>
            <w:r w:rsidR="00495831">
              <w:rPr>
                <w:rFonts w:ascii="Arial" w:hAnsi="Arial" w:cs="Arial"/>
                <w:sz w:val="22"/>
                <w:szCs w:val="22"/>
              </w:rPr>
              <w:t xml:space="preserve"> At a national level the indicator value has ranged between 2.6% and 3.3%, with the most recent value of 2.6% in 2019/20 the lowest of the time </w:t>
            </w:r>
            <w:r w:rsidR="00495831">
              <w:rPr>
                <w:rFonts w:ascii="Arial" w:hAnsi="Arial" w:cs="Arial"/>
                <w:sz w:val="22"/>
                <w:szCs w:val="22"/>
              </w:rPr>
              <w:lastRenderedPageBreak/>
              <w:t>period. Variation exists between local authorities.</w:t>
            </w:r>
          </w:p>
        </w:tc>
        <w:tc>
          <w:tcPr>
            <w:tcW w:w="3047" w:type="dxa"/>
          </w:tcPr>
          <w:p w14:paraId="34B49690" w14:textId="3A81DF4E" w:rsidR="00E05AB5" w:rsidRDefault="00E05AB5"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 xml:space="preserve">Indicator is based </w:t>
            </w:r>
            <w:r w:rsidR="005B620E">
              <w:rPr>
                <w:rFonts w:eastAsiaTheme="minorEastAsia" w:cs="Arial"/>
                <w:color w:val="000000" w:themeColor="dark1"/>
                <w:kern w:val="24"/>
                <w:sz w:val="22"/>
                <w:szCs w:val="22"/>
              </w:rPr>
              <w:t>on</w:t>
            </w:r>
            <w:r w:rsidR="00383115">
              <w:rPr>
                <w:rFonts w:eastAsiaTheme="minorEastAsia" w:cs="Arial"/>
                <w:color w:val="000000" w:themeColor="dark1"/>
                <w:kern w:val="24"/>
                <w:sz w:val="22"/>
                <w:szCs w:val="22"/>
              </w:rPr>
              <w:t xml:space="preserve"> a </w:t>
            </w:r>
            <w:r w:rsidR="00383115" w:rsidRPr="002B3F5B">
              <w:rPr>
                <w:rFonts w:eastAsiaTheme="minorEastAsia" w:cs="Arial"/>
                <w:color w:val="000000" w:themeColor="dark1"/>
                <w:kern w:val="24"/>
                <w:sz w:val="22"/>
                <w:szCs w:val="22"/>
              </w:rPr>
              <w:t>recognized dataset</w:t>
            </w:r>
            <w:r w:rsidR="002B3F5B">
              <w:rPr>
                <w:rFonts w:eastAsiaTheme="minorEastAsia" w:cs="Arial"/>
                <w:color w:val="000000" w:themeColor="dark1"/>
                <w:kern w:val="24"/>
                <w:sz w:val="22"/>
                <w:szCs w:val="22"/>
              </w:rPr>
              <w:t>.</w:t>
            </w:r>
          </w:p>
          <w:p w14:paraId="3EF38044" w14:textId="4DEE0FD8" w:rsidR="00E05AB5" w:rsidRDefault="00E87D3D" w:rsidP="006100D7">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Indicator value</w:t>
            </w:r>
            <w:r w:rsidR="00495831">
              <w:rPr>
                <w:rFonts w:eastAsiaTheme="minorEastAsia" w:cs="Arial"/>
                <w:color w:val="000000" w:themeColor="dark1"/>
                <w:kern w:val="24"/>
                <w:sz w:val="22"/>
                <w:szCs w:val="22"/>
              </w:rPr>
              <w:t>s</w:t>
            </w:r>
            <w:r>
              <w:rPr>
                <w:rFonts w:eastAsiaTheme="minorEastAsia" w:cs="Arial"/>
                <w:color w:val="000000" w:themeColor="dark1"/>
                <w:kern w:val="24"/>
                <w:sz w:val="22"/>
                <w:szCs w:val="22"/>
              </w:rPr>
              <w:t xml:space="preserve"> ha</w:t>
            </w:r>
            <w:r w:rsidR="00495831">
              <w:rPr>
                <w:rFonts w:eastAsiaTheme="minorEastAsia" w:cs="Arial"/>
                <w:color w:val="000000" w:themeColor="dark1"/>
                <w:kern w:val="24"/>
                <w:sz w:val="22"/>
                <w:szCs w:val="22"/>
              </w:rPr>
              <w:t>ve</w:t>
            </w:r>
            <w:r>
              <w:rPr>
                <w:rFonts w:eastAsiaTheme="minorEastAsia" w:cs="Arial"/>
                <w:color w:val="000000" w:themeColor="dark1"/>
                <w:kern w:val="24"/>
                <w:sz w:val="22"/>
                <w:szCs w:val="22"/>
              </w:rPr>
              <w:t xml:space="preserve"> remained </w:t>
            </w:r>
            <w:r w:rsidR="00495831">
              <w:rPr>
                <w:rFonts w:eastAsiaTheme="minorEastAsia" w:cs="Arial"/>
                <w:color w:val="000000" w:themeColor="dark1"/>
                <w:kern w:val="24"/>
                <w:sz w:val="22"/>
                <w:szCs w:val="22"/>
              </w:rPr>
              <w:t xml:space="preserve">fairly </w:t>
            </w:r>
            <w:r>
              <w:rPr>
                <w:rFonts w:eastAsiaTheme="minorEastAsia" w:cs="Arial"/>
                <w:color w:val="000000" w:themeColor="dark1"/>
                <w:kern w:val="24"/>
                <w:sz w:val="22"/>
                <w:szCs w:val="22"/>
              </w:rPr>
              <w:t>stable, however there is variation between local authorities.</w:t>
            </w:r>
          </w:p>
          <w:p w14:paraId="78280FB7" w14:textId="1F25D54F" w:rsidR="00495831" w:rsidRPr="006E1387" w:rsidRDefault="00495831" w:rsidP="006100D7">
            <w:pPr>
              <w:pStyle w:val="NICEnormal"/>
              <w:spacing w:before="120" w:after="120" w:line="240" w:lineRule="auto"/>
              <w:rPr>
                <w:rFonts w:eastAsiaTheme="minorEastAsia" w:cs="Arial"/>
                <w:color w:val="000000" w:themeColor="dark1"/>
                <w:kern w:val="24"/>
                <w:sz w:val="22"/>
                <w:szCs w:val="22"/>
              </w:rPr>
            </w:pP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67D19D99" w14:textId="2CA209E0" w:rsidR="0019550C" w:rsidRDefault="0019550C" w:rsidP="005F3926">
            <w:pPr>
              <w:spacing w:before="120" w:after="120"/>
              <w:rPr>
                <w:rFonts w:ascii="Arial" w:hAnsi="Arial" w:cs="Arial"/>
                <w:sz w:val="22"/>
                <w:szCs w:val="22"/>
              </w:rPr>
            </w:pPr>
            <w:r>
              <w:rPr>
                <w:rFonts w:ascii="Arial" w:hAnsi="Arial" w:cs="Arial"/>
                <w:sz w:val="22"/>
                <w:szCs w:val="22"/>
              </w:rPr>
              <w:t xml:space="preserve">From </w:t>
            </w:r>
            <w:r w:rsidR="00326846">
              <w:rPr>
                <w:rFonts w:ascii="Arial" w:hAnsi="Arial" w:cs="Arial"/>
                <w:sz w:val="22"/>
                <w:szCs w:val="22"/>
              </w:rPr>
              <w:t xml:space="preserve">latest </w:t>
            </w:r>
            <w:r w:rsidR="00057F52">
              <w:rPr>
                <w:rFonts w:ascii="Arial" w:hAnsi="Arial" w:cs="Arial"/>
                <w:sz w:val="22"/>
                <w:szCs w:val="22"/>
              </w:rPr>
              <w:t>ASCOF handbook of definitions</w:t>
            </w:r>
            <w:r w:rsidR="00A30415">
              <w:rPr>
                <w:rStyle w:val="FootnoteReference"/>
                <w:rFonts w:ascii="Arial" w:hAnsi="Arial" w:cs="Arial"/>
                <w:sz w:val="22"/>
                <w:szCs w:val="22"/>
              </w:rPr>
              <w:footnoteReference w:id="1"/>
            </w:r>
            <w:r w:rsidR="00057F52">
              <w:rPr>
                <w:rFonts w:ascii="Arial" w:hAnsi="Arial" w:cs="Arial"/>
                <w:sz w:val="22"/>
                <w:szCs w:val="22"/>
              </w:rPr>
              <w:t>:</w:t>
            </w:r>
          </w:p>
          <w:p w14:paraId="27E0CD27" w14:textId="77777777" w:rsidR="00326846" w:rsidRPr="00326846" w:rsidRDefault="0019550C" w:rsidP="00326846">
            <w:pPr>
              <w:spacing w:before="120" w:after="120"/>
              <w:rPr>
                <w:rFonts w:ascii="Arial" w:hAnsi="Arial" w:cs="Arial"/>
                <w:sz w:val="22"/>
                <w:szCs w:val="22"/>
              </w:rPr>
            </w:pPr>
            <w:r>
              <w:rPr>
                <w:rFonts w:ascii="Arial" w:hAnsi="Arial" w:cs="Arial"/>
                <w:sz w:val="22"/>
                <w:szCs w:val="22"/>
              </w:rPr>
              <w:t>“</w:t>
            </w:r>
            <w:r w:rsidR="00326846" w:rsidRPr="00326846">
              <w:rPr>
                <w:rFonts w:ascii="Arial" w:hAnsi="Arial" w:cs="Arial"/>
                <w:sz w:val="22"/>
                <w:szCs w:val="22"/>
              </w:rPr>
              <w:t>There is strong evidence that reablement services lead to improved outcomes and value for money across the health and social care sectors. Reablement seeks to support people and maximise their level of independence, in order to minimise their need for ongoing support and dependence on public services.</w:t>
            </w:r>
          </w:p>
          <w:p w14:paraId="46FD2163" w14:textId="0428BBBD" w:rsidR="005F3926" w:rsidRPr="006E1387" w:rsidRDefault="00326846" w:rsidP="00326846">
            <w:pPr>
              <w:spacing w:before="120" w:after="120"/>
              <w:rPr>
                <w:rFonts w:ascii="Arial" w:hAnsi="Arial" w:cs="Arial"/>
                <w:sz w:val="22"/>
                <w:szCs w:val="22"/>
              </w:rPr>
            </w:pPr>
            <w:r w:rsidRPr="00326846">
              <w:rPr>
                <w:rFonts w:ascii="Arial" w:hAnsi="Arial" w:cs="Arial"/>
                <w:sz w:val="22"/>
                <w:szCs w:val="22"/>
              </w:rPr>
              <w:t>This measures the benefit to individuals from reablement, intermediate care and rehabilitation following a hospital episode, by determining whether an individual remains living at home 91 days following discharge – the key outcome for many people using reablement services. It captures the joint work of social services, health staff and services commissioned by joint teams, as well as adult social care reablement.</w:t>
            </w:r>
            <w:r w:rsidR="00C14B5D">
              <w:rPr>
                <w:rFonts w:ascii="Arial" w:hAnsi="Arial" w:cs="Arial"/>
                <w:sz w:val="22"/>
                <w:szCs w:val="22"/>
              </w:rPr>
              <w:t>”</w:t>
            </w:r>
            <w:r w:rsidR="0019550C" w:rsidRPr="0019550C">
              <w:rPr>
                <w:rFonts w:ascii="Arial" w:hAnsi="Arial" w:cs="Arial"/>
                <w:sz w:val="22"/>
                <w:szCs w:val="22"/>
              </w:rPr>
              <w:t xml:space="preserve"> </w:t>
            </w:r>
          </w:p>
        </w:tc>
        <w:tc>
          <w:tcPr>
            <w:tcW w:w="3047" w:type="dxa"/>
          </w:tcPr>
          <w:p w14:paraId="12B8C1AB" w14:textId="51350588" w:rsidR="00E05AB5" w:rsidRPr="006E1387" w:rsidRDefault="00E25210" w:rsidP="00C14B5D">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Evidence base exists</w:t>
            </w:r>
            <w:r w:rsidR="005F3926">
              <w:rPr>
                <w:rFonts w:eastAsiaTheme="minorEastAsia" w:cs="Arial"/>
                <w:color w:val="000000" w:themeColor="dark1"/>
                <w:kern w:val="24"/>
                <w:sz w:val="22"/>
                <w:szCs w:val="22"/>
              </w:rPr>
              <w:t>.</w:t>
            </w:r>
            <w:r w:rsidR="007E7E62">
              <w:rPr>
                <w:rFonts w:eastAsiaTheme="minorEastAsia" w:cs="Arial"/>
                <w:color w:val="000000" w:themeColor="dark1"/>
                <w:kern w:val="24"/>
                <w:sz w:val="22"/>
                <w:szCs w:val="22"/>
              </w:rPr>
              <w:t xml:space="preserve"> </w:t>
            </w:r>
            <w:r w:rsidR="005F3CD1">
              <w:rPr>
                <w:rFonts w:eastAsiaTheme="minorEastAsia" w:cs="Arial"/>
                <w:color w:val="000000" w:themeColor="dark1"/>
                <w:kern w:val="24"/>
                <w:sz w:val="22"/>
                <w:szCs w:val="22"/>
              </w:rPr>
              <w:t>This indicator aligns with NICE guidance (</w:t>
            </w:r>
            <w:r w:rsidR="00D6554E">
              <w:rPr>
                <w:rFonts w:eastAsiaTheme="minorEastAsia" w:cs="Arial"/>
                <w:color w:val="000000" w:themeColor="dark1"/>
                <w:kern w:val="24"/>
                <w:sz w:val="22"/>
                <w:szCs w:val="22"/>
              </w:rPr>
              <w:t>NG74</w:t>
            </w:r>
            <w:r w:rsidR="00D6554E">
              <w:rPr>
                <w:rStyle w:val="FootnoteReference"/>
                <w:rFonts w:eastAsiaTheme="minorEastAsia" w:cs="Arial"/>
                <w:color w:val="000000" w:themeColor="dark1"/>
                <w:kern w:val="24"/>
                <w:sz w:val="22"/>
                <w:szCs w:val="22"/>
              </w:rPr>
              <w:footnoteReference w:id="2"/>
            </w:r>
            <w:r w:rsidR="00D6554E">
              <w:rPr>
                <w:rFonts w:eastAsiaTheme="minorEastAsia" w:cs="Arial"/>
                <w:color w:val="000000" w:themeColor="dark1"/>
                <w:kern w:val="24"/>
                <w:sz w:val="22"/>
                <w:szCs w:val="22"/>
              </w:rPr>
              <w:t xml:space="preserve">, </w:t>
            </w:r>
            <w:r w:rsidR="005F3CD1">
              <w:rPr>
                <w:rFonts w:eastAsiaTheme="minorEastAsia" w:cs="Arial"/>
                <w:color w:val="000000" w:themeColor="dark1"/>
                <w:kern w:val="24"/>
                <w:sz w:val="22"/>
                <w:szCs w:val="22"/>
              </w:rPr>
              <w:t>NG</w:t>
            </w:r>
            <w:r w:rsidR="00C14B5D">
              <w:rPr>
                <w:rFonts w:eastAsiaTheme="minorEastAsia" w:cs="Arial"/>
                <w:color w:val="000000" w:themeColor="dark1"/>
                <w:kern w:val="24"/>
                <w:sz w:val="22"/>
                <w:szCs w:val="22"/>
              </w:rPr>
              <w:t>86</w:t>
            </w:r>
            <w:r w:rsidR="005F3CD1">
              <w:rPr>
                <w:rStyle w:val="FootnoteReference"/>
                <w:rFonts w:eastAsiaTheme="minorEastAsia" w:cs="Arial"/>
                <w:color w:val="000000" w:themeColor="dark1"/>
                <w:kern w:val="24"/>
                <w:sz w:val="22"/>
                <w:szCs w:val="22"/>
              </w:rPr>
              <w:footnoteReference w:id="3"/>
            </w:r>
            <w:r w:rsidR="005F3CD1">
              <w:rPr>
                <w:rFonts w:eastAsiaTheme="minorEastAsia" w:cs="Arial"/>
                <w:color w:val="000000" w:themeColor="dark1"/>
                <w:kern w:val="24"/>
                <w:sz w:val="22"/>
                <w:szCs w:val="22"/>
              </w:rPr>
              <w:t>).</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39A74D1F" w14:textId="77777777" w:rsidR="00495831" w:rsidRPr="00495831" w:rsidRDefault="00495831" w:rsidP="00455B14">
            <w:pPr>
              <w:spacing w:before="120" w:after="120"/>
              <w:rPr>
                <w:rFonts w:ascii="Arial" w:hAnsi="Arial" w:cs="Arial"/>
                <w:color w:val="000000"/>
                <w:kern w:val="24"/>
                <w:sz w:val="22"/>
                <w:szCs w:val="22"/>
                <w:u w:val="single"/>
                <w:lang w:eastAsia="en-GB"/>
              </w:rPr>
            </w:pPr>
            <w:r w:rsidRPr="00495831">
              <w:rPr>
                <w:rFonts w:ascii="Arial" w:hAnsi="Arial" w:cs="Arial"/>
                <w:color w:val="000000"/>
                <w:kern w:val="24"/>
                <w:sz w:val="22"/>
                <w:szCs w:val="22"/>
                <w:u w:val="single"/>
                <w:lang w:eastAsia="en-GB"/>
              </w:rPr>
              <w:t>Part 1</w:t>
            </w:r>
          </w:p>
          <w:p w14:paraId="5BB39B09" w14:textId="70C1109D" w:rsidR="00F25E11" w:rsidRDefault="00F2277C"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057F52" w:rsidRPr="00057F52">
              <w:rPr>
                <w:rFonts w:ascii="Arial" w:hAnsi="Arial" w:cs="Arial"/>
                <w:color w:val="000000"/>
                <w:kern w:val="24"/>
                <w:sz w:val="22"/>
                <w:szCs w:val="22"/>
                <w:lang w:eastAsia="en-GB"/>
              </w:rPr>
              <w:t>Number of older people discharged from acute or community hospitals to their own home or to a residential or nursing care home or extra care housing for rehabilitation, with a clear intention that they will move on/back to their own home (including a place in extra care housing or an adult placement scheme setting), who are at home or in extra care housing or an adult placement scheme setting 91 days after the date of their discharge from hospital. This should only include the outcome for those cases referred to in the denominator</w:t>
            </w:r>
            <w:r w:rsidR="00057F52">
              <w:rPr>
                <w:rFonts w:ascii="Arial" w:hAnsi="Arial" w:cs="Arial"/>
                <w:color w:val="000000"/>
                <w:kern w:val="24"/>
                <w:sz w:val="22"/>
                <w:szCs w:val="22"/>
                <w:lang w:eastAsia="en-GB"/>
              </w:rPr>
              <w:t>.</w:t>
            </w:r>
          </w:p>
          <w:p w14:paraId="2BC2268A" w14:textId="626F08AF" w:rsidR="00057F52"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Denominator:</w:t>
            </w:r>
            <w:r w:rsidR="00402BFB">
              <w:rPr>
                <w:rFonts w:ascii="Arial" w:hAnsi="Arial" w:cs="Arial"/>
                <w:color w:val="000000"/>
                <w:kern w:val="24"/>
                <w:sz w:val="22"/>
                <w:szCs w:val="22"/>
                <w:lang w:eastAsia="en-GB"/>
              </w:rPr>
              <w:t xml:space="preserve"> </w:t>
            </w:r>
            <w:r w:rsidR="00057F52" w:rsidRPr="00057F52">
              <w:rPr>
                <w:rFonts w:ascii="Arial" w:hAnsi="Arial" w:cs="Arial"/>
                <w:color w:val="000000"/>
                <w:kern w:val="24"/>
                <w:sz w:val="22"/>
                <w:szCs w:val="22"/>
                <w:lang w:eastAsia="en-GB"/>
              </w:rPr>
              <w:t xml:space="preserve">Number of older people discharged from acute or community hospitals from hospital to their own </w:t>
            </w:r>
            <w:r w:rsidR="00057F52" w:rsidRPr="00057F52">
              <w:rPr>
                <w:rFonts w:ascii="Arial" w:hAnsi="Arial" w:cs="Arial"/>
                <w:color w:val="000000"/>
                <w:kern w:val="24"/>
                <w:sz w:val="22"/>
                <w:szCs w:val="22"/>
                <w:lang w:eastAsia="en-GB"/>
              </w:rPr>
              <w:lastRenderedPageBreak/>
              <w:t>home or to a residential or nursing care home or extra care housing for rehabilitation, with a clear intention that they will move on/back to their own home (including a place in extra care housing or an adult placement scheme setting).</w:t>
            </w:r>
          </w:p>
          <w:p w14:paraId="0496C53D" w14:textId="77777777" w:rsidR="00495831" w:rsidRPr="006E1387" w:rsidRDefault="00495831" w:rsidP="00495831">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Pr>
                <w:rFonts w:ascii="Arial" w:hAnsi="Arial" w:cs="Arial"/>
                <w:color w:val="000000"/>
                <w:kern w:val="24"/>
                <w:sz w:val="22"/>
                <w:szCs w:val="22"/>
                <w:lang w:eastAsia="en-GB"/>
              </w:rPr>
              <w:t>None</w:t>
            </w:r>
          </w:p>
          <w:p w14:paraId="271956BB" w14:textId="77777777" w:rsidR="00495831" w:rsidRDefault="00495831" w:rsidP="00495831">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Methodology: Percentage</w:t>
            </w:r>
          </w:p>
          <w:p w14:paraId="122105CC" w14:textId="77777777" w:rsidR="00495831" w:rsidRPr="006E1387" w:rsidRDefault="00495831" w:rsidP="00495831">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Pr>
                <w:rFonts w:ascii="Arial" w:hAnsi="Arial" w:cs="Arial"/>
                <w:color w:val="000000"/>
                <w:kern w:val="24"/>
                <w:sz w:val="22"/>
                <w:szCs w:val="22"/>
                <w:lang w:eastAsia="en-GB"/>
              </w:rPr>
              <w:t xml:space="preserve"> England, Local authority (defined as CASSR – Councils with Adult Social Care Responsibilities). Sex and Age band (65-74, 75-84 and 85 and over) breakdowns are available.</w:t>
            </w:r>
          </w:p>
          <w:p w14:paraId="17E82FFD" w14:textId="77777777" w:rsidR="00495831" w:rsidRDefault="00495831" w:rsidP="00495831">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Pr>
                <w:rFonts w:ascii="Arial" w:hAnsi="Arial" w:cs="Arial"/>
                <w:color w:val="000000"/>
                <w:kern w:val="24"/>
                <w:sz w:val="22"/>
                <w:szCs w:val="22"/>
                <w:lang w:eastAsia="en-GB"/>
              </w:rPr>
              <w:t xml:space="preserve"> Short and Long Term Services (SALT) collection</w:t>
            </w:r>
          </w:p>
          <w:p w14:paraId="58AD1F4D" w14:textId="4185BE53" w:rsidR="00495831" w:rsidRDefault="00495831" w:rsidP="00495831">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Disclosure control: None</w:t>
            </w:r>
          </w:p>
          <w:p w14:paraId="08B9DFC1" w14:textId="4B2EEBD1" w:rsidR="00495831" w:rsidRPr="00495831" w:rsidRDefault="00495831" w:rsidP="00455B14">
            <w:pPr>
              <w:spacing w:before="120" w:after="120"/>
              <w:rPr>
                <w:rFonts w:ascii="Arial" w:hAnsi="Arial" w:cs="Arial"/>
                <w:color w:val="000000"/>
                <w:kern w:val="24"/>
                <w:sz w:val="22"/>
                <w:szCs w:val="22"/>
                <w:u w:val="single"/>
                <w:lang w:eastAsia="en-GB"/>
              </w:rPr>
            </w:pPr>
            <w:r w:rsidRPr="00495831">
              <w:rPr>
                <w:rFonts w:ascii="Arial" w:hAnsi="Arial" w:cs="Arial"/>
                <w:color w:val="000000"/>
                <w:kern w:val="24"/>
                <w:sz w:val="22"/>
                <w:szCs w:val="22"/>
                <w:u w:val="single"/>
                <w:lang w:eastAsia="en-GB"/>
              </w:rPr>
              <w:t>Part 2</w:t>
            </w:r>
          </w:p>
          <w:p w14:paraId="2C891E3A" w14:textId="77777777" w:rsidR="00495831" w:rsidRDefault="00495831"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Numerator: The denominator for Part 1.</w:t>
            </w:r>
          </w:p>
          <w:p w14:paraId="5EA62A9E" w14:textId="534A754A" w:rsidR="00495831" w:rsidRDefault="00495831"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Denominator: </w:t>
            </w:r>
            <w:r w:rsidRPr="00495831">
              <w:rPr>
                <w:rFonts w:ascii="Arial" w:hAnsi="Arial" w:cs="Arial"/>
                <w:color w:val="000000"/>
                <w:kern w:val="24"/>
                <w:sz w:val="22"/>
                <w:szCs w:val="22"/>
                <w:lang w:eastAsia="en-GB"/>
              </w:rPr>
              <w:t>Total number of people, aged 65 and over, discharged alive from hospitals in England. This includes all specialities and zero-length stays. Data for geographical areas is based on usual residence of patient.</w:t>
            </w:r>
          </w:p>
          <w:p w14:paraId="158FFEDA" w14:textId="6A827E3C"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9A1FC0">
              <w:rPr>
                <w:rFonts w:ascii="Arial" w:hAnsi="Arial" w:cs="Arial"/>
                <w:color w:val="000000"/>
                <w:kern w:val="24"/>
                <w:sz w:val="22"/>
                <w:szCs w:val="22"/>
                <w:lang w:eastAsia="en-GB"/>
              </w:rPr>
              <w:t>None</w:t>
            </w:r>
          </w:p>
          <w:p w14:paraId="46400236" w14:textId="0103BAEB" w:rsidR="00402BFB"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944C93">
              <w:rPr>
                <w:rFonts w:ascii="Arial" w:hAnsi="Arial" w:cs="Arial"/>
                <w:color w:val="000000"/>
                <w:kern w:val="24"/>
                <w:sz w:val="22"/>
                <w:szCs w:val="22"/>
                <w:lang w:eastAsia="en-GB"/>
              </w:rPr>
              <w:t>Percentage</w:t>
            </w:r>
          </w:p>
          <w:p w14:paraId="241B73C2" w14:textId="10BE9B56"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F25E11">
              <w:rPr>
                <w:rFonts w:ascii="Arial" w:hAnsi="Arial" w:cs="Arial"/>
                <w:color w:val="000000"/>
                <w:kern w:val="24"/>
                <w:sz w:val="22"/>
                <w:szCs w:val="22"/>
                <w:lang w:eastAsia="en-GB"/>
              </w:rPr>
              <w:t xml:space="preserve">England, </w:t>
            </w:r>
            <w:r w:rsidR="00D530A6">
              <w:rPr>
                <w:rFonts w:ascii="Arial" w:hAnsi="Arial" w:cs="Arial"/>
                <w:color w:val="000000"/>
                <w:kern w:val="24"/>
                <w:sz w:val="22"/>
                <w:szCs w:val="22"/>
                <w:lang w:eastAsia="en-GB"/>
              </w:rPr>
              <w:t>Local authority (defined as CASSR – Councils with Adult Social Care Responsibilities)</w:t>
            </w:r>
            <w:r w:rsidR="00F25E11">
              <w:rPr>
                <w:rFonts w:ascii="Arial" w:hAnsi="Arial" w:cs="Arial"/>
                <w:color w:val="000000"/>
                <w:kern w:val="24"/>
                <w:sz w:val="22"/>
                <w:szCs w:val="22"/>
                <w:lang w:eastAsia="en-GB"/>
              </w:rPr>
              <w:t>.</w:t>
            </w:r>
            <w:r w:rsidR="00C14B5D">
              <w:rPr>
                <w:rFonts w:ascii="Arial" w:hAnsi="Arial" w:cs="Arial"/>
                <w:color w:val="000000"/>
                <w:kern w:val="24"/>
                <w:sz w:val="22"/>
                <w:szCs w:val="22"/>
                <w:lang w:eastAsia="en-GB"/>
              </w:rPr>
              <w:t xml:space="preserve"> Sex and Age band (</w:t>
            </w:r>
            <w:r w:rsidR="0058063F">
              <w:rPr>
                <w:rFonts w:ascii="Arial" w:hAnsi="Arial" w:cs="Arial"/>
                <w:color w:val="000000"/>
                <w:kern w:val="24"/>
                <w:sz w:val="22"/>
                <w:szCs w:val="22"/>
                <w:lang w:eastAsia="en-GB"/>
              </w:rPr>
              <w:t>65-74, 75-84</w:t>
            </w:r>
            <w:r w:rsidR="00C14B5D">
              <w:rPr>
                <w:rFonts w:ascii="Arial" w:hAnsi="Arial" w:cs="Arial"/>
                <w:color w:val="000000"/>
                <w:kern w:val="24"/>
                <w:sz w:val="22"/>
                <w:szCs w:val="22"/>
                <w:lang w:eastAsia="en-GB"/>
              </w:rPr>
              <w:t xml:space="preserve"> and </w:t>
            </w:r>
            <w:r w:rsidR="0058063F">
              <w:rPr>
                <w:rFonts w:ascii="Arial" w:hAnsi="Arial" w:cs="Arial"/>
                <w:color w:val="000000"/>
                <w:kern w:val="24"/>
                <w:sz w:val="22"/>
                <w:szCs w:val="22"/>
                <w:lang w:eastAsia="en-GB"/>
              </w:rPr>
              <w:t xml:space="preserve">85 </w:t>
            </w:r>
            <w:r w:rsidR="00C14B5D">
              <w:rPr>
                <w:rFonts w:ascii="Arial" w:hAnsi="Arial" w:cs="Arial"/>
                <w:color w:val="000000"/>
                <w:kern w:val="24"/>
                <w:sz w:val="22"/>
                <w:szCs w:val="22"/>
                <w:lang w:eastAsia="en-GB"/>
              </w:rPr>
              <w:t>and over) breakdowns are available.</w:t>
            </w:r>
          </w:p>
          <w:p w14:paraId="5B155699" w14:textId="3CCB9EA8" w:rsidR="009F31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057F52">
              <w:rPr>
                <w:rFonts w:ascii="Arial" w:hAnsi="Arial" w:cs="Arial"/>
                <w:color w:val="000000"/>
                <w:kern w:val="24"/>
                <w:sz w:val="22"/>
                <w:szCs w:val="22"/>
                <w:lang w:eastAsia="en-GB"/>
              </w:rPr>
              <w:t>Short and Long Term S</w:t>
            </w:r>
            <w:r w:rsidR="00FD0722">
              <w:rPr>
                <w:rFonts w:ascii="Arial" w:hAnsi="Arial" w:cs="Arial"/>
                <w:color w:val="000000"/>
                <w:kern w:val="24"/>
                <w:sz w:val="22"/>
                <w:szCs w:val="22"/>
                <w:lang w:eastAsia="en-GB"/>
              </w:rPr>
              <w:t>upport</w:t>
            </w:r>
            <w:r w:rsidR="0058063F">
              <w:rPr>
                <w:rFonts w:ascii="Arial" w:hAnsi="Arial" w:cs="Arial"/>
                <w:color w:val="000000"/>
                <w:kern w:val="24"/>
                <w:sz w:val="22"/>
                <w:szCs w:val="22"/>
                <w:lang w:eastAsia="en-GB"/>
              </w:rPr>
              <w:t xml:space="preserve"> (SALT) collection</w:t>
            </w:r>
            <w:r w:rsidR="00495831">
              <w:rPr>
                <w:rFonts w:ascii="Arial" w:hAnsi="Arial" w:cs="Arial"/>
                <w:color w:val="000000"/>
                <w:kern w:val="24"/>
                <w:sz w:val="22"/>
                <w:szCs w:val="22"/>
                <w:lang w:eastAsia="en-GB"/>
              </w:rPr>
              <w:t xml:space="preserve"> (Numerator). Hospital Ep</w:t>
            </w:r>
            <w:r w:rsidR="00D6554E">
              <w:rPr>
                <w:rFonts w:ascii="Arial" w:hAnsi="Arial" w:cs="Arial"/>
                <w:color w:val="000000"/>
                <w:kern w:val="24"/>
                <w:sz w:val="22"/>
                <w:szCs w:val="22"/>
                <w:lang w:eastAsia="en-GB"/>
              </w:rPr>
              <w:t>isode Statistics (HES)</w:t>
            </w:r>
            <w:r w:rsidR="00FD0722">
              <w:rPr>
                <w:rFonts w:ascii="Arial" w:hAnsi="Arial" w:cs="Arial"/>
                <w:color w:val="000000"/>
                <w:kern w:val="24"/>
                <w:sz w:val="22"/>
                <w:szCs w:val="22"/>
                <w:lang w:eastAsia="en-GB"/>
              </w:rPr>
              <w:t xml:space="preserve"> (Denominator)</w:t>
            </w:r>
            <w:r w:rsidR="00D6554E">
              <w:rPr>
                <w:rFonts w:ascii="Arial" w:hAnsi="Arial" w:cs="Arial"/>
                <w:color w:val="000000"/>
                <w:kern w:val="24"/>
                <w:sz w:val="22"/>
                <w:szCs w:val="22"/>
                <w:lang w:eastAsia="en-GB"/>
              </w:rPr>
              <w:t>.</w:t>
            </w:r>
          </w:p>
          <w:p w14:paraId="134E4565" w14:textId="29BE49FA" w:rsidR="00A54F81" w:rsidRPr="006E1387" w:rsidRDefault="00873503" w:rsidP="00C14B5D">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00D6554E" w:rsidRPr="00D6554E">
              <w:rPr>
                <w:rFonts w:ascii="Arial" w:hAnsi="Arial" w:cs="Arial"/>
                <w:color w:val="000000"/>
                <w:kern w:val="24"/>
                <w:sz w:val="22"/>
                <w:szCs w:val="22"/>
                <w:lang w:eastAsia="en-GB"/>
              </w:rPr>
              <w:t xml:space="preserve">Current HES disclosure rules – </w:t>
            </w:r>
            <w:r w:rsidR="00D6554E">
              <w:rPr>
                <w:rFonts w:ascii="Arial" w:hAnsi="Arial" w:cs="Arial"/>
                <w:color w:val="000000"/>
                <w:kern w:val="24"/>
                <w:sz w:val="22"/>
                <w:szCs w:val="22"/>
                <w:lang w:eastAsia="en-GB"/>
              </w:rPr>
              <w:t>counts</w:t>
            </w:r>
            <w:r w:rsidR="00D6554E" w:rsidRPr="00D6554E">
              <w:rPr>
                <w:rFonts w:ascii="Arial" w:hAnsi="Arial" w:cs="Arial"/>
                <w:color w:val="000000"/>
                <w:kern w:val="24"/>
                <w:sz w:val="22"/>
                <w:szCs w:val="22"/>
                <w:lang w:eastAsia="en-GB"/>
              </w:rPr>
              <w:t xml:space="preserve"> between 1 and 7 are suppressed and values calculated from these are also suppressed.</w:t>
            </w:r>
          </w:p>
        </w:tc>
        <w:tc>
          <w:tcPr>
            <w:tcW w:w="3047" w:type="dxa"/>
          </w:tcPr>
          <w:p w14:paraId="3C3529D2" w14:textId="0B8323A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lastRenderedPageBreak/>
              <w:t>The indicator has defined components necessary to construct the indicator</w:t>
            </w:r>
            <w:r w:rsidR="00217BF3">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6164A0BB" w14:textId="3F05EB80" w:rsidR="00F656C3" w:rsidRPr="006E1387" w:rsidRDefault="00F52CF4" w:rsidP="00AF27B4">
            <w:pPr>
              <w:spacing w:before="120" w:after="120"/>
              <w:rPr>
                <w:rFonts w:ascii="Arial" w:hAnsi="Arial" w:cs="Arial"/>
                <w:sz w:val="22"/>
                <w:szCs w:val="22"/>
              </w:rPr>
            </w:pPr>
            <w:r>
              <w:rPr>
                <w:rFonts w:ascii="Arial" w:hAnsi="Arial" w:cs="Arial"/>
                <w:sz w:val="22"/>
                <w:szCs w:val="22"/>
              </w:rPr>
              <w:t>All data from long running data sources.</w:t>
            </w:r>
          </w:p>
          <w:p w14:paraId="23202A2C" w14:textId="363ECA27" w:rsidR="002B4762" w:rsidRPr="006E1387" w:rsidRDefault="002B4762" w:rsidP="002B4762">
            <w:pPr>
              <w:spacing w:before="120" w:after="120"/>
              <w:rPr>
                <w:rFonts w:ascii="Arial" w:hAnsi="Arial" w:cs="Arial"/>
                <w:sz w:val="22"/>
                <w:szCs w:val="22"/>
              </w:rPr>
            </w:pPr>
          </w:p>
        </w:tc>
        <w:tc>
          <w:tcPr>
            <w:tcW w:w="3047" w:type="dxa"/>
          </w:tcPr>
          <w:p w14:paraId="7C614BB1" w14:textId="0668E0D4" w:rsidR="00455B14" w:rsidRPr="006E1387" w:rsidRDefault="00262A3E" w:rsidP="009A1FC0">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r w:rsidR="009A1FC0">
              <w:rPr>
                <w:rFonts w:ascii="Arial" w:eastAsiaTheme="minorEastAsia" w:hAnsi="Arial" w:cs="Arial"/>
                <w:color w:val="000000" w:themeColor="dark1"/>
                <w:kern w:val="24"/>
                <w:sz w:val="22"/>
                <w:szCs w:val="22"/>
                <w:lang w:eastAsia="en-GB"/>
              </w:rPr>
              <w:t>.</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lastRenderedPageBreak/>
              <w:t>Acceptability</w:t>
            </w:r>
          </w:p>
        </w:tc>
        <w:tc>
          <w:tcPr>
            <w:tcW w:w="4092" w:type="dxa"/>
          </w:tcPr>
          <w:p w14:paraId="1CBAC61F" w14:textId="742BA5A7" w:rsidR="009A1FC0" w:rsidRDefault="002B3F5B" w:rsidP="000438E0">
            <w:pPr>
              <w:spacing w:before="120" w:after="120"/>
              <w:rPr>
                <w:rFonts w:ascii="Arial" w:hAnsi="Arial" w:cs="Arial"/>
                <w:sz w:val="22"/>
                <w:szCs w:val="22"/>
              </w:rPr>
            </w:pPr>
            <w:r>
              <w:rPr>
                <w:rFonts w:ascii="Arial" w:hAnsi="Arial" w:cs="Arial"/>
                <w:sz w:val="22"/>
                <w:szCs w:val="22"/>
              </w:rPr>
              <w:t>D</w:t>
            </w:r>
            <w:r w:rsidR="00C14B5D">
              <w:rPr>
                <w:rFonts w:ascii="Arial" w:hAnsi="Arial" w:cs="Arial"/>
                <w:sz w:val="22"/>
                <w:szCs w:val="22"/>
              </w:rPr>
              <w:t>ata allows for comparison of trends over time as well as between CASSRs.</w:t>
            </w:r>
          </w:p>
          <w:p w14:paraId="2117977B" w14:textId="218AFB98" w:rsidR="009F3187" w:rsidRPr="006E1387" w:rsidRDefault="009F3187" w:rsidP="00262A3E">
            <w:pPr>
              <w:spacing w:before="120" w:after="120"/>
              <w:rPr>
                <w:rFonts w:cs="Arial"/>
                <w:sz w:val="22"/>
                <w:szCs w:val="22"/>
              </w:rPr>
            </w:pPr>
          </w:p>
        </w:tc>
        <w:tc>
          <w:tcPr>
            <w:tcW w:w="3047" w:type="dxa"/>
          </w:tcPr>
          <w:p w14:paraId="29506238" w14:textId="2D49B6D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5FC4D2AC" w14:textId="77777777" w:rsidR="002223A6"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p w14:paraId="472E62AD" w14:textId="5DF79D3F" w:rsidR="00217BF3" w:rsidRPr="006E1387" w:rsidRDefault="00217BF3" w:rsidP="009A1FC0">
            <w:pPr>
              <w:spacing w:before="120" w:after="120"/>
              <w:rPr>
                <w:rFonts w:ascii="Arial" w:eastAsiaTheme="minorEastAsia" w:hAnsi="Arial" w:cs="Arial"/>
                <w:color w:val="000000" w:themeColor="dark1"/>
                <w:kern w:val="24"/>
                <w:sz w:val="22"/>
                <w:szCs w:val="22"/>
                <w:lang w:eastAsia="en-GB"/>
              </w:rPr>
            </w:pPr>
          </w:p>
        </w:tc>
      </w:tr>
      <w:tr w:rsidR="00041011" w:rsidRPr="006E1387" w14:paraId="515852F3" w14:textId="598C7331" w:rsidTr="009D2922">
        <w:trPr>
          <w:trHeight w:val="2836"/>
        </w:trPr>
        <w:tc>
          <w:tcPr>
            <w:tcW w:w="1878" w:type="dxa"/>
          </w:tcPr>
          <w:p w14:paraId="5DC1BD3A" w14:textId="17F33E7B" w:rsidR="00041011" w:rsidRPr="006E1387" w:rsidRDefault="00041011" w:rsidP="00041011">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43F7B156" w14:textId="0C537F4D" w:rsidR="00041011" w:rsidRDefault="00D6554E" w:rsidP="00BA30D0">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A definition change was made in 2011-12 to remove an exclusion for those who had been assessed by social care services only. No changes have been made since this period.</w:t>
            </w:r>
          </w:p>
          <w:p w14:paraId="165925AA" w14:textId="2303B3BD" w:rsidR="0057168D" w:rsidRDefault="003F52DA" w:rsidP="00186D23">
            <w:pPr>
              <w:spacing w:before="120" w:after="120"/>
              <w:rPr>
                <w:rFonts w:ascii="Arial" w:hAnsi="Arial" w:cs="Arial"/>
                <w:color w:val="000000"/>
                <w:kern w:val="24"/>
                <w:sz w:val="22"/>
                <w:szCs w:val="22"/>
                <w:lang w:eastAsia="en-GB"/>
              </w:rPr>
            </w:pPr>
            <w:r w:rsidRPr="003F52DA">
              <w:rPr>
                <w:rFonts w:ascii="Arial" w:hAnsi="Arial" w:cs="Arial"/>
                <w:color w:val="000000"/>
                <w:kern w:val="24"/>
                <w:sz w:val="22"/>
                <w:szCs w:val="22"/>
                <w:lang w:eastAsia="en-GB"/>
              </w:rPr>
              <w:t>The</w:t>
            </w:r>
            <w:r>
              <w:rPr>
                <w:rFonts w:ascii="Arial" w:hAnsi="Arial" w:cs="Arial"/>
                <w:color w:val="000000"/>
                <w:kern w:val="24"/>
                <w:sz w:val="22"/>
                <w:szCs w:val="22"/>
                <w:lang w:eastAsia="en-GB"/>
              </w:rPr>
              <w:t xml:space="preserve"> o</w:t>
            </w:r>
            <w:r w:rsidRPr="003F52DA">
              <w:rPr>
                <w:rFonts w:ascii="Arial" w:hAnsi="Arial" w:cs="Arial"/>
                <w:color w:val="000000"/>
                <w:kern w:val="24"/>
                <w:sz w:val="22"/>
                <w:szCs w:val="22"/>
                <w:lang w:eastAsia="en-GB"/>
              </w:rPr>
              <w:t xml:space="preserve">riginal appraisal log from 2012 was assured with comments in regard to a numerator/denominator mismatch which was to be clearly stated in the Quality Statement. </w:t>
            </w:r>
            <w:r w:rsidR="0057168D">
              <w:rPr>
                <w:rFonts w:ascii="Arial" w:hAnsi="Arial" w:cs="Arial"/>
                <w:color w:val="000000"/>
                <w:kern w:val="24"/>
                <w:sz w:val="22"/>
                <w:szCs w:val="22"/>
                <w:lang w:eastAsia="en-GB"/>
              </w:rPr>
              <w:t>However the appraisal log summarises four potential issues in regard to numerator/denominator selection and it is unclear to which the sign-off statement refers:</w:t>
            </w:r>
          </w:p>
          <w:p w14:paraId="1E1305E1" w14:textId="49A250CC" w:rsidR="0057168D" w:rsidRDefault="0057168D" w:rsidP="0057168D">
            <w:pPr>
              <w:pStyle w:val="ListParagraph"/>
              <w:numPr>
                <w:ilvl w:val="0"/>
                <w:numId w:val="45"/>
              </w:num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Referring to deaths being </w:t>
            </w:r>
            <w:r w:rsidR="009037F6">
              <w:rPr>
                <w:rFonts w:ascii="Arial" w:hAnsi="Arial" w:cs="Arial"/>
                <w:color w:val="000000"/>
                <w:kern w:val="24"/>
                <w:sz w:val="22"/>
                <w:szCs w:val="22"/>
                <w:lang w:eastAsia="en-GB"/>
              </w:rPr>
              <w:t>excluded from the</w:t>
            </w:r>
            <w:r>
              <w:rPr>
                <w:rFonts w:ascii="Arial" w:hAnsi="Arial" w:cs="Arial"/>
                <w:color w:val="000000"/>
                <w:kern w:val="24"/>
                <w:sz w:val="22"/>
                <w:szCs w:val="22"/>
                <w:lang w:eastAsia="en-GB"/>
              </w:rPr>
              <w:t xml:space="preserve"> denominator</w:t>
            </w:r>
            <w:r w:rsidR="009037F6">
              <w:rPr>
                <w:rFonts w:ascii="Arial" w:hAnsi="Arial" w:cs="Arial"/>
                <w:color w:val="000000"/>
                <w:kern w:val="24"/>
                <w:sz w:val="22"/>
                <w:szCs w:val="22"/>
                <w:lang w:eastAsia="en-GB"/>
              </w:rPr>
              <w:t xml:space="preserve"> for Part 1 of the indicator</w:t>
            </w:r>
          </w:p>
          <w:p w14:paraId="7B60679C" w14:textId="70A6E3FE" w:rsidR="0057168D" w:rsidRDefault="0057168D" w:rsidP="0057168D">
            <w:pPr>
              <w:pStyle w:val="ListParagraph"/>
              <w:numPr>
                <w:ilvl w:val="0"/>
                <w:numId w:val="45"/>
              </w:num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Referring to the denominator for Part 2 of the indicator being from a different source to its numerator</w:t>
            </w:r>
          </w:p>
          <w:p w14:paraId="50534333" w14:textId="1889B6D8" w:rsidR="0057168D" w:rsidRDefault="0057168D" w:rsidP="0057168D">
            <w:pPr>
              <w:pStyle w:val="ListParagraph"/>
              <w:numPr>
                <w:ilvl w:val="0"/>
                <w:numId w:val="45"/>
              </w:num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Referring to readmissions within 91 days being double counted </w:t>
            </w:r>
          </w:p>
          <w:p w14:paraId="76383902" w14:textId="0449FE83" w:rsidR="009037F6" w:rsidRPr="001D7136" w:rsidRDefault="009037F6" w:rsidP="001D7136">
            <w:pPr>
              <w:pStyle w:val="ListParagraph"/>
              <w:numPr>
                <w:ilvl w:val="0"/>
                <w:numId w:val="45"/>
              </w:num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Referring to discharges where the person cannot be traced after 91 days they are included in the denominator but not the numerator</w:t>
            </w:r>
          </w:p>
          <w:p w14:paraId="1C19AB76" w14:textId="620D25B5" w:rsidR="009037F6" w:rsidRDefault="009037F6" w:rsidP="00186D23">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A note in the </w:t>
            </w:r>
            <w:r w:rsidR="003F52DA" w:rsidRPr="003F52DA">
              <w:rPr>
                <w:rFonts w:ascii="Arial" w:hAnsi="Arial" w:cs="Arial"/>
                <w:color w:val="000000"/>
                <w:kern w:val="24"/>
                <w:sz w:val="22"/>
                <w:szCs w:val="22"/>
                <w:lang w:eastAsia="en-GB"/>
              </w:rPr>
              <w:t>NHS Outcomes Framework Quality Statement</w:t>
            </w:r>
            <w:r w:rsidR="00C94518">
              <w:rPr>
                <w:rStyle w:val="FootnoteReference"/>
                <w:rFonts w:ascii="Arial" w:hAnsi="Arial" w:cs="Arial"/>
                <w:color w:val="000000"/>
                <w:kern w:val="24"/>
                <w:sz w:val="22"/>
                <w:szCs w:val="22"/>
                <w:lang w:eastAsia="en-GB"/>
              </w:rPr>
              <w:footnoteReference w:id="4"/>
            </w:r>
            <w:r>
              <w:rPr>
                <w:rFonts w:ascii="Arial" w:hAnsi="Arial" w:cs="Arial"/>
                <w:color w:val="000000"/>
                <w:kern w:val="24"/>
                <w:sz w:val="22"/>
                <w:szCs w:val="22"/>
                <w:lang w:eastAsia="en-GB"/>
              </w:rPr>
              <w:t xml:space="preserve"> explains points 3 and 4, but not 1 or 2.</w:t>
            </w:r>
          </w:p>
          <w:p w14:paraId="6C854FEE" w14:textId="376F6AC8" w:rsidR="00C14B5D" w:rsidRPr="006E1387" w:rsidRDefault="009037F6" w:rsidP="00186D23">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Additionally,</w:t>
            </w:r>
            <w:r w:rsidR="003F52DA" w:rsidRPr="003F52DA">
              <w:rPr>
                <w:rFonts w:ascii="Arial" w:hAnsi="Arial" w:cs="Arial"/>
                <w:color w:val="000000"/>
                <w:kern w:val="24"/>
                <w:sz w:val="22"/>
                <w:szCs w:val="22"/>
                <w:lang w:eastAsia="en-GB"/>
              </w:rPr>
              <w:t xml:space="preserve"> as of February 2021 this indicator is now only published in the Adult Social Care Outcomes Framework </w:t>
            </w:r>
            <w:r w:rsidR="003C6C38" w:rsidRPr="003C6C38">
              <w:rPr>
                <w:rFonts w:ascii="Arial" w:hAnsi="Arial" w:cs="Arial"/>
                <w:color w:val="000000"/>
                <w:kern w:val="24"/>
                <w:sz w:val="22"/>
                <w:szCs w:val="22"/>
                <w:lang w:eastAsia="en-GB"/>
              </w:rPr>
              <w:t xml:space="preserve">which does not include quality statements, so </w:t>
            </w:r>
            <w:r w:rsidR="003C6C38">
              <w:rPr>
                <w:rFonts w:ascii="Arial" w:hAnsi="Arial" w:cs="Arial"/>
                <w:color w:val="000000"/>
                <w:kern w:val="24"/>
                <w:sz w:val="22"/>
                <w:szCs w:val="22"/>
                <w:lang w:eastAsia="en-GB"/>
              </w:rPr>
              <w:t xml:space="preserve">the link </w:t>
            </w:r>
            <w:r w:rsidR="003C6C38" w:rsidRPr="003C6C38">
              <w:rPr>
                <w:rFonts w:ascii="Arial" w:hAnsi="Arial" w:cs="Arial"/>
                <w:color w:val="000000"/>
                <w:kern w:val="24"/>
                <w:sz w:val="22"/>
                <w:szCs w:val="22"/>
                <w:lang w:eastAsia="en-GB"/>
              </w:rPr>
              <w:t xml:space="preserve">with the </w:t>
            </w:r>
            <w:r w:rsidR="003C6C38" w:rsidRPr="003C6C38">
              <w:rPr>
                <w:rFonts w:ascii="Arial" w:hAnsi="Arial" w:cs="Arial"/>
                <w:color w:val="000000"/>
                <w:kern w:val="24"/>
                <w:sz w:val="22"/>
                <w:szCs w:val="22"/>
                <w:lang w:eastAsia="en-GB"/>
              </w:rPr>
              <w:lastRenderedPageBreak/>
              <w:t>NHSOF Quality Statement has been broken</w:t>
            </w:r>
            <w:r w:rsidR="003F52DA" w:rsidRPr="003F52DA">
              <w:rPr>
                <w:rFonts w:ascii="Arial" w:hAnsi="Arial" w:cs="Arial"/>
                <w:color w:val="000000"/>
                <w:kern w:val="24"/>
                <w:sz w:val="22"/>
                <w:szCs w:val="22"/>
                <w:lang w:eastAsia="en-GB"/>
              </w:rPr>
              <w:t>.</w:t>
            </w:r>
          </w:p>
        </w:tc>
        <w:tc>
          <w:tcPr>
            <w:tcW w:w="3047" w:type="dxa"/>
          </w:tcPr>
          <w:p w14:paraId="7C2C11AA" w14:textId="4860558B" w:rsidR="00041011" w:rsidRPr="006E1387" w:rsidRDefault="006C544E" w:rsidP="00EC7278">
            <w:pPr>
              <w:pStyle w:val="NICEnormal"/>
              <w:spacing w:before="120" w:after="120" w:line="240" w:lineRule="auto"/>
              <w:rPr>
                <w:rFonts w:cs="Arial"/>
                <w:color w:val="000000"/>
                <w:kern w:val="24"/>
                <w:sz w:val="22"/>
                <w:szCs w:val="22"/>
                <w:lang w:eastAsia="en-GB"/>
              </w:rPr>
            </w:pPr>
            <w:r>
              <w:rPr>
                <w:rFonts w:eastAsiaTheme="minorEastAsia" w:cs="Arial"/>
                <w:color w:val="000000" w:themeColor="dark1"/>
                <w:kern w:val="24"/>
                <w:sz w:val="22"/>
                <w:szCs w:val="22"/>
              </w:rPr>
              <w:lastRenderedPageBreak/>
              <w:t xml:space="preserve">No new risks identified, however </w:t>
            </w:r>
            <w:r w:rsidR="008B28FE">
              <w:rPr>
                <w:rFonts w:eastAsiaTheme="minorEastAsia" w:cs="Arial"/>
                <w:color w:val="000000" w:themeColor="dark1"/>
                <w:kern w:val="24"/>
                <w:sz w:val="22"/>
                <w:szCs w:val="22"/>
              </w:rPr>
              <w:t>notes on a numerator/denominator mismatch raised on original appraisal</w:t>
            </w:r>
            <w:r w:rsidR="004F0682">
              <w:rPr>
                <w:rFonts w:eastAsiaTheme="minorEastAsia" w:cs="Arial"/>
                <w:color w:val="000000" w:themeColor="dark1"/>
                <w:kern w:val="24"/>
                <w:sz w:val="22"/>
                <w:szCs w:val="22"/>
              </w:rPr>
              <w:t xml:space="preserve"> (and “</w:t>
            </w:r>
            <w:r w:rsidR="0057168D">
              <w:rPr>
                <w:rFonts w:eastAsiaTheme="minorEastAsia" w:cs="Arial"/>
                <w:color w:val="000000" w:themeColor="dark1"/>
                <w:kern w:val="24"/>
                <w:sz w:val="22"/>
                <w:szCs w:val="22"/>
              </w:rPr>
              <w:t xml:space="preserve">assured </w:t>
            </w:r>
            <w:r w:rsidR="004F0682">
              <w:rPr>
                <w:rFonts w:eastAsiaTheme="minorEastAsia" w:cs="Arial"/>
                <w:color w:val="000000" w:themeColor="dark1"/>
                <w:kern w:val="24"/>
                <w:sz w:val="22"/>
                <w:szCs w:val="22"/>
              </w:rPr>
              <w:t>with comments”)</w:t>
            </w:r>
            <w:r w:rsidR="008B28FE">
              <w:rPr>
                <w:rFonts w:eastAsiaTheme="minorEastAsia" w:cs="Arial"/>
                <w:color w:val="000000" w:themeColor="dark1"/>
                <w:kern w:val="24"/>
                <w:sz w:val="22"/>
                <w:szCs w:val="22"/>
              </w:rPr>
              <w:t xml:space="preserve"> still apply.</w:t>
            </w:r>
          </w:p>
        </w:tc>
      </w:tr>
    </w:tbl>
    <w:p w14:paraId="37D9A2F5" w14:textId="084C27AB" w:rsidR="004A517E" w:rsidRDefault="004A517E">
      <w:pPr>
        <w:rPr>
          <w:rFonts w:ascii="Arial" w:hAnsi="Arial"/>
          <w:lang w:val="en-US"/>
        </w:rPr>
      </w:pPr>
    </w:p>
    <w:p w14:paraId="55E62290" w14:textId="5198174D" w:rsidR="00937DDA" w:rsidRDefault="00937DDA" w:rsidP="00937DDA">
      <w:pPr>
        <w:pStyle w:val="Paragraphnonumbers"/>
      </w:pPr>
      <w:r w:rsidRPr="00B12039">
        <w:rPr>
          <w:b/>
        </w:rPr>
        <w:t>Summary:</w:t>
      </w:r>
      <w:r>
        <w:t xml:space="preserve"> </w:t>
      </w:r>
      <w:r w:rsidR="00C67C7F">
        <w:t>Indicator to be renewed.</w:t>
      </w:r>
    </w:p>
    <w:p w14:paraId="4D0338E2" w14:textId="77777777" w:rsidR="003028AA" w:rsidRDefault="003028AA" w:rsidP="003028AA">
      <w:pPr>
        <w:pStyle w:val="Paragraphnonumbers"/>
        <w:rPr>
          <w:b/>
        </w:rPr>
      </w:pPr>
      <w:r>
        <w:rPr>
          <w:b/>
        </w:rPr>
        <w:t xml:space="preserve">NHS Digital Indicator reference: </w:t>
      </w:r>
    </w:p>
    <w:p w14:paraId="0FAA0707" w14:textId="284DD420" w:rsidR="003028AA" w:rsidRDefault="003028AA" w:rsidP="003028AA">
      <w:pPr>
        <w:pStyle w:val="Paragraphnonumbers"/>
      </w:pPr>
      <w:r>
        <w:t xml:space="preserve">NHS Outcomes Framework </w:t>
      </w:r>
      <w:r w:rsidR="00847209">
        <w:t>–</w:t>
      </w:r>
      <w:r>
        <w:t xml:space="preserve"> </w:t>
      </w:r>
      <w:r w:rsidR="00847209">
        <w:t xml:space="preserve">3.6i </w:t>
      </w:r>
      <w:r w:rsidR="00847209" w:rsidRPr="00847209">
        <w:t>Proportion of older people (65 and over) who were still at home 91 days after discharge from hospital into reablement/rehabilitation services</w:t>
      </w:r>
    </w:p>
    <w:p w14:paraId="123085F8" w14:textId="03885DE4" w:rsidR="00D73835" w:rsidRDefault="00847209" w:rsidP="003028AA">
      <w:pPr>
        <w:pStyle w:val="Paragraphnonumbers"/>
      </w:pPr>
      <w:r>
        <w:t xml:space="preserve">NHS Outcomes Framework – 3.6ii </w:t>
      </w:r>
      <w:r w:rsidRPr="00847209">
        <w:t>Proportion of older people (65 and over) who were offered rehabilitation following discharge from acute or community hospital</w:t>
      </w: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261C4" w14:textId="77777777" w:rsidR="00CB27F4" w:rsidRDefault="00CB27F4" w:rsidP="00847209">
    <w:pPr>
      <w:pStyle w:val="Footer"/>
    </w:pPr>
  </w:p>
  <w:p w14:paraId="1446E0C2" w14:textId="5F77923F" w:rsidR="00CB27F4" w:rsidRDefault="00847209" w:rsidP="00847209">
    <w:pPr>
      <w:pStyle w:val="Footer"/>
    </w:pPr>
    <w:r>
      <w:t xml:space="preserve">IAP00139 </w:t>
    </w:r>
    <w:r w:rsidRPr="00847209">
      <w:t>Proportion of older people (65 and over) who were still at home 91 days after discharge from hospital into reablement/rehabilitation services</w:t>
    </w:r>
    <w:r w:rsidR="009B0E59">
      <w:t xml:space="preserve">: Validity assessment </w:t>
    </w:r>
    <w:r w:rsidR="00CB27F4">
      <w:t>September 2021</w:t>
    </w:r>
  </w:p>
  <w:p w14:paraId="0042B07A" w14:textId="6DB6AE3A" w:rsidR="00BB14CA" w:rsidRPr="008C1C95" w:rsidRDefault="00BB14CA" w:rsidP="00CB27F4">
    <w:pPr>
      <w:pStyle w:val="Footer"/>
      <w:jc w:val="right"/>
    </w:pPr>
    <w:r>
      <w:fldChar w:fldCharType="begin"/>
    </w:r>
    <w:r>
      <w:instrText xml:space="preserve"> PAGE </w:instrText>
    </w:r>
    <w:r>
      <w:fldChar w:fldCharType="separate"/>
    </w:r>
    <w:r w:rsidR="003C6C38">
      <w:rPr>
        <w:noProof/>
      </w:rPr>
      <w:t>4</w:t>
    </w:r>
    <w:r>
      <w:fldChar w:fldCharType="end"/>
    </w:r>
    <w:r>
      <w:t xml:space="preserve"> of </w:t>
    </w:r>
    <w:r>
      <w:rPr>
        <w:noProof/>
      </w:rPr>
      <w:fldChar w:fldCharType="begin"/>
    </w:r>
    <w:r>
      <w:rPr>
        <w:noProof/>
      </w:rPr>
      <w:instrText xml:space="preserve"> NUMPAGES  </w:instrText>
    </w:r>
    <w:r>
      <w:rPr>
        <w:noProof/>
      </w:rPr>
      <w:fldChar w:fldCharType="separate"/>
    </w:r>
    <w:r w:rsidR="003C6C38">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5F61A400" w14:textId="25349AD1" w:rsidR="00A30415" w:rsidRDefault="00A30415">
      <w:pPr>
        <w:pStyle w:val="FootnoteText"/>
      </w:pPr>
      <w:r>
        <w:rPr>
          <w:rStyle w:val="FootnoteReference"/>
        </w:rPr>
        <w:footnoteRef/>
      </w:r>
      <w:r>
        <w:t xml:space="preserve"> Adult social care outcomes framework 2018/19: handbook of definitions </w:t>
      </w:r>
      <w:hyperlink r:id="rId1" w:history="1">
        <w:r w:rsidRPr="0021671B">
          <w:rPr>
            <w:rStyle w:val="Hyperlink"/>
          </w:rPr>
          <w:t>https://www.gov.uk/government/publications/adult-social-care-outcomes-framework-handbook-of-definitions</w:t>
        </w:r>
      </w:hyperlink>
      <w:r>
        <w:t xml:space="preserve"> </w:t>
      </w:r>
    </w:p>
  </w:footnote>
  <w:footnote w:id="2">
    <w:p w14:paraId="7A220D97" w14:textId="07CF4309" w:rsidR="00D6554E" w:rsidRDefault="00D6554E">
      <w:pPr>
        <w:pStyle w:val="FootnoteText"/>
      </w:pPr>
      <w:r>
        <w:rPr>
          <w:rStyle w:val="FootnoteReference"/>
        </w:rPr>
        <w:footnoteRef/>
      </w:r>
      <w:r>
        <w:t xml:space="preserve"> </w:t>
      </w:r>
      <w:r w:rsidRPr="00D6554E">
        <w:t>Intermediate care including reablement</w:t>
      </w:r>
      <w:r w:rsidR="009B09AD">
        <w:t xml:space="preserve">, Published 22 September 2017, </w:t>
      </w:r>
      <w:hyperlink r:id="rId2" w:history="1">
        <w:r w:rsidR="009B09AD" w:rsidRPr="00A47F89">
          <w:rPr>
            <w:rStyle w:val="Hyperlink"/>
          </w:rPr>
          <w:t>https://www.nice.org.uk/guidance/ng74</w:t>
        </w:r>
      </w:hyperlink>
      <w:r w:rsidR="009B09AD">
        <w:t xml:space="preserve"> </w:t>
      </w:r>
    </w:p>
  </w:footnote>
  <w:footnote w:id="3">
    <w:p w14:paraId="2C63FB57" w14:textId="4C497119" w:rsidR="005F3CD1" w:rsidRDefault="005F3CD1">
      <w:pPr>
        <w:pStyle w:val="FootnoteText"/>
      </w:pPr>
      <w:r>
        <w:rPr>
          <w:rStyle w:val="FootnoteReference"/>
        </w:rPr>
        <w:footnoteRef/>
      </w:r>
      <w:r>
        <w:t xml:space="preserve"> </w:t>
      </w:r>
      <w:r w:rsidR="00C14B5D" w:rsidRPr="00C14B5D">
        <w:t>People's experience in adult social care services: improving the experience of care and support for people using adult social care services</w:t>
      </w:r>
      <w:r w:rsidR="00BA174E">
        <w:t xml:space="preserve">, Published 20 February 2018, </w:t>
      </w:r>
      <w:hyperlink r:id="rId3" w:history="1">
        <w:r w:rsidR="00BA174E" w:rsidRPr="00566899">
          <w:rPr>
            <w:rStyle w:val="Hyperlink"/>
          </w:rPr>
          <w:t>https://www.nice.org.uk/guidance/ng86</w:t>
        </w:r>
      </w:hyperlink>
      <w:r w:rsidR="00BA174E">
        <w:t xml:space="preserve"> </w:t>
      </w:r>
    </w:p>
  </w:footnote>
  <w:footnote w:id="4">
    <w:p w14:paraId="5C71C1C6" w14:textId="7B4D1F6B" w:rsidR="00C94518" w:rsidRDefault="00C94518">
      <w:pPr>
        <w:pStyle w:val="FootnoteText"/>
      </w:pPr>
      <w:r>
        <w:rPr>
          <w:rStyle w:val="FootnoteReference"/>
        </w:rPr>
        <w:footnoteRef/>
      </w:r>
      <w:r>
        <w:t xml:space="preserve"> NHS Digital. NHS outcomes framework, Indicator Quality Statement, Domain 3,</w:t>
      </w:r>
      <w:r w:rsidRPr="00186D23">
        <w:t xml:space="preserve"> 3.6.i Proportion of older people (65 and over) who were still at home 91 days after discharge from hospital into reablement / rehabilitation service</w:t>
      </w:r>
      <w:r>
        <w:t>. Version 2.4, February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65745CA"/>
    <w:multiLevelType w:val="hybridMultilevel"/>
    <w:tmpl w:val="7CCE5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E120987"/>
    <w:multiLevelType w:val="hybridMultilevel"/>
    <w:tmpl w:val="4142C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09E7517"/>
    <w:multiLevelType w:val="hybridMultilevel"/>
    <w:tmpl w:val="A1C48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D44419"/>
    <w:multiLevelType w:val="hybridMultilevel"/>
    <w:tmpl w:val="7B4EE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FAD4100"/>
    <w:multiLevelType w:val="hybridMultilevel"/>
    <w:tmpl w:val="A6766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6"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12"/>
  </w:num>
  <w:num w:numId="3">
    <w:abstractNumId w:val="30"/>
  </w:num>
  <w:num w:numId="4">
    <w:abstractNumId w:val="13"/>
  </w:num>
  <w:num w:numId="5">
    <w:abstractNumId w:val="26"/>
  </w:num>
  <w:num w:numId="6">
    <w:abstractNumId w:val="1"/>
  </w:num>
  <w:num w:numId="7">
    <w:abstractNumId w:val="11"/>
  </w:num>
  <w:num w:numId="8">
    <w:abstractNumId w:val="24"/>
  </w:num>
  <w:num w:numId="9">
    <w:abstractNumId w:val="25"/>
  </w:num>
  <w:num w:numId="10">
    <w:abstractNumId w:val="5"/>
  </w:num>
  <w:num w:numId="11">
    <w:abstractNumId w:val="8"/>
  </w:num>
  <w:num w:numId="12">
    <w:abstractNumId w:val="3"/>
  </w:num>
  <w:num w:numId="13">
    <w:abstractNumId w:val="35"/>
  </w:num>
  <w:num w:numId="14">
    <w:abstractNumId w:val="15"/>
  </w:num>
  <w:num w:numId="15">
    <w:abstractNumId w:val="10"/>
  </w:num>
  <w:num w:numId="16">
    <w:abstractNumId w:val="20"/>
  </w:num>
  <w:num w:numId="17">
    <w:abstractNumId w:val="17"/>
  </w:num>
  <w:num w:numId="18">
    <w:abstractNumId w:val="22"/>
  </w:num>
  <w:num w:numId="19">
    <w:abstractNumId w:val="28"/>
  </w:num>
  <w:num w:numId="20">
    <w:abstractNumId w:val="7"/>
  </w:num>
  <w:num w:numId="21">
    <w:abstractNumId w:val="32"/>
  </w:num>
  <w:num w:numId="22">
    <w:abstractNumId w:val="0"/>
  </w:num>
  <w:num w:numId="23">
    <w:abstractNumId w:val="4"/>
  </w:num>
  <w:num w:numId="24">
    <w:abstractNumId w:val="29"/>
  </w:num>
  <w:num w:numId="25">
    <w:abstractNumId w:val="19"/>
  </w:num>
  <w:num w:numId="26">
    <w:abstractNumId w:val="1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5"/>
  </w:num>
  <w:num w:numId="30">
    <w:abstractNumId w:val="14"/>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34"/>
  </w:num>
  <w:num w:numId="39">
    <w:abstractNumId w:val="21"/>
  </w:num>
  <w:num w:numId="40">
    <w:abstractNumId w:val="2"/>
  </w:num>
  <w:num w:numId="41">
    <w:abstractNumId w:val="33"/>
  </w:num>
  <w:num w:numId="42">
    <w:abstractNumId w:val="27"/>
  </w:num>
  <w:num w:numId="43">
    <w:abstractNumId w:val="6"/>
  </w:num>
  <w:num w:numId="44">
    <w:abstractNumId w:val="31"/>
  </w:num>
  <w:num w:numId="45">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7FA"/>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4649"/>
    <w:rsid w:val="00035D96"/>
    <w:rsid w:val="00036EE4"/>
    <w:rsid w:val="00037552"/>
    <w:rsid w:val="00041011"/>
    <w:rsid w:val="000414CD"/>
    <w:rsid w:val="0004386A"/>
    <w:rsid w:val="000438E0"/>
    <w:rsid w:val="000453F8"/>
    <w:rsid w:val="00050710"/>
    <w:rsid w:val="000523A6"/>
    <w:rsid w:val="000524FA"/>
    <w:rsid w:val="00052A67"/>
    <w:rsid w:val="00052B85"/>
    <w:rsid w:val="00053145"/>
    <w:rsid w:val="00056013"/>
    <w:rsid w:val="00057A05"/>
    <w:rsid w:val="00057F52"/>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24A0"/>
    <w:rsid w:val="000E4899"/>
    <w:rsid w:val="000E7E3C"/>
    <w:rsid w:val="000F3B49"/>
    <w:rsid w:val="000F6502"/>
    <w:rsid w:val="001043B0"/>
    <w:rsid w:val="001066B8"/>
    <w:rsid w:val="00110A94"/>
    <w:rsid w:val="00110AD8"/>
    <w:rsid w:val="00112FAE"/>
    <w:rsid w:val="001131E2"/>
    <w:rsid w:val="001134E7"/>
    <w:rsid w:val="00120867"/>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5D3C"/>
    <w:rsid w:val="001503E8"/>
    <w:rsid w:val="00154516"/>
    <w:rsid w:val="00155A83"/>
    <w:rsid w:val="00156264"/>
    <w:rsid w:val="00156529"/>
    <w:rsid w:val="001579DA"/>
    <w:rsid w:val="00161404"/>
    <w:rsid w:val="00161EBC"/>
    <w:rsid w:val="001635AE"/>
    <w:rsid w:val="00165770"/>
    <w:rsid w:val="00165B01"/>
    <w:rsid w:val="00166C1A"/>
    <w:rsid w:val="0017169E"/>
    <w:rsid w:val="00173568"/>
    <w:rsid w:val="0017396B"/>
    <w:rsid w:val="00175BE8"/>
    <w:rsid w:val="00175F5D"/>
    <w:rsid w:val="00176899"/>
    <w:rsid w:val="00177200"/>
    <w:rsid w:val="001773DC"/>
    <w:rsid w:val="001779E5"/>
    <w:rsid w:val="00182263"/>
    <w:rsid w:val="0018281C"/>
    <w:rsid w:val="00185F6B"/>
    <w:rsid w:val="00186D23"/>
    <w:rsid w:val="00187570"/>
    <w:rsid w:val="00192188"/>
    <w:rsid w:val="00192B09"/>
    <w:rsid w:val="001936A7"/>
    <w:rsid w:val="00193D4B"/>
    <w:rsid w:val="00194E6C"/>
    <w:rsid w:val="0019550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D713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7BF3"/>
    <w:rsid w:val="00220661"/>
    <w:rsid w:val="00220702"/>
    <w:rsid w:val="002213B0"/>
    <w:rsid w:val="0022189B"/>
    <w:rsid w:val="002223A6"/>
    <w:rsid w:val="002229AD"/>
    <w:rsid w:val="00224AEE"/>
    <w:rsid w:val="00225FF4"/>
    <w:rsid w:val="00230A13"/>
    <w:rsid w:val="002331C6"/>
    <w:rsid w:val="002363B6"/>
    <w:rsid w:val="00236B76"/>
    <w:rsid w:val="002408EA"/>
    <w:rsid w:val="00241410"/>
    <w:rsid w:val="002549B2"/>
    <w:rsid w:val="002563DF"/>
    <w:rsid w:val="0026014A"/>
    <w:rsid w:val="0026108E"/>
    <w:rsid w:val="002614ED"/>
    <w:rsid w:val="00261B7D"/>
    <w:rsid w:val="00262A3E"/>
    <w:rsid w:val="00265142"/>
    <w:rsid w:val="00266AA6"/>
    <w:rsid w:val="00266B50"/>
    <w:rsid w:val="00270605"/>
    <w:rsid w:val="00271804"/>
    <w:rsid w:val="00271857"/>
    <w:rsid w:val="00276AC9"/>
    <w:rsid w:val="00277ED2"/>
    <w:rsid w:val="00280F8A"/>
    <w:rsid w:val="00284539"/>
    <w:rsid w:val="00284F52"/>
    <w:rsid w:val="00286537"/>
    <w:rsid w:val="00286C3A"/>
    <w:rsid w:val="00287467"/>
    <w:rsid w:val="00291A5B"/>
    <w:rsid w:val="00292B2C"/>
    <w:rsid w:val="0029330E"/>
    <w:rsid w:val="00296E2E"/>
    <w:rsid w:val="002A23A7"/>
    <w:rsid w:val="002A24C9"/>
    <w:rsid w:val="002A5503"/>
    <w:rsid w:val="002A6812"/>
    <w:rsid w:val="002A7339"/>
    <w:rsid w:val="002A7A24"/>
    <w:rsid w:val="002B3F5B"/>
    <w:rsid w:val="002B4762"/>
    <w:rsid w:val="002B565A"/>
    <w:rsid w:val="002B71D2"/>
    <w:rsid w:val="002C0DA9"/>
    <w:rsid w:val="002C1A7E"/>
    <w:rsid w:val="002C2893"/>
    <w:rsid w:val="002C292E"/>
    <w:rsid w:val="002C3718"/>
    <w:rsid w:val="002C4126"/>
    <w:rsid w:val="002C5955"/>
    <w:rsid w:val="002C5BFD"/>
    <w:rsid w:val="002C6739"/>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28AA"/>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26846"/>
    <w:rsid w:val="00330EED"/>
    <w:rsid w:val="00331B26"/>
    <w:rsid w:val="00331BDD"/>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5E5F"/>
    <w:rsid w:val="00376C2A"/>
    <w:rsid w:val="00377277"/>
    <w:rsid w:val="00377304"/>
    <w:rsid w:val="00381BEA"/>
    <w:rsid w:val="00381FB7"/>
    <w:rsid w:val="00382495"/>
    <w:rsid w:val="00383115"/>
    <w:rsid w:val="00384141"/>
    <w:rsid w:val="003856AA"/>
    <w:rsid w:val="00386007"/>
    <w:rsid w:val="003861AC"/>
    <w:rsid w:val="003862A5"/>
    <w:rsid w:val="00390249"/>
    <w:rsid w:val="00391F56"/>
    <w:rsid w:val="003953C7"/>
    <w:rsid w:val="00395ED8"/>
    <w:rsid w:val="003A03DC"/>
    <w:rsid w:val="003A1975"/>
    <w:rsid w:val="003A1DE1"/>
    <w:rsid w:val="003A39A0"/>
    <w:rsid w:val="003A3E2A"/>
    <w:rsid w:val="003A4CBB"/>
    <w:rsid w:val="003B0286"/>
    <w:rsid w:val="003B091A"/>
    <w:rsid w:val="003B0C0D"/>
    <w:rsid w:val="003B1C33"/>
    <w:rsid w:val="003B254D"/>
    <w:rsid w:val="003B298F"/>
    <w:rsid w:val="003B69AA"/>
    <w:rsid w:val="003C1C18"/>
    <w:rsid w:val="003C3023"/>
    <w:rsid w:val="003C39D1"/>
    <w:rsid w:val="003C6C38"/>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2DA"/>
    <w:rsid w:val="003F540E"/>
    <w:rsid w:val="003F694A"/>
    <w:rsid w:val="003F7CE6"/>
    <w:rsid w:val="003F7D78"/>
    <w:rsid w:val="00402BFB"/>
    <w:rsid w:val="00403AD5"/>
    <w:rsid w:val="00405B03"/>
    <w:rsid w:val="00405FDF"/>
    <w:rsid w:val="004068EA"/>
    <w:rsid w:val="004075B6"/>
    <w:rsid w:val="00407F14"/>
    <w:rsid w:val="00410E4D"/>
    <w:rsid w:val="00411C38"/>
    <w:rsid w:val="0041238E"/>
    <w:rsid w:val="004150FB"/>
    <w:rsid w:val="00416EA1"/>
    <w:rsid w:val="00420952"/>
    <w:rsid w:val="00422E2D"/>
    <w:rsid w:val="00423C0E"/>
    <w:rsid w:val="00423DB4"/>
    <w:rsid w:val="0042425C"/>
    <w:rsid w:val="004247FB"/>
    <w:rsid w:val="004271A0"/>
    <w:rsid w:val="0042742A"/>
    <w:rsid w:val="004306C0"/>
    <w:rsid w:val="00431F8B"/>
    <w:rsid w:val="00433F81"/>
    <w:rsid w:val="00440CCA"/>
    <w:rsid w:val="00442D76"/>
    <w:rsid w:val="004440AF"/>
    <w:rsid w:val="00446BEE"/>
    <w:rsid w:val="00450E6D"/>
    <w:rsid w:val="004518F7"/>
    <w:rsid w:val="0045334C"/>
    <w:rsid w:val="004539A8"/>
    <w:rsid w:val="004539D9"/>
    <w:rsid w:val="00455B14"/>
    <w:rsid w:val="00456B1D"/>
    <w:rsid w:val="004615CD"/>
    <w:rsid w:val="00461C01"/>
    <w:rsid w:val="00462AFA"/>
    <w:rsid w:val="0046325E"/>
    <w:rsid w:val="004636CC"/>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5831"/>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6448"/>
    <w:rsid w:val="004D756F"/>
    <w:rsid w:val="004E0E78"/>
    <w:rsid w:val="004E3AA0"/>
    <w:rsid w:val="004E4C4B"/>
    <w:rsid w:val="004E54B6"/>
    <w:rsid w:val="004F0682"/>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1D6D"/>
    <w:rsid w:val="00523BB4"/>
    <w:rsid w:val="005243EC"/>
    <w:rsid w:val="005245EF"/>
    <w:rsid w:val="005249CF"/>
    <w:rsid w:val="00525DD1"/>
    <w:rsid w:val="00527A29"/>
    <w:rsid w:val="005343E1"/>
    <w:rsid w:val="005353CB"/>
    <w:rsid w:val="00535CCD"/>
    <w:rsid w:val="00545970"/>
    <w:rsid w:val="00550783"/>
    <w:rsid w:val="005508EE"/>
    <w:rsid w:val="005533F8"/>
    <w:rsid w:val="005536FB"/>
    <w:rsid w:val="00555CC8"/>
    <w:rsid w:val="00556B58"/>
    <w:rsid w:val="005577FA"/>
    <w:rsid w:val="00561A27"/>
    <w:rsid w:val="0056425E"/>
    <w:rsid w:val="00565745"/>
    <w:rsid w:val="00566CCC"/>
    <w:rsid w:val="00566FFF"/>
    <w:rsid w:val="0056705D"/>
    <w:rsid w:val="00571370"/>
    <w:rsid w:val="0057168D"/>
    <w:rsid w:val="00575207"/>
    <w:rsid w:val="00577C83"/>
    <w:rsid w:val="0058063F"/>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20E"/>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2905"/>
    <w:rsid w:val="005F3926"/>
    <w:rsid w:val="005F3989"/>
    <w:rsid w:val="005F3C5C"/>
    <w:rsid w:val="005F3CD1"/>
    <w:rsid w:val="005F5AFD"/>
    <w:rsid w:val="005F6BB8"/>
    <w:rsid w:val="005F6F0A"/>
    <w:rsid w:val="005F7681"/>
    <w:rsid w:val="00601291"/>
    <w:rsid w:val="0060351B"/>
    <w:rsid w:val="00605E9C"/>
    <w:rsid w:val="00607959"/>
    <w:rsid w:val="006100D7"/>
    <w:rsid w:val="0061221F"/>
    <w:rsid w:val="00614078"/>
    <w:rsid w:val="006150A0"/>
    <w:rsid w:val="0061798B"/>
    <w:rsid w:val="0062228B"/>
    <w:rsid w:val="00624430"/>
    <w:rsid w:val="00625AEE"/>
    <w:rsid w:val="0062642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C544E"/>
    <w:rsid w:val="006C7802"/>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E7E62"/>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209"/>
    <w:rsid w:val="00847D3A"/>
    <w:rsid w:val="00853218"/>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28FE"/>
    <w:rsid w:val="008B4B98"/>
    <w:rsid w:val="008C183F"/>
    <w:rsid w:val="008C1C95"/>
    <w:rsid w:val="008C3D9F"/>
    <w:rsid w:val="008C4122"/>
    <w:rsid w:val="008C4BD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2BED"/>
    <w:rsid w:val="009037F6"/>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DDA"/>
    <w:rsid w:val="00937E8B"/>
    <w:rsid w:val="00944C93"/>
    <w:rsid w:val="009460E7"/>
    <w:rsid w:val="00947483"/>
    <w:rsid w:val="00947FDB"/>
    <w:rsid w:val="00952219"/>
    <w:rsid w:val="009535CF"/>
    <w:rsid w:val="009539B0"/>
    <w:rsid w:val="00953F4A"/>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1E7A"/>
    <w:rsid w:val="009A1FC0"/>
    <w:rsid w:val="009A23F7"/>
    <w:rsid w:val="009A2B2A"/>
    <w:rsid w:val="009A38DA"/>
    <w:rsid w:val="009A3F7F"/>
    <w:rsid w:val="009A4775"/>
    <w:rsid w:val="009A75C4"/>
    <w:rsid w:val="009B0897"/>
    <w:rsid w:val="009B09AD"/>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2922"/>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17F9B"/>
    <w:rsid w:val="00A240EE"/>
    <w:rsid w:val="00A25B7F"/>
    <w:rsid w:val="00A264CE"/>
    <w:rsid w:val="00A30415"/>
    <w:rsid w:val="00A3050E"/>
    <w:rsid w:val="00A305B3"/>
    <w:rsid w:val="00A32C40"/>
    <w:rsid w:val="00A3325A"/>
    <w:rsid w:val="00A40427"/>
    <w:rsid w:val="00A4094A"/>
    <w:rsid w:val="00A426B6"/>
    <w:rsid w:val="00A426B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560"/>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5610"/>
    <w:rsid w:val="00B06D4E"/>
    <w:rsid w:val="00B119ED"/>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174E"/>
    <w:rsid w:val="00BA30D0"/>
    <w:rsid w:val="00BA31F9"/>
    <w:rsid w:val="00BA3317"/>
    <w:rsid w:val="00BA3FDA"/>
    <w:rsid w:val="00BA4313"/>
    <w:rsid w:val="00BA4784"/>
    <w:rsid w:val="00BA478F"/>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066A3"/>
    <w:rsid w:val="00C130C8"/>
    <w:rsid w:val="00C13168"/>
    <w:rsid w:val="00C13F60"/>
    <w:rsid w:val="00C14404"/>
    <w:rsid w:val="00C14B5D"/>
    <w:rsid w:val="00C17D6A"/>
    <w:rsid w:val="00C203C9"/>
    <w:rsid w:val="00C21776"/>
    <w:rsid w:val="00C22E43"/>
    <w:rsid w:val="00C23238"/>
    <w:rsid w:val="00C235DF"/>
    <w:rsid w:val="00C2539E"/>
    <w:rsid w:val="00C278DE"/>
    <w:rsid w:val="00C2796B"/>
    <w:rsid w:val="00C3004B"/>
    <w:rsid w:val="00C31F4C"/>
    <w:rsid w:val="00C3209A"/>
    <w:rsid w:val="00C32ADC"/>
    <w:rsid w:val="00C35755"/>
    <w:rsid w:val="00C41156"/>
    <w:rsid w:val="00C42E13"/>
    <w:rsid w:val="00C4427F"/>
    <w:rsid w:val="00C47DDE"/>
    <w:rsid w:val="00C50912"/>
    <w:rsid w:val="00C50FF0"/>
    <w:rsid w:val="00C56073"/>
    <w:rsid w:val="00C578C1"/>
    <w:rsid w:val="00C57E04"/>
    <w:rsid w:val="00C63347"/>
    <w:rsid w:val="00C64D23"/>
    <w:rsid w:val="00C67B74"/>
    <w:rsid w:val="00C67C7F"/>
    <w:rsid w:val="00C7123A"/>
    <w:rsid w:val="00C7128F"/>
    <w:rsid w:val="00C71666"/>
    <w:rsid w:val="00C7331B"/>
    <w:rsid w:val="00C74667"/>
    <w:rsid w:val="00C74D07"/>
    <w:rsid w:val="00C803FD"/>
    <w:rsid w:val="00C80EB4"/>
    <w:rsid w:val="00C8156F"/>
    <w:rsid w:val="00C86682"/>
    <w:rsid w:val="00C90846"/>
    <w:rsid w:val="00C92700"/>
    <w:rsid w:val="00C92E3F"/>
    <w:rsid w:val="00C94518"/>
    <w:rsid w:val="00C94681"/>
    <w:rsid w:val="00CA129E"/>
    <w:rsid w:val="00CA20B5"/>
    <w:rsid w:val="00CA3562"/>
    <w:rsid w:val="00CA371D"/>
    <w:rsid w:val="00CA6681"/>
    <w:rsid w:val="00CA77AE"/>
    <w:rsid w:val="00CB0A27"/>
    <w:rsid w:val="00CB2154"/>
    <w:rsid w:val="00CB27F4"/>
    <w:rsid w:val="00CB35D9"/>
    <w:rsid w:val="00CB469C"/>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8D0"/>
    <w:rsid w:val="00CF5DD6"/>
    <w:rsid w:val="00CF6857"/>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0A6"/>
    <w:rsid w:val="00D532B8"/>
    <w:rsid w:val="00D54B6F"/>
    <w:rsid w:val="00D54E73"/>
    <w:rsid w:val="00D575A3"/>
    <w:rsid w:val="00D613A6"/>
    <w:rsid w:val="00D617A6"/>
    <w:rsid w:val="00D650EA"/>
    <w:rsid w:val="00D6554E"/>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23E2"/>
    <w:rsid w:val="00DC334D"/>
    <w:rsid w:val="00DC6AAD"/>
    <w:rsid w:val="00DE165D"/>
    <w:rsid w:val="00DE2FD7"/>
    <w:rsid w:val="00DE45A3"/>
    <w:rsid w:val="00DE466D"/>
    <w:rsid w:val="00DE488C"/>
    <w:rsid w:val="00DE5EE7"/>
    <w:rsid w:val="00DF1EC1"/>
    <w:rsid w:val="00DF343E"/>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E02"/>
    <w:rsid w:val="00E25210"/>
    <w:rsid w:val="00E255EC"/>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87D3D"/>
    <w:rsid w:val="00E92CE2"/>
    <w:rsid w:val="00E93CDD"/>
    <w:rsid w:val="00E949AC"/>
    <w:rsid w:val="00E977FB"/>
    <w:rsid w:val="00EA0944"/>
    <w:rsid w:val="00EA1325"/>
    <w:rsid w:val="00EA22D5"/>
    <w:rsid w:val="00EA241F"/>
    <w:rsid w:val="00EA2704"/>
    <w:rsid w:val="00EA4221"/>
    <w:rsid w:val="00EB2FE6"/>
    <w:rsid w:val="00EB3CD8"/>
    <w:rsid w:val="00EB6F5F"/>
    <w:rsid w:val="00EC7278"/>
    <w:rsid w:val="00EC74B9"/>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277C"/>
    <w:rsid w:val="00F24175"/>
    <w:rsid w:val="00F25246"/>
    <w:rsid w:val="00F25E11"/>
    <w:rsid w:val="00F307D6"/>
    <w:rsid w:val="00F31A8E"/>
    <w:rsid w:val="00F32C2D"/>
    <w:rsid w:val="00F33108"/>
    <w:rsid w:val="00F33A4C"/>
    <w:rsid w:val="00F34B87"/>
    <w:rsid w:val="00F358BF"/>
    <w:rsid w:val="00F35CB2"/>
    <w:rsid w:val="00F374CD"/>
    <w:rsid w:val="00F4046E"/>
    <w:rsid w:val="00F40961"/>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1C15"/>
    <w:rsid w:val="00F82391"/>
    <w:rsid w:val="00F8333E"/>
    <w:rsid w:val="00F84641"/>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2CE"/>
    <w:rsid w:val="00FD05BA"/>
    <w:rsid w:val="00FD0638"/>
    <w:rsid w:val="00FD0722"/>
    <w:rsid w:val="00FD0AFD"/>
    <w:rsid w:val="00FD2A0A"/>
    <w:rsid w:val="00FD3934"/>
    <w:rsid w:val="00FD40F7"/>
    <w:rsid w:val="00FD5913"/>
    <w:rsid w:val="00FE0558"/>
    <w:rsid w:val="00FE0BF6"/>
    <w:rsid w:val="00FE11E8"/>
    <w:rsid w:val="00FE29B5"/>
    <w:rsid w:val="00FE32EB"/>
    <w:rsid w:val="00FE3AFF"/>
    <w:rsid w:val="00FE7F98"/>
    <w:rsid w:val="00FF065B"/>
    <w:rsid w:val="00FF23E1"/>
    <w:rsid w:val="00FF443D"/>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0327BEC1"/>
  <w15:docId w15:val="{24C21F7D-9588-4080-8D7B-8359CBF2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B09AD"/>
    <w:rPr>
      <w:color w:val="605E5C"/>
      <w:shd w:val="clear" w:color="auto" w:fill="E1DFDD"/>
    </w:rPr>
  </w:style>
  <w:style w:type="character" w:customStyle="1" w:styleId="UnresolvedMention3">
    <w:name w:val="Unresolved Mention3"/>
    <w:basedOn w:val="DefaultParagraphFont"/>
    <w:uiPriority w:val="99"/>
    <w:semiHidden/>
    <w:unhideWhenUsed/>
    <w:rsid w:val="00A30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8380535">
      <w:bodyDiv w:val="1"/>
      <w:marLeft w:val="0"/>
      <w:marRight w:val="0"/>
      <w:marTop w:val="0"/>
      <w:marBottom w:val="0"/>
      <w:divBdr>
        <w:top w:val="none" w:sz="0" w:space="0" w:color="auto"/>
        <w:left w:val="none" w:sz="0" w:space="0" w:color="auto"/>
        <w:bottom w:val="none" w:sz="0" w:space="0" w:color="auto"/>
        <w:right w:val="none" w:sz="0" w:space="0" w:color="auto"/>
      </w:divBdr>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00603828">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ice.org.uk/guidance/ng86" TargetMode="External"/><Relationship Id="rId2" Type="http://schemas.openxmlformats.org/officeDocument/2006/relationships/hyperlink" Target="https://www.nice.org.uk/guidance/ng74" TargetMode="External"/><Relationship Id="rId1" Type="http://schemas.openxmlformats.org/officeDocument/2006/relationships/hyperlink" Target="https://www.gov.uk/government/publications/adult-social-care-outcomes-framework-handbook-of-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52DB2-239E-4A71-8208-45DD08358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1028</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Collingwood, Paul</dc:creator>
  <cp:keywords/>
  <cp:lastModifiedBy>Anna Wasielewska</cp:lastModifiedBy>
  <cp:revision>3</cp:revision>
  <cp:lastPrinted>2021-08-23T13:05:00Z</cp:lastPrinted>
  <dcterms:created xsi:type="dcterms:W3CDTF">2022-02-03T08:36:00Z</dcterms:created>
  <dcterms:modified xsi:type="dcterms:W3CDTF">2022-02-03T08:36:00Z</dcterms:modified>
</cp:coreProperties>
</file>