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2ED2B" w14:textId="77777777" w:rsidR="00A76167" w:rsidRPr="00A76167" w:rsidRDefault="00A76167" w:rsidP="00B77C41">
      <w:pPr>
        <w:pStyle w:val="Frontpagesubhead"/>
        <w:rPr>
          <w:rFonts w:cs="Arial"/>
          <w:noProof/>
          <w:color w:val="auto"/>
          <w:sz w:val="22"/>
          <w:szCs w:val="22"/>
          <w:lang w:eastAsia="en-GB"/>
        </w:rPr>
      </w:pPr>
    </w:p>
    <w:p w14:paraId="4D7102D0" w14:textId="2D1A4FC9" w:rsidR="00A76167" w:rsidRPr="00A76167" w:rsidRDefault="00A76167" w:rsidP="00A76167">
      <w:pPr>
        <w:jc w:val="center"/>
        <w:rPr>
          <w:rFonts w:eastAsia="Calibri" w:cs="Arial"/>
          <w:b/>
          <w:bCs/>
          <w:sz w:val="28"/>
          <w:szCs w:val="28"/>
        </w:rPr>
      </w:pPr>
      <w:r w:rsidRPr="00A76167">
        <w:rPr>
          <w:rFonts w:eastAsia="Calibri" w:cs="Arial"/>
          <w:b/>
          <w:bCs/>
          <w:sz w:val="28"/>
          <w:szCs w:val="28"/>
        </w:rPr>
        <w:t>NHS Digital</w:t>
      </w:r>
    </w:p>
    <w:p w14:paraId="0385D715" w14:textId="29ADEEC6" w:rsidR="00A76167" w:rsidRPr="00A76167" w:rsidRDefault="00A76167" w:rsidP="00A76167">
      <w:pPr>
        <w:spacing w:after="0"/>
        <w:jc w:val="center"/>
        <w:textboxTightWrap w:val="none"/>
        <w:rPr>
          <w:rFonts w:eastAsia="Calibri" w:cs="Arial"/>
          <w:b/>
          <w:bCs/>
          <w:sz w:val="28"/>
          <w:szCs w:val="28"/>
        </w:rPr>
      </w:pPr>
      <w:r w:rsidRPr="00A76167">
        <w:rPr>
          <w:rFonts w:eastAsia="Calibri" w:cs="Arial"/>
          <w:b/>
          <w:bCs/>
          <w:sz w:val="28"/>
          <w:szCs w:val="28"/>
        </w:rPr>
        <w:t>Indicator Supporting Documentation</w:t>
      </w:r>
    </w:p>
    <w:p w14:paraId="4098FB39" w14:textId="270AA863" w:rsidR="00A76167" w:rsidRPr="00A76167" w:rsidRDefault="00A76167" w:rsidP="00A76167">
      <w:pPr>
        <w:spacing w:after="0"/>
        <w:jc w:val="center"/>
        <w:textboxTightWrap w:val="none"/>
        <w:rPr>
          <w:rFonts w:eastAsia="Calibri" w:cs="Arial"/>
          <w:b/>
          <w:bCs/>
          <w:sz w:val="28"/>
          <w:szCs w:val="28"/>
        </w:rPr>
      </w:pPr>
      <w:r w:rsidRPr="00A76167">
        <w:rPr>
          <w:rFonts w:eastAsia="Calibri" w:cs="Arial"/>
          <w:b/>
          <w:bCs/>
          <w:sz w:val="28"/>
          <w:szCs w:val="28"/>
        </w:rPr>
        <w:t>IAP00140 Patient safety incident reporting (CCGOIS)</w:t>
      </w:r>
    </w:p>
    <w:p w14:paraId="4850657F" w14:textId="47EA9532" w:rsidR="00A76167" w:rsidRPr="00A76167" w:rsidRDefault="00A76167">
      <w:pPr>
        <w:spacing w:after="0"/>
        <w:textboxTightWrap w:val="none"/>
        <w:rPr>
          <w:rFonts w:cs="Arial"/>
          <w:b/>
          <w:noProof/>
          <w:sz w:val="22"/>
          <w:szCs w:val="22"/>
          <w:lang w:eastAsia="en-GB"/>
        </w:rPr>
      </w:pPr>
    </w:p>
    <w:p w14:paraId="76C80D4D" w14:textId="296EFC10" w:rsidR="002A7E9E" w:rsidRPr="00A76167" w:rsidRDefault="002A7E9E" w:rsidP="00B77C41">
      <w:pPr>
        <w:pStyle w:val="Frontpagesubhead"/>
        <w:rPr>
          <w:rFonts w:cs="Arial"/>
          <w:noProof/>
          <w:color w:val="auto"/>
          <w:sz w:val="22"/>
          <w:szCs w:val="22"/>
          <w:lang w:eastAsia="en-GB"/>
        </w:rPr>
      </w:pPr>
    </w:p>
    <w:p w14:paraId="73B34B6A" w14:textId="65849196" w:rsidR="002A7E9E" w:rsidRPr="00A76167" w:rsidRDefault="002A7E9E" w:rsidP="00B77C41">
      <w:pPr>
        <w:pStyle w:val="Frontpagesubhead"/>
        <w:rPr>
          <w:rFonts w:cs="Arial"/>
          <w:noProof/>
          <w:color w:val="auto"/>
          <w:sz w:val="22"/>
          <w:szCs w:val="22"/>
          <w:lang w:eastAsia="en-GB"/>
        </w:rPr>
      </w:pPr>
    </w:p>
    <w:p w14:paraId="6C367C3A" w14:textId="3C32F14E" w:rsidR="001D243C" w:rsidRPr="00A76167" w:rsidRDefault="00A76167" w:rsidP="00B77C41">
      <w:pPr>
        <w:pStyle w:val="Frontpagesubhead"/>
        <w:rPr>
          <w:rFonts w:cs="Arial"/>
          <w:color w:val="auto"/>
          <w:sz w:val="22"/>
          <w:szCs w:val="22"/>
        </w:rPr>
      </w:pPr>
      <w:r w:rsidRPr="00A76167">
        <w:rPr>
          <w:rFonts w:cs="Arial"/>
          <w:noProof/>
          <w:color w:val="auto"/>
          <w:sz w:val="22"/>
          <w:szCs w:val="22"/>
          <w:lang w:eastAsia="en-GB"/>
        </w:rPr>
        <w:lastRenderedPageBreak/>
        <mc:AlternateContent>
          <mc:Choice Requires="wps">
            <w:drawing>
              <wp:inline distT="0" distB="0" distL="0" distR="0" wp14:anchorId="6C367D24" wp14:editId="55C804D3">
                <wp:extent cx="6371590" cy="7053580"/>
                <wp:effectExtent l="0" t="0" r="0" b="0"/>
                <wp:docPr id="2" name="Text Box 2"/>
                <wp:cNvGraphicFramePr/>
                <a:graphic xmlns:a="http://schemas.openxmlformats.org/drawingml/2006/main">
                  <a:graphicData uri="http://schemas.microsoft.com/office/word/2010/wordprocessingShape">
                    <wps:wsp>
                      <wps:cNvSpPr txBox="1"/>
                      <wps:spPr>
                        <a:xfrm>
                          <a:off x="0" y="0"/>
                          <a:ext cx="6371590" cy="7053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367D36" w14:textId="77777777" w:rsidR="00A76167" w:rsidRPr="00BC0269" w:rsidRDefault="00A76167" w:rsidP="001D243C">
                            <w:pPr>
                              <w:pStyle w:val="FrontpageTitle"/>
                              <w:rPr>
                                <w:color w:val="auto"/>
                              </w:rPr>
                            </w:pPr>
                            <w:r w:rsidRPr="00BC0269">
                              <w:rPr>
                                <w:color w:val="auto"/>
                              </w:rPr>
                              <w:t>Application Form</w:t>
                            </w:r>
                          </w:p>
                          <w:p w14:paraId="6C367D37" w14:textId="77777777" w:rsidR="00A76167" w:rsidRPr="00BC0269" w:rsidRDefault="00A76167" w:rsidP="001D243C"/>
                          <w:p w14:paraId="6C367D39" w14:textId="04E99C84" w:rsidR="00A76167" w:rsidRPr="00BC0269" w:rsidRDefault="00A76167" w:rsidP="00B77C41">
                            <w:pPr>
                              <w:pStyle w:val="Frontpagesubhead"/>
                              <w:rPr>
                                <w:color w:val="auto"/>
                                <w:sz w:val="32"/>
                                <w:szCs w:val="32"/>
                              </w:rPr>
                            </w:pPr>
                            <w:r w:rsidRPr="00BC0269">
                              <w:rPr>
                                <w:color w:val="auto"/>
                                <w:sz w:val="32"/>
                                <w:szCs w:val="32"/>
                              </w:rPr>
                              <w:t>Indicator and Methodology Assurance Service</w:t>
                            </w:r>
                          </w:p>
                          <w:p w14:paraId="578DAB0E" w14:textId="77777777" w:rsidR="00A76167" w:rsidRPr="00BC0269" w:rsidRDefault="00A76167" w:rsidP="00110985">
                            <w:pPr>
                              <w:textboxTightWrap w:val="allLines"/>
                              <w:rPr>
                                <w:sz w:val="32"/>
                                <w:szCs w:val="32"/>
                              </w:rPr>
                            </w:pPr>
                          </w:p>
                          <w:p w14:paraId="70E82A6D" w14:textId="039667D3" w:rsidR="00A76167" w:rsidRPr="00BC0269" w:rsidRDefault="00A76167" w:rsidP="0015258C">
                            <w:pPr>
                              <w:spacing w:line="360" w:lineRule="auto"/>
                              <w:textboxTightWrap w:val="allLines"/>
                              <w:rPr>
                                <w:b/>
                                <w:sz w:val="32"/>
                                <w:szCs w:val="32"/>
                              </w:rPr>
                            </w:pPr>
                            <w:r w:rsidRPr="00BC0269">
                              <w:rPr>
                                <w:b/>
                                <w:sz w:val="32"/>
                                <w:szCs w:val="32"/>
                              </w:rPr>
                              <w:t xml:space="preserve">Title: </w:t>
                            </w:r>
                          </w:p>
                          <w:p w14:paraId="15B0787C" w14:textId="71CD2A29" w:rsidR="00A76167" w:rsidRPr="00BC0269" w:rsidRDefault="00A76167" w:rsidP="0015258C">
                            <w:pPr>
                              <w:spacing w:line="360" w:lineRule="auto"/>
                              <w:textboxTightWrap w:val="allLines"/>
                              <w:rPr>
                                <w:b/>
                                <w:sz w:val="32"/>
                                <w:szCs w:val="32"/>
                              </w:rPr>
                            </w:pPr>
                            <w:r w:rsidRPr="00BC0269">
                              <w:rPr>
                                <w:b/>
                                <w:sz w:val="32"/>
                                <w:szCs w:val="32"/>
                              </w:rPr>
                              <w:t>Set or domain: CCG OIS 5.1</w:t>
                            </w:r>
                          </w:p>
                          <w:p w14:paraId="13636472" w14:textId="6CD52748" w:rsidR="00A76167" w:rsidRPr="00BC0269" w:rsidRDefault="00A76167" w:rsidP="0015258C">
                            <w:pPr>
                              <w:spacing w:line="360" w:lineRule="auto"/>
                              <w:textboxTightWrap w:val="allLines"/>
                              <w:rPr>
                                <w:b/>
                                <w:sz w:val="32"/>
                                <w:szCs w:val="32"/>
                              </w:rPr>
                            </w:pPr>
                            <w:r w:rsidRPr="00BC0269">
                              <w:rPr>
                                <w:b/>
                                <w:sz w:val="32"/>
                                <w:szCs w:val="32"/>
                              </w:rPr>
                              <w:t>IAS Reference Code: IAP00140</w:t>
                            </w:r>
                          </w:p>
                          <w:p w14:paraId="2E0ADB47" w14:textId="77777777" w:rsidR="00A76167" w:rsidRPr="00BC0269" w:rsidRDefault="00A76167" w:rsidP="00110985">
                            <w:pPr>
                              <w:textboxTightWrap w:val="allLines"/>
                            </w:pPr>
                          </w:p>
                          <w:p w14:paraId="718B0F67" w14:textId="77777777" w:rsidR="00A76167" w:rsidRPr="00BC0269" w:rsidRDefault="00A76167" w:rsidP="00110985">
                            <w:pPr>
                              <w:textboxTightWrap w:val="allLines"/>
                            </w:pPr>
                          </w:p>
                          <w:p w14:paraId="7EDACFBC" w14:textId="77777777" w:rsidR="00A76167" w:rsidRPr="00BC0269" w:rsidRDefault="00A76167" w:rsidP="00110985">
                            <w:pPr>
                              <w:textboxTightWrap w:val="allLines"/>
                            </w:pPr>
                          </w:p>
                          <w:p w14:paraId="38C1D15A" w14:textId="77777777" w:rsidR="00A76167" w:rsidRPr="00BC0269" w:rsidRDefault="00A76167" w:rsidP="00110985">
                            <w:pPr>
                              <w:textboxTightWrap w:val="allLines"/>
                            </w:pPr>
                          </w:p>
                          <w:p w14:paraId="7E894D1F" w14:textId="77777777" w:rsidR="00A76167" w:rsidRPr="00BC0269" w:rsidRDefault="00A76167" w:rsidP="00110985">
                            <w:pPr>
                              <w:textboxTightWrap w:val="allLines"/>
                            </w:pPr>
                          </w:p>
                          <w:p w14:paraId="74609FE3" w14:textId="77777777" w:rsidR="00A76167" w:rsidRPr="00BC0269" w:rsidRDefault="00A76167" w:rsidP="00110985">
                            <w:pPr>
                              <w:textboxTightWrap w:val="allLines"/>
                            </w:pPr>
                          </w:p>
                          <w:p w14:paraId="39E2AA98" w14:textId="77777777" w:rsidR="00A76167" w:rsidRPr="00BC0269" w:rsidRDefault="00A76167" w:rsidP="00110985">
                            <w:pPr>
                              <w:textboxTightWrap w:val="allLines"/>
                            </w:pPr>
                          </w:p>
                          <w:p w14:paraId="47B76F0C" w14:textId="77777777" w:rsidR="00A76167" w:rsidRPr="00BC0269" w:rsidRDefault="00A76167" w:rsidP="00110985">
                            <w:pPr>
                              <w:textboxTightWrap w:val="allLines"/>
                            </w:pPr>
                          </w:p>
                          <w:p w14:paraId="77890700" w14:textId="77777777" w:rsidR="00A76167" w:rsidRPr="00BC0269" w:rsidRDefault="00A76167" w:rsidP="00110985">
                            <w:pPr>
                              <w:spacing w:after="0"/>
                              <w:rPr>
                                <w:b/>
                                <w:sz w:val="20"/>
                                <w:szCs w:val="20"/>
                              </w:rPr>
                            </w:pPr>
                            <w:r w:rsidRPr="00BC0269">
                              <w:rPr>
                                <w:b/>
                                <w:sz w:val="20"/>
                                <w:szCs w:val="20"/>
                              </w:rPr>
                              <w:t>Version History</w:t>
                            </w: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096"/>
                              <w:gridCol w:w="1117"/>
                              <w:gridCol w:w="2376"/>
                              <w:gridCol w:w="5137"/>
                            </w:tblGrid>
                            <w:tr w:rsidR="00A76167" w:rsidRPr="00BC0269" w14:paraId="69ABAD52"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5EDE76AC" w14:textId="77777777" w:rsidR="00A76167" w:rsidRPr="00BC0269" w:rsidRDefault="00A76167">
                                  <w:pPr>
                                    <w:spacing w:after="0"/>
                                    <w:rPr>
                                      <w:sz w:val="20"/>
                                      <w:szCs w:val="20"/>
                                    </w:rPr>
                                  </w:pPr>
                                  <w:r w:rsidRPr="00BC0269">
                                    <w:rPr>
                                      <w:sz w:val="20"/>
                                      <w:szCs w:val="20"/>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77B7F13" w14:textId="77777777" w:rsidR="00A76167" w:rsidRPr="00BC0269" w:rsidRDefault="00A76167">
                                  <w:pPr>
                                    <w:spacing w:after="0"/>
                                    <w:rPr>
                                      <w:sz w:val="20"/>
                                      <w:szCs w:val="20"/>
                                    </w:rPr>
                                  </w:pPr>
                                  <w:r w:rsidRPr="00BC0269">
                                    <w:rPr>
                                      <w:sz w:val="20"/>
                                      <w:szCs w:val="20"/>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77C6C687" w14:textId="77777777" w:rsidR="00A76167" w:rsidRPr="00BC0269" w:rsidRDefault="00A76167">
                                  <w:pPr>
                                    <w:spacing w:after="0"/>
                                    <w:rPr>
                                      <w:sz w:val="20"/>
                                      <w:szCs w:val="20"/>
                                    </w:rPr>
                                  </w:pPr>
                                  <w:r w:rsidRPr="00BC0269">
                                    <w:rPr>
                                      <w:sz w:val="20"/>
                                      <w:szCs w:val="20"/>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FBB25F3" w14:textId="77777777" w:rsidR="00A76167" w:rsidRPr="00BC0269" w:rsidRDefault="00A76167">
                                  <w:pPr>
                                    <w:spacing w:after="0"/>
                                    <w:rPr>
                                      <w:sz w:val="20"/>
                                      <w:szCs w:val="20"/>
                                    </w:rPr>
                                  </w:pPr>
                                  <w:r w:rsidRPr="00BC0269">
                                    <w:rPr>
                                      <w:sz w:val="20"/>
                                      <w:szCs w:val="20"/>
                                    </w:rPr>
                                    <w:t>Change</w:t>
                                  </w:r>
                                </w:p>
                              </w:tc>
                            </w:tr>
                            <w:tr w:rsidR="00A76167" w:rsidRPr="00BC0269" w14:paraId="0776C546"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A251F04" w14:textId="77777777" w:rsidR="00A76167" w:rsidRPr="00BC0269" w:rsidRDefault="00A76167">
                                  <w:pPr>
                                    <w:spacing w:after="0"/>
                                    <w:rPr>
                                      <w:sz w:val="18"/>
                                      <w:szCs w:val="20"/>
                                    </w:rPr>
                                  </w:pPr>
                                  <w:r w:rsidRPr="00BC0269">
                                    <w:rPr>
                                      <w:sz w:val="18"/>
                                      <w:szCs w:val="20"/>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D23E2CC" w14:textId="4850D91C" w:rsidR="00A76167" w:rsidRPr="00BC0269" w:rsidRDefault="00A76167">
                                  <w:pPr>
                                    <w:spacing w:after="0"/>
                                    <w:rPr>
                                      <w:sz w:val="18"/>
                                      <w:szCs w:val="20"/>
                                    </w:rPr>
                                  </w:pPr>
                                  <w:r w:rsidRPr="00BC0269">
                                    <w:rPr>
                                      <w:sz w:val="18"/>
                                      <w:szCs w:val="20"/>
                                    </w:rPr>
                                    <w:t>11/08/2017</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4C0A02C" w14:textId="73C778B1" w:rsidR="00A76167" w:rsidRPr="00BC0269" w:rsidRDefault="00A76167">
                                  <w:pPr>
                                    <w:spacing w:after="0"/>
                                    <w:rPr>
                                      <w:sz w:val="18"/>
                                      <w:szCs w:val="20"/>
                                    </w:rPr>
                                  </w:pPr>
                                  <w:r w:rsidRPr="00BC0269">
                                    <w:rPr>
                                      <w:sz w:val="18"/>
                                      <w:szCs w:val="20"/>
                                    </w:rPr>
                                    <w:t xml:space="preserve">Andy </w:t>
                                  </w:r>
                                  <w:proofErr w:type="spellStart"/>
                                  <w:r w:rsidRPr="00BC0269">
                                    <w:rPr>
                                      <w:sz w:val="18"/>
                                      <w:szCs w:val="20"/>
                                    </w:rPr>
                                    <w:t>Besch</w:t>
                                  </w:r>
                                  <w:proofErr w:type="spellEnd"/>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CCD9FC2" w14:textId="4FE4F392" w:rsidR="00A76167" w:rsidRPr="00BC0269" w:rsidRDefault="00A76167">
                                  <w:pPr>
                                    <w:spacing w:after="0"/>
                                    <w:rPr>
                                      <w:sz w:val="18"/>
                                      <w:szCs w:val="20"/>
                                    </w:rPr>
                                  </w:pPr>
                                  <w:r w:rsidRPr="00BC0269">
                                    <w:rPr>
                                      <w:sz w:val="18"/>
                                      <w:szCs w:val="20"/>
                                    </w:rPr>
                                    <w:t>Uplift to new form</w:t>
                                  </w:r>
                                </w:p>
                              </w:tc>
                            </w:tr>
                            <w:tr w:rsidR="00A76167" w:rsidRPr="00BC0269" w14:paraId="62A1265C"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27AC234" w14:textId="4493D7A8" w:rsidR="00A76167" w:rsidRPr="00BC0269" w:rsidRDefault="00A76167" w:rsidP="00A73E11">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A79326F" w14:textId="74F67018" w:rsidR="00A76167" w:rsidRPr="00BC0269" w:rsidRDefault="00A76167">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690BBBE" w14:textId="7ACF121A" w:rsidR="00A76167" w:rsidRPr="00BC0269" w:rsidRDefault="00A76167">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97F45AF" w14:textId="77E3D77F" w:rsidR="00A76167" w:rsidRPr="00BC0269" w:rsidRDefault="00A76167">
                                  <w:pPr>
                                    <w:spacing w:after="0"/>
                                    <w:rPr>
                                      <w:sz w:val="18"/>
                                      <w:szCs w:val="20"/>
                                    </w:rPr>
                                  </w:pPr>
                                </w:p>
                              </w:tc>
                            </w:tr>
                            <w:tr w:rsidR="00A76167" w:rsidRPr="00BC0269" w14:paraId="07B74EC9"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B4984D1" w14:textId="77777777" w:rsidR="00A76167" w:rsidRPr="00BC0269" w:rsidRDefault="00A76167">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E792742" w14:textId="77777777" w:rsidR="00A76167" w:rsidRPr="00BC0269" w:rsidRDefault="00A76167">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8E3E6F0" w14:textId="77777777" w:rsidR="00A76167" w:rsidRPr="00BC0269" w:rsidRDefault="00A76167">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A1F8ED4" w14:textId="77777777" w:rsidR="00A76167" w:rsidRPr="00BC0269" w:rsidRDefault="00A76167">
                                  <w:pPr>
                                    <w:spacing w:after="0"/>
                                    <w:rPr>
                                      <w:sz w:val="18"/>
                                      <w:szCs w:val="20"/>
                                    </w:rPr>
                                  </w:pPr>
                                </w:p>
                              </w:tc>
                            </w:tr>
                            <w:tr w:rsidR="00A76167" w:rsidRPr="00BC0269" w14:paraId="6ED92560"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1E561A7C" w14:textId="77777777" w:rsidR="00A76167" w:rsidRPr="00BC0269" w:rsidRDefault="00A76167">
                                  <w:pPr>
                                    <w:spacing w:after="0"/>
                                    <w:rPr>
                                      <w:b/>
                                      <w:sz w:val="20"/>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842D9FE" w14:textId="77777777" w:rsidR="00A76167" w:rsidRPr="00BC0269" w:rsidRDefault="00A76167">
                                  <w:pPr>
                                    <w:spacing w:after="0"/>
                                    <w:rPr>
                                      <w:b/>
                                      <w:sz w:val="20"/>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7B1C208" w14:textId="77777777" w:rsidR="00A76167" w:rsidRPr="00BC0269" w:rsidRDefault="00A76167">
                                  <w:pPr>
                                    <w:spacing w:after="0"/>
                                    <w:rPr>
                                      <w:b/>
                                      <w:sz w:val="20"/>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96DA82A" w14:textId="77777777" w:rsidR="00A76167" w:rsidRPr="00BC0269" w:rsidRDefault="00A76167">
                                  <w:pPr>
                                    <w:spacing w:after="0"/>
                                    <w:rPr>
                                      <w:b/>
                                      <w:sz w:val="20"/>
                                      <w:szCs w:val="20"/>
                                    </w:rPr>
                                  </w:pPr>
                                </w:p>
                              </w:tc>
                            </w:tr>
                          </w:tbl>
                          <w:p w14:paraId="1B7BD714" w14:textId="77777777" w:rsidR="00A76167" w:rsidRPr="00BC0269" w:rsidRDefault="00A76167" w:rsidP="00110985">
                            <w:pPr>
                              <w:textboxTightWrap w:val="allLines"/>
                            </w:pPr>
                          </w:p>
                          <w:p w14:paraId="2586DDB4" w14:textId="77777777" w:rsidR="00A76167" w:rsidRPr="00BC0269" w:rsidRDefault="00A76167" w:rsidP="002A7E9E">
                            <w:pPr>
                              <w:textboxTightWrap w:val="allLines"/>
                            </w:pPr>
                          </w:p>
                          <w:p w14:paraId="6C367D3D" w14:textId="77777777" w:rsidR="00A76167" w:rsidRPr="00BC0269" w:rsidRDefault="00A7616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6C367D24" id="_x0000_t202" coordsize="21600,21600" o:spt="202" path="m,l,21600r21600,l21600,xe">
                <v:stroke joinstyle="miter"/>
                <v:path gradientshapeok="t" o:connecttype="rect"/>
              </v:shapetype>
              <v:shape id="Text Box 2" o:spid="_x0000_s1026" type="#_x0000_t202" style="width:501.7pt;height:5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" filled="f" stroked="f" strokeweight=".5pt">
                <v:textbox>
                  <w:txbxContent>
                    <w:p w14:paraId="6C367D36" w14:textId="77777777" w:rsidR="00A76167" w:rsidRPr="00BC0269" w:rsidRDefault="00A76167" w:rsidP="001D243C">
                      <w:pPr>
                        <w:pStyle w:val="FrontpageTitle"/>
                        <w:rPr>
                          <w:color w:val="auto"/>
                        </w:rPr>
                      </w:pPr>
                      <w:r w:rsidRPr="00BC0269">
                        <w:rPr>
                          <w:color w:val="auto"/>
                        </w:rPr>
                        <w:t>Application Form</w:t>
                      </w:r>
                    </w:p>
                    <w:p w14:paraId="6C367D37" w14:textId="77777777" w:rsidR="00A76167" w:rsidRPr="00BC0269" w:rsidRDefault="00A76167" w:rsidP="001D243C"/>
                    <w:p w14:paraId="6C367D39" w14:textId="04E99C84" w:rsidR="00A76167" w:rsidRPr="00BC0269" w:rsidRDefault="00A76167" w:rsidP="00B77C41">
                      <w:pPr>
                        <w:pStyle w:val="Frontpagesubhead"/>
                        <w:rPr>
                          <w:color w:val="auto"/>
                          <w:sz w:val="32"/>
                          <w:szCs w:val="32"/>
                        </w:rPr>
                      </w:pPr>
                      <w:r w:rsidRPr="00BC0269">
                        <w:rPr>
                          <w:color w:val="auto"/>
                          <w:sz w:val="32"/>
                          <w:szCs w:val="32"/>
                        </w:rPr>
                        <w:t>Indicator and Methodology Assurance Service</w:t>
                      </w:r>
                    </w:p>
                    <w:p w14:paraId="578DAB0E" w14:textId="77777777" w:rsidR="00A76167" w:rsidRPr="00BC0269" w:rsidRDefault="00A76167" w:rsidP="00110985">
                      <w:pPr>
                        <w:textboxTightWrap w:val="allLines"/>
                        <w:rPr>
                          <w:sz w:val="32"/>
                          <w:szCs w:val="32"/>
                        </w:rPr>
                      </w:pPr>
                    </w:p>
                    <w:p w14:paraId="70E82A6D" w14:textId="039667D3" w:rsidR="00A76167" w:rsidRPr="00BC0269" w:rsidRDefault="00A76167" w:rsidP="0015258C">
                      <w:pPr>
                        <w:spacing w:line="360" w:lineRule="auto"/>
                        <w:textboxTightWrap w:val="allLines"/>
                        <w:rPr>
                          <w:b/>
                          <w:sz w:val="32"/>
                          <w:szCs w:val="32"/>
                        </w:rPr>
                      </w:pPr>
                      <w:r w:rsidRPr="00BC0269">
                        <w:rPr>
                          <w:b/>
                          <w:sz w:val="32"/>
                          <w:szCs w:val="32"/>
                        </w:rPr>
                        <w:t xml:space="preserve">Title: </w:t>
                      </w:r>
                    </w:p>
                    <w:p w14:paraId="15B0787C" w14:textId="71CD2A29" w:rsidR="00A76167" w:rsidRPr="00BC0269" w:rsidRDefault="00A76167" w:rsidP="0015258C">
                      <w:pPr>
                        <w:spacing w:line="360" w:lineRule="auto"/>
                        <w:textboxTightWrap w:val="allLines"/>
                        <w:rPr>
                          <w:b/>
                          <w:sz w:val="32"/>
                          <w:szCs w:val="32"/>
                        </w:rPr>
                      </w:pPr>
                      <w:r w:rsidRPr="00BC0269">
                        <w:rPr>
                          <w:b/>
                          <w:sz w:val="32"/>
                          <w:szCs w:val="32"/>
                        </w:rPr>
                        <w:t>Set or domain: CCG OIS 5.1</w:t>
                      </w:r>
                    </w:p>
                    <w:p w14:paraId="13636472" w14:textId="6CD52748" w:rsidR="00A76167" w:rsidRPr="00BC0269" w:rsidRDefault="00A76167" w:rsidP="0015258C">
                      <w:pPr>
                        <w:spacing w:line="360" w:lineRule="auto"/>
                        <w:textboxTightWrap w:val="allLines"/>
                        <w:rPr>
                          <w:b/>
                          <w:sz w:val="32"/>
                          <w:szCs w:val="32"/>
                        </w:rPr>
                      </w:pPr>
                      <w:r w:rsidRPr="00BC0269">
                        <w:rPr>
                          <w:b/>
                          <w:sz w:val="32"/>
                          <w:szCs w:val="32"/>
                        </w:rPr>
                        <w:t>IAS Reference Code: IAP00140</w:t>
                      </w:r>
                    </w:p>
                    <w:p w14:paraId="2E0ADB47" w14:textId="77777777" w:rsidR="00A76167" w:rsidRPr="00BC0269" w:rsidRDefault="00A76167" w:rsidP="00110985">
                      <w:pPr>
                        <w:textboxTightWrap w:val="allLines"/>
                      </w:pPr>
                    </w:p>
                    <w:p w14:paraId="718B0F67" w14:textId="77777777" w:rsidR="00A76167" w:rsidRPr="00BC0269" w:rsidRDefault="00A76167" w:rsidP="00110985">
                      <w:pPr>
                        <w:textboxTightWrap w:val="allLines"/>
                      </w:pPr>
                    </w:p>
                    <w:p w14:paraId="7EDACFBC" w14:textId="77777777" w:rsidR="00A76167" w:rsidRPr="00BC0269" w:rsidRDefault="00A76167" w:rsidP="00110985">
                      <w:pPr>
                        <w:textboxTightWrap w:val="allLines"/>
                      </w:pPr>
                    </w:p>
                    <w:p w14:paraId="38C1D15A" w14:textId="77777777" w:rsidR="00A76167" w:rsidRPr="00BC0269" w:rsidRDefault="00A76167" w:rsidP="00110985">
                      <w:pPr>
                        <w:textboxTightWrap w:val="allLines"/>
                      </w:pPr>
                    </w:p>
                    <w:p w14:paraId="7E894D1F" w14:textId="77777777" w:rsidR="00A76167" w:rsidRPr="00BC0269" w:rsidRDefault="00A76167" w:rsidP="00110985">
                      <w:pPr>
                        <w:textboxTightWrap w:val="allLines"/>
                      </w:pPr>
                    </w:p>
                    <w:p w14:paraId="74609FE3" w14:textId="77777777" w:rsidR="00A76167" w:rsidRPr="00BC0269" w:rsidRDefault="00A76167" w:rsidP="00110985">
                      <w:pPr>
                        <w:textboxTightWrap w:val="allLines"/>
                      </w:pPr>
                    </w:p>
                    <w:p w14:paraId="39E2AA98" w14:textId="77777777" w:rsidR="00A76167" w:rsidRPr="00BC0269" w:rsidRDefault="00A76167" w:rsidP="00110985">
                      <w:pPr>
                        <w:textboxTightWrap w:val="allLines"/>
                      </w:pPr>
                    </w:p>
                    <w:p w14:paraId="47B76F0C" w14:textId="77777777" w:rsidR="00A76167" w:rsidRPr="00BC0269" w:rsidRDefault="00A76167" w:rsidP="00110985">
                      <w:pPr>
                        <w:textboxTightWrap w:val="allLines"/>
                      </w:pPr>
                    </w:p>
                    <w:p w14:paraId="77890700" w14:textId="77777777" w:rsidR="00A76167" w:rsidRPr="00BC0269" w:rsidRDefault="00A76167" w:rsidP="00110985">
                      <w:pPr>
                        <w:spacing w:after="0"/>
                        <w:rPr>
                          <w:b/>
                          <w:sz w:val="20"/>
                          <w:szCs w:val="20"/>
                        </w:rPr>
                      </w:pPr>
                      <w:r w:rsidRPr="00BC0269">
                        <w:rPr>
                          <w:b/>
                          <w:sz w:val="20"/>
                          <w:szCs w:val="20"/>
                        </w:rPr>
                        <w:t>Version History</w:t>
                      </w:r>
                    </w:p>
                    <w:tbl>
                      <w:tblPr>
                        <w:tblStyle w:val="TableGrid"/>
                        <w:tblW w:w="0" w:type="auto"/>
                        <w:tblBorders>
                          <w:top w:val="single" w:sz="4" w:space="0" w:color="FAFCFC" w:themeColor="background1"/>
                          <w:left w:val="single" w:sz="4" w:space="0" w:color="FAFCFC" w:themeColor="background1"/>
                          <w:bottom w:val="single" w:sz="4" w:space="0" w:color="FAFCFC" w:themeColor="background1"/>
                          <w:right w:val="single" w:sz="4" w:space="0" w:color="FAFCFC" w:themeColor="background1"/>
                          <w:insideH w:val="single" w:sz="4" w:space="0" w:color="FAFCFC" w:themeColor="background1"/>
                          <w:insideV w:val="single" w:sz="4" w:space="0" w:color="FAFCFC" w:themeColor="background1"/>
                        </w:tblBorders>
                        <w:tblLook w:val="04A0" w:firstRow="1" w:lastRow="0" w:firstColumn="1" w:lastColumn="0" w:noHBand="0" w:noVBand="1"/>
                      </w:tblPr>
                      <w:tblGrid>
                        <w:gridCol w:w="1096"/>
                        <w:gridCol w:w="1117"/>
                        <w:gridCol w:w="2376"/>
                        <w:gridCol w:w="5137"/>
                      </w:tblGrid>
                      <w:tr w:rsidR="00A76167" w:rsidRPr="00BC0269" w14:paraId="69ABAD52"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5EDE76AC" w14:textId="77777777" w:rsidR="00A76167" w:rsidRPr="00BC0269" w:rsidRDefault="00A76167">
                            <w:pPr>
                              <w:spacing w:after="0"/>
                              <w:rPr>
                                <w:sz w:val="20"/>
                                <w:szCs w:val="20"/>
                              </w:rPr>
                            </w:pPr>
                            <w:r w:rsidRPr="00BC0269">
                              <w:rPr>
                                <w:sz w:val="20"/>
                                <w:szCs w:val="20"/>
                              </w:rPr>
                              <w:t>Version</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77B7F13" w14:textId="77777777" w:rsidR="00A76167" w:rsidRPr="00BC0269" w:rsidRDefault="00A76167">
                            <w:pPr>
                              <w:spacing w:after="0"/>
                              <w:rPr>
                                <w:sz w:val="20"/>
                                <w:szCs w:val="20"/>
                              </w:rPr>
                            </w:pPr>
                            <w:r w:rsidRPr="00BC0269">
                              <w:rPr>
                                <w:sz w:val="20"/>
                                <w:szCs w:val="20"/>
                              </w:rPr>
                              <w:t>Date</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77C6C687" w14:textId="77777777" w:rsidR="00A76167" w:rsidRPr="00BC0269" w:rsidRDefault="00A76167">
                            <w:pPr>
                              <w:spacing w:after="0"/>
                              <w:rPr>
                                <w:sz w:val="20"/>
                                <w:szCs w:val="20"/>
                              </w:rPr>
                            </w:pPr>
                            <w:r w:rsidRPr="00BC0269">
                              <w:rPr>
                                <w:sz w:val="20"/>
                                <w:szCs w:val="20"/>
                              </w:rPr>
                              <w:t>Changed By</w:t>
                            </w: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DBE9E9" w:themeFill="background1" w:themeFillShade="E6"/>
                            <w:hideMark/>
                          </w:tcPr>
                          <w:p w14:paraId="1FBB25F3" w14:textId="77777777" w:rsidR="00A76167" w:rsidRPr="00BC0269" w:rsidRDefault="00A76167">
                            <w:pPr>
                              <w:spacing w:after="0"/>
                              <w:rPr>
                                <w:sz w:val="20"/>
                                <w:szCs w:val="20"/>
                              </w:rPr>
                            </w:pPr>
                            <w:r w:rsidRPr="00BC0269">
                              <w:rPr>
                                <w:sz w:val="20"/>
                                <w:szCs w:val="20"/>
                              </w:rPr>
                              <w:t>Change</w:t>
                            </w:r>
                          </w:p>
                        </w:tc>
                      </w:tr>
                      <w:tr w:rsidR="00A76167" w:rsidRPr="00BC0269" w14:paraId="0776C546"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A251F04" w14:textId="77777777" w:rsidR="00A76167" w:rsidRPr="00BC0269" w:rsidRDefault="00A76167">
                            <w:pPr>
                              <w:spacing w:after="0"/>
                              <w:rPr>
                                <w:sz w:val="18"/>
                                <w:szCs w:val="20"/>
                              </w:rPr>
                            </w:pPr>
                            <w:r w:rsidRPr="00BC0269">
                              <w:rPr>
                                <w:sz w:val="18"/>
                                <w:szCs w:val="20"/>
                              </w:rPr>
                              <w:t>V0.1</w:t>
                            </w: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D23E2CC" w14:textId="4850D91C" w:rsidR="00A76167" w:rsidRPr="00BC0269" w:rsidRDefault="00A76167">
                            <w:pPr>
                              <w:spacing w:after="0"/>
                              <w:rPr>
                                <w:sz w:val="18"/>
                                <w:szCs w:val="20"/>
                              </w:rPr>
                            </w:pPr>
                            <w:r w:rsidRPr="00BC0269">
                              <w:rPr>
                                <w:sz w:val="18"/>
                                <w:szCs w:val="20"/>
                              </w:rPr>
                              <w:t>11/08/2017</w:t>
                            </w: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4C0A02C" w14:textId="73C778B1" w:rsidR="00A76167" w:rsidRPr="00BC0269" w:rsidRDefault="00A76167">
                            <w:pPr>
                              <w:spacing w:after="0"/>
                              <w:rPr>
                                <w:sz w:val="18"/>
                                <w:szCs w:val="20"/>
                              </w:rPr>
                            </w:pPr>
                            <w:r w:rsidRPr="00BC0269">
                              <w:rPr>
                                <w:sz w:val="18"/>
                                <w:szCs w:val="20"/>
                              </w:rPr>
                              <w:t xml:space="preserve">Andy </w:t>
                            </w:r>
                            <w:proofErr w:type="spellStart"/>
                            <w:r w:rsidRPr="00BC0269">
                              <w:rPr>
                                <w:sz w:val="18"/>
                                <w:szCs w:val="20"/>
                              </w:rPr>
                              <w:t>Besch</w:t>
                            </w:r>
                            <w:proofErr w:type="spellEnd"/>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CCD9FC2" w14:textId="4FE4F392" w:rsidR="00A76167" w:rsidRPr="00BC0269" w:rsidRDefault="00A76167">
                            <w:pPr>
                              <w:spacing w:after="0"/>
                              <w:rPr>
                                <w:sz w:val="18"/>
                                <w:szCs w:val="20"/>
                              </w:rPr>
                            </w:pPr>
                            <w:r w:rsidRPr="00BC0269">
                              <w:rPr>
                                <w:sz w:val="18"/>
                                <w:szCs w:val="20"/>
                              </w:rPr>
                              <w:t>Uplift to new form</w:t>
                            </w:r>
                          </w:p>
                        </w:tc>
                      </w:tr>
                      <w:tr w:rsidR="00A76167" w:rsidRPr="00BC0269" w14:paraId="62A1265C"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hideMark/>
                          </w:tcPr>
                          <w:p w14:paraId="727AC234" w14:textId="4493D7A8" w:rsidR="00A76167" w:rsidRPr="00BC0269" w:rsidRDefault="00A76167" w:rsidP="00A73E11">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A79326F" w14:textId="74F67018" w:rsidR="00A76167" w:rsidRPr="00BC0269" w:rsidRDefault="00A76167">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4690BBBE" w14:textId="7ACF121A" w:rsidR="00A76167" w:rsidRPr="00BC0269" w:rsidRDefault="00A76167">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397F45AF" w14:textId="77E3D77F" w:rsidR="00A76167" w:rsidRPr="00BC0269" w:rsidRDefault="00A76167">
                            <w:pPr>
                              <w:spacing w:after="0"/>
                              <w:rPr>
                                <w:sz w:val="18"/>
                                <w:szCs w:val="20"/>
                              </w:rPr>
                            </w:pPr>
                          </w:p>
                        </w:tc>
                      </w:tr>
                      <w:tr w:rsidR="00A76167" w:rsidRPr="00BC0269" w14:paraId="07B74EC9"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B4984D1" w14:textId="77777777" w:rsidR="00A76167" w:rsidRPr="00BC0269" w:rsidRDefault="00A76167">
                            <w:pPr>
                              <w:spacing w:after="0"/>
                              <w:rPr>
                                <w:sz w:val="18"/>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E792742" w14:textId="77777777" w:rsidR="00A76167" w:rsidRPr="00BC0269" w:rsidRDefault="00A76167">
                            <w:pPr>
                              <w:spacing w:after="0"/>
                              <w:rPr>
                                <w:sz w:val="18"/>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78E3E6F0" w14:textId="77777777" w:rsidR="00A76167" w:rsidRPr="00BC0269" w:rsidRDefault="00A76167">
                            <w:pPr>
                              <w:spacing w:after="0"/>
                              <w:rPr>
                                <w:sz w:val="18"/>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5A1F8ED4" w14:textId="77777777" w:rsidR="00A76167" w:rsidRPr="00BC0269" w:rsidRDefault="00A76167">
                            <w:pPr>
                              <w:spacing w:after="0"/>
                              <w:rPr>
                                <w:sz w:val="18"/>
                                <w:szCs w:val="20"/>
                              </w:rPr>
                            </w:pPr>
                          </w:p>
                        </w:tc>
                      </w:tr>
                      <w:tr w:rsidR="00A76167" w:rsidRPr="00BC0269" w14:paraId="6ED92560" w14:textId="77777777" w:rsidTr="00110985">
                        <w:tc>
                          <w:tcPr>
                            <w:tcW w:w="1101"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1E561A7C" w14:textId="77777777" w:rsidR="00A76167" w:rsidRPr="00BC0269" w:rsidRDefault="00A76167">
                            <w:pPr>
                              <w:spacing w:after="0"/>
                              <w:rPr>
                                <w:b/>
                                <w:sz w:val="20"/>
                                <w:szCs w:val="20"/>
                              </w:rPr>
                            </w:pPr>
                          </w:p>
                        </w:tc>
                        <w:tc>
                          <w:tcPr>
                            <w:tcW w:w="992"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842D9FE" w14:textId="77777777" w:rsidR="00A76167" w:rsidRPr="00BC0269" w:rsidRDefault="00A76167">
                            <w:pPr>
                              <w:spacing w:after="0"/>
                              <w:rPr>
                                <w:b/>
                                <w:sz w:val="20"/>
                                <w:szCs w:val="20"/>
                              </w:rPr>
                            </w:pPr>
                          </w:p>
                        </w:tc>
                        <w:tc>
                          <w:tcPr>
                            <w:tcW w:w="2410"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67B1C208" w14:textId="77777777" w:rsidR="00A76167" w:rsidRPr="00BC0269" w:rsidRDefault="00A76167">
                            <w:pPr>
                              <w:spacing w:after="0"/>
                              <w:rPr>
                                <w:b/>
                                <w:sz w:val="20"/>
                                <w:szCs w:val="20"/>
                              </w:rPr>
                            </w:pPr>
                          </w:p>
                        </w:tc>
                        <w:tc>
                          <w:tcPr>
                            <w:tcW w:w="5244" w:type="dxa"/>
                            <w:tcBorders>
                              <w:top w:val="single" w:sz="4" w:space="0" w:color="FAFCFC" w:themeColor="background1"/>
                              <w:left w:val="single" w:sz="4" w:space="0" w:color="FAFCFC" w:themeColor="background1"/>
                              <w:bottom w:val="single" w:sz="4" w:space="0" w:color="FAFCFC" w:themeColor="background1"/>
                              <w:right w:val="single" w:sz="4" w:space="0" w:color="FAFCFC" w:themeColor="background1"/>
                            </w:tcBorders>
                            <w:shd w:val="clear" w:color="auto" w:fill="F0F8FC" w:themeFill="background2"/>
                          </w:tcPr>
                          <w:p w14:paraId="296DA82A" w14:textId="77777777" w:rsidR="00A76167" w:rsidRPr="00BC0269" w:rsidRDefault="00A76167">
                            <w:pPr>
                              <w:spacing w:after="0"/>
                              <w:rPr>
                                <w:b/>
                                <w:sz w:val="20"/>
                                <w:szCs w:val="20"/>
                              </w:rPr>
                            </w:pPr>
                          </w:p>
                        </w:tc>
                      </w:tr>
                    </w:tbl>
                    <w:p w14:paraId="1B7BD714" w14:textId="77777777" w:rsidR="00A76167" w:rsidRPr="00BC0269" w:rsidRDefault="00A76167" w:rsidP="00110985">
                      <w:pPr>
                        <w:textboxTightWrap w:val="allLines"/>
                      </w:pPr>
                    </w:p>
                    <w:p w14:paraId="2586DDB4" w14:textId="77777777" w:rsidR="00A76167" w:rsidRPr="00BC0269" w:rsidRDefault="00A76167" w:rsidP="002A7E9E">
                      <w:pPr>
                        <w:textboxTightWrap w:val="allLines"/>
                      </w:pPr>
                    </w:p>
                    <w:p w14:paraId="6C367D3D" w14:textId="77777777" w:rsidR="00A76167" w:rsidRPr="00BC0269" w:rsidRDefault="00A76167"/>
                  </w:txbxContent>
                </v:textbox>
                <w10:anchorlock/>
              </v:shape>
            </w:pict>
          </mc:Fallback>
        </mc:AlternateContent>
      </w:r>
    </w:p>
    <w:p w14:paraId="7AEF0BA5" w14:textId="6B5475C5" w:rsidR="001D243C" w:rsidRPr="00A76167" w:rsidRDefault="001D243C" w:rsidP="00B77C41">
      <w:pPr>
        <w:pStyle w:val="Frontpagesubhead"/>
        <w:rPr>
          <w:rFonts w:cs="Arial"/>
          <w:color w:val="auto"/>
          <w:sz w:val="22"/>
          <w:szCs w:val="22"/>
        </w:rPr>
      </w:pPr>
    </w:p>
    <w:p w14:paraId="6ECA0815" w14:textId="79F08CD2" w:rsidR="00BC0269" w:rsidRPr="00A76167" w:rsidRDefault="00BC0269" w:rsidP="00BC0269">
      <w:pPr>
        <w:rPr>
          <w:rFonts w:cs="Arial"/>
          <w:sz w:val="22"/>
          <w:szCs w:val="22"/>
        </w:rPr>
      </w:pPr>
    </w:p>
    <w:p w14:paraId="6FEB6EC0" w14:textId="0E01FE94" w:rsidR="00BC0269" w:rsidRPr="00A76167" w:rsidRDefault="00BC0269" w:rsidP="00BC0269">
      <w:pPr>
        <w:rPr>
          <w:rFonts w:cs="Arial"/>
          <w:sz w:val="22"/>
          <w:szCs w:val="22"/>
        </w:rPr>
      </w:pPr>
    </w:p>
    <w:p w14:paraId="6BD4122E" w14:textId="31790ADD" w:rsidR="00BC0269" w:rsidRPr="00A76167" w:rsidRDefault="00BC0269" w:rsidP="00BC0269">
      <w:pPr>
        <w:rPr>
          <w:rFonts w:cs="Arial"/>
          <w:sz w:val="22"/>
          <w:szCs w:val="22"/>
        </w:rPr>
      </w:pPr>
    </w:p>
    <w:p w14:paraId="0B591800" w14:textId="70A9C68D" w:rsidR="00BC0269" w:rsidRPr="00A76167" w:rsidRDefault="00BC0269" w:rsidP="00BC0269">
      <w:pPr>
        <w:jc w:val="right"/>
        <w:rPr>
          <w:rFonts w:cs="Arial"/>
          <w:b/>
          <w:sz w:val="22"/>
          <w:szCs w:val="22"/>
        </w:rPr>
      </w:pPr>
    </w:p>
    <w:p w14:paraId="6A5B8915" w14:textId="349360F7" w:rsidR="00BC0269" w:rsidRPr="00A76167" w:rsidRDefault="00BC0269" w:rsidP="00BC0269">
      <w:pPr>
        <w:rPr>
          <w:rFonts w:cs="Arial"/>
          <w:b/>
          <w:sz w:val="22"/>
          <w:szCs w:val="22"/>
        </w:rPr>
      </w:pPr>
    </w:p>
    <w:p w14:paraId="6C367C3B" w14:textId="73FA74B0" w:rsidR="00BC0269" w:rsidRPr="00A76167" w:rsidRDefault="00BC0269" w:rsidP="00BC0269">
      <w:pPr>
        <w:rPr>
          <w:rFonts w:cs="Arial"/>
          <w:sz w:val="22"/>
          <w:szCs w:val="22"/>
        </w:rPr>
        <w:sectPr w:rsidR="00BC0269" w:rsidRPr="00A76167" w:rsidSect="000C24AF">
          <w:headerReference w:type="default" r:id="rId9"/>
          <w:footerReference w:type="default" r:id="rId10"/>
          <w:pgSz w:w="11906" w:h="16838"/>
          <w:pgMar w:top="1021" w:right="1021" w:bottom="1021" w:left="1021" w:header="454" w:footer="680" w:gutter="0"/>
          <w:cols w:space="708"/>
          <w:docGrid w:linePitch="360"/>
        </w:sectPr>
      </w:pPr>
    </w:p>
    <w:p w14:paraId="6C367C3C" w14:textId="77777777" w:rsidR="00772A5C" w:rsidRPr="00A76167" w:rsidRDefault="00772A5C" w:rsidP="00772A5C">
      <w:pPr>
        <w:pStyle w:val="Heading1"/>
        <w:rPr>
          <w:rFonts w:eastAsia="MS Mincho"/>
          <w:color w:val="auto"/>
          <w:sz w:val="28"/>
          <w:szCs w:val="28"/>
        </w:rPr>
      </w:pPr>
      <w:r w:rsidRPr="00A76167">
        <w:rPr>
          <w:rFonts w:eastAsia="MS Mincho"/>
          <w:color w:val="auto"/>
          <w:sz w:val="28"/>
          <w:szCs w:val="28"/>
        </w:rPr>
        <w:lastRenderedPageBreak/>
        <w:t>Application Form</w:t>
      </w:r>
    </w:p>
    <w:p w14:paraId="344DC8AB" w14:textId="5812EE1D" w:rsidR="00D47EDC" w:rsidRDefault="00D47EDC">
      <w:r>
        <w:t>Section1  Introduction /Overview</w:t>
      </w:r>
    </w:p>
    <w:tbl>
      <w:tblPr>
        <w:tblStyle w:val="TableGrid1"/>
        <w:tblW w:w="0" w:type="auto"/>
        <w:tblInd w:w="108" w:type="dxa"/>
        <w:tblLook w:val="04A0" w:firstRow="1" w:lastRow="0" w:firstColumn="1" w:lastColumn="0" w:noHBand="0" w:noVBand="1"/>
      </w:tblPr>
      <w:tblGrid>
        <w:gridCol w:w="2246"/>
        <w:gridCol w:w="6671"/>
      </w:tblGrid>
      <w:tr w:rsidR="00D47EDC" w:rsidRPr="00A76167" w14:paraId="6C367C42" w14:textId="77777777" w:rsidTr="00D47EDC">
        <w:tc>
          <w:tcPr>
            <w:tcW w:w="2246" w:type="dxa"/>
            <w:shd w:val="clear" w:color="auto" w:fill="auto"/>
          </w:tcPr>
          <w:p w14:paraId="6C367C40" w14:textId="08C12A5D" w:rsidR="00D47EDC" w:rsidRPr="00A76167" w:rsidRDefault="00D47EDC" w:rsidP="00A76167">
            <w:pPr>
              <w:pStyle w:val="ListParagraph"/>
              <w:numPr>
                <w:ilvl w:val="1"/>
                <w:numId w:val="44"/>
              </w:numPr>
              <w:spacing w:before="240"/>
              <w:rPr>
                <w:b/>
                <w:sz w:val="22"/>
                <w:szCs w:val="22"/>
              </w:rPr>
            </w:pPr>
            <w:permStart w:id="319383352" w:edGrp="everyone" w:colFirst="1" w:colLast="1"/>
            <w:r w:rsidRPr="00A76167">
              <w:rPr>
                <w:b/>
                <w:sz w:val="22"/>
                <w:szCs w:val="22"/>
              </w:rPr>
              <w:t>Title</w:t>
            </w:r>
          </w:p>
        </w:tc>
        <w:tc>
          <w:tcPr>
            <w:tcW w:w="6671" w:type="dxa"/>
            <w:shd w:val="clear" w:color="auto" w:fill="auto"/>
          </w:tcPr>
          <w:p w14:paraId="6C367C41" w14:textId="30F00902" w:rsidR="00D47EDC" w:rsidRPr="00A76167" w:rsidRDefault="00D47EDC" w:rsidP="00A73E11">
            <w:pPr>
              <w:spacing w:before="240"/>
              <w:rPr>
                <w:sz w:val="22"/>
                <w:szCs w:val="22"/>
              </w:rPr>
            </w:pPr>
          </w:p>
        </w:tc>
      </w:tr>
      <w:tr w:rsidR="00D47EDC" w:rsidRPr="00A76167" w14:paraId="6C367C46" w14:textId="77777777" w:rsidTr="00D47EDC">
        <w:tc>
          <w:tcPr>
            <w:tcW w:w="2246" w:type="dxa"/>
            <w:shd w:val="clear" w:color="auto" w:fill="auto"/>
          </w:tcPr>
          <w:p w14:paraId="6C367C44" w14:textId="2AE6A57E" w:rsidR="00D47EDC" w:rsidRPr="00A76167" w:rsidRDefault="00D47EDC" w:rsidP="00772A5C">
            <w:pPr>
              <w:spacing w:before="240"/>
              <w:rPr>
                <w:b/>
                <w:sz w:val="22"/>
                <w:szCs w:val="22"/>
              </w:rPr>
            </w:pPr>
            <w:permStart w:id="67990115" w:edGrp="everyone" w:colFirst="1" w:colLast="1"/>
            <w:permEnd w:id="319383352"/>
            <w:r>
              <w:rPr>
                <w:b/>
                <w:sz w:val="22"/>
                <w:szCs w:val="22"/>
              </w:rPr>
              <w:t xml:space="preserve">1.2 </w:t>
            </w:r>
            <w:r w:rsidRPr="00A76167">
              <w:rPr>
                <w:b/>
                <w:sz w:val="22"/>
                <w:szCs w:val="22"/>
              </w:rPr>
              <w:t>Set or domain</w:t>
            </w:r>
          </w:p>
        </w:tc>
        <w:tc>
          <w:tcPr>
            <w:tcW w:w="6671" w:type="dxa"/>
            <w:shd w:val="clear" w:color="auto" w:fill="auto"/>
          </w:tcPr>
          <w:p w14:paraId="6C367C45" w14:textId="1D6105A0" w:rsidR="00D47EDC" w:rsidRPr="00A76167" w:rsidRDefault="00D47EDC" w:rsidP="00772A5C">
            <w:pPr>
              <w:spacing w:before="240"/>
              <w:rPr>
                <w:sz w:val="22"/>
                <w:szCs w:val="22"/>
              </w:rPr>
            </w:pPr>
            <w:r w:rsidRPr="00A76167">
              <w:rPr>
                <w:sz w:val="22"/>
                <w:szCs w:val="22"/>
              </w:rPr>
              <w:t>CCG OIS 5.1</w:t>
            </w:r>
          </w:p>
        </w:tc>
      </w:tr>
      <w:tr w:rsidR="00D47EDC" w:rsidRPr="00A76167" w14:paraId="6C367C4A" w14:textId="77777777" w:rsidTr="00D47EDC">
        <w:tc>
          <w:tcPr>
            <w:tcW w:w="2246" w:type="dxa"/>
            <w:shd w:val="clear" w:color="auto" w:fill="auto"/>
          </w:tcPr>
          <w:p w14:paraId="6C367C48" w14:textId="3225351A" w:rsidR="00D47EDC" w:rsidRPr="00A76167" w:rsidRDefault="00D47EDC" w:rsidP="00772A5C">
            <w:pPr>
              <w:spacing w:before="240"/>
              <w:rPr>
                <w:b/>
                <w:sz w:val="22"/>
                <w:szCs w:val="22"/>
              </w:rPr>
            </w:pPr>
            <w:permStart w:id="807733022" w:edGrp="everyone" w:colFirst="1" w:colLast="1"/>
            <w:permEnd w:id="67990115"/>
            <w:r>
              <w:rPr>
                <w:b/>
                <w:sz w:val="22"/>
                <w:szCs w:val="22"/>
              </w:rPr>
              <w:t xml:space="preserve">1.3 </w:t>
            </w:r>
            <w:r w:rsidRPr="00A76167">
              <w:rPr>
                <w:b/>
                <w:sz w:val="22"/>
                <w:szCs w:val="22"/>
              </w:rPr>
              <w:t>Topic area</w:t>
            </w:r>
          </w:p>
        </w:tc>
        <w:tc>
          <w:tcPr>
            <w:tcW w:w="6671" w:type="dxa"/>
            <w:shd w:val="clear" w:color="auto" w:fill="auto"/>
          </w:tcPr>
          <w:p w14:paraId="6C367C49" w14:textId="2E219FF2" w:rsidR="00D47EDC" w:rsidRPr="00A76167" w:rsidRDefault="00D47EDC" w:rsidP="00772A5C">
            <w:pPr>
              <w:spacing w:before="240"/>
              <w:rPr>
                <w:sz w:val="22"/>
                <w:szCs w:val="22"/>
              </w:rPr>
            </w:pPr>
            <w:r w:rsidRPr="00A76167">
              <w:rPr>
                <w:sz w:val="22"/>
                <w:szCs w:val="22"/>
              </w:rPr>
              <w:t>Patient Safety</w:t>
            </w:r>
          </w:p>
        </w:tc>
      </w:tr>
      <w:tr w:rsidR="00D47EDC" w:rsidRPr="00A76167" w14:paraId="6C367C4E" w14:textId="77777777" w:rsidTr="00D47EDC">
        <w:tc>
          <w:tcPr>
            <w:tcW w:w="2246" w:type="dxa"/>
            <w:shd w:val="clear" w:color="auto" w:fill="auto"/>
          </w:tcPr>
          <w:p w14:paraId="6C367C4C" w14:textId="360E607E" w:rsidR="00D47EDC" w:rsidRPr="00A76167" w:rsidRDefault="00D47EDC" w:rsidP="00772A5C">
            <w:pPr>
              <w:spacing w:before="240"/>
              <w:rPr>
                <w:b/>
                <w:sz w:val="22"/>
                <w:szCs w:val="22"/>
              </w:rPr>
            </w:pPr>
            <w:permStart w:id="1632713430" w:edGrp="everyone" w:colFirst="1" w:colLast="1"/>
            <w:permEnd w:id="807733022"/>
            <w:r>
              <w:rPr>
                <w:b/>
                <w:sz w:val="22"/>
                <w:szCs w:val="22"/>
              </w:rPr>
              <w:t xml:space="preserve">1.4 </w:t>
            </w:r>
            <w:r w:rsidRPr="00A76167">
              <w:rPr>
                <w:b/>
                <w:sz w:val="22"/>
                <w:szCs w:val="22"/>
              </w:rPr>
              <w:t>Definition</w:t>
            </w:r>
          </w:p>
        </w:tc>
        <w:tc>
          <w:tcPr>
            <w:tcW w:w="6671" w:type="dxa"/>
            <w:shd w:val="clear" w:color="auto" w:fill="auto"/>
          </w:tcPr>
          <w:p w14:paraId="6C367C4D" w14:textId="1C2A179E" w:rsidR="00D47EDC" w:rsidRPr="00A76167" w:rsidRDefault="00D47EDC" w:rsidP="00BC0269">
            <w:pPr>
              <w:spacing w:before="240"/>
              <w:rPr>
                <w:sz w:val="22"/>
                <w:szCs w:val="22"/>
              </w:rPr>
            </w:pPr>
            <w:r w:rsidRPr="00A76167">
              <w:rPr>
                <w:sz w:val="22"/>
                <w:szCs w:val="22"/>
              </w:rPr>
              <w:t>For each of a CCG’s five main providers, this indicator shows the rate of Patient Safety incidents per 1,000 total provider bed days. Patient safety incidents are any unintended or unexpected incident which could have, or did, lead to harm for one or more patients receiving NHS-funded healthcare</w:t>
            </w:r>
            <w:r w:rsidRPr="00A76167">
              <w:rPr>
                <w:rStyle w:val="FootnoteReference"/>
                <w:sz w:val="22"/>
                <w:szCs w:val="22"/>
              </w:rPr>
              <w:footnoteReference w:id="1"/>
            </w:r>
          </w:p>
        </w:tc>
      </w:tr>
      <w:tr w:rsidR="00D47EDC" w:rsidRPr="00A76167" w14:paraId="6C367C52" w14:textId="77777777" w:rsidTr="00D47EDC">
        <w:tc>
          <w:tcPr>
            <w:tcW w:w="2246" w:type="dxa"/>
            <w:shd w:val="clear" w:color="auto" w:fill="auto"/>
          </w:tcPr>
          <w:p w14:paraId="6C367C50" w14:textId="53436A62" w:rsidR="00D47EDC" w:rsidRPr="00A76167" w:rsidRDefault="00D47EDC" w:rsidP="00772A5C">
            <w:pPr>
              <w:spacing w:before="240"/>
              <w:rPr>
                <w:b/>
                <w:sz w:val="22"/>
                <w:szCs w:val="22"/>
              </w:rPr>
            </w:pPr>
            <w:permStart w:id="652289934" w:edGrp="everyone" w:colFirst="1" w:colLast="1"/>
            <w:permEnd w:id="1632713430"/>
            <w:r w:rsidRPr="00A76167">
              <w:rPr>
                <w:b/>
                <w:sz w:val="22"/>
                <w:szCs w:val="22"/>
              </w:rPr>
              <w:t>I</w:t>
            </w:r>
            <w:r>
              <w:rPr>
                <w:b/>
                <w:sz w:val="22"/>
                <w:szCs w:val="22"/>
              </w:rPr>
              <w:t xml:space="preserve">1.5 </w:t>
            </w:r>
            <w:proofErr w:type="spellStart"/>
            <w:r w:rsidRPr="00A76167">
              <w:rPr>
                <w:b/>
                <w:sz w:val="22"/>
                <w:szCs w:val="22"/>
              </w:rPr>
              <w:t>ndicator</w:t>
            </w:r>
            <w:proofErr w:type="spellEnd"/>
            <w:r w:rsidRPr="00A76167">
              <w:rPr>
                <w:b/>
                <w:sz w:val="22"/>
                <w:szCs w:val="22"/>
              </w:rPr>
              <w:t xml:space="preserve"> owner &amp; contact details</w:t>
            </w:r>
          </w:p>
        </w:tc>
        <w:tc>
          <w:tcPr>
            <w:tcW w:w="6671" w:type="dxa"/>
            <w:shd w:val="clear" w:color="auto" w:fill="auto"/>
          </w:tcPr>
          <w:p w14:paraId="6C367C51" w14:textId="77777777" w:rsidR="00D47EDC" w:rsidRPr="00A76167" w:rsidRDefault="00D47EDC" w:rsidP="00772A5C">
            <w:pPr>
              <w:spacing w:before="240"/>
              <w:rPr>
                <w:sz w:val="22"/>
                <w:szCs w:val="22"/>
              </w:rPr>
            </w:pPr>
          </w:p>
        </w:tc>
      </w:tr>
      <w:tr w:rsidR="00D47EDC" w:rsidRPr="00A76167" w14:paraId="6C367C56" w14:textId="77777777" w:rsidTr="00D47EDC">
        <w:tc>
          <w:tcPr>
            <w:tcW w:w="2246" w:type="dxa"/>
            <w:shd w:val="clear" w:color="auto" w:fill="auto"/>
          </w:tcPr>
          <w:p w14:paraId="6C367C54" w14:textId="4D52DBAA" w:rsidR="00D47EDC" w:rsidRPr="00A76167" w:rsidRDefault="00D47EDC" w:rsidP="00772A5C">
            <w:pPr>
              <w:spacing w:before="240"/>
              <w:rPr>
                <w:b/>
                <w:sz w:val="22"/>
                <w:szCs w:val="22"/>
              </w:rPr>
            </w:pPr>
            <w:permStart w:id="2123710781" w:edGrp="everyone" w:colFirst="1" w:colLast="1"/>
            <w:permEnd w:id="652289934"/>
            <w:r>
              <w:rPr>
                <w:b/>
                <w:sz w:val="22"/>
                <w:szCs w:val="22"/>
              </w:rPr>
              <w:t xml:space="preserve">1.6 </w:t>
            </w:r>
            <w:r w:rsidRPr="00A76167">
              <w:rPr>
                <w:b/>
                <w:sz w:val="22"/>
                <w:szCs w:val="22"/>
              </w:rPr>
              <w:t>Publication status</w:t>
            </w:r>
          </w:p>
        </w:tc>
        <w:sdt>
          <w:sdtPr>
            <w:rPr>
              <w:sz w:val="22"/>
              <w:szCs w:val="22"/>
            </w:rPr>
            <w:alias w:val="Publication status"/>
            <w:tag w:val="Publication status"/>
            <w:id w:val="-694159432"/>
            <w:placeholder>
              <w:docPart w:val="0ADE1DEF9BA34C02AD824B4F7E6081DD"/>
            </w:placeholder>
            <w:comboBox>
              <w:listItem w:value="Choose an item."/>
              <w:listItem w:displayText="Currently in publication" w:value="Currently in publication"/>
              <w:listItem w:displayText="Not currently in publication" w:value="Not currently in publication"/>
            </w:comboBox>
          </w:sdtPr>
          <w:sdtEndPr/>
          <w:sdtContent>
            <w:tc>
              <w:tcPr>
                <w:tcW w:w="6671" w:type="dxa"/>
                <w:shd w:val="clear" w:color="auto" w:fill="auto"/>
              </w:tcPr>
              <w:p w14:paraId="6C367C55" w14:textId="24E34304" w:rsidR="00D47EDC" w:rsidRPr="00A76167" w:rsidRDefault="00D47EDC" w:rsidP="00772A5C">
                <w:pPr>
                  <w:spacing w:before="240"/>
                  <w:rPr>
                    <w:sz w:val="22"/>
                    <w:szCs w:val="22"/>
                  </w:rPr>
                </w:pPr>
                <w:r w:rsidRPr="00A76167">
                  <w:rPr>
                    <w:sz w:val="22"/>
                    <w:szCs w:val="22"/>
                  </w:rPr>
                  <w:t>Currently in publication</w:t>
                </w:r>
              </w:p>
            </w:tc>
          </w:sdtContent>
        </w:sdt>
      </w:tr>
    </w:tbl>
    <w:permEnd w:id="2123710781"/>
    <w:p w14:paraId="1E197005" w14:textId="0BD638CD" w:rsidR="00D47EDC" w:rsidRDefault="00D47EDC">
      <w:r>
        <w:t>Section 2 Rationale</w:t>
      </w:r>
    </w:p>
    <w:tbl>
      <w:tblPr>
        <w:tblStyle w:val="TableGrid1"/>
        <w:tblW w:w="0" w:type="auto"/>
        <w:tblInd w:w="108" w:type="dxa"/>
        <w:tblLook w:val="04A0" w:firstRow="1" w:lastRow="0" w:firstColumn="1" w:lastColumn="0" w:noHBand="0" w:noVBand="1"/>
      </w:tblPr>
      <w:tblGrid>
        <w:gridCol w:w="2246"/>
        <w:gridCol w:w="6671"/>
      </w:tblGrid>
      <w:tr w:rsidR="00D47EDC" w:rsidRPr="00A76167" w14:paraId="6C367C5C" w14:textId="77777777" w:rsidTr="00D47EDC">
        <w:tc>
          <w:tcPr>
            <w:tcW w:w="2246" w:type="dxa"/>
            <w:shd w:val="clear" w:color="auto" w:fill="auto"/>
          </w:tcPr>
          <w:p w14:paraId="6C367C5A" w14:textId="61ED62E9" w:rsidR="00D47EDC" w:rsidRPr="00A76167" w:rsidRDefault="00D47EDC" w:rsidP="00772A5C">
            <w:pPr>
              <w:spacing w:before="240"/>
              <w:rPr>
                <w:b/>
                <w:sz w:val="22"/>
                <w:szCs w:val="22"/>
              </w:rPr>
            </w:pPr>
            <w:permStart w:id="1566207409" w:edGrp="everyone" w:colFirst="1" w:colLast="1"/>
            <w:r>
              <w:rPr>
                <w:b/>
                <w:sz w:val="22"/>
                <w:szCs w:val="22"/>
              </w:rPr>
              <w:t xml:space="preserve">2.1 </w:t>
            </w:r>
            <w:r w:rsidRPr="00A76167">
              <w:rPr>
                <w:b/>
                <w:sz w:val="22"/>
                <w:szCs w:val="22"/>
              </w:rPr>
              <w:t>Purpose</w:t>
            </w:r>
          </w:p>
        </w:tc>
        <w:tc>
          <w:tcPr>
            <w:tcW w:w="6671" w:type="dxa"/>
            <w:shd w:val="clear" w:color="auto" w:fill="auto"/>
          </w:tcPr>
          <w:p w14:paraId="6C367C5B" w14:textId="06417220" w:rsidR="00D47EDC" w:rsidRPr="00A76167" w:rsidRDefault="00D47EDC" w:rsidP="00772A5C">
            <w:pPr>
              <w:spacing w:before="240"/>
              <w:rPr>
                <w:sz w:val="22"/>
                <w:szCs w:val="22"/>
              </w:rPr>
            </w:pPr>
            <w:r w:rsidRPr="00A76167">
              <w:rPr>
                <w:sz w:val="22"/>
                <w:szCs w:val="22"/>
              </w:rPr>
              <w:t>It is impossible to eliminate entirely adverse events in healthcare but the need to learn from the events is understood. Work is on-going to improve data collection to support the reduction in these incidents.</w:t>
            </w:r>
          </w:p>
        </w:tc>
      </w:tr>
      <w:tr w:rsidR="00D47EDC" w:rsidRPr="00A76167" w14:paraId="6C367C60" w14:textId="77777777" w:rsidTr="00D47EDC">
        <w:tc>
          <w:tcPr>
            <w:tcW w:w="2246" w:type="dxa"/>
            <w:shd w:val="clear" w:color="auto" w:fill="auto"/>
          </w:tcPr>
          <w:p w14:paraId="6C367C5E" w14:textId="4C6B7D46" w:rsidR="00D47EDC" w:rsidRPr="00A76167" w:rsidRDefault="00D47EDC" w:rsidP="00772A5C">
            <w:pPr>
              <w:spacing w:before="240"/>
              <w:rPr>
                <w:b/>
                <w:sz w:val="22"/>
                <w:szCs w:val="22"/>
              </w:rPr>
            </w:pPr>
            <w:permStart w:id="679152017" w:edGrp="everyone" w:colFirst="1" w:colLast="1"/>
            <w:permEnd w:id="1566207409"/>
            <w:r>
              <w:rPr>
                <w:b/>
                <w:sz w:val="22"/>
                <w:szCs w:val="22"/>
              </w:rPr>
              <w:t xml:space="preserve">2.2 </w:t>
            </w:r>
            <w:r w:rsidRPr="00A76167">
              <w:rPr>
                <w:b/>
                <w:sz w:val="22"/>
                <w:szCs w:val="22"/>
              </w:rPr>
              <w:t>Sponsor</w:t>
            </w:r>
          </w:p>
        </w:tc>
        <w:tc>
          <w:tcPr>
            <w:tcW w:w="6671" w:type="dxa"/>
            <w:shd w:val="clear" w:color="auto" w:fill="auto"/>
          </w:tcPr>
          <w:p w14:paraId="6C367C5F" w14:textId="77777777" w:rsidR="00D47EDC" w:rsidRPr="00A76167" w:rsidRDefault="00D47EDC" w:rsidP="00772A5C">
            <w:pPr>
              <w:spacing w:before="240"/>
              <w:rPr>
                <w:sz w:val="22"/>
                <w:szCs w:val="22"/>
              </w:rPr>
            </w:pPr>
          </w:p>
        </w:tc>
      </w:tr>
      <w:tr w:rsidR="00D47EDC" w:rsidRPr="00A76167" w14:paraId="6C367C64" w14:textId="77777777" w:rsidTr="00D47EDC">
        <w:tc>
          <w:tcPr>
            <w:tcW w:w="2246" w:type="dxa"/>
            <w:shd w:val="clear" w:color="auto" w:fill="auto"/>
          </w:tcPr>
          <w:p w14:paraId="6C367C62" w14:textId="60A39A28" w:rsidR="00D47EDC" w:rsidRPr="00A76167" w:rsidRDefault="00D47EDC" w:rsidP="00772A5C">
            <w:pPr>
              <w:spacing w:before="240"/>
              <w:rPr>
                <w:b/>
                <w:sz w:val="22"/>
                <w:szCs w:val="22"/>
              </w:rPr>
            </w:pPr>
            <w:permStart w:id="1004150500" w:edGrp="everyone" w:colFirst="1" w:colLast="1"/>
            <w:permEnd w:id="679152017"/>
            <w:r>
              <w:rPr>
                <w:b/>
                <w:sz w:val="22"/>
                <w:szCs w:val="22"/>
              </w:rPr>
              <w:t xml:space="preserve">2.3 </w:t>
            </w:r>
            <w:r w:rsidRPr="00A76167">
              <w:rPr>
                <w:b/>
                <w:sz w:val="22"/>
                <w:szCs w:val="22"/>
              </w:rPr>
              <w:t>Endorsement</w:t>
            </w:r>
          </w:p>
        </w:tc>
        <w:tc>
          <w:tcPr>
            <w:tcW w:w="6671" w:type="dxa"/>
            <w:shd w:val="clear" w:color="auto" w:fill="auto"/>
          </w:tcPr>
          <w:p w14:paraId="6C367C63" w14:textId="77777777" w:rsidR="00D47EDC" w:rsidRPr="00A76167" w:rsidRDefault="00D47EDC" w:rsidP="00772A5C">
            <w:pPr>
              <w:spacing w:before="240"/>
              <w:rPr>
                <w:sz w:val="22"/>
                <w:szCs w:val="22"/>
              </w:rPr>
            </w:pPr>
          </w:p>
        </w:tc>
      </w:tr>
      <w:tr w:rsidR="00D47EDC" w:rsidRPr="00A76167" w14:paraId="6C367C68" w14:textId="77777777" w:rsidTr="00D47EDC">
        <w:tc>
          <w:tcPr>
            <w:tcW w:w="2246" w:type="dxa"/>
            <w:shd w:val="clear" w:color="auto" w:fill="auto"/>
          </w:tcPr>
          <w:p w14:paraId="3139D48C" w14:textId="62B3DFE5" w:rsidR="00D47EDC" w:rsidRPr="00A76167" w:rsidRDefault="00D47EDC" w:rsidP="00772A5C">
            <w:pPr>
              <w:spacing w:before="240"/>
              <w:rPr>
                <w:b/>
                <w:sz w:val="22"/>
                <w:szCs w:val="22"/>
              </w:rPr>
            </w:pPr>
            <w:permStart w:id="1456490525" w:edGrp="everyone" w:colFirst="1" w:colLast="1"/>
            <w:permEnd w:id="1004150500"/>
            <w:r>
              <w:rPr>
                <w:b/>
                <w:sz w:val="22"/>
                <w:szCs w:val="22"/>
              </w:rPr>
              <w:t xml:space="preserve">2.4 </w:t>
            </w:r>
            <w:r w:rsidRPr="00A76167">
              <w:rPr>
                <w:b/>
                <w:sz w:val="22"/>
                <w:szCs w:val="22"/>
              </w:rPr>
              <w:t>Evidence and Policy base</w:t>
            </w:r>
          </w:p>
          <w:p w14:paraId="6C367C66" w14:textId="326E2297" w:rsidR="00D47EDC" w:rsidRPr="00A76167" w:rsidRDefault="00D47EDC" w:rsidP="002C446A">
            <w:pPr>
              <w:rPr>
                <w:sz w:val="22"/>
                <w:szCs w:val="22"/>
              </w:rPr>
            </w:pPr>
            <w:r w:rsidRPr="00A76167">
              <w:rPr>
                <w:sz w:val="22"/>
                <w:szCs w:val="22"/>
              </w:rPr>
              <w:t>Including related national incentives, critical business question, NICE quality standard and set or domain rationale, if appropriate</w:t>
            </w:r>
          </w:p>
        </w:tc>
        <w:tc>
          <w:tcPr>
            <w:tcW w:w="6671" w:type="dxa"/>
            <w:shd w:val="clear" w:color="auto" w:fill="auto"/>
          </w:tcPr>
          <w:p w14:paraId="6C367C67" w14:textId="24F53A42" w:rsidR="00D47EDC" w:rsidRPr="00A76167" w:rsidRDefault="00D47EDC" w:rsidP="00772A5C">
            <w:pPr>
              <w:spacing w:before="240"/>
              <w:rPr>
                <w:sz w:val="22"/>
                <w:szCs w:val="22"/>
              </w:rPr>
            </w:pPr>
            <w:r w:rsidRPr="00A76167">
              <w:rPr>
                <w:sz w:val="22"/>
                <w:szCs w:val="22"/>
              </w:rPr>
              <w:t xml:space="preserve">Building A Safer NHS For Patients’ sets out the Government's plans for promoting patient safety following the publication of the report ‘An Organisation with a Memory’ and the commitment to implement it in the NHS Plan. It places patient safety in the context of the Government's NHS quality programme and highlights key linkages to other Government initiatives. Central to the plan is the new mandatory, national reporting scheme for adverse health care events and near misses within the NHS. This will enhance existing mechanisms for improving quality of care </w:t>
            </w:r>
            <w:r w:rsidRPr="00A76167">
              <w:rPr>
                <w:sz w:val="22"/>
                <w:szCs w:val="22"/>
              </w:rPr>
              <w:lastRenderedPageBreak/>
              <w:t>and promoting patient safety by harnessing learning throughout the NHS when something goes wrong.</w:t>
            </w:r>
            <w:r w:rsidRPr="00A76167">
              <w:rPr>
                <w:rStyle w:val="FootnoteReference"/>
                <w:sz w:val="22"/>
                <w:szCs w:val="22"/>
              </w:rPr>
              <w:footnoteReference w:id="2"/>
            </w:r>
          </w:p>
        </w:tc>
      </w:tr>
      <w:permEnd w:id="1456490525"/>
    </w:tbl>
    <w:p w14:paraId="6C367C71" w14:textId="77777777" w:rsidR="00772A5C" w:rsidRPr="00A76167" w:rsidRDefault="00772A5C">
      <w:pPr>
        <w:rPr>
          <w:rFonts w:cs="Arial"/>
          <w:sz w:val="22"/>
          <w:szCs w:val="22"/>
        </w:rPr>
      </w:pPr>
      <w:r w:rsidRPr="00A76167">
        <w:rPr>
          <w:rFonts w:cs="Arial"/>
          <w:sz w:val="22"/>
          <w:szCs w:val="22"/>
        </w:rPr>
        <w:lastRenderedPageBreak/>
        <w:br w:type="page"/>
      </w:r>
    </w:p>
    <w:p w14:paraId="20F95729" w14:textId="0BAD1BFC" w:rsidR="00A76167" w:rsidRDefault="00A76167">
      <w:r>
        <w:lastRenderedPageBreak/>
        <w:t>Section 3 Data</w:t>
      </w:r>
    </w:p>
    <w:tbl>
      <w:tblPr>
        <w:tblStyle w:val="TableGrid1"/>
        <w:tblW w:w="9356" w:type="dxa"/>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ayout w:type="fixed"/>
        <w:tblLook w:val="04A0" w:firstRow="1" w:lastRow="0" w:firstColumn="1" w:lastColumn="0" w:noHBand="0" w:noVBand="1"/>
      </w:tblPr>
      <w:tblGrid>
        <w:gridCol w:w="1843"/>
        <w:gridCol w:w="7513"/>
      </w:tblGrid>
      <w:tr w:rsidR="00D47EDC" w:rsidRPr="00A76167" w14:paraId="4A4976A8" w14:textId="77777777" w:rsidTr="00D47EDC">
        <w:tc>
          <w:tcPr>
            <w:tcW w:w="1843" w:type="dxa"/>
            <w:tcBorders>
              <w:top w:val="single" w:sz="4" w:space="0" w:color="auto"/>
              <w:left w:val="single" w:sz="4" w:space="0" w:color="auto"/>
              <w:bottom w:val="single" w:sz="4" w:space="0" w:color="auto"/>
              <w:right w:val="single" w:sz="4" w:space="0" w:color="auto"/>
            </w:tcBorders>
            <w:shd w:val="clear" w:color="auto" w:fill="auto"/>
          </w:tcPr>
          <w:p w14:paraId="70A5572D" w14:textId="42A7787B" w:rsidR="00D47EDC" w:rsidRPr="00A76167" w:rsidRDefault="00D47EDC" w:rsidP="008C6900">
            <w:pPr>
              <w:spacing w:before="240"/>
              <w:ind w:left="34"/>
              <w:rPr>
                <w:b/>
                <w:sz w:val="22"/>
                <w:szCs w:val="22"/>
              </w:rPr>
            </w:pPr>
            <w:permStart w:id="560991579" w:edGrp="everyone" w:colFirst="1" w:colLast="1"/>
            <w:r>
              <w:rPr>
                <w:b/>
                <w:sz w:val="22"/>
                <w:szCs w:val="22"/>
              </w:rPr>
              <w:t>3.1</w:t>
            </w:r>
            <w:r w:rsidRPr="00A76167">
              <w:rPr>
                <w:b/>
                <w:sz w:val="22"/>
                <w:szCs w:val="22"/>
              </w:rPr>
              <w:t>Data source</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5DA9CD4B" w14:textId="77777777" w:rsidR="00D47EDC" w:rsidRPr="00A76167" w:rsidRDefault="00D47EDC" w:rsidP="00E65476">
            <w:pPr>
              <w:spacing w:before="240"/>
              <w:rPr>
                <w:b/>
                <w:sz w:val="22"/>
                <w:szCs w:val="22"/>
              </w:rPr>
            </w:pPr>
            <w:r w:rsidRPr="00A76167">
              <w:rPr>
                <w:b/>
                <w:sz w:val="22"/>
                <w:szCs w:val="22"/>
              </w:rPr>
              <w:t xml:space="preserve">Organisation Patient Safety Incident Workbook: </w:t>
            </w:r>
          </w:p>
          <w:p w14:paraId="56359E52" w14:textId="77777777" w:rsidR="00D47EDC" w:rsidRPr="00A76167" w:rsidRDefault="00D47EDC" w:rsidP="00E65476">
            <w:pPr>
              <w:spacing w:before="240"/>
              <w:rPr>
                <w:sz w:val="22"/>
                <w:szCs w:val="22"/>
              </w:rPr>
            </w:pPr>
            <w:r w:rsidRPr="00A76167">
              <w:rPr>
                <w:sz w:val="22"/>
                <w:szCs w:val="22"/>
              </w:rPr>
              <w:t xml:space="preserve">http://www.nrls.npsa.nhs.uk/patient-safety-data/organisation-patient-safety-incident-reports/directory/ </w:t>
            </w:r>
          </w:p>
          <w:p w14:paraId="62079517" w14:textId="77777777" w:rsidR="00D47EDC" w:rsidRPr="00A76167" w:rsidRDefault="00D47EDC" w:rsidP="00E65476">
            <w:pPr>
              <w:spacing w:before="240"/>
              <w:rPr>
                <w:sz w:val="22"/>
                <w:szCs w:val="22"/>
              </w:rPr>
            </w:pPr>
            <w:r w:rsidRPr="00A76167">
              <w:rPr>
                <w:sz w:val="22"/>
                <w:szCs w:val="22"/>
              </w:rPr>
              <w:t>These data have historically been reported to the National Patient Safety Agency (NPSA) by the National Reporting and Learning System (NRLS). This has now been transitioned to NHS England following the abolition of NPSA.</w:t>
            </w:r>
          </w:p>
          <w:p w14:paraId="120E5116" w14:textId="57EF835F" w:rsidR="00D47EDC" w:rsidRPr="00A76167" w:rsidRDefault="00D47EDC" w:rsidP="00E65476">
            <w:pPr>
              <w:spacing w:before="240"/>
              <w:rPr>
                <w:sz w:val="22"/>
                <w:szCs w:val="22"/>
              </w:rPr>
            </w:pPr>
            <w:r w:rsidRPr="00A76167">
              <w:rPr>
                <w:b/>
                <w:sz w:val="22"/>
                <w:szCs w:val="22"/>
              </w:rPr>
              <w:t>Hospital Episode Statistics (HES) Admitted Patient Care (APC)</w:t>
            </w:r>
            <w:r w:rsidRPr="00A76167">
              <w:rPr>
                <w:sz w:val="22"/>
                <w:szCs w:val="22"/>
              </w:rPr>
              <w:t xml:space="preserve"> is used to identify a CCG’s five main providers  http://www.hscic.gov.uk/hes</w:t>
            </w:r>
          </w:p>
        </w:tc>
      </w:tr>
      <w:tr w:rsidR="00D47EDC" w:rsidRPr="00A76167" w14:paraId="615F6EB8" w14:textId="77777777" w:rsidTr="00D47EDC">
        <w:tc>
          <w:tcPr>
            <w:tcW w:w="1843" w:type="dxa"/>
            <w:tcBorders>
              <w:top w:val="single" w:sz="4" w:space="0" w:color="auto"/>
              <w:left w:val="single" w:sz="4" w:space="0" w:color="auto"/>
              <w:bottom w:val="single" w:sz="4" w:space="0" w:color="auto"/>
              <w:right w:val="single" w:sz="4" w:space="0" w:color="auto"/>
            </w:tcBorders>
            <w:shd w:val="clear" w:color="auto" w:fill="auto"/>
          </w:tcPr>
          <w:p w14:paraId="397F9039" w14:textId="5646407C" w:rsidR="00D47EDC" w:rsidRPr="00A76167" w:rsidRDefault="00D47EDC" w:rsidP="008C6900">
            <w:pPr>
              <w:spacing w:before="240"/>
              <w:ind w:left="34"/>
              <w:rPr>
                <w:b/>
                <w:sz w:val="22"/>
                <w:szCs w:val="22"/>
              </w:rPr>
            </w:pPr>
            <w:permStart w:id="1450471049" w:edGrp="everyone" w:colFirst="1" w:colLast="1"/>
            <w:permEnd w:id="560991579"/>
            <w:r>
              <w:rPr>
                <w:b/>
                <w:sz w:val="22"/>
                <w:szCs w:val="22"/>
              </w:rPr>
              <w:t xml:space="preserve">3.2 </w:t>
            </w:r>
            <w:r w:rsidRPr="00A76167">
              <w:rPr>
                <w:b/>
                <w:sz w:val="22"/>
                <w:szCs w:val="22"/>
              </w:rPr>
              <w:t>Justification of source and others considered</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1FDA237" w14:textId="2895A3D7" w:rsidR="00D47EDC" w:rsidRPr="00A76167" w:rsidRDefault="00D47EDC" w:rsidP="00E65476">
            <w:pPr>
              <w:spacing w:before="240"/>
              <w:rPr>
                <w:sz w:val="22"/>
                <w:szCs w:val="22"/>
              </w:rPr>
            </w:pPr>
            <w:r w:rsidRPr="00A76167">
              <w:rPr>
                <w:sz w:val="22"/>
                <w:szCs w:val="22"/>
              </w:rPr>
              <w:t>NLRS data are an essential component in assessing, monitoring and managing patient safety. NRLS data are shared with a range of national bodies to support the identification of hazards, and the development of patient safety guidance and solutions. These organisations include NHS England, Public Health England (which now includes the remit of the Health Protection Agency), the Medicines and Healthcare products Regulatory Agency (MHRA), the Care Quality Commission (CQC), the Royal College of Anaesthetists, Connecting for Health, and the NHS Wales Informatics Service.</w:t>
            </w:r>
          </w:p>
          <w:p w14:paraId="1A44EEFA" w14:textId="77777777" w:rsidR="00D47EDC" w:rsidRPr="00A76167" w:rsidRDefault="00D47EDC" w:rsidP="00E65476">
            <w:pPr>
              <w:spacing w:before="240"/>
              <w:rPr>
                <w:sz w:val="22"/>
                <w:szCs w:val="22"/>
              </w:rPr>
            </w:pPr>
            <w:r w:rsidRPr="00A76167">
              <w:rPr>
                <w:sz w:val="22"/>
                <w:szCs w:val="22"/>
              </w:rPr>
              <w:t>National bodies (such as the Care Quality Commission, Monitor, and the National Audit Office) can use these datasets to build up trend analyses in order to timetable their audit and inspection functions and prioritise resources. These data also provide a context for research undertaken by academic organisations and scoping work undertaken by Royal Colleges. Additionally, they provide trend and context data to support NHS England in the development of patient safety resources, such as Safer Practice Notices (http://www.nrls.nhs.uk/resources/type/alerts/).</w:t>
            </w:r>
          </w:p>
          <w:p w14:paraId="61909BE0" w14:textId="4F86C282" w:rsidR="00D47EDC" w:rsidRPr="00A76167" w:rsidRDefault="00D47EDC" w:rsidP="00E65476">
            <w:pPr>
              <w:spacing w:before="240"/>
              <w:rPr>
                <w:sz w:val="22"/>
                <w:szCs w:val="22"/>
              </w:rPr>
            </w:pPr>
            <w:r w:rsidRPr="00A76167">
              <w:rPr>
                <w:sz w:val="22"/>
                <w:szCs w:val="22"/>
              </w:rPr>
              <w:t>NRLS data are currently used to measure four of the outcomes within Domain 5 of the NHS Outcomes Framework (Treating and caring for people in a safe environment and protecting them from avoidable harm). The Outcomes Framework sets the direction of travel in the journey towards improving outcomes and offers an opportunity for the NHS to begin to understand what an NHS focussed on outcomes means for individuals, organisations and health economies. Data from the QDS workbooks is used to calculate three of these indicators: 5a, 5b, and 5.4. The fourth indicator, 5.6 is derived from bespoke analyses of the NRLS data.</w:t>
            </w:r>
            <w:r w:rsidRPr="00A76167">
              <w:rPr>
                <w:rStyle w:val="FootnoteReference"/>
                <w:sz w:val="22"/>
                <w:szCs w:val="22"/>
              </w:rPr>
              <w:footnoteReference w:id="3"/>
            </w:r>
          </w:p>
          <w:p w14:paraId="03B8BCEA" w14:textId="77777777" w:rsidR="00D47EDC" w:rsidRPr="00A76167" w:rsidRDefault="00D47EDC" w:rsidP="00E65476">
            <w:pPr>
              <w:spacing w:before="240"/>
              <w:rPr>
                <w:sz w:val="22"/>
                <w:szCs w:val="22"/>
              </w:rPr>
            </w:pPr>
            <w:r w:rsidRPr="00A76167">
              <w:rPr>
                <w:sz w:val="22"/>
                <w:szCs w:val="22"/>
              </w:rPr>
              <w:t xml:space="preserve">HES APC data is used to calculate a CCG’s five main providers, based on total bed days. Data quality for HES APC data is considered to be good. Further information can be found at: </w:t>
            </w:r>
            <w:hyperlink r:id="rId11" w:history="1">
              <w:r w:rsidRPr="00A76167">
                <w:rPr>
                  <w:rStyle w:val="Hyperlink"/>
                  <w:rFonts w:ascii="Arial" w:hAnsi="Arial"/>
                  <w:color w:val="auto"/>
                  <w:sz w:val="22"/>
                  <w:szCs w:val="22"/>
                </w:rPr>
                <w:t>http://www.hscic.gov.uk/hes</w:t>
              </w:r>
            </w:hyperlink>
          </w:p>
          <w:p w14:paraId="6DCCB598" w14:textId="61341CFF" w:rsidR="00D47EDC" w:rsidRPr="00A76167" w:rsidRDefault="00D47EDC" w:rsidP="00E65476">
            <w:pPr>
              <w:spacing w:before="240"/>
              <w:rPr>
                <w:sz w:val="22"/>
                <w:szCs w:val="22"/>
              </w:rPr>
            </w:pPr>
            <w:r w:rsidRPr="00A76167">
              <w:rPr>
                <w:sz w:val="22"/>
                <w:szCs w:val="22"/>
              </w:rPr>
              <w:lastRenderedPageBreak/>
              <w:t xml:space="preserve">Reliable patient safety incident data cannot be provided at CCG level, so an alternative approach has been used to indicate the outcomes for a CCG’s patients.  </w:t>
            </w:r>
          </w:p>
        </w:tc>
      </w:tr>
      <w:tr w:rsidR="00D47EDC" w:rsidRPr="00A76167" w14:paraId="11359362" w14:textId="77777777" w:rsidTr="00D47EDC">
        <w:tc>
          <w:tcPr>
            <w:tcW w:w="1843" w:type="dxa"/>
            <w:tcBorders>
              <w:top w:val="single" w:sz="4" w:space="0" w:color="auto"/>
              <w:left w:val="single" w:sz="4" w:space="0" w:color="auto"/>
              <w:bottom w:val="single" w:sz="4" w:space="0" w:color="auto"/>
              <w:right w:val="single" w:sz="4" w:space="0" w:color="auto"/>
            </w:tcBorders>
            <w:shd w:val="clear" w:color="auto" w:fill="auto"/>
          </w:tcPr>
          <w:p w14:paraId="75CA852C" w14:textId="71CE1A8D" w:rsidR="00D47EDC" w:rsidRPr="00A76167" w:rsidRDefault="00D47EDC" w:rsidP="008C6900">
            <w:pPr>
              <w:spacing w:before="240"/>
              <w:ind w:left="34"/>
              <w:rPr>
                <w:b/>
                <w:sz w:val="22"/>
                <w:szCs w:val="22"/>
              </w:rPr>
            </w:pPr>
            <w:permStart w:id="1283872752" w:edGrp="everyone" w:colFirst="1" w:colLast="1"/>
            <w:permEnd w:id="1450471049"/>
            <w:r>
              <w:rPr>
                <w:b/>
                <w:sz w:val="22"/>
                <w:szCs w:val="22"/>
              </w:rPr>
              <w:lastRenderedPageBreak/>
              <w:t xml:space="preserve">3.3 </w:t>
            </w:r>
            <w:r w:rsidRPr="00A76167">
              <w:rPr>
                <w:b/>
                <w:sz w:val="22"/>
                <w:szCs w:val="22"/>
              </w:rPr>
              <w:t>Data availability</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76712EE8" w14:textId="77777777" w:rsidR="00D47EDC" w:rsidRPr="00A76167" w:rsidRDefault="00D47EDC" w:rsidP="00E65476">
            <w:pPr>
              <w:spacing w:before="240"/>
              <w:rPr>
                <w:sz w:val="22"/>
                <w:szCs w:val="22"/>
              </w:rPr>
            </w:pPr>
            <w:r w:rsidRPr="00A76167">
              <w:rPr>
                <w:sz w:val="22"/>
                <w:szCs w:val="22"/>
              </w:rPr>
              <w:t xml:space="preserve">Data is reported by the NRLS bi-annually, 6 months in arrears. The 6 month period from April to September is reported the following March and the 6 month period from October to March is reported the following September. Following on from these dates, it is anticipated that this CCG data will be reported in June and December.     </w:t>
            </w:r>
          </w:p>
          <w:p w14:paraId="6F217A42" w14:textId="77777777" w:rsidR="00D47EDC" w:rsidRPr="00A76167" w:rsidRDefault="00D47EDC" w:rsidP="00E65476">
            <w:pPr>
              <w:spacing w:before="240"/>
              <w:rPr>
                <w:sz w:val="22"/>
                <w:szCs w:val="22"/>
              </w:rPr>
            </w:pPr>
            <w:r w:rsidRPr="00A76167">
              <w:rPr>
                <w:sz w:val="22"/>
                <w:szCs w:val="22"/>
              </w:rPr>
              <w:t xml:space="preserve">Provisional HES data may be used for the bed days calculations. This ensures that data is more timely, however care should be taken as it is subject to changes and revisions each month and should be treated as an estimate until the final annual data is released. </w:t>
            </w:r>
          </w:p>
          <w:p w14:paraId="7563D028" w14:textId="725C191B" w:rsidR="00D47EDC" w:rsidRPr="00A76167" w:rsidRDefault="00D47EDC" w:rsidP="00E65476">
            <w:pPr>
              <w:spacing w:before="240"/>
              <w:rPr>
                <w:sz w:val="22"/>
                <w:szCs w:val="22"/>
              </w:rPr>
            </w:pPr>
            <w:r w:rsidRPr="00A76167">
              <w:rPr>
                <w:sz w:val="22"/>
                <w:szCs w:val="22"/>
              </w:rPr>
              <w:t>These indicators are official statistics and the publication date is pre-announced. There is no gap between the planned and actual publication date</w:t>
            </w:r>
          </w:p>
        </w:tc>
      </w:tr>
      <w:permEnd w:id="1283872752"/>
      <w:tr w:rsidR="00D47EDC" w:rsidRPr="00A76167" w14:paraId="263A7568" w14:textId="77777777" w:rsidTr="000906A7">
        <w:trPr>
          <w:trHeight w:val="13380"/>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508E5D89" w14:textId="7E479C9C" w:rsidR="00D47EDC" w:rsidRDefault="00D47EDC" w:rsidP="00D47EDC">
            <w:pPr>
              <w:spacing w:before="240"/>
              <w:ind w:left="34"/>
              <w:rPr>
                <w:b/>
                <w:sz w:val="22"/>
                <w:szCs w:val="22"/>
              </w:rPr>
            </w:pPr>
            <w:r>
              <w:rPr>
                <w:b/>
                <w:sz w:val="22"/>
                <w:szCs w:val="22"/>
              </w:rPr>
              <w:lastRenderedPageBreak/>
              <w:t xml:space="preserve">3.4 </w:t>
            </w:r>
            <w:r w:rsidRPr="00A76167">
              <w:rPr>
                <w:b/>
                <w:sz w:val="22"/>
                <w:szCs w:val="22"/>
              </w:rPr>
              <w:t>Data quality</w:t>
            </w:r>
          </w:p>
        </w:tc>
        <w:tc>
          <w:tcPr>
            <w:tcW w:w="7513" w:type="dxa"/>
            <w:tcBorders>
              <w:top w:val="single" w:sz="4" w:space="0" w:color="auto"/>
              <w:left w:val="single" w:sz="4" w:space="0" w:color="auto"/>
              <w:right w:val="single" w:sz="4" w:space="0" w:color="auto"/>
            </w:tcBorders>
            <w:shd w:val="clear" w:color="auto" w:fill="auto"/>
          </w:tcPr>
          <w:p w14:paraId="1C50150B" w14:textId="77777777" w:rsidR="00D47EDC" w:rsidRPr="00A76167" w:rsidRDefault="00D47EDC" w:rsidP="00D47EDC">
            <w:pPr>
              <w:spacing w:before="240"/>
              <w:rPr>
                <w:b/>
                <w:sz w:val="22"/>
                <w:szCs w:val="22"/>
              </w:rPr>
            </w:pPr>
            <w:r w:rsidRPr="00A76167">
              <w:rPr>
                <w:b/>
                <w:sz w:val="22"/>
                <w:szCs w:val="22"/>
              </w:rPr>
              <w:t xml:space="preserve"> </w:t>
            </w:r>
            <w:proofErr w:type="spellStart"/>
            <w:r w:rsidRPr="00A76167">
              <w:rPr>
                <w:b/>
                <w:sz w:val="22"/>
                <w:szCs w:val="22"/>
              </w:rPr>
              <w:t>i</w:t>
            </w:r>
            <w:proofErr w:type="spellEnd"/>
            <w:r w:rsidRPr="00A76167">
              <w:rPr>
                <w:b/>
                <w:sz w:val="22"/>
                <w:szCs w:val="22"/>
              </w:rPr>
              <w:t>) What data quality checks are relevant to this indicator?</w:t>
            </w:r>
          </w:p>
          <w:p w14:paraId="474410F3" w14:textId="77777777" w:rsidR="00D47EDC" w:rsidRPr="00A76167" w:rsidRDefault="00D47EDC" w:rsidP="00D47EDC">
            <w:pPr>
              <w:spacing w:before="240"/>
              <w:rPr>
                <w:sz w:val="22"/>
                <w:szCs w:val="22"/>
              </w:rPr>
            </w:pPr>
            <w:r w:rsidRPr="00A76167">
              <w:rPr>
                <w:b/>
                <w:sz w:val="22"/>
                <w:szCs w:val="22"/>
              </w:rPr>
              <w:t>Coverage</w:t>
            </w:r>
            <w:r w:rsidRPr="00A76167">
              <w:rPr>
                <w:sz w:val="22"/>
                <w:szCs w:val="22"/>
              </w:rPr>
              <w:t xml:space="preserve"> </w:t>
            </w:r>
            <w:sdt>
              <w:sdtPr>
                <w:rPr>
                  <w:sz w:val="22"/>
                  <w:szCs w:val="22"/>
                </w:rPr>
                <w:id w:val="-1734614186"/>
                <w14:checkbox>
                  <w14:checked w14:val="0"/>
                  <w14:checkedState w14:val="2612" w14:font="MS Gothic"/>
                  <w14:uncheckedState w14:val="2610" w14:font="MS Gothic"/>
                </w14:checkbox>
              </w:sdtPr>
              <w:sdtEndPr/>
              <w:sdtContent>
                <w:r w:rsidRPr="00A76167">
                  <w:rPr>
                    <w:rFonts w:ascii="Segoe UI Symbol" w:eastAsia="MS Gothic" w:hAnsi="Segoe UI Symbol" w:cs="Segoe UI Symbol"/>
                    <w:sz w:val="22"/>
                    <w:szCs w:val="22"/>
                  </w:rPr>
                  <w:t>☐</w:t>
                </w:r>
              </w:sdtContent>
            </w:sdt>
            <w:r w:rsidRPr="00A76167">
              <w:rPr>
                <w:sz w:val="22"/>
                <w:szCs w:val="22"/>
              </w:rPr>
              <w:t xml:space="preserve"> </w:t>
            </w:r>
          </w:p>
          <w:p w14:paraId="194B1ED5" w14:textId="77777777" w:rsidR="00D47EDC" w:rsidRPr="00A76167" w:rsidRDefault="00D47EDC" w:rsidP="00D47EDC">
            <w:pPr>
              <w:spacing w:before="240"/>
              <w:rPr>
                <w:sz w:val="22"/>
                <w:szCs w:val="22"/>
              </w:rPr>
            </w:pPr>
            <w:r w:rsidRPr="00A76167">
              <w:rPr>
                <w:b/>
                <w:sz w:val="22"/>
                <w:szCs w:val="22"/>
              </w:rPr>
              <w:t>Completeness</w:t>
            </w:r>
            <w:r w:rsidRPr="00A76167">
              <w:rPr>
                <w:sz w:val="22"/>
                <w:szCs w:val="22"/>
              </w:rPr>
              <w:t xml:space="preserve"> </w:t>
            </w:r>
            <w:sdt>
              <w:sdtPr>
                <w:rPr>
                  <w:sz w:val="22"/>
                  <w:szCs w:val="22"/>
                </w:rPr>
                <w:id w:val="-1726368152"/>
                <w14:checkbox>
                  <w14:checked w14:val="0"/>
                  <w14:checkedState w14:val="2612" w14:font="MS Gothic"/>
                  <w14:uncheckedState w14:val="2610" w14:font="MS Gothic"/>
                </w14:checkbox>
              </w:sdtPr>
              <w:sdtEndPr/>
              <w:sdtContent>
                <w:r w:rsidRPr="00A76167">
                  <w:rPr>
                    <w:rFonts w:ascii="Segoe UI Symbol" w:eastAsia="MS Gothic" w:hAnsi="Segoe UI Symbol" w:cs="Segoe UI Symbol"/>
                    <w:sz w:val="22"/>
                    <w:szCs w:val="22"/>
                  </w:rPr>
                  <w:t>☐</w:t>
                </w:r>
              </w:sdtContent>
            </w:sdt>
            <w:r w:rsidRPr="00A76167">
              <w:rPr>
                <w:sz w:val="22"/>
                <w:szCs w:val="22"/>
              </w:rPr>
              <w:t xml:space="preserve"> </w:t>
            </w:r>
            <w:r w:rsidRPr="00A76167">
              <w:rPr>
                <w:b/>
                <w:sz w:val="22"/>
                <w:szCs w:val="22"/>
              </w:rPr>
              <w:t>Validity</w:t>
            </w:r>
            <w:r w:rsidRPr="00A76167">
              <w:rPr>
                <w:sz w:val="22"/>
                <w:szCs w:val="22"/>
              </w:rPr>
              <w:t xml:space="preserve"> </w:t>
            </w:r>
            <w:sdt>
              <w:sdtPr>
                <w:rPr>
                  <w:sz w:val="22"/>
                  <w:szCs w:val="22"/>
                </w:rPr>
                <w:id w:val="325330801"/>
                <w14:checkbox>
                  <w14:checked w14:val="0"/>
                  <w14:checkedState w14:val="2612" w14:font="MS Gothic"/>
                  <w14:uncheckedState w14:val="2610" w14:font="MS Gothic"/>
                </w14:checkbox>
              </w:sdtPr>
              <w:sdtEndPr/>
              <w:sdtContent>
                <w:r w:rsidRPr="00A76167">
                  <w:rPr>
                    <w:rFonts w:ascii="Segoe UI Symbol" w:eastAsia="MS Gothic" w:hAnsi="Segoe UI Symbol" w:cs="Segoe UI Symbol"/>
                    <w:sz w:val="22"/>
                    <w:szCs w:val="22"/>
                  </w:rPr>
                  <w:t>☐</w:t>
                </w:r>
              </w:sdtContent>
            </w:sdt>
            <w:r w:rsidRPr="00A76167">
              <w:rPr>
                <w:sz w:val="22"/>
                <w:szCs w:val="22"/>
              </w:rPr>
              <w:t xml:space="preserve"> </w:t>
            </w:r>
          </w:p>
          <w:p w14:paraId="71EAA213" w14:textId="77777777" w:rsidR="00D47EDC" w:rsidRPr="00A76167" w:rsidRDefault="00D47EDC" w:rsidP="00D47EDC">
            <w:pPr>
              <w:spacing w:before="240"/>
              <w:rPr>
                <w:sz w:val="22"/>
                <w:szCs w:val="22"/>
              </w:rPr>
            </w:pPr>
            <w:r w:rsidRPr="00A76167">
              <w:rPr>
                <w:b/>
                <w:sz w:val="22"/>
                <w:szCs w:val="22"/>
              </w:rPr>
              <w:t>Default</w:t>
            </w:r>
            <w:r w:rsidRPr="00A76167">
              <w:rPr>
                <w:sz w:val="22"/>
                <w:szCs w:val="22"/>
              </w:rPr>
              <w:t xml:space="preserve"> </w:t>
            </w:r>
            <w:sdt>
              <w:sdtPr>
                <w:rPr>
                  <w:sz w:val="22"/>
                  <w:szCs w:val="22"/>
                </w:rPr>
                <w:id w:val="1614473230"/>
                <w14:checkbox>
                  <w14:checked w14:val="0"/>
                  <w14:checkedState w14:val="2612" w14:font="MS Gothic"/>
                  <w14:uncheckedState w14:val="2610" w14:font="MS Gothic"/>
                </w14:checkbox>
              </w:sdtPr>
              <w:sdtEndPr/>
              <w:sdtContent>
                <w:r w:rsidRPr="00A76167">
                  <w:rPr>
                    <w:rFonts w:ascii="Segoe UI Symbol" w:eastAsia="MS Gothic" w:hAnsi="Segoe UI Symbol" w:cs="Segoe UI Symbol"/>
                    <w:sz w:val="22"/>
                    <w:szCs w:val="22"/>
                  </w:rPr>
                  <w:t>☐</w:t>
                </w:r>
              </w:sdtContent>
            </w:sdt>
            <w:r w:rsidRPr="00A76167">
              <w:rPr>
                <w:sz w:val="22"/>
                <w:szCs w:val="22"/>
              </w:rPr>
              <w:t xml:space="preserve"> </w:t>
            </w:r>
          </w:p>
          <w:p w14:paraId="5158A4CB" w14:textId="77777777" w:rsidR="00D47EDC" w:rsidRPr="00A76167" w:rsidRDefault="00D47EDC" w:rsidP="00D47EDC">
            <w:pPr>
              <w:spacing w:before="240"/>
              <w:rPr>
                <w:sz w:val="22"/>
                <w:szCs w:val="22"/>
              </w:rPr>
            </w:pPr>
            <w:r w:rsidRPr="00A76167">
              <w:rPr>
                <w:b/>
                <w:sz w:val="22"/>
                <w:szCs w:val="22"/>
              </w:rPr>
              <w:t>Integrity</w:t>
            </w:r>
            <w:r w:rsidRPr="00A76167">
              <w:rPr>
                <w:sz w:val="22"/>
                <w:szCs w:val="22"/>
              </w:rPr>
              <w:t xml:space="preserve"> </w:t>
            </w:r>
            <w:sdt>
              <w:sdtPr>
                <w:rPr>
                  <w:sz w:val="22"/>
                  <w:szCs w:val="22"/>
                </w:rPr>
                <w:id w:val="-1098483664"/>
                <w14:checkbox>
                  <w14:checked w14:val="0"/>
                  <w14:checkedState w14:val="2612" w14:font="MS Gothic"/>
                  <w14:uncheckedState w14:val="2610" w14:font="MS Gothic"/>
                </w14:checkbox>
              </w:sdtPr>
              <w:sdtEndPr/>
              <w:sdtContent>
                <w:r w:rsidRPr="00A76167">
                  <w:rPr>
                    <w:rFonts w:ascii="Segoe UI Symbol" w:eastAsia="MS Gothic" w:hAnsi="Segoe UI Symbol" w:cs="Segoe UI Symbol"/>
                    <w:sz w:val="22"/>
                    <w:szCs w:val="22"/>
                  </w:rPr>
                  <w:t>☐</w:t>
                </w:r>
              </w:sdtContent>
            </w:sdt>
            <w:r w:rsidRPr="00A76167">
              <w:rPr>
                <w:sz w:val="22"/>
                <w:szCs w:val="22"/>
              </w:rPr>
              <w:t xml:space="preserve"> </w:t>
            </w:r>
            <w:r w:rsidRPr="00A76167">
              <w:rPr>
                <w:b/>
                <w:sz w:val="22"/>
                <w:szCs w:val="22"/>
              </w:rPr>
              <w:t>Timeliness</w:t>
            </w:r>
            <w:r w:rsidRPr="00A76167">
              <w:rPr>
                <w:sz w:val="22"/>
                <w:szCs w:val="22"/>
              </w:rPr>
              <w:t xml:space="preserve"> </w:t>
            </w:r>
            <w:sdt>
              <w:sdtPr>
                <w:rPr>
                  <w:sz w:val="22"/>
                  <w:szCs w:val="22"/>
                </w:rPr>
                <w:id w:val="1086498859"/>
                <w14:checkbox>
                  <w14:checked w14:val="0"/>
                  <w14:checkedState w14:val="2612" w14:font="MS Gothic"/>
                  <w14:uncheckedState w14:val="2610" w14:font="MS Gothic"/>
                </w14:checkbox>
              </w:sdtPr>
              <w:sdtEndPr/>
              <w:sdtContent>
                <w:r w:rsidRPr="00A76167">
                  <w:rPr>
                    <w:rFonts w:ascii="Segoe UI Symbol" w:eastAsia="MS Gothic" w:hAnsi="Segoe UI Symbol" w:cs="Segoe UI Symbol"/>
                    <w:sz w:val="22"/>
                    <w:szCs w:val="22"/>
                  </w:rPr>
                  <w:t>☐</w:t>
                </w:r>
              </w:sdtContent>
            </w:sdt>
            <w:r w:rsidRPr="00A76167">
              <w:rPr>
                <w:sz w:val="22"/>
                <w:szCs w:val="22"/>
              </w:rPr>
              <w:t xml:space="preserve"> </w:t>
            </w:r>
            <w:r w:rsidRPr="00A76167">
              <w:rPr>
                <w:b/>
                <w:sz w:val="22"/>
                <w:szCs w:val="22"/>
              </w:rPr>
              <w:t>Other</w:t>
            </w:r>
            <w:r w:rsidRPr="00A76167">
              <w:rPr>
                <w:sz w:val="22"/>
                <w:szCs w:val="22"/>
              </w:rPr>
              <w:t xml:space="preserve"> </w:t>
            </w:r>
            <w:sdt>
              <w:sdtPr>
                <w:rPr>
                  <w:sz w:val="22"/>
                  <w:szCs w:val="22"/>
                </w:rPr>
                <w:id w:val="1928450506"/>
                <w14:checkbox>
                  <w14:checked w14:val="0"/>
                  <w14:checkedState w14:val="2612" w14:font="MS Gothic"/>
                  <w14:uncheckedState w14:val="2610" w14:font="MS Gothic"/>
                </w14:checkbox>
              </w:sdtPr>
              <w:sdtEndPr/>
              <w:sdtContent>
                <w:r w:rsidRPr="00A76167">
                  <w:rPr>
                    <w:rFonts w:ascii="Segoe UI Symbol" w:eastAsia="MS Gothic" w:hAnsi="Segoe UI Symbol" w:cs="Segoe UI Symbol"/>
                    <w:sz w:val="22"/>
                    <w:szCs w:val="22"/>
                  </w:rPr>
                  <w:t>☐</w:t>
                </w:r>
              </w:sdtContent>
            </w:sdt>
          </w:p>
          <w:p w14:paraId="50B6DD2E" w14:textId="77777777" w:rsidR="00D47EDC" w:rsidRPr="00A76167" w:rsidRDefault="00D47EDC" w:rsidP="00D47EDC">
            <w:pPr>
              <w:textboxTightWrap w:val="allLines"/>
              <w:rPr>
                <w:sz w:val="22"/>
                <w:szCs w:val="22"/>
              </w:rPr>
            </w:pPr>
            <w:r w:rsidRPr="00A76167">
              <w:rPr>
                <w:b/>
                <w:sz w:val="22"/>
                <w:szCs w:val="22"/>
              </w:rPr>
              <w:t>If you included ‘Other’ as a data quality check, please describe the check, how it will be measured, and its reason for use below:</w:t>
            </w:r>
          </w:p>
          <w:p w14:paraId="12501AF6" w14:textId="77777777" w:rsidR="00D47EDC" w:rsidRPr="00A76167" w:rsidRDefault="00D47EDC" w:rsidP="00D47EDC">
            <w:pPr>
              <w:textboxTightWrap w:val="allLines"/>
              <w:rPr>
                <w:sz w:val="22"/>
                <w:szCs w:val="22"/>
              </w:rPr>
            </w:pPr>
            <w:r w:rsidRPr="00A76167">
              <w:rPr>
                <w:b/>
                <w:sz w:val="22"/>
                <w:szCs w:val="22"/>
              </w:rPr>
              <w:t xml:space="preserve">ii)  What are the current values for the data quality checks selected? </w:t>
            </w:r>
            <w:r w:rsidRPr="00A76167">
              <w:rPr>
                <w:sz w:val="22"/>
                <w:szCs w:val="22"/>
              </w:rPr>
              <w:t xml:space="preserve">The period of data the current values are calculated from should be stated. Current values should be recorded as a percentage and calculated as described below. </w:t>
            </w:r>
          </w:p>
          <w:p w14:paraId="2626FC67" w14:textId="77777777" w:rsidR="00D47EDC" w:rsidRPr="00A76167" w:rsidRDefault="00D47EDC" w:rsidP="00D47EDC">
            <w:pPr>
              <w:textboxTightWrap w:val="allLines"/>
              <w:rPr>
                <w:b/>
                <w:sz w:val="22"/>
                <w:szCs w:val="22"/>
              </w:rPr>
            </w:pPr>
            <w:r w:rsidRPr="00A76167">
              <w:rPr>
                <w:b/>
                <w:sz w:val="22"/>
                <w:szCs w:val="22"/>
              </w:rPr>
              <w:t xml:space="preserve">Period of data:                    </w:t>
            </w:r>
          </w:p>
          <w:p w14:paraId="40ADB543" w14:textId="77777777" w:rsidR="00D47EDC" w:rsidRPr="00A76167" w:rsidRDefault="00D47EDC" w:rsidP="00D47EDC">
            <w:pPr>
              <w:textboxTightWrap w:val="allLines"/>
              <w:rPr>
                <w:b/>
                <w:sz w:val="22"/>
                <w:szCs w:val="22"/>
              </w:rPr>
            </w:pPr>
            <w:r w:rsidRPr="00A76167">
              <w:rPr>
                <w:b/>
                <w:sz w:val="22"/>
                <w:szCs w:val="22"/>
              </w:rPr>
              <w:t xml:space="preserve">Coverage:           </w:t>
            </w:r>
          </w:p>
          <w:p w14:paraId="630FADDE" w14:textId="77777777" w:rsidR="00D47EDC" w:rsidRPr="00A76167" w:rsidRDefault="00D47EDC" w:rsidP="00D47EDC">
            <w:pPr>
              <w:spacing w:after="0"/>
              <w:textboxTightWrap w:val="allLines"/>
              <w:rPr>
                <w:b/>
                <w:sz w:val="22"/>
                <w:szCs w:val="22"/>
                <w:lang w:eastAsia="en-GB"/>
              </w:rPr>
            </w:pPr>
            <w:r w:rsidRPr="00A76167">
              <w:rPr>
                <w:b/>
                <w:sz w:val="22"/>
                <w:szCs w:val="22"/>
              </w:rPr>
              <w:t xml:space="preserve">Calculation:        </w:t>
            </w:r>
          </w:p>
          <w:p w14:paraId="6B8E1861" w14:textId="77777777" w:rsidR="00D47EDC" w:rsidRPr="00A76167" w:rsidRDefault="00D47EDC" w:rsidP="00D47EDC">
            <w:pPr>
              <w:textboxTightWrap w:val="allLines"/>
              <w:rPr>
                <w:sz w:val="22"/>
                <w:szCs w:val="22"/>
              </w:rPr>
            </w:pPr>
            <w:r w:rsidRPr="00A76167">
              <w:rPr>
                <w:b/>
                <w:sz w:val="22"/>
                <w:szCs w:val="22"/>
              </w:rPr>
              <w:t>Completeness:</w:t>
            </w:r>
            <w:r w:rsidRPr="00A76167">
              <w:rPr>
                <w:sz w:val="22"/>
                <w:szCs w:val="22"/>
              </w:rPr>
              <w:t xml:space="preserve">          </w:t>
            </w:r>
          </w:p>
          <w:p w14:paraId="454A2F4F" w14:textId="77777777" w:rsidR="00D47EDC" w:rsidRPr="00A76167" w:rsidRDefault="00D47EDC" w:rsidP="00D47EDC">
            <w:pPr>
              <w:spacing w:after="0"/>
              <w:textboxTightWrap w:val="allLines"/>
              <w:rPr>
                <w:sz w:val="22"/>
                <w:szCs w:val="22"/>
              </w:rPr>
            </w:pPr>
            <w:r w:rsidRPr="00A76167">
              <w:rPr>
                <w:b/>
                <w:sz w:val="22"/>
                <w:szCs w:val="22"/>
              </w:rPr>
              <w:t xml:space="preserve">Calculation:             </w:t>
            </w:r>
          </w:p>
          <w:p w14:paraId="4A05BD18" w14:textId="77777777" w:rsidR="00D47EDC" w:rsidRPr="00A76167" w:rsidRDefault="00D47EDC" w:rsidP="00D47EDC">
            <w:pPr>
              <w:textboxTightWrap w:val="allLines"/>
              <w:rPr>
                <w:sz w:val="22"/>
                <w:szCs w:val="22"/>
              </w:rPr>
            </w:pPr>
            <w:r w:rsidRPr="00A76167">
              <w:rPr>
                <w:b/>
                <w:sz w:val="22"/>
                <w:szCs w:val="22"/>
              </w:rPr>
              <w:t>Validity:</w:t>
            </w:r>
            <w:r w:rsidRPr="00A76167">
              <w:rPr>
                <w:sz w:val="22"/>
                <w:szCs w:val="22"/>
              </w:rPr>
              <w:t xml:space="preserve">         </w:t>
            </w:r>
          </w:p>
          <w:p w14:paraId="593421ED" w14:textId="77777777" w:rsidR="00D47EDC" w:rsidRPr="00A76167" w:rsidRDefault="00D47EDC" w:rsidP="00D47EDC">
            <w:pPr>
              <w:spacing w:after="0"/>
              <w:textboxTightWrap w:val="allLines"/>
              <w:rPr>
                <w:sz w:val="22"/>
                <w:szCs w:val="22"/>
              </w:rPr>
            </w:pPr>
            <w:r w:rsidRPr="00A76167">
              <w:rPr>
                <w:b/>
                <w:sz w:val="22"/>
                <w:szCs w:val="22"/>
              </w:rPr>
              <w:t xml:space="preserve">Calculation:    </w:t>
            </w:r>
          </w:p>
          <w:p w14:paraId="400663A1" w14:textId="77777777" w:rsidR="00D47EDC" w:rsidRPr="00A76167" w:rsidRDefault="00D47EDC" w:rsidP="00D47EDC">
            <w:pPr>
              <w:textboxTightWrap w:val="allLines"/>
              <w:rPr>
                <w:sz w:val="22"/>
                <w:szCs w:val="22"/>
              </w:rPr>
            </w:pPr>
            <w:r w:rsidRPr="00A76167">
              <w:rPr>
                <w:b/>
                <w:sz w:val="22"/>
                <w:szCs w:val="22"/>
              </w:rPr>
              <w:t>Default:</w:t>
            </w:r>
            <w:r w:rsidRPr="00A76167">
              <w:rPr>
                <w:sz w:val="22"/>
                <w:szCs w:val="22"/>
              </w:rPr>
              <w:t xml:space="preserve">         </w:t>
            </w:r>
          </w:p>
          <w:p w14:paraId="5028EBDB" w14:textId="77777777" w:rsidR="00D47EDC" w:rsidRPr="00A76167" w:rsidRDefault="00D47EDC" w:rsidP="00D47EDC">
            <w:pPr>
              <w:spacing w:after="0"/>
              <w:textboxTightWrap w:val="allLines"/>
              <w:rPr>
                <w:sz w:val="22"/>
                <w:szCs w:val="22"/>
              </w:rPr>
            </w:pPr>
            <w:r w:rsidRPr="00A76167">
              <w:rPr>
                <w:b/>
                <w:sz w:val="22"/>
                <w:szCs w:val="22"/>
              </w:rPr>
              <w:t>Calculation:</w:t>
            </w:r>
            <w:r w:rsidRPr="00A76167">
              <w:rPr>
                <w:sz w:val="22"/>
                <w:szCs w:val="22"/>
              </w:rPr>
              <w:t xml:space="preserve">     </w:t>
            </w:r>
          </w:p>
          <w:p w14:paraId="4CED1EA1" w14:textId="77777777" w:rsidR="00D47EDC" w:rsidRPr="00A76167" w:rsidRDefault="00D47EDC" w:rsidP="00D47EDC">
            <w:pPr>
              <w:textboxTightWrap w:val="allLines"/>
              <w:rPr>
                <w:sz w:val="22"/>
                <w:szCs w:val="22"/>
              </w:rPr>
            </w:pPr>
            <w:r w:rsidRPr="00A76167">
              <w:rPr>
                <w:b/>
                <w:sz w:val="22"/>
                <w:szCs w:val="22"/>
              </w:rPr>
              <w:t>Integrity:</w:t>
            </w:r>
            <w:r w:rsidRPr="00A76167">
              <w:rPr>
                <w:sz w:val="22"/>
                <w:szCs w:val="22"/>
              </w:rPr>
              <w:t xml:space="preserve">         </w:t>
            </w:r>
          </w:p>
          <w:p w14:paraId="3FBCD9CF" w14:textId="77777777" w:rsidR="00D47EDC" w:rsidRPr="00A76167" w:rsidRDefault="00D47EDC" w:rsidP="00D47EDC">
            <w:pPr>
              <w:spacing w:after="0"/>
              <w:textboxTightWrap w:val="allLines"/>
              <w:rPr>
                <w:sz w:val="22"/>
                <w:szCs w:val="22"/>
              </w:rPr>
            </w:pPr>
            <w:r w:rsidRPr="00A76167">
              <w:rPr>
                <w:b/>
                <w:sz w:val="22"/>
                <w:szCs w:val="22"/>
              </w:rPr>
              <w:t xml:space="preserve">Calculation:       </w:t>
            </w:r>
          </w:p>
          <w:p w14:paraId="4AFCB370" w14:textId="77777777" w:rsidR="00D47EDC" w:rsidRPr="00A76167" w:rsidRDefault="00D47EDC" w:rsidP="00D47EDC">
            <w:pPr>
              <w:textboxTightWrap w:val="allLines"/>
              <w:rPr>
                <w:sz w:val="22"/>
                <w:szCs w:val="22"/>
              </w:rPr>
            </w:pPr>
            <w:r w:rsidRPr="00A76167">
              <w:rPr>
                <w:b/>
                <w:sz w:val="22"/>
                <w:szCs w:val="22"/>
              </w:rPr>
              <w:t>Timeliness:</w:t>
            </w:r>
            <w:r w:rsidRPr="00A76167">
              <w:rPr>
                <w:sz w:val="22"/>
                <w:szCs w:val="22"/>
              </w:rPr>
              <w:t xml:space="preserve">         </w:t>
            </w:r>
          </w:p>
          <w:p w14:paraId="5B7CB657" w14:textId="77777777" w:rsidR="00D47EDC" w:rsidRPr="00A76167" w:rsidRDefault="00D47EDC" w:rsidP="00D47EDC">
            <w:pPr>
              <w:textboxTightWrap w:val="allLines"/>
              <w:rPr>
                <w:sz w:val="22"/>
                <w:szCs w:val="22"/>
              </w:rPr>
            </w:pPr>
            <w:r w:rsidRPr="00A76167">
              <w:rPr>
                <w:b/>
                <w:sz w:val="22"/>
                <w:szCs w:val="22"/>
              </w:rPr>
              <w:t xml:space="preserve">Calculation: </w:t>
            </w:r>
          </w:p>
          <w:p w14:paraId="5A6BFB99" w14:textId="77777777" w:rsidR="00D47EDC" w:rsidRPr="00A76167" w:rsidRDefault="00D47EDC" w:rsidP="00D47EDC">
            <w:pPr>
              <w:textboxTightWrap w:val="allLines"/>
              <w:rPr>
                <w:b/>
                <w:sz w:val="22"/>
                <w:szCs w:val="22"/>
              </w:rPr>
            </w:pPr>
            <w:r w:rsidRPr="00A76167">
              <w:rPr>
                <w:b/>
                <w:sz w:val="22"/>
                <w:szCs w:val="22"/>
              </w:rPr>
              <w:t xml:space="preserve">Other:            </w:t>
            </w:r>
          </w:p>
          <w:p w14:paraId="7BA00E2C" w14:textId="77777777" w:rsidR="00D47EDC" w:rsidRPr="00A76167" w:rsidRDefault="00D47EDC" w:rsidP="00D47EDC">
            <w:pPr>
              <w:textboxTightWrap w:val="allLines"/>
              <w:rPr>
                <w:sz w:val="22"/>
                <w:szCs w:val="22"/>
              </w:rPr>
            </w:pPr>
            <w:r w:rsidRPr="00A76167">
              <w:rPr>
                <w:b/>
                <w:sz w:val="22"/>
                <w:szCs w:val="22"/>
              </w:rPr>
              <w:t>Calculation:</w:t>
            </w:r>
          </w:p>
          <w:p w14:paraId="464C95E9" w14:textId="77777777" w:rsidR="00D47EDC" w:rsidRPr="00A76167" w:rsidRDefault="00D47EDC" w:rsidP="00D47EDC">
            <w:pPr>
              <w:textboxTightWrap w:val="allLines"/>
              <w:rPr>
                <w:sz w:val="22"/>
                <w:szCs w:val="22"/>
              </w:rPr>
            </w:pPr>
            <w:r w:rsidRPr="00A76167">
              <w:rPr>
                <w:b/>
                <w:sz w:val="22"/>
                <w:szCs w:val="22"/>
              </w:rPr>
              <w:t xml:space="preserve">iii) What are the thresholds for the data quality checks selected? </w:t>
            </w:r>
          </w:p>
          <w:p w14:paraId="031FE317" w14:textId="77777777" w:rsidR="00D47EDC" w:rsidRPr="00A76167" w:rsidRDefault="00D47EDC" w:rsidP="00D47EDC">
            <w:pPr>
              <w:textboxTightWrap w:val="allLines"/>
              <w:rPr>
                <w:b/>
                <w:sz w:val="22"/>
                <w:szCs w:val="22"/>
              </w:rPr>
            </w:pPr>
            <w:r w:rsidRPr="00A76167">
              <w:rPr>
                <w:b/>
                <w:sz w:val="22"/>
                <w:szCs w:val="22"/>
              </w:rPr>
              <w:t xml:space="preserve">Coverage:           </w:t>
            </w:r>
          </w:p>
          <w:p w14:paraId="79579BDB" w14:textId="77777777" w:rsidR="00D47EDC" w:rsidRPr="00A76167" w:rsidRDefault="00D47EDC" w:rsidP="00D47EDC">
            <w:pPr>
              <w:textboxTightWrap w:val="allLines"/>
              <w:rPr>
                <w:sz w:val="22"/>
                <w:szCs w:val="22"/>
              </w:rPr>
            </w:pPr>
            <w:r w:rsidRPr="00A76167">
              <w:rPr>
                <w:b/>
                <w:sz w:val="22"/>
                <w:szCs w:val="22"/>
              </w:rPr>
              <w:t>Completeness:</w:t>
            </w:r>
            <w:r w:rsidRPr="00A76167">
              <w:rPr>
                <w:sz w:val="22"/>
                <w:szCs w:val="22"/>
              </w:rPr>
              <w:t xml:space="preserve">          </w:t>
            </w:r>
          </w:p>
          <w:p w14:paraId="31030ABC" w14:textId="77777777" w:rsidR="00D47EDC" w:rsidRPr="00A76167" w:rsidRDefault="00D47EDC" w:rsidP="00D47EDC">
            <w:pPr>
              <w:textboxTightWrap w:val="allLines"/>
              <w:rPr>
                <w:sz w:val="22"/>
                <w:szCs w:val="22"/>
              </w:rPr>
            </w:pPr>
            <w:r w:rsidRPr="00A76167">
              <w:rPr>
                <w:b/>
                <w:sz w:val="22"/>
                <w:szCs w:val="22"/>
              </w:rPr>
              <w:t>Validity:</w:t>
            </w:r>
            <w:r w:rsidRPr="00A76167">
              <w:rPr>
                <w:sz w:val="22"/>
                <w:szCs w:val="22"/>
              </w:rPr>
              <w:t xml:space="preserve">         </w:t>
            </w:r>
          </w:p>
          <w:p w14:paraId="5CBFA789" w14:textId="77777777" w:rsidR="00D47EDC" w:rsidRPr="00A76167" w:rsidRDefault="00D47EDC" w:rsidP="00D47EDC">
            <w:pPr>
              <w:textboxTightWrap w:val="allLines"/>
              <w:rPr>
                <w:sz w:val="22"/>
                <w:szCs w:val="22"/>
              </w:rPr>
            </w:pPr>
            <w:r w:rsidRPr="00A76167">
              <w:rPr>
                <w:b/>
                <w:sz w:val="22"/>
                <w:szCs w:val="22"/>
              </w:rPr>
              <w:t>Default:</w:t>
            </w:r>
            <w:r w:rsidRPr="00A76167">
              <w:rPr>
                <w:sz w:val="22"/>
                <w:szCs w:val="22"/>
              </w:rPr>
              <w:t xml:space="preserve">         </w:t>
            </w:r>
          </w:p>
          <w:p w14:paraId="3F8B196C" w14:textId="77777777" w:rsidR="00D47EDC" w:rsidRPr="00A76167" w:rsidRDefault="00D47EDC" w:rsidP="00D47EDC">
            <w:pPr>
              <w:textboxTightWrap w:val="allLines"/>
              <w:rPr>
                <w:sz w:val="22"/>
                <w:szCs w:val="22"/>
              </w:rPr>
            </w:pPr>
            <w:r w:rsidRPr="00A76167">
              <w:rPr>
                <w:b/>
                <w:sz w:val="22"/>
                <w:szCs w:val="22"/>
              </w:rPr>
              <w:t>Integrity:</w:t>
            </w:r>
            <w:r w:rsidRPr="00A76167">
              <w:rPr>
                <w:sz w:val="22"/>
                <w:szCs w:val="22"/>
              </w:rPr>
              <w:t xml:space="preserve">         </w:t>
            </w:r>
          </w:p>
          <w:p w14:paraId="565B183A" w14:textId="77777777" w:rsidR="00D47EDC" w:rsidRPr="00A76167" w:rsidRDefault="00D47EDC" w:rsidP="00D47EDC">
            <w:pPr>
              <w:textboxTightWrap w:val="allLines"/>
              <w:rPr>
                <w:sz w:val="22"/>
                <w:szCs w:val="22"/>
              </w:rPr>
            </w:pPr>
            <w:r w:rsidRPr="00A76167">
              <w:rPr>
                <w:b/>
                <w:sz w:val="22"/>
                <w:szCs w:val="22"/>
              </w:rPr>
              <w:t>Timeliness:</w:t>
            </w:r>
            <w:r w:rsidRPr="00A76167">
              <w:rPr>
                <w:sz w:val="22"/>
                <w:szCs w:val="22"/>
              </w:rPr>
              <w:t xml:space="preserve">         </w:t>
            </w:r>
          </w:p>
          <w:p w14:paraId="00A71E1A" w14:textId="7FBD5AA8" w:rsidR="00D47EDC" w:rsidRPr="00A76167" w:rsidRDefault="00D47EDC" w:rsidP="00D47EDC">
            <w:pPr>
              <w:spacing w:before="240"/>
              <w:rPr>
                <w:b/>
                <w:sz w:val="22"/>
                <w:szCs w:val="22"/>
              </w:rPr>
            </w:pPr>
            <w:r w:rsidRPr="00A76167">
              <w:rPr>
                <w:b/>
                <w:sz w:val="22"/>
                <w:szCs w:val="22"/>
              </w:rPr>
              <w:t xml:space="preserve">Other:             </w:t>
            </w:r>
          </w:p>
        </w:tc>
      </w:tr>
      <w:tr w:rsidR="00D47EDC" w:rsidRPr="00A76167" w14:paraId="6C39931B" w14:textId="77777777" w:rsidTr="00D47EDC">
        <w:tc>
          <w:tcPr>
            <w:tcW w:w="1843" w:type="dxa"/>
            <w:tcBorders>
              <w:top w:val="single" w:sz="4" w:space="0" w:color="auto"/>
              <w:left w:val="single" w:sz="4" w:space="0" w:color="auto"/>
              <w:bottom w:val="single" w:sz="4" w:space="0" w:color="auto"/>
              <w:right w:val="single" w:sz="4" w:space="0" w:color="auto"/>
            </w:tcBorders>
            <w:shd w:val="clear" w:color="auto" w:fill="auto"/>
          </w:tcPr>
          <w:p w14:paraId="5E25D803" w14:textId="36E7AE5C" w:rsidR="00D47EDC" w:rsidRPr="00A76167" w:rsidRDefault="00D47EDC" w:rsidP="008C6900">
            <w:pPr>
              <w:spacing w:before="240"/>
              <w:ind w:left="34"/>
              <w:rPr>
                <w:b/>
                <w:sz w:val="22"/>
                <w:szCs w:val="22"/>
              </w:rPr>
            </w:pPr>
            <w:permStart w:id="1326977720" w:edGrp="everyone" w:colFirst="2" w:colLast="2"/>
            <w:permStart w:id="1877673296" w:edGrp="everyone" w:colFirst="1" w:colLast="1"/>
            <w:r>
              <w:rPr>
                <w:b/>
                <w:sz w:val="22"/>
                <w:szCs w:val="22"/>
              </w:rPr>
              <w:lastRenderedPageBreak/>
              <w:t xml:space="preserve">3.5 </w:t>
            </w:r>
            <w:r w:rsidRPr="00A76167">
              <w:rPr>
                <w:b/>
                <w:sz w:val="22"/>
                <w:szCs w:val="22"/>
              </w:rPr>
              <w:t>Quality assurance</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74C5959" w14:textId="4C46AC80" w:rsidR="00D47EDC" w:rsidRPr="00A76167" w:rsidRDefault="00D47EDC" w:rsidP="00E65476">
            <w:pPr>
              <w:spacing w:before="240"/>
              <w:rPr>
                <w:sz w:val="22"/>
                <w:szCs w:val="22"/>
              </w:rPr>
            </w:pPr>
            <w:r w:rsidRPr="00A76167">
              <w:rPr>
                <w:sz w:val="22"/>
                <w:szCs w:val="22"/>
              </w:rPr>
              <w:t>The NRLS quality as</w:t>
            </w:r>
            <w:permEnd w:id="1326977720"/>
            <w:r w:rsidRPr="00A76167">
              <w:rPr>
                <w:sz w:val="22"/>
                <w:szCs w:val="22"/>
              </w:rPr>
              <w:t>surance process has included a monthly report to support organisations in identifying and resolving any quality issues as promptly as possible. Every month, provisional data are shared back with the submitting organisation to help identify possible data quality problems with data uploaded to the NRLS. This gives organisations the opportunity to check the data that the NRLS has received and compare with data in their systems. Detailed guidance on what to look for and known reporting issues is given in an online FAQ document, along with the option to contact the NRLS Patient Safety Reporting Leads for further support if needed. Therefore, the NRLS team would expect any data issues at local organisation level to have been resolved well in advance of production of both workbooks, and therefore would not anticipate any requests for revisions from  NHS organisations.</w:t>
            </w:r>
            <w:r w:rsidRPr="00A76167">
              <w:rPr>
                <w:rStyle w:val="FootnoteReference"/>
                <w:sz w:val="22"/>
                <w:szCs w:val="22"/>
              </w:rPr>
              <w:footnoteReference w:id="4"/>
            </w:r>
          </w:p>
          <w:p w14:paraId="6CDCC334" w14:textId="3AA2C6EF" w:rsidR="00D47EDC" w:rsidRPr="00A76167" w:rsidRDefault="00D47EDC" w:rsidP="00E65476">
            <w:pPr>
              <w:spacing w:before="240"/>
              <w:rPr>
                <w:sz w:val="22"/>
                <w:szCs w:val="22"/>
              </w:rPr>
            </w:pPr>
            <w:r w:rsidRPr="00A76167">
              <w:rPr>
                <w:sz w:val="22"/>
                <w:szCs w:val="22"/>
              </w:rPr>
              <w:t xml:space="preserve">Data quality for HES APC data is considered to be good. Further information can be found at: </w:t>
            </w:r>
            <w:hyperlink r:id="rId12" w:history="1">
              <w:r w:rsidRPr="00A76167">
                <w:rPr>
                  <w:rStyle w:val="Hyperlink"/>
                  <w:rFonts w:ascii="Arial" w:hAnsi="Arial"/>
                  <w:color w:val="auto"/>
                  <w:sz w:val="22"/>
                  <w:szCs w:val="22"/>
                </w:rPr>
                <w:t>http://content.digital.nhs.uk/hes</w:t>
              </w:r>
            </w:hyperlink>
            <w:r w:rsidRPr="00A76167">
              <w:rPr>
                <w:sz w:val="22"/>
                <w:szCs w:val="22"/>
              </w:rPr>
              <w:t xml:space="preserve"> </w:t>
            </w:r>
          </w:p>
        </w:tc>
      </w:tr>
      <w:tr w:rsidR="00D47EDC" w:rsidRPr="00A76167" w14:paraId="7E86A474" w14:textId="77777777" w:rsidTr="00D47EDC">
        <w:tc>
          <w:tcPr>
            <w:tcW w:w="1843" w:type="dxa"/>
            <w:tcBorders>
              <w:top w:val="single" w:sz="4" w:space="0" w:color="auto"/>
              <w:left w:val="single" w:sz="4" w:space="0" w:color="auto"/>
              <w:bottom w:val="single" w:sz="4" w:space="0" w:color="auto"/>
              <w:right w:val="single" w:sz="4" w:space="0" w:color="auto"/>
            </w:tcBorders>
            <w:shd w:val="clear" w:color="auto" w:fill="auto"/>
          </w:tcPr>
          <w:p w14:paraId="1CA8AF88" w14:textId="4CCAEC57" w:rsidR="00D47EDC" w:rsidRPr="00A76167" w:rsidRDefault="00D47EDC" w:rsidP="008C6900">
            <w:pPr>
              <w:spacing w:before="240"/>
              <w:ind w:left="34"/>
              <w:rPr>
                <w:b/>
                <w:sz w:val="22"/>
                <w:szCs w:val="22"/>
              </w:rPr>
            </w:pPr>
            <w:permStart w:id="117464813" w:edGrp="everyone" w:colFirst="1" w:colLast="1"/>
            <w:permEnd w:id="1877673296"/>
            <w:r>
              <w:rPr>
                <w:b/>
                <w:sz w:val="22"/>
                <w:szCs w:val="22"/>
              </w:rPr>
              <w:t xml:space="preserve">3.6 </w:t>
            </w:r>
            <w:r w:rsidRPr="00A76167">
              <w:rPr>
                <w:b/>
                <w:sz w:val="22"/>
                <w:szCs w:val="22"/>
              </w:rPr>
              <w:t>Data linkage</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E62C75B" w14:textId="77777777" w:rsidR="00D47EDC" w:rsidRPr="00A76167" w:rsidRDefault="00D47EDC" w:rsidP="008C6900">
            <w:pPr>
              <w:spacing w:before="240"/>
              <w:rPr>
                <w:sz w:val="22"/>
                <w:szCs w:val="22"/>
              </w:rPr>
            </w:pPr>
          </w:p>
        </w:tc>
      </w:tr>
      <w:tr w:rsidR="00D47EDC" w:rsidRPr="00A76167" w14:paraId="55A387D3" w14:textId="77777777" w:rsidTr="00D47EDC">
        <w:tc>
          <w:tcPr>
            <w:tcW w:w="1843" w:type="dxa"/>
            <w:tcBorders>
              <w:top w:val="single" w:sz="4" w:space="0" w:color="auto"/>
              <w:left w:val="single" w:sz="4" w:space="0" w:color="auto"/>
              <w:bottom w:val="single" w:sz="4" w:space="0" w:color="auto"/>
              <w:right w:val="single" w:sz="4" w:space="0" w:color="auto"/>
            </w:tcBorders>
            <w:shd w:val="clear" w:color="auto" w:fill="auto"/>
          </w:tcPr>
          <w:p w14:paraId="11BCA841" w14:textId="460DE8F0" w:rsidR="00D47EDC" w:rsidRPr="00A76167" w:rsidRDefault="00D47EDC" w:rsidP="008C6900">
            <w:pPr>
              <w:spacing w:before="240"/>
              <w:ind w:left="34"/>
              <w:rPr>
                <w:b/>
                <w:sz w:val="22"/>
                <w:szCs w:val="22"/>
              </w:rPr>
            </w:pPr>
            <w:permStart w:id="1875002294" w:edGrp="everyone" w:colFirst="2" w:colLast="2"/>
            <w:permEnd w:id="117464813"/>
            <w:r>
              <w:rPr>
                <w:b/>
                <w:sz w:val="22"/>
                <w:szCs w:val="22"/>
              </w:rPr>
              <w:t xml:space="preserve">3.7 </w:t>
            </w:r>
            <w:r w:rsidRPr="00A76167">
              <w:rPr>
                <w:b/>
                <w:sz w:val="22"/>
                <w:szCs w:val="22"/>
              </w:rPr>
              <w:t>Quality of data linkage</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0D8F830F" w14:textId="77777777" w:rsidR="00D47EDC" w:rsidRPr="00A76167" w:rsidRDefault="00D47EDC" w:rsidP="008C6900">
            <w:pPr>
              <w:spacing w:before="240"/>
              <w:rPr>
                <w:sz w:val="22"/>
                <w:szCs w:val="22"/>
              </w:rPr>
            </w:pPr>
          </w:p>
        </w:tc>
      </w:tr>
      <w:tr w:rsidR="00D47EDC" w:rsidRPr="00A76167" w14:paraId="09E195BB" w14:textId="77777777" w:rsidTr="00D47EDC">
        <w:tc>
          <w:tcPr>
            <w:tcW w:w="1843" w:type="dxa"/>
            <w:tcBorders>
              <w:top w:val="single" w:sz="4" w:space="0" w:color="auto"/>
              <w:left w:val="single" w:sz="4" w:space="0" w:color="auto"/>
              <w:bottom w:val="single" w:sz="4" w:space="0" w:color="auto"/>
              <w:right w:val="single" w:sz="4" w:space="0" w:color="auto"/>
            </w:tcBorders>
            <w:shd w:val="clear" w:color="auto" w:fill="auto"/>
          </w:tcPr>
          <w:p w14:paraId="492F3C04" w14:textId="744C00F9" w:rsidR="00D47EDC" w:rsidRPr="00A76167" w:rsidRDefault="00D47EDC" w:rsidP="008C6900">
            <w:pPr>
              <w:spacing w:before="240"/>
              <w:ind w:left="34"/>
              <w:rPr>
                <w:b/>
                <w:sz w:val="22"/>
                <w:szCs w:val="22"/>
              </w:rPr>
            </w:pPr>
            <w:permStart w:id="873476260" w:edGrp="everyone" w:colFirst="1" w:colLast="1"/>
            <w:r>
              <w:rPr>
                <w:b/>
                <w:sz w:val="22"/>
                <w:szCs w:val="22"/>
              </w:rPr>
              <w:t xml:space="preserve">3.8 </w:t>
            </w:r>
            <w:r w:rsidRPr="00A76167">
              <w:rPr>
                <w:b/>
                <w:sz w:val="22"/>
                <w:szCs w:val="22"/>
              </w:rPr>
              <w:t>Da</w:t>
            </w:r>
            <w:permEnd w:id="1875002294"/>
            <w:r w:rsidRPr="00A76167">
              <w:rPr>
                <w:b/>
                <w:sz w:val="22"/>
                <w:szCs w:val="22"/>
              </w:rPr>
              <w:t>ta fields</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71961AD" w14:textId="77777777" w:rsidR="00D47EDC" w:rsidRPr="00A76167" w:rsidRDefault="00D47EDC" w:rsidP="00E65476">
            <w:pPr>
              <w:autoSpaceDE w:val="0"/>
              <w:autoSpaceDN w:val="0"/>
              <w:adjustRightInd w:val="0"/>
              <w:textboxTightWrap w:val="none"/>
              <w:rPr>
                <w:sz w:val="22"/>
                <w:szCs w:val="22"/>
                <w:lang w:eastAsia="en-GB"/>
              </w:rPr>
            </w:pPr>
            <w:r w:rsidRPr="00A76167">
              <w:rPr>
                <w:sz w:val="22"/>
                <w:szCs w:val="22"/>
              </w:rPr>
              <w:t xml:space="preserve"> Provider level data for this indicator is published by the NRLS in 6 month reporting periods via the Organisation Patient Safety Incident workbook. April to September data is reported the following March and October to March data is reported the following September. The data are continually updated, so the latest version that covers the period is used to provide the most up to date figure. At the time of calculating this indicator, the latest available version is available at:</w:t>
            </w:r>
            <w:r w:rsidRPr="00A76167">
              <w:rPr>
                <w:sz w:val="22"/>
                <w:szCs w:val="22"/>
                <w:lang w:eastAsia="en-GB"/>
              </w:rPr>
              <w:t xml:space="preserve"> </w:t>
            </w:r>
            <w:hyperlink r:id="rId13" w:history="1">
              <w:r w:rsidRPr="00A76167">
                <w:rPr>
                  <w:rStyle w:val="Hyperlink"/>
                  <w:rFonts w:ascii="Arial" w:eastAsia="MS Mincho" w:hAnsi="Arial"/>
                  <w:color w:val="auto"/>
                  <w:sz w:val="22"/>
                  <w:szCs w:val="22"/>
                  <w:lang w:eastAsia="en-GB"/>
                </w:rPr>
                <w:t>http://www.nrls.npsa.nhs.uk/patient-safety-data/organisation-patient-safety-incident-reports/</w:t>
              </w:r>
            </w:hyperlink>
            <w:r w:rsidRPr="00A76167">
              <w:rPr>
                <w:sz w:val="22"/>
                <w:szCs w:val="22"/>
                <w:lang w:eastAsia="en-GB"/>
              </w:rPr>
              <w:t>.</w:t>
            </w:r>
          </w:p>
          <w:p w14:paraId="33C4F71A" w14:textId="77777777" w:rsidR="00D47EDC" w:rsidRPr="00A76167" w:rsidRDefault="00D47EDC" w:rsidP="00E65476">
            <w:pPr>
              <w:autoSpaceDE w:val="0"/>
              <w:autoSpaceDN w:val="0"/>
              <w:adjustRightInd w:val="0"/>
              <w:textboxTightWrap w:val="none"/>
              <w:rPr>
                <w:sz w:val="22"/>
                <w:szCs w:val="22"/>
              </w:rPr>
            </w:pPr>
            <w:r w:rsidRPr="00A76167">
              <w:rPr>
                <w:sz w:val="22"/>
                <w:szCs w:val="22"/>
              </w:rPr>
              <w:t>ACUTE (NON-SPECIALIST)  - [PERIOD START – PERIOD END] RATE PER 1,000 BED DAYS</w:t>
            </w:r>
          </w:p>
          <w:p w14:paraId="26485E57" w14:textId="3796E171" w:rsidR="00D47EDC" w:rsidRPr="00A76167" w:rsidRDefault="00D47EDC" w:rsidP="00E65476">
            <w:pPr>
              <w:textboxTightWrap w:val="none"/>
              <w:rPr>
                <w:sz w:val="22"/>
                <w:szCs w:val="22"/>
                <w:lang w:eastAsia="en-GB"/>
              </w:rPr>
            </w:pPr>
            <w:r w:rsidRPr="00A76167">
              <w:rPr>
                <w:sz w:val="22"/>
                <w:szCs w:val="22"/>
              </w:rPr>
              <w:t xml:space="preserve">HES APC data, linked to the derived inpatient spells data, is used to calculate a CCG’s five main providers. The data fields that are used are as follows. Details of HES fields and classifications are available in the HES Data Dictionary: </w:t>
            </w:r>
            <w:hyperlink r:id="rId14" w:history="1">
              <w:r w:rsidRPr="00A76167">
                <w:rPr>
                  <w:rStyle w:val="Hyperlink"/>
                  <w:rFonts w:ascii="Arial" w:hAnsi="Arial"/>
                  <w:color w:val="auto"/>
                  <w:sz w:val="22"/>
                  <w:szCs w:val="22"/>
                </w:rPr>
                <w:t>http://content.digital.nhs.uk/hesdatadictionary</w:t>
              </w:r>
            </w:hyperlink>
            <w:r w:rsidRPr="00A76167">
              <w:rPr>
                <w:rStyle w:val="Hyperlink"/>
                <w:rFonts w:ascii="Arial" w:eastAsia="MS Mincho" w:hAnsi="Arial"/>
                <w:color w:val="auto"/>
                <w:sz w:val="22"/>
                <w:szCs w:val="22"/>
              </w:rPr>
              <w:t>.</w:t>
            </w:r>
          </w:p>
          <w:p w14:paraId="4157E46E" w14:textId="77777777" w:rsidR="00D47EDC" w:rsidRPr="00A76167" w:rsidRDefault="00D47EDC" w:rsidP="00E65476">
            <w:pPr>
              <w:autoSpaceDE w:val="0"/>
              <w:autoSpaceDN w:val="0"/>
              <w:adjustRightInd w:val="0"/>
              <w:textboxTightWrap w:val="none"/>
              <w:rPr>
                <w:sz w:val="22"/>
                <w:szCs w:val="22"/>
              </w:rPr>
            </w:pPr>
            <w:r w:rsidRPr="00A76167">
              <w:rPr>
                <w:sz w:val="22"/>
                <w:szCs w:val="22"/>
              </w:rPr>
              <w:t>EPISTAT</w:t>
            </w:r>
          </w:p>
          <w:p w14:paraId="63E32BF9" w14:textId="77777777" w:rsidR="00D47EDC" w:rsidRPr="00A76167" w:rsidRDefault="00D47EDC" w:rsidP="00E65476">
            <w:pPr>
              <w:autoSpaceDE w:val="0"/>
              <w:autoSpaceDN w:val="0"/>
              <w:adjustRightInd w:val="0"/>
              <w:textboxTightWrap w:val="none"/>
              <w:rPr>
                <w:sz w:val="22"/>
                <w:szCs w:val="22"/>
              </w:rPr>
            </w:pPr>
            <w:r w:rsidRPr="00A76167">
              <w:rPr>
                <w:sz w:val="22"/>
                <w:szCs w:val="22"/>
              </w:rPr>
              <w:t>P_SPELL_DISDATE (derived field)</w:t>
            </w:r>
          </w:p>
          <w:p w14:paraId="1D1ACB66" w14:textId="77777777" w:rsidR="00D47EDC" w:rsidRPr="00A76167" w:rsidRDefault="00D47EDC" w:rsidP="00E65476">
            <w:pPr>
              <w:autoSpaceDE w:val="0"/>
              <w:autoSpaceDN w:val="0"/>
              <w:adjustRightInd w:val="0"/>
              <w:textboxTightWrap w:val="none"/>
              <w:rPr>
                <w:sz w:val="22"/>
                <w:szCs w:val="22"/>
              </w:rPr>
            </w:pPr>
            <w:r w:rsidRPr="00A76167">
              <w:rPr>
                <w:sz w:val="22"/>
                <w:szCs w:val="22"/>
              </w:rPr>
              <w:t>P_SPELL_EPIORDER (derived field)</w:t>
            </w:r>
          </w:p>
          <w:p w14:paraId="27F9B6A9" w14:textId="77777777" w:rsidR="00D47EDC" w:rsidRPr="00A76167" w:rsidRDefault="00D47EDC" w:rsidP="00E65476">
            <w:pPr>
              <w:autoSpaceDE w:val="0"/>
              <w:autoSpaceDN w:val="0"/>
              <w:adjustRightInd w:val="0"/>
              <w:textboxTightWrap w:val="none"/>
              <w:rPr>
                <w:sz w:val="22"/>
                <w:szCs w:val="22"/>
              </w:rPr>
            </w:pPr>
            <w:r w:rsidRPr="00A76167">
              <w:rPr>
                <w:sz w:val="22"/>
                <w:szCs w:val="22"/>
              </w:rPr>
              <w:t>PROCODET_MAPPED</w:t>
            </w:r>
          </w:p>
          <w:p w14:paraId="31E14A7C" w14:textId="77777777" w:rsidR="00D47EDC" w:rsidRPr="00A76167" w:rsidRDefault="00D47EDC" w:rsidP="00E65476">
            <w:pPr>
              <w:autoSpaceDE w:val="0"/>
              <w:autoSpaceDN w:val="0"/>
              <w:adjustRightInd w:val="0"/>
              <w:textboxTightWrap w:val="none"/>
              <w:rPr>
                <w:sz w:val="22"/>
                <w:szCs w:val="22"/>
              </w:rPr>
            </w:pPr>
            <w:r w:rsidRPr="00A76167">
              <w:rPr>
                <w:sz w:val="22"/>
                <w:szCs w:val="22"/>
              </w:rPr>
              <w:t>Bed Days (calculated field)</w:t>
            </w:r>
          </w:p>
          <w:p w14:paraId="67DE2004" w14:textId="77777777" w:rsidR="00D47EDC" w:rsidRPr="00A76167" w:rsidRDefault="00D47EDC" w:rsidP="00E65476">
            <w:pPr>
              <w:autoSpaceDE w:val="0"/>
              <w:autoSpaceDN w:val="0"/>
              <w:adjustRightInd w:val="0"/>
              <w:textboxTightWrap w:val="none"/>
              <w:rPr>
                <w:sz w:val="22"/>
                <w:szCs w:val="22"/>
              </w:rPr>
            </w:pPr>
            <w:r w:rsidRPr="00A76167">
              <w:rPr>
                <w:sz w:val="22"/>
                <w:szCs w:val="22"/>
              </w:rPr>
              <w:t>CCG_RESPONSIBILITY</w:t>
            </w:r>
          </w:p>
          <w:p w14:paraId="085E1218" w14:textId="77777777" w:rsidR="00D47EDC" w:rsidRPr="00A76167" w:rsidRDefault="00D47EDC" w:rsidP="00E65476">
            <w:pPr>
              <w:autoSpaceDE w:val="0"/>
              <w:autoSpaceDN w:val="0"/>
              <w:adjustRightInd w:val="0"/>
              <w:textboxTightWrap w:val="none"/>
              <w:rPr>
                <w:sz w:val="22"/>
                <w:szCs w:val="22"/>
              </w:rPr>
            </w:pPr>
          </w:p>
          <w:p w14:paraId="047DE544" w14:textId="77777777" w:rsidR="00D47EDC" w:rsidRPr="00A76167" w:rsidRDefault="00D47EDC" w:rsidP="00E65476">
            <w:pPr>
              <w:autoSpaceDE w:val="0"/>
              <w:autoSpaceDN w:val="0"/>
              <w:adjustRightInd w:val="0"/>
              <w:textboxTightWrap w:val="none"/>
              <w:rPr>
                <w:sz w:val="22"/>
                <w:szCs w:val="22"/>
              </w:rPr>
            </w:pPr>
          </w:p>
          <w:p w14:paraId="2C4BB5B4" w14:textId="77777777" w:rsidR="00D47EDC" w:rsidRPr="00A76167" w:rsidRDefault="00D47EDC" w:rsidP="00E65476">
            <w:pPr>
              <w:autoSpaceDE w:val="0"/>
              <w:autoSpaceDN w:val="0"/>
              <w:adjustRightInd w:val="0"/>
              <w:textboxTightWrap w:val="none"/>
              <w:rPr>
                <w:sz w:val="22"/>
                <w:szCs w:val="22"/>
              </w:rPr>
            </w:pPr>
          </w:p>
          <w:p w14:paraId="341E4FA1" w14:textId="6CD11627" w:rsidR="00D47EDC" w:rsidRPr="00A76167" w:rsidRDefault="00D47EDC" w:rsidP="00E65476">
            <w:pPr>
              <w:autoSpaceDE w:val="0"/>
              <w:autoSpaceDN w:val="0"/>
              <w:adjustRightInd w:val="0"/>
              <w:textboxTightWrap w:val="none"/>
              <w:rPr>
                <w:sz w:val="22"/>
                <w:szCs w:val="22"/>
              </w:rPr>
            </w:pPr>
          </w:p>
        </w:tc>
      </w:tr>
      <w:tr w:rsidR="00D47EDC" w:rsidRPr="00A76167" w14:paraId="4BD9A81D" w14:textId="77777777" w:rsidTr="00D47EDC">
        <w:tc>
          <w:tcPr>
            <w:tcW w:w="1843" w:type="dxa"/>
            <w:tcBorders>
              <w:top w:val="single" w:sz="4" w:space="0" w:color="auto"/>
              <w:left w:val="single" w:sz="4" w:space="0" w:color="auto"/>
              <w:bottom w:val="single" w:sz="4" w:space="0" w:color="auto"/>
              <w:right w:val="single" w:sz="4" w:space="0" w:color="auto"/>
            </w:tcBorders>
            <w:shd w:val="clear" w:color="auto" w:fill="auto"/>
          </w:tcPr>
          <w:p w14:paraId="7A045C44" w14:textId="35BA9E89" w:rsidR="00D47EDC" w:rsidRPr="00A76167" w:rsidRDefault="00D47EDC" w:rsidP="008C6900">
            <w:pPr>
              <w:spacing w:before="240" w:after="0"/>
              <w:ind w:left="34"/>
              <w:rPr>
                <w:b/>
                <w:sz w:val="22"/>
                <w:szCs w:val="22"/>
              </w:rPr>
            </w:pPr>
            <w:permStart w:id="741148899" w:edGrp="everyone" w:colFirst="1" w:colLast="1"/>
            <w:permEnd w:id="873476260"/>
            <w:r>
              <w:rPr>
                <w:b/>
                <w:sz w:val="22"/>
                <w:szCs w:val="22"/>
              </w:rPr>
              <w:lastRenderedPageBreak/>
              <w:t xml:space="preserve">3.9 </w:t>
            </w:r>
            <w:r w:rsidRPr="00A76167">
              <w:rPr>
                <w:b/>
                <w:sz w:val="22"/>
                <w:szCs w:val="22"/>
              </w:rPr>
              <w:t>Data filters</w:t>
            </w:r>
          </w:p>
          <w:p w14:paraId="14548E5F" w14:textId="77777777" w:rsidR="00D47EDC" w:rsidRPr="00A76167" w:rsidRDefault="00D47EDC" w:rsidP="008C6900">
            <w:pPr>
              <w:spacing w:before="240" w:after="0"/>
              <w:ind w:left="34"/>
              <w:rPr>
                <w:b/>
                <w:sz w:val="22"/>
                <w:szCs w:val="22"/>
              </w:rPr>
            </w:pP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C71D21E" w14:textId="77777777" w:rsidR="00D47EDC" w:rsidRPr="00A76167" w:rsidRDefault="00D47EDC" w:rsidP="00E65476">
            <w:pPr>
              <w:autoSpaceDE w:val="0"/>
              <w:autoSpaceDN w:val="0"/>
              <w:adjustRightInd w:val="0"/>
              <w:textboxTightWrap w:val="none"/>
              <w:rPr>
                <w:sz w:val="22"/>
                <w:szCs w:val="22"/>
              </w:rPr>
            </w:pPr>
            <w:r w:rsidRPr="00A76167">
              <w:rPr>
                <w:sz w:val="22"/>
                <w:szCs w:val="22"/>
              </w:rPr>
              <w:t>The data filters used for the calculation of a CCG’s five main providers are as follows:</w:t>
            </w:r>
          </w:p>
          <w:p w14:paraId="259697E0" w14:textId="77777777" w:rsidR="00D47EDC" w:rsidRPr="00A76167" w:rsidRDefault="00D47EDC" w:rsidP="00E65476">
            <w:pPr>
              <w:autoSpaceDE w:val="0"/>
              <w:autoSpaceDN w:val="0"/>
              <w:adjustRightInd w:val="0"/>
              <w:textboxTightWrap w:val="none"/>
              <w:rPr>
                <w:sz w:val="22"/>
                <w:szCs w:val="22"/>
              </w:rPr>
            </w:pPr>
          </w:p>
          <w:p w14:paraId="0AE69B1F" w14:textId="77777777" w:rsidR="00D47EDC" w:rsidRPr="00A76167" w:rsidRDefault="00D47EDC" w:rsidP="008C6900">
            <w:pPr>
              <w:spacing w:before="240" w:after="0"/>
              <w:rPr>
                <w:sz w:val="22"/>
                <w:szCs w:val="22"/>
              </w:rPr>
            </w:pPr>
          </w:p>
        </w:tc>
      </w:tr>
      <w:permEnd w:id="741148899"/>
    </w:tbl>
    <w:p w14:paraId="2B345EFB" w14:textId="132C82BA" w:rsidR="00D47EDC" w:rsidRDefault="00D47EDC"/>
    <w:tbl>
      <w:tblPr>
        <w:tblStyle w:val="TableGrid"/>
        <w:tblW w:w="6964" w:type="dxa"/>
        <w:tblLayout w:type="fixed"/>
        <w:tblLook w:val="01E0" w:firstRow="1" w:lastRow="1" w:firstColumn="1" w:lastColumn="1" w:noHBand="0" w:noVBand="0"/>
      </w:tblPr>
      <w:tblGrid>
        <w:gridCol w:w="2443"/>
        <w:gridCol w:w="4521"/>
      </w:tblGrid>
      <w:tr w:rsidR="00D47EDC" w:rsidRPr="00A76167" w14:paraId="31917247" w14:textId="77777777" w:rsidTr="00B06C11">
        <w:tc>
          <w:tcPr>
            <w:tcW w:w="2443" w:type="dxa"/>
            <w:hideMark/>
          </w:tcPr>
          <w:p w14:paraId="651C4410"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 xml:space="preserve">1. </w:t>
            </w:r>
            <w:r w:rsidRPr="00A76167">
              <w:rPr>
                <w:rFonts w:cs="Arial"/>
                <w:sz w:val="22"/>
                <w:szCs w:val="22"/>
              </w:rPr>
              <w:tab/>
              <w:t>Field Name</w:t>
            </w:r>
          </w:p>
        </w:tc>
        <w:tc>
          <w:tcPr>
            <w:tcW w:w="4521" w:type="dxa"/>
            <w:hideMark/>
          </w:tcPr>
          <w:p w14:paraId="086BFB39"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EPISTAT</w:t>
            </w:r>
          </w:p>
        </w:tc>
      </w:tr>
      <w:tr w:rsidR="00D47EDC" w:rsidRPr="00A76167" w14:paraId="7D53634E" w14:textId="77777777" w:rsidTr="00B06C11">
        <w:tc>
          <w:tcPr>
            <w:tcW w:w="2443" w:type="dxa"/>
            <w:hideMark/>
          </w:tcPr>
          <w:p w14:paraId="33D9ECF4"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ab/>
              <w:t>Conditions</w:t>
            </w:r>
          </w:p>
        </w:tc>
        <w:tc>
          <w:tcPr>
            <w:tcW w:w="4521" w:type="dxa"/>
            <w:hideMark/>
          </w:tcPr>
          <w:p w14:paraId="4A641A57"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Is equal to 3</w:t>
            </w:r>
          </w:p>
        </w:tc>
      </w:tr>
      <w:tr w:rsidR="00D47EDC" w:rsidRPr="00A76167" w14:paraId="0AADCC37" w14:textId="77777777" w:rsidTr="00B06C11">
        <w:tc>
          <w:tcPr>
            <w:tcW w:w="2443" w:type="dxa"/>
            <w:hideMark/>
          </w:tcPr>
          <w:p w14:paraId="0315902A"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ab/>
              <w:t>Rationale</w:t>
            </w:r>
          </w:p>
        </w:tc>
        <w:tc>
          <w:tcPr>
            <w:tcW w:w="4521" w:type="dxa"/>
            <w:hideMark/>
          </w:tcPr>
          <w:p w14:paraId="6D48533A"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Selects finished episodes</w:t>
            </w:r>
          </w:p>
        </w:tc>
      </w:tr>
      <w:tr w:rsidR="00D47EDC" w:rsidRPr="00A76167" w14:paraId="7FF41AA5" w14:textId="77777777" w:rsidTr="00B06C11">
        <w:tc>
          <w:tcPr>
            <w:tcW w:w="2443" w:type="dxa"/>
          </w:tcPr>
          <w:p w14:paraId="48801300" w14:textId="77777777" w:rsidR="00D47EDC" w:rsidRPr="00A76167" w:rsidRDefault="00D47EDC" w:rsidP="00B06C11">
            <w:pPr>
              <w:autoSpaceDE w:val="0"/>
              <w:autoSpaceDN w:val="0"/>
              <w:adjustRightInd w:val="0"/>
              <w:textboxTightWrap w:val="none"/>
              <w:rPr>
                <w:rFonts w:cs="Arial"/>
                <w:sz w:val="22"/>
                <w:szCs w:val="22"/>
              </w:rPr>
            </w:pPr>
          </w:p>
        </w:tc>
        <w:tc>
          <w:tcPr>
            <w:tcW w:w="4521" w:type="dxa"/>
          </w:tcPr>
          <w:p w14:paraId="7465C99A" w14:textId="77777777" w:rsidR="00D47EDC" w:rsidRPr="00A76167" w:rsidRDefault="00D47EDC" w:rsidP="00B06C11">
            <w:pPr>
              <w:autoSpaceDE w:val="0"/>
              <w:autoSpaceDN w:val="0"/>
              <w:adjustRightInd w:val="0"/>
              <w:textboxTightWrap w:val="none"/>
              <w:rPr>
                <w:rFonts w:cs="Arial"/>
                <w:sz w:val="22"/>
                <w:szCs w:val="22"/>
              </w:rPr>
            </w:pPr>
          </w:p>
        </w:tc>
      </w:tr>
      <w:tr w:rsidR="00D47EDC" w:rsidRPr="00A76167" w14:paraId="3C28F729" w14:textId="77777777" w:rsidTr="00B06C11">
        <w:tc>
          <w:tcPr>
            <w:tcW w:w="2443" w:type="dxa"/>
            <w:hideMark/>
          </w:tcPr>
          <w:p w14:paraId="52AF15F7"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 xml:space="preserve">2. </w:t>
            </w:r>
            <w:r w:rsidRPr="00A76167">
              <w:rPr>
                <w:rFonts w:cs="Arial"/>
                <w:sz w:val="22"/>
                <w:szCs w:val="22"/>
              </w:rPr>
              <w:tab/>
              <w:t>Field Name</w:t>
            </w:r>
          </w:p>
        </w:tc>
        <w:tc>
          <w:tcPr>
            <w:tcW w:w="4521" w:type="dxa"/>
            <w:hideMark/>
          </w:tcPr>
          <w:p w14:paraId="21EA7F79"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P_SPELL_DISDATE</w:t>
            </w:r>
          </w:p>
        </w:tc>
      </w:tr>
      <w:tr w:rsidR="00D47EDC" w:rsidRPr="00A76167" w14:paraId="447C7A52" w14:textId="77777777" w:rsidTr="00B06C11">
        <w:tc>
          <w:tcPr>
            <w:tcW w:w="2443" w:type="dxa"/>
            <w:hideMark/>
          </w:tcPr>
          <w:p w14:paraId="0A9EAE33"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ab/>
              <w:t>Conditions</w:t>
            </w:r>
          </w:p>
        </w:tc>
        <w:tc>
          <w:tcPr>
            <w:tcW w:w="4521" w:type="dxa"/>
            <w:hideMark/>
          </w:tcPr>
          <w:p w14:paraId="048D86E4"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Is between &lt;reporting period&gt;</w:t>
            </w:r>
          </w:p>
        </w:tc>
      </w:tr>
      <w:tr w:rsidR="00D47EDC" w:rsidRPr="00A76167" w14:paraId="2EF7B889" w14:textId="77777777" w:rsidTr="00B06C11">
        <w:tc>
          <w:tcPr>
            <w:tcW w:w="2443" w:type="dxa"/>
            <w:hideMark/>
          </w:tcPr>
          <w:p w14:paraId="766D7D0B"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ab/>
              <w:t>Rationale</w:t>
            </w:r>
          </w:p>
        </w:tc>
        <w:tc>
          <w:tcPr>
            <w:tcW w:w="4521" w:type="dxa"/>
            <w:hideMark/>
          </w:tcPr>
          <w:p w14:paraId="6163065B"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 xml:space="preserve">Selects provider spells in the relevant reporting period </w:t>
            </w:r>
          </w:p>
        </w:tc>
      </w:tr>
      <w:tr w:rsidR="00D47EDC" w:rsidRPr="00A76167" w14:paraId="3A5A4712" w14:textId="77777777" w:rsidTr="00B06C11">
        <w:tc>
          <w:tcPr>
            <w:tcW w:w="2443" w:type="dxa"/>
          </w:tcPr>
          <w:p w14:paraId="706F33B0" w14:textId="77777777" w:rsidR="00D47EDC" w:rsidRPr="00A76167" w:rsidRDefault="00D47EDC" w:rsidP="00B06C11">
            <w:pPr>
              <w:autoSpaceDE w:val="0"/>
              <w:autoSpaceDN w:val="0"/>
              <w:adjustRightInd w:val="0"/>
              <w:textboxTightWrap w:val="none"/>
              <w:rPr>
                <w:rFonts w:cs="Arial"/>
                <w:sz w:val="22"/>
                <w:szCs w:val="22"/>
              </w:rPr>
            </w:pPr>
          </w:p>
        </w:tc>
        <w:tc>
          <w:tcPr>
            <w:tcW w:w="4521" w:type="dxa"/>
          </w:tcPr>
          <w:p w14:paraId="751ED18F" w14:textId="77777777" w:rsidR="00D47EDC" w:rsidRPr="00A76167" w:rsidRDefault="00D47EDC" w:rsidP="00B06C11">
            <w:pPr>
              <w:autoSpaceDE w:val="0"/>
              <w:autoSpaceDN w:val="0"/>
              <w:adjustRightInd w:val="0"/>
              <w:textboxTightWrap w:val="none"/>
              <w:rPr>
                <w:rFonts w:cs="Arial"/>
                <w:sz w:val="22"/>
                <w:szCs w:val="22"/>
              </w:rPr>
            </w:pPr>
          </w:p>
        </w:tc>
      </w:tr>
      <w:tr w:rsidR="00D47EDC" w:rsidRPr="00A76167" w14:paraId="00AEEEEA" w14:textId="77777777" w:rsidTr="00B06C11">
        <w:tc>
          <w:tcPr>
            <w:tcW w:w="2443" w:type="dxa"/>
            <w:hideMark/>
          </w:tcPr>
          <w:p w14:paraId="34655B93"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 xml:space="preserve">3. </w:t>
            </w:r>
            <w:r w:rsidRPr="00A76167">
              <w:rPr>
                <w:rFonts w:cs="Arial"/>
                <w:sz w:val="22"/>
                <w:szCs w:val="22"/>
              </w:rPr>
              <w:tab/>
              <w:t>Field Name</w:t>
            </w:r>
          </w:p>
        </w:tc>
        <w:tc>
          <w:tcPr>
            <w:tcW w:w="4521" w:type="dxa"/>
            <w:hideMark/>
          </w:tcPr>
          <w:p w14:paraId="2F76EEAB"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P_SPELL_EPIORDER (derived field)</w:t>
            </w:r>
          </w:p>
        </w:tc>
      </w:tr>
      <w:tr w:rsidR="00D47EDC" w:rsidRPr="00A76167" w14:paraId="26A5C408" w14:textId="77777777" w:rsidTr="00B06C11">
        <w:tc>
          <w:tcPr>
            <w:tcW w:w="2443" w:type="dxa"/>
            <w:hideMark/>
          </w:tcPr>
          <w:p w14:paraId="521043D9"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ab/>
              <w:t>Conditions</w:t>
            </w:r>
          </w:p>
        </w:tc>
        <w:tc>
          <w:tcPr>
            <w:tcW w:w="4521" w:type="dxa"/>
            <w:hideMark/>
          </w:tcPr>
          <w:p w14:paraId="5507C88E"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Is equal to 1</w:t>
            </w:r>
          </w:p>
        </w:tc>
      </w:tr>
      <w:tr w:rsidR="00D47EDC" w:rsidRPr="00A76167" w14:paraId="5027C421" w14:textId="77777777" w:rsidTr="00B06C11">
        <w:tc>
          <w:tcPr>
            <w:tcW w:w="2443" w:type="dxa"/>
            <w:hideMark/>
          </w:tcPr>
          <w:p w14:paraId="405E3595"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ab/>
              <w:t>Rationale</w:t>
            </w:r>
          </w:p>
        </w:tc>
        <w:tc>
          <w:tcPr>
            <w:tcW w:w="4521" w:type="dxa"/>
            <w:hideMark/>
          </w:tcPr>
          <w:p w14:paraId="793A6453"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Selects first episode in the provider spell.</w:t>
            </w:r>
          </w:p>
        </w:tc>
      </w:tr>
      <w:tr w:rsidR="00D47EDC" w:rsidRPr="00A76167" w14:paraId="097738C6" w14:textId="77777777" w:rsidTr="00B06C11">
        <w:tc>
          <w:tcPr>
            <w:tcW w:w="2443" w:type="dxa"/>
          </w:tcPr>
          <w:p w14:paraId="209C091F" w14:textId="77777777" w:rsidR="00D47EDC" w:rsidRPr="00A76167" w:rsidRDefault="00D47EDC" w:rsidP="00B06C11">
            <w:pPr>
              <w:autoSpaceDE w:val="0"/>
              <w:autoSpaceDN w:val="0"/>
              <w:adjustRightInd w:val="0"/>
              <w:textboxTightWrap w:val="none"/>
              <w:rPr>
                <w:rFonts w:cs="Arial"/>
                <w:sz w:val="22"/>
                <w:szCs w:val="22"/>
              </w:rPr>
            </w:pPr>
          </w:p>
        </w:tc>
        <w:tc>
          <w:tcPr>
            <w:tcW w:w="4521" w:type="dxa"/>
          </w:tcPr>
          <w:p w14:paraId="1D16A9A7" w14:textId="77777777" w:rsidR="00D47EDC" w:rsidRPr="00A76167" w:rsidRDefault="00D47EDC" w:rsidP="00B06C11">
            <w:pPr>
              <w:autoSpaceDE w:val="0"/>
              <w:autoSpaceDN w:val="0"/>
              <w:adjustRightInd w:val="0"/>
              <w:textboxTightWrap w:val="none"/>
              <w:rPr>
                <w:rFonts w:cs="Arial"/>
                <w:sz w:val="22"/>
                <w:szCs w:val="22"/>
              </w:rPr>
            </w:pPr>
          </w:p>
        </w:tc>
      </w:tr>
      <w:tr w:rsidR="00D47EDC" w:rsidRPr="00A76167" w14:paraId="6547E4AB" w14:textId="77777777" w:rsidTr="00B06C11">
        <w:tc>
          <w:tcPr>
            <w:tcW w:w="2443" w:type="dxa"/>
            <w:hideMark/>
          </w:tcPr>
          <w:p w14:paraId="3DC9B3E2"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 xml:space="preserve">4. </w:t>
            </w:r>
            <w:r w:rsidRPr="00A76167">
              <w:rPr>
                <w:rFonts w:cs="Arial"/>
                <w:sz w:val="22"/>
                <w:szCs w:val="22"/>
              </w:rPr>
              <w:tab/>
              <w:t>Field Name</w:t>
            </w:r>
          </w:p>
        </w:tc>
        <w:tc>
          <w:tcPr>
            <w:tcW w:w="4521" w:type="dxa"/>
            <w:hideMark/>
          </w:tcPr>
          <w:p w14:paraId="7E06C887"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PROCODET_MAPPED</w:t>
            </w:r>
          </w:p>
        </w:tc>
      </w:tr>
      <w:tr w:rsidR="00D47EDC" w:rsidRPr="00A76167" w14:paraId="5641AB77" w14:textId="77777777" w:rsidTr="00B06C11">
        <w:tc>
          <w:tcPr>
            <w:tcW w:w="2443" w:type="dxa"/>
            <w:hideMark/>
          </w:tcPr>
          <w:p w14:paraId="121C5741"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ab/>
              <w:t>Conditions</w:t>
            </w:r>
          </w:p>
        </w:tc>
        <w:tc>
          <w:tcPr>
            <w:tcW w:w="4521" w:type="dxa"/>
            <w:hideMark/>
          </w:tcPr>
          <w:p w14:paraId="644C1800"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Is not equal to ‘N%’ or ‘8%’</w:t>
            </w:r>
          </w:p>
        </w:tc>
      </w:tr>
      <w:tr w:rsidR="00D47EDC" w:rsidRPr="00A76167" w14:paraId="6F8D3225" w14:textId="77777777" w:rsidTr="00B06C11">
        <w:tc>
          <w:tcPr>
            <w:tcW w:w="2443" w:type="dxa"/>
            <w:hideMark/>
          </w:tcPr>
          <w:p w14:paraId="305BCA8D"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ab/>
              <w:t>Rationale</w:t>
            </w:r>
          </w:p>
        </w:tc>
        <w:tc>
          <w:tcPr>
            <w:tcW w:w="4521" w:type="dxa"/>
            <w:hideMark/>
          </w:tcPr>
          <w:p w14:paraId="4C76404A"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Excludes private and independent providers.</w:t>
            </w:r>
          </w:p>
        </w:tc>
      </w:tr>
      <w:tr w:rsidR="00D47EDC" w:rsidRPr="00A76167" w14:paraId="65278AEF" w14:textId="77777777" w:rsidTr="00B06C11">
        <w:tc>
          <w:tcPr>
            <w:tcW w:w="2443" w:type="dxa"/>
          </w:tcPr>
          <w:p w14:paraId="16C9986D" w14:textId="77777777" w:rsidR="00D47EDC" w:rsidRPr="00A76167" w:rsidRDefault="00D47EDC" w:rsidP="00B06C11">
            <w:pPr>
              <w:autoSpaceDE w:val="0"/>
              <w:autoSpaceDN w:val="0"/>
              <w:adjustRightInd w:val="0"/>
              <w:textboxTightWrap w:val="none"/>
              <w:rPr>
                <w:rFonts w:cs="Arial"/>
                <w:sz w:val="22"/>
                <w:szCs w:val="22"/>
              </w:rPr>
            </w:pPr>
          </w:p>
        </w:tc>
        <w:tc>
          <w:tcPr>
            <w:tcW w:w="4521" w:type="dxa"/>
          </w:tcPr>
          <w:p w14:paraId="4EE93F20" w14:textId="77777777" w:rsidR="00D47EDC" w:rsidRPr="00A76167" w:rsidRDefault="00D47EDC" w:rsidP="00B06C11">
            <w:pPr>
              <w:autoSpaceDE w:val="0"/>
              <w:autoSpaceDN w:val="0"/>
              <w:adjustRightInd w:val="0"/>
              <w:textboxTightWrap w:val="none"/>
              <w:rPr>
                <w:rFonts w:cs="Arial"/>
                <w:sz w:val="22"/>
                <w:szCs w:val="22"/>
              </w:rPr>
            </w:pPr>
          </w:p>
        </w:tc>
      </w:tr>
      <w:tr w:rsidR="00D47EDC" w:rsidRPr="00A76167" w14:paraId="2D7B349E" w14:textId="77777777" w:rsidTr="00B06C11">
        <w:tc>
          <w:tcPr>
            <w:tcW w:w="2443" w:type="dxa"/>
            <w:hideMark/>
          </w:tcPr>
          <w:p w14:paraId="3909EAA3"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 xml:space="preserve">5. </w:t>
            </w:r>
            <w:r w:rsidRPr="00A76167">
              <w:rPr>
                <w:rFonts w:cs="Arial"/>
                <w:sz w:val="22"/>
                <w:szCs w:val="22"/>
              </w:rPr>
              <w:tab/>
              <w:t>Field Name</w:t>
            </w:r>
          </w:p>
        </w:tc>
        <w:tc>
          <w:tcPr>
            <w:tcW w:w="4521" w:type="dxa"/>
            <w:hideMark/>
          </w:tcPr>
          <w:p w14:paraId="4C7B33B3"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Bed Days (calculated field)</w:t>
            </w:r>
          </w:p>
        </w:tc>
      </w:tr>
      <w:tr w:rsidR="00D47EDC" w:rsidRPr="00A76167" w14:paraId="430FD0F7" w14:textId="77777777" w:rsidTr="00B06C11">
        <w:tc>
          <w:tcPr>
            <w:tcW w:w="2443" w:type="dxa"/>
            <w:hideMark/>
          </w:tcPr>
          <w:p w14:paraId="6A9E5C06"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ab/>
              <w:t>Conditions</w:t>
            </w:r>
          </w:p>
        </w:tc>
        <w:tc>
          <w:tcPr>
            <w:tcW w:w="4521" w:type="dxa"/>
            <w:hideMark/>
          </w:tcPr>
          <w:p w14:paraId="583D4F16"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(P_SPELL_DISDATE - P_SPELL_ADMIDATE) + 0.5</w:t>
            </w:r>
          </w:p>
        </w:tc>
      </w:tr>
      <w:tr w:rsidR="00D47EDC" w:rsidRPr="00A76167" w14:paraId="6024FA78" w14:textId="77777777" w:rsidTr="00B06C11">
        <w:tc>
          <w:tcPr>
            <w:tcW w:w="2443" w:type="dxa"/>
            <w:hideMark/>
          </w:tcPr>
          <w:p w14:paraId="50D062A1"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ab/>
              <w:t>Rationale</w:t>
            </w:r>
          </w:p>
        </w:tc>
        <w:tc>
          <w:tcPr>
            <w:tcW w:w="4521" w:type="dxa"/>
            <w:hideMark/>
          </w:tcPr>
          <w:p w14:paraId="65649E97"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Calculates the number of bed days per provider spell. Bed days are limited to the period in which the patient safety incident data relates to. For example, patients that are admitted before April will have their bed days calculated from 1st April onwards for the April to September patient safety incident period</w:t>
            </w:r>
          </w:p>
        </w:tc>
      </w:tr>
      <w:tr w:rsidR="00D47EDC" w:rsidRPr="00A76167" w14:paraId="7FB274D3" w14:textId="77777777" w:rsidTr="00B06C11">
        <w:tc>
          <w:tcPr>
            <w:tcW w:w="2443" w:type="dxa"/>
            <w:hideMark/>
          </w:tcPr>
          <w:p w14:paraId="05A9B1DA"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 xml:space="preserve">6. </w:t>
            </w:r>
            <w:r w:rsidRPr="00A76167">
              <w:rPr>
                <w:rFonts w:cs="Arial"/>
                <w:sz w:val="22"/>
                <w:szCs w:val="22"/>
              </w:rPr>
              <w:tab/>
              <w:t>Field Name</w:t>
            </w:r>
          </w:p>
        </w:tc>
        <w:tc>
          <w:tcPr>
            <w:tcW w:w="4521" w:type="dxa"/>
            <w:hideMark/>
          </w:tcPr>
          <w:p w14:paraId="5A18AD05"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CCG_RESPONSIBILITY</w:t>
            </w:r>
          </w:p>
        </w:tc>
      </w:tr>
      <w:tr w:rsidR="00D47EDC" w:rsidRPr="00A76167" w14:paraId="7E5CAEB4" w14:textId="77777777" w:rsidTr="00B06C11">
        <w:tc>
          <w:tcPr>
            <w:tcW w:w="2443" w:type="dxa"/>
            <w:hideMark/>
          </w:tcPr>
          <w:p w14:paraId="7C38C4F3"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lastRenderedPageBreak/>
              <w:tab/>
              <w:t>Conditions</w:t>
            </w:r>
          </w:p>
        </w:tc>
        <w:tc>
          <w:tcPr>
            <w:tcW w:w="4521" w:type="dxa"/>
            <w:hideMark/>
          </w:tcPr>
          <w:p w14:paraId="28E899B0"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CCGs in England only</w:t>
            </w:r>
          </w:p>
        </w:tc>
      </w:tr>
      <w:tr w:rsidR="00D47EDC" w:rsidRPr="00A76167" w14:paraId="32D85650" w14:textId="77777777" w:rsidTr="00B06C11">
        <w:tc>
          <w:tcPr>
            <w:tcW w:w="2443" w:type="dxa"/>
            <w:hideMark/>
          </w:tcPr>
          <w:p w14:paraId="44A73151"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ab/>
              <w:t>Rationale</w:t>
            </w:r>
          </w:p>
        </w:tc>
        <w:tc>
          <w:tcPr>
            <w:tcW w:w="4521" w:type="dxa"/>
            <w:hideMark/>
          </w:tcPr>
          <w:p w14:paraId="5D1BC911" w14:textId="77777777" w:rsidR="00D47EDC" w:rsidRPr="00A76167" w:rsidRDefault="00D47EDC" w:rsidP="00B06C11">
            <w:pPr>
              <w:autoSpaceDE w:val="0"/>
              <w:autoSpaceDN w:val="0"/>
              <w:adjustRightInd w:val="0"/>
              <w:textboxTightWrap w:val="none"/>
              <w:rPr>
                <w:rFonts w:cs="Arial"/>
                <w:sz w:val="22"/>
                <w:szCs w:val="22"/>
              </w:rPr>
            </w:pPr>
            <w:r w:rsidRPr="00A76167">
              <w:rPr>
                <w:rFonts w:cs="Arial"/>
                <w:sz w:val="22"/>
                <w:szCs w:val="22"/>
              </w:rPr>
              <w:t xml:space="preserve">Excludes those registered with GPs outside of England. Reference file provided at: </w:t>
            </w:r>
            <w:hyperlink r:id="rId15" w:history="1">
              <w:r w:rsidRPr="00A76167">
                <w:rPr>
                  <w:rStyle w:val="Hyperlink"/>
                  <w:rFonts w:ascii="Arial" w:hAnsi="Arial" w:cs="Arial"/>
                  <w:color w:val="auto"/>
                  <w:sz w:val="22"/>
                  <w:szCs w:val="22"/>
                </w:rPr>
                <w:t>http://content.digital.nhs.uk/ccgois</w:t>
              </w:r>
            </w:hyperlink>
            <w:r w:rsidRPr="00A76167">
              <w:rPr>
                <w:rFonts w:cs="Arial"/>
                <w:sz w:val="22"/>
                <w:szCs w:val="22"/>
              </w:rPr>
              <w:t xml:space="preserve"> </w:t>
            </w:r>
          </w:p>
          <w:p w14:paraId="0DFD6673" w14:textId="77777777" w:rsidR="00D47EDC" w:rsidRPr="00A76167" w:rsidRDefault="00D47EDC" w:rsidP="00B06C11">
            <w:pPr>
              <w:autoSpaceDE w:val="0"/>
              <w:autoSpaceDN w:val="0"/>
              <w:adjustRightInd w:val="0"/>
              <w:textboxTightWrap w:val="none"/>
              <w:rPr>
                <w:rFonts w:cs="Arial"/>
                <w:sz w:val="22"/>
                <w:szCs w:val="22"/>
              </w:rPr>
            </w:pPr>
          </w:p>
          <w:p w14:paraId="4D4FF203" w14:textId="77777777" w:rsidR="00D47EDC" w:rsidRPr="00A76167" w:rsidRDefault="00D47EDC" w:rsidP="00B06C11">
            <w:pPr>
              <w:autoSpaceDE w:val="0"/>
              <w:autoSpaceDN w:val="0"/>
              <w:adjustRightInd w:val="0"/>
              <w:textboxTightWrap w:val="none"/>
              <w:rPr>
                <w:rFonts w:cs="Arial"/>
                <w:sz w:val="22"/>
                <w:szCs w:val="22"/>
              </w:rPr>
            </w:pPr>
          </w:p>
          <w:p w14:paraId="0F044BB0" w14:textId="77777777" w:rsidR="00D47EDC" w:rsidRPr="00A76167" w:rsidRDefault="00D47EDC" w:rsidP="00B06C11">
            <w:pPr>
              <w:autoSpaceDE w:val="0"/>
              <w:autoSpaceDN w:val="0"/>
              <w:adjustRightInd w:val="0"/>
              <w:textboxTightWrap w:val="none"/>
              <w:rPr>
                <w:rFonts w:cs="Arial"/>
                <w:sz w:val="22"/>
                <w:szCs w:val="22"/>
              </w:rPr>
            </w:pPr>
          </w:p>
        </w:tc>
      </w:tr>
    </w:tbl>
    <w:p w14:paraId="2D9FCE3F" w14:textId="5826A014" w:rsidR="00D47EDC" w:rsidRDefault="00D47EDC"/>
    <w:p w14:paraId="5CD7FF66" w14:textId="0B4D822A" w:rsidR="00D47EDC" w:rsidRDefault="00D47EDC"/>
    <w:p w14:paraId="378735BD" w14:textId="1F2BAF2A" w:rsidR="00D47EDC" w:rsidRDefault="00D47EDC"/>
    <w:p w14:paraId="69EB9D6C" w14:textId="77777777" w:rsidR="00D47EDC" w:rsidRDefault="00D47EDC"/>
    <w:tbl>
      <w:tblPr>
        <w:tblStyle w:val="TableGrid1"/>
        <w:tblW w:w="9356" w:type="dxa"/>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ayout w:type="fixed"/>
        <w:tblLook w:val="04A0" w:firstRow="1" w:lastRow="0" w:firstColumn="1" w:lastColumn="0" w:noHBand="0" w:noVBand="1"/>
      </w:tblPr>
      <w:tblGrid>
        <w:gridCol w:w="1843"/>
        <w:gridCol w:w="7513"/>
      </w:tblGrid>
      <w:tr w:rsidR="00D47EDC" w:rsidRPr="00A76167" w14:paraId="330D2D4B" w14:textId="77777777" w:rsidTr="00D47EDC">
        <w:tc>
          <w:tcPr>
            <w:tcW w:w="1843" w:type="dxa"/>
            <w:tcBorders>
              <w:top w:val="single" w:sz="4" w:space="0" w:color="auto"/>
              <w:left w:val="single" w:sz="4" w:space="0" w:color="auto"/>
              <w:bottom w:val="single" w:sz="4" w:space="0" w:color="auto"/>
              <w:right w:val="single" w:sz="4" w:space="0" w:color="auto"/>
            </w:tcBorders>
            <w:shd w:val="clear" w:color="auto" w:fill="auto"/>
          </w:tcPr>
          <w:p w14:paraId="12F2DABA" w14:textId="4C9F7ECA" w:rsidR="00D47EDC" w:rsidRPr="00A76167" w:rsidRDefault="00D47EDC" w:rsidP="008C6900">
            <w:pPr>
              <w:spacing w:before="240"/>
              <w:ind w:left="34"/>
              <w:rPr>
                <w:b/>
                <w:sz w:val="22"/>
                <w:szCs w:val="22"/>
              </w:rPr>
            </w:pPr>
            <w:permStart w:id="2058844724" w:edGrp="everyone" w:colFirst="1" w:colLast="1"/>
            <w:r>
              <w:rPr>
                <w:b/>
                <w:sz w:val="22"/>
                <w:szCs w:val="22"/>
              </w:rPr>
              <w:t xml:space="preserve">3.10 </w:t>
            </w:r>
            <w:r w:rsidRPr="00A76167">
              <w:rPr>
                <w:b/>
                <w:sz w:val="22"/>
                <w:szCs w:val="22"/>
              </w:rPr>
              <w:t xml:space="preserve">Justifications of inclusions and exclusions </w:t>
            </w:r>
          </w:p>
          <w:p w14:paraId="09BDBB75" w14:textId="77777777" w:rsidR="00D47EDC" w:rsidRPr="00A76167" w:rsidRDefault="00D47EDC" w:rsidP="008C6900">
            <w:pPr>
              <w:ind w:left="34"/>
              <w:rPr>
                <w:sz w:val="22"/>
                <w:szCs w:val="22"/>
              </w:rPr>
            </w:pPr>
            <w:r w:rsidRPr="00A76167">
              <w:rPr>
                <w:sz w:val="22"/>
                <w:szCs w:val="22"/>
              </w:rPr>
              <w:t>and how these adhere to standard definitions</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4ECD3F96" w14:textId="723DE431" w:rsidR="00D47EDC" w:rsidRPr="00A76167" w:rsidRDefault="00D47EDC" w:rsidP="008C6900">
            <w:pPr>
              <w:spacing w:before="240"/>
              <w:rPr>
                <w:sz w:val="22"/>
                <w:szCs w:val="22"/>
              </w:rPr>
            </w:pPr>
            <w:r w:rsidRPr="00A76167">
              <w:rPr>
                <w:sz w:val="22"/>
                <w:szCs w:val="22"/>
              </w:rPr>
              <w:t>See rationales above</w:t>
            </w:r>
          </w:p>
        </w:tc>
      </w:tr>
      <w:tr w:rsidR="00D47EDC" w:rsidRPr="00A76167" w14:paraId="3450F2A6" w14:textId="77777777" w:rsidTr="00D47EDC">
        <w:tc>
          <w:tcPr>
            <w:tcW w:w="1843" w:type="dxa"/>
            <w:tcBorders>
              <w:top w:val="single" w:sz="4" w:space="0" w:color="auto"/>
              <w:left w:val="single" w:sz="4" w:space="0" w:color="auto"/>
              <w:bottom w:val="single" w:sz="4" w:space="0" w:color="auto"/>
              <w:right w:val="single" w:sz="4" w:space="0" w:color="auto"/>
            </w:tcBorders>
            <w:shd w:val="clear" w:color="auto" w:fill="auto"/>
          </w:tcPr>
          <w:p w14:paraId="659E5243" w14:textId="5D229467" w:rsidR="00D47EDC" w:rsidRPr="00A76167" w:rsidRDefault="00D47EDC" w:rsidP="008C6900">
            <w:pPr>
              <w:spacing w:before="240"/>
              <w:ind w:left="34"/>
              <w:rPr>
                <w:b/>
                <w:sz w:val="22"/>
                <w:szCs w:val="22"/>
              </w:rPr>
            </w:pPr>
            <w:permStart w:id="465962461" w:edGrp="everyone" w:colFirst="1" w:colLast="1"/>
            <w:permEnd w:id="2058844724"/>
            <w:r>
              <w:rPr>
                <w:b/>
                <w:sz w:val="22"/>
                <w:szCs w:val="22"/>
              </w:rPr>
              <w:t xml:space="preserve">3.1 </w:t>
            </w:r>
            <w:r w:rsidRPr="00A76167">
              <w:rPr>
                <w:b/>
                <w:sz w:val="22"/>
                <w:szCs w:val="22"/>
              </w:rPr>
              <w:t>Data processing</w:t>
            </w:r>
          </w:p>
        </w:tc>
        <w:tc>
          <w:tcPr>
            <w:tcW w:w="7513" w:type="dxa"/>
            <w:tcBorders>
              <w:top w:val="single" w:sz="4" w:space="0" w:color="auto"/>
              <w:left w:val="single" w:sz="4" w:space="0" w:color="auto"/>
              <w:bottom w:val="single" w:sz="4" w:space="0" w:color="auto"/>
              <w:right w:val="single" w:sz="4" w:space="0" w:color="auto"/>
            </w:tcBorders>
            <w:shd w:val="clear" w:color="auto" w:fill="auto"/>
          </w:tcPr>
          <w:p w14:paraId="295D6A26" w14:textId="77777777" w:rsidR="00D47EDC" w:rsidRPr="00A76167" w:rsidRDefault="00D47EDC" w:rsidP="00E65476">
            <w:pPr>
              <w:spacing w:before="240"/>
              <w:rPr>
                <w:rFonts w:eastAsia="Times New Roman"/>
                <w:sz w:val="22"/>
                <w:szCs w:val="22"/>
              </w:rPr>
            </w:pPr>
            <w:r w:rsidRPr="00A76167">
              <w:rPr>
                <w:rFonts w:eastAsia="Times New Roman"/>
                <w:sz w:val="22"/>
                <w:szCs w:val="22"/>
              </w:rPr>
              <w:t>Provider level data for this indicator is published by the NRLS in 6 month reporting periods via the Organisation Patient Safety Incident workbook.</w:t>
            </w:r>
          </w:p>
          <w:p w14:paraId="05C6BD18" w14:textId="7FBDEB8C" w:rsidR="00D47EDC" w:rsidRPr="00A76167" w:rsidRDefault="00D47EDC" w:rsidP="00E65476">
            <w:pPr>
              <w:spacing w:before="240"/>
              <w:rPr>
                <w:sz w:val="22"/>
                <w:szCs w:val="22"/>
              </w:rPr>
            </w:pPr>
            <w:r w:rsidRPr="00A76167">
              <w:rPr>
                <w:rFonts w:eastAsia="Times New Roman"/>
                <w:sz w:val="22"/>
                <w:szCs w:val="22"/>
              </w:rPr>
              <w:t>HES APC data, linked to the derived inpatient spells data, is used to calculate a CCG’s five main providers.</w:t>
            </w:r>
          </w:p>
        </w:tc>
      </w:tr>
      <w:permEnd w:id="465962461"/>
    </w:tbl>
    <w:p w14:paraId="6C367CA6" w14:textId="77777777" w:rsidR="00772A5C" w:rsidRPr="00A76167" w:rsidRDefault="00772A5C">
      <w:pPr>
        <w:rPr>
          <w:rFonts w:cs="Arial"/>
          <w:sz w:val="22"/>
          <w:szCs w:val="22"/>
        </w:rPr>
      </w:pPr>
      <w:r w:rsidRPr="00A76167">
        <w:rPr>
          <w:rFonts w:cs="Arial"/>
          <w:sz w:val="22"/>
          <w:szCs w:val="22"/>
        </w:rPr>
        <w:br w:type="page"/>
      </w:r>
    </w:p>
    <w:p w14:paraId="03672275" w14:textId="5BF6AA8A" w:rsidR="00A76167" w:rsidRDefault="00A76167">
      <w:r>
        <w:lastRenderedPageBreak/>
        <w:t>Section 4 Construction</w:t>
      </w:r>
    </w:p>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2240"/>
        <w:gridCol w:w="6701"/>
      </w:tblGrid>
      <w:tr w:rsidR="00D47EDC" w:rsidRPr="00A76167" w14:paraId="6C367CAC" w14:textId="77777777" w:rsidTr="00A76167">
        <w:tc>
          <w:tcPr>
            <w:tcW w:w="2240" w:type="dxa"/>
            <w:tcBorders>
              <w:top w:val="single" w:sz="4" w:space="0" w:color="auto"/>
              <w:left w:val="single" w:sz="4" w:space="0" w:color="auto"/>
              <w:bottom w:val="single" w:sz="4" w:space="0" w:color="auto"/>
              <w:right w:val="single" w:sz="4" w:space="0" w:color="auto"/>
            </w:tcBorders>
            <w:shd w:val="clear" w:color="auto" w:fill="auto"/>
          </w:tcPr>
          <w:p w14:paraId="6C367CAA" w14:textId="5E3FDC8B" w:rsidR="00D47EDC" w:rsidRPr="00A76167" w:rsidRDefault="00D47EDC" w:rsidP="00772A5C">
            <w:pPr>
              <w:spacing w:before="240"/>
              <w:ind w:left="34"/>
              <w:rPr>
                <w:b/>
                <w:sz w:val="22"/>
                <w:szCs w:val="22"/>
              </w:rPr>
            </w:pPr>
            <w:permStart w:id="2138581871" w:edGrp="everyone" w:colFirst="1" w:colLast="1"/>
            <w:r>
              <w:rPr>
                <w:b/>
                <w:sz w:val="22"/>
                <w:szCs w:val="22"/>
              </w:rPr>
              <w:t xml:space="preserve">4.1 </w:t>
            </w:r>
            <w:r w:rsidRPr="00A76167">
              <w:rPr>
                <w:b/>
                <w:sz w:val="22"/>
                <w:szCs w:val="22"/>
              </w:rPr>
              <w:t>Numerator</w:t>
            </w:r>
          </w:p>
        </w:tc>
        <w:tc>
          <w:tcPr>
            <w:tcW w:w="6701" w:type="dxa"/>
            <w:tcBorders>
              <w:top w:val="single" w:sz="4" w:space="0" w:color="auto"/>
              <w:left w:val="single" w:sz="4" w:space="0" w:color="auto"/>
              <w:bottom w:val="single" w:sz="4" w:space="0" w:color="auto"/>
              <w:right w:val="single" w:sz="4" w:space="0" w:color="auto"/>
            </w:tcBorders>
            <w:shd w:val="clear" w:color="auto" w:fill="auto"/>
          </w:tcPr>
          <w:p w14:paraId="6C367CAB" w14:textId="77777777" w:rsidR="00D47EDC" w:rsidRPr="00A76167" w:rsidRDefault="00D47EDC" w:rsidP="00772A5C">
            <w:pPr>
              <w:spacing w:before="240"/>
              <w:rPr>
                <w:sz w:val="22"/>
                <w:szCs w:val="22"/>
              </w:rPr>
            </w:pPr>
          </w:p>
        </w:tc>
      </w:tr>
      <w:tr w:rsidR="00D47EDC" w:rsidRPr="00A76167" w14:paraId="6C367CB0" w14:textId="77777777" w:rsidTr="00A76167">
        <w:tc>
          <w:tcPr>
            <w:tcW w:w="2240" w:type="dxa"/>
            <w:tcBorders>
              <w:top w:val="single" w:sz="4" w:space="0" w:color="auto"/>
              <w:left w:val="single" w:sz="4" w:space="0" w:color="auto"/>
              <w:bottom w:val="single" w:sz="4" w:space="0" w:color="auto"/>
              <w:right w:val="single" w:sz="4" w:space="0" w:color="auto"/>
            </w:tcBorders>
            <w:shd w:val="clear" w:color="auto" w:fill="auto"/>
          </w:tcPr>
          <w:p w14:paraId="6C367CAE" w14:textId="4E685B0F" w:rsidR="00D47EDC" w:rsidRPr="00A76167" w:rsidRDefault="00D47EDC" w:rsidP="00772A5C">
            <w:pPr>
              <w:spacing w:before="240"/>
              <w:ind w:left="34"/>
              <w:rPr>
                <w:b/>
                <w:sz w:val="22"/>
                <w:szCs w:val="22"/>
              </w:rPr>
            </w:pPr>
            <w:permStart w:id="1194818586" w:edGrp="everyone" w:colFirst="1" w:colLast="1"/>
            <w:permEnd w:id="2138581871"/>
            <w:r>
              <w:rPr>
                <w:b/>
                <w:sz w:val="22"/>
                <w:szCs w:val="22"/>
              </w:rPr>
              <w:t xml:space="preserve">4.2 </w:t>
            </w:r>
            <w:r w:rsidRPr="00A76167">
              <w:rPr>
                <w:b/>
                <w:sz w:val="22"/>
                <w:szCs w:val="22"/>
              </w:rPr>
              <w:t>Denominator</w:t>
            </w:r>
          </w:p>
        </w:tc>
        <w:tc>
          <w:tcPr>
            <w:tcW w:w="6701" w:type="dxa"/>
            <w:tcBorders>
              <w:top w:val="single" w:sz="4" w:space="0" w:color="auto"/>
              <w:left w:val="single" w:sz="4" w:space="0" w:color="auto"/>
              <w:bottom w:val="single" w:sz="4" w:space="0" w:color="auto"/>
              <w:right w:val="single" w:sz="4" w:space="0" w:color="auto"/>
            </w:tcBorders>
            <w:shd w:val="clear" w:color="auto" w:fill="auto"/>
          </w:tcPr>
          <w:p w14:paraId="6C367CAF" w14:textId="77777777" w:rsidR="00D47EDC" w:rsidRPr="00A76167" w:rsidRDefault="00D47EDC" w:rsidP="00772A5C">
            <w:pPr>
              <w:spacing w:before="240"/>
              <w:rPr>
                <w:sz w:val="22"/>
                <w:szCs w:val="22"/>
              </w:rPr>
            </w:pPr>
          </w:p>
        </w:tc>
      </w:tr>
      <w:tr w:rsidR="00D47EDC" w:rsidRPr="00A76167" w14:paraId="6C367CB4" w14:textId="77777777" w:rsidTr="00A76167">
        <w:tc>
          <w:tcPr>
            <w:tcW w:w="2240" w:type="dxa"/>
            <w:tcBorders>
              <w:top w:val="single" w:sz="4" w:space="0" w:color="auto"/>
              <w:left w:val="single" w:sz="4" w:space="0" w:color="auto"/>
              <w:bottom w:val="single" w:sz="4" w:space="0" w:color="auto"/>
              <w:right w:val="single" w:sz="4" w:space="0" w:color="auto"/>
            </w:tcBorders>
            <w:shd w:val="clear" w:color="auto" w:fill="auto"/>
          </w:tcPr>
          <w:p w14:paraId="6C367CB2" w14:textId="38ACEAED" w:rsidR="00D47EDC" w:rsidRPr="00A76167" w:rsidRDefault="00D47EDC" w:rsidP="00772A5C">
            <w:pPr>
              <w:spacing w:before="240"/>
              <w:ind w:left="34"/>
              <w:rPr>
                <w:b/>
                <w:sz w:val="22"/>
                <w:szCs w:val="22"/>
              </w:rPr>
            </w:pPr>
            <w:permStart w:id="514874648" w:edGrp="everyone" w:colFirst="1" w:colLast="1"/>
            <w:permEnd w:id="1194818586"/>
            <w:r>
              <w:rPr>
                <w:b/>
                <w:sz w:val="22"/>
                <w:szCs w:val="22"/>
              </w:rPr>
              <w:t xml:space="preserve">4.3 </w:t>
            </w:r>
            <w:r w:rsidRPr="00A76167">
              <w:rPr>
                <w:b/>
                <w:sz w:val="22"/>
                <w:szCs w:val="22"/>
              </w:rPr>
              <w:t>Computation</w:t>
            </w:r>
          </w:p>
        </w:tc>
        <w:tc>
          <w:tcPr>
            <w:tcW w:w="6701" w:type="dxa"/>
            <w:tcBorders>
              <w:top w:val="single" w:sz="4" w:space="0" w:color="auto"/>
              <w:left w:val="single" w:sz="4" w:space="0" w:color="auto"/>
              <w:bottom w:val="single" w:sz="4" w:space="0" w:color="auto"/>
              <w:right w:val="single" w:sz="4" w:space="0" w:color="auto"/>
            </w:tcBorders>
            <w:shd w:val="clear" w:color="auto" w:fill="auto"/>
          </w:tcPr>
          <w:p w14:paraId="0411C2EE" w14:textId="265D0C2B" w:rsidR="00D47EDC" w:rsidRPr="00A76167" w:rsidRDefault="00D47EDC" w:rsidP="00E65476">
            <w:pPr>
              <w:spacing w:before="240"/>
              <w:rPr>
                <w:sz w:val="22"/>
                <w:szCs w:val="22"/>
              </w:rPr>
            </w:pPr>
            <w:r w:rsidRPr="00A76167">
              <w:rPr>
                <w:sz w:val="22"/>
                <w:szCs w:val="22"/>
              </w:rPr>
              <w:t>For each CCG this indicator will report the number of patient safety incidents as reported by their five main providers alongside a rate of patient safety incidents per 1,000 total provider bed days. All of the figures are reported at provider level.</w:t>
            </w:r>
          </w:p>
          <w:p w14:paraId="386FDEAE" w14:textId="77777777" w:rsidR="00D47EDC" w:rsidRPr="00A76167" w:rsidRDefault="00D47EDC" w:rsidP="00E65476">
            <w:pPr>
              <w:spacing w:before="240"/>
              <w:rPr>
                <w:sz w:val="22"/>
                <w:szCs w:val="22"/>
              </w:rPr>
            </w:pPr>
            <w:r w:rsidRPr="00A76167">
              <w:rPr>
                <w:sz w:val="22"/>
                <w:szCs w:val="22"/>
              </w:rPr>
              <w:t xml:space="preserve">A CCG’s five main providers are the ones it commissions the most activity from. This is calculated by totalling the provider’s number of bed days for any provider inpatient spell commissioned by that CCG during the reporting period.  </w:t>
            </w:r>
          </w:p>
          <w:p w14:paraId="36BE9839" w14:textId="77777777" w:rsidR="00D47EDC" w:rsidRPr="00A76167" w:rsidRDefault="00D47EDC" w:rsidP="00E65476">
            <w:pPr>
              <w:spacing w:before="240"/>
              <w:rPr>
                <w:sz w:val="22"/>
                <w:szCs w:val="22"/>
              </w:rPr>
            </w:pPr>
            <w:r w:rsidRPr="00A76167">
              <w:rPr>
                <w:sz w:val="22"/>
                <w:szCs w:val="22"/>
              </w:rPr>
              <w:t xml:space="preserve">Bed days are defined as: (Provider spell discharge date – Provider spell admission date) + 0.5. </w:t>
            </w:r>
          </w:p>
          <w:p w14:paraId="48E28279" w14:textId="77777777" w:rsidR="00D47EDC" w:rsidRPr="00A76167" w:rsidRDefault="00D47EDC" w:rsidP="00E65476">
            <w:pPr>
              <w:spacing w:before="240"/>
              <w:rPr>
                <w:sz w:val="22"/>
                <w:szCs w:val="22"/>
              </w:rPr>
            </w:pPr>
            <w:r w:rsidRPr="00A76167">
              <w:rPr>
                <w:sz w:val="22"/>
                <w:szCs w:val="22"/>
              </w:rPr>
              <w:t xml:space="preserve">Bed days are limited to the period in which the patient safety incident data relates to. For example, patients that are admitted before April will have their bed days calculated from 1st April onwards for the April to September patient safety incident period.  </w:t>
            </w:r>
          </w:p>
          <w:p w14:paraId="34B4258A" w14:textId="77777777" w:rsidR="00D47EDC" w:rsidRPr="00A76167" w:rsidRDefault="00D47EDC" w:rsidP="00E65476">
            <w:pPr>
              <w:spacing w:before="240"/>
              <w:rPr>
                <w:sz w:val="22"/>
                <w:szCs w:val="22"/>
              </w:rPr>
            </w:pPr>
            <w:r w:rsidRPr="00A76167">
              <w:rPr>
                <w:sz w:val="22"/>
                <w:szCs w:val="22"/>
              </w:rPr>
              <w:t>The number of patient safety incidents at each provider during the reporting period is taken from the NRLS data and a rate per 1,000 total provider bed days is calculated.</w:t>
            </w:r>
          </w:p>
          <w:p w14:paraId="7E10E0D7" w14:textId="77777777" w:rsidR="00D47EDC" w:rsidRPr="00A76167" w:rsidRDefault="00D47EDC" w:rsidP="00E65476">
            <w:pPr>
              <w:spacing w:before="240"/>
              <w:rPr>
                <w:sz w:val="22"/>
                <w:szCs w:val="22"/>
              </w:rPr>
            </w:pPr>
            <w:r w:rsidRPr="00A76167">
              <w:rPr>
                <w:sz w:val="22"/>
                <w:szCs w:val="22"/>
              </w:rPr>
              <w:t xml:space="preserve">The CCG’s five main providers, based on total bed days commissioned (as recorded in HES inpatient data), are reported with their provider level crude patient safety incident figure (as reported by the provider).  In addition, the number of incidents per 1,000 total provider bed days (based on the bed days definition below) is given. This is to provide context without the need for figures to be attributed to CCGs. There is no evidence that patient safety incidents are linked to inpatient activity, this is a proxy measure. The activity levels, expressed as inpatient bed days, do not take outpatients, critical care and A&amp;E bed days into consideration. It is important to note that not all Mental Health inpatient activity is recorded in HES, which may affect rates for some Mental Health trusts.     </w:t>
            </w:r>
          </w:p>
          <w:p w14:paraId="688EA3C5" w14:textId="77777777" w:rsidR="00D47EDC" w:rsidRPr="00A76167" w:rsidRDefault="00D47EDC" w:rsidP="00E65476">
            <w:pPr>
              <w:spacing w:before="240"/>
              <w:rPr>
                <w:sz w:val="22"/>
                <w:szCs w:val="22"/>
              </w:rPr>
            </w:pPr>
            <w:r w:rsidRPr="00A76167">
              <w:rPr>
                <w:sz w:val="22"/>
                <w:szCs w:val="22"/>
              </w:rPr>
              <w:t xml:space="preserve">Bed days are defined as: (Provider spell discharge date – Provider spell admission date) + 0.5. An arbitrary 0.5 days are added to the length of stay calculation to take into account day case admissions. This definition was assured by the HSCIC Indicator Assurance Service for calculating bed days. Bed days are limited to the period in which the patient safety incident data relates to. For example, patients that are admitted before April will have their bed days calculated from 1st April onwards for the April to </w:t>
            </w:r>
            <w:r w:rsidRPr="00A76167">
              <w:rPr>
                <w:sz w:val="22"/>
                <w:szCs w:val="22"/>
              </w:rPr>
              <w:lastRenderedPageBreak/>
              <w:t>September patient safety incident period. Only closed finished provider spells have been used within the HES data.</w:t>
            </w:r>
          </w:p>
          <w:p w14:paraId="432DAC96" w14:textId="77777777" w:rsidR="00D47EDC" w:rsidRPr="00A76167" w:rsidRDefault="00D47EDC" w:rsidP="00E65476">
            <w:pPr>
              <w:spacing w:before="240"/>
              <w:rPr>
                <w:sz w:val="22"/>
                <w:szCs w:val="22"/>
              </w:rPr>
            </w:pPr>
            <w:r w:rsidRPr="00A76167">
              <w:rPr>
                <w:sz w:val="22"/>
                <w:szCs w:val="22"/>
              </w:rPr>
              <w:t>The HSCIC-derived inpatient spells data uses a mapped provider code field (PROCODET_MAPPED) from HES APC which is regenerated each time the spells data is updated. This means that the indicator uses the latest, up to date provider codes for each release of data. Due to this, where providers have merged or been acquired by other providers, patient safety incident data is shown under their current provider code. For example, London North West Healthcare NHS Trust (provider code R1K) was established on 1st October 2014 following the closure of Ealing Hospital NHS Trust (RC3) and North West London Hospitals NHS Trust (RV8). The patient safety incident figures for RC3 and RV8 are shown under R1K in April 2013 to September 2013 and October 2013 to March 2014 data. Barnet and Chase Farm Hospitals NHS Trust (RVL) became part of the Royal Free London NHS Foundation Trust (RAL) on 1st July 2014. The patient safety incident figures for RVL are shown under RAL in April 2013 to September 2013 and October 2013 to March 2014 data.</w:t>
            </w:r>
          </w:p>
          <w:p w14:paraId="4A42BF2C" w14:textId="77777777" w:rsidR="00D47EDC" w:rsidRPr="00A76167" w:rsidRDefault="00D47EDC" w:rsidP="00E65476">
            <w:pPr>
              <w:spacing w:before="240"/>
              <w:rPr>
                <w:sz w:val="22"/>
                <w:szCs w:val="22"/>
              </w:rPr>
            </w:pPr>
            <w:r w:rsidRPr="00A76167">
              <w:rPr>
                <w:sz w:val="22"/>
                <w:szCs w:val="22"/>
              </w:rPr>
              <w:t xml:space="preserve">Following the closure of Mid Staffordshire NHS Foundation Trust (RJD) on 31st October 2014, the provider bed days activity at this trust transferred to University Hospitals of North Midlands NHS Trust (RJE) and The Royal Wolverhampton NHS Trust (RL4). </w:t>
            </w:r>
          </w:p>
          <w:p w14:paraId="7DACDC2A" w14:textId="77777777" w:rsidR="00D47EDC" w:rsidRPr="00A76167" w:rsidRDefault="00D47EDC" w:rsidP="00E65476">
            <w:pPr>
              <w:spacing w:before="240"/>
              <w:rPr>
                <w:sz w:val="22"/>
                <w:szCs w:val="22"/>
              </w:rPr>
            </w:pPr>
            <w:r w:rsidRPr="00A76167">
              <w:rPr>
                <w:sz w:val="22"/>
                <w:szCs w:val="22"/>
              </w:rPr>
              <w:t xml:space="preserve">However, the patient safety incident figures for RJD (2,365 reported in the period April 2014 to September 2014) cannot be appropriately attributed between the two providers. Therefore, the patient safety incidents per 1,000 bed days figure is based on incomplete data and should be interpreted with care. </w:t>
            </w:r>
          </w:p>
          <w:p w14:paraId="6B8727A6" w14:textId="77777777" w:rsidR="00D47EDC" w:rsidRPr="00A76167" w:rsidRDefault="00D47EDC" w:rsidP="00E65476">
            <w:pPr>
              <w:spacing w:before="240"/>
              <w:rPr>
                <w:sz w:val="22"/>
                <w:szCs w:val="22"/>
              </w:rPr>
            </w:pPr>
            <w:r w:rsidRPr="00A76167">
              <w:rPr>
                <w:sz w:val="22"/>
                <w:szCs w:val="22"/>
              </w:rPr>
              <w:t>Further information on the spell methodology can be found at:</w:t>
            </w:r>
          </w:p>
          <w:p w14:paraId="3B08F6D4" w14:textId="77777777" w:rsidR="00D47EDC" w:rsidRPr="00A76167" w:rsidRDefault="00D47EDC" w:rsidP="00E65476">
            <w:pPr>
              <w:spacing w:before="240"/>
              <w:rPr>
                <w:sz w:val="22"/>
                <w:szCs w:val="22"/>
              </w:rPr>
            </w:pPr>
            <w:r w:rsidRPr="00A76167">
              <w:rPr>
                <w:sz w:val="22"/>
                <w:szCs w:val="22"/>
              </w:rPr>
              <w:t xml:space="preserve">http://www.hscic.gov.uk/media/11859/Provider-Spells-Methodology/pdf/Spells_Methodology.pdf </w:t>
            </w:r>
          </w:p>
          <w:p w14:paraId="6C367CB3" w14:textId="61F1EFAA" w:rsidR="00D47EDC" w:rsidRPr="00A76167" w:rsidRDefault="00D47EDC" w:rsidP="00E65476">
            <w:pPr>
              <w:spacing w:before="240"/>
              <w:rPr>
                <w:sz w:val="22"/>
                <w:szCs w:val="22"/>
              </w:rPr>
            </w:pPr>
            <w:r w:rsidRPr="00A76167">
              <w:rPr>
                <w:sz w:val="22"/>
                <w:szCs w:val="22"/>
              </w:rPr>
              <w:t xml:space="preserve">The patient safety incident rate per 1,000 total bed days is calculated using the number of reported incidents by the provider and that provider’s total number of bed days according to HES inpatient data, irrespective of which CCG commissions them.   </w:t>
            </w:r>
          </w:p>
        </w:tc>
      </w:tr>
      <w:tr w:rsidR="00D47EDC" w:rsidRPr="00A76167" w14:paraId="6C367CB8" w14:textId="77777777" w:rsidTr="00A76167">
        <w:tc>
          <w:tcPr>
            <w:tcW w:w="2240" w:type="dxa"/>
            <w:tcBorders>
              <w:top w:val="single" w:sz="4" w:space="0" w:color="auto"/>
              <w:left w:val="single" w:sz="4" w:space="0" w:color="auto"/>
              <w:bottom w:val="single" w:sz="4" w:space="0" w:color="auto"/>
              <w:right w:val="single" w:sz="4" w:space="0" w:color="auto"/>
            </w:tcBorders>
            <w:shd w:val="clear" w:color="auto" w:fill="auto"/>
          </w:tcPr>
          <w:p w14:paraId="6C367CB6" w14:textId="3A2AE83F" w:rsidR="00D47EDC" w:rsidRPr="00A76167" w:rsidRDefault="00D47EDC" w:rsidP="00772A5C">
            <w:pPr>
              <w:spacing w:before="240"/>
              <w:ind w:left="34"/>
              <w:rPr>
                <w:b/>
                <w:sz w:val="22"/>
                <w:szCs w:val="22"/>
              </w:rPr>
            </w:pPr>
            <w:permStart w:id="1374841464" w:edGrp="everyone" w:colFirst="1" w:colLast="1"/>
            <w:permEnd w:id="514874648"/>
            <w:r>
              <w:rPr>
                <w:b/>
                <w:sz w:val="22"/>
                <w:szCs w:val="22"/>
              </w:rPr>
              <w:lastRenderedPageBreak/>
              <w:t xml:space="preserve">4.4 </w:t>
            </w:r>
            <w:r w:rsidRPr="00A76167">
              <w:rPr>
                <w:b/>
                <w:sz w:val="22"/>
                <w:szCs w:val="22"/>
              </w:rPr>
              <w:t>Risk adjustment or standardisation type and methodology</w:t>
            </w:r>
          </w:p>
        </w:tc>
        <w:tc>
          <w:tcPr>
            <w:tcW w:w="6701" w:type="dxa"/>
            <w:tcBorders>
              <w:top w:val="single" w:sz="4" w:space="0" w:color="auto"/>
              <w:left w:val="single" w:sz="4" w:space="0" w:color="auto"/>
              <w:bottom w:val="single" w:sz="4" w:space="0" w:color="auto"/>
              <w:right w:val="single" w:sz="4" w:space="0" w:color="auto"/>
            </w:tcBorders>
            <w:shd w:val="clear" w:color="auto" w:fill="auto"/>
          </w:tcPr>
          <w:sdt>
            <w:sdtPr>
              <w:rPr>
                <w:b/>
                <w:sz w:val="22"/>
                <w:szCs w:val="22"/>
              </w:rPr>
              <w:alias w:val="Risk adjustment type"/>
              <w:tag w:val="Risk adjustment type"/>
              <w:id w:val="1214319314"/>
              <w:showingPlcHdr/>
              <w:dropDownList>
                <w:listItem w:value="Choose an item."/>
                <w:listItem w:displayText="Direct Standardisation" w:value="Direct Standardisation"/>
                <w:listItem w:displayText="Indirect Standardisation" w:value="Indirect Standardisation"/>
                <w:listItem w:displayText="Weighting Methodology" w:value="Weighting Methodology"/>
                <w:listItem w:displayText="Regression Model" w:value="Regression Model"/>
                <w:listItem w:displayText="None" w:value="None"/>
              </w:dropDownList>
            </w:sdtPr>
            <w:sdtEndPr>
              <w:rPr>
                <w:b w:val="0"/>
              </w:rPr>
            </w:sdtEndPr>
            <w:sdtContent>
              <w:p w14:paraId="1E9F57D2" w14:textId="5E17E951" w:rsidR="00D47EDC" w:rsidRPr="00A76167" w:rsidRDefault="00D47EDC" w:rsidP="00772A5C">
                <w:pPr>
                  <w:spacing w:before="240"/>
                  <w:rPr>
                    <w:sz w:val="22"/>
                    <w:szCs w:val="22"/>
                  </w:rPr>
                </w:pPr>
                <w:r w:rsidRPr="00A76167">
                  <w:rPr>
                    <w:rStyle w:val="PlaceholderText"/>
                    <w:color w:val="auto"/>
                    <w:sz w:val="22"/>
                    <w:szCs w:val="22"/>
                  </w:rPr>
                  <w:t>Choose an item.</w:t>
                </w:r>
              </w:p>
            </w:sdtContent>
          </w:sdt>
          <w:p w14:paraId="61F8E8A1" w14:textId="53C8842B" w:rsidR="00D47EDC" w:rsidRPr="00A76167" w:rsidRDefault="00D47EDC" w:rsidP="00772A5C">
            <w:pPr>
              <w:spacing w:before="240"/>
              <w:rPr>
                <w:i/>
                <w:sz w:val="22"/>
                <w:szCs w:val="22"/>
              </w:rPr>
            </w:pPr>
            <w:r w:rsidRPr="00A76167">
              <w:rPr>
                <w:i/>
                <w:sz w:val="22"/>
                <w:szCs w:val="22"/>
              </w:rPr>
              <w:t>Variables and methodology:</w:t>
            </w:r>
          </w:p>
          <w:p w14:paraId="6C367CB7" w14:textId="77777777" w:rsidR="00D47EDC" w:rsidRPr="00A76167" w:rsidRDefault="00D47EDC" w:rsidP="00772A5C">
            <w:pPr>
              <w:spacing w:before="240"/>
              <w:rPr>
                <w:sz w:val="22"/>
                <w:szCs w:val="22"/>
              </w:rPr>
            </w:pPr>
          </w:p>
        </w:tc>
      </w:tr>
      <w:tr w:rsidR="00D47EDC" w:rsidRPr="00A76167" w14:paraId="6C367CBC" w14:textId="77777777" w:rsidTr="00A76167">
        <w:tc>
          <w:tcPr>
            <w:tcW w:w="2240" w:type="dxa"/>
            <w:tcBorders>
              <w:top w:val="single" w:sz="4" w:space="0" w:color="auto"/>
              <w:left w:val="single" w:sz="4" w:space="0" w:color="auto"/>
              <w:bottom w:val="single" w:sz="4" w:space="0" w:color="auto"/>
              <w:right w:val="single" w:sz="4" w:space="0" w:color="auto"/>
            </w:tcBorders>
            <w:shd w:val="clear" w:color="auto" w:fill="auto"/>
          </w:tcPr>
          <w:p w14:paraId="31FC0C36" w14:textId="79BD245D" w:rsidR="00D47EDC" w:rsidRPr="00A76167" w:rsidRDefault="00D47EDC" w:rsidP="002C446A">
            <w:pPr>
              <w:spacing w:before="240"/>
              <w:ind w:left="34"/>
              <w:rPr>
                <w:b/>
                <w:sz w:val="22"/>
                <w:szCs w:val="22"/>
              </w:rPr>
            </w:pPr>
            <w:permStart w:id="1451064730" w:edGrp="everyone" w:colFirst="1" w:colLast="1"/>
            <w:permEnd w:id="1374841464"/>
            <w:r>
              <w:rPr>
                <w:b/>
                <w:sz w:val="22"/>
                <w:szCs w:val="22"/>
              </w:rPr>
              <w:t>4.5</w:t>
            </w:r>
            <w:r w:rsidRPr="00A76167">
              <w:rPr>
                <w:b/>
                <w:sz w:val="22"/>
                <w:szCs w:val="22"/>
              </w:rPr>
              <w:t>Justification of risk adjustment type and variables</w:t>
            </w:r>
          </w:p>
          <w:p w14:paraId="7F6DC0F5" w14:textId="77777777" w:rsidR="00D47EDC" w:rsidRPr="00A76167" w:rsidRDefault="00D47EDC" w:rsidP="002C446A">
            <w:pPr>
              <w:ind w:left="34"/>
              <w:rPr>
                <w:sz w:val="22"/>
                <w:szCs w:val="22"/>
              </w:rPr>
            </w:pPr>
            <w:r w:rsidRPr="00A76167">
              <w:rPr>
                <w:sz w:val="22"/>
                <w:szCs w:val="22"/>
              </w:rPr>
              <w:lastRenderedPageBreak/>
              <w:t>or why risk adjustment is not used</w:t>
            </w:r>
          </w:p>
          <w:p w14:paraId="0D3358B6" w14:textId="77777777" w:rsidR="00D47EDC" w:rsidRPr="00A76167" w:rsidRDefault="00D47EDC" w:rsidP="002C446A">
            <w:pPr>
              <w:ind w:left="34"/>
              <w:rPr>
                <w:sz w:val="22"/>
                <w:szCs w:val="22"/>
              </w:rPr>
            </w:pPr>
          </w:p>
          <w:p w14:paraId="6C367CBA" w14:textId="5E9B770F" w:rsidR="00D47EDC" w:rsidRPr="00A76167" w:rsidRDefault="00D47EDC" w:rsidP="002C446A">
            <w:pPr>
              <w:ind w:left="34"/>
              <w:rPr>
                <w:sz w:val="22"/>
                <w:szCs w:val="22"/>
              </w:rPr>
            </w:pPr>
          </w:p>
        </w:tc>
        <w:tc>
          <w:tcPr>
            <w:tcW w:w="6701" w:type="dxa"/>
            <w:tcBorders>
              <w:top w:val="single" w:sz="4" w:space="0" w:color="auto"/>
              <w:left w:val="single" w:sz="4" w:space="0" w:color="auto"/>
              <w:bottom w:val="single" w:sz="4" w:space="0" w:color="auto"/>
              <w:right w:val="single" w:sz="4" w:space="0" w:color="auto"/>
            </w:tcBorders>
            <w:shd w:val="clear" w:color="auto" w:fill="auto"/>
          </w:tcPr>
          <w:p w14:paraId="6C367CBB" w14:textId="649ACF6B" w:rsidR="00D47EDC" w:rsidRPr="00A76167" w:rsidRDefault="00D47EDC" w:rsidP="00772A5C">
            <w:pPr>
              <w:spacing w:before="240"/>
              <w:rPr>
                <w:sz w:val="22"/>
                <w:szCs w:val="22"/>
              </w:rPr>
            </w:pPr>
            <w:r w:rsidRPr="00A76167">
              <w:rPr>
                <w:sz w:val="22"/>
                <w:szCs w:val="22"/>
              </w:rPr>
              <w:lastRenderedPageBreak/>
              <w:t>Incidents are reported by provider and are difficult to attribute to a CCG, as such any form of risk adjustment is not reliable.</w:t>
            </w:r>
          </w:p>
        </w:tc>
      </w:tr>
      <w:tr w:rsidR="00D47EDC" w:rsidRPr="00A76167" w14:paraId="6C367CC8" w14:textId="77777777" w:rsidTr="00A76167">
        <w:tc>
          <w:tcPr>
            <w:tcW w:w="2240" w:type="dxa"/>
            <w:tcBorders>
              <w:top w:val="single" w:sz="4" w:space="0" w:color="auto"/>
              <w:left w:val="single" w:sz="4" w:space="0" w:color="auto"/>
              <w:bottom w:val="single" w:sz="4" w:space="0" w:color="auto"/>
              <w:right w:val="single" w:sz="4" w:space="0" w:color="auto"/>
            </w:tcBorders>
            <w:shd w:val="clear" w:color="auto" w:fill="auto"/>
          </w:tcPr>
          <w:p w14:paraId="6C367CC6" w14:textId="5124A712" w:rsidR="00D47EDC" w:rsidRPr="00A76167" w:rsidRDefault="00D47EDC" w:rsidP="00772A5C">
            <w:pPr>
              <w:spacing w:before="240"/>
              <w:ind w:left="34"/>
              <w:rPr>
                <w:b/>
                <w:sz w:val="22"/>
                <w:szCs w:val="22"/>
              </w:rPr>
            </w:pPr>
            <w:permStart w:id="607138019" w:edGrp="everyone" w:colFirst="1" w:colLast="1"/>
            <w:permEnd w:id="1451064730"/>
            <w:r>
              <w:rPr>
                <w:b/>
                <w:sz w:val="22"/>
                <w:szCs w:val="22"/>
              </w:rPr>
              <w:t xml:space="preserve">4.6 </w:t>
            </w:r>
            <w:r w:rsidRPr="00A76167">
              <w:rPr>
                <w:b/>
                <w:sz w:val="22"/>
                <w:szCs w:val="22"/>
              </w:rPr>
              <w:t>Confidence interval / control limit use and methodology</w:t>
            </w:r>
          </w:p>
        </w:tc>
        <w:tc>
          <w:tcPr>
            <w:tcW w:w="6701" w:type="dxa"/>
            <w:tcBorders>
              <w:top w:val="single" w:sz="4" w:space="0" w:color="auto"/>
              <w:left w:val="single" w:sz="4" w:space="0" w:color="auto"/>
              <w:bottom w:val="single" w:sz="4" w:space="0" w:color="auto"/>
              <w:right w:val="single" w:sz="4" w:space="0" w:color="auto"/>
            </w:tcBorders>
            <w:shd w:val="clear" w:color="auto" w:fill="auto"/>
          </w:tcPr>
          <w:sdt>
            <w:sdtPr>
              <w:rPr>
                <w:sz w:val="22"/>
                <w:szCs w:val="22"/>
              </w:rPr>
              <w:alias w:val="Confidence Interval/control limit use"/>
              <w:tag w:val="Confidence Interval/control limit use"/>
              <w:id w:val="1287858884"/>
              <w:showingPlcHdr/>
              <w:dropDownList>
                <w:listItem w:value="Choose an item."/>
                <w:listItem w:displayText="Confidence Intervals" w:value="Confidence Intervals"/>
                <w:listItem w:displayText="Control Limits" w:value="Control Limits"/>
                <w:listItem w:displayText="None" w:value="None"/>
              </w:dropDownList>
            </w:sdtPr>
            <w:sdtEndPr/>
            <w:sdtContent>
              <w:p w14:paraId="5C8CB2CA" w14:textId="77777777" w:rsidR="00D47EDC" w:rsidRPr="00A76167" w:rsidRDefault="00D47EDC" w:rsidP="00772A5C">
                <w:pPr>
                  <w:spacing w:before="240"/>
                  <w:rPr>
                    <w:sz w:val="22"/>
                    <w:szCs w:val="22"/>
                  </w:rPr>
                </w:pPr>
                <w:r w:rsidRPr="00A76167">
                  <w:rPr>
                    <w:b/>
                    <w:sz w:val="22"/>
                    <w:szCs w:val="22"/>
                  </w:rPr>
                  <w:t>Choose an item.</w:t>
                </w:r>
              </w:p>
            </w:sdtContent>
          </w:sdt>
          <w:p w14:paraId="5858F0FC" w14:textId="77777777" w:rsidR="00D47EDC" w:rsidRPr="00A76167" w:rsidRDefault="00D47EDC" w:rsidP="00772A5C">
            <w:pPr>
              <w:spacing w:before="240"/>
              <w:rPr>
                <w:i/>
                <w:sz w:val="22"/>
                <w:szCs w:val="22"/>
              </w:rPr>
            </w:pPr>
            <w:r w:rsidRPr="00A76167">
              <w:rPr>
                <w:i/>
                <w:sz w:val="22"/>
                <w:szCs w:val="22"/>
              </w:rPr>
              <w:t>Methodology:</w:t>
            </w:r>
          </w:p>
          <w:p w14:paraId="6C367CC7" w14:textId="77777777" w:rsidR="00D47EDC" w:rsidRPr="00A76167" w:rsidRDefault="00D47EDC" w:rsidP="00772A5C">
            <w:pPr>
              <w:spacing w:before="240"/>
              <w:rPr>
                <w:i/>
                <w:sz w:val="22"/>
                <w:szCs w:val="22"/>
              </w:rPr>
            </w:pPr>
          </w:p>
        </w:tc>
      </w:tr>
      <w:tr w:rsidR="00D47EDC" w:rsidRPr="00A76167" w14:paraId="6C367CCC" w14:textId="77777777" w:rsidTr="00A76167">
        <w:tc>
          <w:tcPr>
            <w:tcW w:w="2240" w:type="dxa"/>
            <w:tcBorders>
              <w:top w:val="single" w:sz="4" w:space="0" w:color="auto"/>
              <w:left w:val="single" w:sz="4" w:space="0" w:color="auto"/>
              <w:bottom w:val="single" w:sz="4" w:space="0" w:color="auto"/>
              <w:right w:val="single" w:sz="4" w:space="0" w:color="auto"/>
            </w:tcBorders>
            <w:shd w:val="clear" w:color="auto" w:fill="auto"/>
          </w:tcPr>
          <w:p w14:paraId="6C367CCA" w14:textId="6E27844F" w:rsidR="00D47EDC" w:rsidRPr="00A76167" w:rsidRDefault="00D47EDC" w:rsidP="00772A5C">
            <w:pPr>
              <w:spacing w:before="240"/>
              <w:ind w:left="34"/>
              <w:rPr>
                <w:b/>
                <w:sz w:val="22"/>
                <w:szCs w:val="22"/>
              </w:rPr>
            </w:pPr>
            <w:permStart w:id="734557973" w:edGrp="everyone" w:colFirst="1" w:colLast="1"/>
            <w:permEnd w:id="607138019"/>
            <w:r>
              <w:rPr>
                <w:b/>
                <w:sz w:val="22"/>
                <w:szCs w:val="22"/>
              </w:rPr>
              <w:t xml:space="preserve">4.7 </w:t>
            </w:r>
            <w:r w:rsidRPr="00A76167">
              <w:rPr>
                <w:b/>
                <w:sz w:val="22"/>
                <w:szCs w:val="22"/>
              </w:rPr>
              <w:t>Justification of confidence intervals / control limits used</w:t>
            </w:r>
          </w:p>
        </w:tc>
        <w:tc>
          <w:tcPr>
            <w:tcW w:w="6701" w:type="dxa"/>
            <w:tcBorders>
              <w:top w:val="single" w:sz="4" w:space="0" w:color="auto"/>
              <w:left w:val="single" w:sz="4" w:space="0" w:color="auto"/>
              <w:bottom w:val="single" w:sz="4" w:space="0" w:color="auto"/>
              <w:right w:val="single" w:sz="4" w:space="0" w:color="auto"/>
            </w:tcBorders>
            <w:shd w:val="clear" w:color="auto" w:fill="auto"/>
          </w:tcPr>
          <w:p w14:paraId="6C367CCB" w14:textId="77777777" w:rsidR="00D47EDC" w:rsidRPr="00A76167" w:rsidRDefault="00D47EDC" w:rsidP="00772A5C">
            <w:pPr>
              <w:spacing w:before="240"/>
              <w:rPr>
                <w:sz w:val="22"/>
                <w:szCs w:val="22"/>
              </w:rPr>
            </w:pPr>
          </w:p>
        </w:tc>
      </w:tr>
      <w:permEnd w:id="734557973"/>
    </w:tbl>
    <w:p w14:paraId="6C367CCD" w14:textId="77777777" w:rsidR="00772A5C" w:rsidRPr="00A76167" w:rsidRDefault="00772A5C">
      <w:pPr>
        <w:rPr>
          <w:rFonts w:cs="Arial"/>
          <w:sz w:val="22"/>
          <w:szCs w:val="22"/>
        </w:rPr>
      </w:pPr>
      <w:r w:rsidRPr="00A76167">
        <w:rPr>
          <w:rFonts w:cs="Arial"/>
          <w:sz w:val="22"/>
          <w:szCs w:val="22"/>
        </w:rPr>
        <w:br w:type="page"/>
      </w:r>
    </w:p>
    <w:p w14:paraId="1BC41A02" w14:textId="1B75C89B" w:rsidR="00A76167" w:rsidRDefault="00A76167">
      <w:r>
        <w:lastRenderedPageBreak/>
        <w:t>Section 5 Presentation and Interpretation</w:t>
      </w:r>
    </w:p>
    <w:p w14:paraId="109D9B55" w14:textId="30A9F6A0" w:rsidR="00A76167" w:rsidRDefault="00A76167">
      <w:r>
        <w:t>Presentation</w:t>
      </w:r>
    </w:p>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2238"/>
        <w:gridCol w:w="6689"/>
      </w:tblGrid>
      <w:tr w:rsidR="00D47EDC" w:rsidRPr="00A76167" w14:paraId="55CFEE27" w14:textId="77777777" w:rsidTr="00A76167">
        <w:tc>
          <w:tcPr>
            <w:tcW w:w="2238" w:type="dxa"/>
            <w:tcBorders>
              <w:top w:val="single" w:sz="4" w:space="0" w:color="auto"/>
              <w:left w:val="single" w:sz="4" w:space="0" w:color="auto"/>
              <w:bottom w:val="single" w:sz="4" w:space="0" w:color="auto"/>
              <w:right w:val="single" w:sz="4" w:space="0" w:color="auto"/>
            </w:tcBorders>
          </w:tcPr>
          <w:p w14:paraId="6E7AAE7F" w14:textId="779D9F54" w:rsidR="00D47EDC" w:rsidRPr="00A76167" w:rsidRDefault="00D47EDC" w:rsidP="00A76167">
            <w:pPr>
              <w:spacing w:before="240"/>
              <w:ind w:left="34"/>
              <w:rPr>
                <w:b/>
                <w:sz w:val="22"/>
                <w:szCs w:val="22"/>
              </w:rPr>
            </w:pPr>
            <w:permStart w:id="1293574011" w:edGrp="everyone" w:colFirst="1" w:colLast="1"/>
            <w:permStart w:id="2014075562" w:edGrp="everyone" w:colFirst="2" w:colLast="2"/>
            <w:r>
              <w:rPr>
                <w:b/>
                <w:sz w:val="22"/>
                <w:szCs w:val="22"/>
              </w:rPr>
              <w:t xml:space="preserve">5.1 </w:t>
            </w:r>
            <w:r w:rsidRPr="00A76167">
              <w:rPr>
                <w:b/>
                <w:sz w:val="22"/>
                <w:szCs w:val="22"/>
              </w:rPr>
              <w:t>Presentation of indicator</w:t>
            </w:r>
          </w:p>
        </w:tc>
        <w:tc>
          <w:tcPr>
            <w:tcW w:w="6689" w:type="dxa"/>
            <w:tcBorders>
              <w:top w:val="single" w:sz="4" w:space="0" w:color="auto"/>
              <w:left w:val="single" w:sz="4" w:space="0" w:color="auto"/>
              <w:bottom w:val="single" w:sz="4" w:space="0" w:color="auto"/>
              <w:right w:val="single" w:sz="4" w:space="0" w:color="auto"/>
            </w:tcBorders>
          </w:tcPr>
          <w:p w14:paraId="31ACB557" w14:textId="77777777" w:rsidR="00D47EDC" w:rsidRPr="00A76167" w:rsidRDefault="00D47EDC" w:rsidP="00E65476">
            <w:pPr>
              <w:spacing w:before="240"/>
              <w:rPr>
                <w:sz w:val="22"/>
                <w:szCs w:val="22"/>
              </w:rPr>
            </w:pPr>
            <w:r w:rsidRPr="00A76167">
              <w:rPr>
                <w:sz w:val="22"/>
                <w:szCs w:val="22"/>
              </w:rPr>
              <w:t>6 month reporting periods available from April 2013 onwards i.e. April to September and October to March.</w:t>
            </w:r>
          </w:p>
          <w:p w14:paraId="73852456" w14:textId="77777777" w:rsidR="00D47EDC" w:rsidRPr="00A76167" w:rsidRDefault="00D47EDC" w:rsidP="00A76167">
            <w:pPr>
              <w:spacing w:before="240"/>
              <w:rPr>
                <w:sz w:val="22"/>
                <w:szCs w:val="22"/>
              </w:rPr>
            </w:pPr>
          </w:p>
        </w:tc>
      </w:tr>
      <w:permEnd w:id="1293574011"/>
    </w:tbl>
    <w:p w14:paraId="3073F775" w14:textId="6BE9066A" w:rsidR="00D47EDC" w:rsidRDefault="00D47EDC"/>
    <w:tbl>
      <w:tblPr>
        <w:tblStyle w:val="TableGrid"/>
        <w:tblW w:w="0" w:type="auto"/>
        <w:tblLook w:val="04A0" w:firstRow="1" w:lastRow="0" w:firstColumn="1" w:lastColumn="0" w:noHBand="0" w:noVBand="1"/>
      </w:tblPr>
      <w:tblGrid>
        <w:gridCol w:w="4819"/>
        <w:gridCol w:w="5035"/>
      </w:tblGrid>
      <w:tr w:rsidR="00D47EDC" w:rsidRPr="00A76167" w14:paraId="0F5F7F77" w14:textId="77777777" w:rsidTr="00B06C11">
        <w:tc>
          <w:tcPr>
            <w:tcW w:w="4928" w:type="dxa"/>
            <w:hideMark/>
          </w:tcPr>
          <w:p w14:paraId="34ED7A51" w14:textId="77777777" w:rsidR="00D47EDC" w:rsidRPr="00A76167" w:rsidRDefault="00D47EDC" w:rsidP="00B06C11">
            <w:pPr>
              <w:spacing w:before="120" w:after="120"/>
              <w:rPr>
                <w:rFonts w:eastAsia="SimSun" w:cs="Arial"/>
                <w:b/>
                <w:bCs/>
                <w:sz w:val="22"/>
                <w:szCs w:val="22"/>
                <w:lang w:eastAsia="en-GB"/>
              </w:rPr>
            </w:pPr>
            <w:r w:rsidRPr="00A76167">
              <w:rPr>
                <w:rFonts w:eastAsia="SimSun" w:cs="Arial"/>
                <w:b/>
                <w:bCs/>
                <w:sz w:val="22"/>
                <w:szCs w:val="22"/>
                <w:lang w:eastAsia="en-GB"/>
              </w:rPr>
              <w:t>Column name</w:t>
            </w:r>
          </w:p>
        </w:tc>
        <w:tc>
          <w:tcPr>
            <w:tcW w:w="5152" w:type="dxa"/>
            <w:hideMark/>
          </w:tcPr>
          <w:p w14:paraId="157A496C" w14:textId="77777777" w:rsidR="00D47EDC" w:rsidRPr="00A76167" w:rsidRDefault="00D47EDC" w:rsidP="00B06C11">
            <w:pPr>
              <w:spacing w:before="120" w:after="120"/>
              <w:rPr>
                <w:rFonts w:eastAsia="SimSun" w:cs="Arial"/>
                <w:b/>
                <w:bCs/>
                <w:sz w:val="22"/>
                <w:szCs w:val="22"/>
                <w:lang w:eastAsia="en-GB"/>
              </w:rPr>
            </w:pPr>
            <w:r w:rsidRPr="00A76167">
              <w:rPr>
                <w:rFonts w:eastAsia="SimSun" w:cs="Arial"/>
                <w:b/>
                <w:bCs/>
                <w:sz w:val="22"/>
                <w:szCs w:val="22"/>
                <w:lang w:eastAsia="en-GB"/>
              </w:rPr>
              <w:t>Output</w:t>
            </w:r>
          </w:p>
        </w:tc>
      </w:tr>
      <w:tr w:rsidR="00D47EDC" w:rsidRPr="00A76167" w14:paraId="4491C26F" w14:textId="77777777" w:rsidTr="00B06C11">
        <w:tc>
          <w:tcPr>
            <w:tcW w:w="4928" w:type="dxa"/>
            <w:hideMark/>
          </w:tcPr>
          <w:p w14:paraId="5DA9B9CB" w14:textId="77777777" w:rsidR="00D47EDC" w:rsidRPr="00A76167" w:rsidRDefault="00D47EDC" w:rsidP="00B06C11">
            <w:pPr>
              <w:spacing w:before="120" w:after="120"/>
              <w:rPr>
                <w:rFonts w:cs="Arial"/>
                <w:sz w:val="22"/>
                <w:szCs w:val="22"/>
              </w:rPr>
            </w:pPr>
            <w:r w:rsidRPr="00A76167">
              <w:rPr>
                <w:rFonts w:cs="Arial"/>
                <w:sz w:val="22"/>
                <w:szCs w:val="22"/>
              </w:rPr>
              <w:t>Reporting period</w:t>
            </w:r>
          </w:p>
        </w:tc>
        <w:tc>
          <w:tcPr>
            <w:tcW w:w="5152" w:type="dxa"/>
            <w:hideMark/>
          </w:tcPr>
          <w:p w14:paraId="5349781D" w14:textId="77777777" w:rsidR="00D47EDC" w:rsidRPr="00A76167" w:rsidRDefault="00D47EDC" w:rsidP="00B06C11">
            <w:pPr>
              <w:spacing w:before="120" w:after="120"/>
              <w:rPr>
                <w:rFonts w:cs="Arial"/>
                <w:sz w:val="22"/>
                <w:szCs w:val="22"/>
              </w:rPr>
            </w:pPr>
            <w:r w:rsidRPr="00A76167">
              <w:rPr>
                <w:rFonts w:cs="Arial"/>
                <w:sz w:val="22"/>
                <w:szCs w:val="22"/>
              </w:rPr>
              <w:t>Reporting period</w:t>
            </w:r>
          </w:p>
        </w:tc>
      </w:tr>
      <w:tr w:rsidR="00D47EDC" w:rsidRPr="00A76167" w14:paraId="02A7F9FC" w14:textId="77777777" w:rsidTr="00B06C11">
        <w:tc>
          <w:tcPr>
            <w:tcW w:w="4928" w:type="dxa"/>
            <w:hideMark/>
          </w:tcPr>
          <w:p w14:paraId="26DCE442" w14:textId="77777777" w:rsidR="00D47EDC" w:rsidRPr="00A76167" w:rsidRDefault="00D47EDC" w:rsidP="00B06C11">
            <w:pPr>
              <w:spacing w:before="120" w:after="120"/>
              <w:rPr>
                <w:rFonts w:cs="Arial"/>
                <w:sz w:val="22"/>
                <w:szCs w:val="22"/>
              </w:rPr>
            </w:pPr>
            <w:r w:rsidRPr="00A76167">
              <w:rPr>
                <w:rFonts w:cs="Arial"/>
                <w:sz w:val="22"/>
                <w:szCs w:val="22"/>
              </w:rPr>
              <w:t>ONS code</w:t>
            </w:r>
          </w:p>
        </w:tc>
        <w:tc>
          <w:tcPr>
            <w:tcW w:w="5152" w:type="dxa"/>
            <w:hideMark/>
          </w:tcPr>
          <w:p w14:paraId="032D79D8" w14:textId="77777777" w:rsidR="00D47EDC" w:rsidRPr="00A76167" w:rsidRDefault="00D47EDC" w:rsidP="00B06C11">
            <w:pPr>
              <w:spacing w:before="120" w:after="120"/>
              <w:rPr>
                <w:rFonts w:cs="Arial"/>
                <w:sz w:val="22"/>
                <w:szCs w:val="22"/>
              </w:rPr>
            </w:pPr>
            <w:r w:rsidRPr="00A76167">
              <w:rPr>
                <w:rFonts w:cs="Arial"/>
                <w:sz w:val="22"/>
                <w:szCs w:val="22"/>
              </w:rPr>
              <w:t>ONS geography code</w:t>
            </w:r>
          </w:p>
        </w:tc>
      </w:tr>
      <w:tr w:rsidR="00D47EDC" w:rsidRPr="00A76167" w14:paraId="0338858F" w14:textId="77777777" w:rsidTr="00B06C11">
        <w:tc>
          <w:tcPr>
            <w:tcW w:w="4928" w:type="dxa"/>
            <w:hideMark/>
          </w:tcPr>
          <w:p w14:paraId="012DF9F7" w14:textId="77777777" w:rsidR="00D47EDC" w:rsidRPr="00A76167" w:rsidRDefault="00D47EDC" w:rsidP="00B06C11">
            <w:pPr>
              <w:spacing w:before="120" w:after="120"/>
              <w:rPr>
                <w:rFonts w:cs="Arial"/>
                <w:sz w:val="22"/>
                <w:szCs w:val="22"/>
              </w:rPr>
            </w:pPr>
            <w:r w:rsidRPr="00A76167">
              <w:rPr>
                <w:rFonts w:cs="Arial"/>
                <w:sz w:val="22"/>
                <w:szCs w:val="22"/>
              </w:rPr>
              <w:t>Level</w:t>
            </w:r>
          </w:p>
        </w:tc>
        <w:tc>
          <w:tcPr>
            <w:tcW w:w="5152" w:type="dxa"/>
            <w:hideMark/>
          </w:tcPr>
          <w:p w14:paraId="5BDB32CB" w14:textId="77777777" w:rsidR="00D47EDC" w:rsidRPr="00A76167" w:rsidRDefault="00D47EDC" w:rsidP="00B06C11">
            <w:pPr>
              <w:spacing w:before="120" w:after="120"/>
              <w:rPr>
                <w:rFonts w:cs="Arial"/>
                <w:sz w:val="22"/>
                <w:szCs w:val="22"/>
              </w:rPr>
            </w:pPr>
            <w:r w:rsidRPr="00A76167">
              <w:rPr>
                <w:rFonts w:cs="Arial"/>
                <w:sz w:val="22"/>
                <w:szCs w:val="22"/>
              </w:rPr>
              <w:t>CCG code</w:t>
            </w:r>
          </w:p>
        </w:tc>
      </w:tr>
      <w:tr w:rsidR="00D47EDC" w:rsidRPr="00A76167" w14:paraId="2329AFD2" w14:textId="77777777" w:rsidTr="00B06C11">
        <w:tc>
          <w:tcPr>
            <w:tcW w:w="4928" w:type="dxa"/>
            <w:hideMark/>
          </w:tcPr>
          <w:p w14:paraId="2A686EC1" w14:textId="77777777" w:rsidR="00D47EDC" w:rsidRPr="00A76167" w:rsidRDefault="00D47EDC" w:rsidP="00B06C11">
            <w:pPr>
              <w:spacing w:before="120" w:after="120"/>
              <w:rPr>
                <w:rFonts w:cs="Arial"/>
                <w:sz w:val="22"/>
                <w:szCs w:val="22"/>
              </w:rPr>
            </w:pPr>
            <w:r w:rsidRPr="00A76167">
              <w:rPr>
                <w:rFonts w:cs="Arial"/>
                <w:sz w:val="22"/>
                <w:szCs w:val="22"/>
              </w:rPr>
              <w:t>Level description</w:t>
            </w:r>
          </w:p>
        </w:tc>
        <w:tc>
          <w:tcPr>
            <w:tcW w:w="5152" w:type="dxa"/>
            <w:hideMark/>
          </w:tcPr>
          <w:p w14:paraId="036DB79D" w14:textId="77777777" w:rsidR="00D47EDC" w:rsidRPr="00A76167" w:rsidRDefault="00D47EDC" w:rsidP="00B06C11">
            <w:pPr>
              <w:spacing w:before="120" w:after="120"/>
              <w:rPr>
                <w:rFonts w:cs="Arial"/>
                <w:sz w:val="22"/>
                <w:szCs w:val="22"/>
              </w:rPr>
            </w:pPr>
            <w:r w:rsidRPr="00A76167">
              <w:rPr>
                <w:rFonts w:cs="Arial"/>
                <w:sz w:val="22"/>
                <w:szCs w:val="22"/>
              </w:rPr>
              <w:t>CCG name</w:t>
            </w:r>
          </w:p>
        </w:tc>
      </w:tr>
      <w:tr w:rsidR="00D47EDC" w:rsidRPr="00A76167" w14:paraId="601D4FBF" w14:textId="77777777" w:rsidTr="00B06C11">
        <w:trPr>
          <w:trHeight w:val="96"/>
        </w:trPr>
        <w:tc>
          <w:tcPr>
            <w:tcW w:w="4928" w:type="dxa"/>
            <w:hideMark/>
          </w:tcPr>
          <w:p w14:paraId="114ABE18" w14:textId="77777777" w:rsidR="00D47EDC" w:rsidRPr="00A76167" w:rsidRDefault="00D47EDC" w:rsidP="00B06C11">
            <w:pPr>
              <w:spacing w:before="120" w:after="120"/>
              <w:rPr>
                <w:rFonts w:cs="Arial"/>
                <w:sz w:val="22"/>
                <w:szCs w:val="22"/>
              </w:rPr>
            </w:pPr>
            <w:r w:rsidRPr="00A76167">
              <w:rPr>
                <w:rFonts w:cs="Arial"/>
                <w:sz w:val="22"/>
                <w:szCs w:val="22"/>
              </w:rPr>
              <w:t>Provider code</w:t>
            </w:r>
          </w:p>
        </w:tc>
        <w:tc>
          <w:tcPr>
            <w:tcW w:w="5152" w:type="dxa"/>
            <w:hideMark/>
          </w:tcPr>
          <w:p w14:paraId="7B6B5809" w14:textId="77777777" w:rsidR="00D47EDC" w:rsidRPr="00A76167" w:rsidRDefault="00D47EDC" w:rsidP="00B06C11">
            <w:pPr>
              <w:spacing w:before="120" w:after="120"/>
              <w:rPr>
                <w:rFonts w:cs="Arial"/>
                <w:sz w:val="22"/>
                <w:szCs w:val="22"/>
              </w:rPr>
            </w:pPr>
            <w:r w:rsidRPr="00A76167">
              <w:rPr>
                <w:rFonts w:cs="Arial"/>
                <w:sz w:val="22"/>
                <w:szCs w:val="22"/>
              </w:rPr>
              <w:t>Provider code</w:t>
            </w:r>
          </w:p>
        </w:tc>
      </w:tr>
      <w:tr w:rsidR="00D47EDC" w:rsidRPr="00A76167" w14:paraId="2546264D" w14:textId="77777777" w:rsidTr="00B06C11">
        <w:tc>
          <w:tcPr>
            <w:tcW w:w="4928" w:type="dxa"/>
            <w:hideMark/>
          </w:tcPr>
          <w:p w14:paraId="5F89439A" w14:textId="77777777" w:rsidR="00D47EDC" w:rsidRPr="00A76167" w:rsidRDefault="00D47EDC" w:rsidP="00B06C11">
            <w:pPr>
              <w:spacing w:before="120" w:after="120"/>
              <w:rPr>
                <w:rFonts w:cs="Arial"/>
                <w:sz w:val="22"/>
                <w:szCs w:val="22"/>
              </w:rPr>
            </w:pPr>
            <w:r w:rsidRPr="00A76167">
              <w:rPr>
                <w:rFonts w:cs="Arial"/>
                <w:sz w:val="22"/>
                <w:szCs w:val="22"/>
              </w:rPr>
              <w:t>Provider name</w:t>
            </w:r>
          </w:p>
        </w:tc>
        <w:tc>
          <w:tcPr>
            <w:tcW w:w="5152" w:type="dxa"/>
            <w:hideMark/>
          </w:tcPr>
          <w:p w14:paraId="2FF35665" w14:textId="77777777" w:rsidR="00D47EDC" w:rsidRPr="00A76167" w:rsidRDefault="00D47EDC" w:rsidP="00B06C11">
            <w:pPr>
              <w:spacing w:before="120" w:after="120"/>
              <w:rPr>
                <w:rFonts w:cs="Arial"/>
                <w:sz w:val="22"/>
                <w:szCs w:val="22"/>
              </w:rPr>
            </w:pPr>
            <w:r w:rsidRPr="00A76167">
              <w:rPr>
                <w:rFonts w:cs="Arial"/>
                <w:sz w:val="22"/>
                <w:szCs w:val="22"/>
              </w:rPr>
              <w:t>Provider name</w:t>
            </w:r>
          </w:p>
        </w:tc>
      </w:tr>
      <w:tr w:rsidR="00D47EDC" w:rsidRPr="00A76167" w14:paraId="11E20983" w14:textId="77777777" w:rsidTr="00B06C11">
        <w:tc>
          <w:tcPr>
            <w:tcW w:w="4928" w:type="dxa"/>
            <w:hideMark/>
          </w:tcPr>
          <w:p w14:paraId="0F382800" w14:textId="77777777" w:rsidR="00D47EDC" w:rsidRPr="00A76167" w:rsidRDefault="00D47EDC" w:rsidP="00B06C11">
            <w:pPr>
              <w:spacing w:before="120" w:after="120"/>
              <w:rPr>
                <w:rFonts w:cs="Arial"/>
                <w:sz w:val="22"/>
                <w:szCs w:val="22"/>
              </w:rPr>
            </w:pPr>
            <w:r w:rsidRPr="00A76167">
              <w:rPr>
                <w:rFonts w:cs="Arial"/>
                <w:sz w:val="22"/>
                <w:szCs w:val="22"/>
              </w:rPr>
              <w:t>Number of bed days commissioned by the CCG at this provider</w:t>
            </w:r>
          </w:p>
        </w:tc>
        <w:tc>
          <w:tcPr>
            <w:tcW w:w="5152" w:type="dxa"/>
            <w:hideMark/>
          </w:tcPr>
          <w:p w14:paraId="78633B2C" w14:textId="77777777" w:rsidR="00D47EDC" w:rsidRPr="00A76167" w:rsidRDefault="00D47EDC" w:rsidP="00B06C11">
            <w:pPr>
              <w:spacing w:before="120" w:after="120"/>
              <w:rPr>
                <w:rFonts w:cs="Arial"/>
                <w:sz w:val="22"/>
                <w:szCs w:val="22"/>
              </w:rPr>
            </w:pPr>
            <w:r w:rsidRPr="00A76167">
              <w:rPr>
                <w:rFonts w:cs="Arial"/>
                <w:sz w:val="22"/>
                <w:szCs w:val="22"/>
              </w:rPr>
              <w:t>Number of bed days commissioned by the CCG at this provider</w:t>
            </w:r>
          </w:p>
        </w:tc>
      </w:tr>
      <w:tr w:rsidR="00D47EDC" w:rsidRPr="00A76167" w14:paraId="348F699B" w14:textId="77777777" w:rsidTr="00B06C11">
        <w:tc>
          <w:tcPr>
            <w:tcW w:w="4928" w:type="dxa"/>
            <w:hideMark/>
          </w:tcPr>
          <w:p w14:paraId="2793AA40" w14:textId="77777777" w:rsidR="00D47EDC" w:rsidRPr="00A76167" w:rsidRDefault="00D47EDC" w:rsidP="00B06C11">
            <w:pPr>
              <w:spacing w:before="120" w:after="120"/>
              <w:rPr>
                <w:rFonts w:cs="Arial"/>
                <w:sz w:val="22"/>
                <w:szCs w:val="22"/>
              </w:rPr>
            </w:pPr>
            <w:r w:rsidRPr="00A76167">
              <w:rPr>
                <w:rFonts w:cs="Arial"/>
                <w:sz w:val="22"/>
                <w:szCs w:val="22"/>
              </w:rPr>
              <w:t>Percentage of bed days commissioned by the CCG at this provider</w:t>
            </w:r>
          </w:p>
        </w:tc>
        <w:tc>
          <w:tcPr>
            <w:tcW w:w="5152" w:type="dxa"/>
            <w:hideMark/>
          </w:tcPr>
          <w:p w14:paraId="66F733E9" w14:textId="77777777" w:rsidR="00D47EDC" w:rsidRPr="00A76167" w:rsidRDefault="00D47EDC" w:rsidP="00B06C11">
            <w:pPr>
              <w:spacing w:before="120" w:after="120"/>
              <w:rPr>
                <w:rFonts w:cs="Arial"/>
                <w:sz w:val="22"/>
                <w:szCs w:val="22"/>
              </w:rPr>
            </w:pPr>
            <w:r w:rsidRPr="00A76167">
              <w:rPr>
                <w:rFonts w:cs="Arial"/>
                <w:sz w:val="22"/>
                <w:szCs w:val="22"/>
              </w:rPr>
              <w:t>Percentage of bed days commissioned by the CCG at this provider</w:t>
            </w:r>
          </w:p>
        </w:tc>
      </w:tr>
      <w:tr w:rsidR="00D47EDC" w:rsidRPr="00A76167" w14:paraId="04FC869D" w14:textId="77777777" w:rsidTr="00B06C11">
        <w:tc>
          <w:tcPr>
            <w:tcW w:w="4928" w:type="dxa"/>
            <w:hideMark/>
          </w:tcPr>
          <w:p w14:paraId="7CD331BA" w14:textId="77777777" w:rsidR="00D47EDC" w:rsidRPr="00A76167" w:rsidRDefault="00D47EDC" w:rsidP="00B06C11">
            <w:pPr>
              <w:spacing w:before="120" w:after="120"/>
              <w:rPr>
                <w:rFonts w:cs="Arial"/>
                <w:sz w:val="22"/>
                <w:szCs w:val="22"/>
              </w:rPr>
            </w:pPr>
            <w:r w:rsidRPr="00A76167">
              <w:rPr>
                <w:rFonts w:cs="Arial"/>
                <w:sz w:val="22"/>
                <w:szCs w:val="22"/>
              </w:rPr>
              <w:t>Total number of provider bed days</w:t>
            </w:r>
          </w:p>
        </w:tc>
        <w:tc>
          <w:tcPr>
            <w:tcW w:w="5152" w:type="dxa"/>
            <w:hideMark/>
          </w:tcPr>
          <w:p w14:paraId="4D27A548" w14:textId="77777777" w:rsidR="00D47EDC" w:rsidRPr="00A76167" w:rsidRDefault="00D47EDC" w:rsidP="00B06C11">
            <w:pPr>
              <w:spacing w:before="120" w:after="120"/>
              <w:rPr>
                <w:rFonts w:cs="Arial"/>
                <w:sz w:val="22"/>
                <w:szCs w:val="22"/>
              </w:rPr>
            </w:pPr>
            <w:r w:rsidRPr="00A76167">
              <w:rPr>
                <w:rFonts w:cs="Arial"/>
                <w:sz w:val="22"/>
                <w:szCs w:val="22"/>
              </w:rPr>
              <w:t>Total number of provider bed days</w:t>
            </w:r>
          </w:p>
        </w:tc>
      </w:tr>
      <w:tr w:rsidR="00D47EDC" w:rsidRPr="00A76167" w14:paraId="0C7435A7" w14:textId="77777777" w:rsidTr="00B06C11">
        <w:tc>
          <w:tcPr>
            <w:tcW w:w="4928" w:type="dxa"/>
            <w:hideMark/>
          </w:tcPr>
          <w:p w14:paraId="66C4E523" w14:textId="77777777" w:rsidR="00D47EDC" w:rsidRPr="00A76167" w:rsidRDefault="00D47EDC" w:rsidP="00B06C11">
            <w:pPr>
              <w:spacing w:before="120" w:after="120"/>
              <w:rPr>
                <w:rFonts w:cs="Arial"/>
                <w:sz w:val="22"/>
                <w:szCs w:val="22"/>
              </w:rPr>
            </w:pPr>
            <w:r w:rsidRPr="00A76167">
              <w:rPr>
                <w:rFonts w:cs="Arial"/>
                <w:sz w:val="22"/>
                <w:szCs w:val="22"/>
              </w:rPr>
              <w:t>Number of reported patient safety incidents</w:t>
            </w:r>
          </w:p>
        </w:tc>
        <w:tc>
          <w:tcPr>
            <w:tcW w:w="5152" w:type="dxa"/>
            <w:hideMark/>
          </w:tcPr>
          <w:p w14:paraId="2A976115" w14:textId="77777777" w:rsidR="00D47EDC" w:rsidRPr="00A76167" w:rsidRDefault="00D47EDC" w:rsidP="00B06C11">
            <w:pPr>
              <w:spacing w:before="120" w:after="120"/>
              <w:rPr>
                <w:rFonts w:cs="Arial"/>
                <w:sz w:val="22"/>
                <w:szCs w:val="22"/>
              </w:rPr>
            </w:pPr>
            <w:r w:rsidRPr="00A76167">
              <w:rPr>
                <w:rFonts w:cs="Arial"/>
                <w:sz w:val="22"/>
                <w:szCs w:val="22"/>
              </w:rPr>
              <w:t>Number of reported patient safety incidents</w:t>
            </w:r>
          </w:p>
        </w:tc>
      </w:tr>
      <w:tr w:rsidR="00D47EDC" w:rsidRPr="00A76167" w14:paraId="2E77A77E" w14:textId="77777777" w:rsidTr="00B06C11">
        <w:tc>
          <w:tcPr>
            <w:tcW w:w="4928" w:type="dxa"/>
            <w:hideMark/>
          </w:tcPr>
          <w:p w14:paraId="613B0508" w14:textId="77777777" w:rsidR="00D47EDC" w:rsidRPr="00A76167" w:rsidRDefault="00D47EDC" w:rsidP="00B06C11">
            <w:pPr>
              <w:spacing w:before="120" w:after="120"/>
              <w:rPr>
                <w:rFonts w:cs="Arial"/>
                <w:sz w:val="22"/>
                <w:szCs w:val="22"/>
              </w:rPr>
            </w:pPr>
            <w:r w:rsidRPr="00A76167">
              <w:rPr>
                <w:rFonts w:cs="Arial"/>
                <w:sz w:val="22"/>
                <w:szCs w:val="22"/>
              </w:rPr>
              <w:t>Patient safety incidents per 1,000 provider bed days</w:t>
            </w:r>
          </w:p>
        </w:tc>
        <w:tc>
          <w:tcPr>
            <w:tcW w:w="5152" w:type="dxa"/>
            <w:hideMark/>
          </w:tcPr>
          <w:p w14:paraId="303CFB0B" w14:textId="77777777" w:rsidR="00D47EDC" w:rsidRPr="00A76167" w:rsidRDefault="00D47EDC" w:rsidP="00B06C11">
            <w:pPr>
              <w:spacing w:before="120" w:after="120"/>
              <w:rPr>
                <w:rFonts w:cs="Arial"/>
                <w:sz w:val="22"/>
                <w:szCs w:val="22"/>
              </w:rPr>
            </w:pPr>
            <w:r w:rsidRPr="00A76167">
              <w:rPr>
                <w:rFonts w:cs="Arial"/>
                <w:sz w:val="22"/>
                <w:szCs w:val="22"/>
              </w:rPr>
              <w:t>Rate of reported patient safety incidents per 1,000 total bed days at the Provider</w:t>
            </w:r>
          </w:p>
        </w:tc>
      </w:tr>
    </w:tbl>
    <w:p w14:paraId="5FD8DC59" w14:textId="77777777" w:rsidR="00D47EDC" w:rsidRDefault="00D47EDC"/>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2238"/>
        <w:gridCol w:w="6689"/>
      </w:tblGrid>
      <w:tr w:rsidR="00D47EDC" w:rsidRPr="00A76167" w14:paraId="6C367CD3" w14:textId="77777777" w:rsidTr="00A76167">
        <w:tc>
          <w:tcPr>
            <w:tcW w:w="2238" w:type="dxa"/>
            <w:tcBorders>
              <w:top w:val="single" w:sz="4" w:space="0" w:color="auto"/>
              <w:left w:val="single" w:sz="4" w:space="0" w:color="auto"/>
              <w:bottom w:val="single" w:sz="4" w:space="0" w:color="auto"/>
              <w:right w:val="single" w:sz="4" w:space="0" w:color="auto"/>
            </w:tcBorders>
          </w:tcPr>
          <w:p w14:paraId="24F03233" w14:textId="40711959" w:rsidR="00D47EDC" w:rsidRPr="00A76167" w:rsidRDefault="00D47EDC" w:rsidP="00772A5C">
            <w:pPr>
              <w:spacing w:before="240"/>
              <w:ind w:left="34"/>
              <w:rPr>
                <w:b/>
                <w:sz w:val="22"/>
                <w:szCs w:val="22"/>
              </w:rPr>
            </w:pPr>
            <w:r>
              <w:rPr>
                <w:b/>
                <w:sz w:val="22"/>
                <w:szCs w:val="22"/>
              </w:rPr>
              <w:t xml:space="preserve">5.2 </w:t>
            </w:r>
            <w:r w:rsidRPr="00A76167">
              <w:rPr>
                <w:b/>
                <w:sz w:val="22"/>
                <w:szCs w:val="22"/>
              </w:rPr>
              <w:t>Contextual information provided alongside indicator</w:t>
            </w:r>
          </w:p>
          <w:p w14:paraId="6C367CD1" w14:textId="7A29AEFA" w:rsidR="00D47EDC" w:rsidRPr="00A76167" w:rsidRDefault="00D47EDC" w:rsidP="00E60E30">
            <w:pPr>
              <w:ind w:left="34"/>
              <w:rPr>
                <w:sz w:val="22"/>
                <w:szCs w:val="22"/>
              </w:rPr>
            </w:pPr>
            <w:r w:rsidRPr="00A76167">
              <w:rPr>
                <w:sz w:val="22"/>
                <w:szCs w:val="22"/>
              </w:rPr>
              <w:t>with justification</w:t>
            </w:r>
          </w:p>
        </w:tc>
        <w:tc>
          <w:tcPr>
            <w:tcW w:w="6689" w:type="dxa"/>
            <w:tcBorders>
              <w:top w:val="single" w:sz="4" w:space="0" w:color="auto"/>
              <w:left w:val="single" w:sz="4" w:space="0" w:color="auto"/>
              <w:bottom w:val="single" w:sz="4" w:space="0" w:color="auto"/>
              <w:right w:val="single" w:sz="4" w:space="0" w:color="auto"/>
            </w:tcBorders>
          </w:tcPr>
          <w:p w14:paraId="6C367CD2" w14:textId="7D424389" w:rsidR="00D47EDC" w:rsidRPr="00A76167" w:rsidRDefault="00D47EDC" w:rsidP="00772A5C">
            <w:pPr>
              <w:spacing w:before="240"/>
              <w:rPr>
                <w:sz w:val="22"/>
                <w:szCs w:val="22"/>
              </w:rPr>
            </w:pPr>
            <w:r w:rsidRPr="00A76167">
              <w:rPr>
                <w:sz w:val="22"/>
                <w:szCs w:val="22"/>
              </w:rPr>
              <w:t>The “Number of bed days commissioned by the CCG at this provider”, “Percentage of bed days commissioned by the CCG at this provider”, “Total number of provider bed days” and “Number of reported patient safety incidents” are contextual information items in addition to the main indicator value.</w:t>
            </w:r>
          </w:p>
        </w:tc>
      </w:tr>
      <w:tr w:rsidR="00D47EDC" w:rsidRPr="00A76167" w14:paraId="6C367CDB" w14:textId="77777777" w:rsidTr="00A76167">
        <w:tc>
          <w:tcPr>
            <w:tcW w:w="2238" w:type="dxa"/>
            <w:tcBorders>
              <w:top w:val="single" w:sz="4" w:space="0" w:color="auto"/>
              <w:left w:val="single" w:sz="4" w:space="0" w:color="auto"/>
              <w:bottom w:val="single" w:sz="4" w:space="0" w:color="auto"/>
              <w:right w:val="single" w:sz="4" w:space="0" w:color="auto"/>
            </w:tcBorders>
          </w:tcPr>
          <w:p w14:paraId="6C367CD9" w14:textId="0DD7B97B" w:rsidR="00D47EDC" w:rsidRPr="00A76167" w:rsidRDefault="00D47EDC" w:rsidP="00772A5C">
            <w:pPr>
              <w:spacing w:before="240"/>
              <w:ind w:left="34"/>
              <w:rPr>
                <w:b/>
                <w:sz w:val="22"/>
                <w:szCs w:val="22"/>
              </w:rPr>
            </w:pPr>
            <w:permStart w:id="1775924861" w:edGrp="everyone" w:colFirst="1" w:colLast="1"/>
            <w:permEnd w:id="2014075562"/>
            <w:r>
              <w:rPr>
                <w:b/>
                <w:sz w:val="22"/>
                <w:szCs w:val="22"/>
              </w:rPr>
              <w:t xml:space="preserve">5.3 </w:t>
            </w:r>
            <w:r w:rsidRPr="00A76167">
              <w:rPr>
                <w:b/>
                <w:sz w:val="22"/>
                <w:szCs w:val="22"/>
              </w:rPr>
              <w:t>Calculation and data source of contextual information</w:t>
            </w:r>
          </w:p>
        </w:tc>
        <w:tc>
          <w:tcPr>
            <w:tcW w:w="6689" w:type="dxa"/>
            <w:tcBorders>
              <w:top w:val="single" w:sz="4" w:space="0" w:color="auto"/>
              <w:left w:val="single" w:sz="4" w:space="0" w:color="auto"/>
              <w:bottom w:val="single" w:sz="4" w:space="0" w:color="auto"/>
              <w:right w:val="single" w:sz="4" w:space="0" w:color="auto"/>
            </w:tcBorders>
          </w:tcPr>
          <w:p w14:paraId="337787E2" w14:textId="77777777" w:rsidR="00D47EDC" w:rsidRPr="00A76167" w:rsidRDefault="00D47EDC" w:rsidP="00772A5C">
            <w:pPr>
              <w:spacing w:before="240"/>
              <w:rPr>
                <w:sz w:val="22"/>
                <w:szCs w:val="22"/>
              </w:rPr>
            </w:pPr>
          </w:p>
          <w:p w14:paraId="5D42779E" w14:textId="77777777" w:rsidR="00D47EDC" w:rsidRPr="00A76167" w:rsidRDefault="00D47EDC" w:rsidP="00772A5C">
            <w:pPr>
              <w:spacing w:before="240"/>
              <w:rPr>
                <w:sz w:val="22"/>
                <w:szCs w:val="22"/>
              </w:rPr>
            </w:pPr>
          </w:p>
          <w:p w14:paraId="76FC7501" w14:textId="77777777" w:rsidR="00D47EDC" w:rsidRPr="00A76167" w:rsidRDefault="00D47EDC" w:rsidP="00772A5C">
            <w:pPr>
              <w:spacing w:before="240"/>
              <w:rPr>
                <w:sz w:val="22"/>
                <w:szCs w:val="22"/>
              </w:rPr>
            </w:pPr>
          </w:p>
          <w:p w14:paraId="6C367CDA" w14:textId="59F3BF3D" w:rsidR="00D47EDC" w:rsidRPr="00A76167" w:rsidRDefault="00D47EDC" w:rsidP="00772A5C">
            <w:pPr>
              <w:spacing w:before="240"/>
              <w:rPr>
                <w:sz w:val="22"/>
                <w:szCs w:val="22"/>
              </w:rPr>
            </w:pPr>
          </w:p>
        </w:tc>
      </w:tr>
      <w:tr w:rsidR="00D47EDC" w:rsidRPr="00A76167" w14:paraId="6C367CDF" w14:textId="77777777" w:rsidTr="00A76167">
        <w:tc>
          <w:tcPr>
            <w:tcW w:w="2238" w:type="dxa"/>
            <w:tcBorders>
              <w:top w:val="single" w:sz="4" w:space="0" w:color="auto"/>
              <w:left w:val="single" w:sz="4" w:space="0" w:color="auto"/>
              <w:bottom w:val="single" w:sz="4" w:space="0" w:color="auto"/>
              <w:right w:val="single" w:sz="4" w:space="0" w:color="auto"/>
            </w:tcBorders>
          </w:tcPr>
          <w:p w14:paraId="2C2A944C" w14:textId="0659648F" w:rsidR="00D47EDC" w:rsidRPr="00A76167" w:rsidRDefault="00D47EDC" w:rsidP="00772A5C">
            <w:pPr>
              <w:spacing w:before="240"/>
              <w:ind w:left="34"/>
              <w:rPr>
                <w:b/>
                <w:sz w:val="22"/>
                <w:szCs w:val="22"/>
              </w:rPr>
            </w:pPr>
            <w:permStart w:id="1069296553" w:edGrp="everyone" w:colFirst="1" w:colLast="1"/>
            <w:permEnd w:id="1775924861"/>
            <w:r>
              <w:rPr>
                <w:b/>
                <w:sz w:val="22"/>
                <w:szCs w:val="22"/>
              </w:rPr>
              <w:lastRenderedPageBreak/>
              <w:t xml:space="preserve">5.4 </w:t>
            </w:r>
            <w:r w:rsidRPr="00A76167">
              <w:rPr>
                <w:b/>
                <w:sz w:val="22"/>
                <w:szCs w:val="22"/>
              </w:rPr>
              <w:t>Use of bandings, benchmarks or targets</w:t>
            </w:r>
          </w:p>
          <w:p w14:paraId="6C367CDD" w14:textId="27E30CC4" w:rsidR="00D47EDC" w:rsidRPr="00A76167" w:rsidRDefault="00D47EDC" w:rsidP="00E60E30">
            <w:pPr>
              <w:ind w:left="34"/>
              <w:rPr>
                <w:sz w:val="22"/>
                <w:szCs w:val="22"/>
              </w:rPr>
            </w:pPr>
            <w:r w:rsidRPr="00A76167">
              <w:rPr>
                <w:sz w:val="22"/>
                <w:szCs w:val="22"/>
              </w:rPr>
              <w:t>with justification</w:t>
            </w:r>
          </w:p>
        </w:tc>
        <w:tc>
          <w:tcPr>
            <w:tcW w:w="6689" w:type="dxa"/>
            <w:tcBorders>
              <w:top w:val="single" w:sz="4" w:space="0" w:color="auto"/>
              <w:left w:val="single" w:sz="4" w:space="0" w:color="auto"/>
              <w:bottom w:val="single" w:sz="4" w:space="0" w:color="auto"/>
              <w:right w:val="single" w:sz="4" w:space="0" w:color="auto"/>
            </w:tcBorders>
          </w:tcPr>
          <w:p w14:paraId="6C367CDE" w14:textId="77777777" w:rsidR="00D47EDC" w:rsidRPr="00A76167" w:rsidRDefault="00D47EDC" w:rsidP="00772A5C">
            <w:pPr>
              <w:spacing w:before="240"/>
              <w:rPr>
                <w:sz w:val="22"/>
                <w:szCs w:val="22"/>
              </w:rPr>
            </w:pPr>
          </w:p>
        </w:tc>
      </w:tr>
      <w:tr w:rsidR="00D47EDC" w:rsidRPr="00A76167" w14:paraId="6C367CE7" w14:textId="77777777" w:rsidTr="00A76167">
        <w:tc>
          <w:tcPr>
            <w:tcW w:w="2238" w:type="dxa"/>
            <w:tcBorders>
              <w:top w:val="single" w:sz="4" w:space="0" w:color="auto"/>
              <w:left w:val="single" w:sz="4" w:space="0" w:color="auto"/>
              <w:bottom w:val="single" w:sz="4" w:space="0" w:color="auto"/>
              <w:right w:val="single" w:sz="4" w:space="0" w:color="auto"/>
            </w:tcBorders>
          </w:tcPr>
          <w:p w14:paraId="0B675C8F" w14:textId="412CED20" w:rsidR="00D47EDC" w:rsidRPr="00A76167" w:rsidRDefault="00D47EDC" w:rsidP="008022CE">
            <w:pPr>
              <w:spacing w:before="240"/>
              <w:ind w:left="34"/>
              <w:rPr>
                <w:b/>
                <w:sz w:val="22"/>
                <w:szCs w:val="22"/>
              </w:rPr>
            </w:pPr>
            <w:permStart w:id="623772071" w:edGrp="everyone" w:colFirst="1" w:colLast="1"/>
            <w:permEnd w:id="1069296553"/>
            <w:r>
              <w:rPr>
                <w:b/>
                <w:sz w:val="22"/>
                <w:szCs w:val="22"/>
              </w:rPr>
              <w:t xml:space="preserve">5.5 </w:t>
            </w:r>
            <w:r w:rsidRPr="00A76167">
              <w:rPr>
                <w:b/>
                <w:sz w:val="22"/>
                <w:szCs w:val="22"/>
              </w:rPr>
              <w:t>Banding, benchmark or target methodology</w:t>
            </w:r>
          </w:p>
          <w:p w14:paraId="6C367CE5" w14:textId="6D1DB00B" w:rsidR="00D47EDC" w:rsidRPr="00A76167" w:rsidRDefault="00D47EDC" w:rsidP="008022CE">
            <w:pPr>
              <w:spacing w:before="240"/>
              <w:ind w:left="34"/>
              <w:rPr>
                <w:sz w:val="22"/>
                <w:szCs w:val="22"/>
              </w:rPr>
            </w:pPr>
            <w:r w:rsidRPr="00A76167">
              <w:rPr>
                <w:sz w:val="22"/>
                <w:szCs w:val="22"/>
              </w:rPr>
              <w:t>if appropriate</w:t>
            </w:r>
          </w:p>
        </w:tc>
        <w:tc>
          <w:tcPr>
            <w:tcW w:w="6689" w:type="dxa"/>
            <w:tcBorders>
              <w:top w:val="single" w:sz="4" w:space="0" w:color="auto"/>
              <w:left w:val="single" w:sz="4" w:space="0" w:color="auto"/>
              <w:bottom w:val="single" w:sz="4" w:space="0" w:color="auto"/>
              <w:right w:val="single" w:sz="4" w:space="0" w:color="auto"/>
            </w:tcBorders>
          </w:tcPr>
          <w:p w14:paraId="6C367CE6" w14:textId="77777777" w:rsidR="00D47EDC" w:rsidRPr="00A76167" w:rsidRDefault="00D47EDC" w:rsidP="00772A5C">
            <w:pPr>
              <w:spacing w:before="240"/>
              <w:rPr>
                <w:sz w:val="22"/>
                <w:szCs w:val="22"/>
              </w:rPr>
            </w:pPr>
          </w:p>
        </w:tc>
      </w:tr>
    </w:tbl>
    <w:permEnd w:id="623772071"/>
    <w:p w14:paraId="02F3CD95" w14:textId="7EFBC511" w:rsidR="00A76167" w:rsidRDefault="00A76167">
      <w:r>
        <w:t>Interpretation</w:t>
      </w:r>
    </w:p>
    <w:tbl>
      <w:tblPr>
        <w:tblStyle w:val="TableGrid1"/>
        <w:tblW w:w="0" w:type="auto"/>
        <w:tblInd w:w="108" w:type="dxa"/>
        <w:tblBorders>
          <w:top w:val="single" w:sz="18" w:space="0" w:color="003360" w:themeColor="accent1"/>
          <w:left w:val="single" w:sz="18" w:space="0" w:color="003360" w:themeColor="accent1"/>
          <w:bottom w:val="single" w:sz="18" w:space="0" w:color="003360" w:themeColor="accent1"/>
          <w:right w:val="single" w:sz="18" w:space="0" w:color="003360" w:themeColor="accent1"/>
          <w:insideH w:val="single" w:sz="4" w:space="0" w:color="003360" w:themeColor="accent1"/>
          <w:insideV w:val="single" w:sz="4" w:space="0" w:color="003360" w:themeColor="accent1"/>
        </w:tblBorders>
        <w:tblLook w:val="04A0" w:firstRow="1" w:lastRow="0" w:firstColumn="1" w:lastColumn="0" w:noHBand="0" w:noVBand="1"/>
      </w:tblPr>
      <w:tblGrid>
        <w:gridCol w:w="2238"/>
        <w:gridCol w:w="6689"/>
      </w:tblGrid>
      <w:tr w:rsidR="00D47EDC" w:rsidRPr="00A76167" w14:paraId="136186C3" w14:textId="77777777" w:rsidTr="00A76167">
        <w:tc>
          <w:tcPr>
            <w:tcW w:w="2238" w:type="dxa"/>
            <w:tcBorders>
              <w:top w:val="single" w:sz="4" w:space="0" w:color="auto"/>
              <w:left w:val="single" w:sz="4" w:space="0" w:color="auto"/>
              <w:bottom w:val="single" w:sz="4" w:space="0" w:color="auto"/>
              <w:right w:val="single" w:sz="4" w:space="0" w:color="auto"/>
            </w:tcBorders>
          </w:tcPr>
          <w:p w14:paraId="1E71E41D" w14:textId="478147C2" w:rsidR="00D47EDC" w:rsidRPr="00A76167" w:rsidRDefault="00D47EDC" w:rsidP="00A76167">
            <w:pPr>
              <w:spacing w:before="240"/>
              <w:ind w:left="34"/>
              <w:rPr>
                <w:b/>
                <w:sz w:val="22"/>
                <w:szCs w:val="22"/>
              </w:rPr>
            </w:pPr>
            <w:permStart w:id="211357650" w:edGrp="everyone" w:colFirst="1" w:colLast="1"/>
            <w:permStart w:id="1678319560" w:edGrp="everyone" w:colFirst="2" w:colLast="2"/>
            <w:r>
              <w:rPr>
                <w:b/>
                <w:sz w:val="22"/>
                <w:szCs w:val="22"/>
              </w:rPr>
              <w:t xml:space="preserve">5.6 </w:t>
            </w:r>
            <w:r w:rsidRPr="00A76167">
              <w:rPr>
                <w:b/>
                <w:sz w:val="22"/>
                <w:szCs w:val="22"/>
              </w:rPr>
              <w:t>Interpretation guidelines</w:t>
            </w:r>
          </w:p>
        </w:tc>
        <w:tc>
          <w:tcPr>
            <w:tcW w:w="6689" w:type="dxa"/>
            <w:tcBorders>
              <w:top w:val="single" w:sz="4" w:space="0" w:color="auto"/>
              <w:left w:val="single" w:sz="4" w:space="0" w:color="auto"/>
              <w:bottom w:val="single" w:sz="4" w:space="0" w:color="auto"/>
              <w:right w:val="single" w:sz="4" w:space="0" w:color="auto"/>
            </w:tcBorders>
          </w:tcPr>
          <w:p w14:paraId="1248F166" w14:textId="07D27D74" w:rsidR="00D47EDC" w:rsidRPr="00A76167" w:rsidRDefault="00D47EDC" w:rsidP="00A76167">
            <w:pPr>
              <w:spacing w:before="240"/>
              <w:rPr>
                <w:sz w:val="22"/>
                <w:szCs w:val="22"/>
              </w:rPr>
            </w:pPr>
            <w:r w:rsidRPr="00A76167">
              <w:rPr>
                <w:sz w:val="22"/>
                <w:szCs w:val="22"/>
              </w:rPr>
              <w:t>This indicator requires careful interpretation and should not be viewed in isolation, but instead be considered alongside information from other indicators and alternative sources such as the Public Health England mandatory surveillance information and the NRLS Quarterly Data Summaries. When evaluated together, these will help to provide a holistic view of CCG outcomes and provide a more complete overview of the impact of the CCGs’ processes on outcomes.</w:t>
            </w:r>
          </w:p>
        </w:tc>
      </w:tr>
      <w:tr w:rsidR="00D47EDC" w:rsidRPr="00A76167" w14:paraId="2A057252" w14:textId="77777777" w:rsidTr="00A76167">
        <w:tc>
          <w:tcPr>
            <w:tcW w:w="2238" w:type="dxa"/>
            <w:tcBorders>
              <w:top w:val="single" w:sz="4" w:space="0" w:color="auto"/>
              <w:left w:val="single" w:sz="4" w:space="0" w:color="auto"/>
              <w:bottom w:val="single" w:sz="4" w:space="0" w:color="auto"/>
              <w:right w:val="single" w:sz="4" w:space="0" w:color="auto"/>
            </w:tcBorders>
          </w:tcPr>
          <w:p w14:paraId="614442C0" w14:textId="2E2EA38A" w:rsidR="00D47EDC" w:rsidRPr="00A76167" w:rsidRDefault="00D47EDC" w:rsidP="00A76167">
            <w:pPr>
              <w:spacing w:before="240"/>
              <w:ind w:left="34"/>
              <w:rPr>
                <w:b/>
                <w:sz w:val="22"/>
                <w:szCs w:val="22"/>
              </w:rPr>
            </w:pPr>
            <w:permStart w:id="1615012604" w:edGrp="everyone" w:colFirst="1" w:colLast="1"/>
            <w:permEnd w:id="211357650"/>
            <w:r>
              <w:rPr>
                <w:b/>
                <w:sz w:val="22"/>
                <w:szCs w:val="22"/>
              </w:rPr>
              <w:t xml:space="preserve">5.7 </w:t>
            </w:r>
            <w:r w:rsidRPr="00A76167">
              <w:rPr>
                <w:b/>
                <w:sz w:val="22"/>
                <w:szCs w:val="22"/>
              </w:rPr>
              <w:t>Limitations and potential bias</w:t>
            </w:r>
          </w:p>
        </w:tc>
        <w:tc>
          <w:tcPr>
            <w:tcW w:w="6689" w:type="dxa"/>
            <w:tcBorders>
              <w:top w:val="single" w:sz="4" w:space="0" w:color="auto"/>
              <w:left w:val="single" w:sz="4" w:space="0" w:color="auto"/>
              <w:bottom w:val="single" w:sz="4" w:space="0" w:color="auto"/>
              <w:right w:val="single" w:sz="4" w:space="0" w:color="auto"/>
            </w:tcBorders>
          </w:tcPr>
          <w:p w14:paraId="07E1A1B6" w14:textId="77777777" w:rsidR="00D47EDC" w:rsidRPr="00A76167" w:rsidRDefault="00D47EDC" w:rsidP="00E65476">
            <w:pPr>
              <w:spacing w:before="240"/>
              <w:rPr>
                <w:sz w:val="22"/>
                <w:szCs w:val="22"/>
              </w:rPr>
            </w:pPr>
            <w:r w:rsidRPr="00A76167">
              <w:rPr>
                <w:sz w:val="22"/>
                <w:szCs w:val="22"/>
              </w:rPr>
              <w:t>This indicator requires careful interpretation and should not be used in isolation. It should be taken in conjunction with other indicators and information from other sources that together form a holistic view of CCG outcomes and a fuller overview of how CCG processes are impacting on outcomes.</w:t>
            </w:r>
          </w:p>
          <w:p w14:paraId="76056834" w14:textId="77777777" w:rsidR="00D47EDC" w:rsidRPr="00A76167" w:rsidRDefault="00D47EDC" w:rsidP="00E65476">
            <w:pPr>
              <w:spacing w:before="240"/>
              <w:rPr>
                <w:sz w:val="22"/>
                <w:szCs w:val="22"/>
              </w:rPr>
            </w:pPr>
            <w:r w:rsidRPr="00A76167">
              <w:rPr>
                <w:sz w:val="22"/>
                <w:szCs w:val="22"/>
              </w:rPr>
              <w:t xml:space="preserve">It is only mandatory for providers to report incidents with a severe degree of harm or death; the reporting of patient safety incidents in general is voluntary and under-reporting is known to be common. There are concerns regarding the level of completeness in the NRLS dataset currently available, particularly because NRLS has traditionally focused upon learning from patient safety incidents and was never intended to be a data collection mechanism. The data in NRLS is not a complete count of all cases where a patient is harmed during contact with the NHS. Some providers may not report a full 6 months of data during a reporting period. Further information can be found at: </w:t>
            </w:r>
          </w:p>
          <w:p w14:paraId="487B8FB9" w14:textId="77777777" w:rsidR="00D47EDC" w:rsidRPr="00A76167" w:rsidRDefault="00D47EDC" w:rsidP="00E65476">
            <w:pPr>
              <w:spacing w:before="240"/>
              <w:rPr>
                <w:sz w:val="22"/>
                <w:szCs w:val="22"/>
              </w:rPr>
            </w:pPr>
            <w:r w:rsidRPr="00A76167">
              <w:rPr>
                <w:sz w:val="22"/>
                <w:szCs w:val="22"/>
              </w:rPr>
              <w:t xml:space="preserve">Organisation Patient Safety Incident Workbook: </w:t>
            </w:r>
            <w:hyperlink r:id="rId16" w:history="1">
              <w:r w:rsidRPr="00A76167">
                <w:rPr>
                  <w:rStyle w:val="Hyperlink"/>
                  <w:rFonts w:ascii="Arial" w:hAnsi="Arial"/>
                  <w:color w:val="auto"/>
                  <w:sz w:val="22"/>
                  <w:szCs w:val="22"/>
                </w:rPr>
                <w:t>http://www.nrls.npsa.nhs.uk/report-a-patient-safety-incident/about-reporting-patient-safety-incidents/</w:t>
              </w:r>
            </w:hyperlink>
            <w:r w:rsidRPr="00A76167">
              <w:rPr>
                <w:sz w:val="22"/>
                <w:szCs w:val="22"/>
              </w:rPr>
              <w:t xml:space="preserve"> </w:t>
            </w:r>
          </w:p>
          <w:p w14:paraId="47457736" w14:textId="77777777" w:rsidR="00D47EDC" w:rsidRPr="00A76167" w:rsidRDefault="00D47EDC" w:rsidP="00E65476">
            <w:pPr>
              <w:spacing w:before="240"/>
              <w:rPr>
                <w:sz w:val="22"/>
                <w:szCs w:val="22"/>
              </w:rPr>
            </w:pPr>
            <w:r w:rsidRPr="00A76167">
              <w:rPr>
                <w:sz w:val="22"/>
                <w:szCs w:val="22"/>
              </w:rPr>
              <w:t xml:space="preserve">This indicator is not subject to standardisation, as there are no age breakdowns in the NRLS data. Furthermore, there are an array of patient safety incidents including ‘Patient Accident’, </w:t>
            </w:r>
            <w:r w:rsidRPr="00A76167">
              <w:rPr>
                <w:sz w:val="22"/>
                <w:szCs w:val="22"/>
              </w:rPr>
              <w:lastRenderedPageBreak/>
              <w:t xml:space="preserve">‘Medication’, ‘Treatment/Procedure’ and ‘Documentation’ that can occur across all equality dimension groups. </w:t>
            </w:r>
          </w:p>
          <w:p w14:paraId="4EFB25A3" w14:textId="77777777" w:rsidR="00D47EDC" w:rsidRPr="00A76167" w:rsidRDefault="00D47EDC" w:rsidP="00E65476">
            <w:pPr>
              <w:spacing w:before="240"/>
              <w:rPr>
                <w:sz w:val="22"/>
                <w:szCs w:val="22"/>
              </w:rPr>
            </w:pPr>
            <w:r w:rsidRPr="00A76167">
              <w:rPr>
                <w:sz w:val="22"/>
                <w:szCs w:val="22"/>
              </w:rPr>
              <w:t xml:space="preserve">This indicator is not provided as a single output, as is the case with other CCG level indicators, as reliable CCG level data cannot be obtained for patient safety incidents.  </w:t>
            </w:r>
          </w:p>
          <w:p w14:paraId="13DFC1F3" w14:textId="785859E9" w:rsidR="00D47EDC" w:rsidRPr="00A76167" w:rsidRDefault="00D47EDC" w:rsidP="00E65476">
            <w:pPr>
              <w:spacing w:before="240"/>
              <w:rPr>
                <w:sz w:val="22"/>
                <w:szCs w:val="22"/>
              </w:rPr>
            </w:pPr>
            <w:r w:rsidRPr="00A76167">
              <w:rPr>
                <w:sz w:val="22"/>
                <w:szCs w:val="22"/>
              </w:rPr>
              <w:t>The patterns of providing care may vary between organisations in terms of extent of treatment in primary care settings; referral policies and practices; hospital outpatient facilities/walk-in clinics; and hospital inpatient admission policies and practices.</w:t>
            </w:r>
          </w:p>
          <w:p w14:paraId="12C1A5E1" w14:textId="57F54CD1" w:rsidR="00D47EDC" w:rsidRPr="00A76167" w:rsidRDefault="00D47EDC" w:rsidP="00E65476">
            <w:pPr>
              <w:spacing w:before="240"/>
              <w:rPr>
                <w:sz w:val="22"/>
                <w:szCs w:val="22"/>
              </w:rPr>
            </w:pPr>
            <w:r w:rsidRPr="00A76167">
              <w:rPr>
                <w:sz w:val="22"/>
                <w:szCs w:val="22"/>
              </w:rPr>
              <w:t>A number of factors outside the control of healthcare providers, such as the socio-economic mix of local populations, may determine whether a patient acquires an infection; thus, this could influence incidence.</w:t>
            </w:r>
          </w:p>
        </w:tc>
      </w:tr>
      <w:tr w:rsidR="00D47EDC" w:rsidRPr="00A76167" w14:paraId="41F4FD24" w14:textId="77777777" w:rsidTr="00A76167">
        <w:tc>
          <w:tcPr>
            <w:tcW w:w="2238" w:type="dxa"/>
            <w:tcBorders>
              <w:top w:val="single" w:sz="4" w:space="0" w:color="auto"/>
              <w:left w:val="single" w:sz="4" w:space="0" w:color="auto"/>
              <w:bottom w:val="single" w:sz="4" w:space="0" w:color="auto"/>
              <w:right w:val="single" w:sz="4" w:space="0" w:color="auto"/>
            </w:tcBorders>
          </w:tcPr>
          <w:p w14:paraId="4CC99D06" w14:textId="4C7109BE" w:rsidR="00D47EDC" w:rsidRPr="00A76167" w:rsidRDefault="00D47EDC" w:rsidP="00A76167">
            <w:pPr>
              <w:spacing w:before="240"/>
              <w:ind w:left="34"/>
              <w:rPr>
                <w:b/>
                <w:sz w:val="22"/>
                <w:szCs w:val="22"/>
              </w:rPr>
            </w:pPr>
            <w:permStart w:id="1125263213" w:edGrp="everyone" w:colFirst="1" w:colLast="1"/>
            <w:permEnd w:id="1615012604"/>
            <w:r>
              <w:rPr>
                <w:b/>
                <w:sz w:val="22"/>
                <w:szCs w:val="22"/>
              </w:rPr>
              <w:lastRenderedPageBreak/>
              <w:t xml:space="preserve">5.8 </w:t>
            </w:r>
            <w:r w:rsidRPr="00A76167">
              <w:rPr>
                <w:b/>
                <w:sz w:val="22"/>
                <w:szCs w:val="22"/>
              </w:rPr>
              <w:t>Improvement actions</w:t>
            </w:r>
          </w:p>
        </w:tc>
        <w:tc>
          <w:tcPr>
            <w:tcW w:w="6689" w:type="dxa"/>
            <w:tcBorders>
              <w:top w:val="single" w:sz="4" w:space="0" w:color="auto"/>
              <w:left w:val="single" w:sz="4" w:space="0" w:color="auto"/>
              <w:bottom w:val="single" w:sz="4" w:space="0" w:color="auto"/>
              <w:right w:val="single" w:sz="4" w:space="0" w:color="auto"/>
            </w:tcBorders>
          </w:tcPr>
          <w:p w14:paraId="6D99D7B4" w14:textId="77777777" w:rsidR="00D47EDC" w:rsidRPr="00A76167" w:rsidRDefault="00D47EDC" w:rsidP="00A76167">
            <w:pPr>
              <w:spacing w:before="240"/>
              <w:rPr>
                <w:sz w:val="22"/>
                <w:szCs w:val="22"/>
              </w:rPr>
            </w:pPr>
          </w:p>
        </w:tc>
      </w:tr>
      <w:permEnd w:id="1125263213"/>
      <w:tr w:rsidR="00D47EDC" w:rsidRPr="00A76167" w14:paraId="6C367CEB" w14:textId="77777777" w:rsidTr="00A76167">
        <w:tc>
          <w:tcPr>
            <w:tcW w:w="2238" w:type="dxa"/>
            <w:tcBorders>
              <w:top w:val="single" w:sz="4" w:space="0" w:color="auto"/>
              <w:left w:val="single" w:sz="4" w:space="0" w:color="auto"/>
              <w:bottom w:val="single" w:sz="4" w:space="0" w:color="auto"/>
              <w:right w:val="single" w:sz="4" w:space="0" w:color="auto"/>
            </w:tcBorders>
          </w:tcPr>
          <w:p w14:paraId="6C367CE9" w14:textId="1E170ED4" w:rsidR="00D47EDC" w:rsidRPr="00A76167" w:rsidRDefault="00D47EDC" w:rsidP="00772A5C">
            <w:pPr>
              <w:spacing w:before="240"/>
              <w:ind w:left="34"/>
              <w:rPr>
                <w:b/>
                <w:sz w:val="22"/>
                <w:szCs w:val="22"/>
              </w:rPr>
            </w:pPr>
            <w:r>
              <w:rPr>
                <w:b/>
                <w:sz w:val="22"/>
                <w:szCs w:val="22"/>
              </w:rPr>
              <w:t xml:space="preserve">5.9 </w:t>
            </w:r>
            <w:r w:rsidRPr="00A76167">
              <w:rPr>
                <w:b/>
                <w:sz w:val="22"/>
                <w:szCs w:val="22"/>
              </w:rPr>
              <w:t>Evidence of variability</w:t>
            </w:r>
          </w:p>
        </w:tc>
        <w:tc>
          <w:tcPr>
            <w:tcW w:w="6689" w:type="dxa"/>
            <w:tcBorders>
              <w:top w:val="single" w:sz="4" w:space="0" w:color="auto"/>
              <w:left w:val="single" w:sz="4" w:space="0" w:color="auto"/>
              <w:bottom w:val="single" w:sz="4" w:space="0" w:color="auto"/>
              <w:right w:val="single" w:sz="4" w:space="0" w:color="auto"/>
            </w:tcBorders>
          </w:tcPr>
          <w:p w14:paraId="6C367CEA" w14:textId="6AE68946" w:rsidR="00D47EDC" w:rsidRPr="00A76167" w:rsidRDefault="00D47EDC" w:rsidP="00772A5C">
            <w:pPr>
              <w:spacing w:before="240"/>
              <w:rPr>
                <w:sz w:val="22"/>
                <w:szCs w:val="22"/>
              </w:rPr>
            </w:pPr>
            <w:r w:rsidRPr="00A76167">
              <w:rPr>
                <w:sz w:val="22"/>
                <w:szCs w:val="22"/>
              </w:rPr>
              <w:t>There is variation in the order of the top 5 providers by CCG for most CCGs for each of the three periods reported to date. As there is no single figure per CCG, evidence of variability is difficult to summarise.</w:t>
            </w:r>
          </w:p>
        </w:tc>
      </w:tr>
      <w:permEnd w:id="1678319560"/>
    </w:tbl>
    <w:p w14:paraId="6C367CF8" w14:textId="77777777" w:rsidR="00772A5C" w:rsidRPr="00A76167" w:rsidRDefault="00772A5C">
      <w:pPr>
        <w:rPr>
          <w:rFonts w:cs="Arial"/>
          <w:sz w:val="22"/>
          <w:szCs w:val="22"/>
        </w:rPr>
      </w:pPr>
      <w:r w:rsidRPr="00A76167">
        <w:rPr>
          <w:rFonts w:cs="Arial"/>
          <w:sz w:val="22"/>
          <w:szCs w:val="22"/>
        </w:rPr>
        <w:br w:type="page"/>
      </w:r>
    </w:p>
    <w:p w14:paraId="10E128EA" w14:textId="2372B76E" w:rsidR="00A76167" w:rsidRDefault="00A76167">
      <w:r>
        <w:lastRenderedPageBreak/>
        <w:t>Section 6 Risks</w:t>
      </w:r>
    </w:p>
    <w:tbl>
      <w:tblPr>
        <w:tblStyle w:val="TableGrid1"/>
        <w:tblW w:w="0" w:type="auto"/>
        <w:tblInd w:w="108" w:type="dxa"/>
        <w:tblLook w:val="04A0" w:firstRow="1" w:lastRow="0" w:firstColumn="1" w:lastColumn="0" w:noHBand="0" w:noVBand="1"/>
      </w:tblPr>
      <w:tblGrid>
        <w:gridCol w:w="2224"/>
        <w:gridCol w:w="6718"/>
      </w:tblGrid>
      <w:tr w:rsidR="00D47EDC" w:rsidRPr="00A76167" w14:paraId="6C367CFE" w14:textId="77777777" w:rsidTr="00A76167">
        <w:tc>
          <w:tcPr>
            <w:tcW w:w="2224" w:type="dxa"/>
            <w:shd w:val="clear" w:color="auto" w:fill="auto"/>
          </w:tcPr>
          <w:p w14:paraId="6C367CFC" w14:textId="4BC78197" w:rsidR="00D47EDC" w:rsidRPr="00A76167" w:rsidRDefault="00D47EDC" w:rsidP="000277F8">
            <w:pPr>
              <w:spacing w:before="240"/>
              <w:ind w:left="34"/>
              <w:rPr>
                <w:b/>
                <w:sz w:val="22"/>
                <w:szCs w:val="22"/>
              </w:rPr>
            </w:pPr>
            <w:permStart w:id="1690532487" w:edGrp="everyone" w:colFirst="1" w:colLast="1"/>
            <w:r>
              <w:rPr>
                <w:b/>
                <w:sz w:val="22"/>
                <w:szCs w:val="22"/>
              </w:rPr>
              <w:t xml:space="preserve">6.1 </w:t>
            </w:r>
            <w:r w:rsidRPr="00A76167">
              <w:rPr>
                <w:b/>
                <w:sz w:val="22"/>
                <w:szCs w:val="22"/>
              </w:rPr>
              <w:t>Similar existing indicators</w:t>
            </w:r>
          </w:p>
        </w:tc>
        <w:tc>
          <w:tcPr>
            <w:tcW w:w="6718" w:type="dxa"/>
            <w:shd w:val="clear" w:color="auto" w:fill="auto"/>
          </w:tcPr>
          <w:p w14:paraId="30DC4498" w14:textId="77777777" w:rsidR="00D47EDC" w:rsidRPr="00A76167" w:rsidRDefault="00D47EDC" w:rsidP="00E65476">
            <w:pPr>
              <w:spacing w:before="240"/>
              <w:rPr>
                <w:sz w:val="22"/>
                <w:szCs w:val="22"/>
              </w:rPr>
            </w:pPr>
            <w:r w:rsidRPr="00A76167">
              <w:rPr>
                <w:sz w:val="22"/>
                <w:szCs w:val="22"/>
              </w:rPr>
              <w:t>NHS OF 5.6 Patient safety incidents reported (formerly indicators 5a, 5b and 5.4)</w:t>
            </w:r>
          </w:p>
          <w:p w14:paraId="0D4039A3" w14:textId="77777777" w:rsidR="00D47EDC" w:rsidRPr="00A76167" w:rsidRDefault="00D47EDC" w:rsidP="00E65476">
            <w:pPr>
              <w:spacing w:before="240"/>
              <w:rPr>
                <w:sz w:val="22"/>
                <w:szCs w:val="22"/>
              </w:rPr>
            </w:pPr>
            <w:r w:rsidRPr="00A76167">
              <w:rPr>
                <w:sz w:val="22"/>
                <w:szCs w:val="22"/>
              </w:rPr>
              <w:t xml:space="preserve">NHS OF 5.1 Deaths from venous thromboembolism (VTE) related events within 90 days post discharge from hospital </w:t>
            </w:r>
          </w:p>
          <w:p w14:paraId="73EFE174" w14:textId="77777777" w:rsidR="00D47EDC" w:rsidRPr="00A76167" w:rsidRDefault="00D47EDC" w:rsidP="00E65476">
            <w:pPr>
              <w:spacing w:before="240"/>
              <w:rPr>
                <w:sz w:val="22"/>
                <w:szCs w:val="22"/>
              </w:rPr>
            </w:pPr>
            <w:r w:rsidRPr="00A76167">
              <w:rPr>
                <w:sz w:val="22"/>
                <w:szCs w:val="22"/>
              </w:rPr>
              <w:t xml:space="preserve">NHS OF 5.2.ii Incidence of healthcare-associated infection - C. difficile </w:t>
            </w:r>
          </w:p>
          <w:p w14:paraId="54A904AB" w14:textId="77777777" w:rsidR="00D47EDC" w:rsidRPr="00A76167" w:rsidRDefault="00D47EDC" w:rsidP="00E65476">
            <w:pPr>
              <w:spacing w:before="240"/>
              <w:rPr>
                <w:sz w:val="22"/>
                <w:szCs w:val="22"/>
              </w:rPr>
            </w:pPr>
            <w:r w:rsidRPr="00A76167">
              <w:rPr>
                <w:sz w:val="22"/>
                <w:szCs w:val="22"/>
              </w:rPr>
              <w:t xml:space="preserve">NHS OF 5.6 Incidence of harm to children due to ‘failure to monitor’ (retired as of May-15) </w:t>
            </w:r>
          </w:p>
          <w:p w14:paraId="7324F2C1" w14:textId="77777777" w:rsidR="00D47EDC" w:rsidRPr="00A76167" w:rsidRDefault="00D47EDC" w:rsidP="00E65476">
            <w:pPr>
              <w:spacing w:before="240"/>
              <w:rPr>
                <w:sz w:val="22"/>
                <w:szCs w:val="22"/>
              </w:rPr>
            </w:pPr>
            <w:r w:rsidRPr="00A76167">
              <w:rPr>
                <w:sz w:val="22"/>
                <w:szCs w:val="22"/>
              </w:rPr>
              <w:t xml:space="preserve">NHS OF 5.2.i Incidence of healthcare-associated infection - MRSA </w:t>
            </w:r>
          </w:p>
          <w:p w14:paraId="6B81BFC3" w14:textId="77777777" w:rsidR="00D47EDC" w:rsidRPr="00A76167" w:rsidRDefault="00D47EDC" w:rsidP="00E65476">
            <w:pPr>
              <w:spacing w:before="240"/>
              <w:rPr>
                <w:sz w:val="22"/>
                <w:szCs w:val="22"/>
              </w:rPr>
            </w:pPr>
            <w:r w:rsidRPr="00A76167">
              <w:rPr>
                <w:sz w:val="22"/>
                <w:szCs w:val="22"/>
              </w:rPr>
              <w:t xml:space="preserve">CCG OIS 5.3 Incidence of Healthcare Associated Infection (HCAI) – Methicillin-resistant Staphylococcus aureus (MRSA) </w:t>
            </w:r>
          </w:p>
          <w:p w14:paraId="6BA67A06" w14:textId="77777777" w:rsidR="00D47EDC" w:rsidRPr="00A76167" w:rsidRDefault="00D47EDC" w:rsidP="00E65476">
            <w:pPr>
              <w:spacing w:before="240"/>
              <w:rPr>
                <w:sz w:val="22"/>
                <w:szCs w:val="22"/>
              </w:rPr>
            </w:pPr>
            <w:r w:rsidRPr="00A76167">
              <w:rPr>
                <w:sz w:val="22"/>
                <w:szCs w:val="22"/>
              </w:rPr>
              <w:t xml:space="preserve">CCG OIS 5.4 Incidence of Healthcare Associated Infection (HCAI) – C. difficile </w:t>
            </w:r>
          </w:p>
          <w:p w14:paraId="6CA41E74" w14:textId="77777777" w:rsidR="00D47EDC" w:rsidRPr="00A76167" w:rsidRDefault="00D47EDC" w:rsidP="00E65476">
            <w:pPr>
              <w:spacing w:before="240"/>
              <w:rPr>
                <w:sz w:val="22"/>
                <w:szCs w:val="22"/>
              </w:rPr>
            </w:pPr>
            <w:r w:rsidRPr="00A76167">
              <w:rPr>
                <w:sz w:val="22"/>
                <w:szCs w:val="22"/>
              </w:rPr>
              <w:t xml:space="preserve">Compendium NRLS 1 - Consistent reporting of patient safety events reported to the Reporting and Learning System (RLS) </w:t>
            </w:r>
          </w:p>
          <w:p w14:paraId="6F314618" w14:textId="77777777" w:rsidR="00D47EDC" w:rsidRPr="00A76167" w:rsidRDefault="00D47EDC" w:rsidP="00E65476">
            <w:pPr>
              <w:spacing w:before="240"/>
              <w:rPr>
                <w:sz w:val="22"/>
                <w:szCs w:val="22"/>
              </w:rPr>
            </w:pPr>
            <w:r w:rsidRPr="00A76167">
              <w:rPr>
                <w:sz w:val="22"/>
                <w:szCs w:val="22"/>
              </w:rPr>
              <w:t xml:space="preserve">Compendium NRLS 3 - Rate of patient safety events occurring in trusts that were submitted to the Reporting and Learning System (RLS) </w:t>
            </w:r>
          </w:p>
          <w:p w14:paraId="6C367CFD" w14:textId="505AED98" w:rsidR="00D47EDC" w:rsidRPr="00A76167" w:rsidRDefault="00D47EDC" w:rsidP="00E65476">
            <w:pPr>
              <w:spacing w:before="240"/>
              <w:rPr>
                <w:sz w:val="22"/>
                <w:szCs w:val="22"/>
              </w:rPr>
            </w:pPr>
            <w:r w:rsidRPr="00A76167">
              <w:rPr>
                <w:sz w:val="22"/>
                <w:szCs w:val="22"/>
              </w:rPr>
              <w:t>Compendium NRLS 2 - Timely reporting of patient safety events reported to the Reporting and Learning System (RLS)</w:t>
            </w:r>
          </w:p>
        </w:tc>
      </w:tr>
      <w:tr w:rsidR="00D47EDC" w:rsidRPr="00A76167" w14:paraId="6C367D06" w14:textId="77777777" w:rsidTr="00A76167">
        <w:tc>
          <w:tcPr>
            <w:tcW w:w="2224" w:type="dxa"/>
            <w:shd w:val="clear" w:color="auto" w:fill="auto"/>
          </w:tcPr>
          <w:p w14:paraId="6C367D04" w14:textId="7A0B3453" w:rsidR="00D47EDC" w:rsidRPr="00A76167" w:rsidRDefault="00D47EDC" w:rsidP="00772A5C">
            <w:pPr>
              <w:spacing w:before="240"/>
              <w:ind w:left="34"/>
              <w:rPr>
                <w:b/>
                <w:sz w:val="22"/>
                <w:szCs w:val="22"/>
              </w:rPr>
            </w:pPr>
            <w:permStart w:id="110306255" w:edGrp="everyone" w:colFirst="1" w:colLast="1"/>
            <w:permEnd w:id="1690532487"/>
            <w:r>
              <w:rPr>
                <w:b/>
                <w:sz w:val="22"/>
                <w:szCs w:val="22"/>
              </w:rPr>
              <w:t xml:space="preserve">6.2 </w:t>
            </w:r>
            <w:r w:rsidRPr="00A76167">
              <w:rPr>
                <w:b/>
                <w:sz w:val="22"/>
                <w:szCs w:val="22"/>
              </w:rPr>
              <w:t>Coherence and comparability</w:t>
            </w:r>
          </w:p>
        </w:tc>
        <w:tc>
          <w:tcPr>
            <w:tcW w:w="6718" w:type="dxa"/>
            <w:shd w:val="clear" w:color="auto" w:fill="auto"/>
          </w:tcPr>
          <w:p w14:paraId="6C367D05" w14:textId="34C2CEFE" w:rsidR="00D47EDC" w:rsidRPr="00A76167" w:rsidRDefault="00D47EDC" w:rsidP="00772A5C">
            <w:pPr>
              <w:spacing w:before="240"/>
              <w:rPr>
                <w:sz w:val="22"/>
                <w:szCs w:val="22"/>
              </w:rPr>
            </w:pPr>
            <w:r w:rsidRPr="00A76167">
              <w:rPr>
                <w:sz w:val="22"/>
                <w:szCs w:val="22"/>
              </w:rPr>
              <w:t xml:space="preserve">A similar indicator exists in the NHS Outcomes Framework, upon which this indicator is based. It provides quarterly counts of patient safety incidents at a national level and bi-annual counts at provider level - Indicator 5.6 Patient safety incidents reported (formerly indicators 5a, 5b and 5.4) is available on the HSCIC Indicator Portal:  </w:t>
            </w:r>
            <w:hyperlink r:id="rId17" w:history="1">
              <w:r w:rsidRPr="00A76167">
                <w:rPr>
                  <w:rStyle w:val="Hyperlink"/>
                  <w:rFonts w:ascii="Arial" w:hAnsi="Arial"/>
                  <w:color w:val="auto"/>
                  <w:sz w:val="22"/>
                  <w:szCs w:val="22"/>
                </w:rPr>
                <w:t>https://indicators.hscic.gov.uk/</w:t>
              </w:r>
            </w:hyperlink>
            <w:r w:rsidRPr="00A76167">
              <w:rPr>
                <w:sz w:val="22"/>
                <w:szCs w:val="22"/>
              </w:rPr>
              <w:t xml:space="preserve">. </w:t>
            </w:r>
          </w:p>
        </w:tc>
      </w:tr>
      <w:tr w:rsidR="00D47EDC" w:rsidRPr="00A76167" w14:paraId="6C367D0A" w14:textId="77777777" w:rsidTr="00A76167">
        <w:tc>
          <w:tcPr>
            <w:tcW w:w="2224" w:type="dxa"/>
            <w:shd w:val="clear" w:color="auto" w:fill="auto"/>
          </w:tcPr>
          <w:p w14:paraId="6C367D08" w14:textId="09CF81FB" w:rsidR="00D47EDC" w:rsidRPr="00A76167" w:rsidRDefault="00D47EDC" w:rsidP="00772A5C">
            <w:pPr>
              <w:spacing w:before="240"/>
              <w:ind w:left="34"/>
              <w:rPr>
                <w:b/>
                <w:sz w:val="22"/>
                <w:szCs w:val="22"/>
              </w:rPr>
            </w:pPr>
            <w:permStart w:id="1400335799" w:edGrp="everyone" w:colFirst="1" w:colLast="1"/>
            <w:permEnd w:id="110306255"/>
            <w:r>
              <w:rPr>
                <w:b/>
                <w:sz w:val="22"/>
                <w:szCs w:val="22"/>
              </w:rPr>
              <w:t xml:space="preserve">6.3 </w:t>
            </w:r>
            <w:r w:rsidRPr="00A76167">
              <w:rPr>
                <w:b/>
                <w:sz w:val="22"/>
                <w:szCs w:val="22"/>
              </w:rPr>
              <w:t>Undesired behaviours and/or gaming</w:t>
            </w:r>
          </w:p>
        </w:tc>
        <w:tc>
          <w:tcPr>
            <w:tcW w:w="6718" w:type="dxa"/>
            <w:shd w:val="clear" w:color="auto" w:fill="auto"/>
          </w:tcPr>
          <w:p w14:paraId="6C367D09" w14:textId="1516A83F" w:rsidR="00D47EDC" w:rsidRPr="00A76167" w:rsidRDefault="00D47EDC" w:rsidP="00772A5C">
            <w:pPr>
              <w:spacing w:before="240"/>
              <w:rPr>
                <w:sz w:val="22"/>
                <w:szCs w:val="22"/>
              </w:rPr>
            </w:pPr>
            <w:r w:rsidRPr="00A76167">
              <w:rPr>
                <w:sz w:val="22"/>
                <w:szCs w:val="22"/>
              </w:rPr>
              <w:t>It is only mandatory for providers to report incidents with a severe degree of harm or death; coding or recording incidents with a lower severity may occur to improve scores.</w:t>
            </w:r>
          </w:p>
        </w:tc>
      </w:tr>
      <w:tr w:rsidR="00D47EDC" w:rsidRPr="00A76167" w14:paraId="6C367D12" w14:textId="77777777" w:rsidTr="00A76167">
        <w:tc>
          <w:tcPr>
            <w:tcW w:w="2224" w:type="dxa"/>
            <w:shd w:val="clear" w:color="auto" w:fill="auto"/>
          </w:tcPr>
          <w:p w14:paraId="6C367D10" w14:textId="077E4CA9" w:rsidR="00D47EDC" w:rsidRPr="00A76167" w:rsidRDefault="00D47EDC" w:rsidP="00772A5C">
            <w:pPr>
              <w:spacing w:before="240"/>
              <w:ind w:left="34"/>
              <w:rPr>
                <w:b/>
                <w:sz w:val="22"/>
                <w:szCs w:val="22"/>
              </w:rPr>
            </w:pPr>
            <w:permStart w:id="1184378917" w:edGrp="everyone" w:colFirst="1" w:colLast="1"/>
            <w:permEnd w:id="1400335799"/>
            <w:r>
              <w:rPr>
                <w:b/>
                <w:sz w:val="22"/>
                <w:szCs w:val="22"/>
              </w:rPr>
              <w:t xml:space="preserve">6.4 </w:t>
            </w:r>
            <w:r w:rsidRPr="00A76167">
              <w:rPr>
                <w:b/>
                <w:sz w:val="22"/>
                <w:szCs w:val="22"/>
              </w:rPr>
              <w:t>Approach to indicator review</w:t>
            </w:r>
          </w:p>
        </w:tc>
        <w:tc>
          <w:tcPr>
            <w:tcW w:w="6718" w:type="dxa"/>
            <w:shd w:val="clear" w:color="auto" w:fill="auto"/>
          </w:tcPr>
          <w:p w14:paraId="5779D9C8" w14:textId="77777777" w:rsidR="00D47EDC" w:rsidRPr="00A76167" w:rsidRDefault="00D47EDC" w:rsidP="00956B08">
            <w:pPr>
              <w:spacing w:before="240"/>
              <w:rPr>
                <w:sz w:val="22"/>
                <w:szCs w:val="22"/>
              </w:rPr>
            </w:pPr>
            <w:r w:rsidRPr="00A76167">
              <w:rPr>
                <w:sz w:val="22"/>
                <w:szCs w:val="22"/>
              </w:rPr>
              <w:t>NHS England performs an annual review of the CCG OIS and release a summary of all indicators with any retirements, additions and changes.</w:t>
            </w:r>
          </w:p>
          <w:p w14:paraId="6C367D11" w14:textId="5031DA3A" w:rsidR="00D47EDC" w:rsidRPr="00A76167" w:rsidRDefault="00706C33" w:rsidP="00956B08">
            <w:pPr>
              <w:spacing w:before="240"/>
              <w:rPr>
                <w:sz w:val="22"/>
                <w:szCs w:val="22"/>
              </w:rPr>
            </w:pPr>
            <w:hyperlink r:id="rId18" w:history="1">
              <w:r w:rsidR="00D47EDC" w:rsidRPr="00A76167">
                <w:rPr>
                  <w:rStyle w:val="Hyperlink"/>
                  <w:rFonts w:ascii="Arial" w:hAnsi="Arial"/>
                  <w:color w:val="auto"/>
                  <w:sz w:val="22"/>
                  <w:szCs w:val="22"/>
                </w:rPr>
                <w:t>https://www.england.nhs.uk/resources/resources-for-ccgs/ccg-out-tool/ccg-ois/</w:t>
              </w:r>
            </w:hyperlink>
            <w:r w:rsidR="00D47EDC" w:rsidRPr="00A76167">
              <w:rPr>
                <w:sz w:val="22"/>
                <w:szCs w:val="22"/>
              </w:rPr>
              <w:t xml:space="preserve"> </w:t>
            </w:r>
          </w:p>
        </w:tc>
      </w:tr>
      <w:tr w:rsidR="00D47EDC" w:rsidRPr="00A76167" w14:paraId="6C367D16" w14:textId="77777777" w:rsidTr="00A76167">
        <w:tc>
          <w:tcPr>
            <w:tcW w:w="2224" w:type="dxa"/>
            <w:shd w:val="clear" w:color="auto" w:fill="auto"/>
          </w:tcPr>
          <w:p w14:paraId="6C367D14" w14:textId="1681E955" w:rsidR="00D47EDC" w:rsidRPr="00A76167" w:rsidRDefault="00D47EDC" w:rsidP="00772A5C">
            <w:pPr>
              <w:spacing w:before="240"/>
              <w:ind w:left="34"/>
              <w:rPr>
                <w:b/>
                <w:sz w:val="22"/>
                <w:szCs w:val="22"/>
              </w:rPr>
            </w:pPr>
            <w:permStart w:id="1549956980" w:edGrp="everyone" w:colFirst="1" w:colLast="1"/>
            <w:permEnd w:id="1184378917"/>
            <w:r>
              <w:rPr>
                <w:b/>
                <w:sz w:val="22"/>
                <w:szCs w:val="22"/>
              </w:rPr>
              <w:lastRenderedPageBreak/>
              <w:t xml:space="preserve">6.5 </w:t>
            </w:r>
            <w:r w:rsidRPr="00A76167">
              <w:rPr>
                <w:b/>
                <w:sz w:val="22"/>
                <w:szCs w:val="22"/>
              </w:rPr>
              <w:t>Disclosure control</w:t>
            </w:r>
          </w:p>
        </w:tc>
        <w:tc>
          <w:tcPr>
            <w:tcW w:w="6718" w:type="dxa"/>
            <w:shd w:val="clear" w:color="auto" w:fill="auto"/>
          </w:tcPr>
          <w:p w14:paraId="6C367D15" w14:textId="1081DFCC" w:rsidR="00D47EDC" w:rsidRPr="00A76167" w:rsidRDefault="00D47EDC" w:rsidP="00772A5C">
            <w:pPr>
              <w:spacing w:before="240"/>
              <w:rPr>
                <w:sz w:val="22"/>
                <w:szCs w:val="22"/>
              </w:rPr>
            </w:pPr>
            <w:r w:rsidRPr="00A76167">
              <w:rPr>
                <w:sz w:val="22"/>
                <w:szCs w:val="22"/>
              </w:rPr>
              <w:t>Rates are rounded to one decimal place before publication.</w:t>
            </w:r>
          </w:p>
        </w:tc>
      </w:tr>
      <w:permEnd w:id="1549956980"/>
    </w:tbl>
    <w:p w14:paraId="6C367D21" w14:textId="1CA3A7A0" w:rsidR="00E65476" w:rsidRPr="00A76167" w:rsidRDefault="00E65476" w:rsidP="001D243C">
      <w:pPr>
        <w:rPr>
          <w:rFonts w:cs="Arial"/>
          <w:sz w:val="22"/>
          <w:szCs w:val="22"/>
        </w:rPr>
      </w:pPr>
    </w:p>
    <w:p w14:paraId="1DBAA6F4" w14:textId="5A8E5531" w:rsidR="00A76167" w:rsidRPr="00A76167" w:rsidRDefault="00E65476" w:rsidP="00CA5EBD">
      <w:pPr>
        <w:spacing w:after="0"/>
        <w:textboxTightWrap w:val="none"/>
        <w:rPr>
          <w:rFonts w:cs="Arial"/>
          <w:b/>
          <w:sz w:val="22"/>
          <w:szCs w:val="22"/>
        </w:rPr>
      </w:pPr>
      <w:r w:rsidRPr="00A76167">
        <w:rPr>
          <w:rFonts w:cs="Arial"/>
          <w:sz w:val="22"/>
          <w:szCs w:val="22"/>
        </w:rPr>
        <w:br w:type="page"/>
      </w:r>
      <w:r w:rsidRPr="00A76167">
        <w:rPr>
          <w:rFonts w:cs="Arial"/>
          <w:b/>
          <w:sz w:val="22"/>
          <w:szCs w:val="22"/>
        </w:rPr>
        <w:lastRenderedPageBreak/>
        <w:t>Appendix</w:t>
      </w:r>
    </w:p>
    <w:p w14:paraId="5075230C" w14:textId="192144EE" w:rsidR="00E65476" w:rsidRPr="00A76167" w:rsidRDefault="00E65476" w:rsidP="001D243C">
      <w:pPr>
        <w:rPr>
          <w:rFonts w:cs="Arial"/>
          <w:b/>
          <w:sz w:val="22"/>
          <w:szCs w:val="22"/>
        </w:rPr>
      </w:pPr>
      <w:r w:rsidRPr="00A76167">
        <w:rPr>
          <w:rFonts w:cs="Arial"/>
          <w:b/>
          <w:sz w:val="22"/>
          <w:szCs w:val="22"/>
        </w:rPr>
        <w:t>Old DQ section</w:t>
      </w:r>
    </w:p>
    <w:p w14:paraId="6CBC5E3B" w14:textId="77777777" w:rsidR="00E65476" w:rsidRPr="00A76167" w:rsidRDefault="00E65476" w:rsidP="00E65476">
      <w:pPr>
        <w:spacing w:before="240"/>
        <w:rPr>
          <w:rFonts w:cs="Arial"/>
          <w:sz w:val="22"/>
          <w:szCs w:val="22"/>
        </w:rPr>
      </w:pPr>
      <w:r w:rsidRPr="00A76167">
        <w:rPr>
          <w:rFonts w:cs="Arial"/>
          <w:sz w:val="22"/>
          <w:szCs w:val="22"/>
        </w:rPr>
        <w:t>With regards to the NRLS, there is no ‘correct’ or ‘safe’ number of patient safety incidents</w:t>
      </w:r>
    </w:p>
    <w:p w14:paraId="1177EB95" w14:textId="77777777" w:rsidR="00E65476" w:rsidRPr="00A76167" w:rsidRDefault="00E65476" w:rsidP="00E65476">
      <w:pPr>
        <w:spacing w:before="240"/>
        <w:rPr>
          <w:rFonts w:cs="Arial"/>
          <w:sz w:val="22"/>
          <w:szCs w:val="22"/>
        </w:rPr>
      </w:pPr>
      <w:r w:rsidRPr="00A76167">
        <w:rPr>
          <w:rFonts w:cs="Arial"/>
          <w:sz w:val="22"/>
          <w:szCs w:val="22"/>
        </w:rPr>
        <w:t>There are known reasons for ‘high’ and ‘low’ reporting. Some organisations report daily, others quarterly. In many cases, incidents are grouped and sent to the NRLS in large batches. It should never be assumed that the total numbers of patient safety incidents are representative of totals across the NHS. The reporting culture varies between organisation types: reporting in secondary care is far more common than in primary care; ambulance and mental health organisations have the most varied reporting patterns. Even in acute care, it has been estimated that anything between 22% and 83% of incidents go un-reported locally.  It has also been suggested that specific incident types are under-reported (in particular medication incidents in primary care).</w:t>
      </w:r>
    </w:p>
    <w:p w14:paraId="4095670E" w14:textId="77777777" w:rsidR="00E65476" w:rsidRPr="00A76167" w:rsidRDefault="00E65476" w:rsidP="00E65476">
      <w:pPr>
        <w:spacing w:before="240"/>
        <w:rPr>
          <w:rFonts w:cs="Arial"/>
          <w:sz w:val="22"/>
          <w:szCs w:val="22"/>
        </w:rPr>
      </w:pPr>
      <w:r w:rsidRPr="00A76167">
        <w:rPr>
          <w:rFonts w:cs="Arial"/>
          <w:sz w:val="22"/>
          <w:szCs w:val="22"/>
        </w:rPr>
        <w:t>‘Low’ reporting</w:t>
      </w:r>
    </w:p>
    <w:p w14:paraId="3E9F5934" w14:textId="77777777" w:rsidR="00E65476" w:rsidRPr="00A76167" w:rsidRDefault="00E65476" w:rsidP="00E65476">
      <w:pPr>
        <w:spacing w:before="240"/>
        <w:rPr>
          <w:rFonts w:cs="Arial"/>
          <w:sz w:val="22"/>
          <w:szCs w:val="22"/>
        </w:rPr>
      </w:pPr>
      <w:r w:rsidRPr="00A76167">
        <w:rPr>
          <w:rFonts w:cs="Arial"/>
          <w:sz w:val="22"/>
          <w:szCs w:val="22"/>
        </w:rPr>
        <w:t>Under-reporting of patient safety incidents at a local level is a well-recognised issue. Over 99% of patient safety incidents are reported to the NRLS by local organisations uploading incidents from their local risk management systems. (The upload process is via a secure website).Therefore, this potential source of bias will be embedded into the subsequent reporting to the NRLS.</w:t>
      </w:r>
    </w:p>
    <w:p w14:paraId="022E06EC" w14:textId="68743788" w:rsidR="00E65476" w:rsidRPr="00A76167" w:rsidRDefault="00E65476" w:rsidP="00E65476">
      <w:pPr>
        <w:spacing w:before="240"/>
        <w:rPr>
          <w:rFonts w:cs="Arial"/>
          <w:sz w:val="22"/>
          <w:szCs w:val="22"/>
        </w:rPr>
      </w:pPr>
      <w:r w:rsidRPr="00A76167">
        <w:rPr>
          <w:rFonts w:cs="Arial"/>
          <w:sz w:val="22"/>
          <w:szCs w:val="22"/>
        </w:rPr>
        <w:t xml:space="preserve">A ‘low’ reporting rate should not be interpreted as a ‘safe’ </w:t>
      </w:r>
      <w:r w:rsidR="0021513E" w:rsidRPr="00A76167">
        <w:rPr>
          <w:rFonts w:cs="Arial"/>
          <w:sz w:val="22"/>
          <w:szCs w:val="22"/>
        </w:rPr>
        <w:t>organisation and</w:t>
      </w:r>
      <w:r w:rsidRPr="00A76167">
        <w:rPr>
          <w:rFonts w:cs="Arial"/>
          <w:sz w:val="22"/>
          <w:szCs w:val="22"/>
        </w:rPr>
        <w:t xml:space="preserve"> may represent under-reporting.</w:t>
      </w:r>
    </w:p>
    <w:p w14:paraId="3ACC35D8" w14:textId="77777777" w:rsidR="00E65476" w:rsidRPr="00A76167" w:rsidRDefault="00E65476" w:rsidP="00E65476">
      <w:pPr>
        <w:spacing w:before="240"/>
        <w:rPr>
          <w:rFonts w:cs="Arial"/>
          <w:sz w:val="22"/>
          <w:szCs w:val="22"/>
        </w:rPr>
      </w:pPr>
      <w:r w:rsidRPr="00A76167">
        <w:rPr>
          <w:rFonts w:cs="Arial"/>
          <w:sz w:val="22"/>
          <w:szCs w:val="22"/>
        </w:rPr>
        <w:t>‘High’ reporting</w:t>
      </w:r>
    </w:p>
    <w:p w14:paraId="473A7C75" w14:textId="77777777" w:rsidR="00E65476" w:rsidRPr="00A76167" w:rsidRDefault="00E65476" w:rsidP="00E65476">
      <w:pPr>
        <w:spacing w:before="240"/>
        <w:rPr>
          <w:rFonts w:cs="Arial"/>
          <w:sz w:val="22"/>
          <w:szCs w:val="22"/>
        </w:rPr>
      </w:pPr>
      <w:r w:rsidRPr="00A76167">
        <w:rPr>
          <w:rFonts w:cs="Arial"/>
          <w:sz w:val="22"/>
          <w:szCs w:val="22"/>
        </w:rPr>
        <w:t>Experience in other industries has shown that as an organisation’s reporting culture matures, staff become more likely to report incidents. (Even in ‘high’ reporting organisations, there may still be some degree of under-reporting.)</w:t>
      </w:r>
    </w:p>
    <w:p w14:paraId="29C56EF2" w14:textId="77777777" w:rsidR="00E65476" w:rsidRPr="00A76167" w:rsidRDefault="00E65476" w:rsidP="00E65476">
      <w:pPr>
        <w:spacing w:before="240"/>
        <w:rPr>
          <w:rFonts w:cs="Arial"/>
          <w:sz w:val="22"/>
          <w:szCs w:val="22"/>
        </w:rPr>
      </w:pPr>
      <w:r w:rsidRPr="00A76167">
        <w:rPr>
          <w:rFonts w:cs="Arial"/>
          <w:sz w:val="22"/>
          <w:szCs w:val="22"/>
        </w:rPr>
        <w:t>Organisations’ local risk management systems are often used for a number of reasons and not just for recording patient safety incidents. Sometimes incidents are inappropriately reported to the NRLS. There is a formal process in place for organisations to request that incidents be ‘deleted’, i.e. removed from the analytical layer of the NRLS database, in very specific circumstances.</w:t>
      </w:r>
    </w:p>
    <w:p w14:paraId="163DF69C" w14:textId="42652B47" w:rsidR="00E65476" w:rsidRPr="00A76167" w:rsidRDefault="00E65476" w:rsidP="00E65476">
      <w:pPr>
        <w:spacing w:before="240"/>
        <w:rPr>
          <w:rFonts w:cs="Arial"/>
          <w:sz w:val="22"/>
          <w:szCs w:val="22"/>
        </w:rPr>
      </w:pPr>
      <w:r w:rsidRPr="00A76167">
        <w:rPr>
          <w:rFonts w:cs="Arial"/>
          <w:sz w:val="22"/>
          <w:szCs w:val="22"/>
        </w:rPr>
        <w:t xml:space="preserve">A ‘high’ reporting rate should not be interpreted as an ‘unsafe’ </w:t>
      </w:r>
      <w:r w:rsidR="0021513E" w:rsidRPr="00A76167">
        <w:rPr>
          <w:rFonts w:cs="Arial"/>
          <w:sz w:val="22"/>
          <w:szCs w:val="22"/>
        </w:rPr>
        <w:t>organisation and</w:t>
      </w:r>
      <w:r w:rsidRPr="00A76167">
        <w:rPr>
          <w:rFonts w:cs="Arial"/>
          <w:sz w:val="22"/>
          <w:szCs w:val="22"/>
        </w:rPr>
        <w:t xml:space="preserve"> may actually represent a culture of greater openness.</w:t>
      </w:r>
    </w:p>
    <w:p w14:paraId="622A7717" w14:textId="77777777" w:rsidR="00E65476" w:rsidRPr="00A76167" w:rsidRDefault="00E65476" w:rsidP="00E65476">
      <w:pPr>
        <w:spacing w:before="240"/>
        <w:rPr>
          <w:rFonts w:cs="Arial"/>
          <w:sz w:val="22"/>
          <w:szCs w:val="22"/>
        </w:rPr>
      </w:pPr>
      <w:r w:rsidRPr="00A76167">
        <w:rPr>
          <w:rFonts w:cs="Arial"/>
          <w:sz w:val="22"/>
          <w:szCs w:val="22"/>
        </w:rPr>
        <w:t>Patient safety incidents reported to the NRLS are simply just that – incidents reported to the NRLS. They should not be presented as the number of incidents actually occurring in an organisation, especially as sometimes organisations fail to meet the NRLS submission deadlines</w:t>
      </w:r>
      <w:r w:rsidRPr="00A76167">
        <w:rPr>
          <w:rStyle w:val="FootnoteReference"/>
          <w:rFonts w:cs="Arial"/>
          <w:sz w:val="22"/>
          <w:szCs w:val="22"/>
        </w:rPr>
        <w:footnoteReference w:id="5"/>
      </w:r>
      <w:r w:rsidRPr="00A76167">
        <w:rPr>
          <w:rFonts w:cs="Arial"/>
          <w:sz w:val="22"/>
          <w:szCs w:val="22"/>
        </w:rPr>
        <w:t xml:space="preserve"> which can result in gaps in coverage.</w:t>
      </w:r>
    </w:p>
    <w:p w14:paraId="1227A4F2" w14:textId="54DC965F" w:rsidR="00E65476" w:rsidRPr="00A76167" w:rsidRDefault="00E65476" w:rsidP="00E65476">
      <w:pPr>
        <w:spacing w:before="240"/>
        <w:rPr>
          <w:rFonts w:cs="Arial"/>
          <w:sz w:val="22"/>
          <w:szCs w:val="22"/>
        </w:rPr>
      </w:pPr>
      <w:r w:rsidRPr="00A76167">
        <w:rPr>
          <w:rFonts w:cs="Arial"/>
          <w:sz w:val="22"/>
          <w:szCs w:val="22"/>
        </w:rPr>
        <w:t xml:space="preserve">The NRLS is a dynamic reporting system, and the number of incidents reported as occurring at any point in time may increase as more incidents are reported. Experience in other industries has shown that as an organisation’s reporting culture matures, staff become more likely to report incidents. Therefore, an increase in incident reporting should not be taken as an indication of worsening of </w:t>
      </w:r>
      <w:r w:rsidRPr="00A76167">
        <w:rPr>
          <w:rFonts w:cs="Arial"/>
          <w:sz w:val="22"/>
          <w:szCs w:val="22"/>
        </w:rPr>
        <w:lastRenderedPageBreak/>
        <w:t xml:space="preserve">patient </w:t>
      </w:r>
      <w:r w:rsidR="0021513E" w:rsidRPr="00A76167">
        <w:rPr>
          <w:rFonts w:cs="Arial"/>
          <w:sz w:val="22"/>
          <w:szCs w:val="22"/>
        </w:rPr>
        <w:t>safety but</w:t>
      </w:r>
      <w:r w:rsidRPr="00A76167">
        <w:rPr>
          <w:rFonts w:cs="Arial"/>
          <w:sz w:val="22"/>
          <w:szCs w:val="22"/>
        </w:rPr>
        <w:t xml:space="preserve"> may represent an increasing level of awareness of safety issues amongst healthcare professionals and a more open and transparent culture across the organisation.</w:t>
      </w:r>
    </w:p>
    <w:p w14:paraId="15EF877F" w14:textId="77777777" w:rsidR="00E65476" w:rsidRPr="00A76167" w:rsidRDefault="00E65476" w:rsidP="00E65476">
      <w:pPr>
        <w:spacing w:before="240"/>
        <w:rPr>
          <w:rFonts w:cs="Arial"/>
          <w:sz w:val="22"/>
          <w:szCs w:val="22"/>
        </w:rPr>
      </w:pPr>
      <w:r w:rsidRPr="00A76167">
        <w:rPr>
          <w:rFonts w:cs="Arial"/>
          <w:sz w:val="22"/>
          <w:szCs w:val="22"/>
        </w:rPr>
        <w:t>The quality of the data submitted to the NRLS relies on three things:</w:t>
      </w:r>
    </w:p>
    <w:p w14:paraId="212DD3BA" w14:textId="5E111EC8" w:rsidR="00E65476" w:rsidRPr="00A76167" w:rsidRDefault="00E65476" w:rsidP="00E65476">
      <w:pPr>
        <w:spacing w:before="240"/>
        <w:rPr>
          <w:rFonts w:cs="Arial"/>
          <w:sz w:val="22"/>
          <w:szCs w:val="22"/>
        </w:rPr>
      </w:pPr>
      <w:r w:rsidRPr="00A76167">
        <w:rPr>
          <w:rFonts w:cs="Arial"/>
          <w:sz w:val="22"/>
          <w:szCs w:val="22"/>
        </w:rPr>
        <w:t xml:space="preserve">• the incident being recognised as a patient safety </w:t>
      </w:r>
      <w:r w:rsidR="0021513E" w:rsidRPr="00A76167">
        <w:rPr>
          <w:rFonts w:cs="Arial"/>
          <w:sz w:val="22"/>
          <w:szCs w:val="22"/>
        </w:rPr>
        <w:t>incident.</w:t>
      </w:r>
    </w:p>
    <w:p w14:paraId="76205012" w14:textId="77777777" w:rsidR="00E65476" w:rsidRPr="00A76167" w:rsidRDefault="00E65476" w:rsidP="00E65476">
      <w:pPr>
        <w:spacing w:before="240"/>
        <w:rPr>
          <w:rFonts w:cs="Arial"/>
          <w:sz w:val="22"/>
          <w:szCs w:val="22"/>
        </w:rPr>
      </w:pPr>
      <w:r w:rsidRPr="00A76167">
        <w:rPr>
          <w:rFonts w:cs="Arial"/>
          <w:sz w:val="22"/>
          <w:szCs w:val="22"/>
        </w:rPr>
        <w:t>• sufficient detail being documented in the patient’s notes; and</w:t>
      </w:r>
    </w:p>
    <w:p w14:paraId="50ACCA02" w14:textId="77777777" w:rsidR="00E65476" w:rsidRPr="00A76167" w:rsidRDefault="00E65476" w:rsidP="00E65476">
      <w:pPr>
        <w:spacing w:before="240"/>
        <w:rPr>
          <w:rFonts w:cs="Arial"/>
          <w:sz w:val="22"/>
          <w:szCs w:val="22"/>
        </w:rPr>
      </w:pPr>
      <w:r w:rsidRPr="00A76167">
        <w:rPr>
          <w:rFonts w:cs="Arial"/>
          <w:sz w:val="22"/>
          <w:szCs w:val="22"/>
        </w:rPr>
        <w:t>• adequate and consistent coding in the local risk management system prior to uploading to the NRLS.</w:t>
      </w:r>
    </w:p>
    <w:p w14:paraId="0FCE9827" w14:textId="77777777" w:rsidR="00E65476" w:rsidRPr="00A76167" w:rsidRDefault="00E65476" w:rsidP="00E65476">
      <w:pPr>
        <w:spacing w:before="240"/>
        <w:rPr>
          <w:rFonts w:cs="Arial"/>
          <w:sz w:val="22"/>
          <w:szCs w:val="22"/>
        </w:rPr>
      </w:pPr>
      <w:r w:rsidRPr="00A76167">
        <w:rPr>
          <w:rFonts w:cs="Arial"/>
          <w:sz w:val="22"/>
          <w:szCs w:val="22"/>
        </w:rPr>
        <w:t>3</w:t>
      </w:r>
    </w:p>
    <w:p w14:paraId="03AFD974" w14:textId="77777777" w:rsidR="00E65476" w:rsidRPr="00A76167" w:rsidRDefault="00E65476" w:rsidP="00E65476">
      <w:pPr>
        <w:spacing w:before="240"/>
        <w:rPr>
          <w:rFonts w:cs="Arial"/>
          <w:sz w:val="22"/>
          <w:szCs w:val="22"/>
        </w:rPr>
      </w:pPr>
      <w:r w:rsidRPr="00A76167">
        <w:rPr>
          <w:rFonts w:cs="Arial"/>
          <w:sz w:val="22"/>
          <w:szCs w:val="22"/>
        </w:rPr>
        <w:t>The degree of harm in the NRLS is intended to record the actual degree of harm suffered by the patient as a direct result of the patient safety incident. However, this is not always the case.</w:t>
      </w:r>
    </w:p>
    <w:p w14:paraId="0C35DCFC" w14:textId="77777777" w:rsidR="00E65476" w:rsidRPr="00A76167" w:rsidRDefault="00E65476" w:rsidP="00E65476">
      <w:pPr>
        <w:spacing w:before="240"/>
        <w:rPr>
          <w:rFonts w:cs="Arial"/>
          <w:sz w:val="22"/>
          <w:szCs w:val="22"/>
        </w:rPr>
      </w:pPr>
      <w:r w:rsidRPr="00A76167">
        <w:rPr>
          <w:rFonts w:cs="Arial"/>
          <w:sz w:val="22"/>
          <w:szCs w:val="22"/>
        </w:rPr>
        <w:t>Sometimes reporters provide the potential degree of harm of an incident instead of the actual degree of harm that occurred. For example, in the case of ‘near misses’ (where no harm resulted as the impact was prevented) the resulting degree of harm is occasionally coded as ‘severe’.</w:t>
      </w:r>
    </w:p>
    <w:p w14:paraId="096B589C" w14:textId="77777777" w:rsidR="00E65476" w:rsidRPr="00A76167" w:rsidRDefault="00E65476" w:rsidP="00E65476">
      <w:pPr>
        <w:spacing w:before="240"/>
        <w:rPr>
          <w:rFonts w:cs="Arial"/>
          <w:sz w:val="22"/>
          <w:szCs w:val="22"/>
        </w:rPr>
      </w:pPr>
      <w:r w:rsidRPr="00A76167">
        <w:rPr>
          <w:rFonts w:cs="Arial"/>
          <w:sz w:val="22"/>
          <w:szCs w:val="22"/>
        </w:rPr>
        <w:t>Reporters may code the degree of harm as ‘severe’ when the patient is expected to suffer severe but temporary harm (for example, severe bruising), instead of the NRLS definition of significant and permanent harm.</w:t>
      </w:r>
    </w:p>
    <w:p w14:paraId="763320D3" w14:textId="77777777" w:rsidR="00E65476" w:rsidRPr="00A76167" w:rsidRDefault="00E65476" w:rsidP="00E65476">
      <w:pPr>
        <w:spacing w:before="240"/>
        <w:rPr>
          <w:rFonts w:cs="Arial"/>
          <w:sz w:val="22"/>
          <w:szCs w:val="22"/>
        </w:rPr>
      </w:pPr>
      <w:r w:rsidRPr="00A76167">
        <w:rPr>
          <w:rFonts w:cs="Arial"/>
          <w:sz w:val="22"/>
          <w:szCs w:val="22"/>
        </w:rPr>
        <w:t>A report on Patient Safety by the House of Commons Health Committee refers to earlier work showing that “incidents leading to serious harm were among the least likely to be reported”.</w:t>
      </w:r>
    </w:p>
    <w:p w14:paraId="227F3BC9" w14:textId="77777777" w:rsidR="00E65476" w:rsidRPr="00A76167" w:rsidRDefault="00E65476" w:rsidP="00E65476">
      <w:pPr>
        <w:spacing w:before="240"/>
        <w:rPr>
          <w:rFonts w:cs="Arial"/>
          <w:sz w:val="22"/>
          <w:szCs w:val="22"/>
        </w:rPr>
      </w:pPr>
      <w:r w:rsidRPr="00A76167">
        <w:rPr>
          <w:rFonts w:cs="Arial"/>
          <w:sz w:val="22"/>
          <w:szCs w:val="22"/>
        </w:rPr>
        <w:t>As organisations use their local risk management systems for a number of purposes, some incidents that are reported to the NRLS are not patient safety incidents, and this can also confound this data.</w:t>
      </w:r>
    </w:p>
    <w:p w14:paraId="06254E89" w14:textId="77777777" w:rsidR="00E65476" w:rsidRPr="00A76167" w:rsidRDefault="00E65476" w:rsidP="00E65476">
      <w:pPr>
        <w:spacing w:before="240"/>
        <w:rPr>
          <w:rFonts w:cs="Arial"/>
          <w:sz w:val="22"/>
          <w:szCs w:val="22"/>
        </w:rPr>
      </w:pPr>
      <w:r w:rsidRPr="00A76167">
        <w:rPr>
          <w:rFonts w:cs="Arial"/>
          <w:sz w:val="22"/>
          <w:szCs w:val="22"/>
        </w:rPr>
        <w:t>There are known delays in reporting to the NRLS – the time lag between the incident occurring to the incident being reported to the NRLS</w:t>
      </w:r>
    </w:p>
    <w:p w14:paraId="6042A04E" w14:textId="77777777" w:rsidR="00E65476" w:rsidRPr="00A76167" w:rsidRDefault="00E65476" w:rsidP="00E65476">
      <w:pPr>
        <w:spacing w:before="240"/>
        <w:rPr>
          <w:rFonts w:cs="Arial"/>
          <w:sz w:val="22"/>
          <w:szCs w:val="22"/>
        </w:rPr>
      </w:pPr>
      <w:r w:rsidRPr="00A76167">
        <w:rPr>
          <w:rFonts w:cs="Arial"/>
          <w:sz w:val="22"/>
          <w:szCs w:val="22"/>
        </w:rPr>
        <w:t>Organisations are encouraged to report patient safety incidents to the NRLS at least once a month, and the CQC guidance for the reporting of serious incidents recommends reporting “without delay”.</w:t>
      </w:r>
    </w:p>
    <w:p w14:paraId="770CB590" w14:textId="372B5DE5" w:rsidR="00E65476" w:rsidRPr="00A76167" w:rsidRDefault="00E65476" w:rsidP="00E65476">
      <w:pPr>
        <w:spacing w:before="240"/>
        <w:rPr>
          <w:rFonts w:cs="Arial"/>
          <w:sz w:val="22"/>
          <w:szCs w:val="22"/>
        </w:rPr>
      </w:pPr>
      <w:r w:rsidRPr="00A76167">
        <w:rPr>
          <w:rFonts w:cs="Arial"/>
          <w:sz w:val="22"/>
          <w:szCs w:val="22"/>
        </w:rPr>
        <w:t xml:space="preserve">However, in practice there is a delay between an incident occurring and it being reported to the NRLS. The NRLS team monitor the average (median) number of days delay for both serious incidents and all </w:t>
      </w:r>
      <w:r w:rsidR="0021513E" w:rsidRPr="00A76167">
        <w:rPr>
          <w:rFonts w:cs="Arial"/>
          <w:sz w:val="22"/>
          <w:szCs w:val="22"/>
        </w:rPr>
        <w:t>incidents and</w:t>
      </w:r>
      <w:r w:rsidRPr="00A76167">
        <w:rPr>
          <w:rFonts w:cs="Arial"/>
          <w:sz w:val="22"/>
          <w:szCs w:val="22"/>
        </w:rPr>
        <w:t xml:space="preserve"> feed these data back to NHS organisations. Every month, provisional data are shared back with the submitting organisation to help identify possible data quality problems with data uploaded to the NRLS. This gives organisations the opportunity to check the data that the NRLS has received and compare them with data in their local risk management system. Detailed guidance on what to look for and known reporting issues is given in an online FAQ document, along with the option to contact the Patient Safety Reporting Leads for further support if needed.</w:t>
      </w:r>
    </w:p>
    <w:p w14:paraId="3D9E3E5D" w14:textId="77777777" w:rsidR="00E65476" w:rsidRPr="00A76167" w:rsidRDefault="00E65476" w:rsidP="00E65476">
      <w:pPr>
        <w:spacing w:before="240"/>
        <w:rPr>
          <w:rFonts w:cs="Arial"/>
          <w:sz w:val="22"/>
          <w:szCs w:val="22"/>
        </w:rPr>
      </w:pPr>
      <w:r w:rsidRPr="00A76167">
        <w:rPr>
          <w:rFonts w:cs="Arial"/>
          <w:sz w:val="22"/>
          <w:szCs w:val="22"/>
        </w:rPr>
        <w:t>As this delay is well known, the NRLS always allow a minimum of two months lag in defining the ‘Occurring Dataset’ (the data set used to analyse patient safety incident characteristics, based on the date the incident is reported to have actually occurred, rather than the date that the incident was reported to the NRLS).</w:t>
      </w:r>
    </w:p>
    <w:p w14:paraId="7ACB4295" w14:textId="77777777" w:rsidR="00E65476" w:rsidRPr="00A76167" w:rsidRDefault="00E65476" w:rsidP="00E65476">
      <w:pPr>
        <w:spacing w:before="240"/>
        <w:rPr>
          <w:rFonts w:cs="Arial"/>
          <w:sz w:val="22"/>
          <w:szCs w:val="22"/>
        </w:rPr>
      </w:pPr>
      <w:r w:rsidRPr="00A76167">
        <w:rPr>
          <w:rFonts w:cs="Arial"/>
          <w:sz w:val="22"/>
          <w:szCs w:val="22"/>
        </w:rPr>
        <w:t>Since October 2014, the documentation has been increased and improved in order to be much clearer about the context, interpretation, scope, methods, reasoning, and known quality issues of the data.</w:t>
      </w:r>
    </w:p>
    <w:p w14:paraId="62C6554C" w14:textId="77777777" w:rsidR="00E65476" w:rsidRPr="00A76167" w:rsidRDefault="00E65476" w:rsidP="00E65476">
      <w:pPr>
        <w:spacing w:before="240"/>
        <w:rPr>
          <w:rFonts w:cs="Arial"/>
          <w:sz w:val="22"/>
          <w:szCs w:val="22"/>
        </w:rPr>
      </w:pPr>
      <w:r w:rsidRPr="00A76167">
        <w:rPr>
          <w:rFonts w:cs="Arial"/>
          <w:sz w:val="22"/>
          <w:szCs w:val="22"/>
        </w:rPr>
        <w:lastRenderedPageBreak/>
        <w:t>All NRLS releases are now accompanied by a range of documentation in order to support user(s) by providing a commentary on trends and changes. Background information is also provided to help clarify the context of the data, and the limitations in the use of the data are explicitly documented.</w:t>
      </w:r>
    </w:p>
    <w:p w14:paraId="6DC33885" w14:textId="77777777" w:rsidR="00E65476" w:rsidRPr="00A76167" w:rsidRDefault="00E65476" w:rsidP="00E65476">
      <w:pPr>
        <w:spacing w:before="240"/>
        <w:rPr>
          <w:rFonts w:cs="Arial"/>
          <w:sz w:val="22"/>
          <w:szCs w:val="22"/>
        </w:rPr>
      </w:pPr>
      <w:r w:rsidRPr="00A76167">
        <w:rPr>
          <w:rFonts w:cs="Arial"/>
          <w:sz w:val="22"/>
          <w:szCs w:val="22"/>
        </w:rPr>
        <w:t>When comparing NRLS data across time periods, it is important to compare data to the same time period in the previous year(s). This is to take into account known ‘seasonality’ in the data. (Seasonality is due to the fact that patterns, variations and fluctuations in patient safety incidents are caused by the season, month, day of the week, or some other time period they occur in.) There are at least two causes of seasonality in the reporting of patient safety incidents to the NRLS: ‘administrative seasonality’ and incident seasonality.</w:t>
      </w:r>
    </w:p>
    <w:p w14:paraId="755C4671" w14:textId="77777777" w:rsidR="00E65476" w:rsidRPr="00A76167" w:rsidRDefault="00E65476" w:rsidP="00E65476">
      <w:pPr>
        <w:spacing w:before="240"/>
        <w:rPr>
          <w:rFonts w:cs="Arial"/>
          <w:sz w:val="22"/>
          <w:szCs w:val="22"/>
        </w:rPr>
      </w:pPr>
      <w:r w:rsidRPr="00A76167">
        <w:rPr>
          <w:rFonts w:cs="Arial"/>
          <w:sz w:val="22"/>
          <w:szCs w:val="22"/>
        </w:rPr>
        <w:t>‘Administrative seasonality’</w:t>
      </w:r>
    </w:p>
    <w:p w14:paraId="70074E1D" w14:textId="77777777" w:rsidR="00E65476" w:rsidRPr="00A76167" w:rsidRDefault="00E65476" w:rsidP="00E65476">
      <w:pPr>
        <w:spacing w:before="240"/>
        <w:rPr>
          <w:rFonts w:cs="Arial"/>
          <w:sz w:val="22"/>
          <w:szCs w:val="22"/>
        </w:rPr>
      </w:pPr>
      <w:r w:rsidRPr="00A76167">
        <w:rPr>
          <w:rFonts w:cs="Arial"/>
          <w:sz w:val="22"/>
          <w:szCs w:val="22"/>
        </w:rPr>
        <w:t>There are large spikes in the reporting of patient safety incidents to the NRLS every six months (at the end of May and the end of November), as organisations upload substantial batches of data in order to meet the cut-off dates for submission to the NRLS for inclusion in the Organisation Patient Safety Incident Report (NRLS UK Official Statistics) workbook.</w:t>
      </w:r>
    </w:p>
    <w:p w14:paraId="634CB27B" w14:textId="77777777" w:rsidR="00E65476" w:rsidRPr="00A76167" w:rsidRDefault="00E65476" w:rsidP="00E65476">
      <w:pPr>
        <w:spacing w:before="240"/>
        <w:rPr>
          <w:rFonts w:cs="Arial"/>
          <w:sz w:val="22"/>
          <w:szCs w:val="22"/>
        </w:rPr>
      </w:pPr>
      <w:r w:rsidRPr="00A76167">
        <w:rPr>
          <w:rFonts w:cs="Arial"/>
          <w:sz w:val="22"/>
          <w:szCs w:val="22"/>
        </w:rPr>
        <w:t>Incident seasonality</w:t>
      </w:r>
    </w:p>
    <w:p w14:paraId="106813F2" w14:textId="77777777" w:rsidR="00E65476" w:rsidRPr="00A76167" w:rsidRDefault="00E65476" w:rsidP="00E65476">
      <w:pPr>
        <w:spacing w:before="240"/>
        <w:rPr>
          <w:rFonts w:cs="Arial"/>
          <w:sz w:val="22"/>
          <w:szCs w:val="22"/>
        </w:rPr>
      </w:pPr>
      <w:r w:rsidRPr="00A76167">
        <w:rPr>
          <w:rFonts w:cs="Arial"/>
          <w:sz w:val="22"/>
          <w:szCs w:val="22"/>
        </w:rPr>
        <w:t>Research suggests that higher rates of postsurgical morbidity and mortality relate to the time of the year, with systems of care within academic medical centres sufficiently disrupted with the beginning of a new academic year to affect patient outcomes.</w:t>
      </w:r>
      <w:r w:rsidRPr="00A76167">
        <w:rPr>
          <w:rStyle w:val="FootnoteReference"/>
          <w:rFonts w:cs="Arial"/>
          <w:sz w:val="22"/>
          <w:szCs w:val="22"/>
        </w:rPr>
        <w:footnoteReference w:id="6"/>
      </w:r>
    </w:p>
    <w:p w14:paraId="03D1D6AD" w14:textId="77777777" w:rsidR="00E65476" w:rsidRPr="00A76167" w:rsidRDefault="00E65476" w:rsidP="00E65476">
      <w:pPr>
        <w:spacing w:before="240"/>
        <w:rPr>
          <w:rFonts w:cs="Arial"/>
          <w:sz w:val="22"/>
          <w:szCs w:val="22"/>
        </w:rPr>
      </w:pPr>
      <w:r w:rsidRPr="00A76167">
        <w:rPr>
          <w:rFonts w:cs="Arial"/>
          <w:sz w:val="22"/>
          <w:szCs w:val="22"/>
        </w:rPr>
        <w:t>Seasonality also has an impact on some of the national mandatory reporting requirements. For example, suicides have been found to have at least two seasonal peaks. In October 2011, the Care Quality Commission revised its guidance on the reporting of apparent and actual suicides. This is now a wider definition to include all actual or apparent suicides of people with an open episode of care in specialist mental health services (either inpatient or community patients) at the time of death, i.e. no longer restricted to deaths related to patient safety incidents.</w:t>
      </w:r>
    </w:p>
    <w:p w14:paraId="24256153" w14:textId="77777777" w:rsidR="00E65476" w:rsidRPr="00A76167" w:rsidRDefault="00E65476" w:rsidP="00E65476">
      <w:pPr>
        <w:spacing w:before="240"/>
        <w:rPr>
          <w:rFonts w:cs="Arial"/>
          <w:sz w:val="22"/>
          <w:szCs w:val="22"/>
        </w:rPr>
      </w:pPr>
      <w:r w:rsidRPr="00A76167">
        <w:rPr>
          <w:rFonts w:cs="Arial"/>
          <w:sz w:val="22"/>
          <w:szCs w:val="22"/>
        </w:rPr>
        <w:t>Reporting to the NRLS has increased year on year since its inception in 2003, and it is anticipated that this will continue to increase as the culture of reporting all incidents spreads more widely and deeply across the NHS. Comparisons over time are confounded by a number of factors.</w:t>
      </w:r>
    </w:p>
    <w:p w14:paraId="491362A7" w14:textId="77777777" w:rsidR="00E65476" w:rsidRPr="00A76167" w:rsidRDefault="00E65476" w:rsidP="00E65476">
      <w:pPr>
        <w:spacing w:before="240"/>
        <w:rPr>
          <w:rFonts w:cs="Arial"/>
          <w:sz w:val="22"/>
          <w:szCs w:val="22"/>
        </w:rPr>
      </w:pPr>
      <w:r w:rsidRPr="00A76167">
        <w:rPr>
          <w:rFonts w:cs="Arial"/>
          <w:sz w:val="22"/>
          <w:szCs w:val="22"/>
        </w:rPr>
        <w:t>Careful consideration should be given to the dates of changes in mandatory reporting requirements, as these may have a ‘one-off’ impact, affecting a specific time frame. Organisational change should also be borne in mind, as newly created and newly merged organisations take time to mature and set up their systems and processes.</w:t>
      </w:r>
    </w:p>
    <w:p w14:paraId="07BC6EAC" w14:textId="77777777" w:rsidR="00E65476" w:rsidRPr="00A76167" w:rsidRDefault="00E65476" w:rsidP="00E65476">
      <w:pPr>
        <w:spacing w:before="240"/>
        <w:rPr>
          <w:rFonts w:cs="Arial"/>
          <w:sz w:val="22"/>
          <w:szCs w:val="22"/>
        </w:rPr>
      </w:pPr>
      <w:r w:rsidRPr="00A76167">
        <w:rPr>
          <w:rFonts w:cs="Arial"/>
          <w:sz w:val="22"/>
          <w:szCs w:val="22"/>
        </w:rPr>
        <w:t>Therefore, when reviewing changes over time, it is recommended that:</w:t>
      </w:r>
    </w:p>
    <w:p w14:paraId="62EE7355" w14:textId="77777777" w:rsidR="00E65476" w:rsidRPr="00A76167" w:rsidRDefault="00E65476" w:rsidP="00E65476">
      <w:pPr>
        <w:spacing w:before="240"/>
        <w:rPr>
          <w:rFonts w:cs="Arial"/>
          <w:sz w:val="22"/>
          <w:szCs w:val="22"/>
        </w:rPr>
      </w:pPr>
      <w:r w:rsidRPr="00A76167">
        <w:rPr>
          <w:rFonts w:cs="Arial"/>
          <w:sz w:val="22"/>
          <w:szCs w:val="22"/>
        </w:rPr>
        <w:t>• proportions or percentages are used rather than actual numbers</w:t>
      </w:r>
    </w:p>
    <w:p w14:paraId="70CB5C37" w14:textId="77777777" w:rsidR="00E65476" w:rsidRPr="00A76167" w:rsidRDefault="00E65476" w:rsidP="00E65476">
      <w:pPr>
        <w:spacing w:before="240"/>
        <w:rPr>
          <w:rFonts w:cs="Arial"/>
          <w:sz w:val="22"/>
          <w:szCs w:val="22"/>
        </w:rPr>
      </w:pPr>
      <w:r w:rsidRPr="00A76167">
        <w:rPr>
          <w:rFonts w:cs="Arial"/>
          <w:sz w:val="22"/>
          <w:szCs w:val="22"/>
        </w:rPr>
        <w:t>(to allow for the differences in the underlying numbers of incidents);</w:t>
      </w:r>
    </w:p>
    <w:p w14:paraId="449DB01A" w14:textId="77777777" w:rsidR="00E65476" w:rsidRPr="00A76167" w:rsidRDefault="00E65476" w:rsidP="00E65476">
      <w:pPr>
        <w:spacing w:before="240"/>
        <w:rPr>
          <w:rFonts w:cs="Arial"/>
          <w:sz w:val="22"/>
          <w:szCs w:val="22"/>
        </w:rPr>
      </w:pPr>
      <w:r w:rsidRPr="00A76167">
        <w:rPr>
          <w:rFonts w:cs="Arial"/>
          <w:sz w:val="22"/>
          <w:szCs w:val="22"/>
        </w:rPr>
        <w:t>and</w:t>
      </w:r>
    </w:p>
    <w:p w14:paraId="7079B487" w14:textId="77777777" w:rsidR="00E65476" w:rsidRPr="00A76167" w:rsidRDefault="00E65476" w:rsidP="00E65476">
      <w:pPr>
        <w:spacing w:before="240"/>
        <w:rPr>
          <w:rFonts w:cs="Arial"/>
          <w:sz w:val="22"/>
          <w:szCs w:val="22"/>
        </w:rPr>
      </w:pPr>
      <w:r w:rsidRPr="00A76167">
        <w:rPr>
          <w:rFonts w:cs="Arial"/>
          <w:sz w:val="22"/>
          <w:szCs w:val="22"/>
        </w:rPr>
        <w:t>• either the same time period in the previous year, or a full year’s worth of data are used</w:t>
      </w:r>
    </w:p>
    <w:p w14:paraId="080F8C24" w14:textId="77777777" w:rsidR="00E65476" w:rsidRPr="00A76167" w:rsidRDefault="00E65476" w:rsidP="00E65476">
      <w:pPr>
        <w:spacing w:before="240"/>
        <w:rPr>
          <w:rFonts w:cs="Arial"/>
          <w:sz w:val="22"/>
          <w:szCs w:val="22"/>
        </w:rPr>
      </w:pPr>
      <w:r w:rsidRPr="00A76167">
        <w:rPr>
          <w:rFonts w:cs="Arial"/>
          <w:sz w:val="22"/>
          <w:szCs w:val="22"/>
        </w:rPr>
        <w:t>(in order to take seasonality into account);</w:t>
      </w:r>
    </w:p>
    <w:p w14:paraId="57800689" w14:textId="77777777" w:rsidR="00E65476" w:rsidRPr="00A76167" w:rsidRDefault="00E65476" w:rsidP="00E65476">
      <w:pPr>
        <w:spacing w:before="240"/>
        <w:rPr>
          <w:rFonts w:cs="Arial"/>
          <w:sz w:val="22"/>
          <w:szCs w:val="22"/>
        </w:rPr>
      </w:pPr>
      <w:r w:rsidRPr="00A76167">
        <w:rPr>
          <w:rFonts w:cs="Arial"/>
          <w:sz w:val="22"/>
          <w:szCs w:val="22"/>
        </w:rPr>
        <w:lastRenderedPageBreak/>
        <w:t>and</w:t>
      </w:r>
    </w:p>
    <w:p w14:paraId="65879E38" w14:textId="77777777" w:rsidR="00E65476" w:rsidRPr="00A76167" w:rsidRDefault="00E65476" w:rsidP="00E65476">
      <w:pPr>
        <w:spacing w:before="240"/>
        <w:rPr>
          <w:rFonts w:cs="Arial"/>
          <w:sz w:val="22"/>
          <w:szCs w:val="22"/>
        </w:rPr>
      </w:pPr>
      <w:r w:rsidRPr="00A76167">
        <w:rPr>
          <w:rFonts w:cs="Arial"/>
          <w:sz w:val="22"/>
          <w:szCs w:val="22"/>
        </w:rPr>
        <w:t>• checks are made that any ‘change/difference’ is not an artefact due to either new/amended national mandatory reporting requirements, or organisational restructuring.</w:t>
      </w:r>
    </w:p>
    <w:p w14:paraId="1ECDAC21" w14:textId="77777777" w:rsidR="00E65476" w:rsidRPr="00A76167" w:rsidRDefault="00E65476" w:rsidP="00E65476">
      <w:pPr>
        <w:spacing w:before="240"/>
        <w:rPr>
          <w:rFonts w:cs="Arial"/>
          <w:sz w:val="22"/>
          <w:szCs w:val="22"/>
        </w:rPr>
      </w:pPr>
      <w:r w:rsidRPr="00A76167">
        <w:rPr>
          <w:rFonts w:cs="Arial"/>
          <w:sz w:val="22"/>
          <w:szCs w:val="22"/>
        </w:rPr>
        <w:t>These statistics relate to NHS organisations in England and Wales, and there are no directly comparable figures to allow international comparison.</w:t>
      </w:r>
    </w:p>
    <w:p w14:paraId="53512309" w14:textId="77777777" w:rsidR="00E65476" w:rsidRPr="00A76167" w:rsidRDefault="00E65476" w:rsidP="00E65476">
      <w:pPr>
        <w:spacing w:before="240"/>
        <w:rPr>
          <w:rFonts w:cs="Arial"/>
          <w:sz w:val="22"/>
          <w:szCs w:val="22"/>
        </w:rPr>
      </w:pPr>
      <w:r w:rsidRPr="00A76167">
        <w:rPr>
          <w:rFonts w:cs="Arial"/>
          <w:sz w:val="22"/>
          <w:szCs w:val="22"/>
        </w:rPr>
        <w:t>The statistics in the NRLS releases are all drawn from the same data source (the NRLS), using a coherent and consistent method to define the datasets used, and a rigorous quality assurance process.</w:t>
      </w:r>
    </w:p>
    <w:p w14:paraId="6ABA012F" w14:textId="77777777" w:rsidR="00E65476" w:rsidRPr="00A76167" w:rsidRDefault="00E65476" w:rsidP="00E65476">
      <w:pPr>
        <w:spacing w:before="240"/>
        <w:rPr>
          <w:rFonts w:cs="Arial"/>
          <w:sz w:val="22"/>
          <w:szCs w:val="22"/>
        </w:rPr>
      </w:pPr>
      <w:r w:rsidRPr="00A76167">
        <w:rPr>
          <w:rFonts w:cs="Arial"/>
          <w:sz w:val="22"/>
          <w:szCs w:val="22"/>
        </w:rPr>
        <w:t xml:space="preserve">Although it is possible for NHS organisations to use different methods to report to the NRLS (uploading from their local system or by completing an </w:t>
      </w:r>
      <w:proofErr w:type="spellStart"/>
      <w:r w:rsidRPr="00A76167">
        <w:rPr>
          <w:rFonts w:cs="Arial"/>
          <w:sz w:val="22"/>
          <w:szCs w:val="22"/>
        </w:rPr>
        <w:t>eform</w:t>
      </w:r>
      <w:proofErr w:type="spellEnd"/>
      <w:r w:rsidRPr="00A76167">
        <w:rPr>
          <w:rFonts w:cs="Arial"/>
          <w:sz w:val="22"/>
          <w:szCs w:val="22"/>
        </w:rPr>
        <w:t xml:space="preserve"> on the NRLS website), almost all – more than 99% – upload their incidents directly from their local risk management systems. The data fields from these commercial local risk management systems (or bespoke locally developed systems) have been mapped to the NRLS national dataset by the Patient Safety Reporting Leads in a consistent and systematic way. This provides a high degree of assurance regarding the uniformity of reporting of categorical data.</w:t>
      </w:r>
    </w:p>
    <w:p w14:paraId="473F6F2F" w14:textId="77777777" w:rsidR="00E65476" w:rsidRPr="00A76167" w:rsidRDefault="00E65476" w:rsidP="00E65476">
      <w:pPr>
        <w:spacing w:before="240"/>
        <w:rPr>
          <w:rFonts w:cs="Arial"/>
          <w:sz w:val="22"/>
          <w:szCs w:val="22"/>
        </w:rPr>
      </w:pPr>
      <w:r w:rsidRPr="00A76167">
        <w:rPr>
          <w:rFonts w:cs="Arial"/>
          <w:sz w:val="22"/>
          <w:szCs w:val="22"/>
        </w:rPr>
        <w:t xml:space="preserve">Data quality for HES APC data is considered to be good. Further information can be found at: </w:t>
      </w:r>
      <w:hyperlink r:id="rId19" w:history="1">
        <w:r w:rsidRPr="00A76167">
          <w:rPr>
            <w:rStyle w:val="Hyperlink"/>
            <w:rFonts w:ascii="Arial" w:hAnsi="Arial" w:cs="Arial"/>
            <w:color w:val="auto"/>
            <w:sz w:val="22"/>
            <w:szCs w:val="22"/>
          </w:rPr>
          <w:t>http://www.hscic.gov.uk/hes</w:t>
        </w:r>
      </w:hyperlink>
    </w:p>
    <w:p w14:paraId="62BA1E17" w14:textId="41817C4A" w:rsidR="00BC0269" w:rsidRPr="00A76167" w:rsidRDefault="00BC0269">
      <w:pPr>
        <w:spacing w:after="0"/>
        <w:textboxTightWrap w:val="none"/>
        <w:rPr>
          <w:rFonts w:cs="Arial"/>
          <w:b/>
          <w:sz w:val="22"/>
          <w:szCs w:val="22"/>
        </w:rPr>
      </w:pPr>
      <w:r w:rsidRPr="00A76167">
        <w:rPr>
          <w:rFonts w:cs="Arial"/>
          <w:b/>
          <w:sz w:val="22"/>
          <w:szCs w:val="22"/>
        </w:rPr>
        <w:br w:type="page"/>
      </w:r>
    </w:p>
    <w:tbl>
      <w:tblPr>
        <w:tblStyle w:val="TableGrid"/>
        <w:tblpPr w:leftFromText="180" w:rightFromText="180" w:vertAnchor="text" w:horzAnchor="margin" w:tblpY="871"/>
        <w:tblW w:w="9851" w:type="dxa"/>
        <w:tblLook w:val="01E0" w:firstRow="1" w:lastRow="1" w:firstColumn="1" w:lastColumn="1" w:noHBand="0" w:noVBand="0"/>
      </w:tblPr>
      <w:tblGrid>
        <w:gridCol w:w="2291"/>
        <w:gridCol w:w="7560"/>
      </w:tblGrid>
      <w:tr w:rsidR="00A76167" w:rsidRPr="00A76167" w14:paraId="023D3DB7" w14:textId="77777777" w:rsidTr="00A76167">
        <w:trPr>
          <w:trHeight w:val="525"/>
        </w:trPr>
        <w:tc>
          <w:tcPr>
            <w:tcW w:w="2291" w:type="dxa"/>
          </w:tcPr>
          <w:p w14:paraId="1E2C99DB" w14:textId="77777777" w:rsidR="00BC0269" w:rsidRPr="00A76167" w:rsidRDefault="00BC0269" w:rsidP="00BC0269">
            <w:pPr>
              <w:rPr>
                <w:rFonts w:cs="Arial"/>
                <w:b/>
                <w:sz w:val="22"/>
                <w:szCs w:val="22"/>
              </w:rPr>
            </w:pPr>
            <w:r w:rsidRPr="00A76167">
              <w:rPr>
                <w:rFonts w:cs="Arial"/>
                <w:b/>
                <w:sz w:val="22"/>
                <w:szCs w:val="22"/>
              </w:rPr>
              <w:lastRenderedPageBreak/>
              <w:t>IAS Ref Code</w:t>
            </w:r>
          </w:p>
        </w:tc>
        <w:tc>
          <w:tcPr>
            <w:tcW w:w="7560" w:type="dxa"/>
          </w:tcPr>
          <w:p w14:paraId="30172041" w14:textId="6F6FD94B" w:rsidR="00BC0269" w:rsidRPr="00A76167" w:rsidRDefault="00BC0269" w:rsidP="00BC0269">
            <w:pPr>
              <w:rPr>
                <w:rFonts w:cs="Arial"/>
                <w:b/>
                <w:sz w:val="22"/>
                <w:szCs w:val="22"/>
              </w:rPr>
            </w:pPr>
          </w:p>
        </w:tc>
      </w:tr>
      <w:tr w:rsidR="00A76167" w:rsidRPr="00A76167" w14:paraId="2CB230CC" w14:textId="77777777" w:rsidTr="00A76167">
        <w:trPr>
          <w:trHeight w:val="973"/>
        </w:trPr>
        <w:tc>
          <w:tcPr>
            <w:tcW w:w="2291" w:type="dxa"/>
          </w:tcPr>
          <w:p w14:paraId="02753405" w14:textId="77777777" w:rsidR="00BC0269" w:rsidRPr="00A76167" w:rsidRDefault="00BC0269" w:rsidP="00BC0269">
            <w:pPr>
              <w:rPr>
                <w:rFonts w:cs="Arial"/>
                <w:b/>
                <w:sz w:val="22"/>
                <w:szCs w:val="22"/>
              </w:rPr>
            </w:pPr>
            <w:r w:rsidRPr="00A76167">
              <w:rPr>
                <w:rFonts w:cs="Arial"/>
                <w:b/>
                <w:sz w:val="22"/>
                <w:szCs w:val="22"/>
              </w:rPr>
              <w:t>Indicator Title</w:t>
            </w:r>
          </w:p>
        </w:tc>
        <w:tc>
          <w:tcPr>
            <w:tcW w:w="7560" w:type="dxa"/>
          </w:tcPr>
          <w:p w14:paraId="655944D3" w14:textId="4CADC098" w:rsidR="00BC0269" w:rsidRPr="00A76167" w:rsidRDefault="00BC0269" w:rsidP="00BC0269">
            <w:pPr>
              <w:rPr>
                <w:rFonts w:cs="Arial"/>
                <w:b/>
                <w:sz w:val="22"/>
                <w:szCs w:val="22"/>
              </w:rPr>
            </w:pPr>
            <w:r w:rsidRPr="00A76167">
              <w:rPr>
                <w:rFonts w:cs="Arial"/>
                <w:b/>
                <w:sz w:val="22"/>
                <w:szCs w:val="22"/>
              </w:rPr>
              <w:t xml:space="preserve"> 5.1 Patient Safety Incidents </w:t>
            </w:r>
          </w:p>
        </w:tc>
      </w:tr>
      <w:tr w:rsidR="00A76167" w:rsidRPr="00A76167" w14:paraId="3429C9CD" w14:textId="77777777" w:rsidTr="00A76167">
        <w:trPr>
          <w:trHeight w:val="548"/>
        </w:trPr>
        <w:tc>
          <w:tcPr>
            <w:tcW w:w="2291" w:type="dxa"/>
          </w:tcPr>
          <w:p w14:paraId="4B06CA0A" w14:textId="77777777" w:rsidR="00BC0269" w:rsidRPr="00A76167" w:rsidRDefault="00BC0269" w:rsidP="00BC0269">
            <w:pPr>
              <w:rPr>
                <w:rFonts w:cs="Arial"/>
                <w:b/>
                <w:sz w:val="22"/>
                <w:szCs w:val="22"/>
              </w:rPr>
            </w:pPr>
            <w:r w:rsidRPr="00A76167">
              <w:rPr>
                <w:rFonts w:cs="Arial"/>
                <w:b/>
                <w:sz w:val="22"/>
                <w:szCs w:val="22"/>
              </w:rPr>
              <w:t>Indicator Set</w:t>
            </w:r>
          </w:p>
        </w:tc>
        <w:tc>
          <w:tcPr>
            <w:tcW w:w="7560" w:type="dxa"/>
          </w:tcPr>
          <w:p w14:paraId="5E81C9DB" w14:textId="7BC58D11" w:rsidR="00BC0269" w:rsidRPr="00A76167" w:rsidRDefault="00BC0269" w:rsidP="00BC0269">
            <w:pPr>
              <w:rPr>
                <w:rFonts w:cs="Arial"/>
                <w:b/>
                <w:sz w:val="22"/>
                <w:szCs w:val="22"/>
              </w:rPr>
            </w:pPr>
            <w:r w:rsidRPr="00A76167">
              <w:rPr>
                <w:rFonts w:cs="Arial"/>
                <w:b/>
                <w:sz w:val="22"/>
                <w:szCs w:val="22"/>
                <w:lang w:eastAsia="en-GB"/>
              </w:rPr>
              <w:t>CCG Outcome Indicator Set</w:t>
            </w:r>
          </w:p>
        </w:tc>
      </w:tr>
    </w:tbl>
    <w:p w14:paraId="2188B679" w14:textId="77777777" w:rsidR="00BC0269" w:rsidRPr="00A76167" w:rsidRDefault="00BC0269">
      <w:pPr>
        <w:rPr>
          <w:rFonts w:cs="Arial"/>
          <w:sz w:val="22"/>
          <w:szCs w:val="22"/>
        </w:rPr>
      </w:pPr>
    </w:p>
    <w:p w14:paraId="14CD032C" w14:textId="77777777" w:rsidR="00BC0269" w:rsidRPr="00A76167" w:rsidRDefault="00BC0269">
      <w:pPr>
        <w:rPr>
          <w:rFonts w:cs="Arial"/>
          <w:sz w:val="22"/>
          <w:szCs w:val="22"/>
        </w:rPr>
      </w:pPr>
    </w:p>
    <w:p w14:paraId="17FF5FD7" w14:textId="77777777" w:rsidR="00BC0269" w:rsidRPr="00A76167" w:rsidRDefault="00BC0269">
      <w:pPr>
        <w:rPr>
          <w:rFonts w:cs="Arial"/>
          <w:sz w:val="22"/>
          <w:szCs w:val="22"/>
        </w:rPr>
      </w:pPr>
    </w:p>
    <w:p w14:paraId="4599C927" w14:textId="77777777" w:rsidR="00BC0269" w:rsidRPr="00A76167" w:rsidRDefault="00BC0269" w:rsidP="00A76167">
      <w:pPr>
        <w:ind w:left="-540"/>
        <w:rPr>
          <w:rFonts w:cs="Arial"/>
          <w:sz w:val="22"/>
          <w:szCs w:val="22"/>
        </w:rPr>
      </w:pPr>
    </w:p>
    <w:p w14:paraId="37C6C159" w14:textId="77777777" w:rsidR="00BC0269" w:rsidRPr="00A76167" w:rsidRDefault="00BC0269" w:rsidP="00A76167">
      <w:pPr>
        <w:ind w:left="-540"/>
        <w:rPr>
          <w:rFonts w:cs="Arial"/>
          <w:sz w:val="22"/>
          <w:szCs w:val="22"/>
        </w:rPr>
      </w:pPr>
    </w:p>
    <w:tbl>
      <w:tblPr>
        <w:tblStyle w:val="TableGrid"/>
        <w:tblW w:w="9869" w:type="dxa"/>
        <w:tblLook w:val="01E0" w:firstRow="1" w:lastRow="1" w:firstColumn="1" w:lastColumn="1" w:noHBand="0" w:noVBand="0"/>
      </w:tblPr>
      <w:tblGrid>
        <w:gridCol w:w="1135"/>
        <w:gridCol w:w="1134"/>
        <w:gridCol w:w="1843"/>
        <w:gridCol w:w="5757"/>
      </w:tblGrid>
      <w:tr w:rsidR="00A76167" w:rsidRPr="00A76167" w14:paraId="5B34EAF2" w14:textId="77777777" w:rsidTr="00A76167">
        <w:trPr>
          <w:trHeight w:val="243"/>
        </w:trPr>
        <w:tc>
          <w:tcPr>
            <w:tcW w:w="1135" w:type="dxa"/>
          </w:tcPr>
          <w:p w14:paraId="5EF4478D" w14:textId="77777777" w:rsidR="00BC0269" w:rsidRPr="00A76167" w:rsidRDefault="00BC0269" w:rsidP="00A76167">
            <w:pPr>
              <w:rPr>
                <w:rFonts w:cs="Arial"/>
                <w:sz w:val="22"/>
                <w:szCs w:val="22"/>
              </w:rPr>
            </w:pPr>
            <w:r w:rsidRPr="00A76167">
              <w:rPr>
                <w:rFonts w:cs="Arial"/>
                <w:sz w:val="22"/>
                <w:szCs w:val="22"/>
              </w:rPr>
              <w:t>Version</w:t>
            </w:r>
          </w:p>
        </w:tc>
        <w:tc>
          <w:tcPr>
            <w:tcW w:w="1134" w:type="dxa"/>
          </w:tcPr>
          <w:p w14:paraId="5C69CC5B" w14:textId="77777777" w:rsidR="00BC0269" w:rsidRPr="00A76167" w:rsidRDefault="00BC0269" w:rsidP="00A76167">
            <w:pPr>
              <w:rPr>
                <w:rFonts w:cs="Arial"/>
                <w:sz w:val="22"/>
                <w:szCs w:val="22"/>
              </w:rPr>
            </w:pPr>
            <w:r w:rsidRPr="00A76167">
              <w:rPr>
                <w:rFonts w:cs="Arial"/>
                <w:sz w:val="22"/>
                <w:szCs w:val="22"/>
              </w:rPr>
              <w:t>Date</w:t>
            </w:r>
          </w:p>
        </w:tc>
        <w:tc>
          <w:tcPr>
            <w:tcW w:w="1843" w:type="dxa"/>
          </w:tcPr>
          <w:p w14:paraId="61D19A9F" w14:textId="77777777" w:rsidR="00BC0269" w:rsidRPr="00A76167" w:rsidRDefault="00BC0269" w:rsidP="00A76167">
            <w:pPr>
              <w:rPr>
                <w:rFonts w:cs="Arial"/>
                <w:sz w:val="22"/>
                <w:szCs w:val="22"/>
              </w:rPr>
            </w:pPr>
            <w:r w:rsidRPr="00A76167">
              <w:rPr>
                <w:rFonts w:cs="Arial"/>
                <w:sz w:val="22"/>
                <w:szCs w:val="22"/>
              </w:rPr>
              <w:t>Changed By</w:t>
            </w:r>
          </w:p>
        </w:tc>
        <w:tc>
          <w:tcPr>
            <w:tcW w:w="5757" w:type="dxa"/>
          </w:tcPr>
          <w:p w14:paraId="41259E41" w14:textId="77777777" w:rsidR="00BC0269" w:rsidRPr="00A76167" w:rsidRDefault="00BC0269" w:rsidP="00A76167">
            <w:pPr>
              <w:rPr>
                <w:rFonts w:cs="Arial"/>
                <w:sz w:val="22"/>
                <w:szCs w:val="22"/>
              </w:rPr>
            </w:pPr>
            <w:r w:rsidRPr="00A76167">
              <w:rPr>
                <w:rFonts w:cs="Arial"/>
                <w:sz w:val="22"/>
                <w:szCs w:val="22"/>
              </w:rPr>
              <w:t>Summary of changes</w:t>
            </w:r>
          </w:p>
        </w:tc>
      </w:tr>
      <w:tr w:rsidR="00A76167" w:rsidRPr="00A76167" w14:paraId="15B93B82" w14:textId="77777777" w:rsidTr="00A76167">
        <w:trPr>
          <w:trHeight w:val="280"/>
        </w:trPr>
        <w:tc>
          <w:tcPr>
            <w:tcW w:w="1135" w:type="dxa"/>
          </w:tcPr>
          <w:p w14:paraId="18261CC2" w14:textId="77777777" w:rsidR="00BC0269" w:rsidRPr="00A76167" w:rsidRDefault="00BC0269" w:rsidP="00A76167">
            <w:pPr>
              <w:rPr>
                <w:rFonts w:cs="Arial"/>
                <w:sz w:val="22"/>
                <w:szCs w:val="22"/>
              </w:rPr>
            </w:pPr>
            <w:r w:rsidRPr="00A76167">
              <w:rPr>
                <w:rFonts w:cs="Arial"/>
                <w:sz w:val="22"/>
                <w:szCs w:val="22"/>
              </w:rPr>
              <w:t>v.01</w:t>
            </w:r>
          </w:p>
        </w:tc>
        <w:tc>
          <w:tcPr>
            <w:tcW w:w="1134" w:type="dxa"/>
          </w:tcPr>
          <w:p w14:paraId="092A05F6" w14:textId="77777777" w:rsidR="00BC0269" w:rsidRPr="00A76167" w:rsidRDefault="00BC0269" w:rsidP="00A76167">
            <w:pPr>
              <w:rPr>
                <w:rFonts w:cs="Arial"/>
                <w:sz w:val="22"/>
                <w:szCs w:val="22"/>
              </w:rPr>
            </w:pPr>
            <w:r w:rsidRPr="00A76167">
              <w:rPr>
                <w:rFonts w:cs="Arial"/>
                <w:sz w:val="22"/>
                <w:szCs w:val="22"/>
              </w:rPr>
              <w:t>19/02/13</w:t>
            </w:r>
          </w:p>
        </w:tc>
        <w:tc>
          <w:tcPr>
            <w:tcW w:w="1843" w:type="dxa"/>
          </w:tcPr>
          <w:p w14:paraId="2C336CC9" w14:textId="77777777" w:rsidR="00BC0269" w:rsidRPr="00A76167" w:rsidRDefault="00BC0269" w:rsidP="00A76167">
            <w:pPr>
              <w:rPr>
                <w:rFonts w:cs="Arial"/>
                <w:sz w:val="22"/>
                <w:szCs w:val="22"/>
              </w:rPr>
            </w:pPr>
            <w:r w:rsidRPr="00A76167">
              <w:rPr>
                <w:rFonts w:cs="Arial"/>
                <w:sz w:val="22"/>
                <w:szCs w:val="22"/>
              </w:rPr>
              <w:t>Gavin Harrison</w:t>
            </w:r>
          </w:p>
        </w:tc>
        <w:tc>
          <w:tcPr>
            <w:tcW w:w="5757" w:type="dxa"/>
          </w:tcPr>
          <w:p w14:paraId="4BE11A42" w14:textId="77777777" w:rsidR="00BC0269" w:rsidRPr="00A76167" w:rsidRDefault="00BC0269" w:rsidP="00A76167">
            <w:pPr>
              <w:rPr>
                <w:rFonts w:cs="Arial"/>
                <w:sz w:val="22"/>
                <w:szCs w:val="22"/>
              </w:rPr>
            </w:pPr>
            <w:r w:rsidRPr="00A76167">
              <w:rPr>
                <w:rFonts w:cs="Arial"/>
                <w:sz w:val="22"/>
                <w:szCs w:val="22"/>
              </w:rPr>
              <w:t>Document Created</w:t>
            </w:r>
          </w:p>
        </w:tc>
      </w:tr>
      <w:tr w:rsidR="00A76167" w:rsidRPr="00A76167" w14:paraId="168FE4CB" w14:textId="77777777" w:rsidTr="00A76167">
        <w:trPr>
          <w:trHeight w:val="231"/>
        </w:trPr>
        <w:tc>
          <w:tcPr>
            <w:tcW w:w="1135" w:type="dxa"/>
          </w:tcPr>
          <w:p w14:paraId="7E2CA26B" w14:textId="77777777" w:rsidR="00BC0269" w:rsidRPr="00A76167" w:rsidRDefault="00BC0269" w:rsidP="00A76167">
            <w:pPr>
              <w:rPr>
                <w:rFonts w:cs="Arial"/>
                <w:sz w:val="22"/>
                <w:szCs w:val="22"/>
              </w:rPr>
            </w:pPr>
            <w:r w:rsidRPr="00A76167">
              <w:rPr>
                <w:rFonts w:cs="Arial"/>
                <w:sz w:val="22"/>
                <w:szCs w:val="22"/>
              </w:rPr>
              <w:t>v.02</w:t>
            </w:r>
          </w:p>
        </w:tc>
        <w:tc>
          <w:tcPr>
            <w:tcW w:w="1134" w:type="dxa"/>
          </w:tcPr>
          <w:p w14:paraId="115FEBEB" w14:textId="77777777" w:rsidR="00BC0269" w:rsidRPr="00A76167" w:rsidRDefault="00BC0269" w:rsidP="00A76167">
            <w:pPr>
              <w:rPr>
                <w:rFonts w:cs="Arial"/>
                <w:sz w:val="22"/>
                <w:szCs w:val="22"/>
              </w:rPr>
            </w:pPr>
            <w:r w:rsidRPr="00A76167">
              <w:rPr>
                <w:rFonts w:cs="Arial"/>
                <w:sz w:val="22"/>
                <w:szCs w:val="22"/>
              </w:rPr>
              <w:t>05/03/13</w:t>
            </w:r>
          </w:p>
        </w:tc>
        <w:tc>
          <w:tcPr>
            <w:tcW w:w="1843" w:type="dxa"/>
          </w:tcPr>
          <w:p w14:paraId="27EA5264" w14:textId="77777777" w:rsidR="00BC0269" w:rsidRPr="00A76167" w:rsidRDefault="00BC0269" w:rsidP="00A76167">
            <w:pPr>
              <w:rPr>
                <w:rFonts w:cs="Arial"/>
                <w:sz w:val="22"/>
                <w:szCs w:val="22"/>
              </w:rPr>
            </w:pPr>
            <w:r w:rsidRPr="00A76167">
              <w:rPr>
                <w:rFonts w:cs="Arial"/>
                <w:sz w:val="22"/>
                <w:szCs w:val="22"/>
              </w:rPr>
              <w:t>Gavin Harrison</w:t>
            </w:r>
          </w:p>
        </w:tc>
        <w:tc>
          <w:tcPr>
            <w:tcW w:w="5757" w:type="dxa"/>
          </w:tcPr>
          <w:p w14:paraId="63678CC2" w14:textId="77777777" w:rsidR="00BC0269" w:rsidRPr="00A76167" w:rsidRDefault="00BC0269" w:rsidP="00A76167">
            <w:pPr>
              <w:rPr>
                <w:rFonts w:cs="Arial"/>
                <w:sz w:val="22"/>
                <w:szCs w:val="22"/>
              </w:rPr>
            </w:pPr>
            <w:r w:rsidRPr="00A76167">
              <w:rPr>
                <w:rFonts w:cs="Arial"/>
                <w:sz w:val="22"/>
                <w:szCs w:val="22"/>
              </w:rPr>
              <w:t>Included MRG comments from 21/02/13</w:t>
            </w:r>
          </w:p>
        </w:tc>
      </w:tr>
      <w:tr w:rsidR="00A76167" w:rsidRPr="00A76167" w14:paraId="076D3472" w14:textId="77777777" w:rsidTr="00A76167">
        <w:trPr>
          <w:trHeight w:val="231"/>
        </w:trPr>
        <w:tc>
          <w:tcPr>
            <w:tcW w:w="1135" w:type="dxa"/>
          </w:tcPr>
          <w:p w14:paraId="2948EBF5" w14:textId="77777777" w:rsidR="00BC0269" w:rsidRPr="00A76167" w:rsidRDefault="00BC0269" w:rsidP="00A76167">
            <w:pPr>
              <w:rPr>
                <w:rFonts w:cs="Arial"/>
                <w:sz w:val="22"/>
                <w:szCs w:val="22"/>
              </w:rPr>
            </w:pPr>
            <w:r w:rsidRPr="00A76167">
              <w:rPr>
                <w:rFonts w:cs="Arial"/>
                <w:sz w:val="22"/>
                <w:szCs w:val="22"/>
              </w:rPr>
              <w:t>v.03</w:t>
            </w:r>
          </w:p>
        </w:tc>
        <w:tc>
          <w:tcPr>
            <w:tcW w:w="1134" w:type="dxa"/>
          </w:tcPr>
          <w:p w14:paraId="6D90CFEC" w14:textId="77777777" w:rsidR="00BC0269" w:rsidRPr="00A76167" w:rsidRDefault="00BC0269" w:rsidP="00A76167">
            <w:pPr>
              <w:rPr>
                <w:rFonts w:cs="Arial"/>
                <w:sz w:val="22"/>
                <w:szCs w:val="22"/>
              </w:rPr>
            </w:pPr>
            <w:r w:rsidRPr="00A76167">
              <w:rPr>
                <w:rFonts w:cs="Arial"/>
                <w:sz w:val="22"/>
                <w:szCs w:val="22"/>
              </w:rPr>
              <w:t>20/05/13</w:t>
            </w:r>
          </w:p>
        </w:tc>
        <w:tc>
          <w:tcPr>
            <w:tcW w:w="1843" w:type="dxa"/>
          </w:tcPr>
          <w:p w14:paraId="67857A3B" w14:textId="77777777" w:rsidR="00BC0269" w:rsidRPr="00A76167" w:rsidRDefault="00BC0269" w:rsidP="00A76167">
            <w:pPr>
              <w:rPr>
                <w:rFonts w:cs="Arial"/>
                <w:sz w:val="22"/>
                <w:szCs w:val="22"/>
              </w:rPr>
            </w:pPr>
            <w:r w:rsidRPr="00A76167">
              <w:rPr>
                <w:rFonts w:cs="Arial"/>
                <w:sz w:val="22"/>
                <w:szCs w:val="22"/>
              </w:rPr>
              <w:t>Gavin Harrison</w:t>
            </w:r>
          </w:p>
        </w:tc>
        <w:tc>
          <w:tcPr>
            <w:tcW w:w="5757" w:type="dxa"/>
          </w:tcPr>
          <w:p w14:paraId="06AF200D" w14:textId="77777777" w:rsidR="00BC0269" w:rsidRPr="00A76167" w:rsidRDefault="00BC0269" w:rsidP="00A76167">
            <w:pPr>
              <w:rPr>
                <w:rFonts w:cs="Arial"/>
                <w:sz w:val="22"/>
                <w:szCs w:val="22"/>
              </w:rPr>
            </w:pPr>
            <w:r w:rsidRPr="00A76167">
              <w:rPr>
                <w:rFonts w:cs="Arial"/>
                <w:sz w:val="22"/>
                <w:szCs w:val="22"/>
              </w:rPr>
              <w:t>Included MRG comments from 03/05/13</w:t>
            </w:r>
          </w:p>
        </w:tc>
      </w:tr>
      <w:tr w:rsidR="00A76167" w:rsidRPr="00A76167" w14:paraId="20117565" w14:textId="77777777" w:rsidTr="00A76167">
        <w:trPr>
          <w:trHeight w:val="231"/>
        </w:trPr>
        <w:tc>
          <w:tcPr>
            <w:tcW w:w="1135" w:type="dxa"/>
          </w:tcPr>
          <w:p w14:paraId="0381A2DA" w14:textId="77777777" w:rsidR="00BC0269" w:rsidRPr="00A76167" w:rsidRDefault="00BC0269" w:rsidP="00A76167">
            <w:pPr>
              <w:rPr>
                <w:rFonts w:cs="Arial"/>
                <w:sz w:val="22"/>
                <w:szCs w:val="22"/>
              </w:rPr>
            </w:pPr>
            <w:r w:rsidRPr="00A76167">
              <w:rPr>
                <w:rFonts w:cs="Arial"/>
                <w:sz w:val="22"/>
                <w:szCs w:val="22"/>
              </w:rPr>
              <w:t>v.04</w:t>
            </w:r>
          </w:p>
        </w:tc>
        <w:tc>
          <w:tcPr>
            <w:tcW w:w="1134" w:type="dxa"/>
          </w:tcPr>
          <w:p w14:paraId="1F5149D5" w14:textId="77777777" w:rsidR="00BC0269" w:rsidRPr="00A76167" w:rsidRDefault="00BC0269" w:rsidP="00A76167">
            <w:pPr>
              <w:rPr>
                <w:rFonts w:cs="Arial"/>
                <w:sz w:val="22"/>
                <w:szCs w:val="22"/>
              </w:rPr>
            </w:pPr>
            <w:r w:rsidRPr="00A76167">
              <w:rPr>
                <w:rFonts w:cs="Arial"/>
                <w:sz w:val="22"/>
                <w:szCs w:val="22"/>
              </w:rPr>
              <w:t>23/11/13</w:t>
            </w:r>
          </w:p>
        </w:tc>
        <w:tc>
          <w:tcPr>
            <w:tcW w:w="1843" w:type="dxa"/>
          </w:tcPr>
          <w:p w14:paraId="0C8A328B" w14:textId="77777777" w:rsidR="00BC0269" w:rsidRPr="00A76167" w:rsidRDefault="00BC0269" w:rsidP="00A76167">
            <w:pPr>
              <w:rPr>
                <w:rFonts w:cs="Arial"/>
                <w:sz w:val="22"/>
                <w:szCs w:val="22"/>
              </w:rPr>
            </w:pPr>
            <w:r w:rsidRPr="00A76167">
              <w:rPr>
                <w:rFonts w:cs="Arial"/>
                <w:sz w:val="22"/>
                <w:szCs w:val="22"/>
              </w:rPr>
              <w:t>Chris Wilson</w:t>
            </w:r>
          </w:p>
        </w:tc>
        <w:tc>
          <w:tcPr>
            <w:tcW w:w="5757" w:type="dxa"/>
          </w:tcPr>
          <w:p w14:paraId="2CC1C0E2" w14:textId="77777777" w:rsidR="00BC0269" w:rsidRPr="00A76167" w:rsidRDefault="00BC0269" w:rsidP="00A76167">
            <w:pPr>
              <w:rPr>
                <w:rFonts w:cs="Arial"/>
                <w:sz w:val="22"/>
                <w:szCs w:val="22"/>
              </w:rPr>
            </w:pPr>
            <w:r w:rsidRPr="00A76167">
              <w:rPr>
                <w:rFonts w:cs="Arial"/>
                <w:sz w:val="22"/>
                <w:szCs w:val="22"/>
              </w:rPr>
              <w:t>Updated in preparation for IGB</w:t>
            </w:r>
          </w:p>
        </w:tc>
      </w:tr>
      <w:tr w:rsidR="00A76167" w:rsidRPr="00A76167" w14:paraId="7ADBD809" w14:textId="77777777" w:rsidTr="00A76167">
        <w:trPr>
          <w:trHeight w:val="231"/>
        </w:trPr>
        <w:tc>
          <w:tcPr>
            <w:tcW w:w="1135" w:type="dxa"/>
          </w:tcPr>
          <w:p w14:paraId="58D16E9E" w14:textId="77777777" w:rsidR="00BC0269" w:rsidRPr="00A76167" w:rsidRDefault="00BC0269" w:rsidP="00A76167">
            <w:pPr>
              <w:rPr>
                <w:rFonts w:cs="Arial"/>
                <w:sz w:val="22"/>
                <w:szCs w:val="22"/>
              </w:rPr>
            </w:pPr>
            <w:r w:rsidRPr="00A76167">
              <w:rPr>
                <w:rFonts w:cs="Arial"/>
                <w:sz w:val="22"/>
                <w:szCs w:val="22"/>
              </w:rPr>
              <w:t>v.05</w:t>
            </w:r>
          </w:p>
        </w:tc>
        <w:tc>
          <w:tcPr>
            <w:tcW w:w="1134" w:type="dxa"/>
          </w:tcPr>
          <w:p w14:paraId="758D95D0" w14:textId="77777777" w:rsidR="00BC0269" w:rsidRPr="00A76167" w:rsidRDefault="00BC0269" w:rsidP="00A76167">
            <w:pPr>
              <w:rPr>
                <w:rFonts w:cs="Arial"/>
                <w:sz w:val="22"/>
                <w:szCs w:val="22"/>
              </w:rPr>
            </w:pPr>
            <w:r w:rsidRPr="00A76167">
              <w:rPr>
                <w:rFonts w:cs="Arial"/>
                <w:sz w:val="22"/>
                <w:szCs w:val="22"/>
              </w:rPr>
              <w:t>02/06/17</w:t>
            </w:r>
          </w:p>
        </w:tc>
        <w:tc>
          <w:tcPr>
            <w:tcW w:w="1843" w:type="dxa"/>
          </w:tcPr>
          <w:p w14:paraId="53B9346A" w14:textId="77777777" w:rsidR="00BC0269" w:rsidRPr="00A76167" w:rsidRDefault="00BC0269" w:rsidP="00A76167">
            <w:pPr>
              <w:rPr>
                <w:rFonts w:cs="Arial"/>
                <w:sz w:val="22"/>
                <w:szCs w:val="22"/>
              </w:rPr>
            </w:pPr>
            <w:r w:rsidRPr="00A76167">
              <w:rPr>
                <w:rFonts w:cs="Arial"/>
                <w:sz w:val="22"/>
                <w:szCs w:val="22"/>
              </w:rPr>
              <w:t xml:space="preserve">Andrew </w:t>
            </w:r>
            <w:proofErr w:type="spellStart"/>
            <w:r w:rsidRPr="00A76167">
              <w:rPr>
                <w:rFonts w:cs="Arial"/>
                <w:sz w:val="22"/>
                <w:szCs w:val="22"/>
              </w:rPr>
              <w:t>Besch</w:t>
            </w:r>
            <w:proofErr w:type="spellEnd"/>
          </w:p>
        </w:tc>
        <w:tc>
          <w:tcPr>
            <w:tcW w:w="5757" w:type="dxa"/>
          </w:tcPr>
          <w:p w14:paraId="031C970F" w14:textId="77777777" w:rsidR="00BC0269" w:rsidRPr="00A76167" w:rsidRDefault="00BC0269" w:rsidP="00A76167">
            <w:pPr>
              <w:rPr>
                <w:rFonts w:cs="Arial"/>
                <w:sz w:val="22"/>
                <w:szCs w:val="22"/>
              </w:rPr>
            </w:pPr>
            <w:r w:rsidRPr="00A76167">
              <w:rPr>
                <w:rFonts w:cs="Arial"/>
                <w:sz w:val="22"/>
                <w:szCs w:val="22"/>
              </w:rPr>
              <w:t>Updated with details from IGB meeting of 06/12/2013</w:t>
            </w:r>
          </w:p>
        </w:tc>
      </w:tr>
    </w:tbl>
    <w:p w14:paraId="5EFBDD50" w14:textId="63A1D7D1" w:rsidR="00BC0269" w:rsidRPr="00A76167" w:rsidRDefault="00BC0269" w:rsidP="00A76167">
      <w:pPr>
        <w:ind w:left="-540"/>
        <w:rPr>
          <w:rFonts w:cs="Arial"/>
          <w:sz w:val="22"/>
          <w:szCs w:val="22"/>
        </w:rPr>
      </w:pPr>
    </w:p>
    <w:p w14:paraId="52E15826" w14:textId="77777777" w:rsidR="00BC0269" w:rsidRPr="00A76167" w:rsidRDefault="00BC0269">
      <w:pPr>
        <w:spacing w:after="0"/>
        <w:textboxTightWrap w:val="none"/>
        <w:rPr>
          <w:rFonts w:cs="Arial"/>
          <w:sz w:val="22"/>
          <w:szCs w:val="22"/>
        </w:rPr>
      </w:pPr>
      <w:r w:rsidRPr="00A76167">
        <w:rPr>
          <w:rFonts w:cs="Arial"/>
          <w:sz w:val="22"/>
          <w:szCs w:val="22"/>
        </w:rPr>
        <w:br w:type="page"/>
      </w:r>
    </w:p>
    <w:p w14:paraId="6D1BEEB7" w14:textId="77777777" w:rsidR="00BC0269" w:rsidRPr="00A76167" w:rsidRDefault="00BC0269" w:rsidP="00A76167">
      <w:pPr>
        <w:ind w:left="-540"/>
        <w:rPr>
          <w:rFonts w:cs="Arial"/>
          <w:sz w:val="22"/>
          <w:szCs w:val="22"/>
        </w:rPr>
      </w:pPr>
    </w:p>
    <w:p w14:paraId="7F662332" w14:textId="77777777" w:rsidR="00BC0269" w:rsidRPr="00A76167" w:rsidRDefault="00BC0269" w:rsidP="00A76167">
      <w:pPr>
        <w:ind w:left="-851"/>
        <w:rPr>
          <w:rFonts w:cs="Arial"/>
          <w:sz w:val="22"/>
          <w:szCs w:val="22"/>
        </w:rPr>
      </w:pPr>
      <w:r w:rsidRPr="00A76167">
        <w:rPr>
          <w:rFonts w:cs="Arial"/>
          <w:sz w:val="22"/>
          <w:szCs w:val="22"/>
        </w:rPr>
        <w:t>Contents</w:t>
      </w:r>
    </w:p>
    <w:p w14:paraId="0C612CE7" w14:textId="77777777" w:rsidR="00BC0269" w:rsidRPr="00A76167" w:rsidRDefault="00BC0269" w:rsidP="00A76167">
      <w:pPr>
        <w:ind w:left="-851"/>
        <w:rPr>
          <w:rFonts w:cs="Arial"/>
          <w:sz w:val="22"/>
          <w:szCs w:val="22"/>
        </w:rPr>
      </w:pPr>
    </w:p>
    <w:tbl>
      <w:tblPr>
        <w:tblStyle w:val="TableGrid"/>
        <w:tblW w:w="9540" w:type="dxa"/>
        <w:tblLook w:val="01E0" w:firstRow="1" w:lastRow="1" w:firstColumn="1" w:lastColumn="1" w:noHBand="0" w:noVBand="0"/>
      </w:tblPr>
      <w:tblGrid>
        <w:gridCol w:w="8707"/>
        <w:gridCol w:w="833"/>
      </w:tblGrid>
      <w:tr w:rsidR="00A76167" w:rsidRPr="00A76167" w14:paraId="521C234E" w14:textId="77777777" w:rsidTr="00A76167">
        <w:trPr>
          <w:trHeight w:val="408"/>
        </w:trPr>
        <w:tc>
          <w:tcPr>
            <w:tcW w:w="8337" w:type="dxa"/>
          </w:tcPr>
          <w:p w14:paraId="07045796" w14:textId="77777777" w:rsidR="00BC0269" w:rsidRPr="00A76167" w:rsidRDefault="00BC0269" w:rsidP="00BC0269">
            <w:pPr>
              <w:numPr>
                <w:ilvl w:val="0"/>
                <w:numId w:val="9"/>
              </w:numPr>
              <w:tabs>
                <w:tab w:val="left" w:pos="0"/>
              </w:tabs>
              <w:spacing w:after="0"/>
              <w:ind w:left="716" w:hanging="356"/>
              <w:textboxTightWrap w:val="none"/>
              <w:rPr>
                <w:rFonts w:cs="Arial"/>
                <w:sz w:val="22"/>
                <w:szCs w:val="22"/>
              </w:rPr>
            </w:pPr>
            <w:r w:rsidRPr="00A76167">
              <w:rPr>
                <w:rFonts w:cs="Arial"/>
                <w:sz w:val="22"/>
                <w:szCs w:val="22"/>
              </w:rPr>
              <w:t>Assurance Summary…………………………………….……………………………………</w:t>
            </w:r>
          </w:p>
        </w:tc>
        <w:tc>
          <w:tcPr>
            <w:tcW w:w="1203" w:type="dxa"/>
          </w:tcPr>
          <w:p w14:paraId="4CA0DBC6" w14:textId="77777777" w:rsidR="00BC0269" w:rsidRPr="00A76167" w:rsidRDefault="00BC0269" w:rsidP="00A76167">
            <w:pPr>
              <w:rPr>
                <w:rFonts w:cs="Arial"/>
                <w:sz w:val="22"/>
                <w:szCs w:val="22"/>
              </w:rPr>
            </w:pPr>
            <w:r w:rsidRPr="00A76167">
              <w:rPr>
                <w:rFonts w:cs="Arial"/>
                <w:sz w:val="22"/>
                <w:szCs w:val="22"/>
              </w:rPr>
              <w:t>Page 3</w:t>
            </w:r>
          </w:p>
        </w:tc>
      </w:tr>
      <w:tr w:rsidR="00A76167" w:rsidRPr="00A76167" w14:paraId="3B2752C9" w14:textId="77777777" w:rsidTr="00A76167">
        <w:trPr>
          <w:trHeight w:val="408"/>
        </w:trPr>
        <w:tc>
          <w:tcPr>
            <w:tcW w:w="8337" w:type="dxa"/>
          </w:tcPr>
          <w:p w14:paraId="1C834227" w14:textId="77777777" w:rsidR="00BC0269" w:rsidRPr="00A76167" w:rsidRDefault="00BC0269" w:rsidP="00BC0269">
            <w:pPr>
              <w:numPr>
                <w:ilvl w:val="0"/>
                <w:numId w:val="9"/>
              </w:numPr>
              <w:tabs>
                <w:tab w:val="left" w:pos="0"/>
              </w:tabs>
              <w:spacing w:after="0"/>
              <w:ind w:left="716" w:hanging="356"/>
              <w:textboxTightWrap w:val="none"/>
              <w:rPr>
                <w:rFonts w:cs="Arial"/>
                <w:sz w:val="22"/>
                <w:szCs w:val="22"/>
              </w:rPr>
            </w:pPr>
            <w:r w:rsidRPr="00A76167">
              <w:rPr>
                <w:rFonts w:cs="Arial"/>
                <w:sz w:val="22"/>
                <w:szCs w:val="22"/>
              </w:rPr>
              <w:t>Peer Review Summary………………………………………………………………………</w:t>
            </w:r>
          </w:p>
        </w:tc>
        <w:tc>
          <w:tcPr>
            <w:tcW w:w="1203" w:type="dxa"/>
          </w:tcPr>
          <w:p w14:paraId="728D8B56" w14:textId="77777777" w:rsidR="00BC0269" w:rsidRPr="00A76167" w:rsidRDefault="00BC0269" w:rsidP="00A76167">
            <w:pPr>
              <w:rPr>
                <w:rFonts w:cs="Arial"/>
                <w:sz w:val="22"/>
                <w:szCs w:val="22"/>
              </w:rPr>
            </w:pPr>
            <w:r w:rsidRPr="00A76167">
              <w:rPr>
                <w:rFonts w:cs="Arial"/>
                <w:sz w:val="22"/>
                <w:szCs w:val="22"/>
              </w:rPr>
              <w:t>Page 4</w:t>
            </w:r>
          </w:p>
        </w:tc>
      </w:tr>
      <w:tr w:rsidR="00A76167" w:rsidRPr="00A76167" w14:paraId="6A109161" w14:textId="77777777" w:rsidTr="00A76167">
        <w:trPr>
          <w:trHeight w:val="408"/>
        </w:trPr>
        <w:tc>
          <w:tcPr>
            <w:tcW w:w="8337" w:type="dxa"/>
          </w:tcPr>
          <w:p w14:paraId="6E9FBC43" w14:textId="77777777" w:rsidR="00BC0269" w:rsidRPr="00A76167" w:rsidRDefault="00BC0269" w:rsidP="00BC0269">
            <w:pPr>
              <w:numPr>
                <w:ilvl w:val="0"/>
                <w:numId w:val="9"/>
              </w:numPr>
              <w:tabs>
                <w:tab w:val="left" w:pos="0"/>
              </w:tabs>
              <w:spacing w:after="0"/>
              <w:ind w:left="716" w:hanging="356"/>
              <w:textboxTightWrap w:val="none"/>
              <w:rPr>
                <w:rFonts w:cs="Arial"/>
                <w:sz w:val="22"/>
                <w:szCs w:val="22"/>
              </w:rPr>
            </w:pPr>
            <w:r w:rsidRPr="00A76167">
              <w:rPr>
                <w:rFonts w:cs="Arial"/>
                <w:sz w:val="22"/>
                <w:szCs w:val="22"/>
              </w:rPr>
              <w:t>MRG Application for Consideration…………………….…………………………….</w:t>
            </w:r>
          </w:p>
        </w:tc>
        <w:tc>
          <w:tcPr>
            <w:tcW w:w="1203" w:type="dxa"/>
          </w:tcPr>
          <w:p w14:paraId="01064EFB" w14:textId="77777777" w:rsidR="00BC0269" w:rsidRPr="00A76167" w:rsidRDefault="00BC0269" w:rsidP="00A76167">
            <w:pPr>
              <w:rPr>
                <w:rFonts w:cs="Arial"/>
                <w:sz w:val="22"/>
                <w:szCs w:val="22"/>
              </w:rPr>
            </w:pPr>
            <w:r w:rsidRPr="00A76167">
              <w:rPr>
                <w:rFonts w:cs="Arial"/>
                <w:sz w:val="22"/>
                <w:szCs w:val="22"/>
              </w:rPr>
              <w:t>Page 5</w:t>
            </w:r>
          </w:p>
        </w:tc>
      </w:tr>
      <w:tr w:rsidR="00A76167" w:rsidRPr="00A76167" w14:paraId="0D0E5788" w14:textId="77777777" w:rsidTr="00A76167">
        <w:trPr>
          <w:trHeight w:val="408"/>
        </w:trPr>
        <w:tc>
          <w:tcPr>
            <w:tcW w:w="8337" w:type="dxa"/>
          </w:tcPr>
          <w:p w14:paraId="18A617CC" w14:textId="77777777" w:rsidR="00BC0269" w:rsidRPr="00A76167" w:rsidRDefault="00BC0269" w:rsidP="00BC0269">
            <w:pPr>
              <w:numPr>
                <w:ilvl w:val="0"/>
                <w:numId w:val="9"/>
              </w:numPr>
              <w:tabs>
                <w:tab w:val="left" w:pos="0"/>
              </w:tabs>
              <w:spacing w:after="0"/>
              <w:ind w:left="716" w:hanging="356"/>
              <w:textboxTightWrap w:val="none"/>
              <w:rPr>
                <w:rFonts w:cs="Arial"/>
                <w:sz w:val="22"/>
                <w:szCs w:val="22"/>
              </w:rPr>
            </w:pPr>
            <w:r w:rsidRPr="00A76167">
              <w:rPr>
                <w:rFonts w:cs="Arial"/>
                <w:sz w:val="22"/>
                <w:szCs w:val="22"/>
              </w:rPr>
              <w:t>MRG Recommendations &amp; Updates……………………………………………….…</w:t>
            </w:r>
          </w:p>
        </w:tc>
        <w:tc>
          <w:tcPr>
            <w:tcW w:w="1203" w:type="dxa"/>
          </w:tcPr>
          <w:p w14:paraId="36EBBF15" w14:textId="77777777" w:rsidR="00BC0269" w:rsidRPr="00A76167" w:rsidRDefault="00BC0269" w:rsidP="00A76167">
            <w:pPr>
              <w:rPr>
                <w:rFonts w:cs="Arial"/>
                <w:sz w:val="22"/>
                <w:szCs w:val="22"/>
              </w:rPr>
            </w:pPr>
            <w:r w:rsidRPr="00A76167">
              <w:rPr>
                <w:rFonts w:cs="Arial"/>
                <w:sz w:val="22"/>
                <w:szCs w:val="22"/>
              </w:rPr>
              <w:t>Page</w:t>
            </w:r>
          </w:p>
        </w:tc>
      </w:tr>
      <w:tr w:rsidR="00A76167" w:rsidRPr="00A76167" w14:paraId="3BC52A6A" w14:textId="77777777" w:rsidTr="00A76167">
        <w:trPr>
          <w:trHeight w:val="408"/>
        </w:trPr>
        <w:tc>
          <w:tcPr>
            <w:tcW w:w="8337" w:type="dxa"/>
          </w:tcPr>
          <w:p w14:paraId="7A40BA25" w14:textId="77777777" w:rsidR="00BC0269" w:rsidRPr="00A76167" w:rsidRDefault="00BC0269" w:rsidP="00BC0269">
            <w:pPr>
              <w:numPr>
                <w:ilvl w:val="0"/>
                <w:numId w:val="9"/>
              </w:numPr>
              <w:tabs>
                <w:tab w:val="left" w:pos="0"/>
              </w:tabs>
              <w:spacing w:after="0"/>
              <w:ind w:left="716" w:hanging="356"/>
              <w:textboxTightWrap w:val="none"/>
              <w:rPr>
                <w:rFonts w:cs="Arial"/>
                <w:sz w:val="22"/>
                <w:szCs w:val="22"/>
              </w:rPr>
            </w:pPr>
            <w:r w:rsidRPr="00A76167">
              <w:rPr>
                <w:rFonts w:cs="Arial"/>
                <w:sz w:val="22"/>
                <w:szCs w:val="22"/>
              </w:rPr>
              <w:t>MRG Application Revisions……………………………………………………………….</w:t>
            </w:r>
          </w:p>
        </w:tc>
        <w:tc>
          <w:tcPr>
            <w:tcW w:w="1203" w:type="dxa"/>
          </w:tcPr>
          <w:p w14:paraId="2032110F" w14:textId="77777777" w:rsidR="00BC0269" w:rsidRPr="00A76167" w:rsidRDefault="00BC0269" w:rsidP="00A76167">
            <w:pPr>
              <w:rPr>
                <w:rFonts w:cs="Arial"/>
                <w:sz w:val="22"/>
                <w:szCs w:val="22"/>
              </w:rPr>
            </w:pPr>
            <w:r w:rsidRPr="00A76167">
              <w:rPr>
                <w:rFonts w:cs="Arial"/>
                <w:sz w:val="22"/>
                <w:szCs w:val="22"/>
              </w:rPr>
              <w:t xml:space="preserve">Page </w:t>
            </w:r>
          </w:p>
        </w:tc>
      </w:tr>
      <w:tr w:rsidR="00A76167" w:rsidRPr="00A76167" w14:paraId="3C0ADF9E" w14:textId="77777777" w:rsidTr="00A76167">
        <w:trPr>
          <w:trHeight w:val="408"/>
        </w:trPr>
        <w:tc>
          <w:tcPr>
            <w:tcW w:w="8337" w:type="dxa"/>
          </w:tcPr>
          <w:p w14:paraId="15F906AB" w14:textId="77777777" w:rsidR="00BC0269" w:rsidRPr="00A76167" w:rsidRDefault="00BC0269" w:rsidP="00BC0269">
            <w:pPr>
              <w:numPr>
                <w:ilvl w:val="0"/>
                <w:numId w:val="9"/>
              </w:numPr>
              <w:tabs>
                <w:tab w:val="left" w:pos="0"/>
              </w:tabs>
              <w:spacing w:after="0"/>
              <w:ind w:left="716" w:hanging="356"/>
              <w:textboxTightWrap w:val="none"/>
              <w:rPr>
                <w:rFonts w:cs="Arial"/>
                <w:sz w:val="22"/>
                <w:szCs w:val="22"/>
              </w:rPr>
            </w:pPr>
            <w:r w:rsidRPr="00A76167">
              <w:rPr>
                <w:rFonts w:cs="Arial"/>
                <w:sz w:val="22"/>
                <w:szCs w:val="22"/>
              </w:rPr>
              <w:t>IGB Presentation Summary……………………………………………………………….</w:t>
            </w:r>
          </w:p>
        </w:tc>
        <w:tc>
          <w:tcPr>
            <w:tcW w:w="1203" w:type="dxa"/>
          </w:tcPr>
          <w:p w14:paraId="0D817FA7" w14:textId="77777777" w:rsidR="00BC0269" w:rsidRPr="00A76167" w:rsidRDefault="00BC0269" w:rsidP="00A76167">
            <w:pPr>
              <w:rPr>
                <w:rFonts w:cs="Arial"/>
                <w:sz w:val="22"/>
                <w:szCs w:val="22"/>
              </w:rPr>
            </w:pPr>
            <w:r w:rsidRPr="00A76167">
              <w:rPr>
                <w:rFonts w:cs="Arial"/>
                <w:sz w:val="22"/>
                <w:szCs w:val="22"/>
              </w:rPr>
              <w:t>Page</w:t>
            </w:r>
          </w:p>
        </w:tc>
      </w:tr>
      <w:tr w:rsidR="00A76167" w:rsidRPr="00A76167" w14:paraId="6D7DCC03" w14:textId="77777777" w:rsidTr="00A76167">
        <w:trPr>
          <w:trHeight w:val="408"/>
        </w:trPr>
        <w:tc>
          <w:tcPr>
            <w:tcW w:w="8337" w:type="dxa"/>
          </w:tcPr>
          <w:p w14:paraId="083181D9" w14:textId="77777777" w:rsidR="00BC0269" w:rsidRPr="00A76167" w:rsidRDefault="00BC0269" w:rsidP="00BC0269">
            <w:pPr>
              <w:numPr>
                <w:ilvl w:val="0"/>
                <w:numId w:val="9"/>
              </w:numPr>
              <w:tabs>
                <w:tab w:val="left" w:pos="0"/>
              </w:tabs>
              <w:spacing w:after="0"/>
              <w:ind w:left="716" w:hanging="356"/>
              <w:textboxTightWrap w:val="none"/>
              <w:rPr>
                <w:rFonts w:cs="Arial"/>
                <w:sz w:val="22"/>
                <w:szCs w:val="22"/>
              </w:rPr>
            </w:pPr>
            <w:r w:rsidRPr="00A76167">
              <w:rPr>
                <w:rFonts w:cs="Arial"/>
                <w:sz w:val="22"/>
                <w:szCs w:val="22"/>
              </w:rPr>
              <w:t>IGB Recommendations………………………………………………………………………</w:t>
            </w:r>
          </w:p>
        </w:tc>
        <w:tc>
          <w:tcPr>
            <w:tcW w:w="1203" w:type="dxa"/>
          </w:tcPr>
          <w:p w14:paraId="6E4F2650" w14:textId="77777777" w:rsidR="00BC0269" w:rsidRPr="00A76167" w:rsidRDefault="00BC0269" w:rsidP="00A76167">
            <w:pPr>
              <w:rPr>
                <w:rFonts w:cs="Arial"/>
                <w:sz w:val="22"/>
                <w:szCs w:val="22"/>
              </w:rPr>
            </w:pPr>
            <w:r w:rsidRPr="00A76167">
              <w:rPr>
                <w:rFonts w:cs="Arial"/>
                <w:sz w:val="22"/>
                <w:szCs w:val="22"/>
              </w:rPr>
              <w:t>Page</w:t>
            </w:r>
          </w:p>
        </w:tc>
      </w:tr>
    </w:tbl>
    <w:p w14:paraId="0E088029" w14:textId="77777777" w:rsidR="00BC0269" w:rsidRPr="00A76167" w:rsidRDefault="00BC0269" w:rsidP="00A76167">
      <w:pPr>
        <w:ind w:left="-540"/>
        <w:rPr>
          <w:rFonts w:cs="Arial"/>
          <w:sz w:val="22"/>
          <w:szCs w:val="22"/>
        </w:rPr>
      </w:pPr>
    </w:p>
    <w:p w14:paraId="77295C1D" w14:textId="77777777" w:rsidR="00BC0269" w:rsidRPr="00A76167" w:rsidRDefault="00BC0269" w:rsidP="00A76167">
      <w:pPr>
        <w:ind w:left="-540"/>
        <w:rPr>
          <w:rFonts w:cs="Arial"/>
          <w:sz w:val="22"/>
          <w:szCs w:val="22"/>
        </w:rPr>
      </w:pPr>
    </w:p>
    <w:p w14:paraId="08BFBFB9" w14:textId="77777777" w:rsidR="00BC0269" w:rsidRPr="00A76167" w:rsidRDefault="00BC0269" w:rsidP="00A76167">
      <w:pPr>
        <w:ind w:left="-540"/>
        <w:rPr>
          <w:rFonts w:cs="Arial"/>
          <w:sz w:val="22"/>
          <w:szCs w:val="22"/>
        </w:rPr>
      </w:pPr>
    </w:p>
    <w:p w14:paraId="3F2AC0FF" w14:textId="77777777" w:rsidR="00BC0269" w:rsidRPr="00A76167" w:rsidRDefault="00BC0269" w:rsidP="00A76167">
      <w:pPr>
        <w:ind w:left="-540"/>
        <w:rPr>
          <w:rFonts w:cs="Arial"/>
          <w:sz w:val="22"/>
          <w:szCs w:val="22"/>
        </w:rPr>
      </w:pPr>
    </w:p>
    <w:p w14:paraId="663AD798" w14:textId="77777777" w:rsidR="00BC0269" w:rsidRPr="00A76167" w:rsidRDefault="00BC0269" w:rsidP="00A76167">
      <w:pPr>
        <w:ind w:left="-540"/>
        <w:rPr>
          <w:rFonts w:cs="Arial"/>
          <w:sz w:val="22"/>
          <w:szCs w:val="22"/>
        </w:rPr>
      </w:pPr>
    </w:p>
    <w:p w14:paraId="7A6DBDB4" w14:textId="77777777" w:rsidR="00BC0269" w:rsidRPr="00A76167" w:rsidRDefault="00BC0269" w:rsidP="00A76167">
      <w:pPr>
        <w:ind w:left="-540"/>
        <w:rPr>
          <w:rFonts w:cs="Arial"/>
          <w:sz w:val="22"/>
          <w:szCs w:val="22"/>
        </w:rPr>
      </w:pPr>
    </w:p>
    <w:p w14:paraId="5F139A46" w14:textId="77777777" w:rsidR="00BC0269" w:rsidRPr="00A76167" w:rsidRDefault="00BC0269">
      <w:pPr>
        <w:rPr>
          <w:rFonts w:cs="Arial"/>
          <w:sz w:val="22"/>
          <w:szCs w:val="22"/>
        </w:rPr>
      </w:pPr>
      <w:r w:rsidRPr="00A76167">
        <w:rPr>
          <w:rFonts w:cs="Arial"/>
          <w:sz w:val="22"/>
          <w:szCs w:val="22"/>
        </w:rPr>
        <w:br w:type="page"/>
      </w:r>
    </w:p>
    <w:p w14:paraId="0E126140" w14:textId="77777777" w:rsidR="00BC0269" w:rsidRPr="00A76167" w:rsidRDefault="00BC0269" w:rsidP="00A76167">
      <w:pPr>
        <w:ind w:left="-851"/>
        <w:jc w:val="both"/>
        <w:rPr>
          <w:rFonts w:cs="Arial"/>
          <w:sz w:val="22"/>
          <w:szCs w:val="22"/>
        </w:rPr>
      </w:pPr>
    </w:p>
    <w:p w14:paraId="7229845A" w14:textId="77777777" w:rsidR="00BC0269" w:rsidRPr="00A76167" w:rsidRDefault="00BC0269" w:rsidP="00A76167">
      <w:pPr>
        <w:ind w:left="-851"/>
        <w:rPr>
          <w:rFonts w:cs="Arial"/>
          <w:b/>
          <w:sz w:val="22"/>
          <w:szCs w:val="22"/>
        </w:rPr>
      </w:pPr>
      <w:r w:rsidRPr="00A76167">
        <w:rPr>
          <w:rFonts w:cs="Arial"/>
          <w:b/>
          <w:sz w:val="22"/>
          <w:szCs w:val="22"/>
        </w:rPr>
        <w:t>Assurance Summary</w:t>
      </w:r>
    </w:p>
    <w:p w14:paraId="3DC76210" w14:textId="77777777" w:rsidR="00BC0269" w:rsidRPr="00A76167" w:rsidRDefault="00BC0269" w:rsidP="00A76167">
      <w:pPr>
        <w:ind w:left="-851"/>
        <w:rPr>
          <w:rFonts w:cs="Arial"/>
          <w:sz w:val="22"/>
          <w:szCs w:val="22"/>
        </w:rPr>
      </w:pPr>
    </w:p>
    <w:tbl>
      <w:tblPr>
        <w:tblStyle w:val="TableGrid"/>
        <w:tblW w:w="9923" w:type="dxa"/>
        <w:tblLook w:val="01E0" w:firstRow="1" w:lastRow="1" w:firstColumn="1" w:lastColumn="1" w:noHBand="0" w:noVBand="0"/>
      </w:tblPr>
      <w:tblGrid>
        <w:gridCol w:w="2127"/>
        <w:gridCol w:w="7796"/>
      </w:tblGrid>
      <w:tr w:rsidR="00A76167" w:rsidRPr="00A76167" w14:paraId="121881D7" w14:textId="77777777" w:rsidTr="00A76167">
        <w:trPr>
          <w:trHeight w:val="321"/>
        </w:trPr>
        <w:tc>
          <w:tcPr>
            <w:tcW w:w="2127" w:type="dxa"/>
          </w:tcPr>
          <w:p w14:paraId="2509D2E9" w14:textId="77777777" w:rsidR="00BC0269" w:rsidRPr="00A76167" w:rsidRDefault="00BC0269" w:rsidP="00A76167">
            <w:pPr>
              <w:rPr>
                <w:rFonts w:cs="Arial"/>
                <w:b/>
                <w:sz w:val="22"/>
                <w:szCs w:val="22"/>
              </w:rPr>
            </w:pPr>
            <w:r w:rsidRPr="00A76167">
              <w:rPr>
                <w:rFonts w:cs="Arial"/>
                <w:b/>
                <w:sz w:val="22"/>
                <w:szCs w:val="22"/>
              </w:rPr>
              <w:t>IAS Ref Code</w:t>
            </w:r>
          </w:p>
        </w:tc>
        <w:tc>
          <w:tcPr>
            <w:tcW w:w="7796" w:type="dxa"/>
          </w:tcPr>
          <w:p w14:paraId="04ECF8FC" w14:textId="58527C1A" w:rsidR="00BC0269" w:rsidRPr="00A76167" w:rsidRDefault="00BC0269" w:rsidP="00A76167">
            <w:pPr>
              <w:rPr>
                <w:rFonts w:cs="Arial"/>
                <w:b/>
                <w:sz w:val="22"/>
                <w:szCs w:val="22"/>
              </w:rPr>
            </w:pPr>
          </w:p>
        </w:tc>
      </w:tr>
      <w:tr w:rsidR="00A76167" w:rsidRPr="00A76167" w14:paraId="45DF9308" w14:textId="77777777" w:rsidTr="00A76167">
        <w:trPr>
          <w:trHeight w:val="681"/>
        </w:trPr>
        <w:tc>
          <w:tcPr>
            <w:tcW w:w="2127" w:type="dxa"/>
          </w:tcPr>
          <w:p w14:paraId="5139C19D" w14:textId="77777777" w:rsidR="00BC0269" w:rsidRPr="00A76167" w:rsidRDefault="00BC0269" w:rsidP="00A76167">
            <w:pPr>
              <w:rPr>
                <w:rFonts w:cs="Arial"/>
                <w:b/>
                <w:sz w:val="22"/>
                <w:szCs w:val="22"/>
              </w:rPr>
            </w:pPr>
            <w:r w:rsidRPr="00A76167">
              <w:rPr>
                <w:rFonts w:cs="Arial"/>
                <w:b/>
                <w:sz w:val="22"/>
                <w:szCs w:val="22"/>
              </w:rPr>
              <w:t>Indicator Title</w:t>
            </w:r>
          </w:p>
        </w:tc>
        <w:tc>
          <w:tcPr>
            <w:tcW w:w="7796" w:type="dxa"/>
          </w:tcPr>
          <w:p w14:paraId="2FC579D4" w14:textId="2130D1AF" w:rsidR="00BC0269" w:rsidRPr="00A76167" w:rsidRDefault="00BC0269" w:rsidP="00A76167">
            <w:pPr>
              <w:rPr>
                <w:rFonts w:cs="Arial"/>
                <w:b/>
                <w:sz w:val="22"/>
                <w:szCs w:val="22"/>
              </w:rPr>
            </w:pPr>
            <w:r w:rsidRPr="00A76167">
              <w:rPr>
                <w:rFonts w:cs="Arial"/>
                <w:sz w:val="22"/>
                <w:szCs w:val="22"/>
              </w:rPr>
              <w:t xml:space="preserve"> 5.1 Patient Safety Incidents </w:t>
            </w:r>
          </w:p>
        </w:tc>
      </w:tr>
      <w:tr w:rsidR="00A76167" w:rsidRPr="00A76167" w14:paraId="5C47C4A5" w14:textId="77777777" w:rsidTr="00A76167">
        <w:trPr>
          <w:trHeight w:val="408"/>
        </w:trPr>
        <w:tc>
          <w:tcPr>
            <w:tcW w:w="2127" w:type="dxa"/>
          </w:tcPr>
          <w:p w14:paraId="2D186BA8" w14:textId="77777777" w:rsidR="00BC0269" w:rsidRPr="00A76167" w:rsidRDefault="00BC0269" w:rsidP="00A76167">
            <w:pPr>
              <w:rPr>
                <w:rFonts w:cs="Arial"/>
                <w:b/>
                <w:sz w:val="22"/>
                <w:szCs w:val="22"/>
              </w:rPr>
            </w:pPr>
            <w:r w:rsidRPr="00A76167">
              <w:rPr>
                <w:rFonts w:cs="Arial"/>
                <w:b/>
                <w:sz w:val="22"/>
                <w:szCs w:val="22"/>
              </w:rPr>
              <w:t>Indicator Set</w:t>
            </w:r>
          </w:p>
        </w:tc>
        <w:tc>
          <w:tcPr>
            <w:tcW w:w="7796" w:type="dxa"/>
          </w:tcPr>
          <w:p w14:paraId="1CE6C607" w14:textId="40F265EE" w:rsidR="00BC0269" w:rsidRPr="00A76167" w:rsidRDefault="00BC0269" w:rsidP="00A76167">
            <w:pPr>
              <w:rPr>
                <w:rFonts w:cs="Arial"/>
                <w:b/>
                <w:sz w:val="22"/>
                <w:szCs w:val="22"/>
              </w:rPr>
            </w:pPr>
            <w:r w:rsidRPr="00A76167">
              <w:rPr>
                <w:rFonts w:cs="Arial"/>
                <w:sz w:val="22"/>
                <w:szCs w:val="22"/>
              </w:rPr>
              <w:t>CCG Outcome Indicator Set</w:t>
            </w:r>
          </w:p>
        </w:tc>
      </w:tr>
    </w:tbl>
    <w:p w14:paraId="484FE06F" w14:textId="77777777" w:rsidR="00BC0269" w:rsidRPr="00A76167" w:rsidRDefault="00BC0269" w:rsidP="00A76167">
      <w:pPr>
        <w:ind w:left="-851"/>
        <w:rPr>
          <w:rFonts w:cs="Arial"/>
          <w:sz w:val="22"/>
          <w:szCs w:val="22"/>
        </w:rPr>
      </w:pPr>
    </w:p>
    <w:p w14:paraId="3B61CAC8" w14:textId="77777777" w:rsidR="00BC0269" w:rsidRPr="00A76167" w:rsidRDefault="00BC0269" w:rsidP="00A76167">
      <w:pPr>
        <w:ind w:left="-851"/>
        <w:rPr>
          <w:rFonts w:cs="Arial"/>
          <w:sz w:val="22"/>
          <w:szCs w:val="22"/>
        </w:rPr>
      </w:pPr>
    </w:p>
    <w:p w14:paraId="31AD26EF" w14:textId="77777777" w:rsidR="00BC0269" w:rsidRPr="00A76167" w:rsidRDefault="00BC0269" w:rsidP="00A76167">
      <w:pPr>
        <w:ind w:left="-851"/>
        <w:rPr>
          <w:rFonts w:cs="Arial"/>
          <w:sz w:val="22"/>
          <w:szCs w:val="22"/>
        </w:rPr>
      </w:pPr>
    </w:p>
    <w:tbl>
      <w:tblPr>
        <w:tblStyle w:val="TableGrid"/>
        <w:tblW w:w="9923" w:type="dxa"/>
        <w:tblLayout w:type="fixed"/>
        <w:tblLook w:val="01E0" w:firstRow="1" w:lastRow="1" w:firstColumn="1" w:lastColumn="1" w:noHBand="0" w:noVBand="0"/>
      </w:tblPr>
      <w:tblGrid>
        <w:gridCol w:w="3828"/>
        <w:gridCol w:w="567"/>
        <w:gridCol w:w="2552"/>
        <w:gridCol w:w="2976"/>
      </w:tblGrid>
      <w:tr w:rsidR="00D47EDC" w:rsidRPr="00A76167" w14:paraId="0F413814" w14:textId="77777777" w:rsidTr="00A76167">
        <w:trPr>
          <w:trHeight w:val="270"/>
        </w:trPr>
        <w:tc>
          <w:tcPr>
            <w:tcW w:w="3828" w:type="dxa"/>
          </w:tcPr>
          <w:p w14:paraId="6A012C41" w14:textId="1418670D" w:rsidR="00D47EDC" w:rsidRPr="00A76167" w:rsidRDefault="00D47EDC" w:rsidP="00A76167">
            <w:pPr>
              <w:rPr>
                <w:rFonts w:cs="Arial"/>
                <w:sz w:val="22"/>
                <w:szCs w:val="22"/>
              </w:rPr>
            </w:pPr>
            <w:r w:rsidRPr="00A76167">
              <w:rPr>
                <w:rFonts w:cs="Arial"/>
                <w:sz w:val="22"/>
                <w:szCs w:val="22"/>
              </w:rPr>
              <w:t>Assurance Stage</w:t>
            </w:r>
          </w:p>
        </w:tc>
        <w:tc>
          <w:tcPr>
            <w:tcW w:w="567" w:type="dxa"/>
          </w:tcPr>
          <w:p w14:paraId="4A0BA955" w14:textId="77777777" w:rsidR="00D47EDC" w:rsidRPr="00A76167" w:rsidRDefault="00D47EDC" w:rsidP="00A76167">
            <w:pPr>
              <w:jc w:val="center"/>
              <w:rPr>
                <w:rFonts w:cs="Arial"/>
                <w:sz w:val="22"/>
                <w:szCs w:val="22"/>
              </w:rPr>
            </w:pPr>
          </w:p>
        </w:tc>
        <w:tc>
          <w:tcPr>
            <w:tcW w:w="2552" w:type="dxa"/>
          </w:tcPr>
          <w:p w14:paraId="3C6BF50D" w14:textId="03A70BFB" w:rsidR="00D47EDC" w:rsidRPr="00A76167" w:rsidRDefault="00D47EDC" w:rsidP="00A76167">
            <w:pPr>
              <w:jc w:val="right"/>
              <w:rPr>
                <w:rFonts w:cs="Arial"/>
                <w:sz w:val="22"/>
                <w:szCs w:val="22"/>
              </w:rPr>
            </w:pPr>
            <w:r w:rsidRPr="00A76167">
              <w:rPr>
                <w:rFonts w:cs="Arial"/>
                <w:sz w:val="22"/>
                <w:szCs w:val="22"/>
              </w:rPr>
              <w:t>Date(s)</w:t>
            </w:r>
          </w:p>
        </w:tc>
        <w:tc>
          <w:tcPr>
            <w:tcW w:w="2976" w:type="dxa"/>
          </w:tcPr>
          <w:p w14:paraId="14A4BF07" w14:textId="1F69BD04" w:rsidR="00D47EDC" w:rsidRPr="00A76167" w:rsidRDefault="00D47EDC" w:rsidP="00A76167">
            <w:pPr>
              <w:rPr>
                <w:rFonts w:cs="Arial"/>
                <w:sz w:val="22"/>
                <w:szCs w:val="22"/>
              </w:rPr>
            </w:pPr>
            <w:r w:rsidRPr="00A76167">
              <w:rPr>
                <w:rFonts w:cs="Arial"/>
                <w:sz w:val="22"/>
                <w:szCs w:val="22"/>
              </w:rPr>
              <w:t>Comments</w:t>
            </w:r>
          </w:p>
        </w:tc>
      </w:tr>
      <w:tr w:rsidR="00A76167" w:rsidRPr="00A76167" w14:paraId="48ADFAE3" w14:textId="77777777" w:rsidTr="00A76167">
        <w:trPr>
          <w:trHeight w:val="270"/>
        </w:trPr>
        <w:tc>
          <w:tcPr>
            <w:tcW w:w="3828" w:type="dxa"/>
          </w:tcPr>
          <w:p w14:paraId="4A478484" w14:textId="77777777" w:rsidR="00BC0269" w:rsidRPr="00A76167" w:rsidRDefault="00BC0269" w:rsidP="00A76167">
            <w:pPr>
              <w:rPr>
                <w:rFonts w:cs="Arial"/>
                <w:sz w:val="22"/>
                <w:szCs w:val="22"/>
              </w:rPr>
            </w:pPr>
            <w:r w:rsidRPr="00A76167">
              <w:rPr>
                <w:rFonts w:cs="Arial"/>
                <w:sz w:val="22"/>
                <w:szCs w:val="22"/>
              </w:rPr>
              <w:t>Application Received</w:t>
            </w:r>
          </w:p>
        </w:tc>
        <w:sdt>
          <w:sdtPr>
            <w:rPr>
              <w:rFonts w:cs="Arial"/>
              <w:sz w:val="22"/>
              <w:szCs w:val="22"/>
            </w:rPr>
            <w:id w:val="1768819078"/>
            <w14:checkbox>
              <w14:checked w14:val="1"/>
              <w14:checkedState w14:val="2612" w14:font="MS Gothic"/>
              <w14:uncheckedState w14:val="2610" w14:font="MS Gothic"/>
            </w14:checkbox>
          </w:sdtPr>
          <w:sdtEndPr/>
          <w:sdtContent>
            <w:tc>
              <w:tcPr>
                <w:tcW w:w="567" w:type="dxa"/>
              </w:tcPr>
              <w:p w14:paraId="34B393B2" w14:textId="77777777" w:rsidR="00BC0269" w:rsidRPr="00A76167" w:rsidRDefault="00BC0269" w:rsidP="00A76167">
                <w:pPr>
                  <w:jc w:val="center"/>
                  <w:rPr>
                    <w:rFonts w:cs="Arial"/>
                    <w:sz w:val="22"/>
                    <w:szCs w:val="22"/>
                  </w:rPr>
                </w:pPr>
                <w:r w:rsidRPr="00A76167">
                  <w:rPr>
                    <w:rFonts w:ascii="Segoe UI Symbol" w:eastAsia="MS Gothic" w:hAnsi="Segoe UI Symbol" w:cs="Segoe UI Symbol"/>
                    <w:sz w:val="22"/>
                    <w:szCs w:val="22"/>
                  </w:rPr>
                  <w:t>☒</w:t>
                </w:r>
              </w:p>
            </w:tc>
          </w:sdtContent>
        </w:sdt>
        <w:tc>
          <w:tcPr>
            <w:tcW w:w="2552" w:type="dxa"/>
          </w:tcPr>
          <w:p w14:paraId="6835E209" w14:textId="77777777" w:rsidR="00BC0269" w:rsidRPr="00A76167" w:rsidRDefault="00BC0269" w:rsidP="00A76167">
            <w:pPr>
              <w:jc w:val="right"/>
              <w:rPr>
                <w:rFonts w:cs="Arial"/>
                <w:sz w:val="22"/>
                <w:szCs w:val="22"/>
              </w:rPr>
            </w:pPr>
            <w:r w:rsidRPr="00A76167">
              <w:rPr>
                <w:rFonts w:cs="Arial"/>
                <w:sz w:val="22"/>
                <w:szCs w:val="22"/>
              </w:rPr>
              <w:t>04/12/12</w:t>
            </w:r>
          </w:p>
        </w:tc>
        <w:tc>
          <w:tcPr>
            <w:tcW w:w="2976" w:type="dxa"/>
          </w:tcPr>
          <w:p w14:paraId="762D7352" w14:textId="77777777" w:rsidR="00BC0269" w:rsidRPr="00A76167" w:rsidRDefault="00BC0269" w:rsidP="00A76167">
            <w:pPr>
              <w:rPr>
                <w:rFonts w:cs="Arial"/>
                <w:sz w:val="22"/>
                <w:szCs w:val="22"/>
              </w:rPr>
            </w:pPr>
          </w:p>
        </w:tc>
      </w:tr>
      <w:tr w:rsidR="00A76167" w:rsidRPr="00A76167" w14:paraId="17CBFEA0" w14:textId="77777777" w:rsidTr="00A76167">
        <w:trPr>
          <w:trHeight w:val="270"/>
        </w:trPr>
        <w:tc>
          <w:tcPr>
            <w:tcW w:w="3828" w:type="dxa"/>
          </w:tcPr>
          <w:p w14:paraId="557EB818" w14:textId="77777777" w:rsidR="00BC0269" w:rsidRPr="00A76167" w:rsidRDefault="00BC0269" w:rsidP="00A76167">
            <w:pPr>
              <w:rPr>
                <w:rFonts w:cs="Arial"/>
                <w:sz w:val="22"/>
                <w:szCs w:val="22"/>
              </w:rPr>
            </w:pPr>
            <w:r w:rsidRPr="00A76167">
              <w:rPr>
                <w:rFonts w:cs="Arial"/>
                <w:sz w:val="22"/>
                <w:szCs w:val="22"/>
              </w:rPr>
              <w:t>Initial Appraisal Completed</w:t>
            </w:r>
          </w:p>
        </w:tc>
        <w:sdt>
          <w:sdtPr>
            <w:rPr>
              <w:rFonts w:cs="Arial"/>
              <w:sz w:val="22"/>
              <w:szCs w:val="22"/>
            </w:rPr>
            <w:id w:val="1458530912"/>
            <w14:checkbox>
              <w14:checked w14:val="1"/>
              <w14:checkedState w14:val="2612" w14:font="MS Gothic"/>
              <w14:uncheckedState w14:val="2610" w14:font="MS Gothic"/>
            </w14:checkbox>
          </w:sdtPr>
          <w:sdtEndPr/>
          <w:sdtContent>
            <w:tc>
              <w:tcPr>
                <w:tcW w:w="567" w:type="dxa"/>
              </w:tcPr>
              <w:p w14:paraId="7969648E" w14:textId="77777777" w:rsidR="00BC0269" w:rsidRPr="00A76167" w:rsidRDefault="00BC0269" w:rsidP="00A76167">
                <w:pPr>
                  <w:jc w:val="center"/>
                  <w:rPr>
                    <w:rFonts w:cs="Arial"/>
                    <w:sz w:val="22"/>
                    <w:szCs w:val="22"/>
                  </w:rPr>
                </w:pPr>
                <w:r w:rsidRPr="00A76167">
                  <w:rPr>
                    <w:rFonts w:ascii="Segoe UI Symbol" w:eastAsia="MS Gothic" w:hAnsi="Segoe UI Symbol" w:cs="Segoe UI Symbol"/>
                    <w:sz w:val="22"/>
                    <w:szCs w:val="22"/>
                  </w:rPr>
                  <w:t>☒</w:t>
                </w:r>
              </w:p>
            </w:tc>
          </w:sdtContent>
        </w:sdt>
        <w:tc>
          <w:tcPr>
            <w:tcW w:w="2552" w:type="dxa"/>
          </w:tcPr>
          <w:p w14:paraId="5B4394BE" w14:textId="77777777" w:rsidR="00BC0269" w:rsidRPr="00A76167" w:rsidRDefault="00BC0269" w:rsidP="00A76167">
            <w:pPr>
              <w:jc w:val="right"/>
              <w:rPr>
                <w:rFonts w:cs="Arial"/>
                <w:sz w:val="22"/>
                <w:szCs w:val="22"/>
              </w:rPr>
            </w:pPr>
            <w:r w:rsidRPr="00A76167">
              <w:rPr>
                <w:rFonts w:cs="Arial"/>
                <w:sz w:val="22"/>
                <w:szCs w:val="22"/>
              </w:rPr>
              <w:t>20/01/13</w:t>
            </w:r>
          </w:p>
        </w:tc>
        <w:tc>
          <w:tcPr>
            <w:tcW w:w="2976" w:type="dxa"/>
          </w:tcPr>
          <w:p w14:paraId="4AAE3249" w14:textId="77777777" w:rsidR="00BC0269" w:rsidRPr="00A76167" w:rsidRDefault="00BC0269" w:rsidP="00A76167">
            <w:pPr>
              <w:rPr>
                <w:rFonts w:cs="Arial"/>
                <w:sz w:val="22"/>
                <w:szCs w:val="22"/>
              </w:rPr>
            </w:pPr>
          </w:p>
        </w:tc>
      </w:tr>
      <w:tr w:rsidR="00A76167" w:rsidRPr="00A76167" w14:paraId="5DE28C5B" w14:textId="77777777" w:rsidTr="00A76167">
        <w:trPr>
          <w:trHeight w:val="270"/>
        </w:trPr>
        <w:tc>
          <w:tcPr>
            <w:tcW w:w="3828" w:type="dxa"/>
          </w:tcPr>
          <w:p w14:paraId="07F40D61" w14:textId="77777777" w:rsidR="00BC0269" w:rsidRPr="00A76167" w:rsidRDefault="00BC0269" w:rsidP="00A76167">
            <w:pPr>
              <w:rPr>
                <w:rFonts w:cs="Arial"/>
                <w:sz w:val="22"/>
                <w:szCs w:val="22"/>
              </w:rPr>
            </w:pPr>
            <w:r w:rsidRPr="00A76167">
              <w:rPr>
                <w:rFonts w:cs="Arial"/>
                <w:sz w:val="22"/>
                <w:szCs w:val="22"/>
              </w:rPr>
              <w:t>Peer Review Appraisal</w:t>
            </w:r>
          </w:p>
        </w:tc>
        <w:sdt>
          <w:sdtPr>
            <w:rPr>
              <w:rFonts w:cs="Arial"/>
              <w:sz w:val="22"/>
              <w:szCs w:val="22"/>
            </w:rPr>
            <w:id w:val="-1207555589"/>
            <w14:checkbox>
              <w14:checked w14:val="0"/>
              <w14:checkedState w14:val="2612" w14:font="MS Gothic"/>
              <w14:uncheckedState w14:val="2610" w14:font="MS Gothic"/>
            </w14:checkbox>
          </w:sdtPr>
          <w:sdtEndPr/>
          <w:sdtContent>
            <w:tc>
              <w:tcPr>
                <w:tcW w:w="567" w:type="dxa"/>
              </w:tcPr>
              <w:p w14:paraId="38B20021" w14:textId="77777777" w:rsidR="00BC0269" w:rsidRPr="00A76167" w:rsidRDefault="00BC0269" w:rsidP="00A76167">
                <w:pPr>
                  <w:jc w:val="center"/>
                  <w:rPr>
                    <w:rFonts w:cs="Arial"/>
                    <w:sz w:val="22"/>
                    <w:szCs w:val="22"/>
                  </w:rPr>
                </w:pPr>
                <w:r w:rsidRPr="00A76167">
                  <w:rPr>
                    <w:rFonts w:ascii="Segoe UI Symbol" w:eastAsia="MS Gothic" w:hAnsi="Segoe UI Symbol" w:cs="Segoe UI Symbol"/>
                    <w:sz w:val="22"/>
                    <w:szCs w:val="22"/>
                  </w:rPr>
                  <w:t>☐</w:t>
                </w:r>
              </w:p>
            </w:tc>
          </w:sdtContent>
        </w:sdt>
        <w:tc>
          <w:tcPr>
            <w:tcW w:w="2552" w:type="dxa"/>
          </w:tcPr>
          <w:p w14:paraId="1FBBCD2E" w14:textId="77777777" w:rsidR="00BC0269" w:rsidRPr="00A76167" w:rsidRDefault="00BC0269" w:rsidP="00A76167">
            <w:pPr>
              <w:jc w:val="right"/>
              <w:rPr>
                <w:rFonts w:cs="Arial"/>
                <w:sz w:val="22"/>
                <w:szCs w:val="22"/>
              </w:rPr>
            </w:pPr>
          </w:p>
        </w:tc>
        <w:tc>
          <w:tcPr>
            <w:tcW w:w="2976" w:type="dxa"/>
          </w:tcPr>
          <w:p w14:paraId="02BB135D" w14:textId="77777777" w:rsidR="00BC0269" w:rsidRPr="00A76167" w:rsidRDefault="00BC0269" w:rsidP="00A76167">
            <w:pPr>
              <w:rPr>
                <w:rFonts w:cs="Arial"/>
                <w:sz w:val="22"/>
                <w:szCs w:val="22"/>
              </w:rPr>
            </w:pPr>
            <w:r w:rsidRPr="00A76167">
              <w:rPr>
                <w:rFonts w:cs="Arial"/>
                <w:sz w:val="22"/>
                <w:szCs w:val="22"/>
              </w:rPr>
              <w:t>No peer review undertaken</w:t>
            </w:r>
          </w:p>
        </w:tc>
      </w:tr>
      <w:tr w:rsidR="00A76167" w:rsidRPr="00A76167" w14:paraId="01DCA8AA" w14:textId="77777777" w:rsidTr="00A76167">
        <w:trPr>
          <w:trHeight w:val="270"/>
        </w:trPr>
        <w:tc>
          <w:tcPr>
            <w:tcW w:w="3828" w:type="dxa"/>
          </w:tcPr>
          <w:p w14:paraId="572F7A64" w14:textId="77777777" w:rsidR="00BC0269" w:rsidRPr="00A76167" w:rsidRDefault="00BC0269" w:rsidP="00A76167">
            <w:pPr>
              <w:rPr>
                <w:rFonts w:cs="Arial"/>
                <w:sz w:val="22"/>
                <w:szCs w:val="22"/>
              </w:rPr>
            </w:pPr>
            <w:r w:rsidRPr="00A76167">
              <w:rPr>
                <w:rFonts w:cs="Arial"/>
                <w:sz w:val="22"/>
                <w:szCs w:val="22"/>
              </w:rPr>
              <w:t>Methodology Review Group Discussion</w:t>
            </w:r>
          </w:p>
        </w:tc>
        <w:sdt>
          <w:sdtPr>
            <w:rPr>
              <w:rFonts w:cs="Arial"/>
              <w:sz w:val="22"/>
              <w:szCs w:val="22"/>
            </w:rPr>
            <w:id w:val="-1508978988"/>
            <w14:checkbox>
              <w14:checked w14:val="1"/>
              <w14:checkedState w14:val="2612" w14:font="MS Gothic"/>
              <w14:uncheckedState w14:val="2610" w14:font="MS Gothic"/>
            </w14:checkbox>
          </w:sdtPr>
          <w:sdtEndPr/>
          <w:sdtContent>
            <w:tc>
              <w:tcPr>
                <w:tcW w:w="567" w:type="dxa"/>
              </w:tcPr>
              <w:p w14:paraId="53773E6C" w14:textId="77777777" w:rsidR="00BC0269" w:rsidRPr="00A76167" w:rsidRDefault="00BC0269" w:rsidP="00A76167">
                <w:pPr>
                  <w:jc w:val="center"/>
                  <w:rPr>
                    <w:rFonts w:cs="Arial"/>
                    <w:sz w:val="22"/>
                    <w:szCs w:val="22"/>
                  </w:rPr>
                </w:pPr>
                <w:r w:rsidRPr="00A76167">
                  <w:rPr>
                    <w:rFonts w:ascii="Segoe UI Symbol" w:eastAsia="MS Gothic" w:hAnsi="Segoe UI Symbol" w:cs="Segoe UI Symbol"/>
                    <w:sz w:val="22"/>
                    <w:szCs w:val="22"/>
                  </w:rPr>
                  <w:t>☒</w:t>
                </w:r>
              </w:p>
            </w:tc>
          </w:sdtContent>
        </w:sdt>
        <w:tc>
          <w:tcPr>
            <w:tcW w:w="2552" w:type="dxa"/>
          </w:tcPr>
          <w:p w14:paraId="20A284E3" w14:textId="77777777" w:rsidR="00BC0269" w:rsidRPr="00A76167" w:rsidRDefault="00BC0269" w:rsidP="00A76167">
            <w:pPr>
              <w:jc w:val="right"/>
              <w:rPr>
                <w:rFonts w:cs="Arial"/>
                <w:sz w:val="22"/>
                <w:szCs w:val="22"/>
              </w:rPr>
            </w:pPr>
            <w:r w:rsidRPr="00A76167">
              <w:rPr>
                <w:rFonts w:cs="Arial"/>
                <w:sz w:val="22"/>
                <w:szCs w:val="22"/>
              </w:rPr>
              <w:t>21/02/13, 03/05/13</w:t>
            </w:r>
          </w:p>
        </w:tc>
        <w:tc>
          <w:tcPr>
            <w:tcW w:w="2976" w:type="dxa"/>
          </w:tcPr>
          <w:p w14:paraId="15D0AF2A" w14:textId="77777777" w:rsidR="00BC0269" w:rsidRPr="00A76167" w:rsidRDefault="00BC0269" w:rsidP="00A76167">
            <w:pPr>
              <w:rPr>
                <w:rFonts w:cs="Arial"/>
                <w:sz w:val="22"/>
                <w:szCs w:val="22"/>
              </w:rPr>
            </w:pPr>
            <w:r w:rsidRPr="00A76167">
              <w:rPr>
                <w:rFonts w:cs="Arial"/>
                <w:sz w:val="22"/>
                <w:szCs w:val="22"/>
              </w:rPr>
              <w:t>Discussed 26/10/12 as part of discussion of NHSOF level indicator</w:t>
            </w:r>
          </w:p>
        </w:tc>
      </w:tr>
      <w:tr w:rsidR="00A76167" w:rsidRPr="00A76167" w14:paraId="164004AC" w14:textId="77777777" w:rsidTr="00A76167">
        <w:trPr>
          <w:trHeight w:val="270"/>
        </w:trPr>
        <w:tc>
          <w:tcPr>
            <w:tcW w:w="3828" w:type="dxa"/>
          </w:tcPr>
          <w:p w14:paraId="093F4366" w14:textId="77777777" w:rsidR="00BC0269" w:rsidRPr="00A76167" w:rsidRDefault="00BC0269" w:rsidP="00A76167">
            <w:pPr>
              <w:rPr>
                <w:rFonts w:cs="Arial"/>
                <w:sz w:val="22"/>
                <w:szCs w:val="22"/>
              </w:rPr>
            </w:pPr>
            <w:r w:rsidRPr="00A76167">
              <w:rPr>
                <w:rFonts w:cs="Arial"/>
                <w:sz w:val="22"/>
                <w:szCs w:val="22"/>
              </w:rPr>
              <w:t>Indicator Governance Board  Discussion</w:t>
            </w:r>
          </w:p>
        </w:tc>
        <w:sdt>
          <w:sdtPr>
            <w:rPr>
              <w:rFonts w:cs="Arial"/>
              <w:sz w:val="22"/>
              <w:szCs w:val="22"/>
            </w:rPr>
            <w:id w:val="-718508909"/>
            <w14:checkbox>
              <w14:checked w14:val="1"/>
              <w14:checkedState w14:val="2612" w14:font="MS Gothic"/>
              <w14:uncheckedState w14:val="2610" w14:font="MS Gothic"/>
            </w14:checkbox>
          </w:sdtPr>
          <w:sdtEndPr/>
          <w:sdtContent>
            <w:tc>
              <w:tcPr>
                <w:tcW w:w="567" w:type="dxa"/>
              </w:tcPr>
              <w:p w14:paraId="5B095807" w14:textId="77777777" w:rsidR="00BC0269" w:rsidRPr="00A76167" w:rsidRDefault="00BC0269" w:rsidP="00A76167">
                <w:pPr>
                  <w:jc w:val="center"/>
                  <w:rPr>
                    <w:rFonts w:cs="Arial"/>
                    <w:sz w:val="22"/>
                    <w:szCs w:val="22"/>
                  </w:rPr>
                </w:pPr>
                <w:r w:rsidRPr="00A76167">
                  <w:rPr>
                    <w:rFonts w:ascii="Segoe UI Symbol" w:eastAsia="MS Gothic" w:hAnsi="Segoe UI Symbol" w:cs="Segoe UI Symbol"/>
                    <w:sz w:val="22"/>
                    <w:szCs w:val="22"/>
                  </w:rPr>
                  <w:t>☒</w:t>
                </w:r>
              </w:p>
            </w:tc>
          </w:sdtContent>
        </w:sdt>
        <w:tc>
          <w:tcPr>
            <w:tcW w:w="2552" w:type="dxa"/>
          </w:tcPr>
          <w:p w14:paraId="1082E951" w14:textId="77777777" w:rsidR="00BC0269" w:rsidRPr="00A76167" w:rsidRDefault="00BC0269" w:rsidP="00A76167">
            <w:pPr>
              <w:jc w:val="right"/>
              <w:rPr>
                <w:rFonts w:cs="Arial"/>
                <w:sz w:val="22"/>
                <w:szCs w:val="22"/>
              </w:rPr>
            </w:pPr>
            <w:r w:rsidRPr="00A76167">
              <w:rPr>
                <w:rFonts w:cs="Arial"/>
                <w:sz w:val="22"/>
                <w:szCs w:val="22"/>
              </w:rPr>
              <w:t>06/12/13</w:t>
            </w:r>
          </w:p>
        </w:tc>
        <w:tc>
          <w:tcPr>
            <w:tcW w:w="2976" w:type="dxa"/>
          </w:tcPr>
          <w:p w14:paraId="093D7862" w14:textId="77777777" w:rsidR="00BC0269" w:rsidRPr="00A76167" w:rsidRDefault="00BC0269" w:rsidP="00A76167">
            <w:pPr>
              <w:rPr>
                <w:rFonts w:cs="Arial"/>
                <w:sz w:val="22"/>
                <w:szCs w:val="22"/>
              </w:rPr>
            </w:pPr>
          </w:p>
        </w:tc>
      </w:tr>
      <w:tr w:rsidR="00A76167" w:rsidRPr="00A76167" w14:paraId="61B38A8B" w14:textId="77777777" w:rsidTr="00A76167">
        <w:trPr>
          <w:trHeight w:val="270"/>
        </w:trPr>
        <w:tc>
          <w:tcPr>
            <w:tcW w:w="3828" w:type="dxa"/>
          </w:tcPr>
          <w:p w14:paraId="30FFEF63" w14:textId="77777777" w:rsidR="00BC0269" w:rsidRPr="00A76167" w:rsidRDefault="00BC0269" w:rsidP="00A76167">
            <w:pPr>
              <w:rPr>
                <w:rFonts w:cs="Arial"/>
                <w:sz w:val="22"/>
                <w:szCs w:val="22"/>
              </w:rPr>
            </w:pPr>
            <w:r w:rsidRPr="00A76167">
              <w:rPr>
                <w:rFonts w:cs="Arial"/>
                <w:sz w:val="22"/>
                <w:szCs w:val="22"/>
              </w:rPr>
              <w:t>Signed-off</w:t>
            </w:r>
          </w:p>
        </w:tc>
        <w:sdt>
          <w:sdtPr>
            <w:rPr>
              <w:rFonts w:cs="Arial"/>
              <w:sz w:val="22"/>
              <w:szCs w:val="22"/>
            </w:rPr>
            <w:id w:val="-80447492"/>
            <w14:checkbox>
              <w14:checked w14:val="1"/>
              <w14:checkedState w14:val="2612" w14:font="MS Gothic"/>
              <w14:uncheckedState w14:val="2610" w14:font="MS Gothic"/>
            </w14:checkbox>
          </w:sdtPr>
          <w:sdtEndPr/>
          <w:sdtContent>
            <w:tc>
              <w:tcPr>
                <w:tcW w:w="567" w:type="dxa"/>
              </w:tcPr>
              <w:p w14:paraId="658F6594" w14:textId="77777777" w:rsidR="00BC0269" w:rsidRPr="00A76167" w:rsidRDefault="00BC0269" w:rsidP="00A76167">
                <w:pPr>
                  <w:jc w:val="center"/>
                  <w:rPr>
                    <w:rFonts w:cs="Arial"/>
                    <w:sz w:val="22"/>
                    <w:szCs w:val="22"/>
                  </w:rPr>
                </w:pPr>
                <w:r w:rsidRPr="00A76167">
                  <w:rPr>
                    <w:rFonts w:ascii="Segoe UI Symbol" w:eastAsia="MS Gothic" w:hAnsi="Segoe UI Symbol" w:cs="Segoe UI Symbol"/>
                    <w:sz w:val="22"/>
                    <w:szCs w:val="22"/>
                  </w:rPr>
                  <w:t>☒</w:t>
                </w:r>
              </w:p>
            </w:tc>
          </w:sdtContent>
        </w:sdt>
        <w:tc>
          <w:tcPr>
            <w:tcW w:w="2552" w:type="dxa"/>
          </w:tcPr>
          <w:p w14:paraId="4938DCF2" w14:textId="77777777" w:rsidR="00BC0269" w:rsidRPr="00A76167" w:rsidRDefault="00BC0269" w:rsidP="00A76167">
            <w:pPr>
              <w:jc w:val="right"/>
              <w:rPr>
                <w:rFonts w:cs="Arial"/>
                <w:sz w:val="22"/>
                <w:szCs w:val="22"/>
              </w:rPr>
            </w:pPr>
          </w:p>
        </w:tc>
        <w:tc>
          <w:tcPr>
            <w:tcW w:w="2976" w:type="dxa"/>
          </w:tcPr>
          <w:p w14:paraId="25810542" w14:textId="77777777" w:rsidR="00BC0269" w:rsidRPr="00A76167" w:rsidRDefault="00BC0269" w:rsidP="00A76167">
            <w:pPr>
              <w:rPr>
                <w:rFonts w:cs="Arial"/>
                <w:sz w:val="22"/>
                <w:szCs w:val="22"/>
              </w:rPr>
            </w:pPr>
          </w:p>
        </w:tc>
      </w:tr>
    </w:tbl>
    <w:p w14:paraId="3FD6E0F8" w14:textId="77777777" w:rsidR="00BC0269" w:rsidRPr="00A76167" w:rsidRDefault="00BC0269" w:rsidP="00A76167">
      <w:pPr>
        <w:ind w:left="-851"/>
        <w:rPr>
          <w:rFonts w:cs="Arial"/>
          <w:sz w:val="22"/>
          <w:szCs w:val="22"/>
        </w:rPr>
      </w:pPr>
    </w:p>
    <w:p w14:paraId="31816834" w14:textId="77777777" w:rsidR="00BC0269" w:rsidRPr="00A76167" w:rsidRDefault="00BC0269" w:rsidP="00A76167">
      <w:pPr>
        <w:ind w:left="-851"/>
        <w:rPr>
          <w:rFonts w:cs="Arial"/>
          <w:sz w:val="22"/>
          <w:szCs w:val="22"/>
        </w:rPr>
      </w:pPr>
    </w:p>
    <w:p w14:paraId="4C877220" w14:textId="77777777" w:rsidR="00BC0269" w:rsidRPr="00A76167" w:rsidRDefault="00BC0269" w:rsidP="00A76167">
      <w:pPr>
        <w:spacing w:after="120"/>
        <w:ind w:left="-851"/>
        <w:rPr>
          <w:rFonts w:cs="Arial"/>
          <w:sz w:val="22"/>
          <w:szCs w:val="22"/>
        </w:rPr>
      </w:pPr>
      <w:r w:rsidRPr="00A76167">
        <w:rPr>
          <w:rFonts w:cs="Arial"/>
          <w:sz w:val="22"/>
          <w:szCs w:val="22"/>
        </w:rPr>
        <w:t>Peer Review</w:t>
      </w:r>
    </w:p>
    <w:tbl>
      <w:tblPr>
        <w:tblStyle w:val="TableGrid"/>
        <w:tblW w:w="9923" w:type="dxa"/>
        <w:tblLayout w:type="fixed"/>
        <w:tblLook w:val="01E0" w:firstRow="1" w:lastRow="1" w:firstColumn="1" w:lastColumn="1" w:noHBand="0" w:noVBand="0"/>
      </w:tblPr>
      <w:tblGrid>
        <w:gridCol w:w="2124"/>
        <w:gridCol w:w="7799"/>
      </w:tblGrid>
      <w:tr w:rsidR="00D47EDC" w:rsidRPr="00A76167" w14:paraId="3B0E10F9" w14:textId="77777777" w:rsidTr="00A76167">
        <w:tc>
          <w:tcPr>
            <w:tcW w:w="2124" w:type="dxa"/>
          </w:tcPr>
          <w:p w14:paraId="30C7D454" w14:textId="769CFAA6" w:rsidR="00D47EDC" w:rsidRPr="00A76167" w:rsidRDefault="00D47EDC" w:rsidP="00D47EDC">
            <w:pPr>
              <w:rPr>
                <w:rFonts w:cs="Arial"/>
                <w:sz w:val="22"/>
                <w:szCs w:val="22"/>
              </w:rPr>
            </w:pPr>
            <w:r w:rsidRPr="00A76167">
              <w:rPr>
                <w:rFonts w:cs="Arial"/>
                <w:sz w:val="22"/>
                <w:szCs w:val="22"/>
              </w:rPr>
              <w:t>Peer Reviewer(s) / Organisations :</w:t>
            </w:r>
          </w:p>
        </w:tc>
        <w:tc>
          <w:tcPr>
            <w:tcW w:w="7799" w:type="dxa"/>
          </w:tcPr>
          <w:p w14:paraId="7D2978D9" w14:textId="7F48A385" w:rsidR="00D47EDC" w:rsidRPr="00A76167" w:rsidRDefault="00D47EDC" w:rsidP="00D47EDC">
            <w:pPr>
              <w:rPr>
                <w:rFonts w:cs="Arial"/>
                <w:sz w:val="22"/>
                <w:szCs w:val="22"/>
              </w:rPr>
            </w:pPr>
            <w:r w:rsidRPr="00A76167">
              <w:rPr>
                <w:rFonts w:cs="Arial"/>
                <w:sz w:val="22"/>
                <w:szCs w:val="22"/>
              </w:rPr>
              <w:t>No peer review undertaken at present</w:t>
            </w:r>
          </w:p>
        </w:tc>
      </w:tr>
    </w:tbl>
    <w:p w14:paraId="3684F555" w14:textId="77777777" w:rsidR="00D47EDC" w:rsidRDefault="00D47EDC"/>
    <w:tbl>
      <w:tblPr>
        <w:tblStyle w:val="TableGrid"/>
        <w:tblW w:w="9923" w:type="dxa"/>
        <w:tblLayout w:type="fixed"/>
        <w:tblLook w:val="01E0" w:firstRow="1" w:lastRow="1" w:firstColumn="1" w:lastColumn="1" w:noHBand="0" w:noVBand="0"/>
      </w:tblPr>
      <w:tblGrid>
        <w:gridCol w:w="2124"/>
        <w:gridCol w:w="6509"/>
        <w:gridCol w:w="713"/>
        <w:gridCol w:w="577"/>
      </w:tblGrid>
      <w:tr w:rsidR="00D47EDC" w:rsidRPr="00A76167" w14:paraId="2883F67E" w14:textId="77777777" w:rsidTr="00A76167">
        <w:trPr>
          <w:trHeight w:val="228"/>
        </w:trPr>
        <w:tc>
          <w:tcPr>
            <w:tcW w:w="2124" w:type="dxa"/>
          </w:tcPr>
          <w:p w14:paraId="4DA05317" w14:textId="0AB66F64" w:rsidR="00D47EDC" w:rsidRPr="00A76167" w:rsidRDefault="00D47EDC" w:rsidP="00D47EDC">
            <w:pPr>
              <w:rPr>
                <w:rFonts w:cs="Arial"/>
                <w:sz w:val="22"/>
                <w:szCs w:val="22"/>
              </w:rPr>
            </w:pPr>
            <w:r w:rsidRPr="00A76167">
              <w:rPr>
                <w:rFonts w:cs="Arial"/>
                <w:i/>
                <w:sz w:val="22"/>
                <w:szCs w:val="22"/>
              </w:rPr>
              <w:t>Outcome of Peer Review consideration:</w:t>
            </w:r>
          </w:p>
        </w:tc>
        <w:tc>
          <w:tcPr>
            <w:tcW w:w="6509" w:type="dxa"/>
          </w:tcPr>
          <w:p w14:paraId="1AA06B68" w14:textId="61C7DB8D" w:rsidR="00D47EDC" w:rsidRPr="00A76167" w:rsidRDefault="00D47EDC" w:rsidP="00D47EDC">
            <w:pPr>
              <w:pStyle w:val="ListParagraph"/>
              <w:numPr>
                <w:ilvl w:val="0"/>
                <w:numId w:val="21"/>
              </w:numPr>
              <w:spacing w:after="0"/>
              <w:contextualSpacing/>
              <w:textboxTightWrap w:val="none"/>
              <w:rPr>
                <w:rFonts w:cs="Arial"/>
                <w:b/>
                <w:sz w:val="22"/>
                <w:szCs w:val="22"/>
              </w:rPr>
            </w:pPr>
            <w:r w:rsidRPr="00A76167">
              <w:rPr>
                <w:rFonts w:cs="Arial"/>
                <w:b/>
                <w:sz w:val="22"/>
                <w:szCs w:val="22"/>
              </w:rPr>
              <w:t>Proposal signed off, with or without caveats</w:t>
            </w:r>
          </w:p>
        </w:tc>
        <w:sdt>
          <w:sdtPr>
            <w:rPr>
              <w:rFonts w:cs="Arial"/>
              <w:sz w:val="22"/>
              <w:szCs w:val="22"/>
            </w:rPr>
            <w:id w:val="1921210024"/>
            <w14:checkbox>
              <w14:checked w14:val="0"/>
              <w14:checkedState w14:val="2612" w14:font="MS Gothic"/>
              <w14:uncheckedState w14:val="2610" w14:font="MS Gothic"/>
            </w14:checkbox>
          </w:sdtPr>
          <w:sdtEndPr/>
          <w:sdtContent>
            <w:tc>
              <w:tcPr>
                <w:tcW w:w="713" w:type="dxa"/>
              </w:tcPr>
              <w:p w14:paraId="1745244A" w14:textId="4B3E8F9B" w:rsidR="00D47EDC" w:rsidRPr="00A76167" w:rsidRDefault="00D47EDC" w:rsidP="00D47EDC">
                <w:pPr>
                  <w:jc w:val="center"/>
                  <w:rPr>
                    <w:rFonts w:cs="Arial"/>
                    <w:sz w:val="22"/>
                    <w:szCs w:val="22"/>
                  </w:rPr>
                </w:pPr>
                <w:r w:rsidRPr="00A76167">
                  <w:rPr>
                    <w:rFonts w:ascii="Segoe UI Symbol" w:eastAsia="MS Gothic" w:hAnsi="Segoe UI Symbol" w:cs="Segoe UI Symbol"/>
                    <w:sz w:val="22"/>
                    <w:szCs w:val="22"/>
                  </w:rPr>
                  <w:t>☐</w:t>
                </w:r>
              </w:p>
            </w:tc>
          </w:sdtContent>
        </w:sdt>
        <w:tc>
          <w:tcPr>
            <w:tcW w:w="577" w:type="dxa"/>
          </w:tcPr>
          <w:p w14:paraId="528DE480" w14:textId="77777777" w:rsidR="00D47EDC" w:rsidRPr="00A76167" w:rsidRDefault="00D47EDC" w:rsidP="00D47EDC">
            <w:pPr>
              <w:rPr>
                <w:rFonts w:cs="Arial"/>
                <w:b/>
                <w:sz w:val="22"/>
                <w:szCs w:val="22"/>
              </w:rPr>
            </w:pPr>
          </w:p>
        </w:tc>
      </w:tr>
      <w:tr w:rsidR="00D47EDC" w:rsidRPr="00A76167" w14:paraId="045D97FC" w14:textId="77777777" w:rsidTr="00A76167">
        <w:trPr>
          <w:trHeight w:val="228"/>
        </w:trPr>
        <w:tc>
          <w:tcPr>
            <w:tcW w:w="2124" w:type="dxa"/>
          </w:tcPr>
          <w:p w14:paraId="42CCEBC4" w14:textId="77777777" w:rsidR="00D47EDC" w:rsidRPr="00A76167" w:rsidRDefault="00D47EDC" w:rsidP="00D47EDC">
            <w:pPr>
              <w:rPr>
                <w:rFonts w:cs="Arial"/>
                <w:sz w:val="22"/>
                <w:szCs w:val="22"/>
              </w:rPr>
            </w:pPr>
          </w:p>
        </w:tc>
        <w:tc>
          <w:tcPr>
            <w:tcW w:w="6509" w:type="dxa"/>
          </w:tcPr>
          <w:p w14:paraId="4A7D9C8A" w14:textId="3A180FEA" w:rsidR="00D47EDC" w:rsidRPr="00A76167" w:rsidRDefault="00D47EDC" w:rsidP="00D47EDC">
            <w:pPr>
              <w:pStyle w:val="ListParagraph"/>
              <w:numPr>
                <w:ilvl w:val="0"/>
                <w:numId w:val="21"/>
              </w:numPr>
              <w:spacing w:after="0"/>
              <w:contextualSpacing/>
              <w:textboxTightWrap w:val="none"/>
              <w:rPr>
                <w:rFonts w:cs="Arial"/>
                <w:b/>
                <w:sz w:val="22"/>
                <w:szCs w:val="22"/>
              </w:rPr>
            </w:pPr>
            <w:r w:rsidRPr="00A76167">
              <w:rPr>
                <w:rFonts w:cs="Arial"/>
                <w:b/>
                <w:sz w:val="22"/>
                <w:szCs w:val="22"/>
              </w:rPr>
              <w:t xml:space="preserve">Minor changes recommended  </w:t>
            </w:r>
          </w:p>
        </w:tc>
        <w:sdt>
          <w:sdtPr>
            <w:rPr>
              <w:rFonts w:cs="Arial"/>
              <w:sz w:val="22"/>
              <w:szCs w:val="22"/>
            </w:rPr>
            <w:id w:val="656268324"/>
            <w14:checkbox>
              <w14:checked w14:val="0"/>
              <w14:checkedState w14:val="2612" w14:font="MS Gothic"/>
              <w14:uncheckedState w14:val="2610" w14:font="MS Gothic"/>
            </w14:checkbox>
          </w:sdtPr>
          <w:sdtEndPr/>
          <w:sdtContent>
            <w:tc>
              <w:tcPr>
                <w:tcW w:w="713" w:type="dxa"/>
              </w:tcPr>
              <w:p w14:paraId="4FEB27E8" w14:textId="48275F58" w:rsidR="00D47EDC" w:rsidRPr="00A76167" w:rsidRDefault="00D47EDC" w:rsidP="00D47EDC">
                <w:pPr>
                  <w:jc w:val="center"/>
                  <w:rPr>
                    <w:rFonts w:cs="Arial"/>
                    <w:sz w:val="22"/>
                    <w:szCs w:val="22"/>
                  </w:rPr>
                </w:pPr>
                <w:r w:rsidRPr="00A76167">
                  <w:rPr>
                    <w:rFonts w:ascii="Segoe UI Symbol" w:eastAsia="MS Gothic" w:hAnsi="Segoe UI Symbol" w:cs="Segoe UI Symbol"/>
                    <w:sz w:val="22"/>
                    <w:szCs w:val="22"/>
                  </w:rPr>
                  <w:t>☐</w:t>
                </w:r>
              </w:p>
            </w:tc>
          </w:sdtContent>
        </w:sdt>
        <w:tc>
          <w:tcPr>
            <w:tcW w:w="577" w:type="dxa"/>
          </w:tcPr>
          <w:p w14:paraId="0B66DDF4" w14:textId="77777777" w:rsidR="00D47EDC" w:rsidRPr="00A76167" w:rsidRDefault="00D47EDC" w:rsidP="00D47EDC">
            <w:pPr>
              <w:rPr>
                <w:rFonts w:cs="Arial"/>
                <w:b/>
                <w:sz w:val="22"/>
                <w:szCs w:val="22"/>
              </w:rPr>
            </w:pPr>
          </w:p>
        </w:tc>
      </w:tr>
      <w:tr w:rsidR="00D47EDC" w:rsidRPr="00A76167" w14:paraId="3FDEDD42" w14:textId="77777777" w:rsidTr="00A76167">
        <w:trPr>
          <w:trHeight w:val="228"/>
        </w:trPr>
        <w:tc>
          <w:tcPr>
            <w:tcW w:w="2124" w:type="dxa"/>
          </w:tcPr>
          <w:p w14:paraId="25E98737" w14:textId="77777777" w:rsidR="00D47EDC" w:rsidRPr="00A76167" w:rsidRDefault="00D47EDC" w:rsidP="00D47EDC">
            <w:pPr>
              <w:rPr>
                <w:rFonts w:cs="Arial"/>
                <w:sz w:val="22"/>
                <w:szCs w:val="22"/>
              </w:rPr>
            </w:pPr>
          </w:p>
        </w:tc>
        <w:tc>
          <w:tcPr>
            <w:tcW w:w="6509" w:type="dxa"/>
          </w:tcPr>
          <w:p w14:paraId="0AF50693" w14:textId="29819CEB" w:rsidR="00D47EDC" w:rsidRPr="00A76167" w:rsidRDefault="00D47EDC" w:rsidP="00D47EDC">
            <w:pPr>
              <w:pStyle w:val="ListParagraph"/>
              <w:numPr>
                <w:ilvl w:val="0"/>
                <w:numId w:val="21"/>
              </w:numPr>
              <w:spacing w:after="0"/>
              <w:contextualSpacing/>
              <w:textboxTightWrap w:val="none"/>
              <w:rPr>
                <w:rFonts w:cs="Arial"/>
                <w:b/>
                <w:sz w:val="22"/>
                <w:szCs w:val="22"/>
              </w:rPr>
            </w:pPr>
            <w:r w:rsidRPr="00A76167">
              <w:rPr>
                <w:rFonts w:cs="Arial"/>
                <w:b/>
                <w:sz w:val="22"/>
                <w:szCs w:val="22"/>
              </w:rPr>
              <w:t>Declined to sign-off</w:t>
            </w:r>
          </w:p>
        </w:tc>
        <w:sdt>
          <w:sdtPr>
            <w:rPr>
              <w:rFonts w:cs="Arial"/>
              <w:sz w:val="22"/>
              <w:szCs w:val="22"/>
            </w:rPr>
            <w:id w:val="-303159018"/>
            <w14:checkbox>
              <w14:checked w14:val="0"/>
              <w14:checkedState w14:val="2612" w14:font="MS Gothic"/>
              <w14:uncheckedState w14:val="2610" w14:font="MS Gothic"/>
            </w14:checkbox>
          </w:sdtPr>
          <w:sdtEndPr/>
          <w:sdtContent>
            <w:tc>
              <w:tcPr>
                <w:tcW w:w="713" w:type="dxa"/>
              </w:tcPr>
              <w:p w14:paraId="7509F4B7" w14:textId="6C6DB710" w:rsidR="00D47EDC" w:rsidRPr="00A76167" w:rsidRDefault="00D47EDC" w:rsidP="00D47EDC">
                <w:pPr>
                  <w:jc w:val="center"/>
                  <w:rPr>
                    <w:rFonts w:cs="Arial"/>
                    <w:sz w:val="22"/>
                    <w:szCs w:val="22"/>
                  </w:rPr>
                </w:pPr>
                <w:r w:rsidRPr="00A76167">
                  <w:rPr>
                    <w:rFonts w:ascii="Segoe UI Symbol" w:eastAsia="MS Gothic" w:hAnsi="Segoe UI Symbol" w:cs="Segoe UI Symbol"/>
                    <w:sz w:val="22"/>
                    <w:szCs w:val="22"/>
                  </w:rPr>
                  <w:t>☐</w:t>
                </w:r>
              </w:p>
            </w:tc>
          </w:sdtContent>
        </w:sdt>
        <w:tc>
          <w:tcPr>
            <w:tcW w:w="577" w:type="dxa"/>
          </w:tcPr>
          <w:p w14:paraId="19FDFCFB" w14:textId="77777777" w:rsidR="00D47EDC" w:rsidRPr="00A76167" w:rsidRDefault="00D47EDC" w:rsidP="00D47EDC">
            <w:pPr>
              <w:rPr>
                <w:rFonts w:cs="Arial"/>
                <w:b/>
                <w:sz w:val="22"/>
                <w:szCs w:val="22"/>
              </w:rPr>
            </w:pPr>
          </w:p>
        </w:tc>
      </w:tr>
    </w:tbl>
    <w:p w14:paraId="4373B431" w14:textId="77777777" w:rsidR="00BC0269" w:rsidRPr="00A76167" w:rsidRDefault="00BC0269" w:rsidP="00A76167">
      <w:pPr>
        <w:rPr>
          <w:rFonts w:cs="Arial"/>
          <w:sz w:val="22"/>
          <w:szCs w:val="22"/>
        </w:rPr>
      </w:pPr>
    </w:p>
    <w:p w14:paraId="48D490C5" w14:textId="77777777" w:rsidR="00BC0269" w:rsidRPr="00A76167" w:rsidRDefault="00BC0269" w:rsidP="00A76167">
      <w:pPr>
        <w:spacing w:after="120"/>
        <w:ind w:left="-851"/>
        <w:rPr>
          <w:rFonts w:cs="Arial"/>
          <w:sz w:val="22"/>
          <w:szCs w:val="22"/>
        </w:rPr>
      </w:pPr>
      <w:r w:rsidRPr="00A76167">
        <w:rPr>
          <w:rFonts w:cs="Arial"/>
          <w:sz w:val="22"/>
          <w:szCs w:val="22"/>
        </w:rPr>
        <w:t>Methodology Review Group (MRG)</w:t>
      </w:r>
    </w:p>
    <w:tbl>
      <w:tblPr>
        <w:tblStyle w:val="TableGrid"/>
        <w:tblW w:w="9923" w:type="dxa"/>
        <w:tblLook w:val="01E0" w:firstRow="1" w:lastRow="1" w:firstColumn="1" w:lastColumn="1" w:noHBand="0" w:noVBand="0"/>
      </w:tblPr>
      <w:tblGrid>
        <w:gridCol w:w="2123"/>
        <w:gridCol w:w="6500"/>
        <w:gridCol w:w="713"/>
        <w:gridCol w:w="587"/>
      </w:tblGrid>
      <w:tr w:rsidR="00D47EDC" w:rsidRPr="00A76167" w14:paraId="5D6581DD" w14:textId="77777777" w:rsidTr="00A76167">
        <w:trPr>
          <w:trHeight w:val="225"/>
        </w:trPr>
        <w:tc>
          <w:tcPr>
            <w:tcW w:w="2123" w:type="dxa"/>
          </w:tcPr>
          <w:p w14:paraId="672591A3" w14:textId="598B894B" w:rsidR="00D47EDC" w:rsidRPr="00A76167" w:rsidRDefault="00D47EDC" w:rsidP="00D47EDC">
            <w:pPr>
              <w:rPr>
                <w:rFonts w:cs="Arial"/>
                <w:sz w:val="22"/>
                <w:szCs w:val="22"/>
              </w:rPr>
            </w:pPr>
            <w:r w:rsidRPr="00A76167">
              <w:rPr>
                <w:rFonts w:cs="Arial"/>
                <w:i/>
                <w:sz w:val="22"/>
                <w:szCs w:val="22"/>
              </w:rPr>
              <w:t>Outcome of MRG consideration:</w:t>
            </w:r>
          </w:p>
        </w:tc>
        <w:tc>
          <w:tcPr>
            <w:tcW w:w="6500" w:type="dxa"/>
          </w:tcPr>
          <w:p w14:paraId="27511254" w14:textId="4F8151E9" w:rsidR="00D47EDC" w:rsidRPr="00A76167" w:rsidRDefault="00D47EDC" w:rsidP="00D47EDC">
            <w:pPr>
              <w:pStyle w:val="ListParagraph"/>
              <w:numPr>
                <w:ilvl w:val="0"/>
                <w:numId w:val="22"/>
              </w:numPr>
              <w:spacing w:after="0"/>
              <w:contextualSpacing/>
              <w:textboxTightWrap w:val="none"/>
              <w:rPr>
                <w:rFonts w:cs="Arial"/>
                <w:b/>
                <w:sz w:val="22"/>
                <w:szCs w:val="22"/>
              </w:rPr>
            </w:pPr>
            <w:r w:rsidRPr="00A76167">
              <w:rPr>
                <w:rFonts w:cs="Arial"/>
                <w:b/>
                <w:sz w:val="22"/>
                <w:szCs w:val="22"/>
              </w:rPr>
              <w:t>No significant issues identified</w:t>
            </w:r>
          </w:p>
        </w:tc>
        <w:sdt>
          <w:sdtPr>
            <w:rPr>
              <w:rFonts w:cs="Arial"/>
              <w:sz w:val="22"/>
              <w:szCs w:val="22"/>
            </w:rPr>
            <w:id w:val="1710449055"/>
            <w14:checkbox>
              <w14:checked w14:val="0"/>
              <w14:checkedState w14:val="2612" w14:font="MS Gothic"/>
              <w14:uncheckedState w14:val="2610" w14:font="MS Gothic"/>
            </w14:checkbox>
          </w:sdtPr>
          <w:sdtEndPr/>
          <w:sdtContent>
            <w:tc>
              <w:tcPr>
                <w:tcW w:w="713" w:type="dxa"/>
              </w:tcPr>
              <w:p w14:paraId="6C38DA82" w14:textId="2F3027BF" w:rsidR="00D47EDC" w:rsidRPr="00A76167" w:rsidRDefault="00D47EDC" w:rsidP="00D47EDC">
                <w:pPr>
                  <w:jc w:val="center"/>
                  <w:rPr>
                    <w:rFonts w:cs="Arial"/>
                    <w:sz w:val="22"/>
                    <w:szCs w:val="22"/>
                  </w:rPr>
                </w:pPr>
                <w:r w:rsidRPr="00A76167">
                  <w:rPr>
                    <w:rFonts w:ascii="Segoe UI Symbol" w:eastAsia="MS Gothic" w:hAnsi="Segoe UI Symbol" w:cs="Segoe UI Symbol"/>
                    <w:sz w:val="22"/>
                    <w:szCs w:val="22"/>
                  </w:rPr>
                  <w:t>☐</w:t>
                </w:r>
              </w:p>
            </w:tc>
          </w:sdtContent>
        </w:sdt>
        <w:tc>
          <w:tcPr>
            <w:tcW w:w="587" w:type="dxa"/>
          </w:tcPr>
          <w:p w14:paraId="5C239DB1" w14:textId="77777777" w:rsidR="00D47EDC" w:rsidRPr="00A76167" w:rsidRDefault="00D47EDC" w:rsidP="00D47EDC">
            <w:pPr>
              <w:rPr>
                <w:rFonts w:cs="Arial"/>
                <w:b/>
                <w:sz w:val="22"/>
                <w:szCs w:val="22"/>
              </w:rPr>
            </w:pPr>
          </w:p>
        </w:tc>
      </w:tr>
      <w:tr w:rsidR="00D47EDC" w:rsidRPr="00A76167" w14:paraId="22927783" w14:textId="77777777" w:rsidTr="00A76167">
        <w:trPr>
          <w:trHeight w:val="225"/>
        </w:trPr>
        <w:tc>
          <w:tcPr>
            <w:tcW w:w="2123" w:type="dxa"/>
          </w:tcPr>
          <w:p w14:paraId="3BBEFA89" w14:textId="77777777" w:rsidR="00D47EDC" w:rsidRPr="00A76167" w:rsidRDefault="00D47EDC" w:rsidP="00D47EDC">
            <w:pPr>
              <w:rPr>
                <w:rFonts w:cs="Arial"/>
                <w:sz w:val="22"/>
                <w:szCs w:val="22"/>
              </w:rPr>
            </w:pPr>
          </w:p>
        </w:tc>
        <w:tc>
          <w:tcPr>
            <w:tcW w:w="6500" w:type="dxa"/>
          </w:tcPr>
          <w:p w14:paraId="289E1F9B" w14:textId="65718487" w:rsidR="00D47EDC" w:rsidRPr="00A76167" w:rsidRDefault="00D47EDC" w:rsidP="00D47EDC">
            <w:pPr>
              <w:pStyle w:val="ListParagraph"/>
              <w:numPr>
                <w:ilvl w:val="0"/>
                <w:numId w:val="22"/>
              </w:numPr>
              <w:spacing w:after="0"/>
              <w:contextualSpacing/>
              <w:textboxTightWrap w:val="none"/>
              <w:rPr>
                <w:rFonts w:cs="Arial"/>
                <w:b/>
                <w:sz w:val="22"/>
                <w:szCs w:val="22"/>
              </w:rPr>
            </w:pPr>
            <w:r w:rsidRPr="00A76167">
              <w:rPr>
                <w:rFonts w:cs="Arial"/>
                <w:b/>
                <w:sz w:val="22"/>
                <w:szCs w:val="22"/>
              </w:rPr>
              <w:t>No significant issues on basis of completion of outstanding actions</w:t>
            </w:r>
          </w:p>
        </w:tc>
        <w:sdt>
          <w:sdtPr>
            <w:rPr>
              <w:rFonts w:cs="Arial"/>
              <w:sz w:val="22"/>
              <w:szCs w:val="22"/>
            </w:rPr>
            <w:id w:val="1461998664"/>
            <w14:checkbox>
              <w14:checked w14:val="0"/>
              <w14:checkedState w14:val="2612" w14:font="MS Gothic"/>
              <w14:uncheckedState w14:val="2610" w14:font="MS Gothic"/>
            </w14:checkbox>
          </w:sdtPr>
          <w:sdtEndPr/>
          <w:sdtContent>
            <w:tc>
              <w:tcPr>
                <w:tcW w:w="713" w:type="dxa"/>
              </w:tcPr>
              <w:p w14:paraId="552F3BDF" w14:textId="4EF62D72" w:rsidR="00D47EDC" w:rsidRPr="00A76167" w:rsidRDefault="00D47EDC" w:rsidP="00D47EDC">
                <w:pPr>
                  <w:jc w:val="center"/>
                  <w:rPr>
                    <w:rFonts w:cs="Arial"/>
                    <w:sz w:val="22"/>
                    <w:szCs w:val="22"/>
                  </w:rPr>
                </w:pPr>
                <w:r w:rsidRPr="00A76167">
                  <w:rPr>
                    <w:rFonts w:ascii="Segoe UI Symbol" w:eastAsia="MS Gothic" w:hAnsi="Segoe UI Symbol" w:cs="Segoe UI Symbol"/>
                    <w:sz w:val="22"/>
                    <w:szCs w:val="22"/>
                  </w:rPr>
                  <w:t>☐</w:t>
                </w:r>
              </w:p>
            </w:tc>
          </w:sdtContent>
        </w:sdt>
        <w:tc>
          <w:tcPr>
            <w:tcW w:w="587" w:type="dxa"/>
          </w:tcPr>
          <w:p w14:paraId="1018CD8E" w14:textId="77777777" w:rsidR="00D47EDC" w:rsidRPr="00A76167" w:rsidRDefault="00D47EDC" w:rsidP="00D47EDC">
            <w:pPr>
              <w:rPr>
                <w:rFonts w:cs="Arial"/>
                <w:b/>
                <w:sz w:val="22"/>
                <w:szCs w:val="22"/>
              </w:rPr>
            </w:pPr>
          </w:p>
        </w:tc>
      </w:tr>
      <w:tr w:rsidR="00D47EDC" w:rsidRPr="00A76167" w14:paraId="7D6F5EFF" w14:textId="77777777" w:rsidTr="00A76167">
        <w:trPr>
          <w:trHeight w:val="225"/>
        </w:trPr>
        <w:tc>
          <w:tcPr>
            <w:tcW w:w="2123" w:type="dxa"/>
          </w:tcPr>
          <w:p w14:paraId="616D2D96" w14:textId="77777777" w:rsidR="00D47EDC" w:rsidRPr="00A76167" w:rsidRDefault="00D47EDC" w:rsidP="00D47EDC">
            <w:pPr>
              <w:rPr>
                <w:rFonts w:cs="Arial"/>
                <w:sz w:val="22"/>
                <w:szCs w:val="22"/>
              </w:rPr>
            </w:pPr>
          </w:p>
        </w:tc>
        <w:tc>
          <w:tcPr>
            <w:tcW w:w="6500" w:type="dxa"/>
          </w:tcPr>
          <w:p w14:paraId="347AC4C9" w14:textId="553A58A9" w:rsidR="00D47EDC" w:rsidRPr="00A76167" w:rsidRDefault="00D47EDC" w:rsidP="00D47EDC">
            <w:pPr>
              <w:pStyle w:val="ListParagraph"/>
              <w:numPr>
                <w:ilvl w:val="0"/>
                <w:numId w:val="22"/>
              </w:numPr>
              <w:spacing w:after="0"/>
              <w:contextualSpacing/>
              <w:textboxTightWrap w:val="none"/>
              <w:rPr>
                <w:rFonts w:cs="Arial"/>
                <w:b/>
                <w:sz w:val="22"/>
                <w:szCs w:val="22"/>
              </w:rPr>
            </w:pPr>
            <w:r w:rsidRPr="00A76167">
              <w:rPr>
                <w:rFonts w:cs="Arial"/>
                <w:b/>
                <w:sz w:val="22"/>
                <w:szCs w:val="22"/>
              </w:rPr>
              <w:t>Some concerns expressed as caveats or limitations</w:t>
            </w:r>
          </w:p>
        </w:tc>
        <w:sdt>
          <w:sdtPr>
            <w:rPr>
              <w:rFonts w:cs="Arial"/>
              <w:sz w:val="22"/>
              <w:szCs w:val="22"/>
            </w:rPr>
            <w:id w:val="542646888"/>
            <w14:checkbox>
              <w14:checked w14:val="1"/>
              <w14:checkedState w14:val="2612" w14:font="MS Gothic"/>
              <w14:uncheckedState w14:val="2610" w14:font="MS Gothic"/>
            </w14:checkbox>
          </w:sdtPr>
          <w:sdtEndPr/>
          <w:sdtContent>
            <w:tc>
              <w:tcPr>
                <w:tcW w:w="713" w:type="dxa"/>
              </w:tcPr>
              <w:p w14:paraId="64DC2A89" w14:textId="3A683AF7" w:rsidR="00D47EDC" w:rsidRPr="00A76167" w:rsidRDefault="00D47EDC" w:rsidP="00D47EDC">
                <w:pPr>
                  <w:jc w:val="center"/>
                  <w:rPr>
                    <w:rFonts w:cs="Arial"/>
                    <w:sz w:val="22"/>
                    <w:szCs w:val="22"/>
                  </w:rPr>
                </w:pPr>
                <w:r w:rsidRPr="00A76167">
                  <w:rPr>
                    <w:rFonts w:ascii="Segoe UI Symbol" w:eastAsia="MS Gothic" w:hAnsi="Segoe UI Symbol" w:cs="Segoe UI Symbol"/>
                    <w:sz w:val="22"/>
                    <w:szCs w:val="22"/>
                  </w:rPr>
                  <w:t>☒</w:t>
                </w:r>
              </w:p>
            </w:tc>
          </w:sdtContent>
        </w:sdt>
        <w:tc>
          <w:tcPr>
            <w:tcW w:w="587" w:type="dxa"/>
          </w:tcPr>
          <w:p w14:paraId="6D58A99A" w14:textId="77777777" w:rsidR="00D47EDC" w:rsidRPr="00A76167" w:rsidRDefault="00D47EDC" w:rsidP="00D47EDC">
            <w:pPr>
              <w:rPr>
                <w:rFonts w:cs="Arial"/>
                <w:b/>
                <w:sz w:val="22"/>
                <w:szCs w:val="22"/>
              </w:rPr>
            </w:pPr>
          </w:p>
        </w:tc>
      </w:tr>
      <w:tr w:rsidR="00D47EDC" w:rsidRPr="00A76167" w14:paraId="3DC0D9D6" w14:textId="77777777" w:rsidTr="00A76167">
        <w:trPr>
          <w:trHeight w:val="225"/>
        </w:trPr>
        <w:tc>
          <w:tcPr>
            <w:tcW w:w="2123" w:type="dxa"/>
          </w:tcPr>
          <w:p w14:paraId="357FCDC7" w14:textId="77777777" w:rsidR="00D47EDC" w:rsidRPr="00A76167" w:rsidRDefault="00D47EDC" w:rsidP="00D47EDC">
            <w:pPr>
              <w:rPr>
                <w:rFonts w:cs="Arial"/>
                <w:sz w:val="22"/>
                <w:szCs w:val="22"/>
              </w:rPr>
            </w:pPr>
          </w:p>
        </w:tc>
        <w:tc>
          <w:tcPr>
            <w:tcW w:w="6500" w:type="dxa"/>
          </w:tcPr>
          <w:p w14:paraId="0306243D" w14:textId="4BAADAF7" w:rsidR="00D47EDC" w:rsidRPr="00A76167" w:rsidRDefault="00D47EDC" w:rsidP="00D47EDC">
            <w:pPr>
              <w:pStyle w:val="ListParagraph"/>
              <w:numPr>
                <w:ilvl w:val="0"/>
                <w:numId w:val="22"/>
              </w:numPr>
              <w:spacing w:after="0"/>
              <w:contextualSpacing/>
              <w:textboxTightWrap w:val="none"/>
              <w:rPr>
                <w:rFonts w:cs="Arial"/>
                <w:b/>
                <w:sz w:val="22"/>
                <w:szCs w:val="22"/>
              </w:rPr>
            </w:pPr>
            <w:r w:rsidRPr="00A76167">
              <w:rPr>
                <w:rFonts w:cs="Arial"/>
                <w:b/>
                <w:sz w:val="22"/>
                <w:szCs w:val="22"/>
              </w:rPr>
              <w:t>Significant reservations</w:t>
            </w:r>
          </w:p>
        </w:tc>
        <w:sdt>
          <w:sdtPr>
            <w:rPr>
              <w:rFonts w:cs="Arial"/>
              <w:sz w:val="22"/>
              <w:szCs w:val="22"/>
            </w:rPr>
            <w:id w:val="374438656"/>
            <w14:checkbox>
              <w14:checked w14:val="0"/>
              <w14:checkedState w14:val="2612" w14:font="MS Gothic"/>
              <w14:uncheckedState w14:val="2610" w14:font="MS Gothic"/>
            </w14:checkbox>
          </w:sdtPr>
          <w:sdtEndPr/>
          <w:sdtContent>
            <w:tc>
              <w:tcPr>
                <w:tcW w:w="713" w:type="dxa"/>
              </w:tcPr>
              <w:p w14:paraId="1DA8DC94" w14:textId="749F0946" w:rsidR="00D47EDC" w:rsidRPr="00A76167" w:rsidRDefault="00D47EDC" w:rsidP="00D47EDC">
                <w:pPr>
                  <w:jc w:val="center"/>
                  <w:rPr>
                    <w:rFonts w:cs="Arial"/>
                    <w:sz w:val="22"/>
                    <w:szCs w:val="22"/>
                  </w:rPr>
                </w:pPr>
                <w:r w:rsidRPr="00A76167">
                  <w:rPr>
                    <w:rFonts w:ascii="Segoe UI Symbol" w:eastAsia="MS Gothic" w:hAnsi="Segoe UI Symbol" w:cs="Segoe UI Symbol"/>
                    <w:sz w:val="22"/>
                    <w:szCs w:val="22"/>
                  </w:rPr>
                  <w:t>☐</w:t>
                </w:r>
              </w:p>
            </w:tc>
          </w:sdtContent>
        </w:sdt>
        <w:tc>
          <w:tcPr>
            <w:tcW w:w="587" w:type="dxa"/>
          </w:tcPr>
          <w:p w14:paraId="7222D7E1" w14:textId="77777777" w:rsidR="00D47EDC" w:rsidRPr="00A76167" w:rsidRDefault="00D47EDC" w:rsidP="00D47EDC">
            <w:pPr>
              <w:rPr>
                <w:rFonts w:cs="Arial"/>
                <w:b/>
                <w:sz w:val="22"/>
                <w:szCs w:val="22"/>
              </w:rPr>
            </w:pPr>
          </w:p>
        </w:tc>
      </w:tr>
      <w:tr w:rsidR="00D47EDC" w:rsidRPr="00A76167" w14:paraId="3F461E2A" w14:textId="77777777" w:rsidTr="00A76167">
        <w:trPr>
          <w:trHeight w:val="225"/>
        </w:trPr>
        <w:tc>
          <w:tcPr>
            <w:tcW w:w="2123" w:type="dxa"/>
          </w:tcPr>
          <w:p w14:paraId="3FF71CE1" w14:textId="77777777" w:rsidR="00D47EDC" w:rsidRPr="00A76167" w:rsidRDefault="00D47EDC" w:rsidP="00D47EDC">
            <w:pPr>
              <w:rPr>
                <w:rFonts w:cs="Arial"/>
                <w:sz w:val="22"/>
                <w:szCs w:val="22"/>
              </w:rPr>
            </w:pPr>
          </w:p>
        </w:tc>
        <w:tc>
          <w:tcPr>
            <w:tcW w:w="6500" w:type="dxa"/>
          </w:tcPr>
          <w:p w14:paraId="061BC2FA" w14:textId="1433B094" w:rsidR="00D47EDC" w:rsidRPr="00A76167" w:rsidRDefault="00D47EDC" w:rsidP="00D47EDC">
            <w:pPr>
              <w:pStyle w:val="ListParagraph"/>
              <w:numPr>
                <w:ilvl w:val="0"/>
                <w:numId w:val="22"/>
              </w:numPr>
              <w:spacing w:after="0"/>
              <w:contextualSpacing/>
              <w:textboxTightWrap w:val="none"/>
              <w:rPr>
                <w:rFonts w:cs="Arial"/>
                <w:b/>
                <w:sz w:val="22"/>
                <w:szCs w:val="22"/>
              </w:rPr>
            </w:pPr>
            <w:r w:rsidRPr="00A76167">
              <w:rPr>
                <w:rFonts w:cs="Arial"/>
                <w:b/>
                <w:sz w:val="22"/>
                <w:szCs w:val="22"/>
              </w:rPr>
              <w:t>Unresolved issues</w:t>
            </w:r>
          </w:p>
        </w:tc>
        <w:sdt>
          <w:sdtPr>
            <w:rPr>
              <w:rFonts w:cs="Arial"/>
              <w:sz w:val="22"/>
              <w:szCs w:val="22"/>
            </w:rPr>
            <w:id w:val="-1882858430"/>
            <w14:checkbox>
              <w14:checked w14:val="0"/>
              <w14:checkedState w14:val="2612" w14:font="MS Gothic"/>
              <w14:uncheckedState w14:val="2610" w14:font="MS Gothic"/>
            </w14:checkbox>
          </w:sdtPr>
          <w:sdtEndPr/>
          <w:sdtContent>
            <w:tc>
              <w:tcPr>
                <w:tcW w:w="713" w:type="dxa"/>
              </w:tcPr>
              <w:p w14:paraId="72139F20" w14:textId="1E09D1D8" w:rsidR="00D47EDC" w:rsidRPr="00A76167" w:rsidRDefault="00D47EDC" w:rsidP="00D47EDC">
                <w:pPr>
                  <w:jc w:val="center"/>
                  <w:rPr>
                    <w:rFonts w:cs="Arial"/>
                    <w:sz w:val="22"/>
                    <w:szCs w:val="22"/>
                  </w:rPr>
                </w:pPr>
                <w:r w:rsidRPr="00A76167">
                  <w:rPr>
                    <w:rFonts w:ascii="Segoe UI Symbol" w:eastAsia="MS Gothic" w:hAnsi="Segoe UI Symbol" w:cs="Segoe UI Symbol"/>
                    <w:sz w:val="22"/>
                    <w:szCs w:val="22"/>
                  </w:rPr>
                  <w:t>☐</w:t>
                </w:r>
              </w:p>
            </w:tc>
          </w:sdtContent>
        </w:sdt>
        <w:tc>
          <w:tcPr>
            <w:tcW w:w="587" w:type="dxa"/>
          </w:tcPr>
          <w:p w14:paraId="75CC7234" w14:textId="77777777" w:rsidR="00D47EDC" w:rsidRPr="00A76167" w:rsidRDefault="00D47EDC" w:rsidP="00D47EDC">
            <w:pPr>
              <w:rPr>
                <w:rFonts w:cs="Arial"/>
                <w:b/>
                <w:sz w:val="22"/>
                <w:szCs w:val="22"/>
              </w:rPr>
            </w:pPr>
          </w:p>
        </w:tc>
      </w:tr>
    </w:tbl>
    <w:p w14:paraId="0173B78B" w14:textId="77777777" w:rsidR="00BC0269" w:rsidRPr="00A76167" w:rsidRDefault="00BC0269" w:rsidP="00A76167">
      <w:pPr>
        <w:ind w:left="-540"/>
        <w:rPr>
          <w:rFonts w:cs="Arial"/>
          <w:sz w:val="22"/>
          <w:szCs w:val="22"/>
        </w:rPr>
      </w:pPr>
    </w:p>
    <w:p w14:paraId="4F550DB0" w14:textId="77777777" w:rsidR="00BC0269" w:rsidRPr="00A76167" w:rsidRDefault="00BC0269" w:rsidP="00A76167">
      <w:pPr>
        <w:spacing w:after="120"/>
        <w:ind w:left="-851"/>
        <w:rPr>
          <w:rFonts w:cs="Arial"/>
          <w:sz w:val="22"/>
          <w:szCs w:val="22"/>
        </w:rPr>
      </w:pPr>
      <w:r w:rsidRPr="00A76167">
        <w:rPr>
          <w:rFonts w:cs="Arial"/>
          <w:sz w:val="22"/>
          <w:szCs w:val="22"/>
        </w:rPr>
        <w:t>Indicator Governance Board (IGB)</w:t>
      </w:r>
    </w:p>
    <w:tbl>
      <w:tblPr>
        <w:tblStyle w:val="TableGrid"/>
        <w:tblW w:w="9923" w:type="dxa"/>
        <w:tblLook w:val="01E0" w:firstRow="1" w:lastRow="1" w:firstColumn="1" w:lastColumn="1" w:noHBand="0" w:noVBand="0"/>
      </w:tblPr>
      <w:tblGrid>
        <w:gridCol w:w="2124"/>
        <w:gridCol w:w="6508"/>
        <w:gridCol w:w="713"/>
        <w:gridCol w:w="578"/>
      </w:tblGrid>
      <w:tr w:rsidR="00D47EDC" w:rsidRPr="00A76167" w14:paraId="732E53A8" w14:textId="77777777" w:rsidTr="00A76167">
        <w:trPr>
          <w:trHeight w:val="228"/>
        </w:trPr>
        <w:tc>
          <w:tcPr>
            <w:tcW w:w="2124" w:type="dxa"/>
          </w:tcPr>
          <w:p w14:paraId="4CA03C9B" w14:textId="1F56F375" w:rsidR="00D47EDC" w:rsidRPr="00A76167" w:rsidRDefault="00D47EDC" w:rsidP="00D47EDC">
            <w:pPr>
              <w:rPr>
                <w:rFonts w:cs="Arial"/>
                <w:sz w:val="22"/>
                <w:szCs w:val="22"/>
              </w:rPr>
            </w:pPr>
            <w:r w:rsidRPr="00A76167">
              <w:rPr>
                <w:rFonts w:cs="Arial"/>
                <w:i/>
                <w:sz w:val="22"/>
                <w:szCs w:val="22"/>
              </w:rPr>
              <w:t>Final Appraisal Status</w:t>
            </w:r>
          </w:p>
        </w:tc>
        <w:tc>
          <w:tcPr>
            <w:tcW w:w="6508" w:type="dxa"/>
          </w:tcPr>
          <w:p w14:paraId="3A41E8C4" w14:textId="0E21DDF8" w:rsidR="00D47EDC" w:rsidRPr="00A76167" w:rsidRDefault="00D47EDC" w:rsidP="00D47EDC">
            <w:pPr>
              <w:pStyle w:val="ListParagraph"/>
              <w:numPr>
                <w:ilvl w:val="0"/>
                <w:numId w:val="41"/>
              </w:numPr>
              <w:spacing w:after="0"/>
              <w:contextualSpacing/>
              <w:textboxTightWrap w:val="none"/>
              <w:rPr>
                <w:rFonts w:cs="Arial"/>
                <w:b/>
                <w:sz w:val="22"/>
                <w:szCs w:val="22"/>
              </w:rPr>
            </w:pPr>
            <w:r w:rsidRPr="00A76167">
              <w:rPr>
                <w:rFonts w:cs="Arial"/>
                <w:b/>
                <w:sz w:val="22"/>
                <w:szCs w:val="22"/>
              </w:rPr>
              <w:t>Assured</w:t>
            </w:r>
          </w:p>
        </w:tc>
        <w:sdt>
          <w:sdtPr>
            <w:rPr>
              <w:rFonts w:cs="Arial"/>
              <w:sz w:val="22"/>
              <w:szCs w:val="22"/>
            </w:rPr>
            <w:id w:val="-1533957486"/>
            <w14:checkbox>
              <w14:checked w14:val="1"/>
              <w14:checkedState w14:val="2612" w14:font="MS Gothic"/>
              <w14:uncheckedState w14:val="2610" w14:font="MS Gothic"/>
            </w14:checkbox>
          </w:sdtPr>
          <w:sdtEndPr/>
          <w:sdtContent>
            <w:tc>
              <w:tcPr>
                <w:tcW w:w="713" w:type="dxa"/>
              </w:tcPr>
              <w:p w14:paraId="0D8B749C" w14:textId="444D3C60" w:rsidR="00D47EDC" w:rsidRPr="00A76167" w:rsidRDefault="00D47EDC" w:rsidP="00D47EDC">
                <w:pPr>
                  <w:jc w:val="center"/>
                  <w:rPr>
                    <w:rFonts w:cs="Arial"/>
                    <w:sz w:val="22"/>
                    <w:szCs w:val="22"/>
                  </w:rPr>
                </w:pPr>
                <w:r w:rsidRPr="00A76167">
                  <w:rPr>
                    <w:rFonts w:ascii="Segoe UI Symbol" w:eastAsia="MS Gothic" w:hAnsi="Segoe UI Symbol" w:cs="Segoe UI Symbol"/>
                    <w:sz w:val="22"/>
                    <w:szCs w:val="22"/>
                  </w:rPr>
                  <w:t>☒</w:t>
                </w:r>
              </w:p>
            </w:tc>
          </w:sdtContent>
        </w:sdt>
        <w:tc>
          <w:tcPr>
            <w:tcW w:w="578" w:type="dxa"/>
          </w:tcPr>
          <w:p w14:paraId="3A052A23" w14:textId="77777777" w:rsidR="00D47EDC" w:rsidRPr="00A76167" w:rsidRDefault="00D47EDC" w:rsidP="00D47EDC">
            <w:pPr>
              <w:rPr>
                <w:rFonts w:cs="Arial"/>
                <w:b/>
                <w:sz w:val="22"/>
                <w:szCs w:val="22"/>
              </w:rPr>
            </w:pPr>
          </w:p>
        </w:tc>
      </w:tr>
      <w:tr w:rsidR="00D47EDC" w:rsidRPr="00A76167" w14:paraId="1140BA20" w14:textId="77777777" w:rsidTr="00A76167">
        <w:trPr>
          <w:trHeight w:val="228"/>
        </w:trPr>
        <w:tc>
          <w:tcPr>
            <w:tcW w:w="2124" w:type="dxa"/>
          </w:tcPr>
          <w:p w14:paraId="2622A77B" w14:textId="77777777" w:rsidR="00D47EDC" w:rsidRPr="00A76167" w:rsidRDefault="00D47EDC" w:rsidP="00D47EDC">
            <w:pPr>
              <w:rPr>
                <w:rFonts w:cs="Arial"/>
                <w:sz w:val="22"/>
                <w:szCs w:val="22"/>
              </w:rPr>
            </w:pPr>
          </w:p>
        </w:tc>
        <w:tc>
          <w:tcPr>
            <w:tcW w:w="6508" w:type="dxa"/>
          </w:tcPr>
          <w:p w14:paraId="1A7FE0A5" w14:textId="6211FB13" w:rsidR="00D47EDC" w:rsidRPr="00A76167" w:rsidRDefault="00D47EDC" w:rsidP="00D47EDC">
            <w:pPr>
              <w:pStyle w:val="ListParagraph"/>
              <w:numPr>
                <w:ilvl w:val="0"/>
                <w:numId w:val="41"/>
              </w:numPr>
              <w:spacing w:after="0"/>
              <w:contextualSpacing/>
              <w:textboxTightWrap w:val="none"/>
              <w:rPr>
                <w:rFonts w:cs="Arial"/>
                <w:b/>
                <w:sz w:val="22"/>
                <w:szCs w:val="22"/>
              </w:rPr>
            </w:pPr>
            <w:r w:rsidRPr="00A76167">
              <w:rPr>
                <w:rFonts w:cs="Arial"/>
                <w:b/>
                <w:sz w:val="22"/>
                <w:szCs w:val="22"/>
              </w:rPr>
              <w:t>Assured with Comments</w:t>
            </w:r>
          </w:p>
        </w:tc>
        <w:sdt>
          <w:sdtPr>
            <w:rPr>
              <w:rFonts w:cs="Arial"/>
              <w:sz w:val="22"/>
              <w:szCs w:val="22"/>
            </w:rPr>
            <w:id w:val="670753281"/>
            <w14:checkbox>
              <w14:checked w14:val="0"/>
              <w14:checkedState w14:val="2612" w14:font="MS Gothic"/>
              <w14:uncheckedState w14:val="2610" w14:font="MS Gothic"/>
            </w14:checkbox>
          </w:sdtPr>
          <w:sdtEndPr/>
          <w:sdtContent>
            <w:tc>
              <w:tcPr>
                <w:tcW w:w="713" w:type="dxa"/>
              </w:tcPr>
              <w:p w14:paraId="36D9CDF1" w14:textId="66D9FDB0" w:rsidR="00D47EDC" w:rsidRPr="00A76167" w:rsidRDefault="00D47EDC" w:rsidP="00D47EDC">
                <w:pPr>
                  <w:jc w:val="center"/>
                  <w:rPr>
                    <w:rFonts w:cs="Arial"/>
                    <w:sz w:val="22"/>
                    <w:szCs w:val="22"/>
                  </w:rPr>
                </w:pPr>
                <w:r w:rsidRPr="00A76167">
                  <w:rPr>
                    <w:rFonts w:ascii="Segoe UI Symbol" w:eastAsia="MS Gothic" w:hAnsi="Segoe UI Symbol" w:cs="Segoe UI Symbol"/>
                    <w:sz w:val="22"/>
                    <w:szCs w:val="22"/>
                  </w:rPr>
                  <w:t>☐</w:t>
                </w:r>
              </w:p>
            </w:tc>
          </w:sdtContent>
        </w:sdt>
        <w:tc>
          <w:tcPr>
            <w:tcW w:w="578" w:type="dxa"/>
          </w:tcPr>
          <w:p w14:paraId="5CBE72A3" w14:textId="77777777" w:rsidR="00D47EDC" w:rsidRPr="00A76167" w:rsidRDefault="00D47EDC" w:rsidP="00D47EDC">
            <w:pPr>
              <w:rPr>
                <w:rFonts w:cs="Arial"/>
                <w:b/>
                <w:sz w:val="22"/>
                <w:szCs w:val="22"/>
              </w:rPr>
            </w:pPr>
          </w:p>
        </w:tc>
      </w:tr>
      <w:tr w:rsidR="00D47EDC" w:rsidRPr="00A76167" w14:paraId="70FC3E58" w14:textId="77777777" w:rsidTr="00A76167">
        <w:trPr>
          <w:trHeight w:val="228"/>
        </w:trPr>
        <w:tc>
          <w:tcPr>
            <w:tcW w:w="2124" w:type="dxa"/>
          </w:tcPr>
          <w:p w14:paraId="52AC9A6D" w14:textId="77777777" w:rsidR="00D47EDC" w:rsidRPr="00A76167" w:rsidRDefault="00D47EDC" w:rsidP="00D47EDC">
            <w:pPr>
              <w:rPr>
                <w:rFonts w:cs="Arial"/>
                <w:sz w:val="22"/>
                <w:szCs w:val="22"/>
              </w:rPr>
            </w:pPr>
          </w:p>
        </w:tc>
        <w:tc>
          <w:tcPr>
            <w:tcW w:w="6508" w:type="dxa"/>
          </w:tcPr>
          <w:p w14:paraId="42AD25B5" w14:textId="53E63775" w:rsidR="00D47EDC" w:rsidRPr="00A76167" w:rsidRDefault="00D47EDC" w:rsidP="00D47EDC">
            <w:pPr>
              <w:pStyle w:val="ListParagraph"/>
              <w:numPr>
                <w:ilvl w:val="0"/>
                <w:numId w:val="41"/>
              </w:numPr>
              <w:spacing w:after="0"/>
              <w:contextualSpacing/>
              <w:textboxTightWrap w:val="none"/>
              <w:rPr>
                <w:rFonts w:cs="Arial"/>
                <w:b/>
                <w:sz w:val="22"/>
                <w:szCs w:val="22"/>
              </w:rPr>
            </w:pPr>
            <w:r w:rsidRPr="00A76167">
              <w:rPr>
                <w:rFonts w:cs="Arial"/>
                <w:b/>
                <w:sz w:val="22"/>
                <w:szCs w:val="22"/>
              </w:rPr>
              <w:t>Failed Assurance</w:t>
            </w:r>
          </w:p>
        </w:tc>
        <w:sdt>
          <w:sdtPr>
            <w:rPr>
              <w:rFonts w:cs="Arial"/>
              <w:sz w:val="22"/>
              <w:szCs w:val="22"/>
            </w:rPr>
            <w:id w:val="516811208"/>
            <w14:checkbox>
              <w14:checked w14:val="0"/>
              <w14:checkedState w14:val="2612" w14:font="MS Gothic"/>
              <w14:uncheckedState w14:val="2610" w14:font="MS Gothic"/>
            </w14:checkbox>
          </w:sdtPr>
          <w:sdtEndPr/>
          <w:sdtContent>
            <w:tc>
              <w:tcPr>
                <w:tcW w:w="713" w:type="dxa"/>
              </w:tcPr>
              <w:p w14:paraId="078C6FFE" w14:textId="41EA5A45" w:rsidR="00D47EDC" w:rsidRPr="00A76167" w:rsidRDefault="00D47EDC" w:rsidP="00D47EDC">
                <w:pPr>
                  <w:jc w:val="center"/>
                  <w:rPr>
                    <w:rFonts w:cs="Arial"/>
                    <w:sz w:val="22"/>
                    <w:szCs w:val="22"/>
                  </w:rPr>
                </w:pPr>
                <w:r w:rsidRPr="00A76167">
                  <w:rPr>
                    <w:rFonts w:ascii="Segoe UI Symbol" w:eastAsia="MS Gothic" w:hAnsi="Segoe UI Symbol" w:cs="Segoe UI Symbol"/>
                    <w:sz w:val="22"/>
                    <w:szCs w:val="22"/>
                  </w:rPr>
                  <w:t>☐</w:t>
                </w:r>
              </w:p>
            </w:tc>
          </w:sdtContent>
        </w:sdt>
        <w:tc>
          <w:tcPr>
            <w:tcW w:w="578" w:type="dxa"/>
          </w:tcPr>
          <w:p w14:paraId="31B11195" w14:textId="77777777" w:rsidR="00D47EDC" w:rsidRPr="00A76167" w:rsidRDefault="00D47EDC" w:rsidP="00D47EDC">
            <w:pPr>
              <w:rPr>
                <w:rFonts w:cs="Arial"/>
                <w:b/>
                <w:sz w:val="22"/>
                <w:szCs w:val="22"/>
              </w:rPr>
            </w:pPr>
          </w:p>
        </w:tc>
      </w:tr>
    </w:tbl>
    <w:p w14:paraId="7761459E" w14:textId="77777777" w:rsidR="00BC0269" w:rsidRPr="00A76167" w:rsidRDefault="00BC0269">
      <w:pPr>
        <w:rPr>
          <w:rFonts w:cs="Arial"/>
          <w:sz w:val="22"/>
          <w:szCs w:val="22"/>
        </w:rPr>
      </w:pPr>
      <w:r w:rsidRPr="00A76167">
        <w:rPr>
          <w:rFonts w:cs="Arial"/>
          <w:sz w:val="22"/>
          <w:szCs w:val="22"/>
        </w:rPr>
        <w:br w:type="page"/>
      </w:r>
    </w:p>
    <w:p w14:paraId="69B8A75F" w14:textId="77777777" w:rsidR="00BC0269" w:rsidRPr="00A76167" w:rsidRDefault="00BC0269" w:rsidP="00A76167">
      <w:pPr>
        <w:ind w:left="-851"/>
        <w:rPr>
          <w:rFonts w:cs="Arial"/>
          <w:sz w:val="22"/>
          <w:szCs w:val="22"/>
        </w:rPr>
      </w:pPr>
    </w:p>
    <w:p w14:paraId="6BF9D3C8" w14:textId="77777777" w:rsidR="00BC0269" w:rsidRPr="00A76167" w:rsidRDefault="00BC0269" w:rsidP="00A76167">
      <w:pPr>
        <w:ind w:left="-851"/>
        <w:rPr>
          <w:rFonts w:cs="Arial"/>
          <w:sz w:val="22"/>
          <w:szCs w:val="22"/>
        </w:rPr>
      </w:pPr>
      <w:r w:rsidRPr="00A76167">
        <w:rPr>
          <w:rFonts w:cs="Arial"/>
          <w:b/>
          <w:sz w:val="22"/>
          <w:szCs w:val="22"/>
        </w:rPr>
        <w:t xml:space="preserve">Peer Review </w:t>
      </w:r>
      <w:r w:rsidRPr="00A76167">
        <w:rPr>
          <w:rFonts w:cs="Arial"/>
          <w:sz w:val="22"/>
          <w:szCs w:val="22"/>
        </w:rPr>
        <w:t xml:space="preserve">Summary </w:t>
      </w:r>
    </w:p>
    <w:p w14:paraId="7C7C8FA3" w14:textId="77777777" w:rsidR="00BC0269" w:rsidRPr="00A76167" w:rsidRDefault="00BC0269" w:rsidP="00A76167">
      <w:pPr>
        <w:rPr>
          <w:rFonts w:cs="Arial"/>
          <w:sz w:val="22"/>
          <w:szCs w:val="22"/>
        </w:rPr>
      </w:pPr>
    </w:p>
    <w:tbl>
      <w:tblPr>
        <w:tblStyle w:val="TableGrid"/>
        <w:tblW w:w="9923" w:type="dxa"/>
        <w:tblLayout w:type="fixed"/>
        <w:tblLook w:val="01E0" w:firstRow="1" w:lastRow="1" w:firstColumn="1" w:lastColumn="1" w:noHBand="0" w:noVBand="0"/>
      </w:tblPr>
      <w:tblGrid>
        <w:gridCol w:w="2124"/>
        <w:gridCol w:w="5377"/>
        <w:gridCol w:w="1002"/>
        <w:gridCol w:w="1420"/>
      </w:tblGrid>
      <w:tr w:rsidR="00A76167" w:rsidRPr="00A76167" w14:paraId="06C65B06" w14:textId="77777777" w:rsidTr="00A76167">
        <w:tc>
          <w:tcPr>
            <w:tcW w:w="2124" w:type="dxa"/>
          </w:tcPr>
          <w:p w14:paraId="519F643D" w14:textId="77777777" w:rsidR="00BC0269" w:rsidRPr="00A76167" w:rsidRDefault="00BC0269" w:rsidP="00A76167">
            <w:pPr>
              <w:rPr>
                <w:rFonts w:cs="Arial"/>
                <w:b/>
                <w:sz w:val="22"/>
                <w:szCs w:val="22"/>
              </w:rPr>
            </w:pPr>
            <w:r w:rsidRPr="00A76167">
              <w:rPr>
                <w:rFonts w:cs="Arial"/>
                <w:b/>
                <w:sz w:val="22"/>
                <w:szCs w:val="22"/>
              </w:rPr>
              <w:t>Indicator Title</w:t>
            </w:r>
          </w:p>
        </w:tc>
        <w:tc>
          <w:tcPr>
            <w:tcW w:w="5377" w:type="dxa"/>
          </w:tcPr>
          <w:p w14:paraId="6AD55418" w14:textId="1A9F66A1" w:rsidR="00BC0269" w:rsidRPr="00A76167" w:rsidRDefault="00BC0269" w:rsidP="00A76167">
            <w:pPr>
              <w:rPr>
                <w:rFonts w:cs="Arial"/>
                <w:b/>
                <w:sz w:val="22"/>
                <w:szCs w:val="22"/>
              </w:rPr>
            </w:pPr>
            <w:r w:rsidRPr="00A76167">
              <w:rPr>
                <w:rFonts w:cs="Arial"/>
                <w:b/>
                <w:sz w:val="22"/>
                <w:szCs w:val="22"/>
              </w:rPr>
              <w:t xml:space="preserve"> 5.1 Patient Safety Incidents </w:t>
            </w:r>
          </w:p>
        </w:tc>
        <w:tc>
          <w:tcPr>
            <w:tcW w:w="1002" w:type="dxa"/>
          </w:tcPr>
          <w:p w14:paraId="1508180E" w14:textId="77777777" w:rsidR="00BC0269" w:rsidRPr="00A76167" w:rsidRDefault="00BC0269" w:rsidP="00A76167">
            <w:pPr>
              <w:rPr>
                <w:rFonts w:cs="Arial"/>
                <w:sz w:val="22"/>
                <w:szCs w:val="22"/>
              </w:rPr>
            </w:pPr>
            <w:r w:rsidRPr="00A76167">
              <w:rPr>
                <w:rFonts w:cs="Arial"/>
                <w:sz w:val="22"/>
                <w:szCs w:val="22"/>
              </w:rPr>
              <w:t>IAS Ref Code:</w:t>
            </w:r>
          </w:p>
        </w:tc>
        <w:tc>
          <w:tcPr>
            <w:tcW w:w="1420" w:type="dxa"/>
          </w:tcPr>
          <w:p w14:paraId="728F83F6" w14:textId="3F19B571" w:rsidR="00BC0269" w:rsidRPr="00A76167" w:rsidRDefault="00BC0269" w:rsidP="00A76167">
            <w:pPr>
              <w:rPr>
                <w:rFonts w:cs="Arial"/>
                <w:sz w:val="22"/>
                <w:szCs w:val="22"/>
              </w:rPr>
            </w:pPr>
          </w:p>
        </w:tc>
      </w:tr>
      <w:tr w:rsidR="00A76167" w:rsidRPr="00A76167" w14:paraId="4E6A201B" w14:textId="77777777" w:rsidTr="00A76167">
        <w:tc>
          <w:tcPr>
            <w:tcW w:w="2124" w:type="dxa"/>
          </w:tcPr>
          <w:p w14:paraId="029EA2F7" w14:textId="77777777" w:rsidR="00BC0269" w:rsidRPr="00A76167" w:rsidRDefault="00BC0269" w:rsidP="00A76167">
            <w:pPr>
              <w:rPr>
                <w:rFonts w:cs="Arial"/>
                <w:sz w:val="22"/>
                <w:szCs w:val="22"/>
              </w:rPr>
            </w:pPr>
            <w:r w:rsidRPr="00A76167">
              <w:rPr>
                <w:rFonts w:cs="Arial"/>
                <w:sz w:val="22"/>
                <w:szCs w:val="22"/>
              </w:rPr>
              <w:t>Indicator Set</w:t>
            </w:r>
          </w:p>
        </w:tc>
        <w:tc>
          <w:tcPr>
            <w:tcW w:w="5377" w:type="dxa"/>
          </w:tcPr>
          <w:p w14:paraId="1ADE9089" w14:textId="3D83F88D" w:rsidR="00BC0269" w:rsidRPr="00A76167" w:rsidRDefault="00BC0269" w:rsidP="00A76167">
            <w:pPr>
              <w:rPr>
                <w:rFonts w:cs="Arial"/>
                <w:sz w:val="22"/>
                <w:szCs w:val="22"/>
              </w:rPr>
            </w:pPr>
            <w:r w:rsidRPr="00A76167">
              <w:rPr>
                <w:rFonts w:cs="Arial"/>
                <w:sz w:val="22"/>
                <w:szCs w:val="22"/>
              </w:rPr>
              <w:t>CCG Outcome Indicator Set</w:t>
            </w:r>
          </w:p>
        </w:tc>
        <w:tc>
          <w:tcPr>
            <w:tcW w:w="1002" w:type="dxa"/>
          </w:tcPr>
          <w:p w14:paraId="675B9117" w14:textId="77777777" w:rsidR="00BC0269" w:rsidRPr="00A76167" w:rsidRDefault="00BC0269" w:rsidP="00A76167">
            <w:pPr>
              <w:rPr>
                <w:rFonts w:cs="Arial"/>
                <w:sz w:val="22"/>
                <w:szCs w:val="22"/>
              </w:rPr>
            </w:pPr>
          </w:p>
        </w:tc>
        <w:tc>
          <w:tcPr>
            <w:tcW w:w="1420" w:type="dxa"/>
          </w:tcPr>
          <w:p w14:paraId="3EDA0E79" w14:textId="77777777" w:rsidR="00BC0269" w:rsidRPr="00A76167" w:rsidRDefault="00BC0269" w:rsidP="00A76167">
            <w:pPr>
              <w:rPr>
                <w:rFonts w:cs="Arial"/>
                <w:sz w:val="22"/>
                <w:szCs w:val="22"/>
              </w:rPr>
            </w:pPr>
          </w:p>
        </w:tc>
      </w:tr>
    </w:tbl>
    <w:p w14:paraId="65C69B7B" w14:textId="77777777" w:rsidR="00D47EDC" w:rsidRDefault="00D47EDC"/>
    <w:tbl>
      <w:tblPr>
        <w:tblStyle w:val="TableGrid"/>
        <w:tblW w:w="9923" w:type="dxa"/>
        <w:tblLayout w:type="fixed"/>
        <w:tblLook w:val="01E0" w:firstRow="1" w:lastRow="1" w:firstColumn="1" w:lastColumn="1" w:noHBand="0" w:noVBand="0"/>
      </w:tblPr>
      <w:tblGrid>
        <w:gridCol w:w="2124"/>
        <w:gridCol w:w="7799"/>
      </w:tblGrid>
      <w:tr w:rsidR="00D47EDC" w:rsidRPr="00A76167" w14:paraId="43D27474" w14:textId="77777777" w:rsidTr="00A76167">
        <w:tc>
          <w:tcPr>
            <w:tcW w:w="2124" w:type="dxa"/>
          </w:tcPr>
          <w:p w14:paraId="51783AC5" w14:textId="542F3BCC" w:rsidR="00D47EDC" w:rsidRPr="00A76167" w:rsidRDefault="00D47EDC" w:rsidP="00A76167">
            <w:pPr>
              <w:rPr>
                <w:rFonts w:cs="Arial"/>
                <w:sz w:val="22"/>
                <w:szCs w:val="22"/>
              </w:rPr>
            </w:pPr>
            <w:r w:rsidRPr="00A76167">
              <w:rPr>
                <w:rFonts w:cs="Arial"/>
                <w:sz w:val="22"/>
                <w:szCs w:val="22"/>
              </w:rPr>
              <w:t>Date of Peer Review</w:t>
            </w:r>
          </w:p>
        </w:tc>
        <w:tc>
          <w:tcPr>
            <w:tcW w:w="7799" w:type="dxa"/>
          </w:tcPr>
          <w:p w14:paraId="0C737169" w14:textId="77777777" w:rsidR="00D47EDC" w:rsidRPr="00A76167" w:rsidRDefault="00D47EDC" w:rsidP="00A76167">
            <w:pPr>
              <w:rPr>
                <w:rFonts w:cs="Arial"/>
                <w:sz w:val="22"/>
                <w:szCs w:val="22"/>
              </w:rPr>
            </w:pPr>
          </w:p>
        </w:tc>
      </w:tr>
      <w:tr w:rsidR="00A76167" w:rsidRPr="00A76167" w14:paraId="73606F3B" w14:textId="77777777" w:rsidTr="00A76167">
        <w:tc>
          <w:tcPr>
            <w:tcW w:w="2124" w:type="dxa"/>
          </w:tcPr>
          <w:p w14:paraId="039699BA" w14:textId="77777777" w:rsidR="00BC0269" w:rsidRPr="00A76167" w:rsidRDefault="00BC0269" w:rsidP="00A76167">
            <w:pPr>
              <w:rPr>
                <w:rFonts w:cs="Arial"/>
                <w:sz w:val="22"/>
                <w:szCs w:val="22"/>
              </w:rPr>
            </w:pPr>
            <w:r w:rsidRPr="00A76167">
              <w:rPr>
                <w:rFonts w:cs="Arial"/>
                <w:sz w:val="22"/>
                <w:szCs w:val="22"/>
              </w:rPr>
              <w:t>Peer Reviewer(s) / Organisations :</w:t>
            </w:r>
          </w:p>
          <w:p w14:paraId="43942A25" w14:textId="77777777" w:rsidR="00BC0269" w:rsidRPr="00A76167" w:rsidRDefault="00BC0269" w:rsidP="00A76167">
            <w:pPr>
              <w:rPr>
                <w:rFonts w:cs="Arial"/>
                <w:sz w:val="22"/>
                <w:szCs w:val="22"/>
              </w:rPr>
            </w:pPr>
          </w:p>
        </w:tc>
        <w:tc>
          <w:tcPr>
            <w:tcW w:w="7799" w:type="dxa"/>
          </w:tcPr>
          <w:p w14:paraId="2621A269" w14:textId="77777777" w:rsidR="00BC0269" w:rsidRPr="00A76167" w:rsidRDefault="00BC0269" w:rsidP="00A76167">
            <w:pPr>
              <w:rPr>
                <w:rFonts w:cs="Arial"/>
                <w:sz w:val="22"/>
                <w:szCs w:val="22"/>
              </w:rPr>
            </w:pPr>
          </w:p>
        </w:tc>
      </w:tr>
      <w:tr w:rsidR="00A76167" w:rsidRPr="00A76167" w14:paraId="0AED6A14" w14:textId="77777777" w:rsidTr="00A76167">
        <w:tc>
          <w:tcPr>
            <w:tcW w:w="2124" w:type="dxa"/>
          </w:tcPr>
          <w:p w14:paraId="55982983" w14:textId="77777777" w:rsidR="00BC0269" w:rsidRPr="00A76167" w:rsidRDefault="00BC0269" w:rsidP="00A76167">
            <w:pPr>
              <w:rPr>
                <w:rFonts w:cs="Arial"/>
                <w:sz w:val="22"/>
                <w:szCs w:val="22"/>
              </w:rPr>
            </w:pPr>
            <w:r w:rsidRPr="00A76167">
              <w:rPr>
                <w:rFonts w:cs="Arial"/>
                <w:sz w:val="22"/>
                <w:szCs w:val="22"/>
              </w:rPr>
              <w:t>Peer Review Comments:</w:t>
            </w:r>
          </w:p>
        </w:tc>
        <w:tc>
          <w:tcPr>
            <w:tcW w:w="7799" w:type="dxa"/>
          </w:tcPr>
          <w:p w14:paraId="497D62D4" w14:textId="77777777" w:rsidR="00BC0269" w:rsidRPr="00A76167" w:rsidRDefault="00BC0269" w:rsidP="00A76167">
            <w:pPr>
              <w:rPr>
                <w:rFonts w:cs="Arial"/>
                <w:sz w:val="22"/>
                <w:szCs w:val="22"/>
              </w:rPr>
            </w:pPr>
            <w:r w:rsidRPr="00A76167">
              <w:rPr>
                <w:rFonts w:cs="Arial"/>
                <w:sz w:val="22"/>
                <w:szCs w:val="22"/>
              </w:rPr>
              <w:t>No peer review at present</w:t>
            </w:r>
          </w:p>
          <w:p w14:paraId="6A45297E" w14:textId="77777777" w:rsidR="00BC0269" w:rsidRPr="00A76167" w:rsidRDefault="00BC0269" w:rsidP="00A76167">
            <w:pPr>
              <w:rPr>
                <w:rFonts w:cs="Arial"/>
                <w:sz w:val="22"/>
                <w:szCs w:val="22"/>
              </w:rPr>
            </w:pPr>
          </w:p>
          <w:p w14:paraId="7A55B5BD" w14:textId="77777777" w:rsidR="00BC0269" w:rsidRPr="00A76167" w:rsidRDefault="00BC0269" w:rsidP="00A76167">
            <w:pPr>
              <w:rPr>
                <w:rFonts w:cs="Arial"/>
                <w:sz w:val="22"/>
                <w:szCs w:val="22"/>
              </w:rPr>
            </w:pPr>
          </w:p>
          <w:p w14:paraId="452A143D" w14:textId="77777777" w:rsidR="00BC0269" w:rsidRPr="00A76167" w:rsidRDefault="00BC0269" w:rsidP="00A76167">
            <w:pPr>
              <w:rPr>
                <w:rFonts w:cs="Arial"/>
                <w:sz w:val="22"/>
                <w:szCs w:val="22"/>
              </w:rPr>
            </w:pPr>
          </w:p>
          <w:p w14:paraId="7A57364F" w14:textId="77777777" w:rsidR="00BC0269" w:rsidRPr="00A76167" w:rsidRDefault="00BC0269" w:rsidP="00A76167">
            <w:pPr>
              <w:rPr>
                <w:rFonts w:cs="Arial"/>
                <w:sz w:val="22"/>
                <w:szCs w:val="22"/>
              </w:rPr>
            </w:pPr>
          </w:p>
          <w:p w14:paraId="7ECB5FD8" w14:textId="77777777" w:rsidR="00BC0269" w:rsidRPr="00A76167" w:rsidRDefault="00BC0269" w:rsidP="00A76167">
            <w:pPr>
              <w:rPr>
                <w:rFonts w:cs="Arial"/>
                <w:sz w:val="22"/>
                <w:szCs w:val="22"/>
              </w:rPr>
            </w:pPr>
          </w:p>
          <w:p w14:paraId="5B28D814" w14:textId="77777777" w:rsidR="00BC0269" w:rsidRPr="00A76167" w:rsidRDefault="00BC0269" w:rsidP="00A76167">
            <w:pPr>
              <w:rPr>
                <w:rFonts w:cs="Arial"/>
                <w:sz w:val="22"/>
                <w:szCs w:val="22"/>
              </w:rPr>
            </w:pPr>
          </w:p>
          <w:p w14:paraId="48F665C9" w14:textId="77777777" w:rsidR="00BC0269" w:rsidRPr="00A76167" w:rsidRDefault="00BC0269" w:rsidP="00A76167">
            <w:pPr>
              <w:rPr>
                <w:rFonts w:cs="Arial"/>
                <w:sz w:val="22"/>
                <w:szCs w:val="22"/>
              </w:rPr>
            </w:pPr>
          </w:p>
          <w:p w14:paraId="2FABA6CA" w14:textId="77777777" w:rsidR="00BC0269" w:rsidRPr="00A76167" w:rsidRDefault="00BC0269" w:rsidP="00A76167">
            <w:pPr>
              <w:rPr>
                <w:rFonts w:cs="Arial"/>
                <w:sz w:val="22"/>
                <w:szCs w:val="22"/>
              </w:rPr>
            </w:pPr>
          </w:p>
          <w:p w14:paraId="672A53E5" w14:textId="77777777" w:rsidR="00BC0269" w:rsidRPr="00A76167" w:rsidRDefault="00BC0269" w:rsidP="00A76167">
            <w:pPr>
              <w:rPr>
                <w:rFonts w:cs="Arial"/>
                <w:sz w:val="22"/>
                <w:szCs w:val="22"/>
              </w:rPr>
            </w:pPr>
          </w:p>
          <w:p w14:paraId="5DE16117" w14:textId="77777777" w:rsidR="00BC0269" w:rsidRPr="00A76167" w:rsidRDefault="00BC0269" w:rsidP="00A76167">
            <w:pPr>
              <w:rPr>
                <w:rFonts w:cs="Arial"/>
                <w:sz w:val="22"/>
                <w:szCs w:val="22"/>
              </w:rPr>
            </w:pPr>
          </w:p>
          <w:p w14:paraId="2A569496" w14:textId="77777777" w:rsidR="00BC0269" w:rsidRPr="00A76167" w:rsidRDefault="00BC0269" w:rsidP="00A76167">
            <w:pPr>
              <w:rPr>
                <w:rFonts w:cs="Arial"/>
                <w:sz w:val="22"/>
                <w:szCs w:val="22"/>
              </w:rPr>
            </w:pPr>
          </w:p>
          <w:p w14:paraId="568F012D" w14:textId="77777777" w:rsidR="00BC0269" w:rsidRPr="00A76167" w:rsidRDefault="00BC0269" w:rsidP="00A76167">
            <w:pPr>
              <w:rPr>
                <w:rFonts w:cs="Arial"/>
                <w:sz w:val="22"/>
                <w:szCs w:val="22"/>
              </w:rPr>
            </w:pPr>
          </w:p>
          <w:p w14:paraId="26929866" w14:textId="77777777" w:rsidR="00BC0269" w:rsidRPr="00A76167" w:rsidRDefault="00BC0269" w:rsidP="00A76167">
            <w:pPr>
              <w:rPr>
                <w:rFonts w:cs="Arial"/>
                <w:sz w:val="22"/>
                <w:szCs w:val="22"/>
              </w:rPr>
            </w:pPr>
          </w:p>
          <w:p w14:paraId="60ED4E9B" w14:textId="77777777" w:rsidR="00BC0269" w:rsidRPr="00A76167" w:rsidRDefault="00BC0269" w:rsidP="00A76167">
            <w:pPr>
              <w:rPr>
                <w:rFonts w:cs="Arial"/>
                <w:sz w:val="22"/>
                <w:szCs w:val="22"/>
              </w:rPr>
            </w:pPr>
          </w:p>
        </w:tc>
      </w:tr>
    </w:tbl>
    <w:p w14:paraId="3315F327" w14:textId="77777777" w:rsidR="00D47EDC" w:rsidRDefault="00D47EDC"/>
    <w:tbl>
      <w:tblPr>
        <w:tblStyle w:val="TableGrid"/>
        <w:tblW w:w="9923" w:type="dxa"/>
        <w:tblLayout w:type="fixed"/>
        <w:tblLook w:val="01E0" w:firstRow="1" w:lastRow="1" w:firstColumn="1" w:lastColumn="1" w:noHBand="0" w:noVBand="0"/>
      </w:tblPr>
      <w:tblGrid>
        <w:gridCol w:w="2124"/>
        <w:gridCol w:w="6509"/>
        <w:gridCol w:w="713"/>
        <w:gridCol w:w="577"/>
      </w:tblGrid>
      <w:tr w:rsidR="00D47EDC" w:rsidRPr="00A76167" w14:paraId="4B4C944D" w14:textId="77777777" w:rsidTr="00A76167">
        <w:trPr>
          <w:trHeight w:val="228"/>
        </w:trPr>
        <w:tc>
          <w:tcPr>
            <w:tcW w:w="2124" w:type="dxa"/>
          </w:tcPr>
          <w:p w14:paraId="1A4E0B9C" w14:textId="3091C049" w:rsidR="00D47EDC" w:rsidRPr="00A76167" w:rsidRDefault="00D47EDC" w:rsidP="00D47EDC">
            <w:pPr>
              <w:rPr>
                <w:rFonts w:cs="Arial"/>
                <w:sz w:val="22"/>
                <w:szCs w:val="22"/>
              </w:rPr>
            </w:pPr>
            <w:r w:rsidRPr="00A76167">
              <w:rPr>
                <w:rFonts w:cs="Arial"/>
                <w:i/>
                <w:sz w:val="22"/>
                <w:szCs w:val="22"/>
              </w:rPr>
              <w:t>Outcome of MRG consideration:</w:t>
            </w:r>
          </w:p>
        </w:tc>
        <w:tc>
          <w:tcPr>
            <w:tcW w:w="6509" w:type="dxa"/>
          </w:tcPr>
          <w:p w14:paraId="3F202249" w14:textId="784F25DF" w:rsidR="00D47EDC" w:rsidRPr="00A76167" w:rsidRDefault="00D47EDC" w:rsidP="00D47EDC">
            <w:pPr>
              <w:pStyle w:val="ListParagraph"/>
              <w:numPr>
                <w:ilvl w:val="0"/>
                <w:numId w:val="17"/>
              </w:numPr>
              <w:spacing w:after="0"/>
              <w:contextualSpacing/>
              <w:textboxTightWrap w:val="none"/>
              <w:rPr>
                <w:rFonts w:cs="Arial"/>
                <w:b/>
                <w:sz w:val="22"/>
                <w:szCs w:val="22"/>
              </w:rPr>
            </w:pPr>
            <w:r w:rsidRPr="00A76167">
              <w:rPr>
                <w:rFonts w:cs="Arial"/>
                <w:b/>
                <w:sz w:val="22"/>
                <w:szCs w:val="22"/>
              </w:rPr>
              <w:t>Proposal signed off, with or without caveats</w:t>
            </w:r>
          </w:p>
        </w:tc>
        <w:sdt>
          <w:sdtPr>
            <w:rPr>
              <w:rFonts w:cs="Arial"/>
              <w:sz w:val="22"/>
              <w:szCs w:val="22"/>
            </w:rPr>
            <w:id w:val="1963080450"/>
            <w14:checkbox>
              <w14:checked w14:val="0"/>
              <w14:checkedState w14:val="2612" w14:font="MS Gothic"/>
              <w14:uncheckedState w14:val="2610" w14:font="MS Gothic"/>
            </w14:checkbox>
          </w:sdtPr>
          <w:sdtEndPr/>
          <w:sdtContent>
            <w:tc>
              <w:tcPr>
                <w:tcW w:w="713" w:type="dxa"/>
              </w:tcPr>
              <w:p w14:paraId="4ED0105A" w14:textId="0F6CDD91" w:rsidR="00D47EDC" w:rsidRPr="00A76167" w:rsidRDefault="00D47EDC" w:rsidP="00D47EDC">
                <w:pPr>
                  <w:jc w:val="center"/>
                  <w:rPr>
                    <w:rFonts w:cs="Arial"/>
                    <w:sz w:val="22"/>
                    <w:szCs w:val="22"/>
                  </w:rPr>
                </w:pPr>
                <w:r w:rsidRPr="00A76167">
                  <w:rPr>
                    <w:rFonts w:ascii="Segoe UI Symbol" w:eastAsia="MS Gothic" w:hAnsi="Segoe UI Symbol" w:cs="Segoe UI Symbol"/>
                    <w:sz w:val="22"/>
                    <w:szCs w:val="22"/>
                  </w:rPr>
                  <w:t>☐</w:t>
                </w:r>
              </w:p>
            </w:tc>
          </w:sdtContent>
        </w:sdt>
        <w:tc>
          <w:tcPr>
            <w:tcW w:w="577" w:type="dxa"/>
          </w:tcPr>
          <w:p w14:paraId="1F1031A0" w14:textId="77777777" w:rsidR="00D47EDC" w:rsidRPr="00A76167" w:rsidRDefault="00D47EDC" w:rsidP="00D47EDC">
            <w:pPr>
              <w:rPr>
                <w:rFonts w:cs="Arial"/>
                <w:b/>
                <w:sz w:val="22"/>
                <w:szCs w:val="22"/>
              </w:rPr>
            </w:pPr>
          </w:p>
        </w:tc>
      </w:tr>
      <w:tr w:rsidR="00D47EDC" w:rsidRPr="00A76167" w14:paraId="68E178CE" w14:textId="77777777" w:rsidTr="00A76167">
        <w:trPr>
          <w:trHeight w:val="228"/>
        </w:trPr>
        <w:tc>
          <w:tcPr>
            <w:tcW w:w="2124" w:type="dxa"/>
          </w:tcPr>
          <w:p w14:paraId="2CE2327C" w14:textId="77777777" w:rsidR="00D47EDC" w:rsidRPr="00A76167" w:rsidRDefault="00D47EDC" w:rsidP="00D47EDC">
            <w:pPr>
              <w:rPr>
                <w:rFonts w:cs="Arial"/>
                <w:sz w:val="22"/>
                <w:szCs w:val="22"/>
              </w:rPr>
            </w:pPr>
          </w:p>
        </w:tc>
        <w:tc>
          <w:tcPr>
            <w:tcW w:w="6509" w:type="dxa"/>
          </w:tcPr>
          <w:p w14:paraId="7CB79643" w14:textId="5E7CB966" w:rsidR="00D47EDC" w:rsidRPr="00A76167" w:rsidRDefault="00D47EDC" w:rsidP="00D47EDC">
            <w:pPr>
              <w:pStyle w:val="ListParagraph"/>
              <w:numPr>
                <w:ilvl w:val="0"/>
                <w:numId w:val="17"/>
              </w:numPr>
              <w:spacing w:after="0"/>
              <w:contextualSpacing/>
              <w:textboxTightWrap w:val="none"/>
              <w:rPr>
                <w:rFonts w:cs="Arial"/>
                <w:b/>
                <w:sz w:val="22"/>
                <w:szCs w:val="22"/>
              </w:rPr>
            </w:pPr>
            <w:r w:rsidRPr="00A76167">
              <w:rPr>
                <w:rFonts w:cs="Arial"/>
                <w:b/>
                <w:sz w:val="22"/>
                <w:szCs w:val="22"/>
              </w:rPr>
              <w:t xml:space="preserve">Minor changes recommended  </w:t>
            </w:r>
          </w:p>
        </w:tc>
        <w:sdt>
          <w:sdtPr>
            <w:rPr>
              <w:rFonts w:cs="Arial"/>
              <w:sz w:val="22"/>
              <w:szCs w:val="22"/>
            </w:rPr>
            <w:id w:val="411135035"/>
            <w14:checkbox>
              <w14:checked w14:val="0"/>
              <w14:checkedState w14:val="2612" w14:font="MS Gothic"/>
              <w14:uncheckedState w14:val="2610" w14:font="MS Gothic"/>
            </w14:checkbox>
          </w:sdtPr>
          <w:sdtEndPr/>
          <w:sdtContent>
            <w:tc>
              <w:tcPr>
                <w:tcW w:w="713" w:type="dxa"/>
              </w:tcPr>
              <w:p w14:paraId="2A0C72AA" w14:textId="71E160F5" w:rsidR="00D47EDC" w:rsidRPr="00A76167" w:rsidRDefault="00D47EDC" w:rsidP="00D47EDC">
                <w:pPr>
                  <w:jc w:val="center"/>
                  <w:rPr>
                    <w:rFonts w:cs="Arial"/>
                    <w:sz w:val="22"/>
                    <w:szCs w:val="22"/>
                  </w:rPr>
                </w:pPr>
                <w:r w:rsidRPr="00A76167">
                  <w:rPr>
                    <w:rFonts w:ascii="Segoe UI Symbol" w:eastAsia="MS Gothic" w:hAnsi="Segoe UI Symbol" w:cs="Segoe UI Symbol"/>
                    <w:sz w:val="22"/>
                    <w:szCs w:val="22"/>
                  </w:rPr>
                  <w:t>☐</w:t>
                </w:r>
              </w:p>
            </w:tc>
          </w:sdtContent>
        </w:sdt>
        <w:tc>
          <w:tcPr>
            <w:tcW w:w="577" w:type="dxa"/>
          </w:tcPr>
          <w:p w14:paraId="3A97B402" w14:textId="77777777" w:rsidR="00D47EDC" w:rsidRPr="00A76167" w:rsidRDefault="00D47EDC" w:rsidP="00D47EDC">
            <w:pPr>
              <w:rPr>
                <w:rFonts w:cs="Arial"/>
                <w:b/>
                <w:sz w:val="22"/>
                <w:szCs w:val="22"/>
              </w:rPr>
            </w:pPr>
          </w:p>
        </w:tc>
      </w:tr>
      <w:tr w:rsidR="00D47EDC" w:rsidRPr="00A76167" w14:paraId="4603C8CE" w14:textId="77777777" w:rsidTr="00A76167">
        <w:trPr>
          <w:trHeight w:val="228"/>
        </w:trPr>
        <w:tc>
          <w:tcPr>
            <w:tcW w:w="2124" w:type="dxa"/>
          </w:tcPr>
          <w:p w14:paraId="10CDC86B" w14:textId="77777777" w:rsidR="00D47EDC" w:rsidRPr="00A76167" w:rsidRDefault="00D47EDC" w:rsidP="00D47EDC">
            <w:pPr>
              <w:rPr>
                <w:rFonts w:cs="Arial"/>
                <w:sz w:val="22"/>
                <w:szCs w:val="22"/>
              </w:rPr>
            </w:pPr>
          </w:p>
        </w:tc>
        <w:tc>
          <w:tcPr>
            <w:tcW w:w="6509" w:type="dxa"/>
          </w:tcPr>
          <w:p w14:paraId="418E7BCD" w14:textId="6E518E36" w:rsidR="00D47EDC" w:rsidRPr="00A76167" w:rsidRDefault="00D47EDC" w:rsidP="00D47EDC">
            <w:pPr>
              <w:pStyle w:val="ListParagraph"/>
              <w:numPr>
                <w:ilvl w:val="0"/>
                <w:numId w:val="17"/>
              </w:numPr>
              <w:spacing w:after="0"/>
              <w:contextualSpacing/>
              <w:textboxTightWrap w:val="none"/>
              <w:rPr>
                <w:rFonts w:cs="Arial"/>
                <w:b/>
                <w:sz w:val="22"/>
                <w:szCs w:val="22"/>
              </w:rPr>
            </w:pPr>
            <w:r w:rsidRPr="00A76167">
              <w:rPr>
                <w:rFonts w:cs="Arial"/>
                <w:b/>
                <w:sz w:val="22"/>
                <w:szCs w:val="22"/>
              </w:rPr>
              <w:t>Declined to sign-off</w:t>
            </w:r>
          </w:p>
        </w:tc>
        <w:sdt>
          <w:sdtPr>
            <w:rPr>
              <w:rFonts w:cs="Arial"/>
              <w:sz w:val="22"/>
              <w:szCs w:val="22"/>
            </w:rPr>
            <w:id w:val="1580941853"/>
            <w14:checkbox>
              <w14:checked w14:val="0"/>
              <w14:checkedState w14:val="2612" w14:font="MS Gothic"/>
              <w14:uncheckedState w14:val="2610" w14:font="MS Gothic"/>
            </w14:checkbox>
          </w:sdtPr>
          <w:sdtEndPr/>
          <w:sdtContent>
            <w:tc>
              <w:tcPr>
                <w:tcW w:w="713" w:type="dxa"/>
              </w:tcPr>
              <w:p w14:paraId="12303387" w14:textId="49C9AD85" w:rsidR="00D47EDC" w:rsidRPr="00A76167" w:rsidRDefault="00D47EDC" w:rsidP="00D47EDC">
                <w:pPr>
                  <w:jc w:val="center"/>
                  <w:rPr>
                    <w:rFonts w:cs="Arial"/>
                    <w:sz w:val="22"/>
                    <w:szCs w:val="22"/>
                  </w:rPr>
                </w:pPr>
                <w:r w:rsidRPr="00A76167">
                  <w:rPr>
                    <w:rFonts w:ascii="Segoe UI Symbol" w:eastAsia="MS Gothic" w:hAnsi="Segoe UI Symbol" w:cs="Segoe UI Symbol"/>
                    <w:sz w:val="22"/>
                    <w:szCs w:val="22"/>
                  </w:rPr>
                  <w:t>☐</w:t>
                </w:r>
              </w:p>
            </w:tc>
          </w:sdtContent>
        </w:sdt>
        <w:tc>
          <w:tcPr>
            <w:tcW w:w="577" w:type="dxa"/>
          </w:tcPr>
          <w:p w14:paraId="5E358387" w14:textId="77777777" w:rsidR="00D47EDC" w:rsidRPr="00A76167" w:rsidRDefault="00D47EDC" w:rsidP="00D47EDC">
            <w:pPr>
              <w:rPr>
                <w:rFonts w:cs="Arial"/>
                <w:b/>
                <w:sz w:val="22"/>
                <w:szCs w:val="22"/>
              </w:rPr>
            </w:pPr>
          </w:p>
        </w:tc>
      </w:tr>
    </w:tbl>
    <w:p w14:paraId="6C1DE42D" w14:textId="77777777" w:rsidR="00D47EDC" w:rsidRDefault="00D47EDC"/>
    <w:tbl>
      <w:tblPr>
        <w:tblStyle w:val="TableGrid"/>
        <w:tblW w:w="9923" w:type="dxa"/>
        <w:tblLayout w:type="fixed"/>
        <w:tblLook w:val="01E0" w:firstRow="1" w:lastRow="1" w:firstColumn="1" w:lastColumn="1" w:noHBand="0" w:noVBand="0"/>
      </w:tblPr>
      <w:tblGrid>
        <w:gridCol w:w="2124"/>
        <w:gridCol w:w="7799"/>
      </w:tblGrid>
      <w:tr w:rsidR="00D47EDC" w:rsidRPr="00A76167" w14:paraId="3DD67CAF" w14:textId="77777777" w:rsidTr="00A76167">
        <w:tc>
          <w:tcPr>
            <w:tcW w:w="2124" w:type="dxa"/>
          </w:tcPr>
          <w:p w14:paraId="10ECE643" w14:textId="77777777" w:rsidR="00D47EDC" w:rsidRPr="00A76167" w:rsidRDefault="00D47EDC" w:rsidP="00D47EDC">
            <w:pPr>
              <w:rPr>
                <w:rFonts w:cs="Arial"/>
                <w:sz w:val="22"/>
                <w:szCs w:val="22"/>
              </w:rPr>
            </w:pPr>
            <w:r w:rsidRPr="00A76167">
              <w:rPr>
                <w:rFonts w:cs="Arial"/>
                <w:sz w:val="22"/>
                <w:szCs w:val="22"/>
              </w:rPr>
              <w:t>Link to Peer Review Appraisal</w:t>
            </w:r>
          </w:p>
          <w:p w14:paraId="544A5C4B" w14:textId="77777777" w:rsidR="00D47EDC" w:rsidRPr="00A76167" w:rsidRDefault="00D47EDC" w:rsidP="00A76167">
            <w:pPr>
              <w:rPr>
                <w:rFonts w:cs="Arial"/>
                <w:sz w:val="22"/>
                <w:szCs w:val="22"/>
              </w:rPr>
            </w:pPr>
          </w:p>
        </w:tc>
        <w:tc>
          <w:tcPr>
            <w:tcW w:w="7799" w:type="dxa"/>
          </w:tcPr>
          <w:p w14:paraId="43C37E71" w14:textId="77777777" w:rsidR="00D47EDC" w:rsidRPr="00A76167" w:rsidRDefault="00D47EDC" w:rsidP="00A76167">
            <w:pPr>
              <w:rPr>
                <w:rFonts w:cs="Arial"/>
                <w:sz w:val="22"/>
                <w:szCs w:val="22"/>
              </w:rPr>
            </w:pPr>
          </w:p>
        </w:tc>
      </w:tr>
    </w:tbl>
    <w:p w14:paraId="4EAAC092" w14:textId="77777777" w:rsidR="00BC0269" w:rsidRPr="00A76167" w:rsidRDefault="00BC0269" w:rsidP="00A76167">
      <w:pPr>
        <w:ind w:left="-540"/>
        <w:rPr>
          <w:rFonts w:cs="Arial"/>
          <w:sz w:val="22"/>
          <w:szCs w:val="22"/>
        </w:rPr>
      </w:pPr>
    </w:p>
    <w:p w14:paraId="07AA6DD8" w14:textId="77777777" w:rsidR="00BC0269" w:rsidRPr="00A76167" w:rsidRDefault="00BC0269" w:rsidP="00A76167">
      <w:pPr>
        <w:ind w:left="-851"/>
        <w:rPr>
          <w:rFonts w:cs="Arial"/>
          <w:sz w:val="22"/>
          <w:szCs w:val="22"/>
        </w:rPr>
      </w:pPr>
    </w:p>
    <w:p w14:paraId="18D97996" w14:textId="77777777" w:rsidR="00BC0269" w:rsidRPr="00A76167" w:rsidRDefault="00BC0269" w:rsidP="00A76167">
      <w:pPr>
        <w:ind w:left="-851"/>
        <w:rPr>
          <w:rFonts w:cs="Arial"/>
          <w:b/>
          <w:sz w:val="22"/>
          <w:szCs w:val="22"/>
        </w:rPr>
      </w:pPr>
      <w:r w:rsidRPr="00A76167">
        <w:rPr>
          <w:rFonts w:cs="Arial"/>
          <w:sz w:val="22"/>
          <w:szCs w:val="22"/>
        </w:rPr>
        <w:t xml:space="preserve">Indicator Methodology for Consideration - </w:t>
      </w:r>
      <w:r w:rsidRPr="00A76167">
        <w:rPr>
          <w:rFonts w:cs="Arial"/>
          <w:b/>
          <w:sz w:val="22"/>
          <w:szCs w:val="22"/>
        </w:rPr>
        <w:t>Methodology Review Group</w:t>
      </w:r>
    </w:p>
    <w:p w14:paraId="6A1A3D57" w14:textId="77777777" w:rsidR="00BC0269" w:rsidRPr="00A76167" w:rsidRDefault="00BC0269" w:rsidP="00A76167">
      <w:pPr>
        <w:ind w:left="-851"/>
        <w:rPr>
          <w:rFonts w:cs="Arial"/>
          <w:sz w:val="22"/>
          <w:szCs w:val="22"/>
        </w:rPr>
      </w:pPr>
    </w:p>
    <w:tbl>
      <w:tblPr>
        <w:tblStyle w:val="TableGrid"/>
        <w:tblW w:w="9923" w:type="dxa"/>
        <w:tblLayout w:type="fixed"/>
        <w:tblLook w:val="01E0" w:firstRow="1" w:lastRow="1" w:firstColumn="1" w:lastColumn="1" w:noHBand="0" w:noVBand="0"/>
      </w:tblPr>
      <w:tblGrid>
        <w:gridCol w:w="1844"/>
        <w:gridCol w:w="5811"/>
        <w:gridCol w:w="993"/>
        <w:gridCol w:w="1275"/>
      </w:tblGrid>
      <w:tr w:rsidR="00A76167" w:rsidRPr="00A76167" w14:paraId="4E3DF0FB" w14:textId="77777777" w:rsidTr="00A76167">
        <w:tc>
          <w:tcPr>
            <w:tcW w:w="1844" w:type="dxa"/>
          </w:tcPr>
          <w:p w14:paraId="0BB0283F" w14:textId="77777777" w:rsidR="00BC0269" w:rsidRPr="00A76167" w:rsidRDefault="00BC0269" w:rsidP="00A76167">
            <w:pPr>
              <w:rPr>
                <w:rFonts w:cs="Arial"/>
                <w:b/>
                <w:sz w:val="22"/>
                <w:szCs w:val="22"/>
              </w:rPr>
            </w:pPr>
            <w:r w:rsidRPr="00A76167">
              <w:rPr>
                <w:rFonts w:cs="Arial"/>
                <w:b/>
                <w:sz w:val="22"/>
                <w:szCs w:val="22"/>
              </w:rPr>
              <w:t>Initial Indicator Title</w:t>
            </w:r>
          </w:p>
        </w:tc>
        <w:tc>
          <w:tcPr>
            <w:tcW w:w="5811" w:type="dxa"/>
          </w:tcPr>
          <w:p w14:paraId="0004B31C" w14:textId="77777777" w:rsidR="00BC0269" w:rsidRPr="00A76167" w:rsidRDefault="00BC0269" w:rsidP="00A76167">
            <w:pPr>
              <w:rPr>
                <w:rFonts w:cs="Arial"/>
                <w:sz w:val="22"/>
                <w:szCs w:val="22"/>
              </w:rPr>
            </w:pPr>
            <w:r w:rsidRPr="00A76167">
              <w:rPr>
                <w:rFonts w:cs="Arial"/>
                <w:sz w:val="22"/>
                <w:szCs w:val="22"/>
              </w:rPr>
              <w:t>[Indicator title submitted pre - MRG discussion]</w:t>
            </w:r>
          </w:p>
          <w:p w14:paraId="4F57F1D1" w14:textId="77777777" w:rsidR="00BC0269" w:rsidRPr="00A76167" w:rsidRDefault="00BC0269" w:rsidP="00A76167">
            <w:pPr>
              <w:rPr>
                <w:rFonts w:cs="Arial"/>
                <w:b/>
                <w:sz w:val="22"/>
                <w:szCs w:val="22"/>
              </w:rPr>
            </w:pPr>
            <w:r w:rsidRPr="00A76167">
              <w:rPr>
                <w:rFonts w:cs="Arial"/>
                <w:b/>
                <w:sz w:val="22"/>
                <w:szCs w:val="22"/>
              </w:rPr>
              <w:t>5a Patient Safety Incidents</w:t>
            </w:r>
          </w:p>
        </w:tc>
        <w:tc>
          <w:tcPr>
            <w:tcW w:w="993" w:type="dxa"/>
          </w:tcPr>
          <w:p w14:paraId="7BE4C50D" w14:textId="77777777" w:rsidR="00BC0269" w:rsidRPr="00A76167" w:rsidRDefault="00BC0269" w:rsidP="00A76167">
            <w:pPr>
              <w:rPr>
                <w:rFonts w:cs="Arial"/>
                <w:sz w:val="22"/>
                <w:szCs w:val="22"/>
              </w:rPr>
            </w:pPr>
            <w:r w:rsidRPr="00A76167">
              <w:rPr>
                <w:rFonts w:cs="Arial"/>
                <w:sz w:val="22"/>
                <w:szCs w:val="22"/>
              </w:rPr>
              <w:t>IAS Ref Code:</w:t>
            </w:r>
          </w:p>
        </w:tc>
        <w:tc>
          <w:tcPr>
            <w:tcW w:w="1275" w:type="dxa"/>
          </w:tcPr>
          <w:p w14:paraId="12688188" w14:textId="769EA480" w:rsidR="00BC0269" w:rsidRPr="00A76167" w:rsidRDefault="00BC0269" w:rsidP="00A76167">
            <w:pPr>
              <w:rPr>
                <w:rFonts w:cs="Arial"/>
                <w:sz w:val="22"/>
                <w:szCs w:val="22"/>
              </w:rPr>
            </w:pPr>
          </w:p>
        </w:tc>
      </w:tr>
      <w:tr w:rsidR="00A76167" w:rsidRPr="00A76167" w14:paraId="2F27B85B" w14:textId="77777777" w:rsidTr="00A76167">
        <w:tc>
          <w:tcPr>
            <w:tcW w:w="1844" w:type="dxa"/>
          </w:tcPr>
          <w:p w14:paraId="3952BE53" w14:textId="77777777" w:rsidR="00BC0269" w:rsidRPr="00A76167" w:rsidRDefault="00BC0269" w:rsidP="00A76167">
            <w:pPr>
              <w:rPr>
                <w:rFonts w:cs="Arial"/>
                <w:sz w:val="22"/>
                <w:szCs w:val="22"/>
              </w:rPr>
            </w:pPr>
            <w:r w:rsidRPr="00A76167">
              <w:rPr>
                <w:rFonts w:cs="Arial"/>
                <w:sz w:val="22"/>
                <w:szCs w:val="22"/>
              </w:rPr>
              <w:t>Indicator Set</w:t>
            </w:r>
          </w:p>
        </w:tc>
        <w:tc>
          <w:tcPr>
            <w:tcW w:w="5811" w:type="dxa"/>
          </w:tcPr>
          <w:p w14:paraId="365C5AA2" w14:textId="596A7D7D" w:rsidR="00BC0269" w:rsidRPr="00A76167" w:rsidRDefault="00BC0269" w:rsidP="00A76167">
            <w:pPr>
              <w:rPr>
                <w:rFonts w:cs="Arial"/>
                <w:sz w:val="22"/>
                <w:szCs w:val="22"/>
              </w:rPr>
            </w:pPr>
            <w:r w:rsidRPr="00A76167">
              <w:rPr>
                <w:rFonts w:cs="Arial"/>
                <w:sz w:val="22"/>
                <w:szCs w:val="22"/>
              </w:rPr>
              <w:t>CCG Outcome Indicator Set</w:t>
            </w:r>
          </w:p>
        </w:tc>
        <w:tc>
          <w:tcPr>
            <w:tcW w:w="993" w:type="dxa"/>
          </w:tcPr>
          <w:p w14:paraId="100DC296" w14:textId="77777777" w:rsidR="00BC0269" w:rsidRPr="00A76167" w:rsidRDefault="00BC0269" w:rsidP="00A76167">
            <w:pPr>
              <w:rPr>
                <w:rFonts w:cs="Arial"/>
                <w:sz w:val="22"/>
                <w:szCs w:val="22"/>
              </w:rPr>
            </w:pPr>
          </w:p>
        </w:tc>
        <w:tc>
          <w:tcPr>
            <w:tcW w:w="1275" w:type="dxa"/>
          </w:tcPr>
          <w:p w14:paraId="7AEE9DC6" w14:textId="77777777" w:rsidR="00BC0269" w:rsidRPr="00A76167" w:rsidRDefault="00BC0269" w:rsidP="00A76167">
            <w:pPr>
              <w:rPr>
                <w:rFonts w:cs="Arial"/>
                <w:sz w:val="22"/>
                <w:szCs w:val="22"/>
              </w:rPr>
            </w:pPr>
          </w:p>
        </w:tc>
      </w:tr>
    </w:tbl>
    <w:p w14:paraId="21D8459D" w14:textId="77777777" w:rsidR="00BC0269" w:rsidRPr="00A76167" w:rsidRDefault="00BC0269" w:rsidP="00A76167">
      <w:pPr>
        <w:ind w:left="-851"/>
        <w:rPr>
          <w:rFonts w:cs="Arial"/>
          <w:sz w:val="22"/>
          <w:szCs w:val="22"/>
        </w:rPr>
      </w:pPr>
    </w:p>
    <w:tbl>
      <w:tblPr>
        <w:tblStyle w:val="TableGrid"/>
        <w:tblW w:w="9923" w:type="dxa"/>
        <w:tblLayout w:type="fixed"/>
        <w:tblLook w:val="01E0" w:firstRow="1" w:lastRow="1" w:firstColumn="1" w:lastColumn="1" w:noHBand="0" w:noVBand="0"/>
      </w:tblPr>
      <w:tblGrid>
        <w:gridCol w:w="9923"/>
      </w:tblGrid>
      <w:tr w:rsidR="00D47EDC" w:rsidRPr="00A76167" w14:paraId="4B762AA9" w14:textId="77777777" w:rsidTr="00A76167">
        <w:tc>
          <w:tcPr>
            <w:tcW w:w="9923" w:type="dxa"/>
          </w:tcPr>
          <w:p w14:paraId="03BB81FB" w14:textId="3F150A9B" w:rsidR="00D47EDC" w:rsidRPr="00A76167" w:rsidRDefault="00D47EDC" w:rsidP="00A76167">
            <w:pPr>
              <w:rPr>
                <w:rFonts w:cs="Arial"/>
                <w:sz w:val="22"/>
                <w:szCs w:val="22"/>
              </w:rPr>
            </w:pPr>
            <w:r w:rsidRPr="00A76167">
              <w:rPr>
                <w:rFonts w:cs="Arial"/>
                <w:sz w:val="22"/>
                <w:szCs w:val="22"/>
              </w:rPr>
              <w:t>Introduction</w:t>
            </w:r>
          </w:p>
        </w:tc>
      </w:tr>
      <w:tr w:rsidR="00A76167" w:rsidRPr="00A76167" w14:paraId="78105E5B" w14:textId="77777777" w:rsidTr="00A76167">
        <w:tc>
          <w:tcPr>
            <w:tcW w:w="9923" w:type="dxa"/>
          </w:tcPr>
          <w:p w14:paraId="23AE94B3" w14:textId="35F93C60" w:rsidR="00BC0269" w:rsidRPr="00A76167" w:rsidRDefault="00BC0269" w:rsidP="00A76167">
            <w:pPr>
              <w:rPr>
                <w:rFonts w:cs="Arial"/>
                <w:sz w:val="22"/>
                <w:szCs w:val="22"/>
              </w:rPr>
            </w:pPr>
            <w:r w:rsidRPr="00A76167">
              <w:rPr>
                <w:rFonts w:cs="Arial"/>
                <w:sz w:val="22"/>
                <w:szCs w:val="22"/>
              </w:rPr>
              <w:t xml:space="preserve">[Brief background on indicators being considered, especially if they form part of a programme of indicators.  Provide any general information such </w:t>
            </w:r>
            <w:r w:rsidR="0021513E" w:rsidRPr="00A76167">
              <w:rPr>
                <w:rFonts w:cs="Arial"/>
                <w:sz w:val="22"/>
                <w:szCs w:val="22"/>
              </w:rPr>
              <w:t>as</w:t>
            </w:r>
            <w:r w:rsidRPr="00A76167">
              <w:rPr>
                <w:rFonts w:cs="Arial"/>
                <w:sz w:val="22"/>
                <w:szCs w:val="22"/>
              </w:rPr>
              <w:t xml:space="preserve"> urgency of approval / broad timescales;  history and direction of any indicator programmes involved e.g. General news about NHS Outcomes Framework; Level of IC’s involvement, </w:t>
            </w:r>
            <w:r w:rsidR="0021513E" w:rsidRPr="00A76167">
              <w:rPr>
                <w:rFonts w:cs="Arial"/>
                <w:sz w:val="22"/>
                <w:szCs w:val="22"/>
              </w:rPr>
              <w:t>e.g.</w:t>
            </w:r>
            <w:r w:rsidRPr="00A76167">
              <w:rPr>
                <w:rFonts w:cs="Arial"/>
                <w:sz w:val="22"/>
                <w:szCs w:val="22"/>
              </w:rPr>
              <w:t xml:space="preserve"> is it commissioned to produce or surface the data ]</w:t>
            </w:r>
          </w:p>
          <w:p w14:paraId="2D1B916A" w14:textId="77777777" w:rsidR="00BC0269" w:rsidRPr="00A76167" w:rsidRDefault="00BC0269" w:rsidP="00A76167">
            <w:pPr>
              <w:rPr>
                <w:rFonts w:cs="Arial"/>
                <w:b/>
                <w:sz w:val="22"/>
                <w:szCs w:val="22"/>
              </w:rPr>
            </w:pPr>
            <w:r w:rsidRPr="00A76167">
              <w:rPr>
                <w:rFonts w:cs="Arial"/>
                <w:b/>
                <w:sz w:val="22"/>
                <w:szCs w:val="22"/>
              </w:rPr>
              <w:t>The indicator was assured for use in the NHS Outcome Framework – see application ref IAP00037</w:t>
            </w:r>
          </w:p>
          <w:p w14:paraId="2C1E8D44" w14:textId="77777777" w:rsidR="00BC0269" w:rsidRPr="00A76167" w:rsidRDefault="00BC0269" w:rsidP="00A76167">
            <w:pPr>
              <w:rPr>
                <w:rFonts w:cs="Arial"/>
                <w:sz w:val="22"/>
                <w:szCs w:val="22"/>
              </w:rPr>
            </w:pPr>
            <w:r w:rsidRPr="00A76167">
              <w:rPr>
                <w:rFonts w:cs="Arial"/>
                <w:sz w:val="22"/>
                <w:szCs w:val="22"/>
              </w:rPr>
              <w:t>The following three indicators use provider-level data that are not directly attributable to a GP practice and so are not directly reportable at CCG level:</w:t>
            </w:r>
          </w:p>
          <w:p w14:paraId="2B1E24F9" w14:textId="77777777" w:rsidR="00BC0269" w:rsidRPr="00A76167" w:rsidRDefault="00BC0269" w:rsidP="00A76167">
            <w:pPr>
              <w:rPr>
                <w:rFonts w:cs="Arial"/>
                <w:sz w:val="22"/>
                <w:szCs w:val="22"/>
              </w:rPr>
            </w:pPr>
            <w:r w:rsidRPr="00A76167">
              <w:rPr>
                <w:rFonts w:cs="Arial"/>
                <w:sz w:val="22"/>
                <w:szCs w:val="22"/>
              </w:rPr>
              <w:t>•</w:t>
            </w:r>
            <w:r w:rsidRPr="00A76167">
              <w:rPr>
                <w:rFonts w:cs="Arial"/>
                <w:sz w:val="22"/>
                <w:szCs w:val="22"/>
              </w:rPr>
              <w:tab/>
              <w:t>5a - Patient Safety Incidents Reported</w:t>
            </w:r>
          </w:p>
          <w:p w14:paraId="3E7D31EF" w14:textId="77777777" w:rsidR="00BC0269" w:rsidRPr="00A76167" w:rsidRDefault="00BC0269" w:rsidP="00A76167">
            <w:pPr>
              <w:rPr>
                <w:rFonts w:cs="Arial"/>
                <w:sz w:val="22"/>
                <w:szCs w:val="22"/>
              </w:rPr>
            </w:pPr>
            <w:r w:rsidRPr="00A76167">
              <w:rPr>
                <w:rFonts w:cs="Arial"/>
                <w:sz w:val="22"/>
                <w:szCs w:val="22"/>
              </w:rPr>
              <w:t>•</w:t>
            </w:r>
            <w:r w:rsidRPr="00A76167">
              <w:rPr>
                <w:rFonts w:cs="Arial"/>
                <w:sz w:val="22"/>
                <w:szCs w:val="22"/>
              </w:rPr>
              <w:tab/>
              <w:t>5.2ii – Incidents of healthcare associated infection - C. Difficile</w:t>
            </w:r>
          </w:p>
          <w:p w14:paraId="63F1709E" w14:textId="77777777" w:rsidR="00BC0269" w:rsidRPr="00A76167" w:rsidRDefault="00BC0269" w:rsidP="00A76167">
            <w:pPr>
              <w:rPr>
                <w:rFonts w:cs="Arial"/>
                <w:sz w:val="22"/>
                <w:szCs w:val="22"/>
              </w:rPr>
            </w:pPr>
            <w:r w:rsidRPr="00A76167">
              <w:rPr>
                <w:rFonts w:cs="Arial"/>
                <w:sz w:val="22"/>
                <w:szCs w:val="22"/>
              </w:rPr>
              <w:t>•</w:t>
            </w:r>
            <w:r w:rsidRPr="00A76167">
              <w:rPr>
                <w:rFonts w:cs="Arial"/>
                <w:sz w:val="22"/>
                <w:szCs w:val="22"/>
              </w:rPr>
              <w:tab/>
              <w:t>5.9 – Adult patients who have had a VTE risk assessment on admission to hospital</w:t>
            </w:r>
          </w:p>
          <w:p w14:paraId="407A5296" w14:textId="77777777" w:rsidR="00BC0269" w:rsidRPr="00A76167" w:rsidRDefault="00BC0269" w:rsidP="00A76167">
            <w:pPr>
              <w:rPr>
                <w:rFonts w:cs="Arial"/>
                <w:sz w:val="22"/>
                <w:szCs w:val="22"/>
              </w:rPr>
            </w:pPr>
          </w:p>
          <w:p w14:paraId="2FBF21A1" w14:textId="77777777" w:rsidR="00BC0269" w:rsidRPr="00A76167" w:rsidRDefault="00BC0269" w:rsidP="00A76167">
            <w:pPr>
              <w:rPr>
                <w:rFonts w:cs="Arial"/>
                <w:sz w:val="22"/>
                <w:szCs w:val="22"/>
              </w:rPr>
            </w:pPr>
            <w:r w:rsidRPr="00A76167">
              <w:rPr>
                <w:rFonts w:cs="Arial"/>
                <w:sz w:val="22"/>
                <w:szCs w:val="22"/>
              </w:rPr>
              <w:t>The approach outlined below is the best available tool to indicate where activity takes place at CCG level. It is intended to provide estimates for CCGs on levels of Patient Safety incidents.</w:t>
            </w:r>
          </w:p>
          <w:p w14:paraId="21C8042F" w14:textId="77777777" w:rsidR="00BC0269" w:rsidRPr="00A76167" w:rsidRDefault="00BC0269" w:rsidP="00A76167">
            <w:pPr>
              <w:rPr>
                <w:rFonts w:cs="Arial"/>
                <w:sz w:val="22"/>
                <w:szCs w:val="22"/>
              </w:rPr>
            </w:pPr>
            <w:r w:rsidRPr="00A76167">
              <w:rPr>
                <w:rFonts w:cs="Arial"/>
                <w:b/>
                <w:sz w:val="22"/>
                <w:szCs w:val="22"/>
                <w:u w:val="single"/>
              </w:rPr>
              <w:t>Attribution Method</w:t>
            </w:r>
            <w:r w:rsidRPr="00A76167">
              <w:rPr>
                <w:rFonts w:cs="Arial"/>
                <w:b/>
                <w:sz w:val="22"/>
                <w:szCs w:val="22"/>
              </w:rPr>
              <w:t xml:space="preserve"> </w:t>
            </w:r>
          </w:p>
          <w:p w14:paraId="0FEAF595" w14:textId="77777777" w:rsidR="00BC0269" w:rsidRPr="00A76167" w:rsidRDefault="00BC0269" w:rsidP="00A76167">
            <w:pPr>
              <w:rPr>
                <w:rFonts w:cs="Arial"/>
                <w:sz w:val="22"/>
                <w:szCs w:val="22"/>
              </w:rPr>
            </w:pPr>
            <w:r w:rsidRPr="00A76167">
              <w:rPr>
                <w:rFonts w:cs="Arial"/>
                <w:sz w:val="22"/>
                <w:szCs w:val="22"/>
              </w:rPr>
              <w:t>The attribution method apportions a number of incidents to a CCG based upon the overall inpatient activity at a provider (2010-11 HES data) that has been commissioned by the CCG.</w:t>
            </w:r>
          </w:p>
          <w:p w14:paraId="6D2B9DFE" w14:textId="77777777" w:rsidR="00BC0269" w:rsidRPr="00A76167" w:rsidRDefault="00BC0269" w:rsidP="00A76167">
            <w:pPr>
              <w:rPr>
                <w:rFonts w:cs="Arial"/>
                <w:sz w:val="22"/>
                <w:szCs w:val="22"/>
              </w:rPr>
            </w:pPr>
            <w:r w:rsidRPr="00A76167">
              <w:rPr>
                <w:rFonts w:cs="Arial"/>
                <w:sz w:val="22"/>
                <w:szCs w:val="22"/>
              </w:rPr>
              <w:t xml:space="preserve">The method has been tested using a dummy indicator on known HES data, where a comparison can be made, as the provider can be accurately matched to a CCG via the GP Practice code in HES. When tested using this known data, there was a correlation of 0.75, i.e. in 75 out of 100 cases the activity will be correctly matched to the commissioning CCG. Based on initial analysis by the Clinical Indicators team, there is evidence that use of this attribution method is inappropriate where there are fewer than 300 results, as the correlation dwindles. </w:t>
            </w:r>
          </w:p>
          <w:p w14:paraId="1CA0C12D" w14:textId="77777777" w:rsidR="00BC0269" w:rsidRPr="00A76167" w:rsidRDefault="00BC0269" w:rsidP="00A76167">
            <w:pPr>
              <w:rPr>
                <w:rFonts w:cs="Arial"/>
                <w:sz w:val="22"/>
                <w:szCs w:val="22"/>
              </w:rPr>
            </w:pPr>
            <w:r w:rsidRPr="00A76167">
              <w:rPr>
                <w:rFonts w:cs="Arial"/>
                <w:sz w:val="22"/>
                <w:szCs w:val="22"/>
              </w:rPr>
              <w:t xml:space="preserve">The graph below shows the correlation between the direct provider-to-CCG volumes (available in HES) and the attributed volumes. The dummy indicator used is a crude mortality rate indicator, summarised below; </w:t>
            </w:r>
          </w:p>
          <w:p w14:paraId="5E1F96D7" w14:textId="77777777" w:rsidR="00BC0269" w:rsidRPr="00A76167" w:rsidRDefault="00BC0269" w:rsidP="00A76167">
            <w:pPr>
              <w:rPr>
                <w:rFonts w:cs="Arial"/>
                <w:sz w:val="22"/>
                <w:szCs w:val="22"/>
              </w:rPr>
            </w:pPr>
          </w:p>
          <w:p w14:paraId="7CEA987C" w14:textId="77777777" w:rsidR="00BC0269" w:rsidRPr="00A76167" w:rsidRDefault="00BC0269" w:rsidP="00A76167">
            <w:pPr>
              <w:rPr>
                <w:rFonts w:cs="Arial"/>
                <w:sz w:val="22"/>
                <w:szCs w:val="22"/>
              </w:rPr>
            </w:pPr>
            <w:r w:rsidRPr="00A76167">
              <w:rPr>
                <w:rFonts w:cs="Arial"/>
                <w:sz w:val="22"/>
                <w:szCs w:val="22"/>
              </w:rPr>
              <w:t>Denominator: The number of provider spells in financial year 2010/11.</w:t>
            </w:r>
          </w:p>
          <w:p w14:paraId="512E636B" w14:textId="77777777" w:rsidR="00BC0269" w:rsidRPr="00A76167" w:rsidRDefault="00BC0269" w:rsidP="00A76167">
            <w:pPr>
              <w:rPr>
                <w:rFonts w:cs="Arial"/>
                <w:sz w:val="22"/>
                <w:szCs w:val="22"/>
              </w:rPr>
            </w:pPr>
            <w:r w:rsidRPr="00A76167">
              <w:rPr>
                <w:rFonts w:cs="Arial"/>
                <w:sz w:val="22"/>
                <w:szCs w:val="22"/>
              </w:rPr>
              <w:lastRenderedPageBreak/>
              <w:t xml:space="preserve">Numerator: The number of provider spells that end in a discharge coded as death in financial year 2010/11. </w:t>
            </w:r>
          </w:p>
          <w:p w14:paraId="7BA8D270" w14:textId="77777777" w:rsidR="00BC0269" w:rsidRPr="00A76167" w:rsidRDefault="00BC0269" w:rsidP="00A76167">
            <w:pPr>
              <w:rPr>
                <w:rFonts w:cs="Arial"/>
                <w:sz w:val="22"/>
                <w:szCs w:val="22"/>
              </w:rPr>
            </w:pPr>
          </w:p>
          <w:p w14:paraId="169E1956" w14:textId="533B2562" w:rsidR="00BC0269" w:rsidRPr="00A76167" w:rsidRDefault="00EC2F12" w:rsidP="00A76167">
            <w:pPr>
              <w:rPr>
                <w:rFonts w:cs="Arial"/>
                <w:b/>
                <w:sz w:val="22"/>
                <w:szCs w:val="22"/>
                <w:u w:val="single"/>
              </w:rPr>
            </w:pPr>
            <w:r>
              <w:rPr>
                <w:rFonts w:cs="Arial"/>
                <w:b/>
                <w:noProof/>
                <w:sz w:val="22"/>
                <w:szCs w:val="22"/>
                <w:u w:val="single"/>
              </w:rPr>
              <w:t xml:space="preserve">Graph </w:t>
            </w:r>
            <w:r w:rsidR="00BC0269" w:rsidRPr="00A76167">
              <w:rPr>
                <w:rFonts w:cs="Arial"/>
                <w:b/>
                <w:noProof/>
                <w:sz w:val="22"/>
                <w:szCs w:val="22"/>
                <w:u w:val="single"/>
              </w:rPr>
              <w:drawing>
                <wp:inline distT="0" distB="0" distL="0" distR="0" wp14:anchorId="24E8AF1A" wp14:editId="53BBAF54">
                  <wp:extent cx="4324350" cy="2527300"/>
                  <wp:effectExtent l="0" t="0" r="0" b="6350"/>
                  <wp:docPr id="13" name="Picture 13" descr="graph showing correlation between direct to provider  CCG volumes and the attribu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324350" cy="2527300"/>
                          </a:xfrm>
                          <a:prstGeom prst="rect">
                            <a:avLst/>
                          </a:prstGeom>
                          <a:noFill/>
                        </pic:spPr>
                      </pic:pic>
                    </a:graphicData>
                  </a:graphic>
                </wp:inline>
              </w:drawing>
            </w:r>
          </w:p>
          <w:p w14:paraId="4A3EBB74" w14:textId="77777777" w:rsidR="00BC0269" w:rsidRPr="00A76167" w:rsidRDefault="00BC0269" w:rsidP="00A76167">
            <w:pPr>
              <w:rPr>
                <w:rFonts w:cs="Arial"/>
                <w:sz w:val="22"/>
                <w:szCs w:val="22"/>
              </w:rPr>
            </w:pPr>
            <w:r w:rsidRPr="00A76167">
              <w:rPr>
                <w:rFonts w:cs="Arial"/>
                <w:sz w:val="22"/>
                <w:szCs w:val="22"/>
              </w:rPr>
              <w:t>The examples used in the MRG reports use a CCG based in the North of England with full year 2010-11 figures for the incidents relevant to the indicator at provider-level.</w:t>
            </w:r>
          </w:p>
          <w:p w14:paraId="11DB1563" w14:textId="77777777" w:rsidR="00BC0269" w:rsidRPr="00A76167" w:rsidRDefault="00BC0269" w:rsidP="00A76167">
            <w:pPr>
              <w:rPr>
                <w:rFonts w:cs="Arial"/>
                <w:sz w:val="22"/>
                <w:szCs w:val="22"/>
              </w:rPr>
            </w:pPr>
            <w:r w:rsidRPr="00A76167">
              <w:rPr>
                <w:rFonts w:cs="Arial"/>
                <w:b/>
                <w:sz w:val="22"/>
                <w:szCs w:val="22"/>
                <w:u w:val="single"/>
              </w:rPr>
              <w:t>Attribution Method Potential Issues</w:t>
            </w:r>
          </w:p>
          <w:p w14:paraId="77863367" w14:textId="77777777" w:rsidR="00BC0269" w:rsidRPr="00A76167" w:rsidRDefault="00BC0269" w:rsidP="00A76167">
            <w:pPr>
              <w:rPr>
                <w:rFonts w:cs="Arial"/>
                <w:sz w:val="22"/>
                <w:szCs w:val="22"/>
              </w:rPr>
            </w:pPr>
            <w:r w:rsidRPr="00A76167">
              <w:rPr>
                <w:rFonts w:cs="Arial"/>
                <w:sz w:val="22"/>
                <w:szCs w:val="22"/>
              </w:rPr>
              <w:t xml:space="preserve">Using the attribution method assumes a correlation between provider-to-CCG activity and the number of Patient Safety/HCAI/VTE issues, which may or may not be valid. </w:t>
            </w:r>
          </w:p>
          <w:p w14:paraId="2514EDA7" w14:textId="77777777" w:rsidR="00BC0269" w:rsidRPr="00A76167" w:rsidRDefault="00BC0269" w:rsidP="00A76167">
            <w:pPr>
              <w:rPr>
                <w:rFonts w:cs="Arial"/>
                <w:sz w:val="22"/>
                <w:szCs w:val="22"/>
              </w:rPr>
            </w:pPr>
            <w:r w:rsidRPr="00A76167">
              <w:rPr>
                <w:rFonts w:cs="Arial"/>
                <w:sz w:val="22"/>
                <w:szCs w:val="22"/>
              </w:rPr>
              <w:t>Use of this attribution method could mask statistically significant variation at CCG-level by inappropriately allocating each CCG a proportion of cases based purely upon the number of patients sent to the provider in question. It would therefore be inappropriate to use this method to hold CCGs to account.  The results should be viewed in the context of the provider and not as an individual figure in isolation.</w:t>
            </w:r>
          </w:p>
          <w:p w14:paraId="7787648E" w14:textId="77777777" w:rsidR="00BC0269" w:rsidRPr="00A76167" w:rsidRDefault="00BC0269" w:rsidP="00A76167">
            <w:pPr>
              <w:rPr>
                <w:rFonts w:cs="Arial"/>
                <w:sz w:val="22"/>
                <w:szCs w:val="22"/>
              </w:rPr>
            </w:pPr>
            <w:r w:rsidRPr="00A76167">
              <w:rPr>
                <w:rFonts w:cs="Arial"/>
                <w:sz w:val="22"/>
                <w:szCs w:val="22"/>
              </w:rPr>
              <w:t>It is recommended the word ‘Estimated’ be included in the indicator title.</w:t>
            </w:r>
          </w:p>
          <w:p w14:paraId="7602B4DF" w14:textId="77777777" w:rsidR="00BC0269" w:rsidRPr="00A76167" w:rsidRDefault="00BC0269" w:rsidP="00A76167">
            <w:pPr>
              <w:rPr>
                <w:rFonts w:cs="Arial"/>
                <w:sz w:val="22"/>
                <w:szCs w:val="22"/>
              </w:rPr>
            </w:pPr>
            <w:r w:rsidRPr="00A76167">
              <w:rPr>
                <w:rFonts w:cs="Arial"/>
                <w:sz w:val="22"/>
                <w:szCs w:val="22"/>
              </w:rPr>
              <w:t>Indicators constructed using this proxy attribution method should not be used in the allocation of payments or quality premium.</w:t>
            </w:r>
          </w:p>
          <w:p w14:paraId="4E7BC952" w14:textId="77777777" w:rsidR="00BC0269" w:rsidRPr="00A76167" w:rsidRDefault="00BC0269" w:rsidP="00A76167">
            <w:pPr>
              <w:rPr>
                <w:rFonts w:cs="Arial"/>
                <w:sz w:val="22"/>
                <w:szCs w:val="22"/>
              </w:rPr>
            </w:pPr>
            <w:r w:rsidRPr="00A76167">
              <w:rPr>
                <w:rFonts w:cs="Arial"/>
                <w:sz w:val="22"/>
                <w:szCs w:val="22"/>
              </w:rPr>
              <w:t xml:space="preserve">This method was presented to the NICE COF Advisory Committee in September and they did not support the use of these indicators.  </w:t>
            </w:r>
          </w:p>
          <w:p w14:paraId="28AC930D" w14:textId="77777777" w:rsidR="00BC0269" w:rsidRPr="00A76167" w:rsidRDefault="00BC0269" w:rsidP="00A76167">
            <w:pPr>
              <w:rPr>
                <w:rFonts w:cs="Arial"/>
                <w:sz w:val="22"/>
                <w:szCs w:val="22"/>
              </w:rPr>
            </w:pPr>
            <w:r w:rsidRPr="00A76167">
              <w:rPr>
                <w:rFonts w:cs="Arial"/>
                <w:b/>
                <w:sz w:val="22"/>
                <w:szCs w:val="22"/>
              </w:rPr>
              <w:t>Update (21/02/13):</w:t>
            </w:r>
            <w:r w:rsidRPr="00A76167">
              <w:rPr>
                <w:rFonts w:cs="Arial"/>
                <w:sz w:val="22"/>
                <w:szCs w:val="22"/>
              </w:rPr>
              <w:t xml:space="preserve"> In their December information packs for CCGs and Local Authorities, DH outlined their method to represent CCG level patient experience without attributing provider level data. For each CCG, this shows their five main providers  with the number of admissions and the patient experience scores (examples shown at the end of this indicator update). </w:t>
            </w:r>
          </w:p>
          <w:p w14:paraId="42D9F053" w14:textId="0BC87E72" w:rsidR="00BC0269" w:rsidRPr="00A76167" w:rsidRDefault="00BC0269" w:rsidP="00A76167">
            <w:pPr>
              <w:rPr>
                <w:rFonts w:cs="Arial"/>
                <w:sz w:val="22"/>
                <w:szCs w:val="22"/>
              </w:rPr>
            </w:pPr>
            <w:r w:rsidRPr="00A76167">
              <w:rPr>
                <w:rFonts w:cs="Arial"/>
                <w:sz w:val="22"/>
                <w:szCs w:val="22"/>
              </w:rPr>
              <w:t xml:space="preserve">A similar method could </w:t>
            </w:r>
            <w:r w:rsidR="0021513E" w:rsidRPr="00A76167">
              <w:rPr>
                <w:rFonts w:cs="Arial"/>
                <w:sz w:val="22"/>
                <w:szCs w:val="22"/>
              </w:rPr>
              <w:t xml:space="preserve">be </w:t>
            </w:r>
            <w:r w:rsidRPr="00A76167">
              <w:rPr>
                <w:rFonts w:cs="Arial"/>
                <w:sz w:val="22"/>
                <w:szCs w:val="22"/>
              </w:rPr>
              <w:t>used to represent patient safety figures at CCG level. The following information provides MRG with an update on the attribution method and the recommendation made previously. Given the suggestion from DH, we are seeking MRG’s advice on which of the two options should be progressed.</w:t>
            </w:r>
          </w:p>
          <w:p w14:paraId="3DE57E1D" w14:textId="77777777" w:rsidR="00BC0269" w:rsidRPr="00A76167" w:rsidRDefault="00BC0269" w:rsidP="00A76167">
            <w:pPr>
              <w:rPr>
                <w:rFonts w:cs="Arial"/>
                <w:sz w:val="22"/>
                <w:szCs w:val="22"/>
              </w:rPr>
            </w:pPr>
          </w:p>
          <w:p w14:paraId="2823EFD6" w14:textId="77777777" w:rsidR="00BC0269" w:rsidRPr="00A76167" w:rsidRDefault="00BC0269" w:rsidP="00A76167">
            <w:pPr>
              <w:rPr>
                <w:rFonts w:cs="Arial"/>
                <w:sz w:val="22"/>
                <w:szCs w:val="22"/>
              </w:rPr>
            </w:pPr>
          </w:p>
          <w:p w14:paraId="05B49B4B" w14:textId="77777777" w:rsidR="00BC0269" w:rsidRPr="00A76167" w:rsidRDefault="00BC0269" w:rsidP="00A76167">
            <w:pPr>
              <w:rPr>
                <w:rFonts w:cs="Arial"/>
                <w:sz w:val="22"/>
                <w:szCs w:val="22"/>
              </w:rPr>
            </w:pPr>
          </w:p>
          <w:p w14:paraId="7CB648B6" w14:textId="77777777" w:rsidR="00BC0269" w:rsidRPr="00A76167" w:rsidRDefault="00BC0269" w:rsidP="00A76167">
            <w:pPr>
              <w:rPr>
                <w:rFonts w:cs="Arial"/>
                <w:sz w:val="22"/>
                <w:szCs w:val="22"/>
              </w:rPr>
            </w:pPr>
          </w:p>
        </w:tc>
      </w:tr>
    </w:tbl>
    <w:p w14:paraId="2700CD29" w14:textId="2F721BC3" w:rsidR="00BC0269" w:rsidRPr="00A76167" w:rsidRDefault="00D47EDC" w:rsidP="00A76167">
      <w:pPr>
        <w:ind w:left="-851"/>
        <w:rPr>
          <w:rFonts w:cs="Arial"/>
          <w:sz w:val="22"/>
          <w:szCs w:val="22"/>
        </w:rPr>
      </w:pPr>
      <w:r w:rsidRPr="00A76167">
        <w:rPr>
          <w:rFonts w:cs="Arial"/>
          <w:sz w:val="22"/>
          <w:szCs w:val="22"/>
        </w:rPr>
        <w:lastRenderedPageBreak/>
        <w:t>Indicator Details - Initial MRG Submission</w:t>
      </w:r>
    </w:p>
    <w:tbl>
      <w:tblPr>
        <w:tblStyle w:val="TableGrid"/>
        <w:tblW w:w="9923" w:type="dxa"/>
        <w:tblLayout w:type="fixed"/>
        <w:tblLook w:val="01E0" w:firstRow="1" w:lastRow="1" w:firstColumn="1" w:lastColumn="1" w:noHBand="0" w:noVBand="0"/>
      </w:tblPr>
      <w:tblGrid>
        <w:gridCol w:w="2125"/>
        <w:gridCol w:w="7798"/>
      </w:tblGrid>
      <w:tr w:rsidR="00D47EDC" w:rsidRPr="00A76167" w14:paraId="1F8DF3BB" w14:textId="77777777" w:rsidTr="00A76167">
        <w:tc>
          <w:tcPr>
            <w:tcW w:w="2125" w:type="dxa"/>
          </w:tcPr>
          <w:p w14:paraId="6979C989" w14:textId="372770F5" w:rsidR="00D47EDC" w:rsidRPr="00A76167" w:rsidRDefault="00D47EDC" w:rsidP="00D47EDC">
            <w:pPr>
              <w:rPr>
                <w:rFonts w:cs="Arial"/>
                <w:sz w:val="22"/>
                <w:szCs w:val="22"/>
              </w:rPr>
            </w:pPr>
            <w:r w:rsidRPr="00A76167">
              <w:rPr>
                <w:rFonts w:cs="Arial"/>
                <w:sz w:val="22"/>
                <w:szCs w:val="22"/>
              </w:rPr>
              <w:t>Date of Initial Discussion:</w:t>
            </w:r>
          </w:p>
        </w:tc>
        <w:tc>
          <w:tcPr>
            <w:tcW w:w="7798" w:type="dxa"/>
          </w:tcPr>
          <w:p w14:paraId="00358077" w14:textId="7F253AB2" w:rsidR="00D47EDC" w:rsidRPr="00A76167" w:rsidRDefault="00D47EDC" w:rsidP="00D47EDC">
            <w:pPr>
              <w:autoSpaceDE w:val="0"/>
              <w:autoSpaceDN w:val="0"/>
              <w:adjustRightInd w:val="0"/>
              <w:spacing w:after="180"/>
              <w:rPr>
                <w:rFonts w:cs="Arial"/>
                <w:sz w:val="22"/>
                <w:szCs w:val="22"/>
              </w:rPr>
            </w:pPr>
            <w:r w:rsidRPr="00A76167">
              <w:rPr>
                <w:rFonts w:cs="Arial"/>
                <w:sz w:val="22"/>
                <w:szCs w:val="22"/>
              </w:rPr>
              <w:t>26/10/12</w:t>
            </w:r>
          </w:p>
        </w:tc>
      </w:tr>
      <w:tr w:rsidR="00D47EDC" w:rsidRPr="00A76167" w14:paraId="132427B3" w14:textId="77777777" w:rsidTr="00A76167">
        <w:tc>
          <w:tcPr>
            <w:tcW w:w="2125" w:type="dxa"/>
          </w:tcPr>
          <w:p w14:paraId="16D3EA8A" w14:textId="77777777" w:rsidR="00D47EDC" w:rsidRPr="00A76167" w:rsidRDefault="00D47EDC" w:rsidP="00D47EDC">
            <w:pPr>
              <w:rPr>
                <w:rFonts w:cs="Arial"/>
                <w:sz w:val="22"/>
                <w:szCs w:val="22"/>
                <w:highlight w:val="yellow"/>
              </w:rPr>
            </w:pPr>
            <w:r w:rsidRPr="00A76167">
              <w:rPr>
                <w:rFonts w:cs="Arial"/>
                <w:sz w:val="22"/>
                <w:szCs w:val="22"/>
              </w:rPr>
              <w:t>Rationale / usefulness</w:t>
            </w:r>
            <w:r w:rsidRPr="00A76167">
              <w:rPr>
                <w:rFonts w:cs="Arial"/>
                <w:sz w:val="22"/>
                <w:szCs w:val="22"/>
                <w:highlight w:val="yellow"/>
              </w:rPr>
              <w:t xml:space="preserve"> </w:t>
            </w:r>
          </w:p>
          <w:p w14:paraId="5AD96ABA" w14:textId="77777777" w:rsidR="00D47EDC" w:rsidRPr="00A76167" w:rsidRDefault="00D47EDC" w:rsidP="00D47EDC">
            <w:pPr>
              <w:rPr>
                <w:rFonts w:cs="Arial"/>
                <w:sz w:val="22"/>
                <w:szCs w:val="22"/>
              </w:rPr>
            </w:pPr>
            <w:r w:rsidRPr="00A76167">
              <w:rPr>
                <w:rFonts w:cs="Arial"/>
                <w:sz w:val="22"/>
                <w:szCs w:val="22"/>
              </w:rPr>
              <w:t>Evidence and action ability of indicator [take this directly from the application if possible]</w:t>
            </w:r>
          </w:p>
          <w:p w14:paraId="61E03D0E" w14:textId="77777777" w:rsidR="00D47EDC" w:rsidRPr="00A76167" w:rsidRDefault="00D47EDC" w:rsidP="00D47EDC">
            <w:pPr>
              <w:rPr>
                <w:rFonts w:cs="Arial"/>
                <w:sz w:val="22"/>
                <w:szCs w:val="22"/>
              </w:rPr>
            </w:pPr>
          </w:p>
        </w:tc>
        <w:tc>
          <w:tcPr>
            <w:tcW w:w="7798" w:type="dxa"/>
          </w:tcPr>
          <w:p w14:paraId="729339F8" w14:textId="77777777" w:rsidR="00D47EDC" w:rsidRPr="00A76167" w:rsidRDefault="00D47EDC" w:rsidP="00D47EDC">
            <w:pPr>
              <w:autoSpaceDE w:val="0"/>
              <w:autoSpaceDN w:val="0"/>
              <w:adjustRightInd w:val="0"/>
              <w:spacing w:after="180"/>
              <w:rPr>
                <w:rFonts w:cs="Arial"/>
                <w:sz w:val="22"/>
                <w:szCs w:val="22"/>
              </w:rPr>
            </w:pPr>
            <w:r w:rsidRPr="00A76167">
              <w:rPr>
                <w:rFonts w:cs="Arial"/>
                <w:sz w:val="22"/>
                <w:szCs w:val="22"/>
              </w:rPr>
              <w:t>“Patient safety incidents are an unintended or unexpected incident which could have, or did, lead to harm for one or more patients receiving NHS-funded healthcare.”</w:t>
            </w:r>
          </w:p>
          <w:p w14:paraId="1523D0EA" w14:textId="77777777" w:rsidR="00D47EDC" w:rsidRPr="00A76167" w:rsidRDefault="00D47EDC" w:rsidP="00D47EDC">
            <w:pPr>
              <w:autoSpaceDE w:val="0"/>
              <w:autoSpaceDN w:val="0"/>
              <w:adjustRightInd w:val="0"/>
              <w:spacing w:after="180"/>
              <w:rPr>
                <w:rFonts w:cs="Arial"/>
                <w:sz w:val="22"/>
                <w:szCs w:val="22"/>
              </w:rPr>
            </w:pPr>
            <w:r w:rsidRPr="00A76167">
              <w:rPr>
                <w:rFonts w:cs="Arial"/>
                <w:sz w:val="22"/>
                <w:szCs w:val="22"/>
              </w:rPr>
              <w:t>(</w:t>
            </w:r>
            <w:hyperlink r:id="rId21" w:history="1">
              <w:r w:rsidRPr="00A76167">
                <w:rPr>
                  <w:rStyle w:val="Hyperlink"/>
                  <w:rFonts w:ascii="Arial" w:eastAsia="MS Mincho" w:hAnsi="Arial" w:cs="Arial"/>
                  <w:color w:val="auto"/>
                  <w:sz w:val="22"/>
                  <w:szCs w:val="22"/>
                </w:rPr>
                <w:t>http://www.nrls.npsa.nhs.uk/report-a-patient-safety-incident/healthcare-staff-reporting/</w:t>
              </w:r>
            </w:hyperlink>
            <w:r w:rsidRPr="00A76167">
              <w:rPr>
                <w:rFonts w:cs="Arial"/>
                <w:sz w:val="22"/>
                <w:szCs w:val="22"/>
              </w:rPr>
              <w:t>)</w:t>
            </w:r>
          </w:p>
          <w:p w14:paraId="1A125130" w14:textId="77777777" w:rsidR="00D47EDC" w:rsidRPr="00A76167" w:rsidRDefault="00D47EDC" w:rsidP="00D47EDC">
            <w:pPr>
              <w:autoSpaceDE w:val="0"/>
              <w:autoSpaceDN w:val="0"/>
              <w:adjustRightInd w:val="0"/>
              <w:spacing w:after="180"/>
              <w:rPr>
                <w:rFonts w:eastAsia="Calibri" w:cs="Arial"/>
                <w:sz w:val="22"/>
                <w:szCs w:val="22"/>
              </w:rPr>
            </w:pPr>
            <w:r w:rsidRPr="00A76167">
              <w:rPr>
                <w:rFonts w:cs="Arial"/>
                <w:sz w:val="22"/>
                <w:szCs w:val="22"/>
              </w:rPr>
              <w:t>It is impossible to eliminate entirely adverse events in healthcare but the need to learn from the events is understood. Work is on-going to improve data collection to support the reduction in these incidents.</w:t>
            </w:r>
            <w:r w:rsidRPr="00A76167">
              <w:rPr>
                <w:rFonts w:eastAsia="Calibri" w:cs="Arial"/>
                <w:sz w:val="22"/>
                <w:szCs w:val="22"/>
              </w:rPr>
              <w:t xml:space="preserve"> </w:t>
            </w:r>
          </w:p>
          <w:p w14:paraId="4BC17069" w14:textId="77777777" w:rsidR="00D47EDC" w:rsidRPr="00A76167" w:rsidRDefault="00D47EDC" w:rsidP="00D47EDC">
            <w:pPr>
              <w:autoSpaceDE w:val="0"/>
              <w:autoSpaceDN w:val="0"/>
              <w:adjustRightInd w:val="0"/>
              <w:spacing w:after="180"/>
              <w:rPr>
                <w:rFonts w:eastAsia="Calibri" w:cs="Arial"/>
                <w:sz w:val="22"/>
                <w:szCs w:val="22"/>
              </w:rPr>
            </w:pPr>
            <w:r w:rsidRPr="00A76167">
              <w:rPr>
                <w:rFonts w:eastAsia="Calibri" w:cs="Arial"/>
                <w:sz w:val="22"/>
                <w:szCs w:val="22"/>
              </w:rPr>
              <w:t>This is based upon the NHS Outcomes Framework indicator of the same number and name. It seeks an improved readiness of the NHS to report harm and to learn from it.</w:t>
            </w:r>
          </w:p>
          <w:p w14:paraId="57023B0B" w14:textId="77777777" w:rsidR="00D47EDC" w:rsidRPr="00A76167" w:rsidRDefault="00D47EDC" w:rsidP="00D47EDC">
            <w:pPr>
              <w:rPr>
                <w:rFonts w:eastAsia="Calibri" w:cs="Arial"/>
                <w:sz w:val="22"/>
                <w:szCs w:val="22"/>
              </w:rPr>
            </w:pPr>
            <w:r w:rsidRPr="00A76167">
              <w:rPr>
                <w:rFonts w:eastAsia="Calibri" w:cs="Arial"/>
                <w:sz w:val="22"/>
                <w:szCs w:val="22"/>
              </w:rPr>
              <w:t>The IC was asked by DH to provide an attribution method to allocate provider-level data to CCGs.</w:t>
            </w:r>
          </w:p>
          <w:p w14:paraId="0B9FF91B" w14:textId="77777777" w:rsidR="00D47EDC" w:rsidRPr="00A76167" w:rsidRDefault="00D47EDC" w:rsidP="00D47EDC">
            <w:pPr>
              <w:rPr>
                <w:rFonts w:cs="Arial"/>
                <w:sz w:val="22"/>
                <w:szCs w:val="22"/>
              </w:rPr>
            </w:pPr>
          </w:p>
        </w:tc>
      </w:tr>
      <w:tr w:rsidR="00D47EDC" w:rsidRPr="00A76167" w14:paraId="0872A9B5" w14:textId="77777777" w:rsidTr="00A76167">
        <w:tc>
          <w:tcPr>
            <w:tcW w:w="2125" w:type="dxa"/>
          </w:tcPr>
          <w:p w14:paraId="6D13BBEA" w14:textId="77777777" w:rsidR="00D47EDC" w:rsidRPr="00A76167" w:rsidRDefault="00D47EDC" w:rsidP="00D47EDC">
            <w:pPr>
              <w:rPr>
                <w:rFonts w:cs="Arial"/>
                <w:sz w:val="22"/>
                <w:szCs w:val="22"/>
              </w:rPr>
            </w:pPr>
            <w:r w:rsidRPr="00A76167">
              <w:rPr>
                <w:rFonts w:cs="Arial"/>
                <w:sz w:val="22"/>
                <w:szCs w:val="22"/>
              </w:rPr>
              <w:t>Data source</w:t>
            </w:r>
          </w:p>
        </w:tc>
        <w:tc>
          <w:tcPr>
            <w:tcW w:w="7798" w:type="dxa"/>
          </w:tcPr>
          <w:p w14:paraId="291D0190" w14:textId="77777777" w:rsidR="00D47EDC" w:rsidRPr="00A76167" w:rsidRDefault="00D47EDC" w:rsidP="00D47EDC">
            <w:pPr>
              <w:autoSpaceDE w:val="0"/>
              <w:autoSpaceDN w:val="0"/>
              <w:adjustRightInd w:val="0"/>
              <w:spacing w:after="180"/>
              <w:rPr>
                <w:rFonts w:cs="Arial"/>
                <w:sz w:val="22"/>
                <w:szCs w:val="22"/>
              </w:rPr>
            </w:pPr>
            <w:r w:rsidRPr="00A76167">
              <w:rPr>
                <w:rFonts w:cs="Arial"/>
                <w:sz w:val="22"/>
                <w:szCs w:val="22"/>
              </w:rPr>
              <w:t xml:space="preserve">Organisation Patient Safety Incident workbook, </w:t>
            </w:r>
            <w:r w:rsidRPr="00A76167">
              <w:rPr>
                <w:rFonts w:eastAsia="Calibri" w:cs="Arial"/>
                <w:sz w:val="22"/>
                <w:szCs w:val="22"/>
              </w:rPr>
              <w:t xml:space="preserve">attributed to CCGs via a </w:t>
            </w:r>
            <w:r w:rsidRPr="00A76167">
              <w:rPr>
                <w:rFonts w:cs="Arial"/>
                <w:bCs/>
                <w:sz w:val="22"/>
                <w:szCs w:val="22"/>
              </w:rPr>
              <w:t>proxy attribution method</w:t>
            </w:r>
            <w:r w:rsidRPr="00A76167">
              <w:rPr>
                <w:rFonts w:cs="Arial"/>
                <w:sz w:val="22"/>
                <w:szCs w:val="22"/>
              </w:rPr>
              <w:t>.</w:t>
            </w:r>
          </w:p>
          <w:p w14:paraId="58D1A709" w14:textId="77777777" w:rsidR="00D47EDC" w:rsidRPr="00A76167" w:rsidRDefault="00D47EDC" w:rsidP="00D47EDC">
            <w:pPr>
              <w:autoSpaceDE w:val="0"/>
              <w:autoSpaceDN w:val="0"/>
              <w:adjustRightInd w:val="0"/>
              <w:spacing w:after="180"/>
              <w:rPr>
                <w:rFonts w:cs="Arial"/>
                <w:sz w:val="22"/>
                <w:szCs w:val="22"/>
              </w:rPr>
            </w:pPr>
            <w:r w:rsidRPr="00A76167">
              <w:rPr>
                <w:rFonts w:cs="Arial"/>
                <w:sz w:val="22"/>
                <w:szCs w:val="22"/>
              </w:rPr>
              <w:t>These data have historically been reported to the National Patient Safety Agency (NPSA) by the National Reporting and Learning System (NRLS). However, this this is in transition to Imperial College, London to which NRLS will transfer following the abolition of the NPSA.</w:t>
            </w:r>
          </w:p>
          <w:p w14:paraId="7E01E72C" w14:textId="77777777" w:rsidR="00D47EDC" w:rsidRPr="00A76167" w:rsidRDefault="00706C33" w:rsidP="00D47EDC">
            <w:pPr>
              <w:rPr>
                <w:rStyle w:val="Hyperlink"/>
                <w:rFonts w:ascii="Arial" w:eastAsia="MS Mincho" w:hAnsi="Arial" w:cs="Arial"/>
                <w:color w:val="auto"/>
                <w:sz w:val="22"/>
                <w:szCs w:val="22"/>
              </w:rPr>
            </w:pPr>
            <w:hyperlink r:id="rId22" w:history="1">
              <w:r w:rsidR="00D47EDC" w:rsidRPr="00A76167">
                <w:rPr>
                  <w:rStyle w:val="Hyperlink"/>
                  <w:rFonts w:ascii="Arial" w:eastAsia="MS Mincho" w:hAnsi="Arial" w:cs="Arial"/>
                  <w:color w:val="auto"/>
                  <w:sz w:val="22"/>
                  <w:szCs w:val="22"/>
                </w:rPr>
                <w:t>http://www.nrls.npsa.nhs.uk/patient-safety-data/organisation-patient-safety-incident-reports/directory/</w:t>
              </w:r>
            </w:hyperlink>
          </w:p>
          <w:p w14:paraId="2A0E7A32" w14:textId="77777777" w:rsidR="00D47EDC" w:rsidRPr="00A76167" w:rsidRDefault="00D47EDC" w:rsidP="00D47EDC">
            <w:pPr>
              <w:rPr>
                <w:rFonts w:cs="Arial"/>
                <w:sz w:val="22"/>
                <w:szCs w:val="22"/>
              </w:rPr>
            </w:pPr>
          </w:p>
        </w:tc>
      </w:tr>
      <w:tr w:rsidR="00E73882" w:rsidRPr="00A76167" w14:paraId="790F58BF" w14:textId="77777777" w:rsidTr="00FF094E">
        <w:trPr>
          <w:trHeight w:val="14805"/>
        </w:trPr>
        <w:tc>
          <w:tcPr>
            <w:tcW w:w="2125" w:type="dxa"/>
          </w:tcPr>
          <w:p w14:paraId="31E53A8E" w14:textId="77777777" w:rsidR="00E73882" w:rsidRPr="00A76167" w:rsidRDefault="00E73882" w:rsidP="00D47EDC">
            <w:pPr>
              <w:rPr>
                <w:rFonts w:cs="Arial"/>
                <w:sz w:val="22"/>
                <w:szCs w:val="22"/>
              </w:rPr>
            </w:pPr>
            <w:r w:rsidRPr="00A76167">
              <w:rPr>
                <w:rFonts w:cs="Arial"/>
                <w:sz w:val="22"/>
                <w:szCs w:val="22"/>
              </w:rPr>
              <w:lastRenderedPageBreak/>
              <w:t>Construction</w:t>
            </w:r>
          </w:p>
          <w:p w14:paraId="42041D19" w14:textId="77777777" w:rsidR="00E73882" w:rsidRPr="00A76167" w:rsidRDefault="00E73882" w:rsidP="00D47EDC">
            <w:pPr>
              <w:rPr>
                <w:rFonts w:cs="Arial"/>
                <w:sz w:val="22"/>
                <w:szCs w:val="22"/>
              </w:rPr>
            </w:pPr>
            <w:r w:rsidRPr="00A76167">
              <w:rPr>
                <w:rFonts w:cs="Arial"/>
                <w:sz w:val="22"/>
                <w:szCs w:val="22"/>
              </w:rPr>
              <w:t xml:space="preserve"> Summary of construction, including the numerator, denominator, statistical method(s), presence of risk adjustment variables (age, sex, </w:t>
            </w:r>
            <w:proofErr w:type="spellStart"/>
            <w:r w:rsidRPr="00A76167">
              <w:rPr>
                <w:rFonts w:cs="Arial"/>
                <w:sz w:val="22"/>
                <w:szCs w:val="22"/>
              </w:rPr>
              <w:t>casemix</w:t>
            </w:r>
            <w:proofErr w:type="spellEnd"/>
            <w:r w:rsidRPr="00A76167">
              <w:rPr>
                <w:rFonts w:cs="Arial"/>
                <w:sz w:val="22"/>
                <w:szCs w:val="22"/>
              </w:rPr>
              <w:t xml:space="preserve"> etc.), specific codes and filters.</w:t>
            </w:r>
          </w:p>
          <w:p w14:paraId="32DD14CF" w14:textId="77777777" w:rsidR="00E73882" w:rsidRPr="00A76167" w:rsidRDefault="00E73882" w:rsidP="00D47EDC">
            <w:pPr>
              <w:rPr>
                <w:rFonts w:cs="Arial"/>
                <w:sz w:val="22"/>
                <w:szCs w:val="22"/>
              </w:rPr>
            </w:pPr>
          </w:p>
          <w:p w14:paraId="66742309" w14:textId="77777777" w:rsidR="00E73882" w:rsidRPr="00A76167" w:rsidRDefault="00E73882" w:rsidP="00D47EDC">
            <w:pPr>
              <w:rPr>
                <w:rFonts w:cs="Arial"/>
                <w:sz w:val="22"/>
                <w:szCs w:val="22"/>
              </w:rPr>
            </w:pPr>
            <w:r w:rsidRPr="00A76167">
              <w:rPr>
                <w:rFonts w:cs="Arial"/>
                <w:sz w:val="22"/>
                <w:szCs w:val="22"/>
              </w:rPr>
              <w:t>For more complex indicators, summarise here and supply detail in an appendix</w:t>
            </w:r>
          </w:p>
          <w:p w14:paraId="1071084F" w14:textId="77777777" w:rsidR="00E73882" w:rsidRPr="00A76167" w:rsidRDefault="00E73882" w:rsidP="00D47EDC">
            <w:pPr>
              <w:rPr>
                <w:rFonts w:cs="Arial"/>
                <w:sz w:val="22"/>
                <w:szCs w:val="22"/>
              </w:rPr>
            </w:pPr>
          </w:p>
        </w:tc>
        <w:tc>
          <w:tcPr>
            <w:tcW w:w="7798" w:type="dxa"/>
          </w:tcPr>
          <w:p w14:paraId="5B5871B9" w14:textId="77777777" w:rsidR="00E73882" w:rsidRPr="00A76167" w:rsidRDefault="00E73882" w:rsidP="00D47EDC">
            <w:pPr>
              <w:rPr>
                <w:rFonts w:cs="Arial"/>
                <w:b/>
                <w:i/>
                <w:sz w:val="22"/>
                <w:szCs w:val="22"/>
              </w:rPr>
            </w:pPr>
            <w:r w:rsidRPr="00A76167">
              <w:rPr>
                <w:rFonts w:cs="Arial"/>
                <w:b/>
                <w:i/>
                <w:sz w:val="22"/>
                <w:szCs w:val="22"/>
              </w:rPr>
              <w:t>Summary description of the calculation:</w:t>
            </w:r>
          </w:p>
          <w:p w14:paraId="6B0FBACB" w14:textId="77777777" w:rsidR="00E73882" w:rsidRPr="00A76167" w:rsidRDefault="00E73882" w:rsidP="00D47EDC">
            <w:pPr>
              <w:autoSpaceDE w:val="0"/>
              <w:autoSpaceDN w:val="0"/>
              <w:adjustRightInd w:val="0"/>
              <w:spacing w:after="180"/>
              <w:rPr>
                <w:rFonts w:cs="Arial"/>
                <w:sz w:val="22"/>
                <w:szCs w:val="22"/>
              </w:rPr>
            </w:pPr>
            <w:r w:rsidRPr="00A76167">
              <w:rPr>
                <w:rFonts w:cs="Arial"/>
                <w:sz w:val="22"/>
                <w:szCs w:val="22"/>
              </w:rPr>
              <w:t>The indicator is a raw count of the number of reported Patient Safety incidents attributed to CCGs via the proxy attribution method, explained previously.</w:t>
            </w:r>
          </w:p>
          <w:p w14:paraId="557DEFDC" w14:textId="77777777" w:rsidR="00E73882" w:rsidRPr="00A76167" w:rsidRDefault="00E73882" w:rsidP="00D47EDC">
            <w:pPr>
              <w:autoSpaceDE w:val="0"/>
              <w:autoSpaceDN w:val="0"/>
              <w:adjustRightInd w:val="0"/>
              <w:spacing w:after="180"/>
              <w:rPr>
                <w:rFonts w:cs="Arial"/>
                <w:sz w:val="22"/>
                <w:szCs w:val="22"/>
              </w:rPr>
            </w:pPr>
            <w:r w:rsidRPr="00A76167">
              <w:rPr>
                <w:rFonts w:cs="Arial"/>
                <w:sz w:val="22"/>
                <w:szCs w:val="22"/>
              </w:rPr>
              <w:t xml:space="preserve">The example below uses a CCG based in the North of England with full year 2010-11 figures for Patient Safety incidents at provider-level. The top 6 providers make up 99% of the overall CCG activity, with a further 90 providers making up the remaining 1%. </w:t>
            </w:r>
          </w:p>
          <w:p w14:paraId="5B67BD56" w14:textId="77777777" w:rsidR="00E73882" w:rsidRPr="00A76167" w:rsidRDefault="00E73882" w:rsidP="00D47EDC">
            <w:pPr>
              <w:autoSpaceDE w:val="0"/>
              <w:autoSpaceDN w:val="0"/>
              <w:adjustRightInd w:val="0"/>
              <w:spacing w:after="180"/>
              <w:rPr>
                <w:rFonts w:cs="Arial"/>
                <w:sz w:val="22"/>
                <w:szCs w:val="22"/>
              </w:rPr>
            </w:pPr>
            <w:r w:rsidRPr="00A76167">
              <w:rPr>
                <w:rFonts w:cs="Arial"/>
                <w:sz w:val="22"/>
                <w:szCs w:val="22"/>
              </w:rPr>
              <w:t xml:space="preserve">In the example, Provider 1 has had 6716 incidents during the time period and 18.46% of its total activity is commissioned by the CCG, so 1240 incidents are attributed to the CCG (6716 x 18.46%). </w:t>
            </w:r>
          </w:p>
          <w:p w14:paraId="35D77418" w14:textId="77777777" w:rsidR="00E73882" w:rsidRPr="00A76167" w:rsidRDefault="00E73882" w:rsidP="00D47EDC">
            <w:pPr>
              <w:rPr>
                <w:rFonts w:cs="Arial"/>
                <w:b/>
                <w:sz w:val="22"/>
                <w:szCs w:val="22"/>
                <w:u w:val="single"/>
              </w:rPr>
            </w:pPr>
            <w:r w:rsidRPr="00A76167">
              <w:rPr>
                <w:rFonts w:cs="Arial"/>
                <w:b/>
                <w:sz w:val="22"/>
                <w:szCs w:val="22"/>
                <w:u w:val="single"/>
              </w:rPr>
              <w:t>CCG 1 – North of England</w:t>
            </w:r>
          </w:p>
          <w:p w14:paraId="258D8D1E" w14:textId="77777777" w:rsidR="00E73882" w:rsidRPr="00A76167" w:rsidRDefault="00E73882" w:rsidP="00D47EDC">
            <w:pPr>
              <w:rPr>
                <w:rFonts w:cs="Arial"/>
                <w:b/>
                <w:sz w:val="22"/>
                <w:szCs w:val="22"/>
              </w:rPr>
            </w:pPr>
            <w:r w:rsidRPr="00A76167">
              <w:rPr>
                <w:rFonts w:cs="Arial"/>
                <w:b/>
                <w:noProof/>
                <w:sz w:val="22"/>
                <w:szCs w:val="22"/>
              </w:rPr>
              <w:drawing>
                <wp:inline distT="0" distB="0" distL="0" distR="0" wp14:anchorId="3FB97FB8" wp14:editId="309E11D1">
                  <wp:extent cx="4819650" cy="1228725"/>
                  <wp:effectExtent l="0" t="0" r="0" b="9525"/>
                  <wp:docPr id="17" name="Picture 17" descr="Table showing provider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19650" cy="1228725"/>
                          </a:xfrm>
                          <a:prstGeom prst="rect">
                            <a:avLst/>
                          </a:prstGeom>
                          <a:noFill/>
                          <a:ln>
                            <a:noFill/>
                          </a:ln>
                        </pic:spPr>
                      </pic:pic>
                    </a:graphicData>
                  </a:graphic>
                </wp:inline>
              </w:drawing>
            </w:r>
          </w:p>
          <w:p w14:paraId="426B8DEB" w14:textId="77777777" w:rsidR="00E73882" w:rsidRPr="00A76167" w:rsidRDefault="00E73882" w:rsidP="00D47EDC">
            <w:pPr>
              <w:rPr>
                <w:rFonts w:cs="Arial"/>
                <w:b/>
                <w:sz w:val="22"/>
                <w:szCs w:val="22"/>
              </w:rPr>
            </w:pPr>
          </w:p>
          <w:p w14:paraId="333037EE" w14:textId="77777777" w:rsidR="00E73882" w:rsidRPr="00A76167" w:rsidRDefault="00E73882" w:rsidP="00D47EDC">
            <w:pPr>
              <w:autoSpaceDE w:val="0"/>
              <w:autoSpaceDN w:val="0"/>
              <w:adjustRightInd w:val="0"/>
              <w:spacing w:after="180"/>
              <w:rPr>
                <w:rFonts w:cs="Arial"/>
                <w:sz w:val="22"/>
                <w:szCs w:val="22"/>
              </w:rPr>
            </w:pPr>
            <w:r w:rsidRPr="00A76167">
              <w:rPr>
                <w:rFonts w:cs="Arial"/>
                <w:sz w:val="22"/>
                <w:szCs w:val="22"/>
              </w:rPr>
              <w:t xml:space="preserve">The case below is a Mental Health provider which has 4073 admissions recorded in HES but which reported 11391 Patient Safety incidents for 2010-11. This highlights an issue with the attribution method as incidents can happen in any setting but the attribution method only uses inpatient activity. Other types of activity would need to be sourced from other collections e.g. MHMDS. It also highlights the issue that the attribution method assumes a correlation between provider-to-CCG inpatient activity and the number of Patient Safety incidents, which may or may not be valid. </w:t>
            </w:r>
          </w:p>
          <w:p w14:paraId="5BDE6AD8" w14:textId="77777777" w:rsidR="00E73882" w:rsidRPr="00A76167" w:rsidRDefault="00E73882" w:rsidP="00D47EDC">
            <w:pPr>
              <w:rPr>
                <w:rFonts w:cs="Arial"/>
                <w:b/>
                <w:sz w:val="22"/>
                <w:szCs w:val="22"/>
              </w:rPr>
            </w:pPr>
          </w:p>
          <w:p w14:paraId="7EB5C1F2" w14:textId="77777777" w:rsidR="00E73882" w:rsidRPr="00A76167" w:rsidRDefault="00E73882" w:rsidP="00D47EDC">
            <w:pPr>
              <w:rPr>
                <w:rFonts w:cs="Arial"/>
                <w:b/>
                <w:sz w:val="22"/>
                <w:szCs w:val="22"/>
              </w:rPr>
            </w:pPr>
            <w:r w:rsidRPr="00A76167">
              <w:rPr>
                <w:rFonts w:cs="Arial"/>
                <w:b/>
                <w:noProof/>
                <w:sz w:val="22"/>
                <w:szCs w:val="22"/>
              </w:rPr>
              <w:drawing>
                <wp:inline distT="0" distB="0" distL="0" distR="0" wp14:anchorId="36799069" wp14:editId="75553351">
                  <wp:extent cx="4819650" cy="485775"/>
                  <wp:effectExtent l="0" t="0" r="0" b="9525"/>
                  <wp:docPr id="16" name="Picture 16" descr="table showing CCG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819650" cy="485775"/>
                          </a:xfrm>
                          <a:prstGeom prst="rect">
                            <a:avLst/>
                          </a:prstGeom>
                          <a:noFill/>
                          <a:ln>
                            <a:noFill/>
                          </a:ln>
                        </pic:spPr>
                      </pic:pic>
                    </a:graphicData>
                  </a:graphic>
                </wp:inline>
              </w:drawing>
            </w:r>
          </w:p>
          <w:p w14:paraId="4DACBDD3" w14:textId="77777777" w:rsidR="00E73882" w:rsidRPr="00A76167" w:rsidRDefault="00E73882" w:rsidP="00D47EDC">
            <w:pPr>
              <w:rPr>
                <w:rFonts w:cs="Arial"/>
                <w:b/>
                <w:i/>
                <w:sz w:val="22"/>
                <w:szCs w:val="22"/>
              </w:rPr>
            </w:pPr>
            <w:r w:rsidRPr="00A76167">
              <w:rPr>
                <w:rFonts w:cs="Arial"/>
                <w:b/>
                <w:i/>
                <w:sz w:val="22"/>
                <w:szCs w:val="22"/>
              </w:rPr>
              <w:t>Calculation type:</w:t>
            </w:r>
            <w:r w:rsidRPr="00A76167">
              <w:rPr>
                <w:rFonts w:cs="Arial"/>
                <w:sz w:val="22"/>
                <w:szCs w:val="22"/>
              </w:rPr>
              <w:t xml:space="preserve"> Raw count</w:t>
            </w:r>
          </w:p>
          <w:p w14:paraId="76FB28AE" w14:textId="77777777" w:rsidR="00E73882" w:rsidRPr="00A76167" w:rsidRDefault="00E73882" w:rsidP="00D47EDC">
            <w:pPr>
              <w:rPr>
                <w:rFonts w:cs="Arial"/>
                <w:b/>
                <w:i/>
                <w:sz w:val="22"/>
                <w:szCs w:val="22"/>
              </w:rPr>
            </w:pPr>
            <w:r w:rsidRPr="00A76167">
              <w:rPr>
                <w:rFonts w:cs="Arial"/>
                <w:b/>
                <w:i/>
                <w:sz w:val="22"/>
                <w:szCs w:val="22"/>
              </w:rPr>
              <w:t>Denominator:</w:t>
            </w:r>
          </w:p>
          <w:p w14:paraId="1C54A408" w14:textId="77777777" w:rsidR="00E73882" w:rsidRPr="00A76167" w:rsidRDefault="00E73882" w:rsidP="00D47EDC">
            <w:pPr>
              <w:rPr>
                <w:rFonts w:cs="Arial"/>
                <w:b/>
                <w:i/>
                <w:sz w:val="22"/>
                <w:szCs w:val="22"/>
              </w:rPr>
            </w:pPr>
          </w:p>
          <w:p w14:paraId="76259474" w14:textId="77777777" w:rsidR="00E73882" w:rsidRPr="00A76167" w:rsidRDefault="00E73882" w:rsidP="00D47EDC">
            <w:pPr>
              <w:rPr>
                <w:rFonts w:cs="Arial"/>
                <w:b/>
                <w:i/>
                <w:sz w:val="22"/>
                <w:szCs w:val="22"/>
              </w:rPr>
            </w:pPr>
            <w:r w:rsidRPr="00A76167">
              <w:rPr>
                <w:rFonts w:cs="Arial"/>
                <w:b/>
                <w:i/>
                <w:sz w:val="22"/>
                <w:szCs w:val="22"/>
              </w:rPr>
              <w:t>Numerator:</w:t>
            </w:r>
          </w:p>
          <w:p w14:paraId="1ABD2645" w14:textId="77777777" w:rsidR="00E73882" w:rsidRPr="00A76167" w:rsidRDefault="00E73882" w:rsidP="00D47EDC">
            <w:pPr>
              <w:rPr>
                <w:rFonts w:cs="Arial"/>
                <w:b/>
                <w:i/>
                <w:sz w:val="22"/>
                <w:szCs w:val="22"/>
              </w:rPr>
            </w:pPr>
            <w:r w:rsidRPr="00A76167">
              <w:rPr>
                <w:rFonts w:cs="Arial"/>
                <w:b/>
                <w:i/>
                <w:sz w:val="22"/>
                <w:szCs w:val="22"/>
              </w:rPr>
              <w:t>Statistical Methods / Risk adjustment variables:</w:t>
            </w:r>
          </w:p>
          <w:p w14:paraId="6571EFEB" w14:textId="77777777" w:rsidR="00E73882" w:rsidRPr="00A76167" w:rsidRDefault="00E73882" w:rsidP="00D47EDC">
            <w:pPr>
              <w:rPr>
                <w:rFonts w:cs="Arial"/>
                <w:sz w:val="22"/>
                <w:szCs w:val="22"/>
              </w:rPr>
            </w:pPr>
          </w:p>
          <w:p w14:paraId="5F0DF5D1" w14:textId="77777777" w:rsidR="00E73882" w:rsidRPr="00A76167" w:rsidRDefault="00E73882" w:rsidP="00D47EDC">
            <w:pPr>
              <w:autoSpaceDE w:val="0"/>
              <w:autoSpaceDN w:val="0"/>
              <w:adjustRightInd w:val="0"/>
              <w:spacing w:after="180"/>
              <w:rPr>
                <w:rFonts w:cs="Arial"/>
                <w:b/>
                <w:sz w:val="22"/>
                <w:szCs w:val="22"/>
              </w:rPr>
            </w:pPr>
            <w:r w:rsidRPr="00A76167">
              <w:rPr>
                <w:rFonts w:cs="Arial"/>
                <w:sz w:val="22"/>
                <w:szCs w:val="22"/>
              </w:rPr>
              <w:t>Risk adjustment is not necessary for this indicator.</w:t>
            </w:r>
          </w:p>
          <w:p w14:paraId="359C3EE6" w14:textId="77777777" w:rsidR="00E73882" w:rsidRPr="00A76167" w:rsidRDefault="00E73882" w:rsidP="00D47EDC">
            <w:pPr>
              <w:rPr>
                <w:rFonts w:cs="Arial"/>
                <w:b/>
                <w:i/>
                <w:sz w:val="22"/>
                <w:szCs w:val="22"/>
              </w:rPr>
            </w:pPr>
            <w:r w:rsidRPr="00A76167">
              <w:rPr>
                <w:rFonts w:cs="Arial"/>
                <w:b/>
                <w:i/>
                <w:sz w:val="22"/>
                <w:szCs w:val="22"/>
              </w:rPr>
              <w:t>Other (Quality assurance/interpretation/known limitations):</w:t>
            </w:r>
          </w:p>
          <w:p w14:paraId="1DDE6D2F" w14:textId="4625CD94" w:rsidR="00E73882" w:rsidRPr="00A76167" w:rsidRDefault="00E73882" w:rsidP="00D47EDC">
            <w:pPr>
              <w:autoSpaceDE w:val="0"/>
              <w:autoSpaceDN w:val="0"/>
              <w:adjustRightInd w:val="0"/>
              <w:spacing w:after="180"/>
              <w:rPr>
                <w:rFonts w:cs="Arial"/>
                <w:b/>
                <w:sz w:val="22"/>
                <w:szCs w:val="22"/>
              </w:rPr>
            </w:pPr>
            <w:r w:rsidRPr="00A76167">
              <w:rPr>
                <w:rFonts w:cs="Arial"/>
                <w:sz w:val="22"/>
                <w:szCs w:val="22"/>
              </w:rPr>
              <w:lastRenderedPageBreak/>
              <w:t>DH would prefer a single figure to be reported, however our recommendation to the NICE Committee was that this would be inappropriate, as these are attributed figures.</w:t>
            </w:r>
          </w:p>
        </w:tc>
      </w:tr>
    </w:tbl>
    <w:p w14:paraId="07D9C474" w14:textId="48524C50" w:rsidR="00E73882" w:rsidRDefault="00E73882"/>
    <w:p w14:paraId="18467F6B" w14:textId="6392E3FE" w:rsidR="00E73882" w:rsidRDefault="00E73882"/>
    <w:p w14:paraId="154162FD" w14:textId="087F43FA" w:rsidR="00E73882" w:rsidRDefault="00E73882"/>
    <w:p w14:paraId="155F8CEA" w14:textId="0DAD9E3D" w:rsidR="00E73882" w:rsidRDefault="00E73882"/>
    <w:p w14:paraId="589C4A99" w14:textId="7EE6B183" w:rsidR="00E73882" w:rsidRDefault="00E73882"/>
    <w:p w14:paraId="7334D7F0" w14:textId="77777777" w:rsidR="00E73882" w:rsidRDefault="00E73882"/>
    <w:tbl>
      <w:tblPr>
        <w:tblStyle w:val="TableGrid"/>
        <w:tblW w:w="9923" w:type="dxa"/>
        <w:tblLayout w:type="fixed"/>
        <w:tblLook w:val="01E0" w:firstRow="1" w:lastRow="1" w:firstColumn="1" w:lastColumn="1" w:noHBand="0" w:noVBand="0"/>
      </w:tblPr>
      <w:tblGrid>
        <w:gridCol w:w="2125"/>
        <w:gridCol w:w="7798"/>
      </w:tblGrid>
      <w:tr w:rsidR="00D47EDC" w:rsidRPr="00A76167" w14:paraId="1EE6DEE2" w14:textId="77777777" w:rsidTr="00A76167">
        <w:tc>
          <w:tcPr>
            <w:tcW w:w="2125" w:type="dxa"/>
          </w:tcPr>
          <w:p w14:paraId="0A75BFB6" w14:textId="77777777" w:rsidR="00D47EDC" w:rsidRPr="00A76167" w:rsidRDefault="00D47EDC" w:rsidP="00D47EDC">
            <w:pPr>
              <w:rPr>
                <w:rFonts w:cs="Arial"/>
                <w:sz w:val="22"/>
                <w:szCs w:val="22"/>
              </w:rPr>
            </w:pPr>
            <w:r w:rsidRPr="00A76167">
              <w:rPr>
                <w:rFonts w:cs="Arial"/>
                <w:sz w:val="22"/>
                <w:szCs w:val="22"/>
              </w:rPr>
              <w:t>Potential Issues</w:t>
            </w:r>
          </w:p>
          <w:p w14:paraId="62484DE8" w14:textId="77777777" w:rsidR="00D47EDC" w:rsidRPr="00A76167" w:rsidRDefault="00D47EDC" w:rsidP="00D47EDC">
            <w:pPr>
              <w:rPr>
                <w:rFonts w:cs="Arial"/>
                <w:sz w:val="22"/>
                <w:szCs w:val="22"/>
              </w:rPr>
            </w:pPr>
            <w:r w:rsidRPr="00A76167">
              <w:rPr>
                <w:rFonts w:cs="Arial"/>
                <w:sz w:val="22"/>
                <w:szCs w:val="22"/>
              </w:rPr>
              <w:t>Highlight any of the following that apply</w:t>
            </w:r>
          </w:p>
          <w:p w14:paraId="0AE19E3E" w14:textId="77777777" w:rsidR="00D47EDC" w:rsidRPr="00A76167" w:rsidRDefault="00D47EDC" w:rsidP="00D47EDC">
            <w:pPr>
              <w:rPr>
                <w:rFonts w:cs="Arial"/>
                <w:sz w:val="22"/>
                <w:szCs w:val="22"/>
              </w:rPr>
            </w:pPr>
            <w:r w:rsidRPr="00A76167">
              <w:rPr>
                <w:rFonts w:cs="Arial"/>
                <w:sz w:val="22"/>
                <w:szCs w:val="22"/>
              </w:rPr>
              <w:t>-data source(s) do not collect 100% of events</w:t>
            </w:r>
          </w:p>
          <w:p w14:paraId="0C8065A7" w14:textId="77777777" w:rsidR="00D47EDC" w:rsidRPr="00A76167" w:rsidRDefault="00D47EDC" w:rsidP="00D47EDC">
            <w:pPr>
              <w:rPr>
                <w:rFonts w:cs="Arial"/>
                <w:sz w:val="22"/>
                <w:szCs w:val="22"/>
              </w:rPr>
            </w:pPr>
            <w:r w:rsidRPr="00A76167">
              <w:rPr>
                <w:rFonts w:cs="Arial"/>
                <w:sz w:val="22"/>
                <w:szCs w:val="22"/>
              </w:rPr>
              <w:t>-data source(s) organisation or geographic coverage shortfalls</w:t>
            </w:r>
          </w:p>
          <w:p w14:paraId="34C862D4" w14:textId="77777777" w:rsidR="00D47EDC" w:rsidRPr="00A76167" w:rsidRDefault="00D47EDC" w:rsidP="00D47EDC">
            <w:pPr>
              <w:rPr>
                <w:rFonts w:cs="Arial"/>
                <w:sz w:val="22"/>
                <w:szCs w:val="22"/>
              </w:rPr>
            </w:pPr>
            <w:r w:rsidRPr="00A76167">
              <w:rPr>
                <w:rFonts w:cs="Arial"/>
                <w:sz w:val="22"/>
                <w:szCs w:val="22"/>
              </w:rPr>
              <w:t>-codes or filters not matching the policy question</w:t>
            </w:r>
          </w:p>
          <w:p w14:paraId="06842A79" w14:textId="77777777" w:rsidR="00D47EDC" w:rsidRPr="00A76167" w:rsidRDefault="00D47EDC" w:rsidP="00D47EDC">
            <w:pPr>
              <w:rPr>
                <w:rFonts w:cs="Arial"/>
                <w:sz w:val="22"/>
                <w:szCs w:val="22"/>
              </w:rPr>
            </w:pPr>
            <w:r w:rsidRPr="00A76167">
              <w:rPr>
                <w:rFonts w:cs="Arial"/>
                <w:sz w:val="22"/>
                <w:szCs w:val="22"/>
              </w:rPr>
              <w:t>-data source(s) definitions not meeting policy question</w:t>
            </w:r>
          </w:p>
          <w:p w14:paraId="175E1410" w14:textId="77777777" w:rsidR="00D47EDC" w:rsidRPr="00A76167" w:rsidRDefault="00D47EDC" w:rsidP="00D47EDC">
            <w:pPr>
              <w:rPr>
                <w:rFonts w:cs="Arial"/>
                <w:sz w:val="22"/>
                <w:szCs w:val="22"/>
              </w:rPr>
            </w:pPr>
            <w:r w:rsidRPr="00A76167">
              <w:rPr>
                <w:rFonts w:cs="Arial"/>
                <w:sz w:val="22"/>
                <w:szCs w:val="22"/>
              </w:rPr>
              <w:t>-data source(s) quality problems or inconsistency of reporting</w:t>
            </w:r>
          </w:p>
          <w:p w14:paraId="0F3474D2" w14:textId="77777777" w:rsidR="00D47EDC" w:rsidRPr="00A76167" w:rsidRDefault="00D47EDC" w:rsidP="00D47EDC">
            <w:pPr>
              <w:rPr>
                <w:rFonts w:cs="Arial"/>
                <w:sz w:val="22"/>
                <w:szCs w:val="22"/>
              </w:rPr>
            </w:pPr>
            <w:r w:rsidRPr="00A76167">
              <w:rPr>
                <w:rFonts w:cs="Arial"/>
                <w:sz w:val="22"/>
                <w:szCs w:val="22"/>
              </w:rPr>
              <w:t>-statistical methods not appropriate for test or audience</w:t>
            </w:r>
          </w:p>
          <w:p w14:paraId="6A7248F2" w14:textId="77777777" w:rsidR="00D47EDC" w:rsidRPr="00A76167" w:rsidRDefault="00D47EDC" w:rsidP="00D47EDC">
            <w:pPr>
              <w:rPr>
                <w:rFonts w:cs="Arial"/>
                <w:sz w:val="22"/>
                <w:szCs w:val="22"/>
              </w:rPr>
            </w:pPr>
            <w:r w:rsidRPr="00A76167">
              <w:rPr>
                <w:rFonts w:cs="Arial"/>
                <w:sz w:val="22"/>
                <w:szCs w:val="22"/>
              </w:rPr>
              <w:t>-risk adjustment not considered</w:t>
            </w:r>
          </w:p>
          <w:p w14:paraId="3D654FA5" w14:textId="77777777" w:rsidR="00D47EDC" w:rsidRPr="00A76167" w:rsidRDefault="00D47EDC" w:rsidP="00D47EDC">
            <w:pPr>
              <w:rPr>
                <w:rFonts w:cs="Arial"/>
                <w:sz w:val="22"/>
                <w:szCs w:val="22"/>
              </w:rPr>
            </w:pPr>
            <w:r w:rsidRPr="00A76167">
              <w:rPr>
                <w:rFonts w:cs="Arial"/>
                <w:sz w:val="22"/>
                <w:szCs w:val="22"/>
              </w:rPr>
              <w:t>-long term security of the data source(s)</w:t>
            </w:r>
          </w:p>
          <w:p w14:paraId="72AD3DB6" w14:textId="77777777" w:rsidR="00D47EDC" w:rsidRPr="00A76167" w:rsidRDefault="00D47EDC" w:rsidP="00D47EDC">
            <w:pPr>
              <w:rPr>
                <w:rFonts w:cs="Arial"/>
                <w:sz w:val="22"/>
                <w:szCs w:val="22"/>
              </w:rPr>
            </w:pPr>
            <w:r w:rsidRPr="00A76167">
              <w:rPr>
                <w:rFonts w:cs="Arial"/>
                <w:sz w:val="22"/>
                <w:szCs w:val="22"/>
              </w:rPr>
              <w:t>-timing of data availability for use in indicator</w:t>
            </w:r>
          </w:p>
          <w:p w14:paraId="7B2567F9" w14:textId="77777777" w:rsidR="00D47EDC" w:rsidRPr="00A76167" w:rsidRDefault="00D47EDC" w:rsidP="00D47EDC">
            <w:pPr>
              <w:rPr>
                <w:rFonts w:cs="Arial"/>
                <w:sz w:val="22"/>
                <w:szCs w:val="22"/>
              </w:rPr>
            </w:pPr>
            <w:r w:rsidRPr="00A76167">
              <w:rPr>
                <w:rFonts w:cs="Arial"/>
                <w:sz w:val="22"/>
                <w:szCs w:val="22"/>
              </w:rPr>
              <w:t>presentation of data likely to mislead or give false confidence in findings</w:t>
            </w:r>
          </w:p>
          <w:p w14:paraId="6512BB35" w14:textId="77777777" w:rsidR="00D47EDC" w:rsidRPr="00A76167" w:rsidRDefault="00D47EDC" w:rsidP="00D47EDC">
            <w:pPr>
              <w:rPr>
                <w:rFonts w:cs="Arial"/>
                <w:sz w:val="22"/>
                <w:szCs w:val="22"/>
              </w:rPr>
            </w:pPr>
          </w:p>
        </w:tc>
        <w:tc>
          <w:tcPr>
            <w:tcW w:w="7798" w:type="dxa"/>
          </w:tcPr>
          <w:p w14:paraId="1AA4D4EB" w14:textId="77777777" w:rsidR="00D47EDC" w:rsidRPr="00A76167" w:rsidRDefault="00D47EDC" w:rsidP="00D47EDC">
            <w:pPr>
              <w:numPr>
                <w:ilvl w:val="0"/>
                <w:numId w:val="26"/>
              </w:numPr>
              <w:autoSpaceDE w:val="0"/>
              <w:autoSpaceDN w:val="0"/>
              <w:adjustRightInd w:val="0"/>
              <w:spacing w:after="0"/>
              <w:ind w:left="360"/>
              <w:textboxTightWrap w:val="none"/>
              <w:rPr>
                <w:rFonts w:cs="Arial"/>
                <w:sz w:val="22"/>
                <w:szCs w:val="22"/>
              </w:rPr>
            </w:pPr>
            <w:r w:rsidRPr="00A76167">
              <w:rPr>
                <w:rFonts w:cs="Arial"/>
                <w:sz w:val="22"/>
                <w:szCs w:val="22"/>
              </w:rPr>
              <w:lastRenderedPageBreak/>
              <w:t xml:space="preserve">It is only mandatory for providers to report incidents with a </w:t>
            </w:r>
            <w:r w:rsidRPr="00A76167">
              <w:rPr>
                <w:rFonts w:cs="Arial"/>
                <w:i/>
                <w:iCs/>
                <w:sz w:val="22"/>
                <w:szCs w:val="22"/>
              </w:rPr>
              <w:t>severe degree of harm or death;</w:t>
            </w:r>
            <w:r w:rsidRPr="00A76167">
              <w:rPr>
                <w:rFonts w:cs="Arial"/>
                <w:sz w:val="22"/>
                <w:szCs w:val="22"/>
              </w:rPr>
              <w:t xml:space="preserve"> the reporting of patient safety incidents in general is voluntary and under-reporting is known to be common. There are major concerns regarding the level of completeness in the National Reporting and Learning System (NRLS) dataset currently available, particularly because NRLS has traditionally focussed upon learning from patient safety incidents and was never intended to be a reporting or data collection mechanism. The data in NRLS is not a complete count of all cases where a patient is harmed during contact with the NHS.</w:t>
            </w:r>
          </w:p>
          <w:p w14:paraId="40890E18" w14:textId="77777777" w:rsidR="00D47EDC" w:rsidRPr="00A76167" w:rsidRDefault="00D47EDC" w:rsidP="00D47EDC">
            <w:pPr>
              <w:autoSpaceDE w:val="0"/>
              <w:autoSpaceDN w:val="0"/>
              <w:adjustRightInd w:val="0"/>
              <w:rPr>
                <w:rFonts w:cs="Arial"/>
                <w:sz w:val="22"/>
                <w:szCs w:val="22"/>
              </w:rPr>
            </w:pPr>
          </w:p>
          <w:p w14:paraId="64EE7693" w14:textId="77777777" w:rsidR="00D47EDC" w:rsidRPr="00A76167" w:rsidRDefault="00D47EDC" w:rsidP="00D47EDC">
            <w:pPr>
              <w:numPr>
                <w:ilvl w:val="0"/>
                <w:numId w:val="26"/>
              </w:numPr>
              <w:autoSpaceDE w:val="0"/>
              <w:autoSpaceDN w:val="0"/>
              <w:adjustRightInd w:val="0"/>
              <w:spacing w:after="0"/>
              <w:ind w:left="360"/>
              <w:textboxTightWrap w:val="none"/>
              <w:rPr>
                <w:rFonts w:cs="Arial"/>
                <w:sz w:val="22"/>
                <w:szCs w:val="22"/>
              </w:rPr>
            </w:pPr>
            <w:r w:rsidRPr="00A76167">
              <w:rPr>
                <w:rFonts w:cs="Arial"/>
                <w:sz w:val="22"/>
                <w:szCs w:val="22"/>
              </w:rPr>
              <w:t>Secondary care submissions from providers is currently the only data used in the indicator, as the attribution method is based on inpatient provider spells only. PCT-level data is available but we are unsure as to whether the attribution method should be applied.</w:t>
            </w:r>
          </w:p>
          <w:p w14:paraId="2B47C6A9" w14:textId="77777777" w:rsidR="00D47EDC" w:rsidRPr="00A76167" w:rsidRDefault="00D47EDC" w:rsidP="00D47EDC">
            <w:pPr>
              <w:autoSpaceDE w:val="0"/>
              <w:autoSpaceDN w:val="0"/>
              <w:adjustRightInd w:val="0"/>
              <w:rPr>
                <w:rFonts w:cs="Arial"/>
                <w:sz w:val="22"/>
                <w:szCs w:val="22"/>
              </w:rPr>
            </w:pPr>
          </w:p>
          <w:p w14:paraId="7B9D1264" w14:textId="77777777" w:rsidR="00D47EDC" w:rsidRPr="00A76167" w:rsidRDefault="00D47EDC" w:rsidP="00D47EDC">
            <w:pPr>
              <w:numPr>
                <w:ilvl w:val="0"/>
                <w:numId w:val="26"/>
              </w:numPr>
              <w:autoSpaceDE w:val="0"/>
              <w:autoSpaceDN w:val="0"/>
              <w:adjustRightInd w:val="0"/>
              <w:spacing w:after="0"/>
              <w:ind w:left="360"/>
              <w:textboxTightWrap w:val="none"/>
              <w:rPr>
                <w:rFonts w:cs="Arial"/>
                <w:sz w:val="22"/>
                <w:szCs w:val="22"/>
              </w:rPr>
            </w:pPr>
            <w:r w:rsidRPr="00A76167">
              <w:rPr>
                <w:rFonts w:cs="Arial"/>
                <w:sz w:val="22"/>
                <w:szCs w:val="22"/>
              </w:rPr>
              <w:t xml:space="preserve">Patient Safety incidents occurring in acute trusts could happen in a number of different settings, including admitted patients (who </w:t>
            </w:r>
            <w:r w:rsidRPr="00A76167">
              <w:rPr>
                <w:rFonts w:cs="Arial"/>
                <w:i/>
                <w:sz w:val="22"/>
                <w:szCs w:val="22"/>
              </w:rPr>
              <w:t>are</w:t>
            </w:r>
            <w:r w:rsidRPr="00A76167">
              <w:rPr>
                <w:rFonts w:cs="Arial"/>
                <w:sz w:val="22"/>
                <w:szCs w:val="22"/>
              </w:rPr>
              <w:t xml:space="preserve"> reported on HES), outpatients, pharmacy, diagnostic tests and administration.  The published data does not specify the location or service, only the degree of harm and category of incident.</w:t>
            </w:r>
          </w:p>
          <w:p w14:paraId="53D76DBA" w14:textId="77777777" w:rsidR="00D47EDC" w:rsidRPr="00A76167" w:rsidRDefault="00D47EDC" w:rsidP="00D47EDC">
            <w:pPr>
              <w:autoSpaceDE w:val="0"/>
              <w:autoSpaceDN w:val="0"/>
              <w:adjustRightInd w:val="0"/>
              <w:rPr>
                <w:rFonts w:cs="Arial"/>
                <w:sz w:val="22"/>
                <w:szCs w:val="22"/>
              </w:rPr>
            </w:pPr>
          </w:p>
          <w:p w14:paraId="0A996BE3" w14:textId="77777777" w:rsidR="00D47EDC" w:rsidRPr="00A76167" w:rsidRDefault="00D47EDC" w:rsidP="00D47EDC">
            <w:pPr>
              <w:numPr>
                <w:ilvl w:val="0"/>
                <w:numId w:val="26"/>
              </w:numPr>
              <w:autoSpaceDE w:val="0"/>
              <w:autoSpaceDN w:val="0"/>
              <w:adjustRightInd w:val="0"/>
              <w:spacing w:after="0"/>
              <w:ind w:left="360"/>
              <w:textboxTightWrap w:val="none"/>
              <w:rPr>
                <w:rFonts w:cs="Arial"/>
                <w:sz w:val="22"/>
                <w:szCs w:val="22"/>
              </w:rPr>
            </w:pPr>
            <w:r w:rsidRPr="00A76167">
              <w:rPr>
                <w:rFonts w:cs="Arial"/>
                <w:sz w:val="22"/>
                <w:szCs w:val="22"/>
              </w:rPr>
              <w:t xml:space="preserve">Frequency of reporting will need further consideration, as the provider-level data is currently reported every six months. The attribution method currently uses annual inpatient admission data, which is provider spell-based and not person-based. </w:t>
            </w:r>
          </w:p>
          <w:p w14:paraId="3ACCABD9" w14:textId="77777777" w:rsidR="00D47EDC" w:rsidRPr="00A76167" w:rsidRDefault="00D47EDC" w:rsidP="00D47EDC">
            <w:pPr>
              <w:autoSpaceDE w:val="0"/>
              <w:autoSpaceDN w:val="0"/>
              <w:adjustRightInd w:val="0"/>
              <w:rPr>
                <w:rFonts w:cs="Arial"/>
                <w:sz w:val="22"/>
                <w:szCs w:val="22"/>
              </w:rPr>
            </w:pPr>
          </w:p>
          <w:p w14:paraId="58E96924" w14:textId="77777777" w:rsidR="00D47EDC" w:rsidRPr="00A76167" w:rsidRDefault="00D47EDC" w:rsidP="00D47EDC">
            <w:pPr>
              <w:numPr>
                <w:ilvl w:val="0"/>
                <w:numId w:val="26"/>
              </w:numPr>
              <w:autoSpaceDE w:val="0"/>
              <w:autoSpaceDN w:val="0"/>
              <w:adjustRightInd w:val="0"/>
              <w:spacing w:after="60"/>
              <w:ind w:left="360"/>
              <w:jc w:val="both"/>
              <w:textboxTightWrap w:val="none"/>
              <w:rPr>
                <w:rFonts w:cs="Arial"/>
                <w:sz w:val="22"/>
                <w:szCs w:val="22"/>
              </w:rPr>
            </w:pPr>
            <w:r w:rsidRPr="00A76167">
              <w:rPr>
                <w:rFonts w:cs="Arial"/>
                <w:sz w:val="22"/>
                <w:szCs w:val="22"/>
              </w:rPr>
              <w:t>Potential issues relating to the attribution method issues explained previously.</w:t>
            </w:r>
          </w:p>
          <w:p w14:paraId="0D736498" w14:textId="77777777" w:rsidR="00D47EDC" w:rsidRPr="00A76167" w:rsidRDefault="00D47EDC" w:rsidP="00D47EDC">
            <w:pPr>
              <w:rPr>
                <w:rFonts w:cs="Arial"/>
                <w:sz w:val="22"/>
                <w:szCs w:val="22"/>
              </w:rPr>
            </w:pPr>
          </w:p>
        </w:tc>
      </w:tr>
      <w:tr w:rsidR="00D47EDC" w:rsidRPr="00A76167" w14:paraId="3E187B96" w14:textId="77777777" w:rsidTr="00A76167">
        <w:tc>
          <w:tcPr>
            <w:tcW w:w="2125" w:type="dxa"/>
          </w:tcPr>
          <w:p w14:paraId="1A013867" w14:textId="77777777" w:rsidR="00D47EDC" w:rsidRPr="00A76167" w:rsidRDefault="00D47EDC" w:rsidP="00D47EDC">
            <w:pPr>
              <w:rPr>
                <w:rFonts w:cs="Arial"/>
                <w:sz w:val="22"/>
                <w:szCs w:val="22"/>
              </w:rPr>
            </w:pPr>
            <w:r w:rsidRPr="00A76167">
              <w:rPr>
                <w:rFonts w:cs="Arial"/>
                <w:sz w:val="22"/>
                <w:szCs w:val="22"/>
              </w:rPr>
              <w:t>Supporting Documents</w:t>
            </w:r>
          </w:p>
          <w:p w14:paraId="3BDD9904" w14:textId="77777777" w:rsidR="00D47EDC" w:rsidRPr="00A76167" w:rsidRDefault="00D47EDC" w:rsidP="00D47EDC">
            <w:pPr>
              <w:rPr>
                <w:rFonts w:cs="Arial"/>
                <w:sz w:val="22"/>
                <w:szCs w:val="22"/>
              </w:rPr>
            </w:pPr>
            <w:r w:rsidRPr="00A76167">
              <w:rPr>
                <w:rFonts w:cs="Arial"/>
                <w:sz w:val="22"/>
                <w:szCs w:val="22"/>
              </w:rPr>
              <w:t>Provide links to any additional documentation used to support discussion at MRG</w:t>
            </w:r>
          </w:p>
          <w:p w14:paraId="3F4400E0" w14:textId="77777777" w:rsidR="00D47EDC" w:rsidRPr="00A76167" w:rsidRDefault="00D47EDC" w:rsidP="00D47EDC">
            <w:pPr>
              <w:rPr>
                <w:rFonts w:cs="Arial"/>
                <w:sz w:val="22"/>
                <w:szCs w:val="22"/>
              </w:rPr>
            </w:pPr>
          </w:p>
        </w:tc>
        <w:tc>
          <w:tcPr>
            <w:tcW w:w="7798" w:type="dxa"/>
          </w:tcPr>
          <w:p w14:paraId="2EE263B9" w14:textId="77777777" w:rsidR="00D47EDC" w:rsidRPr="00A76167" w:rsidRDefault="00D47EDC" w:rsidP="00D47EDC">
            <w:pPr>
              <w:rPr>
                <w:rFonts w:cs="Arial"/>
                <w:sz w:val="22"/>
                <w:szCs w:val="22"/>
              </w:rPr>
            </w:pPr>
          </w:p>
        </w:tc>
      </w:tr>
    </w:tbl>
    <w:p w14:paraId="70268F30" w14:textId="77777777" w:rsidR="00D47EDC" w:rsidRDefault="00D47EDC"/>
    <w:tbl>
      <w:tblPr>
        <w:tblStyle w:val="TableGrid"/>
        <w:tblW w:w="9923" w:type="dxa"/>
        <w:tblLayout w:type="fixed"/>
        <w:tblLook w:val="01E0" w:firstRow="1" w:lastRow="1" w:firstColumn="1" w:lastColumn="1" w:noHBand="0" w:noVBand="0"/>
      </w:tblPr>
      <w:tblGrid>
        <w:gridCol w:w="9923"/>
      </w:tblGrid>
      <w:tr w:rsidR="00D47EDC" w:rsidRPr="00A76167" w14:paraId="564C37B8" w14:textId="77777777" w:rsidTr="00A76167">
        <w:tc>
          <w:tcPr>
            <w:tcW w:w="9923" w:type="dxa"/>
          </w:tcPr>
          <w:p w14:paraId="4C49F8FE" w14:textId="77777777" w:rsidR="00D47EDC" w:rsidRPr="00A76167" w:rsidRDefault="00D47EDC" w:rsidP="00D47EDC">
            <w:pPr>
              <w:rPr>
                <w:rFonts w:cs="Arial"/>
                <w:sz w:val="22"/>
                <w:szCs w:val="22"/>
              </w:rPr>
            </w:pPr>
            <w:r w:rsidRPr="00A76167">
              <w:rPr>
                <w:rFonts w:cs="Arial"/>
                <w:sz w:val="22"/>
                <w:szCs w:val="22"/>
              </w:rPr>
              <w:t>Additional Information / Sample Data :</w:t>
            </w:r>
          </w:p>
          <w:p w14:paraId="4CE1F766" w14:textId="77777777" w:rsidR="00D47EDC" w:rsidRPr="00A76167" w:rsidRDefault="00D47EDC" w:rsidP="00D47EDC">
            <w:pPr>
              <w:rPr>
                <w:rFonts w:cs="Arial"/>
                <w:sz w:val="22"/>
                <w:szCs w:val="22"/>
              </w:rPr>
            </w:pPr>
          </w:p>
          <w:p w14:paraId="13DCD6B4" w14:textId="77777777" w:rsidR="00D47EDC" w:rsidRPr="00A76167" w:rsidRDefault="00D47EDC" w:rsidP="00D47EDC">
            <w:pPr>
              <w:rPr>
                <w:rFonts w:cs="Arial"/>
                <w:b/>
                <w:sz w:val="22"/>
                <w:szCs w:val="22"/>
              </w:rPr>
            </w:pPr>
            <w:r w:rsidRPr="00A76167">
              <w:rPr>
                <w:rFonts w:cs="Arial"/>
                <w:b/>
                <w:sz w:val="22"/>
                <w:szCs w:val="22"/>
              </w:rPr>
              <w:t>Example of Patient Experience data presented in DH CCG and Local Authority Information Packs (21/2/13)</w:t>
            </w:r>
          </w:p>
          <w:p w14:paraId="1A257848" w14:textId="77777777" w:rsidR="00D47EDC" w:rsidRPr="00A76167" w:rsidRDefault="00706C33" w:rsidP="00D47EDC">
            <w:pPr>
              <w:rPr>
                <w:rFonts w:cs="Arial"/>
                <w:sz w:val="22"/>
                <w:szCs w:val="22"/>
              </w:rPr>
            </w:pPr>
            <w:hyperlink r:id="rId25" w:anchor="data" w:history="1">
              <w:r w:rsidR="00D47EDC" w:rsidRPr="00A76167">
                <w:rPr>
                  <w:rStyle w:val="Hyperlink"/>
                  <w:rFonts w:ascii="Arial" w:eastAsia="MS Mincho" w:hAnsi="Arial" w:cs="Arial"/>
                  <w:color w:val="auto"/>
                  <w:sz w:val="22"/>
                  <w:szCs w:val="22"/>
                </w:rPr>
                <w:t>http://www.commissioningboard.nhs.uk/la-ccg-data/#data</w:t>
              </w:r>
            </w:hyperlink>
            <w:r w:rsidR="00D47EDC" w:rsidRPr="00A76167">
              <w:rPr>
                <w:rFonts w:cs="Arial"/>
                <w:sz w:val="22"/>
                <w:szCs w:val="22"/>
              </w:rPr>
              <w:t xml:space="preserve"> </w:t>
            </w:r>
          </w:p>
          <w:p w14:paraId="77200A1E" w14:textId="7340DC46" w:rsidR="00D47EDC" w:rsidRPr="00A76167" w:rsidRDefault="00D47EDC" w:rsidP="00D47EDC">
            <w:pPr>
              <w:rPr>
                <w:rFonts w:cs="Arial"/>
                <w:sz w:val="22"/>
                <w:szCs w:val="22"/>
              </w:rPr>
            </w:pPr>
          </w:p>
          <w:p w14:paraId="1A4F4D50" w14:textId="6F55AE7B" w:rsidR="00D47EDC" w:rsidRPr="00A76167" w:rsidRDefault="00D47EDC" w:rsidP="00D47EDC">
            <w:pPr>
              <w:rPr>
                <w:rFonts w:cs="Arial"/>
                <w:sz w:val="22"/>
                <w:szCs w:val="22"/>
              </w:rPr>
            </w:pPr>
          </w:p>
          <w:p w14:paraId="45139C45" w14:textId="1C5ED903" w:rsidR="00D47EDC" w:rsidRPr="00A76167" w:rsidRDefault="00D47EDC" w:rsidP="00D47EDC">
            <w:pPr>
              <w:rPr>
                <w:rFonts w:cs="Arial"/>
                <w:sz w:val="22"/>
                <w:szCs w:val="22"/>
              </w:rPr>
            </w:pPr>
          </w:p>
          <w:p w14:paraId="7DB808AD" w14:textId="1831C4B8" w:rsidR="00D47EDC" w:rsidRPr="00A76167" w:rsidRDefault="00D47EDC" w:rsidP="00D47EDC">
            <w:pPr>
              <w:rPr>
                <w:rFonts w:cs="Arial"/>
                <w:sz w:val="22"/>
                <w:szCs w:val="22"/>
              </w:rPr>
            </w:pPr>
          </w:p>
          <w:p w14:paraId="485481AA" w14:textId="6CFF20C9" w:rsidR="00D47EDC" w:rsidRPr="00A76167" w:rsidRDefault="00D47EDC" w:rsidP="00D47EDC">
            <w:pPr>
              <w:rPr>
                <w:rFonts w:cs="Arial"/>
                <w:sz w:val="22"/>
                <w:szCs w:val="22"/>
              </w:rPr>
            </w:pPr>
          </w:p>
          <w:p w14:paraId="1299AA8B" w14:textId="2C306326" w:rsidR="00D47EDC" w:rsidRPr="00A76167" w:rsidRDefault="00D47EDC" w:rsidP="00D47EDC">
            <w:pPr>
              <w:rPr>
                <w:rFonts w:cs="Arial"/>
                <w:sz w:val="22"/>
                <w:szCs w:val="22"/>
              </w:rPr>
            </w:pPr>
          </w:p>
          <w:p w14:paraId="57587BAD" w14:textId="788D71A3" w:rsidR="00D47EDC" w:rsidRPr="00A76167" w:rsidRDefault="00D47EDC" w:rsidP="00D47EDC">
            <w:pPr>
              <w:rPr>
                <w:rFonts w:cs="Arial"/>
                <w:sz w:val="22"/>
                <w:szCs w:val="22"/>
              </w:rPr>
            </w:pPr>
          </w:p>
          <w:p w14:paraId="654D7997" w14:textId="683E8DF7" w:rsidR="00D47EDC" w:rsidRPr="00A76167" w:rsidRDefault="00D47EDC" w:rsidP="00D47EDC">
            <w:pPr>
              <w:rPr>
                <w:rFonts w:cs="Arial"/>
                <w:sz w:val="22"/>
                <w:szCs w:val="22"/>
              </w:rPr>
            </w:pPr>
          </w:p>
          <w:p w14:paraId="42D91D17" w14:textId="1E3DC576" w:rsidR="00D47EDC" w:rsidRPr="00A76167" w:rsidRDefault="00D47EDC" w:rsidP="00D47EDC">
            <w:pPr>
              <w:rPr>
                <w:rFonts w:cs="Arial"/>
                <w:sz w:val="22"/>
                <w:szCs w:val="22"/>
              </w:rPr>
            </w:pPr>
          </w:p>
          <w:p w14:paraId="42CD0BFF" w14:textId="4F51FE17" w:rsidR="00D47EDC" w:rsidRPr="00A76167" w:rsidRDefault="00D47EDC" w:rsidP="00D47EDC">
            <w:pPr>
              <w:rPr>
                <w:rFonts w:cs="Arial"/>
                <w:sz w:val="22"/>
                <w:szCs w:val="22"/>
              </w:rPr>
            </w:pPr>
          </w:p>
          <w:p w14:paraId="178DAB00" w14:textId="30E5CF08" w:rsidR="00D47EDC" w:rsidRPr="00A76167" w:rsidRDefault="00D47EDC" w:rsidP="00D47EDC">
            <w:pPr>
              <w:rPr>
                <w:rFonts w:cs="Arial"/>
                <w:sz w:val="22"/>
                <w:szCs w:val="22"/>
              </w:rPr>
            </w:pPr>
          </w:p>
          <w:p w14:paraId="7B4429F0" w14:textId="0109D9B2" w:rsidR="00D47EDC" w:rsidRPr="00A76167" w:rsidRDefault="00D47EDC" w:rsidP="00D47EDC">
            <w:pPr>
              <w:rPr>
                <w:rFonts w:cs="Arial"/>
                <w:sz w:val="22"/>
                <w:szCs w:val="22"/>
              </w:rPr>
            </w:pPr>
          </w:p>
          <w:p w14:paraId="71F13EBA" w14:textId="4F006732" w:rsidR="00D47EDC" w:rsidRPr="00A76167" w:rsidRDefault="00D47EDC" w:rsidP="00D47EDC">
            <w:pPr>
              <w:rPr>
                <w:rFonts w:cs="Arial"/>
                <w:sz w:val="22"/>
                <w:szCs w:val="22"/>
              </w:rPr>
            </w:pPr>
          </w:p>
          <w:p w14:paraId="5D83D7AF" w14:textId="25F62B58" w:rsidR="00D47EDC" w:rsidRPr="00A76167" w:rsidRDefault="00D47EDC" w:rsidP="00D47EDC">
            <w:pPr>
              <w:rPr>
                <w:rFonts w:cs="Arial"/>
                <w:sz w:val="22"/>
                <w:szCs w:val="22"/>
              </w:rPr>
            </w:pPr>
          </w:p>
          <w:p w14:paraId="6FE98F7B" w14:textId="6E324A95" w:rsidR="00D47EDC" w:rsidRPr="00A76167" w:rsidRDefault="00D47EDC" w:rsidP="00D47EDC">
            <w:pPr>
              <w:rPr>
                <w:rFonts w:cs="Arial"/>
                <w:sz w:val="22"/>
                <w:szCs w:val="22"/>
              </w:rPr>
            </w:pPr>
          </w:p>
          <w:p w14:paraId="1A641B5C" w14:textId="0D7A5B30" w:rsidR="00D47EDC" w:rsidRPr="00A76167" w:rsidRDefault="00D47EDC" w:rsidP="00D47EDC">
            <w:pPr>
              <w:rPr>
                <w:rFonts w:cs="Arial"/>
                <w:sz w:val="22"/>
                <w:szCs w:val="22"/>
              </w:rPr>
            </w:pPr>
          </w:p>
          <w:p w14:paraId="2A08EDD9" w14:textId="33995428" w:rsidR="00D47EDC" w:rsidRPr="00A76167" w:rsidRDefault="00D47EDC" w:rsidP="00D47EDC">
            <w:pPr>
              <w:rPr>
                <w:rFonts w:cs="Arial"/>
                <w:sz w:val="22"/>
                <w:szCs w:val="22"/>
              </w:rPr>
            </w:pPr>
          </w:p>
          <w:p w14:paraId="1C3E5076" w14:textId="1DA16EC0" w:rsidR="00D47EDC" w:rsidRPr="00A76167" w:rsidRDefault="00D47EDC" w:rsidP="00D47EDC">
            <w:pPr>
              <w:rPr>
                <w:rFonts w:cs="Arial"/>
                <w:sz w:val="22"/>
                <w:szCs w:val="22"/>
              </w:rPr>
            </w:pPr>
          </w:p>
          <w:p w14:paraId="552271D9" w14:textId="25767138" w:rsidR="00D47EDC" w:rsidRPr="00A76167" w:rsidRDefault="00D47EDC" w:rsidP="00D47EDC">
            <w:pPr>
              <w:rPr>
                <w:rFonts w:cs="Arial"/>
                <w:sz w:val="22"/>
                <w:szCs w:val="22"/>
              </w:rPr>
            </w:pPr>
          </w:p>
          <w:p w14:paraId="1AFF7C32" w14:textId="77777777" w:rsidR="00D47EDC" w:rsidRPr="00A76167" w:rsidRDefault="00D47EDC" w:rsidP="00D47EDC">
            <w:pPr>
              <w:rPr>
                <w:rFonts w:cs="Arial"/>
                <w:sz w:val="22"/>
                <w:szCs w:val="22"/>
              </w:rPr>
            </w:pPr>
          </w:p>
        </w:tc>
      </w:tr>
    </w:tbl>
    <w:p w14:paraId="489FBE2E" w14:textId="727B3B98" w:rsidR="00D47EDC" w:rsidRDefault="00D47EDC" w:rsidP="00D47EDC">
      <w:pPr>
        <w:rPr>
          <w:b/>
          <w:bCs/>
          <w:sz w:val="22"/>
          <w:szCs w:val="22"/>
        </w:rPr>
      </w:pPr>
      <w:r w:rsidRPr="00A76167">
        <w:rPr>
          <w:b/>
          <w:bCs/>
          <w:sz w:val="22"/>
          <w:szCs w:val="22"/>
        </w:rPr>
        <w:t>4b, 4.1, 4.2, 4.3 Patient experience of hospital care</w:t>
      </w:r>
    </w:p>
    <w:p w14:paraId="7CAA3AC3" w14:textId="3E05602A" w:rsidR="00D47EDC" w:rsidRDefault="00D47EDC" w:rsidP="00D47EDC">
      <w:pPr>
        <w:rPr>
          <w:b/>
          <w:bCs/>
          <w:sz w:val="22"/>
          <w:szCs w:val="22"/>
        </w:rPr>
      </w:pPr>
      <w:r w:rsidRPr="00D47EDC">
        <w:rPr>
          <w:b/>
          <w:bCs/>
          <w:sz w:val="22"/>
          <w:szCs w:val="22"/>
        </w:rPr>
        <w:lastRenderedPageBreak/>
        <w:t>Composite experience scores (out of 100) at the CCG's main 5 providers</w:t>
      </w:r>
    </w:p>
    <w:p w14:paraId="2DAC856B" w14:textId="77777777" w:rsidR="00D47EDC" w:rsidRPr="00D47EDC" w:rsidRDefault="00D47EDC" w:rsidP="00D47EDC">
      <w:pPr>
        <w:rPr>
          <w:rFonts w:cs="Arial"/>
          <w:b/>
          <w:sz w:val="22"/>
          <w:szCs w:val="22"/>
        </w:rPr>
      </w:pPr>
      <w:r w:rsidRPr="00D47EDC">
        <w:rPr>
          <w:rFonts w:cs="Arial"/>
          <w:b/>
          <w:sz w:val="22"/>
          <w:szCs w:val="22"/>
        </w:rPr>
        <w:t>The table below shows the composite score based on people who reported that their experience was</w:t>
      </w:r>
    </w:p>
    <w:p w14:paraId="1431E147" w14:textId="7CC1521C" w:rsidR="00D47EDC" w:rsidRDefault="00D47EDC" w:rsidP="00D47EDC">
      <w:pPr>
        <w:rPr>
          <w:rFonts w:cs="Arial"/>
          <w:b/>
          <w:sz w:val="22"/>
          <w:szCs w:val="22"/>
        </w:rPr>
      </w:pPr>
      <w:r w:rsidRPr="00D47EDC">
        <w:rPr>
          <w:rFonts w:cs="Arial"/>
          <w:b/>
          <w:sz w:val="22"/>
          <w:szCs w:val="22"/>
        </w:rPr>
        <w:t>"very good" or "fairly good" in various patient surveys.</w:t>
      </w:r>
    </w:p>
    <w:p w14:paraId="1F77E872" w14:textId="118B2D6E" w:rsidR="00D47EDC" w:rsidRDefault="00D47EDC" w:rsidP="00D47EDC">
      <w:pPr>
        <w:rPr>
          <w:rFonts w:cs="Arial"/>
          <w:b/>
          <w:sz w:val="22"/>
          <w:szCs w:val="22"/>
        </w:rPr>
      </w:pPr>
      <w:r w:rsidRPr="00D47EDC">
        <w:rPr>
          <w:rFonts w:cs="Arial"/>
          <w:b/>
          <w:sz w:val="22"/>
          <w:szCs w:val="22"/>
        </w:rPr>
        <w:t>NHS Bradford City CCG</w:t>
      </w:r>
    </w:p>
    <w:tbl>
      <w:tblPr>
        <w:tblStyle w:val="TableGrid"/>
        <w:tblW w:w="9242" w:type="dxa"/>
        <w:tblLayout w:type="fixed"/>
        <w:tblLook w:val="04A0" w:firstRow="1" w:lastRow="0" w:firstColumn="1" w:lastColumn="0" w:noHBand="0" w:noVBand="1"/>
      </w:tblPr>
      <w:tblGrid>
        <w:gridCol w:w="1809"/>
        <w:gridCol w:w="1395"/>
        <w:gridCol w:w="1573"/>
        <w:gridCol w:w="1574"/>
        <w:gridCol w:w="1554"/>
        <w:gridCol w:w="1337"/>
      </w:tblGrid>
      <w:tr w:rsidR="00D47EDC" w:rsidRPr="00A76167" w14:paraId="1834C441" w14:textId="77777777" w:rsidTr="00D47EDC">
        <w:tc>
          <w:tcPr>
            <w:tcW w:w="1809" w:type="dxa"/>
          </w:tcPr>
          <w:p w14:paraId="3CD72185" w14:textId="77777777" w:rsidR="00D47EDC" w:rsidRPr="00A76167" w:rsidRDefault="00D47EDC" w:rsidP="00B06C11">
            <w:pPr>
              <w:rPr>
                <w:rFonts w:cs="Arial"/>
                <w:b/>
                <w:sz w:val="22"/>
                <w:szCs w:val="22"/>
              </w:rPr>
            </w:pPr>
            <w:r w:rsidRPr="00A76167">
              <w:rPr>
                <w:rFonts w:cs="Arial"/>
                <w:b/>
                <w:sz w:val="22"/>
                <w:szCs w:val="22"/>
              </w:rPr>
              <w:t>Providers (ordered by number of admissions) for this CCG</w:t>
            </w:r>
          </w:p>
        </w:tc>
        <w:tc>
          <w:tcPr>
            <w:tcW w:w="1395" w:type="dxa"/>
          </w:tcPr>
          <w:p w14:paraId="242DB75F" w14:textId="77777777" w:rsidR="00D47EDC" w:rsidRPr="00A76167" w:rsidRDefault="00D47EDC" w:rsidP="00B06C11">
            <w:pPr>
              <w:rPr>
                <w:rFonts w:cs="Arial"/>
                <w:b/>
                <w:sz w:val="22"/>
                <w:szCs w:val="22"/>
              </w:rPr>
            </w:pPr>
            <w:r w:rsidRPr="00A76167">
              <w:rPr>
                <w:rFonts w:cs="Arial"/>
                <w:b/>
                <w:sz w:val="22"/>
                <w:szCs w:val="22"/>
              </w:rPr>
              <w:t>Number of admissions / spells (Acute 2010/11)</w:t>
            </w:r>
          </w:p>
        </w:tc>
        <w:tc>
          <w:tcPr>
            <w:tcW w:w="1573" w:type="dxa"/>
          </w:tcPr>
          <w:p w14:paraId="08E07901" w14:textId="77777777" w:rsidR="00D47EDC" w:rsidRPr="00A76167" w:rsidRDefault="00D47EDC" w:rsidP="00B06C11">
            <w:pPr>
              <w:rPr>
                <w:rFonts w:cs="Arial"/>
                <w:b/>
                <w:sz w:val="22"/>
                <w:szCs w:val="22"/>
              </w:rPr>
            </w:pPr>
            <w:r w:rsidRPr="00A76167">
              <w:rPr>
                <w:rFonts w:cs="Arial"/>
                <w:b/>
                <w:sz w:val="22"/>
                <w:szCs w:val="22"/>
              </w:rPr>
              <w:t>4b Inpatient overall experience</w:t>
            </w:r>
          </w:p>
        </w:tc>
        <w:tc>
          <w:tcPr>
            <w:tcW w:w="1574" w:type="dxa"/>
          </w:tcPr>
          <w:p w14:paraId="268EC566" w14:textId="77777777" w:rsidR="00D47EDC" w:rsidRPr="00A76167" w:rsidRDefault="00D47EDC" w:rsidP="00B06C11">
            <w:pPr>
              <w:rPr>
                <w:rFonts w:cs="Arial"/>
                <w:b/>
                <w:sz w:val="22"/>
                <w:szCs w:val="22"/>
              </w:rPr>
            </w:pPr>
            <w:r w:rsidRPr="00A76167">
              <w:rPr>
                <w:rFonts w:cs="Arial"/>
                <w:b/>
                <w:sz w:val="22"/>
                <w:szCs w:val="22"/>
              </w:rPr>
              <w:t>4.1 Outpatient Overall experience</w:t>
            </w:r>
          </w:p>
        </w:tc>
        <w:tc>
          <w:tcPr>
            <w:tcW w:w="1554" w:type="dxa"/>
          </w:tcPr>
          <w:p w14:paraId="4E37B012" w14:textId="77777777" w:rsidR="00D47EDC" w:rsidRPr="00A76167" w:rsidRDefault="00D47EDC" w:rsidP="00B06C11">
            <w:pPr>
              <w:rPr>
                <w:rFonts w:cs="Arial"/>
                <w:b/>
                <w:sz w:val="22"/>
                <w:szCs w:val="22"/>
              </w:rPr>
            </w:pPr>
            <w:r w:rsidRPr="00A76167">
              <w:rPr>
                <w:rFonts w:cs="Arial"/>
                <w:b/>
                <w:sz w:val="22"/>
                <w:szCs w:val="22"/>
              </w:rPr>
              <w:t>4.2 Inpatient responsiveness to needs</w:t>
            </w:r>
          </w:p>
        </w:tc>
        <w:tc>
          <w:tcPr>
            <w:tcW w:w="1337" w:type="dxa"/>
          </w:tcPr>
          <w:p w14:paraId="496A9075" w14:textId="77777777" w:rsidR="00D47EDC" w:rsidRPr="00A76167" w:rsidRDefault="00D47EDC" w:rsidP="00B06C11">
            <w:pPr>
              <w:rPr>
                <w:rFonts w:cs="Arial"/>
                <w:b/>
                <w:sz w:val="22"/>
                <w:szCs w:val="22"/>
              </w:rPr>
            </w:pPr>
            <w:r w:rsidRPr="00A76167">
              <w:rPr>
                <w:rFonts w:cs="Arial"/>
                <w:b/>
                <w:sz w:val="22"/>
                <w:szCs w:val="22"/>
              </w:rPr>
              <w:t>4.3 A&amp;E Over all experience</w:t>
            </w:r>
          </w:p>
        </w:tc>
      </w:tr>
      <w:tr w:rsidR="00D47EDC" w:rsidRPr="00A76167" w14:paraId="74407730" w14:textId="77777777" w:rsidTr="00D47EDC">
        <w:tc>
          <w:tcPr>
            <w:tcW w:w="1809" w:type="dxa"/>
          </w:tcPr>
          <w:p w14:paraId="3B59ACBB" w14:textId="77777777" w:rsidR="00D47EDC" w:rsidRPr="00A76167" w:rsidRDefault="00D47EDC" w:rsidP="00B06C11">
            <w:pPr>
              <w:rPr>
                <w:rFonts w:cs="Arial"/>
                <w:sz w:val="22"/>
                <w:szCs w:val="22"/>
              </w:rPr>
            </w:pPr>
            <w:r w:rsidRPr="00A76167">
              <w:rPr>
                <w:rFonts w:cs="Arial"/>
                <w:sz w:val="22"/>
                <w:szCs w:val="22"/>
              </w:rPr>
              <w:t>Bradford Teaching Hospitals NHS FT</w:t>
            </w:r>
          </w:p>
        </w:tc>
        <w:tc>
          <w:tcPr>
            <w:tcW w:w="1395" w:type="dxa"/>
          </w:tcPr>
          <w:p w14:paraId="7A4467D5" w14:textId="77777777" w:rsidR="00D47EDC" w:rsidRPr="00A76167" w:rsidRDefault="00D47EDC" w:rsidP="00B06C11">
            <w:pPr>
              <w:rPr>
                <w:rFonts w:cs="Arial"/>
                <w:sz w:val="22"/>
                <w:szCs w:val="22"/>
              </w:rPr>
            </w:pPr>
            <w:r w:rsidRPr="00A76167">
              <w:rPr>
                <w:rFonts w:cs="Arial"/>
                <w:sz w:val="22"/>
                <w:szCs w:val="22"/>
              </w:rPr>
              <w:t>18,292</w:t>
            </w:r>
          </w:p>
        </w:tc>
        <w:tc>
          <w:tcPr>
            <w:tcW w:w="1573" w:type="dxa"/>
          </w:tcPr>
          <w:p w14:paraId="2D5057C8" w14:textId="77777777" w:rsidR="00D47EDC" w:rsidRPr="00A76167" w:rsidRDefault="00D47EDC" w:rsidP="00B06C11">
            <w:pPr>
              <w:rPr>
                <w:rFonts w:cs="Arial"/>
                <w:sz w:val="22"/>
                <w:szCs w:val="22"/>
              </w:rPr>
            </w:pPr>
            <w:r w:rsidRPr="00A76167">
              <w:rPr>
                <w:rFonts w:cs="Arial"/>
                <w:sz w:val="22"/>
                <w:szCs w:val="22"/>
              </w:rPr>
              <w:t>74</w:t>
            </w:r>
          </w:p>
        </w:tc>
        <w:tc>
          <w:tcPr>
            <w:tcW w:w="1574" w:type="dxa"/>
          </w:tcPr>
          <w:p w14:paraId="7E4461CE" w14:textId="77777777" w:rsidR="00D47EDC" w:rsidRPr="00A76167" w:rsidRDefault="00D47EDC" w:rsidP="00B06C11">
            <w:pPr>
              <w:rPr>
                <w:rFonts w:cs="Arial"/>
                <w:sz w:val="22"/>
                <w:szCs w:val="22"/>
              </w:rPr>
            </w:pPr>
            <w:r w:rsidRPr="00A76167">
              <w:rPr>
                <w:rFonts w:cs="Arial"/>
                <w:sz w:val="22"/>
                <w:szCs w:val="22"/>
              </w:rPr>
              <w:t>78</w:t>
            </w:r>
          </w:p>
        </w:tc>
        <w:tc>
          <w:tcPr>
            <w:tcW w:w="1554" w:type="dxa"/>
          </w:tcPr>
          <w:p w14:paraId="206906FC" w14:textId="77777777" w:rsidR="00D47EDC" w:rsidRPr="00A76167" w:rsidRDefault="00D47EDC" w:rsidP="00B06C11">
            <w:pPr>
              <w:rPr>
                <w:rFonts w:cs="Arial"/>
                <w:sz w:val="22"/>
                <w:szCs w:val="22"/>
              </w:rPr>
            </w:pPr>
            <w:r w:rsidRPr="00A76167">
              <w:rPr>
                <w:rFonts w:cs="Arial"/>
                <w:sz w:val="22"/>
                <w:szCs w:val="22"/>
              </w:rPr>
              <w:t>67</w:t>
            </w:r>
          </w:p>
        </w:tc>
        <w:tc>
          <w:tcPr>
            <w:tcW w:w="1337" w:type="dxa"/>
          </w:tcPr>
          <w:p w14:paraId="783DC1CB" w14:textId="77777777" w:rsidR="00D47EDC" w:rsidRPr="00A76167" w:rsidRDefault="00D47EDC" w:rsidP="00B06C11">
            <w:pPr>
              <w:rPr>
                <w:rFonts w:cs="Arial"/>
                <w:sz w:val="22"/>
                <w:szCs w:val="22"/>
              </w:rPr>
            </w:pPr>
            <w:r w:rsidRPr="00A76167">
              <w:rPr>
                <w:rFonts w:cs="Arial"/>
                <w:sz w:val="22"/>
                <w:szCs w:val="22"/>
              </w:rPr>
              <w:t>77</w:t>
            </w:r>
          </w:p>
        </w:tc>
      </w:tr>
      <w:tr w:rsidR="00D47EDC" w:rsidRPr="00A76167" w14:paraId="730B12C7" w14:textId="77777777" w:rsidTr="00D47EDC">
        <w:tc>
          <w:tcPr>
            <w:tcW w:w="1809" w:type="dxa"/>
          </w:tcPr>
          <w:p w14:paraId="682962BF" w14:textId="77777777" w:rsidR="00D47EDC" w:rsidRPr="00A76167" w:rsidRDefault="00D47EDC" w:rsidP="00B06C11">
            <w:pPr>
              <w:rPr>
                <w:rFonts w:cs="Arial"/>
                <w:sz w:val="22"/>
                <w:szCs w:val="22"/>
              </w:rPr>
            </w:pPr>
            <w:r w:rsidRPr="00A76167">
              <w:rPr>
                <w:rFonts w:cs="Arial"/>
                <w:sz w:val="22"/>
                <w:szCs w:val="22"/>
              </w:rPr>
              <w:t>Leeds Teaching Hospitals NHS Trust</w:t>
            </w:r>
          </w:p>
        </w:tc>
        <w:tc>
          <w:tcPr>
            <w:tcW w:w="1395" w:type="dxa"/>
          </w:tcPr>
          <w:p w14:paraId="16BE3266" w14:textId="77777777" w:rsidR="00D47EDC" w:rsidRPr="00A76167" w:rsidRDefault="00D47EDC" w:rsidP="00B06C11">
            <w:pPr>
              <w:rPr>
                <w:rFonts w:cs="Arial"/>
                <w:sz w:val="22"/>
                <w:szCs w:val="22"/>
              </w:rPr>
            </w:pPr>
            <w:r w:rsidRPr="00A76167">
              <w:rPr>
                <w:rFonts w:cs="Arial"/>
                <w:sz w:val="22"/>
                <w:szCs w:val="22"/>
              </w:rPr>
              <w:t>811</w:t>
            </w:r>
          </w:p>
        </w:tc>
        <w:tc>
          <w:tcPr>
            <w:tcW w:w="1573" w:type="dxa"/>
          </w:tcPr>
          <w:p w14:paraId="19A033F2" w14:textId="77777777" w:rsidR="00D47EDC" w:rsidRPr="00A76167" w:rsidRDefault="00D47EDC" w:rsidP="00B06C11">
            <w:pPr>
              <w:rPr>
                <w:rFonts w:cs="Arial"/>
                <w:sz w:val="22"/>
                <w:szCs w:val="22"/>
              </w:rPr>
            </w:pPr>
            <w:r w:rsidRPr="00A76167">
              <w:rPr>
                <w:rFonts w:cs="Arial"/>
                <w:sz w:val="22"/>
                <w:szCs w:val="22"/>
              </w:rPr>
              <w:t>74</w:t>
            </w:r>
          </w:p>
        </w:tc>
        <w:tc>
          <w:tcPr>
            <w:tcW w:w="1574" w:type="dxa"/>
          </w:tcPr>
          <w:p w14:paraId="31F589EE" w14:textId="77777777" w:rsidR="00D47EDC" w:rsidRPr="00A76167" w:rsidRDefault="00D47EDC" w:rsidP="00B06C11">
            <w:pPr>
              <w:rPr>
                <w:rFonts w:cs="Arial"/>
                <w:sz w:val="22"/>
                <w:szCs w:val="22"/>
              </w:rPr>
            </w:pPr>
            <w:r w:rsidRPr="00A76167">
              <w:rPr>
                <w:rFonts w:cs="Arial"/>
                <w:sz w:val="22"/>
                <w:szCs w:val="22"/>
              </w:rPr>
              <w:t>81</w:t>
            </w:r>
          </w:p>
        </w:tc>
        <w:tc>
          <w:tcPr>
            <w:tcW w:w="1554" w:type="dxa"/>
          </w:tcPr>
          <w:p w14:paraId="33B94016" w14:textId="77777777" w:rsidR="00D47EDC" w:rsidRPr="00A76167" w:rsidRDefault="00D47EDC" w:rsidP="00B06C11">
            <w:pPr>
              <w:rPr>
                <w:rFonts w:cs="Arial"/>
                <w:sz w:val="22"/>
                <w:szCs w:val="22"/>
              </w:rPr>
            </w:pPr>
            <w:r w:rsidRPr="00A76167">
              <w:rPr>
                <w:rFonts w:cs="Arial"/>
                <w:sz w:val="22"/>
                <w:szCs w:val="22"/>
              </w:rPr>
              <w:t>65</w:t>
            </w:r>
          </w:p>
        </w:tc>
        <w:tc>
          <w:tcPr>
            <w:tcW w:w="1337" w:type="dxa"/>
          </w:tcPr>
          <w:p w14:paraId="64DC508D" w14:textId="77777777" w:rsidR="00D47EDC" w:rsidRPr="00A76167" w:rsidRDefault="00D47EDC" w:rsidP="00B06C11">
            <w:pPr>
              <w:rPr>
                <w:rFonts w:cs="Arial"/>
                <w:sz w:val="22"/>
                <w:szCs w:val="22"/>
              </w:rPr>
            </w:pPr>
            <w:r w:rsidRPr="00A76167">
              <w:rPr>
                <w:rFonts w:cs="Arial"/>
                <w:sz w:val="22"/>
                <w:szCs w:val="22"/>
              </w:rPr>
              <w:t>79</w:t>
            </w:r>
          </w:p>
        </w:tc>
      </w:tr>
      <w:tr w:rsidR="00D47EDC" w:rsidRPr="00A76167" w14:paraId="45F6E735" w14:textId="77777777" w:rsidTr="00D47EDC">
        <w:tc>
          <w:tcPr>
            <w:tcW w:w="1809" w:type="dxa"/>
          </w:tcPr>
          <w:p w14:paraId="0ADC492B" w14:textId="77777777" w:rsidR="00D47EDC" w:rsidRPr="00A76167" w:rsidRDefault="00D47EDC" w:rsidP="00B06C11">
            <w:pPr>
              <w:pStyle w:val="Default"/>
              <w:rPr>
                <w:color w:val="auto"/>
                <w:sz w:val="22"/>
                <w:szCs w:val="22"/>
              </w:rPr>
            </w:pPr>
            <w:r w:rsidRPr="00A76167">
              <w:rPr>
                <w:color w:val="auto"/>
                <w:sz w:val="22"/>
                <w:szCs w:val="22"/>
              </w:rPr>
              <w:t>Ramsay Healthcare UK Operations Ltd</w:t>
            </w:r>
          </w:p>
        </w:tc>
        <w:tc>
          <w:tcPr>
            <w:tcW w:w="1395" w:type="dxa"/>
          </w:tcPr>
          <w:p w14:paraId="3FEFA740" w14:textId="77777777" w:rsidR="00D47EDC" w:rsidRPr="00A76167" w:rsidRDefault="00D47EDC" w:rsidP="00B06C11">
            <w:pPr>
              <w:rPr>
                <w:rFonts w:cs="Arial"/>
                <w:sz w:val="22"/>
                <w:szCs w:val="22"/>
              </w:rPr>
            </w:pPr>
            <w:r w:rsidRPr="00A76167">
              <w:rPr>
                <w:rFonts w:cs="Arial"/>
                <w:sz w:val="22"/>
                <w:szCs w:val="22"/>
              </w:rPr>
              <w:t>457</w:t>
            </w:r>
          </w:p>
        </w:tc>
        <w:tc>
          <w:tcPr>
            <w:tcW w:w="1573" w:type="dxa"/>
          </w:tcPr>
          <w:p w14:paraId="67F017AB" w14:textId="77777777" w:rsidR="00D47EDC" w:rsidRPr="00A76167" w:rsidRDefault="00D47EDC" w:rsidP="00B06C11">
            <w:pPr>
              <w:rPr>
                <w:rFonts w:cs="Arial"/>
                <w:sz w:val="22"/>
                <w:szCs w:val="22"/>
              </w:rPr>
            </w:pPr>
            <w:r w:rsidRPr="00A76167">
              <w:rPr>
                <w:rFonts w:cs="Arial"/>
                <w:sz w:val="22"/>
                <w:szCs w:val="22"/>
              </w:rPr>
              <w:t>NA</w:t>
            </w:r>
          </w:p>
        </w:tc>
        <w:tc>
          <w:tcPr>
            <w:tcW w:w="1574" w:type="dxa"/>
          </w:tcPr>
          <w:p w14:paraId="00C8D7A9" w14:textId="77777777" w:rsidR="00D47EDC" w:rsidRPr="00A76167" w:rsidRDefault="00D47EDC" w:rsidP="00B06C11">
            <w:pPr>
              <w:rPr>
                <w:rFonts w:cs="Arial"/>
                <w:sz w:val="22"/>
                <w:szCs w:val="22"/>
              </w:rPr>
            </w:pPr>
            <w:r w:rsidRPr="00A76167">
              <w:rPr>
                <w:rFonts w:cs="Arial"/>
                <w:sz w:val="22"/>
                <w:szCs w:val="22"/>
              </w:rPr>
              <w:t>NA</w:t>
            </w:r>
          </w:p>
        </w:tc>
        <w:tc>
          <w:tcPr>
            <w:tcW w:w="1554" w:type="dxa"/>
          </w:tcPr>
          <w:p w14:paraId="34062E62" w14:textId="77777777" w:rsidR="00D47EDC" w:rsidRPr="00A76167" w:rsidRDefault="00D47EDC" w:rsidP="00B06C11">
            <w:pPr>
              <w:rPr>
                <w:rFonts w:cs="Arial"/>
                <w:sz w:val="22"/>
                <w:szCs w:val="22"/>
              </w:rPr>
            </w:pPr>
            <w:r w:rsidRPr="00A76167">
              <w:rPr>
                <w:rFonts w:cs="Arial"/>
                <w:sz w:val="22"/>
                <w:szCs w:val="22"/>
              </w:rPr>
              <w:t>NA</w:t>
            </w:r>
          </w:p>
        </w:tc>
        <w:tc>
          <w:tcPr>
            <w:tcW w:w="1337" w:type="dxa"/>
          </w:tcPr>
          <w:p w14:paraId="6C2E4416" w14:textId="77777777" w:rsidR="00D47EDC" w:rsidRPr="00A76167" w:rsidRDefault="00D47EDC" w:rsidP="00B06C11">
            <w:pPr>
              <w:rPr>
                <w:rFonts w:cs="Arial"/>
                <w:sz w:val="22"/>
                <w:szCs w:val="22"/>
              </w:rPr>
            </w:pPr>
            <w:r w:rsidRPr="00A76167">
              <w:rPr>
                <w:rFonts w:cs="Arial"/>
                <w:sz w:val="22"/>
                <w:szCs w:val="22"/>
              </w:rPr>
              <w:t>NA</w:t>
            </w:r>
          </w:p>
        </w:tc>
      </w:tr>
      <w:tr w:rsidR="00D47EDC" w:rsidRPr="00A76167" w14:paraId="1FE139BB" w14:textId="77777777" w:rsidTr="00D47EDC">
        <w:tc>
          <w:tcPr>
            <w:tcW w:w="1809" w:type="dxa"/>
          </w:tcPr>
          <w:p w14:paraId="2C10AB01" w14:textId="77777777" w:rsidR="00D47EDC" w:rsidRPr="00A76167" w:rsidRDefault="00D47EDC" w:rsidP="00B06C11">
            <w:pPr>
              <w:rPr>
                <w:rFonts w:cs="Arial"/>
                <w:sz w:val="22"/>
                <w:szCs w:val="22"/>
              </w:rPr>
            </w:pPr>
            <w:r w:rsidRPr="00A76167">
              <w:rPr>
                <w:rFonts w:cs="Arial"/>
                <w:sz w:val="22"/>
                <w:szCs w:val="22"/>
              </w:rPr>
              <w:t>Airedale NHS FT</w:t>
            </w:r>
          </w:p>
        </w:tc>
        <w:tc>
          <w:tcPr>
            <w:tcW w:w="1395" w:type="dxa"/>
          </w:tcPr>
          <w:p w14:paraId="167D1B89" w14:textId="77777777" w:rsidR="00D47EDC" w:rsidRPr="00A76167" w:rsidRDefault="00D47EDC" w:rsidP="00B06C11">
            <w:pPr>
              <w:rPr>
                <w:rFonts w:cs="Arial"/>
                <w:sz w:val="22"/>
                <w:szCs w:val="22"/>
              </w:rPr>
            </w:pPr>
            <w:r w:rsidRPr="00A76167">
              <w:rPr>
                <w:rFonts w:cs="Arial"/>
                <w:sz w:val="22"/>
                <w:szCs w:val="22"/>
              </w:rPr>
              <w:t>127</w:t>
            </w:r>
          </w:p>
        </w:tc>
        <w:tc>
          <w:tcPr>
            <w:tcW w:w="1573" w:type="dxa"/>
          </w:tcPr>
          <w:p w14:paraId="589605E6" w14:textId="77777777" w:rsidR="00D47EDC" w:rsidRPr="00A76167" w:rsidRDefault="00D47EDC" w:rsidP="00B06C11">
            <w:pPr>
              <w:rPr>
                <w:rFonts w:cs="Arial"/>
                <w:sz w:val="22"/>
                <w:szCs w:val="22"/>
              </w:rPr>
            </w:pPr>
            <w:r w:rsidRPr="00A76167">
              <w:rPr>
                <w:rFonts w:cs="Arial"/>
                <w:sz w:val="22"/>
                <w:szCs w:val="22"/>
              </w:rPr>
              <w:t>77</w:t>
            </w:r>
          </w:p>
        </w:tc>
        <w:tc>
          <w:tcPr>
            <w:tcW w:w="1574" w:type="dxa"/>
          </w:tcPr>
          <w:p w14:paraId="0E6D2C10" w14:textId="77777777" w:rsidR="00D47EDC" w:rsidRPr="00A76167" w:rsidRDefault="00D47EDC" w:rsidP="00B06C11">
            <w:pPr>
              <w:rPr>
                <w:rFonts w:cs="Arial"/>
                <w:sz w:val="22"/>
                <w:szCs w:val="22"/>
              </w:rPr>
            </w:pPr>
            <w:r w:rsidRPr="00A76167">
              <w:rPr>
                <w:rFonts w:cs="Arial"/>
                <w:sz w:val="22"/>
                <w:szCs w:val="22"/>
              </w:rPr>
              <w:t>82</w:t>
            </w:r>
          </w:p>
        </w:tc>
        <w:tc>
          <w:tcPr>
            <w:tcW w:w="1554" w:type="dxa"/>
          </w:tcPr>
          <w:p w14:paraId="0D401DAF" w14:textId="77777777" w:rsidR="00D47EDC" w:rsidRPr="00A76167" w:rsidRDefault="00D47EDC" w:rsidP="00B06C11">
            <w:pPr>
              <w:rPr>
                <w:rFonts w:cs="Arial"/>
                <w:sz w:val="22"/>
                <w:szCs w:val="22"/>
              </w:rPr>
            </w:pPr>
            <w:r w:rsidRPr="00A76167">
              <w:rPr>
                <w:rFonts w:cs="Arial"/>
                <w:sz w:val="22"/>
                <w:szCs w:val="22"/>
              </w:rPr>
              <w:t>68</w:t>
            </w:r>
          </w:p>
        </w:tc>
        <w:tc>
          <w:tcPr>
            <w:tcW w:w="1337" w:type="dxa"/>
          </w:tcPr>
          <w:p w14:paraId="6FBF7B11" w14:textId="77777777" w:rsidR="00D47EDC" w:rsidRPr="00A76167" w:rsidRDefault="00D47EDC" w:rsidP="00B06C11">
            <w:pPr>
              <w:rPr>
                <w:rFonts w:cs="Arial"/>
                <w:sz w:val="22"/>
                <w:szCs w:val="22"/>
              </w:rPr>
            </w:pPr>
            <w:r w:rsidRPr="00A76167">
              <w:rPr>
                <w:rFonts w:cs="Arial"/>
                <w:sz w:val="22"/>
                <w:szCs w:val="22"/>
              </w:rPr>
              <w:t>84</w:t>
            </w:r>
          </w:p>
        </w:tc>
      </w:tr>
      <w:tr w:rsidR="00D47EDC" w:rsidRPr="00A76167" w14:paraId="39FBBF15" w14:textId="77777777" w:rsidTr="00D47EDC">
        <w:tc>
          <w:tcPr>
            <w:tcW w:w="1809" w:type="dxa"/>
          </w:tcPr>
          <w:p w14:paraId="1E708CD5" w14:textId="77777777" w:rsidR="00D47EDC" w:rsidRPr="00A76167" w:rsidRDefault="00D47EDC" w:rsidP="00B06C11">
            <w:pPr>
              <w:rPr>
                <w:rFonts w:cs="Arial"/>
                <w:sz w:val="22"/>
                <w:szCs w:val="22"/>
              </w:rPr>
            </w:pPr>
            <w:r w:rsidRPr="00A76167">
              <w:rPr>
                <w:rFonts w:cs="Arial"/>
                <w:sz w:val="22"/>
                <w:szCs w:val="22"/>
              </w:rPr>
              <w:t>Care UK</w:t>
            </w:r>
          </w:p>
        </w:tc>
        <w:tc>
          <w:tcPr>
            <w:tcW w:w="1395" w:type="dxa"/>
          </w:tcPr>
          <w:p w14:paraId="5ED78F4F" w14:textId="77777777" w:rsidR="00D47EDC" w:rsidRPr="00A76167" w:rsidRDefault="00D47EDC" w:rsidP="00B06C11">
            <w:pPr>
              <w:rPr>
                <w:rFonts w:cs="Arial"/>
                <w:sz w:val="22"/>
                <w:szCs w:val="22"/>
              </w:rPr>
            </w:pPr>
            <w:r w:rsidRPr="00A76167">
              <w:rPr>
                <w:rFonts w:cs="Arial"/>
                <w:sz w:val="22"/>
                <w:szCs w:val="22"/>
              </w:rPr>
              <w:t>118</w:t>
            </w:r>
          </w:p>
        </w:tc>
        <w:tc>
          <w:tcPr>
            <w:tcW w:w="1573" w:type="dxa"/>
          </w:tcPr>
          <w:p w14:paraId="0EA1B1EE" w14:textId="77777777" w:rsidR="00D47EDC" w:rsidRPr="00A76167" w:rsidRDefault="00D47EDC" w:rsidP="00B06C11">
            <w:pPr>
              <w:rPr>
                <w:rFonts w:cs="Arial"/>
                <w:sz w:val="22"/>
                <w:szCs w:val="22"/>
              </w:rPr>
            </w:pPr>
            <w:r w:rsidRPr="00A76167">
              <w:rPr>
                <w:rFonts w:cs="Arial"/>
                <w:sz w:val="22"/>
                <w:szCs w:val="22"/>
              </w:rPr>
              <w:t>NA</w:t>
            </w:r>
          </w:p>
        </w:tc>
        <w:tc>
          <w:tcPr>
            <w:tcW w:w="1574" w:type="dxa"/>
          </w:tcPr>
          <w:p w14:paraId="6C339DF9" w14:textId="77777777" w:rsidR="00D47EDC" w:rsidRPr="00A76167" w:rsidRDefault="00D47EDC" w:rsidP="00B06C11">
            <w:pPr>
              <w:rPr>
                <w:rFonts w:cs="Arial"/>
                <w:sz w:val="22"/>
                <w:szCs w:val="22"/>
              </w:rPr>
            </w:pPr>
            <w:r w:rsidRPr="00A76167">
              <w:rPr>
                <w:rFonts w:cs="Arial"/>
                <w:sz w:val="22"/>
                <w:szCs w:val="22"/>
              </w:rPr>
              <w:t>NA</w:t>
            </w:r>
          </w:p>
        </w:tc>
        <w:tc>
          <w:tcPr>
            <w:tcW w:w="1554" w:type="dxa"/>
          </w:tcPr>
          <w:p w14:paraId="1340413C" w14:textId="77777777" w:rsidR="00D47EDC" w:rsidRPr="00A76167" w:rsidRDefault="00D47EDC" w:rsidP="00B06C11">
            <w:pPr>
              <w:rPr>
                <w:rFonts w:cs="Arial"/>
                <w:sz w:val="22"/>
                <w:szCs w:val="22"/>
              </w:rPr>
            </w:pPr>
            <w:r w:rsidRPr="00A76167">
              <w:rPr>
                <w:rFonts w:cs="Arial"/>
                <w:sz w:val="22"/>
                <w:szCs w:val="22"/>
              </w:rPr>
              <w:t>NA</w:t>
            </w:r>
          </w:p>
        </w:tc>
        <w:tc>
          <w:tcPr>
            <w:tcW w:w="1337" w:type="dxa"/>
          </w:tcPr>
          <w:p w14:paraId="2313644E" w14:textId="77777777" w:rsidR="00D47EDC" w:rsidRPr="00A76167" w:rsidRDefault="00D47EDC" w:rsidP="00B06C11">
            <w:pPr>
              <w:rPr>
                <w:rFonts w:cs="Arial"/>
                <w:sz w:val="22"/>
                <w:szCs w:val="22"/>
              </w:rPr>
            </w:pPr>
            <w:r w:rsidRPr="00A76167">
              <w:rPr>
                <w:rFonts w:cs="Arial"/>
                <w:sz w:val="22"/>
                <w:szCs w:val="22"/>
              </w:rPr>
              <w:t>NA</w:t>
            </w:r>
          </w:p>
        </w:tc>
      </w:tr>
      <w:tr w:rsidR="00D47EDC" w:rsidRPr="00A76167" w14:paraId="723FF702" w14:textId="77777777" w:rsidTr="00D47EDC">
        <w:tc>
          <w:tcPr>
            <w:tcW w:w="1809" w:type="dxa"/>
          </w:tcPr>
          <w:p w14:paraId="09DE4BB2" w14:textId="77777777" w:rsidR="00D47EDC" w:rsidRPr="00A76167" w:rsidRDefault="00D47EDC" w:rsidP="00B06C11">
            <w:pPr>
              <w:rPr>
                <w:rFonts w:cs="Arial"/>
                <w:b/>
                <w:sz w:val="22"/>
                <w:szCs w:val="22"/>
              </w:rPr>
            </w:pPr>
            <w:r w:rsidRPr="00A76167">
              <w:rPr>
                <w:rFonts w:cs="Arial"/>
                <w:b/>
                <w:sz w:val="22"/>
                <w:szCs w:val="22"/>
              </w:rPr>
              <w:t>CCG weighted average</w:t>
            </w:r>
          </w:p>
        </w:tc>
        <w:tc>
          <w:tcPr>
            <w:tcW w:w="1395" w:type="dxa"/>
          </w:tcPr>
          <w:p w14:paraId="300A8E95" w14:textId="77777777" w:rsidR="00D47EDC" w:rsidRPr="00A76167" w:rsidRDefault="00D47EDC" w:rsidP="00B06C11">
            <w:pPr>
              <w:rPr>
                <w:rFonts w:cs="Arial"/>
                <w:b/>
                <w:sz w:val="22"/>
                <w:szCs w:val="22"/>
              </w:rPr>
            </w:pPr>
          </w:p>
        </w:tc>
        <w:tc>
          <w:tcPr>
            <w:tcW w:w="1573" w:type="dxa"/>
          </w:tcPr>
          <w:p w14:paraId="200CB655" w14:textId="77777777" w:rsidR="00D47EDC" w:rsidRPr="00A76167" w:rsidRDefault="00D47EDC" w:rsidP="00B06C11">
            <w:pPr>
              <w:rPr>
                <w:rFonts w:cs="Arial"/>
                <w:b/>
                <w:sz w:val="22"/>
                <w:szCs w:val="22"/>
              </w:rPr>
            </w:pPr>
            <w:r w:rsidRPr="00A76167">
              <w:rPr>
                <w:rFonts w:cs="Arial"/>
                <w:b/>
                <w:sz w:val="22"/>
                <w:szCs w:val="22"/>
              </w:rPr>
              <w:t>74</w:t>
            </w:r>
          </w:p>
        </w:tc>
        <w:tc>
          <w:tcPr>
            <w:tcW w:w="1574" w:type="dxa"/>
          </w:tcPr>
          <w:p w14:paraId="22BBAA4E" w14:textId="77777777" w:rsidR="00D47EDC" w:rsidRPr="00A76167" w:rsidRDefault="00D47EDC" w:rsidP="00B06C11">
            <w:pPr>
              <w:rPr>
                <w:rFonts w:cs="Arial"/>
                <w:b/>
                <w:sz w:val="22"/>
                <w:szCs w:val="22"/>
              </w:rPr>
            </w:pPr>
            <w:r w:rsidRPr="00A76167">
              <w:rPr>
                <w:rFonts w:cs="Arial"/>
                <w:b/>
                <w:sz w:val="22"/>
                <w:szCs w:val="22"/>
              </w:rPr>
              <w:t>78</w:t>
            </w:r>
          </w:p>
        </w:tc>
        <w:tc>
          <w:tcPr>
            <w:tcW w:w="1554" w:type="dxa"/>
          </w:tcPr>
          <w:p w14:paraId="14813A7F" w14:textId="77777777" w:rsidR="00D47EDC" w:rsidRPr="00A76167" w:rsidRDefault="00D47EDC" w:rsidP="00B06C11">
            <w:pPr>
              <w:rPr>
                <w:rFonts w:cs="Arial"/>
                <w:b/>
                <w:sz w:val="22"/>
                <w:szCs w:val="22"/>
              </w:rPr>
            </w:pPr>
            <w:r w:rsidRPr="00A76167">
              <w:rPr>
                <w:rFonts w:cs="Arial"/>
                <w:b/>
                <w:sz w:val="22"/>
                <w:szCs w:val="22"/>
              </w:rPr>
              <w:t>67</w:t>
            </w:r>
          </w:p>
        </w:tc>
        <w:tc>
          <w:tcPr>
            <w:tcW w:w="1337" w:type="dxa"/>
          </w:tcPr>
          <w:p w14:paraId="3CADCA8A" w14:textId="77777777" w:rsidR="00D47EDC" w:rsidRPr="00A76167" w:rsidRDefault="00D47EDC" w:rsidP="00B06C11">
            <w:pPr>
              <w:rPr>
                <w:rFonts w:cs="Arial"/>
                <w:b/>
                <w:sz w:val="22"/>
                <w:szCs w:val="22"/>
              </w:rPr>
            </w:pPr>
            <w:r w:rsidRPr="00A76167">
              <w:rPr>
                <w:rFonts w:cs="Arial"/>
                <w:b/>
                <w:sz w:val="22"/>
                <w:szCs w:val="22"/>
              </w:rPr>
              <w:t>77</w:t>
            </w:r>
          </w:p>
        </w:tc>
      </w:tr>
      <w:tr w:rsidR="00D47EDC" w:rsidRPr="00A76167" w14:paraId="5489BE73" w14:textId="77777777" w:rsidTr="00D47EDC">
        <w:tc>
          <w:tcPr>
            <w:tcW w:w="1809" w:type="dxa"/>
          </w:tcPr>
          <w:p w14:paraId="1AF3F0A1" w14:textId="77777777" w:rsidR="00D47EDC" w:rsidRPr="00A76167" w:rsidRDefault="00D47EDC" w:rsidP="00B06C11">
            <w:pPr>
              <w:rPr>
                <w:rFonts w:cs="Arial"/>
                <w:b/>
                <w:sz w:val="22"/>
                <w:szCs w:val="22"/>
              </w:rPr>
            </w:pPr>
            <w:r w:rsidRPr="00A76167">
              <w:rPr>
                <w:rFonts w:cs="Arial"/>
                <w:b/>
                <w:sz w:val="22"/>
                <w:szCs w:val="22"/>
              </w:rPr>
              <w:t>England average</w:t>
            </w:r>
          </w:p>
        </w:tc>
        <w:tc>
          <w:tcPr>
            <w:tcW w:w="1395" w:type="dxa"/>
          </w:tcPr>
          <w:p w14:paraId="1B630F5B" w14:textId="77777777" w:rsidR="00D47EDC" w:rsidRPr="00A76167" w:rsidRDefault="00D47EDC" w:rsidP="00B06C11">
            <w:pPr>
              <w:rPr>
                <w:rFonts w:cs="Arial"/>
                <w:b/>
                <w:sz w:val="22"/>
                <w:szCs w:val="22"/>
              </w:rPr>
            </w:pPr>
          </w:p>
        </w:tc>
        <w:tc>
          <w:tcPr>
            <w:tcW w:w="1573" w:type="dxa"/>
          </w:tcPr>
          <w:p w14:paraId="4250D8BF" w14:textId="77777777" w:rsidR="00D47EDC" w:rsidRPr="00A76167" w:rsidRDefault="00D47EDC" w:rsidP="00B06C11">
            <w:pPr>
              <w:rPr>
                <w:rFonts w:cs="Arial"/>
                <w:b/>
                <w:sz w:val="22"/>
                <w:szCs w:val="22"/>
              </w:rPr>
            </w:pPr>
            <w:r w:rsidRPr="00A76167">
              <w:rPr>
                <w:rFonts w:cs="Arial"/>
                <w:b/>
                <w:sz w:val="22"/>
                <w:szCs w:val="22"/>
              </w:rPr>
              <w:t>76</w:t>
            </w:r>
          </w:p>
        </w:tc>
        <w:tc>
          <w:tcPr>
            <w:tcW w:w="1574" w:type="dxa"/>
          </w:tcPr>
          <w:p w14:paraId="3297E430" w14:textId="77777777" w:rsidR="00D47EDC" w:rsidRPr="00A76167" w:rsidRDefault="00D47EDC" w:rsidP="00B06C11">
            <w:pPr>
              <w:rPr>
                <w:rFonts w:cs="Arial"/>
                <w:b/>
                <w:sz w:val="22"/>
                <w:szCs w:val="22"/>
              </w:rPr>
            </w:pPr>
            <w:r w:rsidRPr="00A76167">
              <w:rPr>
                <w:rFonts w:cs="Arial"/>
                <w:b/>
                <w:sz w:val="22"/>
                <w:szCs w:val="22"/>
              </w:rPr>
              <w:t>80</w:t>
            </w:r>
          </w:p>
        </w:tc>
        <w:tc>
          <w:tcPr>
            <w:tcW w:w="1554" w:type="dxa"/>
          </w:tcPr>
          <w:p w14:paraId="0819E640" w14:textId="77777777" w:rsidR="00D47EDC" w:rsidRPr="00A76167" w:rsidRDefault="00D47EDC" w:rsidP="00B06C11">
            <w:pPr>
              <w:rPr>
                <w:rFonts w:cs="Arial"/>
                <w:b/>
                <w:sz w:val="22"/>
                <w:szCs w:val="22"/>
              </w:rPr>
            </w:pPr>
            <w:r w:rsidRPr="00A76167">
              <w:rPr>
                <w:rFonts w:cs="Arial"/>
                <w:b/>
                <w:sz w:val="22"/>
                <w:szCs w:val="22"/>
              </w:rPr>
              <w:t>67</w:t>
            </w:r>
          </w:p>
        </w:tc>
        <w:tc>
          <w:tcPr>
            <w:tcW w:w="1337" w:type="dxa"/>
          </w:tcPr>
          <w:p w14:paraId="64A2CC70" w14:textId="77777777" w:rsidR="00D47EDC" w:rsidRPr="00A76167" w:rsidRDefault="00D47EDC" w:rsidP="00B06C11">
            <w:pPr>
              <w:rPr>
                <w:rFonts w:cs="Arial"/>
                <w:b/>
                <w:sz w:val="22"/>
                <w:szCs w:val="22"/>
              </w:rPr>
            </w:pPr>
            <w:r w:rsidRPr="00A76167">
              <w:rPr>
                <w:rFonts w:cs="Arial"/>
                <w:b/>
                <w:sz w:val="22"/>
                <w:szCs w:val="22"/>
              </w:rPr>
              <w:t>80</w:t>
            </w:r>
          </w:p>
        </w:tc>
      </w:tr>
    </w:tbl>
    <w:p w14:paraId="17B55591" w14:textId="77777777" w:rsidR="00D47EDC" w:rsidRDefault="00D47EDC" w:rsidP="00D47EDC">
      <w:pPr>
        <w:rPr>
          <w:rFonts w:cs="Arial"/>
          <w:b/>
          <w:sz w:val="22"/>
          <w:szCs w:val="22"/>
        </w:rPr>
      </w:pPr>
    </w:p>
    <w:p w14:paraId="7E733585" w14:textId="77777777" w:rsidR="00D47EDC" w:rsidRDefault="00D47EDC" w:rsidP="00D47EDC">
      <w:pPr>
        <w:rPr>
          <w:rFonts w:cs="Arial"/>
          <w:b/>
          <w:sz w:val="22"/>
          <w:szCs w:val="22"/>
        </w:rPr>
      </w:pPr>
    </w:p>
    <w:p w14:paraId="3CE97D14" w14:textId="77777777" w:rsidR="00D47EDC" w:rsidRDefault="00D47EDC" w:rsidP="00D47EDC">
      <w:pPr>
        <w:rPr>
          <w:rFonts w:cs="Arial"/>
          <w:b/>
          <w:sz w:val="22"/>
          <w:szCs w:val="22"/>
        </w:rPr>
      </w:pPr>
    </w:p>
    <w:p w14:paraId="411DBD8F" w14:textId="77777777" w:rsidR="00D47EDC" w:rsidRDefault="00D47EDC" w:rsidP="00D47EDC">
      <w:pPr>
        <w:rPr>
          <w:rFonts w:cs="Arial"/>
          <w:b/>
          <w:sz w:val="22"/>
          <w:szCs w:val="22"/>
        </w:rPr>
      </w:pPr>
    </w:p>
    <w:p w14:paraId="2541E499" w14:textId="77777777" w:rsidR="00D47EDC" w:rsidRDefault="00D47EDC" w:rsidP="00D47EDC">
      <w:pPr>
        <w:rPr>
          <w:rFonts w:cs="Arial"/>
          <w:b/>
          <w:sz w:val="22"/>
          <w:szCs w:val="22"/>
        </w:rPr>
      </w:pPr>
    </w:p>
    <w:p w14:paraId="4868B366" w14:textId="77777777" w:rsidR="00D47EDC" w:rsidRDefault="00D47EDC" w:rsidP="00D47EDC">
      <w:pPr>
        <w:rPr>
          <w:rFonts w:cs="Arial"/>
          <w:b/>
          <w:sz w:val="22"/>
          <w:szCs w:val="22"/>
        </w:rPr>
      </w:pPr>
    </w:p>
    <w:p w14:paraId="542E0F1B" w14:textId="77777777" w:rsidR="00D47EDC" w:rsidRDefault="00D47EDC" w:rsidP="00D47EDC">
      <w:pPr>
        <w:rPr>
          <w:rFonts w:cs="Arial"/>
          <w:b/>
          <w:sz w:val="22"/>
          <w:szCs w:val="22"/>
        </w:rPr>
      </w:pPr>
    </w:p>
    <w:p w14:paraId="3C8F2976" w14:textId="77777777" w:rsidR="00D47EDC" w:rsidRDefault="00D47EDC" w:rsidP="00D47EDC">
      <w:pPr>
        <w:rPr>
          <w:rFonts w:cs="Arial"/>
          <w:b/>
          <w:sz w:val="22"/>
          <w:szCs w:val="22"/>
        </w:rPr>
      </w:pPr>
    </w:p>
    <w:p w14:paraId="3FCCE858" w14:textId="060658F4" w:rsidR="00D47EDC" w:rsidRPr="00A76167" w:rsidRDefault="00D47EDC" w:rsidP="00D47EDC">
      <w:pPr>
        <w:rPr>
          <w:rFonts w:cs="Arial"/>
          <w:b/>
          <w:sz w:val="22"/>
          <w:szCs w:val="22"/>
        </w:rPr>
      </w:pPr>
      <w:r w:rsidRPr="00A76167">
        <w:rPr>
          <w:rFonts w:cs="Arial"/>
          <w:b/>
          <w:sz w:val="22"/>
          <w:szCs w:val="22"/>
        </w:rPr>
        <w:t>Leeds North CCG</w:t>
      </w:r>
    </w:p>
    <w:p w14:paraId="45027877" w14:textId="54593337" w:rsidR="0021513E" w:rsidRPr="00A76167" w:rsidRDefault="0021513E" w:rsidP="00A76167">
      <w:pPr>
        <w:ind w:left="-851"/>
        <w:rPr>
          <w:rFonts w:cs="Arial"/>
          <w:sz w:val="22"/>
          <w:szCs w:val="22"/>
        </w:rPr>
      </w:pPr>
    </w:p>
    <w:tbl>
      <w:tblPr>
        <w:tblStyle w:val="TableGrid"/>
        <w:tblW w:w="0" w:type="auto"/>
        <w:tblLayout w:type="fixed"/>
        <w:tblLook w:val="04A0" w:firstRow="1" w:lastRow="0" w:firstColumn="1" w:lastColumn="0" w:noHBand="0" w:noVBand="1"/>
      </w:tblPr>
      <w:tblGrid>
        <w:gridCol w:w="1809"/>
        <w:gridCol w:w="1395"/>
        <w:gridCol w:w="1573"/>
        <w:gridCol w:w="1574"/>
        <w:gridCol w:w="1554"/>
        <w:gridCol w:w="1337"/>
      </w:tblGrid>
      <w:tr w:rsidR="00D47EDC" w:rsidRPr="00A76167" w14:paraId="0502BA1A" w14:textId="77777777" w:rsidTr="00B06C11">
        <w:tc>
          <w:tcPr>
            <w:tcW w:w="1809" w:type="dxa"/>
          </w:tcPr>
          <w:p w14:paraId="7D7771BB" w14:textId="77777777" w:rsidR="00D47EDC" w:rsidRPr="00A76167" w:rsidRDefault="00D47EDC" w:rsidP="00B06C11">
            <w:pPr>
              <w:rPr>
                <w:rFonts w:cs="Arial"/>
                <w:b/>
                <w:sz w:val="22"/>
                <w:szCs w:val="22"/>
              </w:rPr>
            </w:pPr>
            <w:r w:rsidRPr="00A76167">
              <w:rPr>
                <w:rFonts w:cs="Arial"/>
                <w:b/>
                <w:sz w:val="22"/>
                <w:szCs w:val="22"/>
              </w:rPr>
              <w:t xml:space="preserve">Providers (ordered by number of </w:t>
            </w:r>
            <w:r w:rsidRPr="00A76167">
              <w:rPr>
                <w:rFonts w:cs="Arial"/>
                <w:b/>
                <w:sz w:val="22"/>
                <w:szCs w:val="22"/>
              </w:rPr>
              <w:lastRenderedPageBreak/>
              <w:t>admissions) for this CCG</w:t>
            </w:r>
          </w:p>
        </w:tc>
        <w:tc>
          <w:tcPr>
            <w:tcW w:w="1395" w:type="dxa"/>
          </w:tcPr>
          <w:p w14:paraId="6A5320FF" w14:textId="77777777" w:rsidR="00D47EDC" w:rsidRPr="00A76167" w:rsidRDefault="00D47EDC" w:rsidP="00B06C11">
            <w:pPr>
              <w:rPr>
                <w:rFonts w:cs="Arial"/>
                <w:b/>
                <w:sz w:val="22"/>
                <w:szCs w:val="22"/>
              </w:rPr>
            </w:pPr>
            <w:r w:rsidRPr="00A76167">
              <w:rPr>
                <w:rFonts w:cs="Arial"/>
                <w:b/>
                <w:sz w:val="22"/>
                <w:szCs w:val="22"/>
              </w:rPr>
              <w:lastRenderedPageBreak/>
              <w:t xml:space="preserve">Number of admissions / spells </w:t>
            </w:r>
            <w:r w:rsidRPr="00A76167">
              <w:rPr>
                <w:rFonts w:cs="Arial"/>
                <w:b/>
                <w:sz w:val="22"/>
                <w:szCs w:val="22"/>
              </w:rPr>
              <w:lastRenderedPageBreak/>
              <w:t>(Acute 2010/11)</w:t>
            </w:r>
          </w:p>
        </w:tc>
        <w:tc>
          <w:tcPr>
            <w:tcW w:w="1573" w:type="dxa"/>
          </w:tcPr>
          <w:p w14:paraId="1225BF77" w14:textId="77777777" w:rsidR="00D47EDC" w:rsidRPr="00A76167" w:rsidRDefault="00D47EDC" w:rsidP="00B06C11">
            <w:pPr>
              <w:rPr>
                <w:rFonts w:cs="Arial"/>
                <w:b/>
                <w:sz w:val="22"/>
                <w:szCs w:val="22"/>
              </w:rPr>
            </w:pPr>
            <w:r w:rsidRPr="00A76167">
              <w:rPr>
                <w:rFonts w:cs="Arial"/>
                <w:b/>
                <w:sz w:val="22"/>
                <w:szCs w:val="22"/>
              </w:rPr>
              <w:lastRenderedPageBreak/>
              <w:t>4b Inpatient overall experience</w:t>
            </w:r>
          </w:p>
        </w:tc>
        <w:tc>
          <w:tcPr>
            <w:tcW w:w="1574" w:type="dxa"/>
          </w:tcPr>
          <w:p w14:paraId="4D2EF020" w14:textId="77777777" w:rsidR="00D47EDC" w:rsidRPr="00A76167" w:rsidRDefault="00D47EDC" w:rsidP="00B06C11">
            <w:pPr>
              <w:rPr>
                <w:rFonts w:cs="Arial"/>
                <w:b/>
                <w:sz w:val="22"/>
                <w:szCs w:val="22"/>
              </w:rPr>
            </w:pPr>
            <w:r w:rsidRPr="00A76167">
              <w:rPr>
                <w:rFonts w:cs="Arial"/>
                <w:b/>
                <w:sz w:val="22"/>
                <w:szCs w:val="22"/>
              </w:rPr>
              <w:t>4.1 Outpatient Overall experience</w:t>
            </w:r>
          </w:p>
        </w:tc>
        <w:tc>
          <w:tcPr>
            <w:tcW w:w="1554" w:type="dxa"/>
          </w:tcPr>
          <w:p w14:paraId="1CBEE8CC" w14:textId="77777777" w:rsidR="00D47EDC" w:rsidRPr="00A76167" w:rsidRDefault="00D47EDC" w:rsidP="00B06C11">
            <w:pPr>
              <w:rPr>
                <w:rFonts w:cs="Arial"/>
                <w:b/>
                <w:sz w:val="22"/>
                <w:szCs w:val="22"/>
              </w:rPr>
            </w:pPr>
            <w:r w:rsidRPr="00A76167">
              <w:rPr>
                <w:rFonts w:cs="Arial"/>
                <w:b/>
                <w:sz w:val="22"/>
                <w:szCs w:val="22"/>
              </w:rPr>
              <w:t>4.2 Inpatient responsiveness to needs</w:t>
            </w:r>
          </w:p>
        </w:tc>
        <w:tc>
          <w:tcPr>
            <w:tcW w:w="1337" w:type="dxa"/>
          </w:tcPr>
          <w:p w14:paraId="62F5A689" w14:textId="77777777" w:rsidR="00D47EDC" w:rsidRPr="00A76167" w:rsidRDefault="00D47EDC" w:rsidP="00B06C11">
            <w:pPr>
              <w:rPr>
                <w:rFonts w:cs="Arial"/>
                <w:b/>
                <w:sz w:val="22"/>
                <w:szCs w:val="22"/>
              </w:rPr>
            </w:pPr>
            <w:r w:rsidRPr="00A76167">
              <w:rPr>
                <w:rFonts w:cs="Arial"/>
                <w:b/>
                <w:sz w:val="22"/>
                <w:szCs w:val="22"/>
              </w:rPr>
              <w:t>4.3 A&amp;E Over all experience</w:t>
            </w:r>
          </w:p>
        </w:tc>
      </w:tr>
      <w:tr w:rsidR="00D47EDC" w:rsidRPr="00A76167" w14:paraId="6DEC4A6F" w14:textId="77777777" w:rsidTr="00B06C11">
        <w:tc>
          <w:tcPr>
            <w:tcW w:w="1809" w:type="dxa"/>
          </w:tcPr>
          <w:p w14:paraId="54AA333D" w14:textId="77777777" w:rsidR="00D47EDC" w:rsidRPr="00A76167" w:rsidRDefault="00D47EDC" w:rsidP="00B06C11">
            <w:pPr>
              <w:rPr>
                <w:rFonts w:cs="Arial"/>
                <w:sz w:val="22"/>
                <w:szCs w:val="22"/>
              </w:rPr>
            </w:pPr>
            <w:r w:rsidRPr="00A76167">
              <w:rPr>
                <w:rFonts w:cs="Arial"/>
                <w:sz w:val="22"/>
                <w:szCs w:val="22"/>
              </w:rPr>
              <w:t>Leeds Teaching Hospitals NHS Trust</w:t>
            </w:r>
          </w:p>
        </w:tc>
        <w:tc>
          <w:tcPr>
            <w:tcW w:w="1395" w:type="dxa"/>
          </w:tcPr>
          <w:p w14:paraId="207C830E" w14:textId="77777777" w:rsidR="00D47EDC" w:rsidRPr="00A76167" w:rsidRDefault="00D47EDC" w:rsidP="00B06C11">
            <w:pPr>
              <w:rPr>
                <w:rFonts w:cs="Arial"/>
                <w:sz w:val="22"/>
                <w:szCs w:val="22"/>
              </w:rPr>
            </w:pPr>
            <w:r w:rsidRPr="00A76167">
              <w:rPr>
                <w:rFonts w:cs="Arial"/>
                <w:sz w:val="22"/>
                <w:szCs w:val="22"/>
              </w:rPr>
              <w:t>30,965</w:t>
            </w:r>
          </w:p>
        </w:tc>
        <w:tc>
          <w:tcPr>
            <w:tcW w:w="1573" w:type="dxa"/>
          </w:tcPr>
          <w:p w14:paraId="63BC6608" w14:textId="77777777" w:rsidR="00D47EDC" w:rsidRPr="00A76167" w:rsidRDefault="00D47EDC" w:rsidP="00B06C11">
            <w:pPr>
              <w:rPr>
                <w:rFonts w:cs="Arial"/>
                <w:sz w:val="22"/>
                <w:szCs w:val="22"/>
              </w:rPr>
            </w:pPr>
            <w:r w:rsidRPr="00A76167">
              <w:rPr>
                <w:rFonts w:cs="Arial"/>
                <w:sz w:val="22"/>
                <w:szCs w:val="22"/>
              </w:rPr>
              <w:t>74</w:t>
            </w:r>
          </w:p>
        </w:tc>
        <w:tc>
          <w:tcPr>
            <w:tcW w:w="1574" w:type="dxa"/>
          </w:tcPr>
          <w:p w14:paraId="4DA338B7" w14:textId="77777777" w:rsidR="00D47EDC" w:rsidRPr="00A76167" w:rsidRDefault="00D47EDC" w:rsidP="00B06C11">
            <w:pPr>
              <w:rPr>
                <w:rFonts w:cs="Arial"/>
                <w:sz w:val="22"/>
                <w:szCs w:val="22"/>
              </w:rPr>
            </w:pPr>
            <w:r w:rsidRPr="00A76167">
              <w:rPr>
                <w:rFonts w:cs="Arial"/>
                <w:sz w:val="22"/>
                <w:szCs w:val="22"/>
              </w:rPr>
              <w:t>81</w:t>
            </w:r>
          </w:p>
        </w:tc>
        <w:tc>
          <w:tcPr>
            <w:tcW w:w="1554" w:type="dxa"/>
          </w:tcPr>
          <w:p w14:paraId="09C3AF55" w14:textId="77777777" w:rsidR="00D47EDC" w:rsidRPr="00A76167" w:rsidRDefault="00D47EDC" w:rsidP="00B06C11">
            <w:pPr>
              <w:rPr>
                <w:rFonts w:cs="Arial"/>
                <w:sz w:val="22"/>
                <w:szCs w:val="22"/>
              </w:rPr>
            </w:pPr>
            <w:r w:rsidRPr="00A76167">
              <w:rPr>
                <w:rFonts w:cs="Arial"/>
                <w:sz w:val="22"/>
                <w:szCs w:val="22"/>
              </w:rPr>
              <w:t>65</w:t>
            </w:r>
          </w:p>
        </w:tc>
        <w:tc>
          <w:tcPr>
            <w:tcW w:w="1337" w:type="dxa"/>
          </w:tcPr>
          <w:p w14:paraId="332A041B" w14:textId="77777777" w:rsidR="00D47EDC" w:rsidRPr="00A76167" w:rsidRDefault="00D47EDC" w:rsidP="00B06C11">
            <w:pPr>
              <w:rPr>
                <w:rFonts w:cs="Arial"/>
                <w:sz w:val="22"/>
                <w:szCs w:val="22"/>
              </w:rPr>
            </w:pPr>
            <w:r w:rsidRPr="00A76167">
              <w:rPr>
                <w:rFonts w:cs="Arial"/>
                <w:sz w:val="22"/>
                <w:szCs w:val="22"/>
              </w:rPr>
              <w:t>79</w:t>
            </w:r>
          </w:p>
        </w:tc>
      </w:tr>
      <w:tr w:rsidR="00D47EDC" w:rsidRPr="00A76167" w14:paraId="18273339" w14:textId="77777777" w:rsidTr="00B06C11">
        <w:tc>
          <w:tcPr>
            <w:tcW w:w="1809" w:type="dxa"/>
          </w:tcPr>
          <w:p w14:paraId="3025F28D" w14:textId="59634E02" w:rsidR="00D47EDC" w:rsidRPr="00A76167" w:rsidRDefault="00E73882" w:rsidP="00B06C11">
            <w:pPr>
              <w:rPr>
                <w:rFonts w:cs="Arial"/>
                <w:sz w:val="22"/>
                <w:szCs w:val="22"/>
              </w:rPr>
            </w:pPr>
            <w:r w:rsidRPr="00A76167">
              <w:rPr>
                <w:rFonts w:cs="Arial"/>
                <w:sz w:val="22"/>
                <w:szCs w:val="22"/>
              </w:rPr>
              <w:t>Harrogate &amp; District NHS FT</w:t>
            </w:r>
          </w:p>
        </w:tc>
        <w:tc>
          <w:tcPr>
            <w:tcW w:w="1395" w:type="dxa"/>
          </w:tcPr>
          <w:p w14:paraId="3AD6EB35" w14:textId="77777777" w:rsidR="00D47EDC" w:rsidRPr="00A76167" w:rsidRDefault="00D47EDC" w:rsidP="00B06C11">
            <w:pPr>
              <w:rPr>
                <w:rFonts w:cs="Arial"/>
                <w:sz w:val="22"/>
                <w:szCs w:val="22"/>
              </w:rPr>
            </w:pPr>
            <w:r w:rsidRPr="00A76167">
              <w:rPr>
                <w:rFonts w:cs="Arial"/>
                <w:sz w:val="22"/>
                <w:szCs w:val="22"/>
              </w:rPr>
              <w:t>6,569</w:t>
            </w:r>
          </w:p>
        </w:tc>
        <w:tc>
          <w:tcPr>
            <w:tcW w:w="1573" w:type="dxa"/>
          </w:tcPr>
          <w:p w14:paraId="620A1DE1" w14:textId="77777777" w:rsidR="00D47EDC" w:rsidRPr="00A76167" w:rsidRDefault="00D47EDC" w:rsidP="00B06C11">
            <w:pPr>
              <w:rPr>
                <w:rFonts w:cs="Arial"/>
                <w:sz w:val="22"/>
                <w:szCs w:val="22"/>
              </w:rPr>
            </w:pPr>
            <w:r w:rsidRPr="00A76167">
              <w:rPr>
                <w:rFonts w:cs="Arial"/>
                <w:sz w:val="22"/>
                <w:szCs w:val="22"/>
              </w:rPr>
              <w:t>80</w:t>
            </w:r>
          </w:p>
        </w:tc>
        <w:tc>
          <w:tcPr>
            <w:tcW w:w="1574" w:type="dxa"/>
          </w:tcPr>
          <w:p w14:paraId="39292179" w14:textId="77777777" w:rsidR="00D47EDC" w:rsidRPr="00A76167" w:rsidRDefault="00D47EDC" w:rsidP="00B06C11">
            <w:pPr>
              <w:rPr>
                <w:rFonts w:cs="Arial"/>
                <w:sz w:val="22"/>
                <w:szCs w:val="22"/>
              </w:rPr>
            </w:pPr>
            <w:r w:rsidRPr="00A76167">
              <w:rPr>
                <w:rFonts w:cs="Arial"/>
                <w:sz w:val="22"/>
                <w:szCs w:val="22"/>
              </w:rPr>
              <w:t>80</w:t>
            </w:r>
          </w:p>
        </w:tc>
        <w:tc>
          <w:tcPr>
            <w:tcW w:w="1554" w:type="dxa"/>
          </w:tcPr>
          <w:p w14:paraId="79F5E589" w14:textId="77777777" w:rsidR="00D47EDC" w:rsidRPr="00A76167" w:rsidRDefault="00D47EDC" w:rsidP="00B06C11">
            <w:pPr>
              <w:rPr>
                <w:rFonts w:cs="Arial"/>
                <w:sz w:val="22"/>
                <w:szCs w:val="22"/>
              </w:rPr>
            </w:pPr>
            <w:r w:rsidRPr="00A76167">
              <w:rPr>
                <w:rFonts w:cs="Arial"/>
                <w:sz w:val="22"/>
                <w:szCs w:val="22"/>
              </w:rPr>
              <w:t>72</w:t>
            </w:r>
          </w:p>
        </w:tc>
        <w:tc>
          <w:tcPr>
            <w:tcW w:w="1337" w:type="dxa"/>
          </w:tcPr>
          <w:p w14:paraId="6973BD04" w14:textId="77777777" w:rsidR="00D47EDC" w:rsidRPr="00A76167" w:rsidRDefault="00D47EDC" w:rsidP="00B06C11">
            <w:pPr>
              <w:rPr>
                <w:rFonts w:cs="Arial"/>
                <w:sz w:val="22"/>
                <w:szCs w:val="22"/>
              </w:rPr>
            </w:pPr>
            <w:r w:rsidRPr="00A76167">
              <w:rPr>
                <w:rFonts w:cs="Arial"/>
                <w:sz w:val="22"/>
                <w:szCs w:val="22"/>
              </w:rPr>
              <w:t>82</w:t>
            </w:r>
          </w:p>
        </w:tc>
      </w:tr>
      <w:tr w:rsidR="00D47EDC" w:rsidRPr="00A76167" w14:paraId="481D5707" w14:textId="77777777" w:rsidTr="00B06C11">
        <w:tc>
          <w:tcPr>
            <w:tcW w:w="1809" w:type="dxa"/>
          </w:tcPr>
          <w:p w14:paraId="32E4D358" w14:textId="77777777" w:rsidR="00D47EDC" w:rsidRPr="00A76167" w:rsidRDefault="00D47EDC" w:rsidP="00B06C11">
            <w:pPr>
              <w:rPr>
                <w:rFonts w:cs="Arial"/>
                <w:sz w:val="22"/>
                <w:szCs w:val="22"/>
              </w:rPr>
            </w:pPr>
            <w:r w:rsidRPr="00A76167">
              <w:rPr>
                <w:rFonts w:cs="Arial"/>
                <w:sz w:val="22"/>
                <w:szCs w:val="22"/>
              </w:rPr>
              <w:t>York Teaching Hospital NHS FT</w:t>
            </w:r>
          </w:p>
        </w:tc>
        <w:tc>
          <w:tcPr>
            <w:tcW w:w="1395" w:type="dxa"/>
          </w:tcPr>
          <w:p w14:paraId="0F8CB54F" w14:textId="77777777" w:rsidR="00D47EDC" w:rsidRPr="00A76167" w:rsidRDefault="00D47EDC" w:rsidP="00B06C11">
            <w:pPr>
              <w:rPr>
                <w:rFonts w:cs="Arial"/>
                <w:sz w:val="22"/>
                <w:szCs w:val="22"/>
              </w:rPr>
            </w:pPr>
            <w:r w:rsidRPr="00A76167">
              <w:rPr>
                <w:rFonts w:cs="Arial"/>
                <w:sz w:val="22"/>
                <w:szCs w:val="22"/>
              </w:rPr>
              <w:t>571</w:t>
            </w:r>
          </w:p>
        </w:tc>
        <w:tc>
          <w:tcPr>
            <w:tcW w:w="1573" w:type="dxa"/>
          </w:tcPr>
          <w:p w14:paraId="24143F1D" w14:textId="77777777" w:rsidR="00D47EDC" w:rsidRPr="00A76167" w:rsidRDefault="00D47EDC" w:rsidP="00B06C11">
            <w:pPr>
              <w:rPr>
                <w:rFonts w:cs="Arial"/>
                <w:sz w:val="22"/>
                <w:szCs w:val="22"/>
              </w:rPr>
            </w:pPr>
            <w:r w:rsidRPr="00A76167">
              <w:rPr>
                <w:rFonts w:cs="Arial"/>
                <w:sz w:val="22"/>
                <w:szCs w:val="22"/>
              </w:rPr>
              <w:t>78</w:t>
            </w:r>
          </w:p>
        </w:tc>
        <w:tc>
          <w:tcPr>
            <w:tcW w:w="1574" w:type="dxa"/>
          </w:tcPr>
          <w:p w14:paraId="37C603D7" w14:textId="77777777" w:rsidR="00D47EDC" w:rsidRPr="00A76167" w:rsidRDefault="00D47EDC" w:rsidP="00B06C11">
            <w:pPr>
              <w:rPr>
                <w:rFonts w:cs="Arial"/>
                <w:sz w:val="22"/>
                <w:szCs w:val="22"/>
              </w:rPr>
            </w:pPr>
            <w:r w:rsidRPr="00A76167">
              <w:rPr>
                <w:rFonts w:cs="Arial"/>
                <w:sz w:val="22"/>
                <w:szCs w:val="22"/>
              </w:rPr>
              <w:t>82</w:t>
            </w:r>
          </w:p>
        </w:tc>
        <w:tc>
          <w:tcPr>
            <w:tcW w:w="1554" w:type="dxa"/>
          </w:tcPr>
          <w:p w14:paraId="428E33CF" w14:textId="77777777" w:rsidR="00D47EDC" w:rsidRPr="00A76167" w:rsidRDefault="00D47EDC" w:rsidP="00B06C11">
            <w:pPr>
              <w:rPr>
                <w:rFonts w:cs="Arial"/>
                <w:sz w:val="22"/>
                <w:szCs w:val="22"/>
              </w:rPr>
            </w:pPr>
            <w:r w:rsidRPr="00A76167">
              <w:rPr>
                <w:rFonts w:cs="Arial"/>
                <w:sz w:val="22"/>
                <w:szCs w:val="22"/>
              </w:rPr>
              <w:t>71</w:t>
            </w:r>
          </w:p>
        </w:tc>
        <w:tc>
          <w:tcPr>
            <w:tcW w:w="1337" w:type="dxa"/>
          </w:tcPr>
          <w:p w14:paraId="64666AD5" w14:textId="77777777" w:rsidR="00D47EDC" w:rsidRPr="00A76167" w:rsidRDefault="00D47EDC" w:rsidP="00B06C11">
            <w:pPr>
              <w:rPr>
                <w:rFonts w:cs="Arial"/>
                <w:sz w:val="22"/>
                <w:szCs w:val="22"/>
              </w:rPr>
            </w:pPr>
            <w:r w:rsidRPr="00A76167">
              <w:rPr>
                <w:rFonts w:cs="Arial"/>
                <w:sz w:val="22"/>
                <w:szCs w:val="22"/>
              </w:rPr>
              <w:t>85</w:t>
            </w:r>
          </w:p>
        </w:tc>
      </w:tr>
      <w:tr w:rsidR="00D47EDC" w:rsidRPr="00A76167" w14:paraId="3F3CDF50" w14:textId="77777777" w:rsidTr="00B06C11">
        <w:tc>
          <w:tcPr>
            <w:tcW w:w="1809" w:type="dxa"/>
          </w:tcPr>
          <w:p w14:paraId="28A085BB" w14:textId="77777777" w:rsidR="00D47EDC" w:rsidRPr="00A76167" w:rsidRDefault="00D47EDC" w:rsidP="00B06C11">
            <w:pPr>
              <w:rPr>
                <w:rFonts w:cs="Arial"/>
                <w:sz w:val="22"/>
                <w:szCs w:val="22"/>
              </w:rPr>
            </w:pPr>
            <w:r w:rsidRPr="00A76167">
              <w:rPr>
                <w:rFonts w:cs="Arial"/>
                <w:sz w:val="22"/>
                <w:szCs w:val="22"/>
              </w:rPr>
              <w:t>Spire Healthcare</w:t>
            </w:r>
          </w:p>
        </w:tc>
        <w:tc>
          <w:tcPr>
            <w:tcW w:w="1395" w:type="dxa"/>
          </w:tcPr>
          <w:p w14:paraId="313716C6" w14:textId="77777777" w:rsidR="00D47EDC" w:rsidRPr="00A76167" w:rsidRDefault="00D47EDC" w:rsidP="00B06C11">
            <w:pPr>
              <w:rPr>
                <w:rFonts w:cs="Arial"/>
                <w:sz w:val="22"/>
                <w:szCs w:val="22"/>
              </w:rPr>
            </w:pPr>
            <w:r w:rsidRPr="00A76167">
              <w:rPr>
                <w:rFonts w:cs="Arial"/>
                <w:sz w:val="22"/>
                <w:szCs w:val="22"/>
              </w:rPr>
              <w:t>478</w:t>
            </w:r>
          </w:p>
        </w:tc>
        <w:tc>
          <w:tcPr>
            <w:tcW w:w="1573" w:type="dxa"/>
          </w:tcPr>
          <w:p w14:paraId="29717A7B" w14:textId="77777777" w:rsidR="00D47EDC" w:rsidRPr="00A76167" w:rsidRDefault="00D47EDC" w:rsidP="00B06C11">
            <w:pPr>
              <w:rPr>
                <w:rFonts w:cs="Arial"/>
                <w:sz w:val="22"/>
                <w:szCs w:val="22"/>
              </w:rPr>
            </w:pPr>
            <w:r w:rsidRPr="00A76167">
              <w:rPr>
                <w:rFonts w:cs="Arial"/>
                <w:sz w:val="22"/>
                <w:szCs w:val="22"/>
              </w:rPr>
              <w:t>NA</w:t>
            </w:r>
          </w:p>
        </w:tc>
        <w:tc>
          <w:tcPr>
            <w:tcW w:w="1574" w:type="dxa"/>
          </w:tcPr>
          <w:p w14:paraId="01747E47" w14:textId="77777777" w:rsidR="00D47EDC" w:rsidRPr="00A76167" w:rsidRDefault="00D47EDC" w:rsidP="00B06C11">
            <w:pPr>
              <w:rPr>
                <w:rFonts w:cs="Arial"/>
                <w:sz w:val="22"/>
                <w:szCs w:val="22"/>
              </w:rPr>
            </w:pPr>
            <w:r w:rsidRPr="00A76167">
              <w:rPr>
                <w:rFonts w:cs="Arial"/>
                <w:sz w:val="22"/>
                <w:szCs w:val="22"/>
              </w:rPr>
              <w:t>NA</w:t>
            </w:r>
          </w:p>
        </w:tc>
        <w:tc>
          <w:tcPr>
            <w:tcW w:w="1554" w:type="dxa"/>
          </w:tcPr>
          <w:p w14:paraId="6D1D291B" w14:textId="77777777" w:rsidR="00D47EDC" w:rsidRPr="00A76167" w:rsidRDefault="00D47EDC" w:rsidP="00B06C11">
            <w:pPr>
              <w:rPr>
                <w:rFonts w:cs="Arial"/>
                <w:sz w:val="22"/>
                <w:szCs w:val="22"/>
              </w:rPr>
            </w:pPr>
            <w:r w:rsidRPr="00A76167">
              <w:rPr>
                <w:rFonts w:cs="Arial"/>
                <w:sz w:val="22"/>
                <w:szCs w:val="22"/>
              </w:rPr>
              <w:t>NA</w:t>
            </w:r>
          </w:p>
        </w:tc>
        <w:tc>
          <w:tcPr>
            <w:tcW w:w="1337" w:type="dxa"/>
          </w:tcPr>
          <w:p w14:paraId="12BEDD4F" w14:textId="77777777" w:rsidR="00D47EDC" w:rsidRPr="00A76167" w:rsidRDefault="00D47EDC" w:rsidP="00B06C11">
            <w:pPr>
              <w:rPr>
                <w:rFonts w:cs="Arial"/>
                <w:sz w:val="22"/>
                <w:szCs w:val="22"/>
              </w:rPr>
            </w:pPr>
            <w:r w:rsidRPr="00A76167">
              <w:rPr>
                <w:rFonts w:cs="Arial"/>
                <w:sz w:val="22"/>
                <w:szCs w:val="22"/>
              </w:rPr>
              <w:t>NA</w:t>
            </w:r>
          </w:p>
        </w:tc>
      </w:tr>
      <w:tr w:rsidR="00D47EDC" w:rsidRPr="00A76167" w14:paraId="1A83D0A5" w14:textId="77777777" w:rsidTr="00B06C11">
        <w:tc>
          <w:tcPr>
            <w:tcW w:w="1809" w:type="dxa"/>
          </w:tcPr>
          <w:p w14:paraId="1D4FE212" w14:textId="77777777" w:rsidR="00D47EDC" w:rsidRPr="00A76167" w:rsidRDefault="00D47EDC" w:rsidP="00B06C11">
            <w:pPr>
              <w:rPr>
                <w:rFonts w:cs="Arial"/>
                <w:sz w:val="22"/>
                <w:szCs w:val="22"/>
              </w:rPr>
            </w:pPr>
            <w:r w:rsidRPr="00A76167">
              <w:rPr>
                <w:rFonts w:cs="Arial"/>
                <w:sz w:val="22"/>
                <w:szCs w:val="22"/>
              </w:rPr>
              <w:t>Bradford Teaching Hospitals NHS FT</w:t>
            </w:r>
          </w:p>
        </w:tc>
        <w:tc>
          <w:tcPr>
            <w:tcW w:w="1395" w:type="dxa"/>
          </w:tcPr>
          <w:p w14:paraId="1CA0967F" w14:textId="77777777" w:rsidR="00D47EDC" w:rsidRPr="00A76167" w:rsidRDefault="00D47EDC" w:rsidP="00B06C11">
            <w:pPr>
              <w:rPr>
                <w:rFonts w:cs="Arial"/>
                <w:sz w:val="22"/>
                <w:szCs w:val="22"/>
              </w:rPr>
            </w:pPr>
            <w:r w:rsidRPr="00A76167">
              <w:rPr>
                <w:rFonts w:cs="Arial"/>
                <w:sz w:val="22"/>
                <w:szCs w:val="22"/>
              </w:rPr>
              <w:t>294</w:t>
            </w:r>
          </w:p>
        </w:tc>
        <w:tc>
          <w:tcPr>
            <w:tcW w:w="1573" w:type="dxa"/>
          </w:tcPr>
          <w:p w14:paraId="57BA4453" w14:textId="77777777" w:rsidR="00D47EDC" w:rsidRPr="00A76167" w:rsidRDefault="00D47EDC" w:rsidP="00B06C11">
            <w:pPr>
              <w:rPr>
                <w:rFonts w:cs="Arial"/>
                <w:sz w:val="22"/>
                <w:szCs w:val="22"/>
              </w:rPr>
            </w:pPr>
            <w:r w:rsidRPr="00A76167">
              <w:rPr>
                <w:rFonts w:cs="Arial"/>
                <w:sz w:val="22"/>
                <w:szCs w:val="22"/>
              </w:rPr>
              <w:t>74</w:t>
            </w:r>
          </w:p>
        </w:tc>
        <w:tc>
          <w:tcPr>
            <w:tcW w:w="1574" w:type="dxa"/>
          </w:tcPr>
          <w:p w14:paraId="1FDC1B37" w14:textId="77777777" w:rsidR="00D47EDC" w:rsidRPr="00A76167" w:rsidRDefault="00D47EDC" w:rsidP="00B06C11">
            <w:pPr>
              <w:rPr>
                <w:rFonts w:cs="Arial"/>
                <w:sz w:val="22"/>
                <w:szCs w:val="22"/>
              </w:rPr>
            </w:pPr>
            <w:r w:rsidRPr="00A76167">
              <w:rPr>
                <w:rFonts w:cs="Arial"/>
                <w:sz w:val="22"/>
                <w:szCs w:val="22"/>
              </w:rPr>
              <w:t>78</w:t>
            </w:r>
          </w:p>
        </w:tc>
        <w:tc>
          <w:tcPr>
            <w:tcW w:w="1554" w:type="dxa"/>
          </w:tcPr>
          <w:p w14:paraId="5A0CD882" w14:textId="77777777" w:rsidR="00D47EDC" w:rsidRPr="00A76167" w:rsidRDefault="00D47EDC" w:rsidP="00B06C11">
            <w:pPr>
              <w:rPr>
                <w:rFonts w:cs="Arial"/>
                <w:sz w:val="22"/>
                <w:szCs w:val="22"/>
              </w:rPr>
            </w:pPr>
            <w:r w:rsidRPr="00A76167">
              <w:rPr>
                <w:rFonts w:cs="Arial"/>
                <w:sz w:val="22"/>
                <w:szCs w:val="22"/>
              </w:rPr>
              <w:t>67</w:t>
            </w:r>
          </w:p>
        </w:tc>
        <w:tc>
          <w:tcPr>
            <w:tcW w:w="1337" w:type="dxa"/>
          </w:tcPr>
          <w:p w14:paraId="39DAD0AA" w14:textId="77777777" w:rsidR="00D47EDC" w:rsidRPr="00A76167" w:rsidRDefault="00D47EDC" w:rsidP="00B06C11">
            <w:pPr>
              <w:rPr>
                <w:rFonts w:cs="Arial"/>
                <w:sz w:val="22"/>
                <w:szCs w:val="22"/>
              </w:rPr>
            </w:pPr>
            <w:r w:rsidRPr="00A76167">
              <w:rPr>
                <w:rFonts w:cs="Arial"/>
                <w:sz w:val="22"/>
                <w:szCs w:val="22"/>
              </w:rPr>
              <w:t>77</w:t>
            </w:r>
          </w:p>
        </w:tc>
      </w:tr>
      <w:tr w:rsidR="00D47EDC" w:rsidRPr="00A76167" w14:paraId="59002A69" w14:textId="77777777" w:rsidTr="00B06C11">
        <w:tc>
          <w:tcPr>
            <w:tcW w:w="1809" w:type="dxa"/>
          </w:tcPr>
          <w:p w14:paraId="4DE7F6F9" w14:textId="77777777" w:rsidR="00D47EDC" w:rsidRPr="00A76167" w:rsidRDefault="00D47EDC" w:rsidP="00B06C11">
            <w:pPr>
              <w:rPr>
                <w:rFonts w:cs="Arial"/>
                <w:b/>
                <w:sz w:val="22"/>
                <w:szCs w:val="22"/>
              </w:rPr>
            </w:pPr>
            <w:r w:rsidRPr="00A76167">
              <w:rPr>
                <w:rFonts w:cs="Arial"/>
                <w:b/>
                <w:sz w:val="22"/>
                <w:szCs w:val="22"/>
              </w:rPr>
              <w:t>CCG weighted average</w:t>
            </w:r>
          </w:p>
        </w:tc>
        <w:tc>
          <w:tcPr>
            <w:tcW w:w="1395" w:type="dxa"/>
          </w:tcPr>
          <w:p w14:paraId="56FA8EAA" w14:textId="77777777" w:rsidR="00D47EDC" w:rsidRPr="00A76167" w:rsidRDefault="00D47EDC" w:rsidP="00B06C11">
            <w:pPr>
              <w:rPr>
                <w:rFonts w:cs="Arial"/>
                <w:b/>
                <w:sz w:val="22"/>
                <w:szCs w:val="22"/>
              </w:rPr>
            </w:pPr>
          </w:p>
        </w:tc>
        <w:tc>
          <w:tcPr>
            <w:tcW w:w="1573" w:type="dxa"/>
          </w:tcPr>
          <w:p w14:paraId="653FF249" w14:textId="77777777" w:rsidR="00D47EDC" w:rsidRPr="00A76167" w:rsidRDefault="00D47EDC" w:rsidP="00B06C11">
            <w:pPr>
              <w:rPr>
                <w:rFonts w:cs="Arial"/>
                <w:b/>
                <w:sz w:val="22"/>
                <w:szCs w:val="22"/>
              </w:rPr>
            </w:pPr>
            <w:r w:rsidRPr="00A76167">
              <w:rPr>
                <w:rFonts w:cs="Arial"/>
                <w:b/>
                <w:sz w:val="22"/>
                <w:szCs w:val="22"/>
              </w:rPr>
              <w:t>74</w:t>
            </w:r>
          </w:p>
        </w:tc>
        <w:tc>
          <w:tcPr>
            <w:tcW w:w="1574" w:type="dxa"/>
          </w:tcPr>
          <w:p w14:paraId="613ED540" w14:textId="77777777" w:rsidR="00D47EDC" w:rsidRPr="00A76167" w:rsidRDefault="00D47EDC" w:rsidP="00B06C11">
            <w:pPr>
              <w:rPr>
                <w:rFonts w:cs="Arial"/>
                <w:b/>
                <w:sz w:val="22"/>
                <w:szCs w:val="22"/>
              </w:rPr>
            </w:pPr>
            <w:r w:rsidRPr="00A76167">
              <w:rPr>
                <w:rFonts w:cs="Arial"/>
                <w:b/>
                <w:sz w:val="22"/>
                <w:szCs w:val="22"/>
              </w:rPr>
              <w:t>78</w:t>
            </w:r>
          </w:p>
        </w:tc>
        <w:tc>
          <w:tcPr>
            <w:tcW w:w="1554" w:type="dxa"/>
          </w:tcPr>
          <w:p w14:paraId="4287E652" w14:textId="77777777" w:rsidR="00D47EDC" w:rsidRPr="00A76167" w:rsidRDefault="00D47EDC" w:rsidP="00B06C11">
            <w:pPr>
              <w:rPr>
                <w:rFonts w:cs="Arial"/>
                <w:b/>
                <w:sz w:val="22"/>
                <w:szCs w:val="22"/>
              </w:rPr>
            </w:pPr>
            <w:r w:rsidRPr="00A76167">
              <w:rPr>
                <w:rFonts w:cs="Arial"/>
                <w:b/>
                <w:sz w:val="22"/>
                <w:szCs w:val="22"/>
              </w:rPr>
              <w:t>67</w:t>
            </w:r>
          </w:p>
        </w:tc>
        <w:tc>
          <w:tcPr>
            <w:tcW w:w="1337" w:type="dxa"/>
          </w:tcPr>
          <w:p w14:paraId="729BAB1B" w14:textId="77777777" w:rsidR="00D47EDC" w:rsidRPr="00A76167" w:rsidRDefault="00D47EDC" w:rsidP="00B06C11">
            <w:pPr>
              <w:rPr>
                <w:rFonts w:cs="Arial"/>
                <w:b/>
                <w:sz w:val="22"/>
                <w:szCs w:val="22"/>
              </w:rPr>
            </w:pPr>
            <w:r w:rsidRPr="00A76167">
              <w:rPr>
                <w:rFonts w:cs="Arial"/>
                <w:b/>
                <w:sz w:val="22"/>
                <w:szCs w:val="22"/>
              </w:rPr>
              <w:t>77</w:t>
            </w:r>
          </w:p>
        </w:tc>
      </w:tr>
      <w:tr w:rsidR="00D47EDC" w:rsidRPr="00A76167" w14:paraId="6092A929" w14:textId="77777777" w:rsidTr="00B06C11">
        <w:tc>
          <w:tcPr>
            <w:tcW w:w="1809" w:type="dxa"/>
          </w:tcPr>
          <w:p w14:paraId="7667E4DE" w14:textId="77777777" w:rsidR="00D47EDC" w:rsidRPr="00A76167" w:rsidRDefault="00D47EDC" w:rsidP="00B06C11">
            <w:pPr>
              <w:rPr>
                <w:rFonts w:cs="Arial"/>
                <w:b/>
                <w:sz w:val="22"/>
                <w:szCs w:val="22"/>
              </w:rPr>
            </w:pPr>
            <w:r w:rsidRPr="00A76167">
              <w:rPr>
                <w:rFonts w:cs="Arial"/>
                <w:b/>
                <w:sz w:val="22"/>
                <w:szCs w:val="22"/>
              </w:rPr>
              <w:t>England average</w:t>
            </w:r>
          </w:p>
        </w:tc>
        <w:tc>
          <w:tcPr>
            <w:tcW w:w="1395" w:type="dxa"/>
          </w:tcPr>
          <w:p w14:paraId="0AC419FA" w14:textId="77777777" w:rsidR="00D47EDC" w:rsidRPr="00A76167" w:rsidRDefault="00D47EDC" w:rsidP="00B06C11">
            <w:pPr>
              <w:rPr>
                <w:rFonts w:cs="Arial"/>
                <w:b/>
                <w:sz w:val="22"/>
                <w:szCs w:val="22"/>
              </w:rPr>
            </w:pPr>
          </w:p>
        </w:tc>
        <w:tc>
          <w:tcPr>
            <w:tcW w:w="1573" w:type="dxa"/>
          </w:tcPr>
          <w:p w14:paraId="20255314" w14:textId="77777777" w:rsidR="00D47EDC" w:rsidRPr="00A76167" w:rsidRDefault="00D47EDC" w:rsidP="00B06C11">
            <w:pPr>
              <w:rPr>
                <w:rFonts w:cs="Arial"/>
                <w:b/>
                <w:sz w:val="22"/>
                <w:szCs w:val="22"/>
              </w:rPr>
            </w:pPr>
            <w:r w:rsidRPr="00A76167">
              <w:rPr>
                <w:rFonts w:cs="Arial"/>
                <w:b/>
                <w:sz w:val="22"/>
                <w:szCs w:val="22"/>
              </w:rPr>
              <w:t>76</w:t>
            </w:r>
          </w:p>
        </w:tc>
        <w:tc>
          <w:tcPr>
            <w:tcW w:w="1574" w:type="dxa"/>
          </w:tcPr>
          <w:p w14:paraId="52F0F623" w14:textId="77777777" w:rsidR="00D47EDC" w:rsidRPr="00A76167" w:rsidRDefault="00D47EDC" w:rsidP="00B06C11">
            <w:pPr>
              <w:rPr>
                <w:rFonts w:cs="Arial"/>
                <w:b/>
                <w:sz w:val="22"/>
                <w:szCs w:val="22"/>
              </w:rPr>
            </w:pPr>
            <w:r w:rsidRPr="00A76167">
              <w:rPr>
                <w:rFonts w:cs="Arial"/>
                <w:b/>
                <w:sz w:val="22"/>
                <w:szCs w:val="22"/>
              </w:rPr>
              <w:t>80</w:t>
            </w:r>
          </w:p>
        </w:tc>
        <w:tc>
          <w:tcPr>
            <w:tcW w:w="1554" w:type="dxa"/>
          </w:tcPr>
          <w:p w14:paraId="011F8EAF" w14:textId="77777777" w:rsidR="00D47EDC" w:rsidRPr="00A76167" w:rsidRDefault="00D47EDC" w:rsidP="00B06C11">
            <w:pPr>
              <w:rPr>
                <w:rFonts w:cs="Arial"/>
                <w:b/>
                <w:sz w:val="22"/>
                <w:szCs w:val="22"/>
              </w:rPr>
            </w:pPr>
            <w:r w:rsidRPr="00A76167">
              <w:rPr>
                <w:rFonts w:cs="Arial"/>
                <w:b/>
                <w:sz w:val="22"/>
                <w:szCs w:val="22"/>
              </w:rPr>
              <w:t>67</w:t>
            </w:r>
          </w:p>
        </w:tc>
        <w:tc>
          <w:tcPr>
            <w:tcW w:w="1337" w:type="dxa"/>
          </w:tcPr>
          <w:p w14:paraId="32B18D9E" w14:textId="77777777" w:rsidR="00D47EDC" w:rsidRPr="00A76167" w:rsidRDefault="00D47EDC" w:rsidP="00B06C11">
            <w:pPr>
              <w:rPr>
                <w:rFonts w:cs="Arial"/>
                <w:b/>
                <w:sz w:val="22"/>
                <w:szCs w:val="22"/>
              </w:rPr>
            </w:pPr>
            <w:r w:rsidRPr="00A76167">
              <w:rPr>
                <w:rFonts w:cs="Arial"/>
                <w:b/>
                <w:sz w:val="22"/>
                <w:szCs w:val="22"/>
              </w:rPr>
              <w:t>80</w:t>
            </w:r>
          </w:p>
        </w:tc>
      </w:tr>
    </w:tbl>
    <w:p w14:paraId="7D0EA76F" w14:textId="7570692A" w:rsidR="0021513E" w:rsidRPr="00A76167" w:rsidRDefault="00D47EDC">
      <w:pPr>
        <w:spacing w:after="0"/>
        <w:textboxTightWrap w:val="none"/>
        <w:rPr>
          <w:rFonts w:cs="Arial"/>
          <w:sz w:val="22"/>
          <w:szCs w:val="22"/>
        </w:rPr>
      </w:pPr>
      <w:r w:rsidRPr="00A76167">
        <w:rPr>
          <w:rFonts w:cs="Arial"/>
          <w:sz w:val="22"/>
          <w:szCs w:val="22"/>
        </w:rPr>
        <w:t xml:space="preserve"> </w:t>
      </w:r>
      <w:r w:rsidR="0021513E" w:rsidRPr="00A76167">
        <w:rPr>
          <w:rFonts w:cs="Arial"/>
          <w:sz w:val="22"/>
          <w:szCs w:val="22"/>
        </w:rPr>
        <w:br w:type="page"/>
      </w:r>
    </w:p>
    <w:p w14:paraId="314C39FC" w14:textId="77777777" w:rsidR="00BC0269" w:rsidRPr="00A76167" w:rsidRDefault="00BC0269" w:rsidP="00A76167">
      <w:pPr>
        <w:ind w:left="-851"/>
        <w:rPr>
          <w:rFonts w:cs="Arial"/>
          <w:sz w:val="22"/>
          <w:szCs w:val="22"/>
        </w:rPr>
      </w:pPr>
    </w:p>
    <w:p w14:paraId="0AD45948" w14:textId="73DFDB41" w:rsidR="00BC0269" w:rsidRPr="00A76167" w:rsidRDefault="00BC0269" w:rsidP="00A76167">
      <w:pPr>
        <w:ind w:left="-851"/>
        <w:rPr>
          <w:rFonts w:cs="Arial"/>
          <w:sz w:val="22"/>
          <w:szCs w:val="22"/>
        </w:rPr>
      </w:pPr>
      <w:r w:rsidRPr="00A76167">
        <w:rPr>
          <w:rFonts w:cs="Arial"/>
          <w:sz w:val="22"/>
          <w:szCs w:val="22"/>
        </w:rPr>
        <w:t>MRG Recommendations, Comments &amp; Updates:</w:t>
      </w:r>
    </w:p>
    <w:p w14:paraId="6DEB4CE3" w14:textId="77777777" w:rsidR="0021513E" w:rsidRPr="00A76167" w:rsidRDefault="0021513E" w:rsidP="00A76167">
      <w:pPr>
        <w:ind w:left="-851"/>
        <w:rPr>
          <w:rFonts w:cs="Arial"/>
          <w:sz w:val="22"/>
          <w:szCs w:val="22"/>
        </w:rPr>
      </w:pPr>
    </w:p>
    <w:tbl>
      <w:tblPr>
        <w:tblStyle w:val="TableGrid"/>
        <w:tblW w:w="9923" w:type="dxa"/>
        <w:tblLayout w:type="fixed"/>
        <w:tblLook w:val="01E0" w:firstRow="1" w:lastRow="1" w:firstColumn="1" w:lastColumn="1" w:noHBand="0" w:noVBand="0"/>
      </w:tblPr>
      <w:tblGrid>
        <w:gridCol w:w="1844"/>
        <w:gridCol w:w="5811"/>
        <w:gridCol w:w="993"/>
        <w:gridCol w:w="1275"/>
      </w:tblGrid>
      <w:tr w:rsidR="00A76167" w:rsidRPr="00A76167" w14:paraId="46B687FA" w14:textId="77777777" w:rsidTr="00A76167">
        <w:tc>
          <w:tcPr>
            <w:tcW w:w="1844" w:type="dxa"/>
          </w:tcPr>
          <w:p w14:paraId="711ED039" w14:textId="77777777" w:rsidR="00BC0269" w:rsidRPr="00A76167" w:rsidRDefault="00BC0269" w:rsidP="00A76167">
            <w:pPr>
              <w:rPr>
                <w:rFonts w:cs="Arial"/>
                <w:b/>
                <w:sz w:val="22"/>
                <w:szCs w:val="22"/>
              </w:rPr>
            </w:pPr>
            <w:r w:rsidRPr="00A76167">
              <w:rPr>
                <w:rFonts w:cs="Arial"/>
                <w:b/>
                <w:sz w:val="22"/>
                <w:szCs w:val="22"/>
              </w:rPr>
              <w:t>Indicator Title</w:t>
            </w:r>
          </w:p>
        </w:tc>
        <w:tc>
          <w:tcPr>
            <w:tcW w:w="5811" w:type="dxa"/>
          </w:tcPr>
          <w:p w14:paraId="4627010F" w14:textId="40C76030" w:rsidR="00BC0269" w:rsidRPr="00A76167" w:rsidRDefault="00BC0269" w:rsidP="00A76167">
            <w:pPr>
              <w:rPr>
                <w:rFonts w:cs="Arial"/>
                <w:b/>
                <w:sz w:val="22"/>
                <w:szCs w:val="22"/>
              </w:rPr>
            </w:pPr>
            <w:r w:rsidRPr="00A76167">
              <w:rPr>
                <w:rFonts w:cs="Arial"/>
                <w:b/>
                <w:sz w:val="22"/>
                <w:szCs w:val="22"/>
              </w:rPr>
              <w:t xml:space="preserve"> 5.1 Patient Safety Incidents </w:t>
            </w:r>
          </w:p>
        </w:tc>
        <w:tc>
          <w:tcPr>
            <w:tcW w:w="993" w:type="dxa"/>
          </w:tcPr>
          <w:p w14:paraId="61607B15" w14:textId="77777777" w:rsidR="00BC0269" w:rsidRPr="00A76167" w:rsidRDefault="00BC0269" w:rsidP="00A76167">
            <w:pPr>
              <w:rPr>
                <w:rFonts w:cs="Arial"/>
                <w:sz w:val="22"/>
                <w:szCs w:val="22"/>
              </w:rPr>
            </w:pPr>
            <w:r w:rsidRPr="00A76167">
              <w:rPr>
                <w:rFonts w:cs="Arial"/>
                <w:sz w:val="22"/>
                <w:szCs w:val="22"/>
              </w:rPr>
              <w:t>IAS Ref Code:</w:t>
            </w:r>
          </w:p>
        </w:tc>
        <w:tc>
          <w:tcPr>
            <w:tcW w:w="1275" w:type="dxa"/>
          </w:tcPr>
          <w:p w14:paraId="4D5EBE47" w14:textId="64C1B737" w:rsidR="00BC0269" w:rsidRPr="00A76167" w:rsidRDefault="00BC0269" w:rsidP="00A76167">
            <w:pPr>
              <w:rPr>
                <w:rFonts w:cs="Arial"/>
                <w:sz w:val="22"/>
                <w:szCs w:val="22"/>
              </w:rPr>
            </w:pPr>
          </w:p>
        </w:tc>
      </w:tr>
      <w:tr w:rsidR="00A76167" w:rsidRPr="00A76167" w14:paraId="5E4BB24B" w14:textId="77777777" w:rsidTr="00A76167">
        <w:tc>
          <w:tcPr>
            <w:tcW w:w="1844" w:type="dxa"/>
          </w:tcPr>
          <w:p w14:paraId="638B6805" w14:textId="77777777" w:rsidR="00BC0269" w:rsidRPr="00A76167" w:rsidRDefault="00BC0269" w:rsidP="00A76167">
            <w:pPr>
              <w:rPr>
                <w:rFonts w:cs="Arial"/>
                <w:sz w:val="22"/>
                <w:szCs w:val="22"/>
              </w:rPr>
            </w:pPr>
            <w:r w:rsidRPr="00A76167">
              <w:rPr>
                <w:rFonts w:cs="Arial"/>
                <w:sz w:val="22"/>
                <w:szCs w:val="22"/>
              </w:rPr>
              <w:t>Indicator Set</w:t>
            </w:r>
          </w:p>
        </w:tc>
        <w:tc>
          <w:tcPr>
            <w:tcW w:w="5811" w:type="dxa"/>
          </w:tcPr>
          <w:p w14:paraId="76227EBA" w14:textId="262EB5B3" w:rsidR="00BC0269" w:rsidRPr="00A76167" w:rsidRDefault="00BC0269" w:rsidP="00A76167">
            <w:pPr>
              <w:rPr>
                <w:rFonts w:cs="Arial"/>
                <w:sz w:val="22"/>
                <w:szCs w:val="22"/>
              </w:rPr>
            </w:pPr>
            <w:r w:rsidRPr="00A76167">
              <w:rPr>
                <w:rFonts w:cs="Arial"/>
                <w:sz w:val="22"/>
                <w:szCs w:val="22"/>
              </w:rPr>
              <w:t>CCG Outcome Indicator Set</w:t>
            </w:r>
          </w:p>
        </w:tc>
        <w:tc>
          <w:tcPr>
            <w:tcW w:w="993" w:type="dxa"/>
          </w:tcPr>
          <w:p w14:paraId="24648987" w14:textId="77777777" w:rsidR="00BC0269" w:rsidRPr="00A76167" w:rsidRDefault="00BC0269" w:rsidP="00A76167">
            <w:pPr>
              <w:rPr>
                <w:rFonts w:cs="Arial"/>
                <w:sz w:val="22"/>
                <w:szCs w:val="22"/>
              </w:rPr>
            </w:pPr>
          </w:p>
        </w:tc>
        <w:tc>
          <w:tcPr>
            <w:tcW w:w="1275" w:type="dxa"/>
          </w:tcPr>
          <w:p w14:paraId="3FFCBF82" w14:textId="77777777" w:rsidR="00BC0269" w:rsidRPr="00A76167" w:rsidRDefault="00BC0269" w:rsidP="00A76167">
            <w:pPr>
              <w:rPr>
                <w:rFonts w:cs="Arial"/>
                <w:sz w:val="22"/>
                <w:szCs w:val="22"/>
              </w:rPr>
            </w:pPr>
          </w:p>
        </w:tc>
      </w:tr>
    </w:tbl>
    <w:p w14:paraId="1903DFCF" w14:textId="77777777" w:rsidR="00BC0269" w:rsidRPr="00A76167" w:rsidRDefault="00BC0269" w:rsidP="00A76167">
      <w:pPr>
        <w:ind w:left="-540"/>
        <w:rPr>
          <w:rFonts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A76167" w:rsidRPr="00A76167" w14:paraId="0E5D0604" w14:textId="77777777" w:rsidTr="00A76167">
        <w:tc>
          <w:tcPr>
            <w:tcW w:w="1844" w:type="dxa"/>
          </w:tcPr>
          <w:p w14:paraId="44ADC5A4" w14:textId="77777777" w:rsidR="00BC0269" w:rsidRPr="00A76167" w:rsidRDefault="00BC0269" w:rsidP="00A76167">
            <w:pPr>
              <w:rPr>
                <w:rFonts w:cs="Arial"/>
                <w:sz w:val="22"/>
                <w:szCs w:val="22"/>
              </w:rPr>
            </w:pPr>
            <w:r w:rsidRPr="00A76167">
              <w:rPr>
                <w:rFonts w:cs="Arial"/>
                <w:sz w:val="22"/>
                <w:szCs w:val="22"/>
              </w:rPr>
              <w:t>Ref code</w:t>
            </w:r>
          </w:p>
          <w:p w14:paraId="5983FC51" w14:textId="77777777" w:rsidR="00BC0269" w:rsidRPr="00A76167" w:rsidRDefault="00BC0269" w:rsidP="00A76167">
            <w:pPr>
              <w:rPr>
                <w:rFonts w:cs="Arial"/>
                <w:b/>
                <w:sz w:val="22"/>
                <w:szCs w:val="22"/>
              </w:rPr>
            </w:pPr>
            <w:r w:rsidRPr="00A76167">
              <w:rPr>
                <w:rFonts w:cs="Arial"/>
                <w:b/>
                <w:sz w:val="22"/>
                <w:szCs w:val="22"/>
              </w:rPr>
              <w:t>2012/265</w:t>
            </w:r>
          </w:p>
          <w:p w14:paraId="3773A42A" w14:textId="77777777" w:rsidR="00BC0269" w:rsidRPr="00A76167" w:rsidRDefault="00BC0269" w:rsidP="00A76167">
            <w:pPr>
              <w:rPr>
                <w:rFonts w:cs="Arial"/>
                <w:sz w:val="22"/>
                <w:szCs w:val="22"/>
              </w:rPr>
            </w:pPr>
            <w:r w:rsidRPr="00A76167">
              <w:rPr>
                <w:rFonts w:cs="Arial"/>
                <w:sz w:val="22"/>
                <w:szCs w:val="22"/>
              </w:rPr>
              <w:t>Made: 26/10/12</w:t>
            </w:r>
          </w:p>
        </w:tc>
        <w:tc>
          <w:tcPr>
            <w:tcW w:w="8079" w:type="dxa"/>
          </w:tcPr>
          <w:p w14:paraId="6A6DB8F2" w14:textId="77777777" w:rsidR="00BC0269" w:rsidRPr="00A76167" w:rsidRDefault="00BC0269" w:rsidP="00A76167">
            <w:pPr>
              <w:rPr>
                <w:rFonts w:cs="Arial"/>
                <w:b/>
                <w:sz w:val="22"/>
                <w:szCs w:val="22"/>
              </w:rPr>
            </w:pPr>
            <w:r w:rsidRPr="00A76167">
              <w:rPr>
                <w:rFonts w:cs="Arial"/>
                <w:sz w:val="22"/>
                <w:szCs w:val="22"/>
              </w:rPr>
              <w:t>MRG suggested that further research be carried out on whether it is better to use bed days rather than admissions for attributing patient safety incidence.</w:t>
            </w:r>
          </w:p>
        </w:tc>
      </w:tr>
      <w:tr w:rsidR="00A76167" w:rsidRPr="00A76167" w14:paraId="21C83F15" w14:textId="77777777" w:rsidTr="00A76167">
        <w:tc>
          <w:tcPr>
            <w:tcW w:w="1844" w:type="dxa"/>
          </w:tcPr>
          <w:p w14:paraId="21BC82B9" w14:textId="77777777" w:rsidR="00BC0269" w:rsidRPr="00A76167" w:rsidRDefault="00BC0269" w:rsidP="00A76167">
            <w:pPr>
              <w:rPr>
                <w:rFonts w:cs="Arial"/>
                <w:sz w:val="22"/>
                <w:szCs w:val="22"/>
              </w:rPr>
            </w:pPr>
            <w:r w:rsidRPr="00A76167">
              <w:rPr>
                <w:rFonts w:cs="Arial"/>
                <w:sz w:val="22"/>
                <w:szCs w:val="22"/>
              </w:rPr>
              <w:t xml:space="preserve">Update: </w:t>
            </w:r>
          </w:p>
          <w:p w14:paraId="57EFC0AF" w14:textId="77777777" w:rsidR="00BC0269" w:rsidRPr="00A76167" w:rsidRDefault="00BC0269" w:rsidP="00A76167">
            <w:pPr>
              <w:rPr>
                <w:rFonts w:cs="Arial"/>
                <w:sz w:val="22"/>
                <w:szCs w:val="22"/>
              </w:rPr>
            </w:pPr>
            <w:r w:rsidRPr="00A76167">
              <w:rPr>
                <w:rFonts w:cs="Arial"/>
                <w:sz w:val="22"/>
                <w:szCs w:val="22"/>
              </w:rPr>
              <w:t>Made: 21/02/13</w:t>
            </w:r>
          </w:p>
        </w:tc>
        <w:tc>
          <w:tcPr>
            <w:tcW w:w="8079" w:type="dxa"/>
          </w:tcPr>
          <w:p w14:paraId="23BFCC5F" w14:textId="77777777" w:rsidR="00BC0269" w:rsidRPr="00A76167" w:rsidRDefault="00BC0269" w:rsidP="00A76167">
            <w:pPr>
              <w:rPr>
                <w:rFonts w:cs="Arial"/>
                <w:sz w:val="22"/>
                <w:szCs w:val="22"/>
              </w:rPr>
            </w:pPr>
            <w:r w:rsidRPr="00A76167">
              <w:rPr>
                <w:rFonts w:cs="Arial"/>
                <w:sz w:val="22"/>
                <w:szCs w:val="22"/>
              </w:rPr>
              <w:t xml:space="preserve">The use of length of stay or bed days provides a similar correlation between the direct provider-to-CCG rate (for the dummy indicator, available in HES) and the attributed rates as the use of admissions. </w:t>
            </w:r>
          </w:p>
          <w:p w14:paraId="10102757" w14:textId="77777777" w:rsidR="00BC0269" w:rsidRPr="00A76167" w:rsidRDefault="00BC0269" w:rsidP="00A76167">
            <w:pPr>
              <w:rPr>
                <w:rFonts w:cs="Arial"/>
                <w:sz w:val="22"/>
                <w:szCs w:val="22"/>
              </w:rPr>
            </w:pPr>
          </w:p>
          <w:p w14:paraId="56C1EB61" w14:textId="77777777" w:rsidR="00BC0269" w:rsidRPr="00A76167" w:rsidRDefault="00BC0269" w:rsidP="00A76167">
            <w:pPr>
              <w:rPr>
                <w:rFonts w:cs="Arial"/>
                <w:sz w:val="22"/>
                <w:szCs w:val="22"/>
              </w:rPr>
            </w:pPr>
            <w:r w:rsidRPr="00A76167">
              <w:rPr>
                <w:rFonts w:cs="Arial"/>
                <w:sz w:val="22"/>
                <w:szCs w:val="22"/>
              </w:rPr>
              <w:t xml:space="preserve">LOS (discharge date minus admission date, chart below) provides a correlation of 0.72. The bed days definition used is very similar to LOS but assigns an arbitrary figure of 0.5 bed days for any admission where the patient was discharged on the same day. Using this method provides a correlation of 0.73. Both of which, are lower than the previous discussed method of using number of admissions. </w:t>
            </w:r>
          </w:p>
          <w:p w14:paraId="2130798E" w14:textId="77777777" w:rsidR="00BC0269" w:rsidRPr="00A76167" w:rsidRDefault="00BC0269" w:rsidP="00A76167">
            <w:pPr>
              <w:rPr>
                <w:rFonts w:cs="Arial"/>
                <w:sz w:val="22"/>
                <w:szCs w:val="22"/>
              </w:rPr>
            </w:pPr>
            <w:r w:rsidRPr="00A76167">
              <w:rPr>
                <w:rFonts w:cs="Arial"/>
                <w:noProof/>
                <w:sz w:val="22"/>
                <w:szCs w:val="22"/>
              </w:rPr>
              <w:drawing>
                <wp:inline distT="0" distB="0" distL="0" distR="0" wp14:anchorId="248C47B7" wp14:editId="727E73FC">
                  <wp:extent cx="4962525" cy="3067940"/>
                  <wp:effectExtent l="0" t="0" r="0" b="0"/>
                  <wp:docPr id="7" name="Picture 7" descr="Graph showing correlation of data from  LOS and the indic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68347" cy="3071539"/>
                          </a:xfrm>
                          <a:prstGeom prst="rect">
                            <a:avLst/>
                          </a:prstGeom>
                          <a:noFill/>
                        </pic:spPr>
                      </pic:pic>
                    </a:graphicData>
                  </a:graphic>
                </wp:inline>
              </w:drawing>
            </w:r>
          </w:p>
          <w:p w14:paraId="5BB3F4EE" w14:textId="77777777" w:rsidR="00BC0269" w:rsidRPr="00A76167" w:rsidRDefault="00BC0269" w:rsidP="00A76167">
            <w:pPr>
              <w:rPr>
                <w:rFonts w:cs="Arial"/>
                <w:b/>
                <w:sz w:val="22"/>
                <w:szCs w:val="22"/>
              </w:rPr>
            </w:pPr>
          </w:p>
        </w:tc>
      </w:tr>
    </w:tbl>
    <w:p w14:paraId="18A84325" w14:textId="77777777" w:rsidR="00E73882" w:rsidRDefault="00E73882"/>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E73882" w:rsidRPr="00A76167" w14:paraId="76515E4B" w14:textId="77777777" w:rsidTr="00A76167">
        <w:tc>
          <w:tcPr>
            <w:tcW w:w="1844" w:type="dxa"/>
          </w:tcPr>
          <w:p w14:paraId="6B7EDB86" w14:textId="4DD26678" w:rsidR="00E73882" w:rsidRPr="00A76167" w:rsidRDefault="00E73882" w:rsidP="00E73882">
            <w:pPr>
              <w:rPr>
                <w:rFonts w:cs="Arial"/>
                <w:sz w:val="22"/>
                <w:szCs w:val="22"/>
              </w:rPr>
            </w:pPr>
            <w:r w:rsidRPr="00A76167">
              <w:rPr>
                <w:rFonts w:cs="Arial"/>
                <w:sz w:val="22"/>
                <w:szCs w:val="22"/>
              </w:rPr>
              <w:t>Rec Status:</w:t>
            </w:r>
          </w:p>
        </w:tc>
        <w:tc>
          <w:tcPr>
            <w:tcW w:w="3260" w:type="dxa"/>
          </w:tcPr>
          <w:p w14:paraId="7CB888D4" w14:textId="1BB1DF04" w:rsidR="00E73882" w:rsidRPr="00A76167" w:rsidRDefault="00E73882" w:rsidP="00E73882">
            <w:pPr>
              <w:jc w:val="right"/>
              <w:rPr>
                <w:rFonts w:cs="Arial"/>
                <w:b/>
                <w:sz w:val="22"/>
                <w:szCs w:val="22"/>
              </w:rPr>
            </w:pPr>
            <w:r w:rsidRPr="00A76167">
              <w:rPr>
                <w:rFonts w:cs="Arial"/>
                <w:b/>
                <w:sz w:val="22"/>
                <w:szCs w:val="22"/>
              </w:rPr>
              <w:t xml:space="preserve">Further Information Required  </w:t>
            </w:r>
          </w:p>
        </w:tc>
        <w:sdt>
          <w:sdtPr>
            <w:rPr>
              <w:rFonts w:cs="Arial"/>
              <w:sz w:val="22"/>
              <w:szCs w:val="22"/>
            </w:rPr>
            <w:id w:val="-1402661934"/>
            <w14:checkbox>
              <w14:checked w14:val="0"/>
              <w14:checkedState w14:val="2612" w14:font="MS Gothic"/>
              <w14:uncheckedState w14:val="2610" w14:font="MS Gothic"/>
            </w14:checkbox>
          </w:sdtPr>
          <w:sdtEndPr/>
          <w:sdtContent>
            <w:tc>
              <w:tcPr>
                <w:tcW w:w="567" w:type="dxa"/>
              </w:tcPr>
              <w:p w14:paraId="4E66359C" w14:textId="11C552A1"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c>
          <w:tcPr>
            <w:tcW w:w="3685" w:type="dxa"/>
          </w:tcPr>
          <w:p w14:paraId="4223809B" w14:textId="59FFAA7A" w:rsidR="00E73882" w:rsidRPr="00A76167" w:rsidRDefault="00E73882" w:rsidP="00E73882">
            <w:pPr>
              <w:jc w:val="right"/>
              <w:rPr>
                <w:rFonts w:cs="Arial"/>
                <w:b/>
                <w:sz w:val="22"/>
                <w:szCs w:val="22"/>
              </w:rPr>
            </w:pPr>
            <w:r w:rsidRPr="00A76167">
              <w:rPr>
                <w:rFonts w:cs="Arial"/>
                <w:b/>
                <w:sz w:val="22"/>
                <w:szCs w:val="22"/>
              </w:rPr>
              <w:t>Resolved / No Action Required</w:t>
            </w:r>
          </w:p>
        </w:tc>
        <w:sdt>
          <w:sdtPr>
            <w:rPr>
              <w:rFonts w:cs="Arial"/>
              <w:sz w:val="22"/>
              <w:szCs w:val="22"/>
            </w:rPr>
            <w:id w:val="513578668"/>
            <w14:checkbox>
              <w14:checked w14:val="0"/>
              <w14:checkedState w14:val="2612" w14:font="MS Gothic"/>
              <w14:uncheckedState w14:val="2610" w14:font="MS Gothic"/>
            </w14:checkbox>
          </w:sdtPr>
          <w:sdtEndPr/>
          <w:sdtContent>
            <w:tc>
              <w:tcPr>
                <w:tcW w:w="567" w:type="dxa"/>
              </w:tcPr>
              <w:p w14:paraId="67099977" w14:textId="369A3C0D" w:rsidR="00E73882" w:rsidRPr="00A76167" w:rsidRDefault="00E73882" w:rsidP="00E73882">
                <w:pPr>
                  <w:jc w:val="center"/>
                  <w:rPr>
                    <w:rFonts w:cs="Arial"/>
                    <w:sz w:val="22"/>
                    <w:szCs w:val="22"/>
                  </w:rPr>
                </w:pPr>
                <w:r>
                  <w:rPr>
                    <w:rFonts w:ascii="MS Gothic" w:eastAsia="MS Gothic" w:hAnsi="MS Gothic" w:cs="Arial" w:hint="eastAsia"/>
                    <w:sz w:val="22"/>
                    <w:szCs w:val="22"/>
                  </w:rPr>
                  <w:t>☐</w:t>
                </w:r>
              </w:p>
            </w:tc>
          </w:sdtContent>
        </w:sdt>
      </w:tr>
    </w:tbl>
    <w:p w14:paraId="01E8975A" w14:textId="77777777" w:rsidR="00BC0269" w:rsidRPr="00A76167" w:rsidRDefault="00BC0269" w:rsidP="00A76167">
      <w:pPr>
        <w:ind w:left="-540"/>
        <w:rPr>
          <w:rFonts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A76167" w:rsidRPr="00A76167" w14:paraId="0258CBB1" w14:textId="77777777" w:rsidTr="00A76167">
        <w:tc>
          <w:tcPr>
            <w:tcW w:w="1844" w:type="dxa"/>
          </w:tcPr>
          <w:p w14:paraId="5302F764" w14:textId="77777777" w:rsidR="00BC0269" w:rsidRPr="00A76167" w:rsidRDefault="00BC0269" w:rsidP="00A76167">
            <w:pPr>
              <w:rPr>
                <w:rFonts w:cs="Arial"/>
                <w:sz w:val="22"/>
                <w:szCs w:val="22"/>
              </w:rPr>
            </w:pPr>
            <w:r w:rsidRPr="00A76167">
              <w:rPr>
                <w:rFonts w:cs="Arial"/>
                <w:sz w:val="22"/>
                <w:szCs w:val="22"/>
              </w:rPr>
              <w:lastRenderedPageBreak/>
              <w:t xml:space="preserve">Ref Code: </w:t>
            </w:r>
          </w:p>
          <w:p w14:paraId="33D98ACD" w14:textId="77777777" w:rsidR="00BC0269" w:rsidRPr="00A76167" w:rsidRDefault="00BC0269" w:rsidP="00A76167">
            <w:pPr>
              <w:rPr>
                <w:rFonts w:cs="Arial"/>
                <w:b/>
                <w:sz w:val="22"/>
                <w:szCs w:val="22"/>
              </w:rPr>
            </w:pPr>
            <w:r w:rsidRPr="00A76167">
              <w:rPr>
                <w:rFonts w:cs="Arial"/>
                <w:b/>
                <w:sz w:val="22"/>
                <w:szCs w:val="22"/>
              </w:rPr>
              <w:t>2012/266</w:t>
            </w:r>
          </w:p>
          <w:p w14:paraId="3BAEB24A" w14:textId="77777777" w:rsidR="00BC0269" w:rsidRPr="00A76167" w:rsidRDefault="00BC0269" w:rsidP="00A76167">
            <w:pPr>
              <w:rPr>
                <w:rFonts w:cs="Arial"/>
                <w:sz w:val="22"/>
                <w:szCs w:val="22"/>
              </w:rPr>
            </w:pPr>
            <w:r w:rsidRPr="00A76167">
              <w:rPr>
                <w:rFonts w:cs="Arial"/>
                <w:sz w:val="22"/>
                <w:szCs w:val="22"/>
              </w:rPr>
              <w:t>Made: 26/10/12</w:t>
            </w:r>
          </w:p>
        </w:tc>
        <w:tc>
          <w:tcPr>
            <w:tcW w:w="8079" w:type="dxa"/>
          </w:tcPr>
          <w:p w14:paraId="37FA963A" w14:textId="77777777" w:rsidR="00BC0269" w:rsidRPr="00A76167" w:rsidRDefault="00BC0269" w:rsidP="00A76167">
            <w:pPr>
              <w:rPr>
                <w:rFonts w:cs="Arial"/>
                <w:sz w:val="22"/>
                <w:szCs w:val="22"/>
              </w:rPr>
            </w:pPr>
            <w:r w:rsidRPr="00A76167">
              <w:rPr>
                <w:rFonts w:cs="Arial"/>
                <w:sz w:val="22"/>
                <w:szCs w:val="22"/>
              </w:rPr>
              <w:t>The attribution method suggested apportions the number of patient safety incidents to CCGs based on overall inpatient activity at provider level.  MRG recommended the need for contextual information to show levels of activity including other health care settings e.g. outpatients</w:t>
            </w:r>
          </w:p>
          <w:p w14:paraId="236204A4" w14:textId="77777777" w:rsidR="00BC0269" w:rsidRPr="00A76167" w:rsidRDefault="00BC0269" w:rsidP="00A76167">
            <w:pPr>
              <w:rPr>
                <w:rFonts w:cs="Arial"/>
                <w:b/>
                <w:sz w:val="22"/>
                <w:szCs w:val="22"/>
              </w:rPr>
            </w:pPr>
          </w:p>
        </w:tc>
      </w:tr>
      <w:tr w:rsidR="00A76167" w:rsidRPr="00A76167" w14:paraId="7A91381D" w14:textId="77777777" w:rsidTr="00A76167">
        <w:tc>
          <w:tcPr>
            <w:tcW w:w="1844" w:type="dxa"/>
          </w:tcPr>
          <w:p w14:paraId="238AFD0D" w14:textId="77777777" w:rsidR="00BC0269" w:rsidRPr="00A76167" w:rsidRDefault="00BC0269" w:rsidP="00A76167">
            <w:pPr>
              <w:rPr>
                <w:rFonts w:cs="Arial"/>
                <w:sz w:val="22"/>
                <w:szCs w:val="22"/>
              </w:rPr>
            </w:pPr>
            <w:r w:rsidRPr="00A76167">
              <w:rPr>
                <w:rFonts w:cs="Arial"/>
                <w:sz w:val="22"/>
                <w:szCs w:val="22"/>
              </w:rPr>
              <w:t xml:space="preserve">Update: </w:t>
            </w:r>
          </w:p>
          <w:p w14:paraId="261A9499" w14:textId="77777777" w:rsidR="00BC0269" w:rsidRPr="00A76167" w:rsidRDefault="00BC0269" w:rsidP="00A76167">
            <w:pPr>
              <w:rPr>
                <w:rFonts w:cs="Arial"/>
                <w:sz w:val="22"/>
                <w:szCs w:val="22"/>
              </w:rPr>
            </w:pPr>
            <w:r w:rsidRPr="00A76167">
              <w:rPr>
                <w:rFonts w:cs="Arial"/>
                <w:sz w:val="22"/>
                <w:szCs w:val="22"/>
              </w:rPr>
              <w:t>Made: 21/02/13</w:t>
            </w:r>
          </w:p>
        </w:tc>
        <w:tc>
          <w:tcPr>
            <w:tcW w:w="8079" w:type="dxa"/>
          </w:tcPr>
          <w:p w14:paraId="64C376E4" w14:textId="77777777" w:rsidR="00BC0269" w:rsidRPr="00A76167" w:rsidRDefault="00BC0269" w:rsidP="00A76167">
            <w:pPr>
              <w:rPr>
                <w:rFonts w:cs="Arial"/>
                <w:b/>
                <w:sz w:val="22"/>
                <w:szCs w:val="22"/>
              </w:rPr>
            </w:pPr>
            <w:r w:rsidRPr="00A76167">
              <w:rPr>
                <w:rFonts w:cs="Arial"/>
                <w:b/>
                <w:sz w:val="22"/>
                <w:szCs w:val="22"/>
              </w:rPr>
              <w:t>HES – Indicative Outpatient figures</w:t>
            </w:r>
          </w:p>
          <w:p w14:paraId="39B4E358" w14:textId="77777777" w:rsidR="00BC0269" w:rsidRPr="00A76167" w:rsidRDefault="00BC0269" w:rsidP="00A76167">
            <w:pPr>
              <w:rPr>
                <w:rFonts w:cs="Arial"/>
                <w:sz w:val="22"/>
                <w:szCs w:val="22"/>
              </w:rPr>
            </w:pPr>
            <w:r w:rsidRPr="00A76167">
              <w:rPr>
                <w:rFonts w:cs="Arial"/>
                <w:sz w:val="22"/>
                <w:szCs w:val="22"/>
              </w:rPr>
              <w:t xml:space="preserve">The figures below are indicative as they utilise the Provider Spells mapping tables that are currently still being developed by the HES team. </w:t>
            </w:r>
          </w:p>
          <w:p w14:paraId="6B826AA0" w14:textId="77777777" w:rsidR="00BC0269" w:rsidRPr="00A76167" w:rsidRDefault="00BC0269" w:rsidP="00A76167">
            <w:pPr>
              <w:rPr>
                <w:rFonts w:cs="Arial"/>
                <w:sz w:val="22"/>
                <w:szCs w:val="22"/>
              </w:rPr>
            </w:pPr>
          </w:p>
          <w:p w14:paraId="05417D28" w14:textId="3D15591B" w:rsidR="00BC0269" w:rsidRPr="00A76167" w:rsidRDefault="00BC0269" w:rsidP="00A76167">
            <w:pPr>
              <w:rPr>
                <w:rFonts w:cs="Arial"/>
                <w:sz w:val="22"/>
                <w:szCs w:val="22"/>
              </w:rPr>
            </w:pPr>
            <w:r w:rsidRPr="00A76167">
              <w:rPr>
                <w:rFonts w:cs="Arial"/>
                <w:sz w:val="22"/>
                <w:szCs w:val="22"/>
              </w:rPr>
              <w:t xml:space="preserve">For the majority of providers, outpatient attended appointments far exceeded that of inpatient admissions, as you’d expect. This ranged from double to more than 10 times the amount, suggesting that outpatient activity would have a different </w:t>
            </w:r>
            <w:r w:rsidR="0021513E" w:rsidRPr="00A76167">
              <w:rPr>
                <w:rFonts w:cs="Arial"/>
                <w:sz w:val="22"/>
                <w:szCs w:val="22"/>
              </w:rPr>
              <w:t>effect</w:t>
            </w:r>
            <w:r w:rsidRPr="00A76167">
              <w:rPr>
                <w:rFonts w:cs="Arial"/>
                <w:sz w:val="22"/>
                <w:szCs w:val="22"/>
              </w:rPr>
              <w:t xml:space="preserve"> on patient safety incidents for each provider. </w:t>
            </w:r>
          </w:p>
          <w:p w14:paraId="3C6B12EA" w14:textId="77777777" w:rsidR="00BC0269" w:rsidRPr="00A76167" w:rsidRDefault="00BC0269" w:rsidP="00BC0269">
            <w:pPr>
              <w:pStyle w:val="ListParagraph"/>
              <w:numPr>
                <w:ilvl w:val="0"/>
                <w:numId w:val="27"/>
              </w:numPr>
              <w:spacing w:after="0"/>
              <w:contextualSpacing/>
              <w:textboxTightWrap w:val="none"/>
              <w:rPr>
                <w:rFonts w:cs="Arial"/>
                <w:sz w:val="22"/>
                <w:szCs w:val="22"/>
              </w:rPr>
            </w:pPr>
            <w:r w:rsidRPr="00A76167">
              <w:rPr>
                <w:rFonts w:cs="Arial"/>
                <w:sz w:val="22"/>
                <w:szCs w:val="22"/>
              </w:rPr>
              <w:t xml:space="preserve">261 providers where outpatient attendances double (or more than double) inpatient admissions. </w:t>
            </w:r>
          </w:p>
          <w:p w14:paraId="72C17B5D" w14:textId="77777777" w:rsidR="00BC0269" w:rsidRPr="00A76167" w:rsidRDefault="00BC0269" w:rsidP="00BC0269">
            <w:pPr>
              <w:pStyle w:val="ListParagraph"/>
              <w:numPr>
                <w:ilvl w:val="0"/>
                <w:numId w:val="27"/>
              </w:numPr>
              <w:spacing w:after="0"/>
              <w:contextualSpacing/>
              <w:textboxTightWrap w:val="none"/>
              <w:rPr>
                <w:rFonts w:cs="Arial"/>
                <w:sz w:val="22"/>
                <w:szCs w:val="22"/>
              </w:rPr>
            </w:pPr>
            <w:r w:rsidRPr="00A76167">
              <w:rPr>
                <w:rFonts w:cs="Arial"/>
                <w:sz w:val="22"/>
                <w:szCs w:val="22"/>
              </w:rPr>
              <w:t xml:space="preserve">34 providers with no outpatient attendances recorded. </w:t>
            </w:r>
          </w:p>
          <w:p w14:paraId="03A68F42" w14:textId="77777777" w:rsidR="00BC0269" w:rsidRPr="00A76167" w:rsidRDefault="00BC0269" w:rsidP="00BC0269">
            <w:pPr>
              <w:pStyle w:val="ListParagraph"/>
              <w:numPr>
                <w:ilvl w:val="0"/>
                <w:numId w:val="27"/>
              </w:numPr>
              <w:spacing w:after="0"/>
              <w:contextualSpacing/>
              <w:textboxTightWrap w:val="none"/>
              <w:rPr>
                <w:rFonts w:cs="Arial"/>
                <w:sz w:val="22"/>
                <w:szCs w:val="22"/>
              </w:rPr>
            </w:pPr>
            <w:r w:rsidRPr="00A76167">
              <w:rPr>
                <w:rFonts w:cs="Arial"/>
                <w:sz w:val="22"/>
                <w:szCs w:val="22"/>
              </w:rPr>
              <w:t>3 providers with lower outpatient attendances than inpatient admissions.</w:t>
            </w:r>
          </w:p>
          <w:p w14:paraId="27D27CD1" w14:textId="77777777" w:rsidR="00BC0269" w:rsidRPr="00A76167" w:rsidRDefault="00BC0269" w:rsidP="00A76167">
            <w:pPr>
              <w:pStyle w:val="ListParagraph"/>
              <w:ind w:left="405"/>
              <w:rPr>
                <w:rFonts w:cs="Arial"/>
                <w:sz w:val="22"/>
                <w:szCs w:val="22"/>
              </w:rPr>
            </w:pPr>
          </w:p>
          <w:p w14:paraId="510B2D59" w14:textId="77777777" w:rsidR="00BC0269" w:rsidRPr="00A76167" w:rsidRDefault="00BC0269" w:rsidP="00A76167">
            <w:pPr>
              <w:rPr>
                <w:rFonts w:cs="Arial"/>
                <w:sz w:val="22"/>
                <w:szCs w:val="22"/>
              </w:rPr>
            </w:pPr>
            <w:r w:rsidRPr="00A76167">
              <w:rPr>
                <w:rFonts w:cs="Arial"/>
                <w:sz w:val="22"/>
                <w:szCs w:val="22"/>
              </w:rPr>
              <w:t xml:space="preserve">The chart below shows the range of the proportion of inpatient admissions to outpatient attendances across providers. </w:t>
            </w:r>
          </w:p>
          <w:p w14:paraId="34D79DDA" w14:textId="77777777" w:rsidR="00BC0269" w:rsidRPr="00A76167" w:rsidRDefault="00BC0269" w:rsidP="00A76167">
            <w:pPr>
              <w:rPr>
                <w:rFonts w:cs="Arial"/>
                <w:sz w:val="22"/>
                <w:szCs w:val="22"/>
              </w:rPr>
            </w:pPr>
          </w:p>
          <w:p w14:paraId="4ECF8AF6" w14:textId="77777777" w:rsidR="00BC0269" w:rsidRPr="00A76167" w:rsidRDefault="00BC0269" w:rsidP="00A76167">
            <w:pPr>
              <w:rPr>
                <w:rFonts w:cs="Arial"/>
                <w:sz w:val="22"/>
                <w:szCs w:val="22"/>
              </w:rPr>
            </w:pPr>
            <w:r w:rsidRPr="00A76167">
              <w:rPr>
                <w:rFonts w:cs="Arial"/>
                <w:noProof/>
                <w:sz w:val="22"/>
                <w:szCs w:val="22"/>
              </w:rPr>
              <w:drawing>
                <wp:inline distT="0" distB="0" distL="0" distR="0" wp14:anchorId="2D9954E1" wp14:editId="6BF9046F">
                  <wp:extent cx="4686300" cy="2371725"/>
                  <wp:effectExtent l="0" t="0" r="19050" b="9525"/>
                  <wp:docPr id="6" name="Chart 6" descr="Chart showing % of inpatient attendances to outpatient "/>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Pr="00A76167">
              <w:rPr>
                <w:rFonts w:cs="Arial"/>
                <w:sz w:val="22"/>
                <w:szCs w:val="22"/>
              </w:rPr>
              <w:t xml:space="preserve"> </w:t>
            </w:r>
          </w:p>
          <w:p w14:paraId="0B12E63F" w14:textId="77777777" w:rsidR="00BC0269" w:rsidRPr="00A76167" w:rsidRDefault="00BC0269" w:rsidP="00A76167">
            <w:pPr>
              <w:rPr>
                <w:rFonts w:cs="Arial"/>
                <w:b/>
                <w:sz w:val="22"/>
                <w:szCs w:val="22"/>
              </w:rPr>
            </w:pPr>
          </w:p>
          <w:p w14:paraId="6F17C16C" w14:textId="77777777" w:rsidR="00BC0269" w:rsidRPr="00A76167" w:rsidRDefault="00BC0269" w:rsidP="00A76167">
            <w:pPr>
              <w:rPr>
                <w:rFonts w:cs="Arial"/>
                <w:b/>
                <w:sz w:val="22"/>
                <w:szCs w:val="22"/>
              </w:rPr>
            </w:pPr>
            <w:r w:rsidRPr="00A76167">
              <w:rPr>
                <w:rFonts w:cs="Arial"/>
                <w:b/>
                <w:sz w:val="22"/>
                <w:szCs w:val="22"/>
              </w:rPr>
              <w:t>NRLS</w:t>
            </w:r>
          </w:p>
          <w:p w14:paraId="7D643176" w14:textId="77777777" w:rsidR="00BC0269" w:rsidRPr="00A76167" w:rsidRDefault="00BC0269" w:rsidP="00A76167">
            <w:pPr>
              <w:rPr>
                <w:rFonts w:cs="Arial"/>
                <w:sz w:val="22"/>
                <w:szCs w:val="22"/>
              </w:rPr>
            </w:pPr>
            <w:r w:rsidRPr="00A76167">
              <w:rPr>
                <w:rFonts w:cs="Arial"/>
                <w:sz w:val="22"/>
                <w:szCs w:val="22"/>
              </w:rPr>
              <w:t xml:space="preserve">The NRLS reported patient safety incidents for a further 71 PCT’s in 2010/11 where there is no inpatient or outpatient activity in HES and so these incidents could not be attributed. </w:t>
            </w:r>
          </w:p>
          <w:p w14:paraId="6A37A1CC" w14:textId="77777777" w:rsidR="00BC0269" w:rsidRPr="00A76167" w:rsidRDefault="00BC0269" w:rsidP="00A76167">
            <w:pPr>
              <w:rPr>
                <w:rFonts w:cs="Arial"/>
                <w:b/>
                <w:sz w:val="22"/>
                <w:szCs w:val="22"/>
              </w:rPr>
            </w:pPr>
          </w:p>
          <w:p w14:paraId="07CA64FF" w14:textId="7A780A7F" w:rsidR="0021513E" w:rsidRPr="00A76167" w:rsidRDefault="0021513E" w:rsidP="00A76167">
            <w:pPr>
              <w:rPr>
                <w:rFonts w:cs="Arial"/>
                <w:b/>
                <w:sz w:val="22"/>
                <w:szCs w:val="22"/>
              </w:rPr>
            </w:pPr>
          </w:p>
        </w:tc>
      </w:tr>
      <w:tr w:rsidR="00A76167" w:rsidRPr="00A76167" w14:paraId="7AC979BD" w14:textId="77777777" w:rsidTr="00A76167">
        <w:tc>
          <w:tcPr>
            <w:tcW w:w="1844" w:type="dxa"/>
          </w:tcPr>
          <w:p w14:paraId="3022BA8E" w14:textId="77777777" w:rsidR="00BC0269" w:rsidRPr="00A76167" w:rsidRDefault="00BC0269" w:rsidP="00A76167">
            <w:pPr>
              <w:rPr>
                <w:rFonts w:cs="Arial"/>
                <w:sz w:val="22"/>
                <w:szCs w:val="22"/>
              </w:rPr>
            </w:pPr>
            <w:r w:rsidRPr="00A76167">
              <w:rPr>
                <w:rFonts w:cs="Arial"/>
                <w:sz w:val="22"/>
                <w:szCs w:val="22"/>
              </w:rPr>
              <w:t xml:space="preserve">Further Rec: </w:t>
            </w:r>
          </w:p>
          <w:p w14:paraId="3F5BA38A" w14:textId="77777777" w:rsidR="00BC0269" w:rsidRPr="00A76167" w:rsidRDefault="00BC0269" w:rsidP="00A76167">
            <w:pPr>
              <w:rPr>
                <w:rFonts w:cs="Arial"/>
                <w:sz w:val="22"/>
                <w:szCs w:val="22"/>
              </w:rPr>
            </w:pPr>
            <w:r w:rsidRPr="00A76167">
              <w:rPr>
                <w:rFonts w:cs="Arial"/>
                <w:sz w:val="22"/>
                <w:szCs w:val="22"/>
              </w:rPr>
              <w:lastRenderedPageBreak/>
              <w:t>Made: xx/xx/xx</w:t>
            </w:r>
          </w:p>
        </w:tc>
        <w:tc>
          <w:tcPr>
            <w:tcW w:w="8079" w:type="dxa"/>
          </w:tcPr>
          <w:p w14:paraId="399DC9B0" w14:textId="77777777" w:rsidR="00BC0269" w:rsidRPr="00A76167" w:rsidRDefault="00BC0269" w:rsidP="00A76167">
            <w:pPr>
              <w:rPr>
                <w:rFonts w:cs="Arial"/>
                <w:b/>
                <w:sz w:val="22"/>
                <w:szCs w:val="22"/>
              </w:rPr>
            </w:pPr>
          </w:p>
          <w:p w14:paraId="754F35A2" w14:textId="77777777" w:rsidR="00BC0269" w:rsidRPr="00A76167" w:rsidRDefault="00BC0269" w:rsidP="00A76167">
            <w:pPr>
              <w:rPr>
                <w:rFonts w:cs="Arial"/>
                <w:b/>
                <w:sz w:val="22"/>
                <w:szCs w:val="22"/>
              </w:rPr>
            </w:pPr>
          </w:p>
        </w:tc>
      </w:tr>
      <w:tr w:rsidR="00A76167" w:rsidRPr="00A76167" w14:paraId="105D970B" w14:textId="77777777" w:rsidTr="00A76167">
        <w:tc>
          <w:tcPr>
            <w:tcW w:w="1844" w:type="dxa"/>
          </w:tcPr>
          <w:p w14:paraId="1E504B76" w14:textId="77777777" w:rsidR="00BC0269" w:rsidRPr="00A76167" w:rsidRDefault="00BC0269" w:rsidP="00A76167">
            <w:pPr>
              <w:rPr>
                <w:rFonts w:cs="Arial"/>
                <w:sz w:val="22"/>
                <w:szCs w:val="22"/>
              </w:rPr>
            </w:pPr>
            <w:r w:rsidRPr="00A76167">
              <w:rPr>
                <w:rFonts w:cs="Arial"/>
                <w:sz w:val="22"/>
                <w:szCs w:val="22"/>
              </w:rPr>
              <w:lastRenderedPageBreak/>
              <w:t xml:space="preserve">Update: </w:t>
            </w:r>
          </w:p>
          <w:p w14:paraId="096BB4D4" w14:textId="77777777" w:rsidR="00BC0269" w:rsidRPr="00A76167" w:rsidRDefault="00BC0269" w:rsidP="00A76167">
            <w:pPr>
              <w:rPr>
                <w:rFonts w:cs="Arial"/>
                <w:sz w:val="22"/>
                <w:szCs w:val="22"/>
              </w:rPr>
            </w:pPr>
            <w:r w:rsidRPr="00A76167">
              <w:rPr>
                <w:rFonts w:cs="Arial"/>
                <w:sz w:val="22"/>
                <w:szCs w:val="22"/>
              </w:rPr>
              <w:t>Made: xx/xx/xx</w:t>
            </w:r>
          </w:p>
        </w:tc>
        <w:tc>
          <w:tcPr>
            <w:tcW w:w="8079" w:type="dxa"/>
          </w:tcPr>
          <w:p w14:paraId="0404DD05" w14:textId="77777777" w:rsidR="00BC0269" w:rsidRPr="00A76167" w:rsidRDefault="00BC0269" w:rsidP="00A76167">
            <w:pPr>
              <w:rPr>
                <w:rFonts w:cs="Arial"/>
                <w:b/>
                <w:sz w:val="22"/>
                <w:szCs w:val="22"/>
              </w:rPr>
            </w:pPr>
          </w:p>
          <w:p w14:paraId="499FBE8A" w14:textId="77777777" w:rsidR="00BC0269" w:rsidRPr="00A76167" w:rsidRDefault="00BC0269" w:rsidP="00A76167">
            <w:pPr>
              <w:rPr>
                <w:rFonts w:cs="Arial"/>
                <w:b/>
                <w:sz w:val="22"/>
                <w:szCs w:val="22"/>
              </w:rPr>
            </w:pPr>
          </w:p>
        </w:tc>
      </w:tr>
    </w:tbl>
    <w:p w14:paraId="55FE7F29" w14:textId="77777777" w:rsidR="00E73882" w:rsidRDefault="00E73882"/>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E73882" w:rsidRPr="00A76167" w14:paraId="1D1F386D" w14:textId="77777777" w:rsidTr="00A76167">
        <w:tc>
          <w:tcPr>
            <w:tcW w:w="1844" w:type="dxa"/>
          </w:tcPr>
          <w:p w14:paraId="6240E3D6" w14:textId="476B7130" w:rsidR="00E73882" w:rsidRPr="00A76167" w:rsidRDefault="00E73882" w:rsidP="00E73882">
            <w:pPr>
              <w:rPr>
                <w:rFonts w:cs="Arial"/>
                <w:sz w:val="22"/>
                <w:szCs w:val="22"/>
              </w:rPr>
            </w:pPr>
            <w:r w:rsidRPr="00A76167">
              <w:rPr>
                <w:rFonts w:cs="Arial"/>
                <w:sz w:val="22"/>
                <w:szCs w:val="22"/>
              </w:rPr>
              <w:t>Rec Status:</w:t>
            </w:r>
          </w:p>
        </w:tc>
        <w:tc>
          <w:tcPr>
            <w:tcW w:w="3260" w:type="dxa"/>
          </w:tcPr>
          <w:p w14:paraId="6E71747D" w14:textId="7FE21414" w:rsidR="00E73882" w:rsidRPr="00A76167" w:rsidRDefault="00E73882" w:rsidP="00E73882">
            <w:pPr>
              <w:jc w:val="right"/>
              <w:rPr>
                <w:rFonts w:cs="Arial"/>
                <w:b/>
                <w:sz w:val="22"/>
                <w:szCs w:val="22"/>
              </w:rPr>
            </w:pPr>
            <w:r w:rsidRPr="00A76167">
              <w:rPr>
                <w:rFonts w:cs="Arial"/>
                <w:b/>
                <w:sz w:val="22"/>
                <w:szCs w:val="22"/>
              </w:rPr>
              <w:t xml:space="preserve">Further Information Required  </w:t>
            </w:r>
          </w:p>
        </w:tc>
        <w:sdt>
          <w:sdtPr>
            <w:rPr>
              <w:rFonts w:cs="Arial"/>
              <w:sz w:val="22"/>
              <w:szCs w:val="22"/>
            </w:rPr>
            <w:id w:val="1462311483"/>
            <w14:checkbox>
              <w14:checked w14:val="0"/>
              <w14:checkedState w14:val="2612" w14:font="MS Gothic"/>
              <w14:uncheckedState w14:val="2610" w14:font="MS Gothic"/>
            </w14:checkbox>
          </w:sdtPr>
          <w:sdtEndPr/>
          <w:sdtContent>
            <w:tc>
              <w:tcPr>
                <w:tcW w:w="567" w:type="dxa"/>
              </w:tcPr>
              <w:p w14:paraId="118EC0E5" w14:textId="1F2934B6"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c>
          <w:tcPr>
            <w:tcW w:w="3685" w:type="dxa"/>
          </w:tcPr>
          <w:p w14:paraId="2C8AD0CF" w14:textId="0AD7DDE5" w:rsidR="00E73882" w:rsidRPr="00A76167" w:rsidRDefault="00E73882" w:rsidP="00E73882">
            <w:pPr>
              <w:jc w:val="right"/>
              <w:rPr>
                <w:rFonts w:cs="Arial"/>
                <w:b/>
                <w:sz w:val="22"/>
                <w:szCs w:val="22"/>
              </w:rPr>
            </w:pPr>
            <w:r w:rsidRPr="00A76167">
              <w:rPr>
                <w:rFonts w:cs="Arial"/>
                <w:b/>
                <w:sz w:val="22"/>
                <w:szCs w:val="22"/>
              </w:rPr>
              <w:t>Resolved / No Action Required</w:t>
            </w:r>
          </w:p>
        </w:tc>
        <w:sdt>
          <w:sdtPr>
            <w:rPr>
              <w:rFonts w:cs="Arial"/>
              <w:sz w:val="22"/>
              <w:szCs w:val="22"/>
            </w:rPr>
            <w:id w:val="-1640567360"/>
            <w14:checkbox>
              <w14:checked w14:val="0"/>
              <w14:checkedState w14:val="2612" w14:font="MS Gothic"/>
              <w14:uncheckedState w14:val="2610" w14:font="MS Gothic"/>
            </w14:checkbox>
          </w:sdtPr>
          <w:sdtEndPr/>
          <w:sdtContent>
            <w:tc>
              <w:tcPr>
                <w:tcW w:w="567" w:type="dxa"/>
              </w:tcPr>
              <w:p w14:paraId="647950D7" w14:textId="16686160"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r>
    </w:tbl>
    <w:p w14:paraId="5223E80C" w14:textId="77777777" w:rsidR="00BC0269" w:rsidRPr="00A76167" w:rsidRDefault="00BC0269" w:rsidP="00A76167">
      <w:pPr>
        <w:ind w:left="-540"/>
        <w:rPr>
          <w:rFonts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A76167" w:rsidRPr="00A76167" w14:paraId="2BA59A21" w14:textId="77777777" w:rsidTr="00A76167">
        <w:tc>
          <w:tcPr>
            <w:tcW w:w="1844" w:type="dxa"/>
          </w:tcPr>
          <w:p w14:paraId="33DA53D5" w14:textId="77777777" w:rsidR="00BC0269" w:rsidRPr="00A76167" w:rsidRDefault="00BC0269" w:rsidP="00A76167">
            <w:pPr>
              <w:rPr>
                <w:rFonts w:cs="Arial"/>
                <w:sz w:val="22"/>
                <w:szCs w:val="22"/>
              </w:rPr>
            </w:pPr>
            <w:r w:rsidRPr="00A76167">
              <w:rPr>
                <w:rFonts w:cs="Arial"/>
                <w:sz w:val="22"/>
                <w:szCs w:val="22"/>
              </w:rPr>
              <w:t xml:space="preserve">Ref Code: </w:t>
            </w:r>
          </w:p>
          <w:p w14:paraId="59CED25E" w14:textId="77777777" w:rsidR="00BC0269" w:rsidRPr="00A76167" w:rsidRDefault="00BC0269" w:rsidP="00A76167">
            <w:pPr>
              <w:rPr>
                <w:rFonts w:cs="Arial"/>
                <w:b/>
                <w:sz w:val="22"/>
                <w:szCs w:val="22"/>
              </w:rPr>
            </w:pPr>
            <w:r w:rsidRPr="00A76167">
              <w:rPr>
                <w:rFonts w:cs="Arial"/>
                <w:b/>
                <w:sz w:val="22"/>
                <w:szCs w:val="22"/>
              </w:rPr>
              <w:t>2012/267</w:t>
            </w:r>
          </w:p>
          <w:p w14:paraId="6E693EA1" w14:textId="77777777" w:rsidR="00BC0269" w:rsidRPr="00A76167" w:rsidRDefault="00BC0269" w:rsidP="00A76167">
            <w:pPr>
              <w:rPr>
                <w:rFonts w:cs="Arial"/>
                <w:sz w:val="22"/>
                <w:szCs w:val="22"/>
              </w:rPr>
            </w:pPr>
            <w:r w:rsidRPr="00A76167">
              <w:rPr>
                <w:rFonts w:cs="Arial"/>
                <w:sz w:val="22"/>
                <w:szCs w:val="22"/>
              </w:rPr>
              <w:t>Made: 26/10/12</w:t>
            </w:r>
          </w:p>
        </w:tc>
        <w:tc>
          <w:tcPr>
            <w:tcW w:w="8079" w:type="dxa"/>
          </w:tcPr>
          <w:p w14:paraId="5694A890" w14:textId="77777777" w:rsidR="00BC0269" w:rsidRPr="00A76167" w:rsidRDefault="00BC0269" w:rsidP="00A76167">
            <w:pPr>
              <w:rPr>
                <w:rFonts w:cs="Arial"/>
                <w:sz w:val="22"/>
                <w:szCs w:val="22"/>
              </w:rPr>
            </w:pPr>
            <w:r w:rsidRPr="00A76167">
              <w:rPr>
                <w:rFonts w:cs="Arial"/>
                <w:sz w:val="22"/>
                <w:szCs w:val="22"/>
              </w:rPr>
              <w:t xml:space="preserve">It was commented that although there was a linear correlation in the graph provided (showing comparison between direct provider to CCG volumes available in HES and the proposed attribution method), the size of the range also indicated considerable uncertainty  </w:t>
            </w:r>
          </w:p>
          <w:p w14:paraId="201382BE" w14:textId="77777777" w:rsidR="00BC0269" w:rsidRPr="00A76167" w:rsidRDefault="00BC0269" w:rsidP="00A76167">
            <w:pPr>
              <w:rPr>
                <w:rFonts w:cs="Arial"/>
                <w:sz w:val="22"/>
                <w:szCs w:val="22"/>
              </w:rPr>
            </w:pPr>
            <w:r w:rsidRPr="00A76167">
              <w:rPr>
                <w:rFonts w:cs="Arial"/>
                <w:sz w:val="22"/>
                <w:szCs w:val="22"/>
              </w:rPr>
              <w:t>MRG suggested further thought was required on providing a measure of uncertainty / confidence interval to accompany any figures quoted if the attribution methodology suggested is to be used.</w:t>
            </w:r>
          </w:p>
          <w:p w14:paraId="278B721D" w14:textId="77777777" w:rsidR="00BC0269" w:rsidRPr="00A76167" w:rsidRDefault="00BC0269" w:rsidP="00A76167">
            <w:pPr>
              <w:rPr>
                <w:rFonts w:cs="Arial"/>
                <w:b/>
                <w:sz w:val="22"/>
                <w:szCs w:val="22"/>
              </w:rPr>
            </w:pPr>
          </w:p>
        </w:tc>
      </w:tr>
      <w:tr w:rsidR="00A76167" w:rsidRPr="00A76167" w14:paraId="6E27DF8D" w14:textId="77777777" w:rsidTr="00A76167">
        <w:tc>
          <w:tcPr>
            <w:tcW w:w="1844" w:type="dxa"/>
          </w:tcPr>
          <w:p w14:paraId="0B16A46E" w14:textId="77777777" w:rsidR="00BC0269" w:rsidRPr="00A76167" w:rsidRDefault="00BC0269" w:rsidP="00A76167">
            <w:pPr>
              <w:rPr>
                <w:rFonts w:cs="Arial"/>
                <w:sz w:val="22"/>
                <w:szCs w:val="22"/>
              </w:rPr>
            </w:pPr>
            <w:r w:rsidRPr="00A76167">
              <w:rPr>
                <w:rFonts w:cs="Arial"/>
                <w:sz w:val="22"/>
                <w:szCs w:val="22"/>
              </w:rPr>
              <w:t xml:space="preserve">Update: </w:t>
            </w:r>
          </w:p>
          <w:p w14:paraId="7EAECB87" w14:textId="77777777" w:rsidR="00BC0269" w:rsidRPr="00A76167" w:rsidRDefault="00BC0269" w:rsidP="00A76167">
            <w:pPr>
              <w:rPr>
                <w:rFonts w:cs="Arial"/>
                <w:sz w:val="22"/>
                <w:szCs w:val="22"/>
              </w:rPr>
            </w:pPr>
            <w:r w:rsidRPr="00A76167">
              <w:rPr>
                <w:rFonts w:cs="Arial"/>
                <w:sz w:val="22"/>
                <w:szCs w:val="22"/>
              </w:rPr>
              <w:t>Made: 21/02/13</w:t>
            </w:r>
          </w:p>
        </w:tc>
        <w:tc>
          <w:tcPr>
            <w:tcW w:w="8079" w:type="dxa"/>
          </w:tcPr>
          <w:p w14:paraId="12C2E365" w14:textId="77777777" w:rsidR="00BC0269" w:rsidRPr="00A76167" w:rsidRDefault="00BC0269" w:rsidP="00A76167">
            <w:pPr>
              <w:rPr>
                <w:rFonts w:cs="Arial"/>
                <w:sz w:val="22"/>
                <w:szCs w:val="22"/>
              </w:rPr>
            </w:pPr>
            <w:r w:rsidRPr="00A76167">
              <w:rPr>
                <w:rFonts w:cs="Arial"/>
                <w:sz w:val="22"/>
                <w:szCs w:val="22"/>
              </w:rPr>
              <w:t xml:space="preserve">We have investigated the use of a confidence interval around the regression slope (chart below) and also individual confidence intervals on the actual and attributed rates. </w:t>
            </w:r>
          </w:p>
          <w:p w14:paraId="599A5C27" w14:textId="77777777" w:rsidR="00BC0269" w:rsidRPr="00A76167" w:rsidRDefault="00BC0269" w:rsidP="00A76167">
            <w:pPr>
              <w:rPr>
                <w:rFonts w:cs="Arial"/>
                <w:sz w:val="22"/>
                <w:szCs w:val="22"/>
              </w:rPr>
            </w:pPr>
          </w:p>
          <w:p w14:paraId="11CE226E" w14:textId="77777777" w:rsidR="00BC0269" w:rsidRPr="00A76167" w:rsidRDefault="00BC0269" w:rsidP="00A76167">
            <w:pPr>
              <w:rPr>
                <w:rFonts w:cs="Arial"/>
                <w:sz w:val="22"/>
                <w:szCs w:val="22"/>
              </w:rPr>
            </w:pPr>
            <w:r w:rsidRPr="00A76167">
              <w:rPr>
                <w:rFonts w:cs="Arial"/>
                <w:noProof/>
                <w:sz w:val="22"/>
                <w:szCs w:val="22"/>
              </w:rPr>
              <w:drawing>
                <wp:inline distT="0" distB="0" distL="0" distR="0" wp14:anchorId="0CF58EBD" wp14:editId="0746376D">
                  <wp:extent cx="4668351" cy="2886075"/>
                  <wp:effectExtent l="0" t="0" r="0" b="0"/>
                  <wp:docPr id="9" name="Picture 9" descr="Graph showing attribution comparison for LOS showing correlation and sl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676222" cy="2890941"/>
                          </a:xfrm>
                          <a:prstGeom prst="rect">
                            <a:avLst/>
                          </a:prstGeom>
                          <a:noFill/>
                        </pic:spPr>
                      </pic:pic>
                    </a:graphicData>
                  </a:graphic>
                </wp:inline>
              </w:drawing>
            </w:r>
          </w:p>
          <w:p w14:paraId="2C0B9CC5" w14:textId="1DCB470B" w:rsidR="00BC0269" w:rsidRPr="00A76167" w:rsidRDefault="00BC0269" w:rsidP="00A76167">
            <w:pPr>
              <w:rPr>
                <w:rFonts w:cs="Arial"/>
                <w:sz w:val="22"/>
                <w:szCs w:val="22"/>
              </w:rPr>
            </w:pPr>
          </w:p>
          <w:p w14:paraId="1A712393" w14:textId="016E892F" w:rsidR="0021513E" w:rsidRPr="00A76167" w:rsidRDefault="0021513E" w:rsidP="00A76167">
            <w:pPr>
              <w:rPr>
                <w:rFonts w:cs="Arial"/>
                <w:sz w:val="22"/>
                <w:szCs w:val="22"/>
              </w:rPr>
            </w:pPr>
          </w:p>
          <w:p w14:paraId="08918E32" w14:textId="5308B788" w:rsidR="0021513E" w:rsidRPr="00A76167" w:rsidRDefault="0021513E" w:rsidP="00A76167">
            <w:pPr>
              <w:rPr>
                <w:rFonts w:cs="Arial"/>
                <w:sz w:val="22"/>
                <w:szCs w:val="22"/>
              </w:rPr>
            </w:pPr>
          </w:p>
          <w:p w14:paraId="1075B78F" w14:textId="0F0FAE56" w:rsidR="0021513E" w:rsidRPr="00A76167" w:rsidRDefault="0021513E" w:rsidP="00A76167">
            <w:pPr>
              <w:rPr>
                <w:rFonts w:cs="Arial"/>
                <w:sz w:val="22"/>
                <w:szCs w:val="22"/>
              </w:rPr>
            </w:pPr>
          </w:p>
          <w:p w14:paraId="679FD45C" w14:textId="79A2B352" w:rsidR="0021513E" w:rsidRPr="00A76167" w:rsidRDefault="0021513E" w:rsidP="00A76167">
            <w:pPr>
              <w:rPr>
                <w:rFonts w:cs="Arial"/>
                <w:sz w:val="22"/>
                <w:szCs w:val="22"/>
              </w:rPr>
            </w:pPr>
          </w:p>
          <w:p w14:paraId="71C65230" w14:textId="604BEFF3" w:rsidR="0021513E" w:rsidRPr="00A76167" w:rsidRDefault="0021513E" w:rsidP="00A76167">
            <w:pPr>
              <w:rPr>
                <w:rFonts w:cs="Arial"/>
                <w:sz w:val="22"/>
                <w:szCs w:val="22"/>
              </w:rPr>
            </w:pPr>
          </w:p>
          <w:p w14:paraId="5C412880" w14:textId="4ABB8D91" w:rsidR="0021513E" w:rsidRPr="00A76167" w:rsidRDefault="0021513E" w:rsidP="00A76167">
            <w:pPr>
              <w:rPr>
                <w:rFonts w:cs="Arial"/>
                <w:sz w:val="22"/>
                <w:szCs w:val="22"/>
              </w:rPr>
            </w:pPr>
          </w:p>
          <w:p w14:paraId="1832D011" w14:textId="7064CE3A" w:rsidR="0021513E" w:rsidRPr="00A76167" w:rsidRDefault="0021513E" w:rsidP="00A76167">
            <w:pPr>
              <w:rPr>
                <w:rFonts w:cs="Arial"/>
                <w:sz w:val="22"/>
                <w:szCs w:val="22"/>
              </w:rPr>
            </w:pPr>
          </w:p>
          <w:p w14:paraId="66486DCC" w14:textId="03A90627" w:rsidR="0021513E" w:rsidRPr="00A76167" w:rsidRDefault="0021513E" w:rsidP="00A76167">
            <w:pPr>
              <w:rPr>
                <w:rFonts w:cs="Arial"/>
                <w:sz w:val="22"/>
                <w:szCs w:val="22"/>
              </w:rPr>
            </w:pPr>
          </w:p>
          <w:p w14:paraId="5489FDFE" w14:textId="77777777" w:rsidR="00BC0269" w:rsidRPr="00A76167" w:rsidRDefault="00BC0269" w:rsidP="00A76167">
            <w:pPr>
              <w:rPr>
                <w:rFonts w:cs="Arial"/>
                <w:sz w:val="22"/>
                <w:szCs w:val="22"/>
              </w:rPr>
            </w:pPr>
            <w:r w:rsidRPr="00A76167">
              <w:rPr>
                <w:rFonts w:cs="Arial"/>
                <w:sz w:val="22"/>
                <w:szCs w:val="22"/>
              </w:rPr>
              <w:t xml:space="preserve">The example below uses the CCG level actual and attributed rates rate for the dummy indicator using LOS. The confidence intervals are slightly wider around the attributed rates. </w:t>
            </w:r>
          </w:p>
          <w:p w14:paraId="0FFF3F1B" w14:textId="77777777" w:rsidR="00BC0269" w:rsidRPr="00A76167" w:rsidRDefault="00BC0269" w:rsidP="00A76167">
            <w:pPr>
              <w:rPr>
                <w:rFonts w:cs="Arial"/>
                <w:sz w:val="22"/>
                <w:szCs w:val="22"/>
              </w:rPr>
            </w:pPr>
            <w:r w:rsidRPr="00A76167">
              <w:rPr>
                <w:rFonts w:cs="Arial"/>
                <w:noProof/>
                <w:sz w:val="22"/>
                <w:szCs w:val="22"/>
              </w:rPr>
              <w:drawing>
                <wp:inline distT="0" distB="0" distL="0" distR="0" wp14:anchorId="7B0F1EE6" wp14:editId="72E40FB9">
                  <wp:extent cx="4981575" cy="1209675"/>
                  <wp:effectExtent l="0" t="0" r="9525" b="9525"/>
                  <wp:docPr id="23" name="Picture 23" descr="Table showing rates for dummy indicator for attributed and actual with confidence interva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981575" cy="1209675"/>
                          </a:xfrm>
                          <a:prstGeom prst="rect">
                            <a:avLst/>
                          </a:prstGeom>
                          <a:noFill/>
                          <a:ln>
                            <a:noFill/>
                          </a:ln>
                        </pic:spPr>
                      </pic:pic>
                    </a:graphicData>
                  </a:graphic>
                </wp:inline>
              </w:drawing>
            </w:r>
          </w:p>
          <w:p w14:paraId="4E24A056" w14:textId="77777777" w:rsidR="00BC0269" w:rsidRPr="00A76167" w:rsidRDefault="00BC0269" w:rsidP="00A76167">
            <w:pPr>
              <w:rPr>
                <w:rFonts w:cs="Arial"/>
                <w:b/>
                <w:sz w:val="22"/>
                <w:szCs w:val="22"/>
              </w:rPr>
            </w:pPr>
          </w:p>
        </w:tc>
      </w:tr>
      <w:tr w:rsidR="00A76167" w:rsidRPr="00A76167" w14:paraId="105FFD91" w14:textId="77777777" w:rsidTr="00A76167">
        <w:tc>
          <w:tcPr>
            <w:tcW w:w="1844" w:type="dxa"/>
          </w:tcPr>
          <w:p w14:paraId="0AB81C09" w14:textId="77777777" w:rsidR="00BC0269" w:rsidRPr="00A76167" w:rsidRDefault="00BC0269" w:rsidP="00A76167">
            <w:pPr>
              <w:rPr>
                <w:rFonts w:cs="Arial"/>
                <w:sz w:val="22"/>
                <w:szCs w:val="22"/>
              </w:rPr>
            </w:pPr>
            <w:r w:rsidRPr="00A76167">
              <w:rPr>
                <w:rFonts w:cs="Arial"/>
                <w:sz w:val="22"/>
                <w:szCs w:val="22"/>
              </w:rPr>
              <w:lastRenderedPageBreak/>
              <w:t xml:space="preserve">Comment: </w:t>
            </w:r>
          </w:p>
          <w:p w14:paraId="541849D4" w14:textId="77777777" w:rsidR="00BC0269" w:rsidRPr="00A76167" w:rsidRDefault="00BC0269" w:rsidP="00A76167">
            <w:pPr>
              <w:rPr>
                <w:rFonts w:cs="Arial"/>
                <w:sz w:val="22"/>
                <w:szCs w:val="22"/>
              </w:rPr>
            </w:pPr>
            <w:r w:rsidRPr="00A76167">
              <w:rPr>
                <w:rFonts w:cs="Arial"/>
                <w:sz w:val="22"/>
                <w:szCs w:val="22"/>
              </w:rPr>
              <w:t>Made: 21/02/13</w:t>
            </w:r>
          </w:p>
        </w:tc>
        <w:tc>
          <w:tcPr>
            <w:tcW w:w="8079" w:type="dxa"/>
          </w:tcPr>
          <w:p w14:paraId="42D52B93" w14:textId="77777777" w:rsidR="00BC0269" w:rsidRPr="00A76167" w:rsidRDefault="00BC0269" w:rsidP="00A76167">
            <w:pPr>
              <w:rPr>
                <w:rFonts w:cs="Arial"/>
                <w:sz w:val="22"/>
                <w:szCs w:val="22"/>
              </w:rPr>
            </w:pPr>
            <w:r w:rsidRPr="00A76167">
              <w:rPr>
                <w:rFonts w:cs="Arial"/>
                <w:sz w:val="22"/>
                <w:szCs w:val="22"/>
              </w:rPr>
              <w:t>As general point MRG commented that there was a need to review the way regression was used to generate confidence intervals because what was presented was too narrow.</w:t>
            </w:r>
          </w:p>
          <w:p w14:paraId="06F56CEA" w14:textId="77777777" w:rsidR="00BC0269" w:rsidRPr="00A76167" w:rsidRDefault="00BC0269" w:rsidP="00A76167">
            <w:pPr>
              <w:rPr>
                <w:rFonts w:cs="Arial"/>
                <w:b/>
                <w:sz w:val="22"/>
                <w:szCs w:val="22"/>
              </w:rPr>
            </w:pPr>
          </w:p>
        </w:tc>
      </w:tr>
    </w:tbl>
    <w:p w14:paraId="3D6C68C8" w14:textId="77777777" w:rsidR="00E73882" w:rsidRDefault="00E73882"/>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E73882" w:rsidRPr="00A76167" w14:paraId="3C520131" w14:textId="77777777" w:rsidTr="00A76167">
        <w:tc>
          <w:tcPr>
            <w:tcW w:w="1844" w:type="dxa"/>
          </w:tcPr>
          <w:p w14:paraId="7481F4A4" w14:textId="1ED2CF7D" w:rsidR="00E73882" w:rsidRPr="00A76167" w:rsidRDefault="00E73882" w:rsidP="00E73882">
            <w:pPr>
              <w:rPr>
                <w:rFonts w:cs="Arial"/>
                <w:sz w:val="22"/>
                <w:szCs w:val="22"/>
              </w:rPr>
            </w:pPr>
            <w:r w:rsidRPr="00A76167">
              <w:rPr>
                <w:rFonts w:cs="Arial"/>
                <w:sz w:val="22"/>
                <w:szCs w:val="22"/>
              </w:rPr>
              <w:t>Rec Status:</w:t>
            </w:r>
          </w:p>
        </w:tc>
        <w:tc>
          <w:tcPr>
            <w:tcW w:w="3260" w:type="dxa"/>
          </w:tcPr>
          <w:p w14:paraId="3893280C" w14:textId="186EBD8A" w:rsidR="00E73882" w:rsidRPr="00A76167" w:rsidRDefault="00E73882" w:rsidP="00E73882">
            <w:pPr>
              <w:jc w:val="right"/>
              <w:rPr>
                <w:rFonts w:cs="Arial"/>
                <w:b/>
                <w:sz w:val="22"/>
                <w:szCs w:val="22"/>
              </w:rPr>
            </w:pPr>
            <w:r w:rsidRPr="00A76167">
              <w:rPr>
                <w:rFonts w:cs="Arial"/>
                <w:b/>
                <w:sz w:val="22"/>
                <w:szCs w:val="22"/>
              </w:rPr>
              <w:t xml:space="preserve">Further Information Required  </w:t>
            </w:r>
          </w:p>
        </w:tc>
        <w:sdt>
          <w:sdtPr>
            <w:rPr>
              <w:rFonts w:cs="Arial"/>
              <w:sz w:val="22"/>
              <w:szCs w:val="22"/>
            </w:rPr>
            <w:id w:val="-290048867"/>
            <w14:checkbox>
              <w14:checked w14:val="0"/>
              <w14:checkedState w14:val="2612" w14:font="MS Gothic"/>
              <w14:uncheckedState w14:val="2610" w14:font="MS Gothic"/>
            </w14:checkbox>
          </w:sdtPr>
          <w:sdtEndPr/>
          <w:sdtContent>
            <w:tc>
              <w:tcPr>
                <w:tcW w:w="567" w:type="dxa"/>
              </w:tcPr>
              <w:p w14:paraId="00742091" w14:textId="6B6A036A"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c>
          <w:tcPr>
            <w:tcW w:w="3685" w:type="dxa"/>
          </w:tcPr>
          <w:p w14:paraId="021203BE" w14:textId="5D11E0C2" w:rsidR="00E73882" w:rsidRPr="00A76167" w:rsidRDefault="00E73882" w:rsidP="00E73882">
            <w:pPr>
              <w:jc w:val="right"/>
              <w:rPr>
                <w:rFonts w:cs="Arial"/>
                <w:b/>
                <w:sz w:val="22"/>
                <w:szCs w:val="22"/>
              </w:rPr>
            </w:pPr>
            <w:r w:rsidRPr="00A76167">
              <w:rPr>
                <w:rFonts w:cs="Arial"/>
                <w:b/>
                <w:sz w:val="22"/>
                <w:szCs w:val="22"/>
              </w:rPr>
              <w:t>Resolved / No Action Required</w:t>
            </w:r>
          </w:p>
        </w:tc>
        <w:sdt>
          <w:sdtPr>
            <w:rPr>
              <w:rFonts w:cs="Arial"/>
              <w:sz w:val="22"/>
              <w:szCs w:val="22"/>
            </w:rPr>
            <w:id w:val="-866514470"/>
            <w14:checkbox>
              <w14:checked w14:val="0"/>
              <w14:checkedState w14:val="2612" w14:font="MS Gothic"/>
              <w14:uncheckedState w14:val="2610" w14:font="MS Gothic"/>
            </w14:checkbox>
          </w:sdtPr>
          <w:sdtEndPr/>
          <w:sdtContent>
            <w:tc>
              <w:tcPr>
                <w:tcW w:w="567" w:type="dxa"/>
              </w:tcPr>
              <w:p w14:paraId="082631D2" w14:textId="11E85802"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r>
    </w:tbl>
    <w:p w14:paraId="33C8B04B" w14:textId="77777777" w:rsidR="00BC0269" w:rsidRPr="00A76167" w:rsidRDefault="00BC0269" w:rsidP="00A76167">
      <w:pPr>
        <w:rPr>
          <w:rFonts w:cs="Arial"/>
          <w:sz w:val="22"/>
          <w:szCs w:val="22"/>
        </w:rPr>
      </w:pPr>
    </w:p>
    <w:tbl>
      <w:tblPr>
        <w:tblStyle w:val="TableGrid"/>
        <w:tblW w:w="9923" w:type="dxa"/>
        <w:tblLayout w:type="fixed"/>
        <w:tblLook w:val="01E0" w:firstRow="1" w:lastRow="1" w:firstColumn="1" w:lastColumn="1" w:noHBand="0" w:noVBand="0"/>
      </w:tblPr>
      <w:tblGrid>
        <w:gridCol w:w="1844"/>
        <w:gridCol w:w="8079"/>
      </w:tblGrid>
      <w:tr w:rsidR="00A76167" w:rsidRPr="00A76167" w14:paraId="2C07A0CF" w14:textId="77777777" w:rsidTr="00A76167">
        <w:tc>
          <w:tcPr>
            <w:tcW w:w="1844" w:type="dxa"/>
          </w:tcPr>
          <w:p w14:paraId="35200AAF" w14:textId="77777777" w:rsidR="00BC0269" w:rsidRPr="00A76167" w:rsidRDefault="00BC0269" w:rsidP="00A76167">
            <w:pPr>
              <w:rPr>
                <w:rFonts w:cs="Arial"/>
                <w:sz w:val="22"/>
                <w:szCs w:val="22"/>
              </w:rPr>
            </w:pPr>
            <w:r w:rsidRPr="00A76167">
              <w:rPr>
                <w:rFonts w:cs="Arial"/>
                <w:sz w:val="22"/>
                <w:szCs w:val="22"/>
              </w:rPr>
              <w:t xml:space="preserve">Ref Code: </w:t>
            </w:r>
          </w:p>
          <w:p w14:paraId="2946A275" w14:textId="77777777" w:rsidR="00BC0269" w:rsidRPr="00A76167" w:rsidRDefault="00BC0269" w:rsidP="00A76167">
            <w:pPr>
              <w:rPr>
                <w:rFonts w:cs="Arial"/>
                <w:b/>
                <w:sz w:val="22"/>
                <w:szCs w:val="22"/>
              </w:rPr>
            </w:pPr>
            <w:r w:rsidRPr="00A76167">
              <w:rPr>
                <w:rFonts w:cs="Arial"/>
                <w:b/>
                <w:sz w:val="22"/>
                <w:szCs w:val="22"/>
              </w:rPr>
              <w:t>2012/268</w:t>
            </w:r>
          </w:p>
          <w:p w14:paraId="15D335E7" w14:textId="77777777" w:rsidR="00BC0269" w:rsidRPr="00A76167" w:rsidRDefault="00BC0269" w:rsidP="00A76167">
            <w:pPr>
              <w:rPr>
                <w:rFonts w:cs="Arial"/>
                <w:sz w:val="22"/>
                <w:szCs w:val="22"/>
              </w:rPr>
            </w:pPr>
            <w:r w:rsidRPr="00A76167">
              <w:rPr>
                <w:rFonts w:cs="Arial"/>
                <w:sz w:val="22"/>
                <w:szCs w:val="22"/>
              </w:rPr>
              <w:t>Made: 26/10/12</w:t>
            </w:r>
          </w:p>
        </w:tc>
        <w:tc>
          <w:tcPr>
            <w:tcW w:w="8079" w:type="dxa"/>
          </w:tcPr>
          <w:p w14:paraId="62C798C3" w14:textId="77777777" w:rsidR="00BC0269" w:rsidRPr="00A76167" w:rsidRDefault="00BC0269" w:rsidP="00A76167">
            <w:pPr>
              <w:rPr>
                <w:rFonts w:cs="Arial"/>
                <w:sz w:val="22"/>
                <w:szCs w:val="22"/>
              </w:rPr>
            </w:pPr>
            <w:r w:rsidRPr="00A76167">
              <w:rPr>
                <w:rFonts w:cs="Arial"/>
                <w:sz w:val="22"/>
                <w:szCs w:val="22"/>
              </w:rPr>
              <w:t xml:space="preserve">MRG asked if there was any base research available on whether particular groups are affected with regards to patient safety. </w:t>
            </w:r>
          </w:p>
          <w:p w14:paraId="1E3C535F" w14:textId="77777777" w:rsidR="00BC0269" w:rsidRPr="00A76167" w:rsidRDefault="00BC0269" w:rsidP="00A76167">
            <w:pPr>
              <w:rPr>
                <w:rFonts w:cs="Arial"/>
                <w:sz w:val="22"/>
                <w:szCs w:val="22"/>
              </w:rPr>
            </w:pPr>
            <w:r w:rsidRPr="00A76167">
              <w:rPr>
                <w:rFonts w:cs="Arial"/>
                <w:sz w:val="22"/>
                <w:szCs w:val="22"/>
              </w:rPr>
              <w:t>It was also commented that the quality statement should indicate whether risk adjustment has been considered, although it was suggested risk adjustment was not necessary in this instance.</w:t>
            </w:r>
          </w:p>
          <w:p w14:paraId="0B5737E2" w14:textId="77777777" w:rsidR="00BC0269" w:rsidRPr="00A76167" w:rsidRDefault="00BC0269" w:rsidP="00A76167">
            <w:pPr>
              <w:rPr>
                <w:rFonts w:cs="Arial"/>
                <w:b/>
                <w:sz w:val="22"/>
                <w:szCs w:val="22"/>
              </w:rPr>
            </w:pPr>
          </w:p>
        </w:tc>
      </w:tr>
      <w:tr w:rsidR="00A76167" w:rsidRPr="00A76167" w14:paraId="5FCB726D" w14:textId="77777777" w:rsidTr="00A76167">
        <w:tc>
          <w:tcPr>
            <w:tcW w:w="1844" w:type="dxa"/>
          </w:tcPr>
          <w:p w14:paraId="3BB0F885" w14:textId="77777777" w:rsidR="00BC0269" w:rsidRPr="00A76167" w:rsidRDefault="00BC0269" w:rsidP="00A76167">
            <w:pPr>
              <w:rPr>
                <w:rFonts w:cs="Arial"/>
                <w:sz w:val="22"/>
                <w:szCs w:val="22"/>
              </w:rPr>
            </w:pPr>
            <w:r w:rsidRPr="00A76167">
              <w:rPr>
                <w:rFonts w:cs="Arial"/>
                <w:sz w:val="22"/>
                <w:szCs w:val="22"/>
              </w:rPr>
              <w:t xml:space="preserve">Update: </w:t>
            </w:r>
          </w:p>
          <w:p w14:paraId="0F3ADF8F" w14:textId="77777777" w:rsidR="00BC0269" w:rsidRPr="00A76167" w:rsidRDefault="00BC0269" w:rsidP="00A76167">
            <w:pPr>
              <w:rPr>
                <w:rFonts w:cs="Arial"/>
                <w:sz w:val="22"/>
                <w:szCs w:val="22"/>
              </w:rPr>
            </w:pPr>
            <w:r w:rsidRPr="00A76167">
              <w:rPr>
                <w:rFonts w:cs="Arial"/>
                <w:sz w:val="22"/>
                <w:szCs w:val="22"/>
              </w:rPr>
              <w:t>Made: 21/02/13</w:t>
            </w:r>
          </w:p>
        </w:tc>
        <w:tc>
          <w:tcPr>
            <w:tcW w:w="8079" w:type="dxa"/>
          </w:tcPr>
          <w:p w14:paraId="609F313C" w14:textId="77777777" w:rsidR="00BC0269" w:rsidRPr="00A76167" w:rsidRDefault="00BC0269" w:rsidP="00A76167">
            <w:pPr>
              <w:rPr>
                <w:rFonts w:cs="Arial"/>
                <w:sz w:val="22"/>
                <w:szCs w:val="22"/>
              </w:rPr>
            </w:pPr>
            <w:r w:rsidRPr="00A76167">
              <w:rPr>
                <w:rFonts w:cs="Arial"/>
                <w:sz w:val="22"/>
                <w:szCs w:val="22"/>
              </w:rPr>
              <w:t xml:space="preserve">There are no age breakdowns in NRLS data so it cannot be risk adjusted. </w:t>
            </w:r>
          </w:p>
          <w:p w14:paraId="5630C527" w14:textId="77777777" w:rsidR="00BC0269" w:rsidRPr="00A76167" w:rsidRDefault="00BC0269" w:rsidP="00A76167">
            <w:pPr>
              <w:rPr>
                <w:rFonts w:cs="Arial"/>
                <w:sz w:val="22"/>
                <w:szCs w:val="22"/>
              </w:rPr>
            </w:pPr>
          </w:p>
          <w:p w14:paraId="28085AC3" w14:textId="77777777" w:rsidR="00BC0269" w:rsidRPr="00A76167" w:rsidRDefault="00BC0269" w:rsidP="00A76167">
            <w:pPr>
              <w:rPr>
                <w:rFonts w:cs="Arial"/>
                <w:sz w:val="22"/>
                <w:szCs w:val="22"/>
              </w:rPr>
            </w:pPr>
            <w:r w:rsidRPr="00A76167">
              <w:rPr>
                <w:rFonts w:cs="Arial"/>
                <w:sz w:val="22"/>
                <w:szCs w:val="22"/>
              </w:rPr>
              <w:t>The NRLS data includes an array of patient safety incidents that can occur in any group.  There are approximately 300k patient safety incidents each quarter and, of those,  around 25% (~80k) are classified as ‘Patient Accident’. The remaining incidents are made up of the following types:</w:t>
            </w:r>
          </w:p>
          <w:p w14:paraId="638EAC66" w14:textId="77777777" w:rsidR="00BC0269" w:rsidRPr="00A76167" w:rsidRDefault="00BC0269" w:rsidP="00BC0269">
            <w:pPr>
              <w:pStyle w:val="ListParagraph"/>
              <w:numPr>
                <w:ilvl w:val="0"/>
                <w:numId w:val="28"/>
              </w:numPr>
              <w:spacing w:after="0"/>
              <w:contextualSpacing/>
              <w:textboxTightWrap w:val="none"/>
              <w:rPr>
                <w:rFonts w:cs="Arial"/>
                <w:sz w:val="22"/>
                <w:szCs w:val="22"/>
              </w:rPr>
            </w:pPr>
            <w:r w:rsidRPr="00A76167">
              <w:rPr>
                <w:rFonts w:cs="Arial"/>
                <w:sz w:val="22"/>
                <w:szCs w:val="22"/>
              </w:rPr>
              <w:t>Medication</w:t>
            </w:r>
          </w:p>
          <w:p w14:paraId="7378C2C8" w14:textId="77777777" w:rsidR="00BC0269" w:rsidRPr="00A76167" w:rsidRDefault="00BC0269" w:rsidP="00BC0269">
            <w:pPr>
              <w:pStyle w:val="ListParagraph"/>
              <w:numPr>
                <w:ilvl w:val="0"/>
                <w:numId w:val="28"/>
              </w:numPr>
              <w:spacing w:after="0"/>
              <w:contextualSpacing/>
              <w:textboxTightWrap w:val="none"/>
              <w:rPr>
                <w:rFonts w:cs="Arial"/>
                <w:sz w:val="22"/>
                <w:szCs w:val="22"/>
              </w:rPr>
            </w:pPr>
            <w:r w:rsidRPr="00A76167">
              <w:rPr>
                <w:rFonts w:cs="Arial"/>
                <w:sz w:val="22"/>
                <w:szCs w:val="22"/>
              </w:rPr>
              <w:t>Treatment/procedure</w:t>
            </w:r>
          </w:p>
          <w:p w14:paraId="7AD56AEA" w14:textId="77777777" w:rsidR="00BC0269" w:rsidRPr="00A76167" w:rsidRDefault="00BC0269" w:rsidP="00BC0269">
            <w:pPr>
              <w:pStyle w:val="ListParagraph"/>
              <w:numPr>
                <w:ilvl w:val="0"/>
                <w:numId w:val="28"/>
              </w:numPr>
              <w:spacing w:after="0"/>
              <w:contextualSpacing/>
              <w:textboxTightWrap w:val="none"/>
              <w:rPr>
                <w:rFonts w:cs="Arial"/>
                <w:sz w:val="22"/>
                <w:szCs w:val="22"/>
              </w:rPr>
            </w:pPr>
            <w:r w:rsidRPr="00A76167">
              <w:rPr>
                <w:rFonts w:cs="Arial"/>
                <w:sz w:val="22"/>
                <w:szCs w:val="22"/>
              </w:rPr>
              <w:t>Implementation of care and ongoing monitoring/review</w:t>
            </w:r>
          </w:p>
          <w:p w14:paraId="68738160" w14:textId="77777777" w:rsidR="00BC0269" w:rsidRPr="00A76167" w:rsidRDefault="00BC0269" w:rsidP="00BC0269">
            <w:pPr>
              <w:pStyle w:val="ListParagraph"/>
              <w:numPr>
                <w:ilvl w:val="0"/>
                <w:numId w:val="28"/>
              </w:numPr>
              <w:spacing w:after="0"/>
              <w:contextualSpacing/>
              <w:textboxTightWrap w:val="none"/>
              <w:rPr>
                <w:rFonts w:cs="Arial"/>
                <w:sz w:val="22"/>
                <w:szCs w:val="22"/>
              </w:rPr>
            </w:pPr>
            <w:r w:rsidRPr="00A76167">
              <w:rPr>
                <w:rFonts w:cs="Arial"/>
                <w:sz w:val="22"/>
                <w:szCs w:val="22"/>
              </w:rPr>
              <w:t>Access, admission, transfer, discharge (including missing patient)</w:t>
            </w:r>
          </w:p>
          <w:p w14:paraId="32372F25" w14:textId="77777777" w:rsidR="00BC0269" w:rsidRPr="00A76167" w:rsidRDefault="00BC0269" w:rsidP="00BC0269">
            <w:pPr>
              <w:pStyle w:val="ListParagraph"/>
              <w:numPr>
                <w:ilvl w:val="0"/>
                <w:numId w:val="28"/>
              </w:numPr>
              <w:spacing w:after="0"/>
              <w:contextualSpacing/>
              <w:textboxTightWrap w:val="none"/>
              <w:rPr>
                <w:rFonts w:cs="Arial"/>
                <w:sz w:val="22"/>
                <w:szCs w:val="22"/>
              </w:rPr>
            </w:pPr>
            <w:r w:rsidRPr="00A76167">
              <w:rPr>
                <w:rFonts w:cs="Arial"/>
                <w:sz w:val="22"/>
                <w:szCs w:val="22"/>
              </w:rPr>
              <w:t>Documentation (including records, identification)</w:t>
            </w:r>
          </w:p>
          <w:p w14:paraId="0A186E2B" w14:textId="77777777" w:rsidR="00BC0269" w:rsidRPr="00A76167" w:rsidRDefault="00BC0269" w:rsidP="00BC0269">
            <w:pPr>
              <w:pStyle w:val="ListParagraph"/>
              <w:numPr>
                <w:ilvl w:val="0"/>
                <w:numId w:val="28"/>
              </w:numPr>
              <w:spacing w:after="0"/>
              <w:contextualSpacing/>
              <w:textboxTightWrap w:val="none"/>
              <w:rPr>
                <w:rFonts w:cs="Arial"/>
                <w:sz w:val="22"/>
                <w:szCs w:val="22"/>
              </w:rPr>
            </w:pPr>
            <w:r w:rsidRPr="00A76167">
              <w:rPr>
                <w:rFonts w:cs="Arial"/>
                <w:sz w:val="22"/>
                <w:szCs w:val="22"/>
              </w:rPr>
              <w:t>Infrastructure (including staffing, facilities, environment)</w:t>
            </w:r>
          </w:p>
          <w:p w14:paraId="66472549" w14:textId="77777777" w:rsidR="00BC0269" w:rsidRPr="00A76167" w:rsidRDefault="00BC0269" w:rsidP="00BC0269">
            <w:pPr>
              <w:pStyle w:val="ListParagraph"/>
              <w:numPr>
                <w:ilvl w:val="0"/>
                <w:numId w:val="28"/>
              </w:numPr>
              <w:spacing w:after="0"/>
              <w:contextualSpacing/>
              <w:textboxTightWrap w:val="none"/>
              <w:rPr>
                <w:rFonts w:cs="Arial"/>
                <w:sz w:val="22"/>
                <w:szCs w:val="22"/>
              </w:rPr>
            </w:pPr>
            <w:r w:rsidRPr="00A76167">
              <w:rPr>
                <w:rFonts w:cs="Arial"/>
                <w:sz w:val="22"/>
                <w:szCs w:val="22"/>
              </w:rPr>
              <w:t>Clinical assessment (including diagnosis, scans, tests, assessments)</w:t>
            </w:r>
          </w:p>
          <w:p w14:paraId="526E4E2A" w14:textId="77777777" w:rsidR="00BC0269" w:rsidRPr="00A76167" w:rsidRDefault="00BC0269" w:rsidP="00BC0269">
            <w:pPr>
              <w:pStyle w:val="ListParagraph"/>
              <w:numPr>
                <w:ilvl w:val="0"/>
                <w:numId w:val="28"/>
              </w:numPr>
              <w:spacing w:after="0"/>
              <w:contextualSpacing/>
              <w:textboxTightWrap w:val="none"/>
              <w:rPr>
                <w:rFonts w:cs="Arial"/>
                <w:sz w:val="22"/>
                <w:szCs w:val="22"/>
              </w:rPr>
            </w:pPr>
            <w:r w:rsidRPr="00A76167">
              <w:rPr>
                <w:rFonts w:cs="Arial"/>
                <w:sz w:val="22"/>
                <w:szCs w:val="22"/>
              </w:rPr>
              <w:t>Other</w:t>
            </w:r>
          </w:p>
          <w:p w14:paraId="6CB989A1" w14:textId="77777777" w:rsidR="00BC0269" w:rsidRPr="00A76167" w:rsidRDefault="00BC0269" w:rsidP="00BC0269">
            <w:pPr>
              <w:pStyle w:val="ListParagraph"/>
              <w:numPr>
                <w:ilvl w:val="0"/>
                <w:numId w:val="28"/>
              </w:numPr>
              <w:spacing w:after="0"/>
              <w:contextualSpacing/>
              <w:textboxTightWrap w:val="none"/>
              <w:rPr>
                <w:rFonts w:cs="Arial"/>
                <w:sz w:val="22"/>
                <w:szCs w:val="22"/>
              </w:rPr>
            </w:pPr>
            <w:r w:rsidRPr="00A76167">
              <w:rPr>
                <w:rFonts w:cs="Arial"/>
                <w:sz w:val="22"/>
                <w:szCs w:val="22"/>
              </w:rPr>
              <w:t>Disruptive, aggressive behaviour</w:t>
            </w:r>
          </w:p>
          <w:p w14:paraId="24E1E6AB" w14:textId="77777777" w:rsidR="00BC0269" w:rsidRPr="00A76167" w:rsidRDefault="00BC0269" w:rsidP="00BC0269">
            <w:pPr>
              <w:pStyle w:val="ListParagraph"/>
              <w:numPr>
                <w:ilvl w:val="0"/>
                <w:numId w:val="28"/>
              </w:numPr>
              <w:spacing w:after="0"/>
              <w:contextualSpacing/>
              <w:textboxTightWrap w:val="none"/>
              <w:rPr>
                <w:rFonts w:cs="Arial"/>
                <w:sz w:val="22"/>
                <w:szCs w:val="22"/>
              </w:rPr>
            </w:pPr>
            <w:r w:rsidRPr="00A76167">
              <w:rPr>
                <w:rFonts w:cs="Arial"/>
                <w:sz w:val="22"/>
                <w:szCs w:val="22"/>
              </w:rPr>
              <w:lastRenderedPageBreak/>
              <w:t>Self-harming behaviour</w:t>
            </w:r>
          </w:p>
          <w:p w14:paraId="095AE74C" w14:textId="77777777" w:rsidR="00BC0269" w:rsidRPr="00A76167" w:rsidRDefault="00BC0269" w:rsidP="00BC0269">
            <w:pPr>
              <w:pStyle w:val="ListParagraph"/>
              <w:numPr>
                <w:ilvl w:val="0"/>
                <w:numId w:val="28"/>
              </w:numPr>
              <w:spacing w:after="0"/>
              <w:contextualSpacing/>
              <w:textboxTightWrap w:val="none"/>
              <w:rPr>
                <w:rFonts w:cs="Arial"/>
                <w:sz w:val="22"/>
                <w:szCs w:val="22"/>
              </w:rPr>
            </w:pPr>
            <w:r w:rsidRPr="00A76167">
              <w:rPr>
                <w:rFonts w:cs="Arial"/>
                <w:sz w:val="22"/>
                <w:szCs w:val="22"/>
              </w:rPr>
              <w:t>Consent, communication, confidentiality</w:t>
            </w:r>
          </w:p>
          <w:p w14:paraId="7F67F26C" w14:textId="77777777" w:rsidR="00BC0269" w:rsidRPr="00A76167" w:rsidRDefault="00BC0269" w:rsidP="00BC0269">
            <w:pPr>
              <w:pStyle w:val="ListParagraph"/>
              <w:numPr>
                <w:ilvl w:val="0"/>
                <w:numId w:val="28"/>
              </w:numPr>
              <w:spacing w:after="0"/>
              <w:contextualSpacing/>
              <w:textboxTightWrap w:val="none"/>
              <w:rPr>
                <w:rFonts w:cs="Arial"/>
                <w:sz w:val="22"/>
                <w:szCs w:val="22"/>
              </w:rPr>
            </w:pPr>
            <w:r w:rsidRPr="00A76167">
              <w:rPr>
                <w:rFonts w:cs="Arial"/>
                <w:sz w:val="22"/>
                <w:szCs w:val="22"/>
              </w:rPr>
              <w:t>Medical device/equipment</w:t>
            </w:r>
          </w:p>
          <w:p w14:paraId="51CC12B1" w14:textId="77777777" w:rsidR="00BC0269" w:rsidRPr="00A76167" w:rsidRDefault="00BC0269" w:rsidP="00BC0269">
            <w:pPr>
              <w:pStyle w:val="ListParagraph"/>
              <w:numPr>
                <w:ilvl w:val="0"/>
                <w:numId w:val="28"/>
              </w:numPr>
              <w:spacing w:after="0"/>
              <w:contextualSpacing/>
              <w:textboxTightWrap w:val="none"/>
              <w:rPr>
                <w:rFonts w:cs="Arial"/>
                <w:sz w:val="22"/>
                <w:szCs w:val="22"/>
              </w:rPr>
            </w:pPr>
            <w:r w:rsidRPr="00A76167">
              <w:rPr>
                <w:rFonts w:cs="Arial"/>
                <w:sz w:val="22"/>
                <w:szCs w:val="22"/>
              </w:rPr>
              <w:t>Infection Control Incident</w:t>
            </w:r>
          </w:p>
          <w:p w14:paraId="1CF5FB13" w14:textId="6872DBCE" w:rsidR="00BC0269" w:rsidRPr="00A76167" w:rsidRDefault="00BC0269" w:rsidP="00BC0269">
            <w:pPr>
              <w:pStyle w:val="ListParagraph"/>
              <w:numPr>
                <w:ilvl w:val="0"/>
                <w:numId w:val="28"/>
              </w:numPr>
              <w:spacing w:after="0"/>
              <w:contextualSpacing/>
              <w:textboxTightWrap w:val="none"/>
              <w:rPr>
                <w:rFonts w:cs="Arial"/>
                <w:sz w:val="22"/>
                <w:szCs w:val="22"/>
              </w:rPr>
            </w:pPr>
            <w:r w:rsidRPr="00A76167">
              <w:rPr>
                <w:rFonts w:cs="Arial"/>
                <w:sz w:val="22"/>
                <w:szCs w:val="22"/>
              </w:rPr>
              <w:t>Patient Abuse (by staff/third party</w:t>
            </w:r>
          </w:p>
          <w:p w14:paraId="196766EA" w14:textId="77777777" w:rsidR="0021513E" w:rsidRPr="00A76167" w:rsidRDefault="0021513E" w:rsidP="00BC0269">
            <w:pPr>
              <w:pStyle w:val="ListParagraph"/>
              <w:numPr>
                <w:ilvl w:val="0"/>
                <w:numId w:val="28"/>
              </w:numPr>
              <w:spacing w:after="0"/>
              <w:contextualSpacing/>
              <w:textboxTightWrap w:val="none"/>
              <w:rPr>
                <w:rFonts w:cs="Arial"/>
                <w:sz w:val="22"/>
                <w:szCs w:val="22"/>
              </w:rPr>
            </w:pPr>
          </w:p>
          <w:p w14:paraId="23ADDB86" w14:textId="77777777" w:rsidR="00BC0269" w:rsidRPr="00A76167" w:rsidRDefault="00BC0269" w:rsidP="00A76167">
            <w:pPr>
              <w:rPr>
                <w:rFonts w:cs="Arial"/>
                <w:b/>
                <w:sz w:val="22"/>
                <w:szCs w:val="22"/>
              </w:rPr>
            </w:pPr>
          </w:p>
        </w:tc>
      </w:tr>
    </w:tbl>
    <w:p w14:paraId="1984FCED" w14:textId="77777777" w:rsidR="00E73882" w:rsidRDefault="00E73882"/>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E73882" w:rsidRPr="00A76167" w14:paraId="654A11DA" w14:textId="77777777" w:rsidTr="00A76167">
        <w:tc>
          <w:tcPr>
            <w:tcW w:w="1844" w:type="dxa"/>
          </w:tcPr>
          <w:p w14:paraId="6098CF0E" w14:textId="7F1B9C4C" w:rsidR="00E73882" w:rsidRPr="00A76167" w:rsidRDefault="00E73882" w:rsidP="00E73882">
            <w:pPr>
              <w:rPr>
                <w:rFonts w:cs="Arial"/>
                <w:sz w:val="22"/>
                <w:szCs w:val="22"/>
              </w:rPr>
            </w:pPr>
            <w:r w:rsidRPr="00A76167">
              <w:rPr>
                <w:rFonts w:cs="Arial"/>
                <w:sz w:val="22"/>
                <w:szCs w:val="22"/>
              </w:rPr>
              <w:t>Rec Status:</w:t>
            </w:r>
          </w:p>
        </w:tc>
        <w:tc>
          <w:tcPr>
            <w:tcW w:w="3260" w:type="dxa"/>
          </w:tcPr>
          <w:p w14:paraId="614C23D3" w14:textId="614808D7" w:rsidR="00E73882" w:rsidRPr="00A76167" w:rsidRDefault="00E73882" w:rsidP="00E73882">
            <w:pPr>
              <w:jc w:val="right"/>
              <w:rPr>
                <w:rFonts w:cs="Arial"/>
                <w:b/>
                <w:sz w:val="22"/>
                <w:szCs w:val="22"/>
              </w:rPr>
            </w:pPr>
            <w:r w:rsidRPr="00A76167">
              <w:rPr>
                <w:rFonts w:cs="Arial"/>
                <w:b/>
                <w:sz w:val="22"/>
                <w:szCs w:val="22"/>
              </w:rPr>
              <w:t xml:space="preserve">Further Information Required  </w:t>
            </w:r>
          </w:p>
        </w:tc>
        <w:sdt>
          <w:sdtPr>
            <w:rPr>
              <w:rFonts w:cs="Arial"/>
              <w:sz w:val="22"/>
              <w:szCs w:val="22"/>
            </w:rPr>
            <w:id w:val="-1010446544"/>
            <w14:checkbox>
              <w14:checked w14:val="0"/>
              <w14:checkedState w14:val="2612" w14:font="MS Gothic"/>
              <w14:uncheckedState w14:val="2610" w14:font="MS Gothic"/>
            </w14:checkbox>
          </w:sdtPr>
          <w:sdtEndPr/>
          <w:sdtContent>
            <w:tc>
              <w:tcPr>
                <w:tcW w:w="567" w:type="dxa"/>
              </w:tcPr>
              <w:p w14:paraId="41074A64" w14:textId="23881C6A"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c>
          <w:tcPr>
            <w:tcW w:w="3685" w:type="dxa"/>
          </w:tcPr>
          <w:p w14:paraId="4FBDB804" w14:textId="37B6CF19" w:rsidR="00E73882" w:rsidRPr="00A76167" w:rsidRDefault="00E73882" w:rsidP="00E73882">
            <w:pPr>
              <w:jc w:val="right"/>
              <w:rPr>
                <w:rFonts w:cs="Arial"/>
                <w:b/>
                <w:sz w:val="22"/>
                <w:szCs w:val="22"/>
              </w:rPr>
            </w:pPr>
            <w:r w:rsidRPr="00A76167">
              <w:rPr>
                <w:rFonts w:cs="Arial"/>
                <w:b/>
                <w:sz w:val="22"/>
                <w:szCs w:val="22"/>
              </w:rPr>
              <w:t>Resolved / No Action Required</w:t>
            </w:r>
          </w:p>
        </w:tc>
        <w:sdt>
          <w:sdtPr>
            <w:rPr>
              <w:rFonts w:cs="Arial"/>
              <w:sz w:val="22"/>
              <w:szCs w:val="22"/>
            </w:rPr>
            <w:id w:val="-682358282"/>
            <w14:checkbox>
              <w14:checked w14:val="0"/>
              <w14:checkedState w14:val="2612" w14:font="MS Gothic"/>
              <w14:uncheckedState w14:val="2610" w14:font="MS Gothic"/>
            </w14:checkbox>
          </w:sdtPr>
          <w:sdtEndPr/>
          <w:sdtContent>
            <w:tc>
              <w:tcPr>
                <w:tcW w:w="567" w:type="dxa"/>
              </w:tcPr>
              <w:p w14:paraId="3C495B8D" w14:textId="7B33BB95"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r>
    </w:tbl>
    <w:p w14:paraId="1A13F597" w14:textId="77777777" w:rsidR="00BC0269" w:rsidRPr="00A76167" w:rsidRDefault="00BC0269" w:rsidP="00A76167">
      <w:pPr>
        <w:ind w:left="-540"/>
        <w:rPr>
          <w:rFonts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A76167" w:rsidRPr="00A76167" w14:paraId="33AEBA63" w14:textId="77777777" w:rsidTr="00A76167">
        <w:tc>
          <w:tcPr>
            <w:tcW w:w="1844" w:type="dxa"/>
          </w:tcPr>
          <w:p w14:paraId="380737A0" w14:textId="77777777" w:rsidR="00BC0269" w:rsidRPr="00A76167" w:rsidRDefault="00BC0269" w:rsidP="00A76167">
            <w:pPr>
              <w:rPr>
                <w:rFonts w:cs="Arial"/>
                <w:sz w:val="22"/>
                <w:szCs w:val="22"/>
              </w:rPr>
            </w:pPr>
            <w:r w:rsidRPr="00A76167">
              <w:rPr>
                <w:rFonts w:cs="Arial"/>
                <w:sz w:val="22"/>
                <w:szCs w:val="22"/>
              </w:rPr>
              <w:t xml:space="preserve">Ref Code: </w:t>
            </w:r>
          </w:p>
          <w:p w14:paraId="07EDD363" w14:textId="77777777" w:rsidR="00BC0269" w:rsidRPr="00A76167" w:rsidRDefault="00BC0269" w:rsidP="00A76167">
            <w:pPr>
              <w:rPr>
                <w:rFonts w:cs="Arial"/>
                <w:b/>
                <w:sz w:val="22"/>
                <w:szCs w:val="22"/>
              </w:rPr>
            </w:pPr>
            <w:r w:rsidRPr="00A76167">
              <w:rPr>
                <w:rFonts w:cs="Arial"/>
                <w:b/>
                <w:sz w:val="22"/>
                <w:szCs w:val="22"/>
              </w:rPr>
              <w:t>2012/269</w:t>
            </w:r>
          </w:p>
          <w:p w14:paraId="49D343C6" w14:textId="77777777" w:rsidR="00BC0269" w:rsidRPr="00A76167" w:rsidRDefault="00BC0269" w:rsidP="00A76167">
            <w:pPr>
              <w:rPr>
                <w:rFonts w:cs="Arial"/>
                <w:sz w:val="22"/>
                <w:szCs w:val="22"/>
              </w:rPr>
            </w:pPr>
            <w:r w:rsidRPr="00A76167">
              <w:rPr>
                <w:rFonts w:cs="Arial"/>
                <w:sz w:val="22"/>
                <w:szCs w:val="22"/>
              </w:rPr>
              <w:t>Made: 26/10/12</w:t>
            </w:r>
          </w:p>
        </w:tc>
        <w:tc>
          <w:tcPr>
            <w:tcW w:w="8079" w:type="dxa"/>
          </w:tcPr>
          <w:p w14:paraId="48DBCF5B" w14:textId="77777777" w:rsidR="00BC0269" w:rsidRPr="00A76167" w:rsidRDefault="00BC0269" w:rsidP="00A76167">
            <w:pPr>
              <w:rPr>
                <w:rFonts w:cs="Arial"/>
                <w:b/>
                <w:sz w:val="22"/>
                <w:szCs w:val="22"/>
              </w:rPr>
            </w:pPr>
            <w:r w:rsidRPr="00A76167">
              <w:rPr>
                <w:rFonts w:cs="Arial"/>
                <w:sz w:val="22"/>
                <w:szCs w:val="22"/>
              </w:rPr>
              <w:t>The data source for the indicator should be reviewed when upcoming changes to the HPA data collections come online which are believed to provide direct CCG level data.</w:t>
            </w:r>
          </w:p>
        </w:tc>
      </w:tr>
      <w:tr w:rsidR="00A76167" w:rsidRPr="00A76167" w14:paraId="20A42B55" w14:textId="77777777" w:rsidTr="00A76167">
        <w:tc>
          <w:tcPr>
            <w:tcW w:w="1844" w:type="dxa"/>
          </w:tcPr>
          <w:p w14:paraId="51314A1F" w14:textId="77777777" w:rsidR="00BC0269" w:rsidRPr="00A76167" w:rsidRDefault="00BC0269" w:rsidP="00A76167">
            <w:pPr>
              <w:rPr>
                <w:rFonts w:cs="Arial"/>
                <w:sz w:val="22"/>
                <w:szCs w:val="22"/>
              </w:rPr>
            </w:pPr>
            <w:r w:rsidRPr="00A76167">
              <w:rPr>
                <w:rFonts w:cs="Arial"/>
                <w:sz w:val="22"/>
                <w:szCs w:val="22"/>
              </w:rPr>
              <w:t xml:space="preserve">Update: </w:t>
            </w:r>
          </w:p>
          <w:p w14:paraId="6AF55F26" w14:textId="77777777" w:rsidR="00BC0269" w:rsidRPr="00A76167" w:rsidRDefault="00BC0269" w:rsidP="00A76167">
            <w:pPr>
              <w:rPr>
                <w:rFonts w:cs="Arial"/>
                <w:sz w:val="22"/>
                <w:szCs w:val="22"/>
              </w:rPr>
            </w:pPr>
            <w:r w:rsidRPr="00A76167">
              <w:rPr>
                <w:rFonts w:cs="Arial"/>
                <w:sz w:val="22"/>
                <w:szCs w:val="22"/>
              </w:rPr>
              <w:t>Made: 21/02/13</w:t>
            </w:r>
          </w:p>
        </w:tc>
        <w:tc>
          <w:tcPr>
            <w:tcW w:w="8079" w:type="dxa"/>
          </w:tcPr>
          <w:p w14:paraId="6250377A" w14:textId="77777777" w:rsidR="00BC0269" w:rsidRPr="00A76167" w:rsidRDefault="00BC0269" w:rsidP="00A76167">
            <w:pPr>
              <w:rPr>
                <w:rFonts w:cs="Arial"/>
                <w:sz w:val="22"/>
                <w:szCs w:val="22"/>
              </w:rPr>
            </w:pPr>
            <w:r w:rsidRPr="00A76167">
              <w:rPr>
                <w:rFonts w:cs="Arial"/>
                <w:sz w:val="22"/>
                <w:szCs w:val="22"/>
              </w:rPr>
              <w:t xml:space="preserve">HPA hold no plans to provide the overall ‘Patient Safety Incidents’ figure at CCG level, although other individual patient safety items such as MRSA and </w:t>
            </w:r>
            <w:r w:rsidRPr="00A76167">
              <w:rPr>
                <w:rFonts w:cs="Arial"/>
                <w:i/>
                <w:sz w:val="22"/>
                <w:szCs w:val="22"/>
              </w:rPr>
              <w:t xml:space="preserve">C. difficile </w:t>
            </w:r>
            <w:r w:rsidRPr="00A76167">
              <w:rPr>
                <w:rFonts w:cs="Arial"/>
                <w:sz w:val="22"/>
                <w:szCs w:val="22"/>
              </w:rPr>
              <w:t xml:space="preserve">will be reported. </w:t>
            </w:r>
          </w:p>
          <w:p w14:paraId="3A6D3B22" w14:textId="77777777" w:rsidR="00BC0269" w:rsidRPr="00A76167" w:rsidRDefault="00BC0269" w:rsidP="00A76167">
            <w:pPr>
              <w:rPr>
                <w:rFonts w:cs="Arial"/>
                <w:sz w:val="22"/>
                <w:szCs w:val="22"/>
              </w:rPr>
            </w:pPr>
            <w:r w:rsidRPr="00A76167">
              <w:rPr>
                <w:rFonts w:cs="Arial"/>
                <w:sz w:val="22"/>
                <w:szCs w:val="22"/>
              </w:rPr>
              <w:t>The NRLS do not hold any GP Practice data and so cannot provide at CCG level in the foreseeable future.</w:t>
            </w:r>
          </w:p>
          <w:p w14:paraId="0B824BD7" w14:textId="77777777" w:rsidR="00BC0269" w:rsidRPr="00A76167" w:rsidRDefault="00BC0269" w:rsidP="00A76167">
            <w:pPr>
              <w:rPr>
                <w:rFonts w:cs="Arial"/>
                <w:b/>
                <w:sz w:val="22"/>
                <w:szCs w:val="22"/>
              </w:rPr>
            </w:pPr>
          </w:p>
        </w:tc>
      </w:tr>
      <w:tr w:rsidR="00A76167" w:rsidRPr="00A76167" w14:paraId="3EE16A16" w14:textId="77777777" w:rsidTr="00A76167">
        <w:tc>
          <w:tcPr>
            <w:tcW w:w="1844" w:type="dxa"/>
          </w:tcPr>
          <w:p w14:paraId="551F2682" w14:textId="77777777" w:rsidR="00BC0269" w:rsidRPr="00A76167" w:rsidRDefault="00BC0269" w:rsidP="00A76167">
            <w:pPr>
              <w:rPr>
                <w:rFonts w:cs="Arial"/>
                <w:sz w:val="22"/>
                <w:szCs w:val="22"/>
              </w:rPr>
            </w:pPr>
            <w:r w:rsidRPr="00A76167">
              <w:rPr>
                <w:rFonts w:cs="Arial"/>
                <w:sz w:val="22"/>
                <w:szCs w:val="22"/>
              </w:rPr>
              <w:t xml:space="preserve">Further Rec: </w:t>
            </w:r>
          </w:p>
          <w:p w14:paraId="27151FC5" w14:textId="77777777" w:rsidR="00BC0269" w:rsidRPr="00A76167" w:rsidRDefault="00BC0269" w:rsidP="00A76167">
            <w:pPr>
              <w:rPr>
                <w:rFonts w:cs="Arial"/>
                <w:sz w:val="22"/>
                <w:szCs w:val="22"/>
              </w:rPr>
            </w:pPr>
            <w:r w:rsidRPr="00A76167">
              <w:rPr>
                <w:rFonts w:cs="Arial"/>
                <w:sz w:val="22"/>
                <w:szCs w:val="22"/>
              </w:rPr>
              <w:t>Made: xx/xx/xx</w:t>
            </w:r>
          </w:p>
        </w:tc>
        <w:tc>
          <w:tcPr>
            <w:tcW w:w="8079" w:type="dxa"/>
          </w:tcPr>
          <w:p w14:paraId="70709A89" w14:textId="77777777" w:rsidR="00BC0269" w:rsidRPr="00A76167" w:rsidRDefault="00BC0269" w:rsidP="00A76167">
            <w:pPr>
              <w:rPr>
                <w:rFonts w:cs="Arial"/>
                <w:b/>
                <w:sz w:val="22"/>
                <w:szCs w:val="22"/>
              </w:rPr>
            </w:pPr>
          </w:p>
          <w:p w14:paraId="2AE56F09" w14:textId="77777777" w:rsidR="00BC0269" w:rsidRPr="00A76167" w:rsidRDefault="00BC0269" w:rsidP="00A76167">
            <w:pPr>
              <w:rPr>
                <w:rFonts w:cs="Arial"/>
                <w:b/>
                <w:sz w:val="22"/>
                <w:szCs w:val="22"/>
              </w:rPr>
            </w:pPr>
          </w:p>
        </w:tc>
      </w:tr>
      <w:tr w:rsidR="00A76167" w:rsidRPr="00A76167" w14:paraId="3043EDEB" w14:textId="77777777" w:rsidTr="00A76167">
        <w:tc>
          <w:tcPr>
            <w:tcW w:w="1844" w:type="dxa"/>
          </w:tcPr>
          <w:p w14:paraId="68AFA236" w14:textId="77777777" w:rsidR="00BC0269" w:rsidRPr="00A76167" w:rsidRDefault="00BC0269" w:rsidP="00A76167">
            <w:pPr>
              <w:rPr>
                <w:rFonts w:cs="Arial"/>
                <w:sz w:val="22"/>
                <w:szCs w:val="22"/>
              </w:rPr>
            </w:pPr>
            <w:r w:rsidRPr="00A76167">
              <w:rPr>
                <w:rFonts w:cs="Arial"/>
                <w:sz w:val="22"/>
                <w:szCs w:val="22"/>
              </w:rPr>
              <w:t xml:space="preserve">Update: </w:t>
            </w:r>
          </w:p>
          <w:p w14:paraId="34EED1C0" w14:textId="77777777" w:rsidR="00BC0269" w:rsidRPr="00A76167" w:rsidRDefault="00BC0269" w:rsidP="00A76167">
            <w:pPr>
              <w:rPr>
                <w:rFonts w:cs="Arial"/>
                <w:sz w:val="22"/>
                <w:szCs w:val="22"/>
              </w:rPr>
            </w:pPr>
            <w:r w:rsidRPr="00A76167">
              <w:rPr>
                <w:rFonts w:cs="Arial"/>
                <w:sz w:val="22"/>
                <w:szCs w:val="22"/>
              </w:rPr>
              <w:t>Made: xx/xx/xx</w:t>
            </w:r>
          </w:p>
        </w:tc>
        <w:tc>
          <w:tcPr>
            <w:tcW w:w="8079" w:type="dxa"/>
          </w:tcPr>
          <w:p w14:paraId="48F18E50" w14:textId="77777777" w:rsidR="00BC0269" w:rsidRPr="00A76167" w:rsidRDefault="00BC0269" w:rsidP="00A76167">
            <w:pPr>
              <w:rPr>
                <w:rFonts w:cs="Arial"/>
                <w:b/>
                <w:sz w:val="22"/>
                <w:szCs w:val="22"/>
              </w:rPr>
            </w:pPr>
          </w:p>
          <w:p w14:paraId="75ED6B8D" w14:textId="77777777" w:rsidR="00BC0269" w:rsidRPr="00A76167" w:rsidRDefault="00BC0269" w:rsidP="00A76167">
            <w:pPr>
              <w:rPr>
                <w:rFonts w:cs="Arial"/>
                <w:b/>
                <w:sz w:val="22"/>
                <w:szCs w:val="22"/>
              </w:rPr>
            </w:pPr>
          </w:p>
        </w:tc>
      </w:tr>
    </w:tbl>
    <w:p w14:paraId="0AB04A9A" w14:textId="77777777" w:rsidR="00E73882" w:rsidRDefault="00E73882"/>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E73882" w:rsidRPr="00A76167" w14:paraId="080E4C27" w14:textId="77777777" w:rsidTr="00A76167">
        <w:tc>
          <w:tcPr>
            <w:tcW w:w="1844" w:type="dxa"/>
          </w:tcPr>
          <w:p w14:paraId="47C47A87" w14:textId="04F6FF80" w:rsidR="00E73882" w:rsidRPr="00A76167" w:rsidRDefault="00E73882" w:rsidP="00E73882">
            <w:pPr>
              <w:rPr>
                <w:rFonts w:cs="Arial"/>
                <w:sz w:val="22"/>
                <w:szCs w:val="22"/>
              </w:rPr>
            </w:pPr>
            <w:r w:rsidRPr="00A76167">
              <w:rPr>
                <w:rFonts w:cs="Arial"/>
                <w:sz w:val="22"/>
                <w:szCs w:val="22"/>
              </w:rPr>
              <w:t>Rec Status:</w:t>
            </w:r>
          </w:p>
        </w:tc>
        <w:tc>
          <w:tcPr>
            <w:tcW w:w="3260" w:type="dxa"/>
          </w:tcPr>
          <w:p w14:paraId="579D7411" w14:textId="12B494DD" w:rsidR="00E73882" w:rsidRPr="00A76167" w:rsidRDefault="00E73882" w:rsidP="00E73882">
            <w:pPr>
              <w:jc w:val="right"/>
              <w:rPr>
                <w:rFonts w:cs="Arial"/>
                <w:b/>
                <w:sz w:val="22"/>
                <w:szCs w:val="22"/>
              </w:rPr>
            </w:pPr>
            <w:r w:rsidRPr="00A76167">
              <w:rPr>
                <w:rFonts w:cs="Arial"/>
                <w:b/>
                <w:sz w:val="22"/>
                <w:szCs w:val="22"/>
              </w:rPr>
              <w:t xml:space="preserve">Further Information Required  </w:t>
            </w:r>
          </w:p>
        </w:tc>
        <w:sdt>
          <w:sdtPr>
            <w:rPr>
              <w:rFonts w:cs="Arial"/>
              <w:sz w:val="22"/>
              <w:szCs w:val="22"/>
            </w:rPr>
            <w:id w:val="-1456176397"/>
            <w14:checkbox>
              <w14:checked w14:val="0"/>
              <w14:checkedState w14:val="2612" w14:font="MS Gothic"/>
              <w14:uncheckedState w14:val="2610" w14:font="MS Gothic"/>
            </w14:checkbox>
          </w:sdtPr>
          <w:sdtEndPr/>
          <w:sdtContent>
            <w:tc>
              <w:tcPr>
                <w:tcW w:w="567" w:type="dxa"/>
              </w:tcPr>
              <w:p w14:paraId="4E7AA703" w14:textId="34BFA113"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c>
          <w:tcPr>
            <w:tcW w:w="3685" w:type="dxa"/>
          </w:tcPr>
          <w:p w14:paraId="5265FB13" w14:textId="369337FC" w:rsidR="00E73882" w:rsidRPr="00A76167" w:rsidRDefault="00E73882" w:rsidP="00E73882">
            <w:pPr>
              <w:jc w:val="right"/>
              <w:rPr>
                <w:rFonts w:cs="Arial"/>
                <w:b/>
                <w:sz w:val="22"/>
                <w:szCs w:val="22"/>
              </w:rPr>
            </w:pPr>
            <w:r w:rsidRPr="00A76167">
              <w:rPr>
                <w:rFonts w:cs="Arial"/>
                <w:b/>
                <w:sz w:val="22"/>
                <w:szCs w:val="22"/>
              </w:rPr>
              <w:t>Resolved / No Action Required</w:t>
            </w:r>
          </w:p>
        </w:tc>
        <w:sdt>
          <w:sdtPr>
            <w:rPr>
              <w:rFonts w:cs="Arial"/>
              <w:sz w:val="22"/>
              <w:szCs w:val="22"/>
            </w:rPr>
            <w:id w:val="-229777995"/>
            <w14:checkbox>
              <w14:checked w14:val="0"/>
              <w14:checkedState w14:val="2612" w14:font="MS Gothic"/>
              <w14:uncheckedState w14:val="2610" w14:font="MS Gothic"/>
            </w14:checkbox>
          </w:sdtPr>
          <w:sdtEndPr/>
          <w:sdtContent>
            <w:tc>
              <w:tcPr>
                <w:tcW w:w="567" w:type="dxa"/>
              </w:tcPr>
              <w:p w14:paraId="2D5DF1B4" w14:textId="48D78F78"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r>
    </w:tbl>
    <w:p w14:paraId="0E52518C" w14:textId="77777777" w:rsidR="00BC0269" w:rsidRPr="00A76167" w:rsidRDefault="00BC0269" w:rsidP="00A76167">
      <w:pPr>
        <w:ind w:left="-540"/>
        <w:rPr>
          <w:rFonts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A76167" w:rsidRPr="00A76167" w14:paraId="198A1DD7" w14:textId="77777777" w:rsidTr="00A76167">
        <w:tc>
          <w:tcPr>
            <w:tcW w:w="1844" w:type="dxa"/>
          </w:tcPr>
          <w:p w14:paraId="6A563B60" w14:textId="77777777" w:rsidR="00BC0269" w:rsidRPr="00A76167" w:rsidRDefault="00BC0269" w:rsidP="00A76167">
            <w:pPr>
              <w:rPr>
                <w:rFonts w:cs="Arial"/>
                <w:sz w:val="22"/>
                <w:szCs w:val="22"/>
              </w:rPr>
            </w:pPr>
            <w:r w:rsidRPr="00A76167">
              <w:rPr>
                <w:rFonts w:cs="Arial"/>
                <w:sz w:val="22"/>
                <w:szCs w:val="22"/>
              </w:rPr>
              <w:t xml:space="preserve">Ref Code: </w:t>
            </w:r>
          </w:p>
          <w:p w14:paraId="0930CE2F" w14:textId="77777777" w:rsidR="00BC0269" w:rsidRPr="00A76167" w:rsidRDefault="00BC0269" w:rsidP="00A76167">
            <w:pPr>
              <w:rPr>
                <w:rFonts w:cs="Arial"/>
                <w:b/>
                <w:sz w:val="22"/>
                <w:szCs w:val="22"/>
              </w:rPr>
            </w:pPr>
            <w:r w:rsidRPr="00A76167">
              <w:rPr>
                <w:rFonts w:cs="Arial"/>
                <w:b/>
                <w:sz w:val="22"/>
                <w:szCs w:val="22"/>
              </w:rPr>
              <w:t>2013/07</w:t>
            </w:r>
          </w:p>
          <w:p w14:paraId="3062A1AA" w14:textId="77777777" w:rsidR="00BC0269" w:rsidRPr="00A76167" w:rsidRDefault="00BC0269" w:rsidP="00A76167">
            <w:pPr>
              <w:rPr>
                <w:rFonts w:cs="Arial"/>
                <w:sz w:val="22"/>
                <w:szCs w:val="22"/>
              </w:rPr>
            </w:pPr>
            <w:r w:rsidRPr="00A76167">
              <w:rPr>
                <w:rFonts w:cs="Arial"/>
                <w:sz w:val="22"/>
                <w:szCs w:val="22"/>
              </w:rPr>
              <w:t>Made: 21/02/13</w:t>
            </w:r>
          </w:p>
        </w:tc>
        <w:tc>
          <w:tcPr>
            <w:tcW w:w="8079" w:type="dxa"/>
          </w:tcPr>
          <w:p w14:paraId="52E0C043" w14:textId="77777777" w:rsidR="00BC0269" w:rsidRPr="00A76167" w:rsidRDefault="00BC0269" w:rsidP="00A76167">
            <w:pPr>
              <w:rPr>
                <w:rFonts w:cs="Arial"/>
                <w:sz w:val="22"/>
                <w:szCs w:val="22"/>
              </w:rPr>
            </w:pPr>
            <w:r w:rsidRPr="00A76167">
              <w:rPr>
                <w:rFonts w:cs="Arial"/>
                <w:sz w:val="22"/>
                <w:szCs w:val="22"/>
              </w:rPr>
              <w:t>An alternative approach to the previously presented attribution method had been considered; used by the DH in the CCG packs. MRG favoured this  approach for this indicator on the basis that the more contextual information provided the better, without presenting the actual value (not robust enough without GP code collection).</w:t>
            </w:r>
          </w:p>
          <w:p w14:paraId="133CAB73" w14:textId="77777777" w:rsidR="00BC0269" w:rsidRPr="00A76167" w:rsidRDefault="00BC0269" w:rsidP="00A76167">
            <w:pPr>
              <w:rPr>
                <w:rFonts w:cs="Arial"/>
                <w:b/>
                <w:sz w:val="22"/>
                <w:szCs w:val="22"/>
              </w:rPr>
            </w:pPr>
          </w:p>
        </w:tc>
      </w:tr>
      <w:tr w:rsidR="00A76167" w:rsidRPr="00A76167" w14:paraId="69151583" w14:textId="77777777" w:rsidTr="00A76167">
        <w:tc>
          <w:tcPr>
            <w:tcW w:w="1844" w:type="dxa"/>
          </w:tcPr>
          <w:p w14:paraId="62A78A62" w14:textId="77777777" w:rsidR="00BC0269" w:rsidRPr="00A76167" w:rsidRDefault="00BC0269" w:rsidP="00A76167">
            <w:pPr>
              <w:rPr>
                <w:rFonts w:cs="Arial"/>
                <w:sz w:val="22"/>
                <w:szCs w:val="22"/>
              </w:rPr>
            </w:pPr>
            <w:r w:rsidRPr="00A76167">
              <w:rPr>
                <w:rFonts w:cs="Arial"/>
                <w:sz w:val="22"/>
                <w:szCs w:val="22"/>
              </w:rPr>
              <w:t xml:space="preserve">Update: </w:t>
            </w:r>
          </w:p>
          <w:p w14:paraId="5074C42B" w14:textId="77777777" w:rsidR="00BC0269" w:rsidRPr="00A76167" w:rsidRDefault="00BC0269" w:rsidP="00A76167">
            <w:pPr>
              <w:rPr>
                <w:rFonts w:cs="Arial"/>
                <w:sz w:val="22"/>
                <w:szCs w:val="22"/>
              </w:rPr>
            </w:pPr>
            <w:r w:rsidRPr="00A76167">
              <w:rPr>
                <w:rFonts w:cs="Arial"/>
                <w:sz w:val="22"/>
                <w:szCs w:val="22"/>
              </w:rPr>
              <w:t>Made: 21/02/13</w:t>
            </w:r>
          </w:p>
        </w:tc>
        <w:tc>
          <w:tcPr>
            <w:tcW w:w="8079" w:type="dxa"/>
          </w:tcPr>
          <w:p w14:paraId="2A96750C" w14:textId="77777777" w:rsidR="00BC0269" w:rsidRPr="00A76167" w:rsidRDefault="00BC0269" w:rsidP="00A76167">
            <w:pPr>
              <w:rPr>
                <w:rFonts w:cs="Arial"/>
                <w:b/>
                <w:sz w:val="22"/>
                <w:szCs w:val="22"/>
              </w:rPr>
            </w:pPr>
          </w:p>
        </w:tc>
      </w:tr>
      <w:tr w:rsidR="00A76167" w:rsidRPr="00A76167" w14:paraId="081F054E" w14:textId="77777777" w:rsidTr="00A76167">
        <w:tc>
          <w:tcPr>
            <w:tcW w:w="1844" w:type="dxa"/>
          </w:tcPr>
          <w:p w14:paraId="68E73FB8" w14:textId="77777777" w:rsidR="00BC0269" w:rsidRPr="00A76167" w:rsidRDefault="00BC0269" w:rsidP="00A76167">
            <w:pPr>
              <w:rPr>
                <w:rFonts w:cs="Arial"/>
                <w:sz w:val="22"/>
                <w:szCs w:val="22"/>
              </w:rPr>
            </w:pPr>
            <w:r w:rsidRPr="00A76167">
              <w:rPr>
                <w:rFonts w:cs="Arial"/>
                <w:sz w:val="22"/>
                <w:szCs w:val="22"/>
              </w:rPr>
              <w:t xml:space="preserve">Further Rec: </w:t>
            </w:r>
          </w:p>
          <w:p w14:paraId="0A845CB9" w14:textId="77777777" w:rsidR="00BC0269" w:rsidRPr="00A76167" w:rsidRDefault="00BC0269" w:rsidP="00A76167">
            <w:pPr>
              <w:rPr>
                <w:rFonts w:cs="Arial"/>
                <w:sz w:val="22"/>
                <w:szCs w:val="22"/>
              </w:rPr>
            </w:pPr>
            <w:r w:rsidRPr="00A76167">
              <w:rPr>
                <w:rFonts w:cs="Arial"/>
                <w:sz w:val="22"/>
                <w:szCs w:val="22"/>
              </w:rPr>
              <w:t>Made: xx/xx/xx</w:t>
            </w:r>
          </w:p>
        </w:tc>
        <w:tc>
          <w:tcPr>
            <w:tcW w:w="8079" w:type="dxa"/>
          </w:tcPr>
          <w:p w14:paraId="12E5E7BF" w14:textId="77777777" w:rsidR="00BC0269" w:rsidRPr="00A76167" w:rsidRDefault="00BC0269" w:rsidP="00A76167">
            <w:pPr>
              <w:rPr>
                <w:rFonts w:cs="Arial"/>
                <w:b/>
                <w:sz w:val="22"/>
                <w:szCs w:val="22"/>
              </w:rPr>
            </w:pPr>
          </w:p>
          <w:p w14:paraId="18F84941" w14:textId="77777777" w:rsidR="00BC0269" w:rsidRPr="00A76167" w:rsidRDefault="00BC0269" w:rsidP="00A76167">
            <w:pPr>
              <w:rPr>
                <w:rFonts w:cs="Arial"/>
                <w:b/>
                <w:sz w:val="22"/>
                <w:szCs w:val="22"/>
              </w:rPr>
            </w:pPr>
          </w:p>
        </w:tc>
      </w:tr>
      <w:tr w:rsidR="00A76167" w:rsidRPr="00A76167" w14:paraId="2277BA4F" w14:textId="77777777" w:rsidTr="00A76167">
        <w:tc>
          <w:tcPr>
            <w:tcW w:w="1844" w:type="dxa"/>
          </w:tcPr>
          <w:p w14:paraId="291B27C7" w14:textId="77777777" w:rsidR="00BC0269" w:rsidRPr="00A76167" w:rsidRDefault="00BC0269" w:rsidP="00A76167">
            <w:pPr>
              <w:rPr>
                <w:rFonts w:cs="Arial"/>
                <w:sz w:val="22"/>
                <w:szCs w:val="22"/>
              </w:rPr>
            </w:pPr>
            <w:r w:rsidRPr="00A76167">
              <w:rPr>
                <w:rFonts w:cs="Arial"/>
                <w:sz w:val="22"/>
                <w:szCs w:val="22"/>
              </w:rPr>
              <w:t xml:space="preserve">Update: </w:t>
            </w:r>
          </w:p>
          <w:p w14:paraId="11D1B7BD" w14:textId="77777777" w:rsidR="00BC0269" w:rsidRPr="00A76167" w:rsidRDefault="00BC0269" w:rsidP="00A76167">
            <w:pPr>
              <w:rPr>
                <w:rFonts w:cs="Arial"/>
                <w:sz w:val="22"/>
                <w:szCs w:val="22"/>
              </w:rPr>
            </w:pPr>
            <w:r w:rsidRPr="00A76167">
              <w:rPr>
                <w:rFonts w:cs="Arial"/>
                <w:sz w:val="22"/>
                <w:szCs w:val="22"/>
              </w:rPr>
              <w:lastRenderedPageBreak/>
              <w:t>Made: xx/xx/xx</w:t>
            </w:r>
          </w:p>
        </w:tc>
        <w:tc>
          <w:tcPr>
            <w:tcW w:w="8079" w:type="dxa"/>
          </w:tcPr>
          <w:p w14:paraId="35829B36" w14:textId="77777777" w:rsidR="00BC0269" w:rsidRPr="00A76167" w:rsidRDefault="00BC0269" w:rsidP="00A76167">
            <w:pPr>
              <w:rPr>
                <w:rFonts w:cs="Arial"/>
                <w:b/>
                <w:sz w:val="22"/>
                <w:szCs w:val="22"/>
              </w:rPr>
            </w:pPr>
          </w:p>
          <w:p w14:paraId="6E894061" w14:textId="77777777" w:rsidR="00BC0269" w:rsidRPr="00A76167" w:rsidRDefault="00BC0269" w:rsidP="00A76167">
            <w:pPr>
              <w:rPr>
                <w:rFonts w:cs="Arial"/>
                <w:b/>
                <w:sz w:val="22"/>
                <w:szCs w:val="22"/>
              </w:rPr>
            </w:pPr>
          </w:p>
        </w:tc>
      </w:tr>
    </w:tbl>
    <w:p w14:paraId="10A7CF08" w14:textId="77777777" w:rsidR="00E73882" w:rsidRDefault="00E73882"/>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E73882" w:rsidRPr="00A76167" w14:paraId="6271CC0E" w14:textId="77777777" w:rsidTr="00A76167">
        <w:tc>
          <w:tcPr>
            <w:tcW w:w="1844" w:type="dxa"/>
          </w:tcPr>
          <w:p w14:paraId="03DCD8AE" w14:textId="5750400C" w:rsidR="00E73882" w:rsidRPr="00A76167" w:rsidRDefault="00E73882" w:rsidP="00E73882">
            <w:pPr>
              <w:rPr>
                <w:rFonts w:cs="Arial"/>
                <w:sz w:val="22"/>
                <w:szCs w:val="22"/>
              </w:rPr>
            </w:pPr>
            <w:r w:rsidRPr="00A76167">
              <w:rPr>
                <w:rFonts w:cs="Arial"/>
                <w:sz w:val="22"/>
                <w:szCs w:val="22"/>
              </w:rPr>
              <w:t>Rec Status:</w:t>
            </w:r>
          </w:p>
        </w:tc>
        <w:tc>
          <w:tcPr>
            <w:tcW w:w="3260" w:type="dxa"/>
          </w:tcPr>
          <w:p w14:paraId="4A7150BE" w14:textId="3CB5EBE5" w:rsidR="00E73882" w:rsidRPr="00A76167" w:rsidRDefault="00E73882" w:rsidP="00E73882">
            <w:pPr>
              <w:jc w:val="right"/>
              <w:rPr>
                <w:rFonts w:cs="Arial"/>
                <w:b/>
                <w:sz w:val="22"/>
                <w:szCs w:val="22"/>
              </w:rPr>
            </w:pPr>
            <w:r w:rsidRPr="00A76167">
              <w:rPr>
                <w:rFonts w:cs="Arial"/>
                <w:b/>
                <w:sz w:val="22"/>
                <w:szCs w:val="22"/>
              </w:rPr>
              <w:t xml:space="preserve">Further Information Required  </w:t>
            </w:r>
          </w:p>
        </w:tc>
        <w:sdt>
          <w:sdtPr>
            <w:rPr>
              <w:rFonts w:cs="Arial"/>
              <w:sz w:val="22"/>
              <w:szCs w:val="22"/>
            </w:rPr>
            <w:id w:val="226506490"/>
            <w14:checkbox>
              <w14:checked w14:val="0"/>
              <w14:checkedState w14:val="2612" w14:font="MS Gothic"/>
              <w14:uncheckedState w14:val="2610" w14:font="MS Gothic"/>
            </w14:checkbox>
          </w:sdtPr>
          <w:sdtEndPr/>
          <w:sdtContent>
            <w:tc>
              <w:tcPr>
                <w:tcW w:w="567" w:type="dxa"/>
              </w:tcPr>
              <w:p w14:paraId="78337870" w14:textId="2A277A5F"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c>
          <w:tcPr>
            <w:tcW w:w="3685" w:type="dxa"/>
          </w:tcPr>
          <w:p w14:paraId="69A064B5" w14:textId="478E619B" w:rsidR="00E73882" w:rsidRPr="00A76167" w:rsidRDefault="00E73882" w:rsidP="00E73882">
            <w:pPr>
              <w:jc w:val="right"/>
              <w:rPr>
                <w:rFonts w:cs="Arial"/>
                <w:b/>
                <w:sz w:val="22"/>
                <w:szCs w:val="22"/>
              </w:rPr>
            </w:pPr>
            <w:r w:rsidRPr="00A76167">
              <w:rPr>
                <w:rFonts w:cs="Arial"/>
                <w:b/>
                <w:sz w:val="22"/>
                <w:szCs w:val="22"/>
              </w:rPr>
              <w:t>Resolved / No Action Required</w:t>
            </w:r>
          </w:p>
        </w:tc>
        <w:sdt>
          <w:sdtPr>
            <w:rPr>
              <w:rFonts w:cs="Arial"/>
              <w:sz w:val="22"/>
              <w:szCs w:val="22"/>
            </w:rPr>
            <w:id w:val="1789937473"/>
            <w14:checkbox>
              <w14:checked w14:val="0"/>
              <w14:checkedState w14:val="2612" w14:font="MS Gothic"/>
              <w14:uncheckedState w14:val="2610" w14:font="MS Gothic"/>
            </w14:checkbox>
          </w:sdtPr>
          <w:sdtEndPr/>
          <w:sdtContent>
            <w:tc>
              <w:tcPr>
                <w:tcW w:w="567" w:type="dxa"/>
              </w:tcPr>
              <w:p w14:paraId="4944760E" w14:textId="3C436202"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r>
    </w:tbl>
    <w:p w14:paraId="3723E05D" w14:textId="5846457C" w:rsidR="0021513E" w:rsidRPr="00A76167" w:rsidRDefault="0021513E" w:rsidP="00A76167">
      <w:pPr>
        <w:ind w:left="-540"/>
        <w:rPr>
          <w:rFonts w:cs="Arial"/>
          <w:b/>
          <w:sz w:val="22"/>
          <w:szCs w:val="22"/>
        </w:rPr>
      </w:pPr>
    </w:p>
    <w:p w14:paraId="1AE49DA3" w14:textId="77777777" w:rsidR="0021513E" w:rsidRPr="00A76167" w:rsidRDefault="0021513E">
      <w:pPr>
        <w:spacing w:after="0"/>
        <w:textboxTightWrap w:val="none"/>
        <w:rPr>
          <w:rFonts w:cs="Arial"/>
          <w:b/>
          <w:sz w:val="22"/>
          <w:szCs w:val="22"/>
        </w:rPr>
      </w:pPr>
      <w:r w:rsidRPr="00A76167">
        <w:rPr>
          <w:rFonts w:cs="Arial"/>
          <w:b/>
          <w:sz w:val="22"/>
          <w:szCs w:val="22"/>
        </w:rPr>
        <w:br w:type="page"/>
      </w:r>
    </w:p>
    <w:p w14:paraId="45CCAE44" w14:textId="77777777" w:rsidR="00BC0269" w:rsidRPr="00A76167" w:rsidRDefault="00BC0269" w:rsidP="00A76167">
      <w:pPr>
        <w:ind w:left="-540"/>
        <w:rPr>
          <w:rFonts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A76167" w:rsidRPr="00A76167" w14:paraId="7584C9B4" w14:textId="77777777" w:rsidTr="00A76167">
        <w:tc>
          <w:tcPr>
            <w:tcW w:w="1844" w:type="dxa"/>
          </w:tcPr>
          <w:p w14:paraId="54BF569E" w14:textId="77777777" w:rsidR="00BC0269" w:rsidRPr="00A76167" w:rsidRDefault="00BC0269" w:rsidP="00A76167">
            <w:pPr>
              <w:rPr>
                <w:rFonts w:cs="Arial"/>
                <w:sz w:val="22"/>
                <w:szCs w:val="22"/>
              </w:rPr>
            </w:pPr>
            <w:r w:rsidRPr="00A76167">
              <w:rPr>
                <w:rFonts w:cs="Arial"/>
                <w:sz w:val="22"/>
                <w:szCs w:val="22"/>
              </w:rPr>
              <w:t xml:space="preserve">Ref Code: </w:t>
            </w:r>
          </w:p>
          <w:p w14:paraId="4B6ABE7E" w14:textId="77777777" w:rsidR="00BC0269" w:rsidRPr="00A76167" w:rsidRDefault="00BC0269" w:rsidP="00A76167">
            <w:pPr>
              <w:rPr>
                <w:rFonts w:cs="Arial"/>
                <w:b/>
                <w:sz w:val="22"/>
                <w:szCs w:val="22"/>
              </w:rPr>
            </w:pPr>
            <w:r w:rsidRPr="00A76167">
              <w:rPr>
                <w:rFonts w:cs="Arial"/>
                <w:b/>
                <w:sz w:val="22"/>
                <w:szCs w:val="22"/>
              </w:rPr>
              <w:t>2013/08</w:t>
            </w:r>
          </w:p>
          <w:p w14:paraId="591AD278" w14:textId="77777777" w:rsidR="00BC0269" w:rsidRPr="00A76167" w:rsidRDefault="00BC0269" w:rsidP="00A76167">
            <w:pPr>
              <w:rPr>
                <w:rFonts w:cs="Arial"/>
                <w:sz w:val="22"/>
                <w:szCs w:val="22"/>
              </w:rPr>
            </w:pPr>
            <w:r w:rsidRPr="00A76167">
              <w:rPr>
                <w:rFonts w:cs="Arial"/>
                <w:sz w:val="22"/>
                <w:szCs w:val="22"/>
              </w:rPr>
              <w:t>Made: 21/02/13</w:t>
            </w:r>
          </w:p>
        </w:tc>
        <w:tc>
          <w:tcPr>
            <w:tcW w:w="8079" w:type="dxa"/>
          </w:tcPr>
          <w:p w14:paraId="7509389B" w14:textId="77777777" w:rsidR="00BC0269" w:rsidRPr="00A76167" w:rsidRDefault="00BC0269" w:rsidP="00A76167">
            <w:pPr>
              <w:rPr>
                <w:rFonts w:cs="Arial"/>
                <w:sz w:val="22"/>
                <w:szCs w:val="22"/>
              </w:rPr>
            </w:pPr>
            <w:r w:rsidRPr="00A76167">
              <w:rPr>
                <w:rFonts w:cs="Arial"/>
                <w:sz w:val="22"/>
                <w:szCs w:val="22"/>
              </w:rPr>
              <w:t>MRG discussed further the options for ensuring that a meaningful denominator is used that allows the indicator to capture the level of risk.</w:t>
            </w:r>
          </w:p>
          <w:p w14:paraId="7DCD8B8A" w14:textId="03023303" w:rsidR="00BC0269" w:rsidRPr="00A76167" w:rsidRDefault="00BC0269" w:rsidP="00BC0269">
            <w:pPr>
              <w:numPr>
                <w:ilvl w:val="0"/>
                <w:numId w:val="29"/>
              </w:numPr>
              <w:spacing w:after="60"/>
              <w:textboxTightWrap w:val="none"/>
              <w:rPr>
                <w:rFonts w:cs="Arial"/>
                <w:sz w:val="22"/>
                <w:szCs w:val="22"/>
              </w:rPr>
            </w:pPr>
            <w:r w:rsidRPr="00A76167">
              <w:rPr>
                <w:rFonts w:cs="Arial"/>
                <w:sz w:val="22"/>
                <w:szCs w:val="22"/>
              </w:rPr>
              <w:t xml:space="preserve">Length of stay would not provide enough information on </w:t>
            </w:r>
            <w:r w:rsidR="0021513E" w:rsidRPr="00A76167">
              <w:rPr>
                <w:rFonts w:cs="Arial"/>
                <w:sz w:val="22"/>
                <w:szCs w:val="22"/>
              </w:rPr>
              <w:t>its</w:t>
            </w:r>
            <w:r w:rsidRPr="00A76167">
              <w:rPr>
                <w:rFonts w:cs="Arial"/>
                <w:sz w:val="22"/>
                <w:szCs w:val="22"/>
              </w:rPr>
              <w:t xml:space="preserve"> own as this would also depend on the number/ types of admissions.</w:t>
            </w:r>
          </w:p>
          <w:p w14:paraId="516F2970" w14:textId="77777777" w:rsidR="00BC0269" w:rsidRPr="00A76167" w:rsidRDefault="00BC0269" w:rsidP="00BC0269">
            <w:pPr>
              <w:numPr>
                <w:ilvl w:val="0"/>
                <w:numId w:val="29"/>
              </w:numPr>
              <w:spacing w:after="60"/>
              <w:textboxTightWrap w:val="none"/>
              <w:rPr>
                <w:rFonts w:cs="Arial"/>
                <w:sz w:val="22"/>
                <w:szCs w:val="22"/>
              </w:rPr>
            </w:pPr>
            <w:r w:rsidRPr="00A76167">
              <w:rPr>
                <w:rFonts w:cs="Arial"/>
                <w:sz w:val="22"/>
                <w:szCs w:val="22"/>
              </w:rPr>
              <w:t>Admissions on their own would not provide enough information as patients who have a longer stay (which could vary by provider) would be at greater risk of incident.</w:t>
            </w:r>
          </w:p>
          <w:p w14:paraId="309594B7" w14:textId="77777777" w:rsidR="00BC0269" w:rsidRPr="00A76167" w:rsidRDefault="00BC0269" w:rsidP="00BC0269">
            <w:pPr>
              <w:numPr>
                <w:ilvl w:val="0"/>
                <w:numId w:val="29"/>
              </w:numPr>
              <w:spacing w:after="60"/>
              <w:textboxTightWrap w:val="none"/>
              <w:rPr>
                <w:rFonts w:cs="Arial"/>
                <w:sz w:val="22"/>
                <w:szCs w:val="22"/>
              </w:rPr>
            </w:pPr>
            <w:r w:rsidRPr="00A76167">
              <w:rPr>
                <w:rFonts w:cs="Arial"/>
                <w:sz w:val="22"/>
                <w:szCs w:val="22"/>
              </w:rPr>
              <w:t>Bed days would appear to offer the best opportunity in terms of a meaningful denominator. In respect of whether to use 1 or ½ for partial day stays, this wouldn’t matter either way as long as this is consistent between CCGs.</w:t>
            </w:r>
          </w:p>
          <w:p w14:paraId="757700F3" w14:textId="77777777" w:rsidR="00BC0269" w:rsidRPr="00A76167" w:rsidRDefault="00BC0269" w:rsidP="00A76167">
            <w:pPr>
              <w:rPr>
                <w:rFonts w:cs="Arial"/>
                <w:sz w:val="22"/>
                <w:szCs w:val="22"/>
              </w:rPr>
            </w:pPr>
            <w:r w:rsidRPr="00A76167">
              <w:rPr>
                <w:rFonts w:cs="Arial"/>
                <w:sz w:val="22"/>
                <w:szCs w:val="22"/>
              </w:rPr>
              <w:t>To check where bed days used in other indicators to ensure consistency.</w:t>
            </w:r>
          </w:p>
          <w:p w14:paraId="716C6DA0" w14:textId="77777777" w:rsidR="00BC0269" w:rsidRPr="00A76167" w:rsidRDefault="00BC0269" w:rsidP="00A76167">
            <w:pPr>
              <w:rPr>
                <w:rFonts w:cs="Arial"/>
                <w:sz w:val="22"/>
                <w:szCs w:val="22"/>
              </w:rPr>
            </w:pPr>
          </w:p>
          <w:p w14:paraId="67B67CFF" w14:textId="7009F894" w:rsidR="00BC0269" w:rsidRPr="00A76167" w:rsidRDefault="00BC0269" w:rsidP="00A76167">
            <w:pPr>
              <w:rPr>
                <w:rFonts w:cs="Arial"/>
                <w:sz w:val="22"/>
                <w:szCs w:val="22"/>
              </w:rPr>
            </w:pPr>
            <w:r w:rsidRPr="00A76167">
              <w:rPr>
                <w:rFonts w:cs="Arial"/>
                <w:sz w:val="22"/>
                <w:szCs w:val="22"/>
              </w:rPr>
              <w:t xml:space="preserve">MRG queried how the commissioner of a CCG would judge the results of this indicator. </w:t>
            </w:r>
            <w:r w:rsidR="0021513E" w:rsidRPr="00A76167">
              <w:rPr>
                <w:rFonts w:cs="Arial"/>
                <w:sz w:val="22"/>
                <w:szCs w:val="22"/>
              </w:rPr>
              <w:t>Specifically,</w:t>
            </w:r>
            <w:r w:rsidRPr="00A76167">
              <w:rPr>
                <w:rFonts w:cs="Arial"/>
                <w:sz w:val="22"/>
                <w:szCs w:val="22"/>
              </w:rPr>
              <w:t xml:space="preserve"> would the commissioner be able to ascertain whether patients in their CCG are </w:t>
            </w:r>
            <w:r w:rsidR="0021513E" w:rsidRPr="00A76167">
              <w:rPr>
                <w:rFonts w:cs="Arial"/>
                <w:sz w:val="22"/>
                <w:szCs w:val="22"/>
              </w:rPr>
              <w:t>receiving</w:t>
            </w:r>
            <w:r w:rsidRPr="00A76167">
              <w:rPr>
                <w:rFonts w:cs="Arial"/>
                <w:sz w:val="22"/>
                <w:szCs w:val="22"/>
              </w:rPr>
              <w:t xml:space="preserve"> a ‘bad deal’ in terms of number of incidents reported. Furthermore, would the indicator aid the commissioner in identifying the cause if their patients were receiving a ‘bad deal’.</w:t>
            </w:r>
          </w:p>
          <w:p w14:paraId="5EE635CD" w14:textId="77777777" w:rsidR="00BC0269" w:rsidRPr="00A76167" w:rsidRDefault="00BC0269" w:rsidP="00A76167">
            <w:pPr>
              <w:rPr>
                <w:rFonts w:cs="Arial"/>
                <w:sz w:val="22"/>
                <w:szCs w:val="22"/>
              </w:rPr>
            </w:pPr>
          </w:p>
          <w:p w14:paraId="40AADA48" w14:textId="77777777" w:rsidR="00BC0269" w:rsidRPr="00A76167" w:rsidRDefault="00BC0269" w:rsidP="00A76167">
            <w:pPr>
              <w:rPr>
                <w:rFonts w:cs="Arial"/>
                <w:b/>
                <w:sz w:val="22"/>
                <w:szCs w:val="22"/>
              </w:rPr>
            </w:pPr>
            <w:r w:rsidRPr="00A76167">
              <w:rPr>
                <w:rFonts w:cs="Arial"/>
                <w:sz w:val="22"/>
                <w:szCs w:val="22"/>
              </w:rPr>
              <w:t xml:space="preserve">MRG suggested that both a number and a rate of admissions (bed days) could be presented alongside each CCG. A rate (per 100,000) would be sensible as the proportion may not be easily comparable . </w:t>
            </w:r>
          </w:p>
        </w:tc>
      </w:tr>
    </w:tbl>
    <w:p w14:paraId="0013B362" w14:textId="0ED5631D" w:rsidR="00E73882" w:rsidRDefault="00E73882"/>
    <w:p w14:paraId="1043A1C0" w14:textId="77777777" w:rsidR="00E73882" w:rsidRPr="00A76167" w:rsidRDefault="00E73882" w:rsidP="00E73882">
      <w:pPr>
        <w:rPr>
          <w:rFonts w:cs="Arial"/>
          <w:sz w:val="22"/>
          <w:szCs w:val="22"/>
        </w:rPr>
      </w:pPr>
      <w:r w:rsidRPr="00A76167">
        <w:rPr>
          <w:rFonts w:cs="Arial"/>
          <w:sz w:val="22"/>
          <w:szCs w:val="22"/>
        </w:rPr>
        <w:t>Update Made: 03/05/13</w:t>
      </w:r>
    </w:p>
    <w:p w14:paraId="0DA0FABA" w14:textId="77777777" w:rsidR="00E73882" w:rsidRPr="00A76167" w:rsidRDefault="00E73882" w:rsidP="00E73882">
      <w:pPr>
        <w:ind w:left="720"/>
        <w:rPr>
          <w:rFonts w:cs="Arial"/>
          <w:sz w:val="22"/>
          <w:szCs w:val="22"/>
        </w:rPr>
      </w:pPr>
    </w:p>
    <w:p w14:paraId="73BF58FB" w14:textId="77777777" w:rsidR="00E73882" w:rsidRPr="00A76167" w:rsidRDefault="00E73882" w:rsidP="00E73882">
      <w:pPr>
        <w:rPr>
          <w:rFonts w:cs="Arial"/>
          <w:sz w:val="22"/>
          <w:szCs w:val="22"/>
        </w:rPr>
      </w:pPr>
      <w:r w:rsidRPr="00A76167">
        <w:rPr>
          <w:rFonts w:cs="Arial"/>
          <w:b/>
          <w:i/>
          <w:sz w:val="22"/>
          <w:szCs w:val="22"/>
        </w:rPr>
        <w:t>Interpretation</w:t>
      </w:r>
      <w:r w:rsidRPr="00A76167">
        <w:rPr>
          <w:rFonts w:cs="Arial"/>
          <w:i/>
          <w:sz w:val="22"/>
          <w:szCs w:val="22"/>
        </w:rPr>
        <w:t>:</w:t>
      </w:r>
      <w:r w:rsidRPr="00A76167">
        <w:rPr>
          <w:rFonts w:cs="Arial"/>
          <w:sz w:val="22"/>
          <w:szCs w:val="22"/>
        </w:rPr>
        <w:t xml:space="preserve"> Patient Safety incidents cannot be directly assigned to CCG’s, as there is no GP Practice code in the NRLS data. The actual number of incidents reported by each of the trusts could relate to a number of CCGs, however Trust 1 and Trust 2 in the example below are the main providers commissioned by this CCG, based on bed days. </w:t>
      </w:r>
    </w:p>
    <w:p w14:paraId="0EC583DB" w14:textId="77777777" w:rsidR="00E73882" w:rsidRPr="00A76167" w:rsidRDefault="00E73882" w:rsidP="00E73882">
      <w:pPr>
        <w:ind w:left="720"/>
        <w:rPr>
          <w:rFonts w:cs="Arial"/>
          <w:i/>
          <w:sz w:val="22"/>
          <w:szCs w:val="22"/>
        </w:rPr>
      </w:pPr>
    </w:p>
    <w:p w14:paraId="4A6026F9" w14:textId="77777777" w:rsidR="00E73882" w:rsidRPr="00A76167" w:rsidRDefault="00E73882" w:rsidP="00E73882">
      <w:pPr>
        <w:rPr>
          <w:rFonts w:cs="Arial"/>
          <w:sz w:val="22"/>
          <w:szCs w:val="22"/>
        </w:rPr>
      </w:pPr>
      <w:r w:rsidRPr="00A76167">
        <w:rPr>
          <w:rFonts w:cs="Arial"/>
          <w:i/>
          <w:sz w:val="22"/>
          <w:szCs w:val="22"/>
        </w:rPr>
        <w:t>Presentation Example - CCG1 (full year 2010/11 data):</w:t>
      </w:r>
    </w:p>
    <w:tbl>
      <w:tblPr>
        <w:tblStyle w:val="TableGrid"/>
        <w:tblpPr w:leftFromText="180" w:rightFromText="180" w:vertAnchor="text" w:horzAnchor="margin" w:tblpY="110"/>
        <w:tblOverlap w:val="never"/>
        <w:tblW w:w="7763" w:type="dxa"/>
        <w:tblLayout w:type="fixed"/>
        <w:tblLook w:val="04A0" w:firstRow="1" w:lastRow="0" w:firstColumn="1" w:lastColumn="0" w:noHBand="0" w:noVBand="1"/>
      </w:tblPr>
      <w:tblGrid>
        <w:gridCol w:w="1802"/>
        <w:gridCol w:w="1232"/>
        <w:gridCol w:w="1559"/>
        <w:gridCol w:w="1559"/>
        <w:gridCol w:w="1611"/>
      </w:tblGrid>
      <w:tr w:rsidR="00E73882" w:rsidRPr="00A76167" w14:paraId="747FABAC" w14:textId="77777777" w:rsidTr="00B06C11">
        <w:tc>
          <w:tcPr>
            <w:tcW w:w="1802" w:type="dxa"/>
            <w:shd w:val="clear" w:color="auto" w:fill="auto"/>
          </w:tcPr>
          <w:p w14:paraId="65C4040F" w14:textId="77777777" w:rsidR="00E73882" w:rsidRPr="00A76167" w:rsidRDefault="00E73882" w:rsidP="00B06C11">
            <w:pPr>
              <w:rPr>
                <w:rFonts w:cs="Arial"/>
                <w:b/>
                <w:sz w:val="22"/>
                <w:szCs w:val="22"/>
              </w:rPr>
            </w:pPr>
            <w:r w:rsidRPr="00A76167">
              <w:rPr>
                <w:rFonts w:cs="Arial"/>
                <w:b/>
                <w:sz w:val="22"/>
                <w:szCs w:val="22"/>
              </w:rPr>
              <w:t xml:space="preserve">Providers (ordered by bed days) for this </w:t>
            </w:r>
            <w:r w:rsidRPr="00A76167">
              <w:rPr>
                <w:rFonts w:cs="Arial"/>
                <w:b/>
                <w:sz w:val="22"/>
                <w:szCs w:val="22"/>
                <w:u w:val="single"/>
              </w:rPr>
              <w:t>CCG</w:t>
            </w:r>
          </w:p>
        </w:tc>
        <w:tc>
          <w:tcPr>
            <w:tcW w:w="1232" w:type="dxa"/>
            <w:shd w:val="clear" w:color="auto" w:fill="auto"/>
          </w:tcPr>
          <w:p w14:paraId="2BDC98FB" w14:textId="77777777" w:rsidR="00E73882" w:rsidRPr="00A76167" w:rsidRDefault="00E73882" w:rsidP="00B06C11">
            <w:pPr>
              <w:rPr>
                <w:rFonts w:cs="Arial"/>
                <w:b/>
                <w:sz w:val="22"/>
                <w:szCs w:val="22"/>
              </w:rPr>
            </w:pPr>
            <w:r w:rsidRPr="00A76167">
              <w:rPr>
                <w:rFonts w:cs="Arial"/>
                <w:b/>
                <w:sz w:val="22"/>
                <w:szCs w:val="22"/>
              </w:rPr>
              <w:t xml:space="preserve">Number of bed days for this </w:t>
            </w:r>
            <w:r w:rsidRPr="00A76167">
              <w:rPr>
                <w:rFonts w:cs="Arial"/>
                <w:b/>
                <w:sz w:val="22"/>
                <w:szCs w:val="22"/>
                <w:u w:val="single"/>
              </w:rPr>
              <w:t>CCG</w:t>
            </w:r>
          </w:p>
        </w:tc>
        <w:tc>
          <w:tcPr>
            <w:tcW w:w="1559" w:type="dxa"/>
          </w:tcPr>
          <w:p w14:paraId="48E58D61" w14:textId="77777777" w:rsidR="00E73882" w:rsidRPr="00A76167" w:rsidRDefault="00E73882" w:rsidP="00B06C11">
            <w:pPr>
              <w:rPr>
                <w:rFonts w:cs="Arial"/>
                <w:b/>
                <w:sz w:val="22"/>
                <w:szCs w:val="22"/>
              </w:rPr>
            </w:pPr>
            <w:r w:rsidRPr="00A76167">
              <w:rPr>
                <w:rFonts w:cs="Arial"/>
                <w:b/>
                <w:sz w:val="22"/>
                <w:szCs w:val="22"/>
              </w:rPr>
              <w:t xml:space="preserve">Bed days proportion for this </w:t>
            </w:r>
            <w:r w:rsidRPr="00A76167">
              <w:rPr>
                <w:rFonts w:cs="Arial"/>
                <w:b/>
                <w:sz w:val="22"/>
                <w:szCs w:val="22"/>
                <w:u w:val="single"/>
              </w:rPr>
              <w:t>CCG</w:t>
            </w:r>
          </w:p>
        </w:tc>
        <w:tc>
          <w:tcPr>
            <w:tcW w:w="1559" w:type="dxa"/>
          </w:tcPr>
          <w:p w14:paraId="296DA4EC" w14:textId="77777777" w:rsidR="00E73882" w:rsidRPr="00A76167" w:rsidRDefault="00E73882" w:rsidP="00B06C11">
            <w:pPr>
              <w:rPr>
                <w:rFonts w:cs="Arial"/>
                <w:b/>
                <w:sz w:val="22"/>
                <w:szCs w:val="22"/>
              </w:rPr>
            </w:pPr>
            <w:r w:rsidRPr="00A76167">
              <w:rPr>
                <w:rFonts w:cs="Arial"/>
                <w:b/>
                <w:sz w:val="22"/>
                <w:szCs w:val="22"/>
              </w:rPr>
              <w:t xml:space="preserve">Bed days rate per 100,000 CCG pop for this </w:t>
            </w:r>
            <w:r w:rsidRPr="00A76167">
              <w:rPr>
                <w:rFonts w:cs="Arial"/>
                <w:b/>
                <w:sz w:val="22"/>
                <w:szCs w:val="22"/>
                <w:u w:val="single"/>
              </w:rPr>
              <w:t>CCG</w:t>
            </w:r>
          </w:p>
        </w:tc>
        <w:tc>
          <w:tcPr>
            <w:tcW w:w="1611" w:type="dxa"/>
          </w:tcPr>
          <w:p w14:paraId="6E5CADAD" w14:textId="77777777" w:rsidR="00E73882" w:rsidRPr="00A76167" w:rsidRDefault="00E73882" w:rsidP="00B06C11">
            <w:pPr>
              <w:rPr>
                <w:rFonts w:cs="Arial"/>
                <w:b/>
                <w:sz w:val="22"/>
                <w:szCs w:val="22"/>
              </w:rPr>
            </w:pPr>
            <w:r w:rsidRPr="00A76167">
              <w:rPr>
                <w:rFonts w:cs="Arial"/>
                <w:b/>
                <w:sz w:val="22"/>
                <w:szCs w:val="22"/>
              </w:rPr>
              <w:t xml:space="preserve">Reported Patient Safety Incidents for the </w:t>
            </w:r>
            <w:r w:rsidRPr="00A76167">
              <w:rPr>
                <w:rFonts w:cs="Arial"/>
                <w:b/>
                <w:sz w:val="22"/>
                <w:szCs w:val="22"/>
                <w:u w:val="single"/>
              </w:rPr>
              <w:t>Trust</w:t>
            </w:r>
          </w:p>
        </w:tc>
      </w:tr>
      <w:tr w:rsidR="00E73882" w:rsidRPr="00A76167" w14:paraId="3077D36C" w14:textId="77777777" w:rsidTr="00B06C11">
        <w:tc>
          <w:tcPr>
            <w:tcW w:w="1802" w:type="dxa"/>
            <w:shd w:val="clear" w:color="auto" w:fill="auto"/>
          </w:tcPr>
          <w:p w14:paraId="60E9DFFE" w14:textId="77777777" w:rsidR="00E73882" w:rsidRPr="00A76167" w:rsidRDefault="00E73882" w:rsidP="00B06C11">
            <w:pPr>
              <w:rPr>
                <w:rFonts w:cs="Arial"/>
                <w:sz w:val="22"/>
                <w:szCs w:val="22"/>
              </w:rPr>
            </w:pPr>
            <w:r w:rsidRPr="00A76167">
              <w:rPr>
                <w:rFonts w:cs="Arial"/>
                <w:sz w:val="22"/>
                <w:szCs w:val="22"/>
              </w:rPr>
              <w:t>Trust 1</w:t>
            </w:r>
          </w:p>
        </w:tc>
        <w:tc>
          <w:tcPr>
            <w:tcW w:w="1232" w:type="dxa"/>
            <w:shd w:val="clear" w:color="auto" w:fill="auto"/>
          </w:tcPr>
          <w:p w14:paraId="0742EC84" w14:textId="77777777" w:rsidR="00E73882" w:rsidRPr="00A76167" w:rsidRDefault="00E73882" w:rsidP="00B06C11">
            <w:pPr>
              <w:jc w:val="right"/>
              <w:rPr>
                <w:rFonts w:cs="Arial"/>
                <w:sz w:val="22"/>
                <w:szCs w:val="22"/>
              </w:rPr>
            </w:pPr>
            <w:r w:rsidRPr="00A76167">
              <w:rPr>
                <w:rFonts w:cs="Arial"/>
                <w:sz w:val="22"/>
                <w:szCs w:val="22"/>
              </w:rPr>
              <w:t>250,215</w:t>
            </w:r>
          </w:p>
        </w:tc>
        <w:tc>
          <w:tcPr>
            <w:tcW w:w="1559" w:type="dxa"/>
          </w:tcPr>
          <w:p w14:paraId="2D78443E" w14:textId="77777777" w:rsidR="00E73882" w:rsidRPr="00A76167" w:rsidRDefault="00E73882" w:rsidP="00B06C11">
            <w:pPr>
              <w:jc w:val="right"/>
              <w:rPr>
                <w:rFonts w:cs="Arial"/>
                <w:sz w:val="22"/>
                <w:szCs w:val="22"/>
              </w:rPr>
            </w:pPr>
            <w:r w:rsidRPr="00A76167">
              <w:rPr>
                <w:rFonts w:cs="Arial"/>
                <w:sz w:val="22"/>
                <w:szCs w:val="22"/>
              </w:rPr>
              <w:t>48.5%</w:t>
            </w:r>
          </w:p>
        </w:tc>
        <w:tc>
          <w:tcPr>
            <w:tcW w:w="1559" w:type="dxa"/>
          </w:tcPr>
          <w:p w14:paraId="79DED284" w14:textId="77777777" w:rsidR="00E73882" w:rsidRPr="00A76167" w:rsidRDefault="00E73882" w:rsidP="00B06C11">
            <w:pPr>
              <w:jc w:val="right"/>
              <w:rPr>
                <w:rFonts w:cs="Arial"/>
                <w:sz w:val="22"/>
                <w:szCs w:val="22"/>
              </w:rPr>
            </w:pPr>
            <w:r w:rsidRPr="00A76167">
              <w:rPr>
                <w:rFonts w:cs="Arial"/>
                <w:sz w:val="22"/>
                <w:szCs w:val="22"/>
              </w:rPr>
              <w:t>66,831</w:t>
            </w:r>
          </w:p>
        </w:tc>
        <w:tc>
          <w:tcPr>
            <w:tcW w:w="1611" w:type="dxa"/>
          </w:tcPr>
          <w:p w14:paraId="743F038B" w14:textId="77777777" w:rsidR="00E73882" w:rsidRPr="00A76167" w:rsidRDefault="00E73882" w:rsidP="00B06C11">
            <w:pPr>
              <w:jc w:val="right"/>
              <w:rPr>
                <w:rFonts w:cs="Arial"/>
                <w:sz w:val="22"/>
                <w:szCs w:val="22"/>
              </w:rPr>
            </w:pPr>
            <w:r w:rsidRPr="00A76167">
              <w:rPr>
                <w:rFonts w:cs="Arial"/>
                <w:sz w:val="22"/>
                <w:szCs w:val="22"/>
              </w:rPr>
              <w:t>14,568</w:t>
            </w:r>
          </w:p>
        </w:tc>
      </w:tr>
      <w:tr w:rsidR="00E73882" w:rsidRPr="00A76167" w14:paraId="77C52DFE" w14:textId="77777777" w:rsidTr="00B06C11">
        <w:tc>
          <w:tcPr>
            <w:tcW w:w="1802" w:type="dxa"/>
            <w:shd w:val="clear" w:color="auto" w:fill="auto"/>
          </w:tcPr>
          <w:p w14:paraId="7FF6ADAC" w14:textId="77777777" w:rsidR="00E73882" w:rsidRPr="00A76167" w:rsidRDefault="00E73882" w:rsidP="00B06C11">
            <w:pPr>
              <w:rPr>
                <w:rFonts w:cs="Arial"/>
                <w:sz w:val="22"/>
                <w:szCs w:val="22"/>
              </w:rPr>
            </w:pPr>
            <w:r w:rsidRPr="00A76167">
              <w:rPr>
                <w:rFonts w:cs="Arial"/>
                <w:sz w:val="22"/>
                <w:szCs w:val="22"/>
              </w:rPr>
              <w:t>Trust 2</w:t>
            </w:r>
          </w:p>
        </w:tc>
        <w:tc>
          <w:tcPr>
            <w:tcW w:w="1232" w:type="dxa"/>
            <w:shd w:val="clear" w:color="auto" w:fill="auto"/>
          </w:tcPr>
          <w:p w14:paraId="35719EB7" w14:textId="77777777" w:rsidR="00E73882" w:rsidRPr="00A76167" w:rsidRDefault="00E73882" w:rsidP="00B06C11">
            <w:pPr>
              <w:jc w:val="right"/>
              <w:rPr>
                <w:rFonts w:cs="Arial"/>
                <w:sz w:val="22"/>
                <w:szCs w:val="22"/>
              </w:rPr>
            </w:pPr>
            <w:r w:rsidRPr="00A76167">
              <w:rPr>
                <w:rFonts w:cs="Arial"/>
                <w:sz w:val="22"/>
                <w:szCs w:val="22"/>
              </w:rPr>
              <w:t>227,522</w:t>
            </w:r>
          </w:p>
        </w:tc>
        <w:tc>
          <w:tcPr>
            <w:tcW w:w="1559" w:type="dxa"/>
          </w:tcPr>
          <w:p w14:paraId="62E29670" w14:textId="77777777" w:rsidR="00E73882" w:rsidRPr="00A76167" w:rsidRDefault="00E73882" w:rsidP="00B06C11">
            <w:pPr>
              <w:jc w:val="right"/>
              <w:rPr>
                <w:rFonts w:cs="Arial"/>
                <w:sz w:val="22"/>
                <w:szCs w:val="22"/>
              </w:rPr>
            </w:pPr>
            <w:r w:rsidRPr="00A76167">
              <w:rPr>
                <w:rFonts w:cs="Arial"/>
                <w:sz w:val="22"/>
                <w:szCs w:val="22"/>
              </w:rPr>
              <w:t>44.1%</w:t>
            </w:r>
          </w:p>
        </w:tc>
        <w:tc>
          <w:tcPr>
            <w:tcW w:w="1559" w:type="dxa"/>
          </w:tcPr>
          <w:p w14:paraId="29B23D3A" w14:textId="77777777" w:rsidR="00E73882" w:rsidRPr="00A76167" w:rsidRDefault="00E73882" w:rsidP="00B06C11">
            <w:pPr>
              <w:jc w:val="right"/>
              <w:rPr>
                <w:rFonts w:cs="Arial"/>
                <w:sz w:val="22"/>
                <w:szCs w:val="22"/>
              </w:rPr>
            </w:pPr>
            <w:r w:rsidRPr="00A76167">
              <w:rPr>
                <w:rFonts w:cs="Arial"/>
                <w:sz w:val="22"/>
                <w:szCs w:val="22"/>
              </w:rPr>
              <w:t>60,770</w:t>
            </w:r>
          </w:p>
        </w:tc>
        <w:tc>
          <w:tcPr>
            <w:tcW w:w="1611" w:type="dxa"/>
          </w:tcPr>
          <w:p w14:paraId="35E39B2F" w14:textId="77777777" w:rsidR="00E73882" w:rsidRPr="00A76167" w:rsidRDefault="00E73882" w:rsidP="00B06C11">
            <w:pPr>
              <w:jc w:val="right"/>
              <w:rPr>
                <w:rFonts w:cs="Arial"/>
                <w:sz w:val="22"/>
                <w:szCs w:val="22"/>
              </w:rPr>
            </w:pPr>
            <w:r w:rsidRPr="00A76167">
              <w:rPr>
                <w:rFonts w:cs="Arial"/>
                <w:sz w:val="22"/>
                <w:szCs w:val="22"/>
              </w:rPr>
              <w:t>2,792</w:t>
            </w:r>
          </w:p>
        </w:tc>
      </w:tr>
      <w:tr w:rsidR="00E73882" w:rsidRPr="00A76167" w14:paraId="1411A523" w14:textId="77777777" w:rsidTr="00B06C11">
        <w:tc>
          <w:tcPr>
            <w:tcW w:w="1802" w:type="dxa"/>
            <w:shd w:val="clear" w:color="auto" w:fill="auto"/>
          </w:tcPr>
          <w:p w14:paraId="628253E5" w14:textId="77777777" w:rsidR="00E73882" w:rsidRPr="00A76167" w:rsidRDefault="00E73882" w:rsidP="00B06C11">
            <w:pPr>
              <w:rPr>
                <w:rFonts w:cs="Arial"/>
                <w:sz w:val="22"/>
                <w:szCs w:val="22"/>
              </w:rPr>
            </w:pPr>
            <w:r w:rsidRPr="00A76167">
              <w:rPr>
                <w:rFonts w:cs="Arial"/>
                <w:sz w:val="22"/>
                <w:szCs w:val="22"/>
              </w:rPr>
              <w:t>PCT 1</w:t>
            </w:r>
          </w:p>
        </w:tc>
        <w:tc>
          <w:tcPr>
            <w:tcW w:w="1232" w:type="dxa"/>
            <w:shd w:val="clear" w:color="auto" w:fill="auto"/>
          </w:tcPr>
          <w:p w14:paraId="3CD96450" w14:textId="77777777" w:rsidR="00E73882" w:rsidRPr="00A76167" w:rsidRDefault="00E73882" w:rsidP="00B06C11">
            <w:pPr>
              <w:jc w:val="right"/>
              <w:rPr>
                <w:rFonts w:cs="Arial"/>
                <w:sz w:val="22"/>
                <w:szCs w:val="22"/>
              </w:rPr>
            </w:pPr>
            <w:r w:rsidRPr="00A76167">
              <w:rPr>
                <w:rFonts w:cs="Arial"/>
                <w:sz w:val="22"/>
                <w:szCs w:val="22"/>
              </w:rPr>
              <w:t>9,436</w:t>
            </w:r>
          </w:p>
        </w:tc>
        <w:tc>
          <w:tcPr>
            <w:tcW w:w="1559" w:type="dxa"/>
          </w:tcPr>
          <w:p w14:paraId="7AEA2F05" w14:textId="77777777" w:rsidR="00E73882" w:rsidRPr="00A76167" w:rsidRDefault="00E73882" w:rsidP="00B06C11">
            <w:pPr>
              <w:jc w:val="right"/>
              <w:rPr>
                <w:rFonts w:cs="Arial"/>
                <w:sz w:val="22"/>
                <w:szCs w:val="22"/>
              </w:rPr>
            </w:pPr>
            <w:r w:rsidRPr="00A76167">
              <w:rPr>
                <w:rFonts w:cs="Arial"/>
                <w:sz w:val="22"/>
                <w:szCs w:val="22"/>
              </w:rPr>
              <w:t>1.8%</w:t>
            </w:r>
          </w:p>
        </w:tc>
        <w:tc>
          <w:tcPr>
            <w:tcW w:w="1559" w:type="dxa"/>
          </w:tcPr>
          <w:p w14:paraId="051ACA7B" w14:textId="77777777" w:rsidR="00E73882" w:rsidRPr="00A76167" w:rsidRDefault="00E73882" w:rsidP="00B06C11">
            <w:pPr>
              <w:jc w:val="right"/>
              <w:rPr>
                <w:rFonts w:cs="Arial"/>
                <w:sz w:val="22"/>
                <w:szCs w:val="22"/>
              </w:rPr>
            </w:pPr>
            <w:r w:rsidRPr="00A76167">
              <w:rPr>
                <w:rFonts w:cs="Arial"/>
                <w:sz w:val="22"/>
                <w:szCs w:val="22"/>
              </w:rPr>
              <w:t>2,520</w:t>
            </w:r>
          </w:p>
        </w:tc>
        <w:tc>
          <w:tcPr>
            <w:tcW w:w="1611" w:type="dxa"/>
          </w:tcPr>
          <w:p w14:paraId="6FD6874E" w14:textId="77777777" w:rsidR="00E73882" w:rsidRPr="00A76167" w:rsidRDefault="00E73882" w:rsidP="00B06C11">
            <w:pPr>
              <w:jc w:val="right"/>
              <w:rPr>
                <w:rFonts w:cs="Arial"/>
                <w:sz w:val="22"/>
                <w:szCs w:val="22"/>
              </w:rPr>
            </w:pPr>
            <w:r w:rsidRPr="00A76167">
              <w:rPr>
                <w:rFonts w:cs="Arial"/>
                <w:sz w:val="22"/>
                <w:szCs w:val="22"/>
              </w:rPr>
              <w:t>2,210</w:t>
            </w:r>
          </w:p>
        </w:tc>
      </w:tr>
      <w:tr w:rsidR="00E73882" w:rsidRPr="00A76167" w14:paraId="311BD6C1" w14:textId="77777777" w:rsidTr="00B06C11">
        <w:trPr>
          <w:trHeight w:val="77"/>
        </w:trPr>
        <w:tc>
          <w:tcPr>
            <w:tcW w:w="1802" w:type="dxa"/>
            <w:shd w:val="clear" w:color="auto" w:fill="auto"/>
          </w:tcPr>
          <w:p w14:paraId="03F8F57A" w14:textId="77777777" w:rsidR="00E73882" w:rsidRPr="00A76167" w:rsidRDefault="00E73882" w:rsidP="00B06C11">
            <w:pPr>
              <w:rPr>
                <w:rFonts w:cs="Arial"/>
                <w:sz w:val="22"/>
                <w:szCs w:val="22"/>
              </w:rPr>
            </w:pPr>
            <w:r w:rsidRPr="00A76167">
              <w:rPr>
                <w:rFonts w:cs="Arial"/>
                <w:sz w:val="22"/>
                <w:szCs w:val="22"/>
              </w:rPr>
              <w:t>PCT 2</w:t>
            </w:r>
          </w:p>
        </w:tc>
        <w:tc>
          <w:tcPr>
            <w:tcW w:w="1232" w:type="dxa"/>
            <w:shd w:val="clear" w:color="auto" w:fill="auto"/>
          </w:tcPr>
          <w:p w14:paraId="00EE00EC" w14:textId="77777777" w:rsidR="00E73882" w:rsidRPr="00A76167" w:rsidRDefault="00E73882" w:rsidP="00B06C11">
            <w:pPr>
              <w:jc w:val="right"/>
              <w:rPr>
                <w:rFonts w:cs="Arial"/>
                <w:sz w:val="22"/>
                <w:szCs w:val="22"/>
              </w:rPr>
            </w:pPr>
            <w:r w:rsidRPr="00A76167">
              <w:rPr>
                <w:rFonts w:cs="Arial"/>
                <w:sz w:val="22"/>
                <w:szCs w:val="22"/>
              </w:rPr>
              <w:t>8,194</w:t>
            </w:r>
          </w:p>
        </w:tc>
        <w:tc>
          <w:tcPr>
            <w:tcW w:w="1559" w:type="dxa"/>
          </w:tcPr>
          <w:p w14:paraId="45A608AB" w14:textId="77777777" w:rsidR="00E73882" w:rsidRPr="00A76167" w:rsidRDefault="00E73882" w:rsidP="00B06C11">
            <w:pPr>
              <w:jc w:val="right"/>
              <w:rPr>
                <w:rFonts w:cs="Arial"/>
                <w:sz w:val="22"/>
                <w:szCs w:val="22"/>
              </w:rPr>
            </w:pPr>
            <w:r w:rsidRPr="00A76167">
              <w:rPr>
                <w:rFonts w:cs="Arial"/>
                <w:sz w:val="22"/>
                <w:szCs w:val="22"/>
              </w:rPr>
              <w:t>1.6%</w:t>
            </w:r>
          </w:p>
        </w:tc>
        <w:tc>
          <w:tcPr>
            <w:tcW w:w="1559" w:type="dxa"/>
          </w:tcPr>
          <w:p w14:paraId="0DA76509" w14:textId="77777777" w:rsidR="00E73882" w:rsidRPr="00A76167" w:rsidRDefault="00E73882" w:rsidP="00B06C11">
            <w:pPr>
              <w:jc w:val="right"/>
              <w:rPr>
                <w:rFonts w:cs="Arial"/>
                <w:sz w:val="22"/>
                <w:szCs w:val="22"/>
              </w:rPr>
            </w:pPr>
            <w:r w:rsidRPr="00A76167">
              <w:rPr>
                <w:rFonts w:cs="Arial"/>
                <w:sz w:val="22"/>
                <w:szCs w:val="22"/>
              </w:rPr>
              <w:t>2,188</w:t>
            </w:r>
          </w:p>
        </w:tc>
        <w:tc>
          <w:tcPr>
            <w:tcW w:w="1611" w:type="dxa"/>
          </w:tcPr>
          <w:p w14:paraId="69DBD233" w14:textId="77777777" w:rsidR="00E73882" w:rsidRPr="00A76167" w:rsidRDefault="00E73882" w:rsidP="00B06C11">
            <w:pPr>
              <w:jc w:val="right"/>
              <w:rPr>
                <w:rFonts w:cs="Arial"/>
                <w:sz w:val="22"/>
                <w:szCs w:val="22"/>
              </w:rPr>
            </w:pPr>
            <w:r w:rsidRPr="00A76167">
              <w:rPr>
                <w:rFonts w:cs="Arial"/>
                <w:sz w:val="22"/>
                <w:szCs w:val="22"/>
              </w:rPr>
              <w:t>563</w:t>
            </w:r>
          </w:p>
        </w:tc>
      </w:tr>
      <w:tr w:rsidR="00E73882" w:rsidRPr="00A76167" w14:paraId="5ABC1714" w14:textId="77777777" w:rsidTr="00B06C11">
        <w:tc>
          <w:tcPr>
            <w:tcW w:w="1802" w:type="dxa"/>
            <w:shd w:val="clear" w:color="auto" w:fill="auto"/>
          </w:tcPr>
          <w:p w14:paraId="140A76FE" w14:textId="77777777" w:rsidR="00E73882" w:rsidRPr="00A76167" w:rsidRDefault="00E73882" w:rsidP="00B06C11">
            <w:pPr>
              <w:rPr>
                <w:rFonts w:cs="Arial"/>
                <w:sz w:val="22"/>
                <w:szCs w:val="22"/>
              </w:rPr>
            </w:pPr>
            <w:r w:rsidRPr="00A76167">
              <w:rPr>
                <w:rFonts w:cs="Arial"/>
                <w:sz w:val="22"/>
                <w:szCs w:val="22"/>
              </w:rPr>
              <w:lastRenderedPageBreak/>
              <w:t>Trust 3</w:t>
            </w:r>
          </w:p>
        </w:tc>
        <w:tc>
          <w:tcPr>
            <w:tcW w:w="1232" w:type="dxa"/>
            <w:shd w:val="clear" w:color="auto" w:fill="auto"/>
          </w:tcPr>
          <w:p w14:paraId="7083AFAF" w14:textId="77777777" w:rsidR="00E73882" w:rsidRPr="00A76167" w:rsidRDefault="00E73882" w:rsidP="00B06C11">
            <w:pPr>
              <w:jc w:val="right"/>
              <w:rPr>
                <w:rFonts w:cs="Arial"/>
                <w:sz w:val="22"/>
                <w:szCs w:val="22"/>
              </w:rPr>
            </w:pPr>
            <w:r w:rsidRPr="00A76167">
              <w:rPr>
                <w:rFonts w:cs="Arial"/>
                <w:sz w:val="22"/>
                <w:szCs w:val="22"/>
              </w:rPr>
              <w:t>7,567</w:t>
            </w:r>
          </w:p>
        </w:tc>
        <w:tc>
          <w:tcPr>
            <w:tcW w:w="1559" w:type="dxa"/>
          </w:tcPr>
          <w:p w14:paraId="06F7BC5F" w14:textId="77777777" w:rsidR="00E73882" w:rsidRPr="00A76167" w:rsidRDefault="00E73882" w:rsidP="00B06C11">
            <w:pPr>
              <w:jc w:val="right"/>
              <w:rPr>
                <w:rFonts w:cs="Arial"/>
                <w:sz w:val="22"/>
                <w:szCs w:val="22"/>
              </w:rPr>
            </w:pPr>
            <w:r w:rsidRPr="00A76167">
              <w:rPr>
                <w:rFonts w:cs="Arial"/>
                <w:sz w:val="22"/>
                <w:szCs w:val="22"/>
              </w:rPr>
              <w:t>1.5%</w:t>
            </w:r>
          </w:p>
        </w:tc>
        <w:tc>
          <w:tcPr>
            <w:tcW w:w="1559" w:type="dxa"/>
          </w:tcPr>
          <w:p w14:paraId="69023C49" w14:textId="77777777" w:rsidR="00E73882" w:rsidRPr="00A76167" w:rsidRDefault="00E73882" w:rsidP="00B06C11">
            <w:pPr>
              <w:jc w:val="right"/>
              <w:rPr>
                <w:rFonts w:cs="Arial"/>
                <w:sz w:val="22"/>
                <w:szCs w:val="22"/>
              </w:rPr>
            </w:pPr>
            <w:r w:rsidRPr="00A76167">
              <w:rPr>
                <w:rFonts w:cs="Arial"/>
                <w:sz w:val="22"/>
                <w:szCs w:val="22"/>
              </w:rPr>
              <w:t>2,021</w:t>
            </w:r>
          </w:p>
        </w:tc>
        <w:tc>
          <w:tcPr>
            <w:tcW w:w="1611" w:type="dxa"/>
          </w:tcPr>
          <w:p w14:paraId="15CFAA11" w14:textId="77777777" w:rsidR="00E73882" w:rsidRPr="00A76167" w:rsidRDefault="00E73882" w:rsidP="00B06C11">
            <w:pPr>
              <w:jc w:val="right"/>
              <w:rPr>
                <w:rFonts w:cs="Arial"/>
                <w:sz w:val="22"/>
                <w:szCs w:val="22"/>
              </w:rPr>
            </w:pPr>
            <w:r w:rsidRPr="00A76167">
              <w:rPr>
                <w:rFonts w:cs="Arial"/>
                <w:sz w:val="22"/>
                <w:szCs w:val="22"/>
              </w:rPr>
              <w:t>5,303</w:t>
            </w:r>
          </w:p>
        </w:tc>
      </w:tr>
    </w:tbl>
    <w:p w14:paraId="2B47FEF8" w14:textId="040D3068" w:rsidR="00E73882" w:rsidRDefault="00E73882"/>
    <w:p w14:paraId="0906AB8C" w14:textId="5FEFE250" w:rsidR="00E73882" w:rsidRDefault="00E73882"/>
    <w:p w14:paraId="34754C4F" w14:textId="77777777" w:rsidR="00E73882" w:rsidRDefault="00E73882" w:rsidP="00E73882">
      <w:r>
        <w:t xml:space="preserve">Bed Days calculation: The bed days definition used is very similar to the standard LOS definition but assigns an arbitrary figure of 0.5 bed days for any admission where the patient was discharged on the same day. </w:t>
      </w:r>
    </w:p>
    <w:p w14:paraId="10CA09B5" w14:textId="12FD4F77" w:rsidR="00E73882" w:rsidRDefault="00E73882" w:rsidP="00E73882">
      <w:r>
        <w:t>Indicator P01433 (Emergency Bed Days for Long Term Conditions per 1000 population) uses bed days at an episode level that are calculated using episode end date – episode start date; therefore, zero bed days would be assigned where a patient is discharged on the same day as they are admitted. The HES team use the same standard definition</w:t>
      </w:r>
    </w:p>
    <w:p w14:paraId="6FA1270D" w14:textId="77777777" w:rsidR="00E73882" w:rsidRDefault="00E73882"/>
    <w:tbl>
      <w:tblPr>
        <w:tblStyle w:val="TableGrid"/>
        <w:tblW w:w="9923" w:type="dxa"/>
        <w:tblLayout w:type="fixed"/>
        <w:tblLook w:val="01E0" w:firstRow="1" w:lastRow="1" w:firstColumn="1" w:lastColumn="1" w:noHBand="0" w:noVBand="0"/>
      </w:tblPr>
      <w:tblGrid>
        <w:gridCol w:w="1844"/>
        <w:gridCol w:w="8079"/>
      </w:tblGrid>
      <w:tr w:rsidR="00A76167" w:rsidRPr="00A76167" w14:paraId="1A6988CB" w14:textId="77777777" w:rsidTr="00A76167">
        <w:tc>
          <w:tcPr>
            <w:tcW w:w="1844" w:type="dxa"/>
          </w:tcPr>
          <w:p w14:paraId="77CD48C3" w14:textId="77777777" w:rsidR="00BC0269" w:rsidRPr="00A76167" w:rsidRDefault="00BC0269" w:rsidP="00A76167">
            <w:pPr>
              <w:rPr>
                <w:rFonts w:cs="Arial"/>
                <w:sz w:val="22"/>
                <w:szCs w:val="22"/>
              </w:rPr>
            </w:pPr>
            <w:r w:rsidRPr="00A76167">
              <w:rPr>
                <w:rFonts w:cs="Arial"/>
                <w:sz w:val="22"/>
                <w:szCs w:val="22"/>
              </w:rPr>
              <w:t xml:space="preserve">Further Rec: </w:t>
            </w:r>
          </w:p>
          <w:p w14:paraId="196D634B" w14:textId="77777777" w:rsidR="00BC0269" w:rsidRPr="00A76167" w:rsidRDefault="00BC0269" w:rsidP="00A76167">
            <w:pPr>
              <w:rPr>
                <w:rFonts w:cs="Arial"/>
                <w:b/>
                <w:sz w:val="22"/>
                <w:szCs w:val="22"/>
              </w:rPr>
            </w:pPr>
            <w:r w:rsidRPr="00A76167">
              <w:rPr>
                <w:rFonts w:cs="Arial"/>
                <w:b/>
                <w:sz w:val="22"/>
                <w:szCs w:val="22"/>
              </w:rPr>
              <w:t>2013/21</w:t>
            </w:r>
          </w:p>
          <w:p w14:paraId="1486F0DE" w14:textId="77777777" w:rsidR="00BC0269" w:rsidRPr="00A76167" w:rsidRDefault="00BC0269" w:rsidP="00A76167">
            <w:pPr>
              <w:rPr>
                <w:rFonts w:cs="Arial"/>
                <w:sz w:val="22"/>
                <w:szCs w:val="22"/>
              </w:rPr>
            </w:pPr>
            <w:r w:rsidRPr="00A76167">
              <w:rPr>
                <w:rFonts w:cs="Arial"/>
                <w:sz w:val="22"/>
                <w:szCs w:val="22"/>
              </w:rPr>
              <w:t>Made: 03/05/13</w:t>
            </w:r>
          </w:p>
        </w:tc>
        <w:tc>
          <w:tcPr>
            <w:tcW w:w="8079" w:type="dxa"/>
          </w:tcPr>
          <w:p w14:paraId="17D3261B" w14:textId="77777777" w:rsidR="00BC0269" w:rsidRPr="00A76167" w:rsidRDefault="00BC0269" w:rsidP="00A76167">
            <w:pPr>
              <w:rPr>
                <w:rFonts w:cs="Arial"/>
                <w:b/>
                <w:sz w:val="22"/>
                <w:szCs w:val="22"/>
              </w:rPr>
            </w:pPr>
            <w:r w:rsidRPr="00A76167">
              <w:rPr>
                <w:rFonts w:cs="Arial"/>
                <w:sz w:val="22"/>
                <w:szCs w:val="22"/>
              </w:rPr>
              <w:t>MRG commented that in the example table the column ‘Reported Patient Safety Incidents for the Trust’ it may be appropriate to standardise to take account of differences in trust size.</w:t>
            </w:r>
          </w:p>
        </w:tc>
      </w:tr>
      <w:tr w:rsidR="00A76167" w:rsidRPr="00A76167" w14:paraId="6D7BAF33" w14:textId="77777777" w:rsidTr="00A76167">
        <w:tc>
          <w:tcPr>
            <w:tcW w:w="1844" w:type="dxa"/>
          </w:tcPr>
          <w:p w14:paraId="5DB182F3" w14:textId="77777777" w:rsidR="00BC0269" w:rsidRPr="00A76167" w:rsidRDefault="00BC0269" w:rsidP="00A76167">
            <w:pPr>
              <w:rPr>
                <w:rFonts w:cs="Arial"/>
                <w:sz w:val="22"/>
                <w:szCs w:val="22"/>
              </w:rPr>
            </w:pPr>
            <w:r w:rsidRPr="00A76167">
              <w:rPr>
                <w:rFonts w:cs="Arial"/>
                <w:sz w:val="22"/>
                <w:szCs w:val="22"/>
              </w:rPr>
              <w:t xml:space="preserve">Further Rec: </w:t>
            </w:r>
          </w:p>
          <w:p w14:paraId="7DF98EBF" w14:textId="77777777" w:rsidR="00BC0269" w:rsidRPr="00A76167" w:rsidRDefault="00BC0269" w:rsidP="00A76167">
            <w:pPr>
              <w:rPr>
                <w:rFonts w:cs="Arial"/>
                <w:b/>
                <w:sz w:val="22"/>
                <w:szCs w:val="22"/>
              </w:rPr>
            </w:pPr>
            <w:r w:rsidRPr="00A76167">
              <w:rPr>
                <w:rFonts w:cs="Arial"/>
                <w:b/>
                <w:sz w:val="22"/>
                <w:szCs w:val="22"/>
              </w:rPr>
              <w:t>2013/22</w:t>
            </w:r>
          </w:p>
          <w:p w14:paraId="69E639DC" w14:textId="77777777" w:rsidR="00BC0269" w:rsidRPr="00A76167" w:rsidRDefault="00BC0269" w:rsidP="00A76167">
            <w:pPr>
              <w:rPr>
                <w:rFonts w:cs="Arial"/>
                <w:sz w:val="22"/>
                <w:szCs w:val="22"/>
              </w:rPr>
            </w:pPr>
            <w:r w:rsidRPr="00A76167">
              <w:rPr>
                <w:rFonts w:cs="Arial"/>
                <w:sz w:val="22"/>
                <w:szCs w:val="22"/>
              </w:rPr>
              <w:t>Made: 03/05/13</w:t>
            </w:r>
          </w:p>
        </w:tc>
        <w:tc>
          <w:tcPr>
            <w:tcW w:w="8079" w:type="dxa"/>
          </w:tcPr>
          <w:p w14:paraId="40468C28" w14:textId="5C41C4F2" w:rsidR="00BC0269" w:rsidRPr="00A76167" w:rsidRDefault="00BC0269" w:rsidP="00A76167">
            <w:pPr>
              <w:rPr>
                <w:rFonts w:cs="Arial"/>
                <w:b/>
                <w:sz w:val="22"/>
                <w:szCs w:val="22"/>
              </w:rPr>
            </w:pPr>
            <w:r w:rsidRPr="00A76167">
              <w:rPr>
                <w:rFonts w:cs="Arial"/>
                <w:sz w:val="22"/>
                <w:szCs w:val="22"/>
              </w:rPr>
              <w:t xml:space="preserve">MRG commented that the bed days calculation could be adjusted. For </w:t>
            </w:r>
            <w:r w:rsidR="0021513E" w:rsidRPr="00A76167">
              <w:rPr>
                <w:rFonts w:cs="Arial"/>
                <w:sz w:val="22"/>
                <w:szCs w:val="22"/>
              </w:rPr>
              <w:t>example,</w:t>
            </w:r>
            <w:r w:rsidRPr="00A76167">
              <w:rPr>
                <w:rFonts w:cs="Arial"/>
                <w:sz w:val="22"/>
                <w:szCs w:val="22"/>
              </w:rPr>
              <w:t xml:space="preserve"> a 4 hour stay in hospital would be assigned 0.5 bed days, whereas a 47 hour stay could potentially be assigned 1 bed day. Perhaps look at adding the arbitrary 0.5 bed days to all admissions so that same day discharges aren’t over represented.</w:t>
            </w:r>
          </w:p>
        </w:tc>
      </w:tr>
    </w:tbl>
    <w:p w14:paraId="1ADE36C3" w14:textId="77777777" w:rsidR="00E73882" w:rsidRDefault="00E73882"/>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E73882" w:rsidRPr="00A76167" w14:paraId="2D071C93" w14:textId="77777777" w:rsidTr="00A76167">
        <w:tc>
          <w:tcPr>
            <w:tcW w:w="1844" w:type="dxa"/>
          </w:tcPr>
          <w:p w14:paraId="61B962BA" w14:textId="65C461C5" w:rsidR="00E73882" w:rsidRPr="00A76167" w:rsidRDefault="00E73882" w:rsidP="00E73882">
            <w:pPr>
              <w:rPr>
                <w:rFonts w:cs="Arial"/>
                <w:sz w:val="22"/>
                <w:szCs w:val="22"/>
              </w:rPr>
            </w:pPr>
            <w:r w:rsidRPr="00A76167">
              <w:rPr>
                <w:rFonts w:cs="Arial"/>
                <w:sz w:val="22"/>
                <w:szCs w:val="22"/>
              </w:rPr>
              <w:t>Rec Status:</w:t>
            </w:r>
          </w:p>
        </w:tc>
        <w:tc>
          <w:tcPr>
            <w:tcW w:w="3260" w:type="dxa"/>
          </w:tcPr>
          <w:p w14:paraId="200D5955" w14:textId="39E7B2E2" w:rsidR="00E73882" w:rsidRPr="00A76167" w:rsidRDefault="00E73882" w:rsidP="00E73882">
            <w:pPr>
              <w:jc w:val="right"/>
              <w:rPr>
                <w:rFonts w:cs="Arial"/>
                <w:b/>
                <w:sz w:val="22"/>
                <w:szCs w:val="22"/>
              </w:rPr>
            </w:pPr>
            <w:r w:rsidRPr="00A76167">
              <w:rPr>
                <w:rFonts w:cs="Arial"/>
                <w:b/>
                <w:sz w:val="22"/>
                <w:szCs w:val="22"/>
              </w:rPr>
              <w:t xml:space="preserve">Further Information Required  </w:t>
            </w:r>
          </w:p>
        </w:tc>
        <w:sdt>
          <w:sdtPr>
            <w:rPr>
              <w:rFonts w:cs="Arial"/>
              <w:sz w:val="22"/>
              <w:szCs w:val="22"/>
            </w:rPr>
            <w:id w:val="212705322"/>
            <w14:checkbox>
              <w14:checked w14:val="0"/>
              <w14:checkedState w14:val="2612" w14:font="MS Gothic"/>
              <w14:uncheckedState w14:val="2610" w14:font="MS Gothic"/>
            </w14:checkbox>
          </w:sdtPr>
          <w:sdtEndPr/>
          <w:sdtContent>
            <w:tc>
              <w:tcPr>
                <w:tcW w:w="567" w:type="dxa"/>
              </w:tcPr>
              <w:p w14:paraId="3B28CA9A" w14:textId="08C66CA9"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c>
          <w:tcPr>
            <w:tcW w:w="3685" w:type="dxa"/>
          </w:tcPr>
          <w:p w14:paraId="26F13CAE" w14:textId="3F4339BB" w:rsidR="00E73882" w:rsidRPr="00A76167" w:rsidRDefault="00E73882" w:rsidP="00E73882">
            <w:pPr>
              <w:jc w:val="right"/>
              <w:rPr>
                <w:rFonts w:cs="Arial"/>
                <w:b/>
                <w:sz w:val="22"/>
                <w:szCs w:val="22"/>
              </w:rPr>
            </w:pPr>
            <w:r w:rsidRPr="00A76167">
              <w:rPr>
                <w:rFonts w:cs="Arial"/>
                <w:b/>
                <w:sz w:val="22"/>
                <w:szCs w:val="22"/>
              </w:rPr>
              <w:t>Resolved / No Action Required</w:t>
            </w:r>
          </w:p>
        </w:tc>
        <w:sdt>
          <w:sdtPr>
            <w:rPr>
              <w:rFonts w:cs="Arial"/>
              <w:sz w:val="22"/>
              <w:szCs w:val="22"/>
            </w:rPr>
            <w:id w:val="-732536280"/>
            <w14:checkbox>
              <w14:checked w14:val="0"/>
              <w14:checkedState w14:val="2612" w14:font="MS Gothic"/>
              <w14:uncheckedState w14:val="2610" w14:font="MS Gothic"/>
            </w14:checkbox>
          </w:sdtPr>
          <w:sdtEndPr/>
          <w:sdtContent>
            <w:tc>
              <w:tcPr>
                <w:tcW w:w="567" w:type="dxa"/>
              </w:tcPr>
              <w:p w14:paraId="0FB1A4AC" w14:textId="110A8677"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r>
    </w:tbl>
    <w:p w14:paraId="756BF168" w14:textId="77777777" w:rsidR="00BC0269" w:rsidRPr="00A76167" w:rsidRDefault="00BC0269">
      <w:pPr>
        <w:rPr>
          <w:rFonts w:cs="Arial"/>
          <w:b/>
          <w:sz w:val="22"/>
          <w:szCs w:val="22"/>
        </w:rPr>
      </w:pPr>
    </w:p>
    <w:p w14:paraId="49192C46" w14:textId="77777777" w:rsidR="00BC0269" w:rsidRPr="00A76167" w:rsidRDefault="00BC0269">
      <w:pPr>
        <w:rPr>
          <w:rFonts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A76167" w:rsidRPr="00A76167" w14:paraId="620960C3" w14:textId="77777777" w:rsidTr="00A76167">
        <w:tc>
          <w:tcPr>
            <w:tcW w:w="1844" w:type="dxa"/>
          </w:tcPr>
          <w:p w14:paraId="65C45F41" w14:textId="77777777" w:rsidR="00BC0269" w:rsidRPr="00A76167" w:rsidRDefault="00BC0269" w:rsidP="00A76167">
            <w:pPr>
              <w:rPr>
                <w:rFonts w:cs="Arial"/>
                <w:sz w:val="22"/>
                <w:szCs w:val="22"/>
              </w:rPr>
            </w:pPr>
            <w:r w:rsidRPr="00A76167">
              <w:rPr>
                <w:rFonts w:cs="Arial"/>
                <w:sz w:val="22"/>
                <w:szCs w:val="22"/>
              </w:rPr>
              <w:t xml:space="preserve">Ref Code: </w:t>
            </w:r>
          </w:p>
          <w:p w14:paraId="39873B0C" w14:textId="77777777" w:rsidR="00BC0269" w:rsidRPr="00A76167" w:rsidRDefault="00BC0269" w:rsidP="00A76167">
            <w:pPr>
              <w:rPr>
                <w:rFonts w:cs="Arial"/>
                <w:b/>
                <w:sz w:val="22"/>
                <w:szCs w:val="22"/>
              </w:rPr>
            </w:pPr>
            <w:r w:rsidRPr="00A76167">
              <w:rPr>
                <w:rFonts w:cs="Arial"/>
                <w:b/>
                <w:sz w:val="22"/>
                <w:szCs w:val="22"/>
              </w:rPr>
              <w:t>2013/09</w:t>
            </w:r>
          </w:p>
          <w:p w14:paraId="13F10D8F" w14:textId="77777777" w:rsidR="00BC0269" w:rsidRPr="00A76167" w:rsidRDefault="00BC0269" w:rsidP="00A76167">
            <w:pPr>
              <w:rPr>
                <w:rFonts w:cs="Arial"/>
                <w:sz w:val="22"/>
                <w:szCs w:val="22"/>
              </w:rPr>
            </w:pPr>
            <w:r w:rsidRPr="00A76167">
              <w:rPr>
                <w:rFonts w:cs="Arial"/>
                <w:sz w:val="22"/>
                <w:szCs w:val="22"/>
              </w:rPr>
              <w:t>Made: 21/02/13</w:t>
            </w:r>
          </w:p>
        </w:tc>
        <w:tc>
          <w:tcPr>
            <w:tcW w:w="8079" w:type="dxa"/>
          </w:tcPr>
          <w:p w14:paraId="21A1E465" w14:textId="77777777" w:rsidR="00BC0269" w:rsidRPr="00A76167" w:rsidRDefault="00BC0269" w:rsidP="00A76167">
            <w:pPr>
              <w:rPr>
                <w:rFonts w:cs="Arial"/>
                <w:sz w:val="22"/>
                <w:szCs w:val="22"/>
              </w:rPr>
            </w:pPr>
            <w:r w:rsidRPr="00A76167">
              <w:rPr>
                <w:rFonts w:cs="Arial"/>
                <w:sz w:val="22"/>
                <w:szCs w:val="22"/>
              </w:rPr>
              <w:t>Strategic recommendation</w:t>
            </w:r>
          </w:p>
          <w:p w14:paraId="5AC3A811" w14:textId="77777777" w:rsidR="00BC0269" w:rsidRPr="00A76167" w:rsidRDefault="00BC0269" w:rsidP="00A76167">
            <w:pPr>
              <w:rPr>
                <w:rFonts w:cs="Arial"/>
                <w:sz w:val="22"/>
                <w:szCs w:val="22"/>
              </w:rPr>
            </w:pPr>
            <w:r w:rsidRPr="00A76167">
              <w:rPr>
                <w:rFonts w:cs="Arial"/>
                <w:sz w:val="22"/>
                <w:szCs w:val="22"/>
              </w:rPr>
              <w:t>Recommendation to ask NRLS to include GP practice code as part of data collection.</w:t>
            </w:r>
          </w:p>
          <w:p w14:paraId="1F1388EB" w14:textId="77777777" w:rsidR="00BC0269" w:rsidRPr="00A76167" w:rsidRDefault="00BC0269" w:rsidP="00A76167">
            <w:pPr>
              <w:rPr>
                <w:rFonts w:cs="Arial"/>
                <w:sz w:val="22"/>
                <w:szCs w:val="22"/>
              </w:rPr>
            </w:pPr>
          </w:p>
          <w:p w14:paraId="4B7852B2" w14:textId="77777777" w:rsidR="00BC0269" w:rsidRPr="00A76167" w:rsidRDefault="00BC0269" w:rsidP="00A76167">
            <w:pPr>
              <w:rPr>
                <w:rFonts w:cs="Arial"/>
                <w:b/>
                <w:sz w:val="22"/>
                <w:szCs w:val="22"/>
              </w:rPr>
            </w:pPr>
            <w:r w:rsidRPr="00A76167">
              <w:rPr>
                <w:rFonts w:cs="Arial"/>
                <w:sz w:val="22"/>
                <w:szCs w:val="22"/>
              </w:rPr>
              <w:t>MRG suggested that each incident should be linked to either HES ID or NHS no. in order to clearly link back to CCG level.</w:t>
            </w:r>
          </w:p>
        </w:tc>
      </w:tr>
      <w:tr w:rsidR="00A76167" w:rsidRPr="00A76167" w14:paraId="43C0966F" w14:textId="77777777" w:rsidTr="00A76167">
        <w:tc>
          <w:tcPr>
            <w:tcW w:w="1844" w:type="dxa"/>
          </w:tcPr>
          <w:p w14:paraId="1CD1FA79" w14:textId="77777777" w:rsidR="00BC0269" w:rsidRPr="00A76167" w:rsidRDefault="00BC0269" w:rsidP="00A76167">
            <w:pPr>
              <w:rPr>
                <w:rFonts w:cs="Arial"/>
                <w:sz w:val="22"/>
                <w:szCs w:val="22"/>
              </w:rPr>
            </w:pPr>
            <w:r w:rsidRPr="00A76167">
              <w:rPr>
                <w:rFonts w:cs="Arial"/>
                <w:sz w:val="22"/>
                <w:szCs w:val="22"/>
              </w:rPr>
              <w:t xml:space="preserve">Update: </w:t>
            </w:r>
          </w:p>
          <w:p w14:paraId="3E82C16F" w14:textId="77777777" w:rsidR="00BC0269" w:rsidRPr="00A76167" w:rsidRDefault="00BC0269" w:rsidP="00A76167">
            <w:pPr>
              <w:rPr>
                <w:rFonts w:cs="Arial"/>
                <w:sz w:val="22"/>
                <w:szCs w:val="22"/>
              </w:rPr>
            </w:pPr>
            <w:r w:rsidRPr="00A76167">
              <w:rPr>
                <w:rFonts w:cs="Arial"/>
                <w:sz w:val="22"/>
                <w:szCs w:val="22"/>
              </w:rPr>
              <w:t>Made: 03/05/13</w:t>
            </w:r>
          </w:p>
        </w:tc>
        <w:tc>
          <w:tcPr>
            <w:tcW w:w="8079" w:type="dxa"/>
          </w:tcPr>
          <w:p w14:paraId="3943921F" w14:textId="77777777" w:rsidR="00BC0269" w:rsidRPr="00A76167" w:rsidRDefault="00BC0269" w:rsidP="00A76167">
            <w:pPr>
              <w:rPr>
                <w:rFonts w:cs="Arial"/>
                <w:sz w:val="22"/>
                <w:szCs w:val="22"/>
              </w:rPr>
            </w:pPr>
            <w:r w:rsidRPr="00A76167">
              <w:rPr>
                <w:rFonts w:cs="Arial"/>
                <w:sz w:val="22"/>
                <w:szCs w:val="22"/>
              </w:rPr>
              <w:t>The NRLS provided the following response;</w:t>
            </w:r>
          </w:p>
          <w:p w14:paraId="70497E15" w14:textId="77777777" w:rsidR="00BC0269" w:rsidRPr="00A76167" w:rsidRDefault="00BC0269" w:rsidP="00A76167">
            <w:pPr>
              <w:rPr>
                <w:rFonts w:cs="Arial"/>
                <w:sz w:val="22"/>
                <w:szCs w:val="22"/>
              </w:rPr>
            </w:pPr>
            <w:r w:rsidRPr="00A76167">
              <w:rPr>
                <w:rFonts w:cs="Arial"/>
                <w:i/>
                <w:sz w:val="22"/>
                <w:szCs w:val="22"/>
              </w:rPr>
              <w:t>‘</w:t>
            </w:r>
            <w:r w:rsidRPr="00A76167">
              <w:rPr>
                <w:rFonts w:cs="Arial"/>
                <w:sz w:val="22"/>
                <w:szCs w:val="22"/>
              </w:rPr>
              <w:t>The NRLS is currently being reviewed and the assessment of short and long-term changes and requirements are in course. So far, there is no concrete decision on the inclusion of GP Practice code into the collection but this will be considered. In summary - at the moment, the NRLS have no agreed plans to collect GP Practice codes.’</w:t>
            </w:r>
          </w:p>
          <w:p w14:paraId="4E76EF21" w14:textId="77777777" w:rsidR="00BC0269" w:rsidRPr="00A76167" w:rsidRDefault="00BC0269" w:rsidP="00A76167">
            <w:pPr>
              <w:rPr>
                <w:rFonts w:cs="Arial"/>
                <w:b/>
                <w:sz w:val="22"/>
                <w:szCs w:val="22"/>
              </w:rPr>
            </w:pPr>
          </w:p>
        </w:tc>
      </w:tr>
      <w:tr w:rsidR="00A76167" w:rsidRPr="00A76167" w14:paraId="26AD69C0" w14:textId="77777777" w:rsidTr="00A76167">
        <w:tc>
          <w:tcPr>
            <w:tcW w:w="1844" w:type="dxa"/>
          </w:tcPr>
          <w:p w14:paraId="4E580B2C" w14:textId="77777777" w:rsidR="00BC0269" w:rsidRPr="00A76167" w:rsidRDefault="00BC0269" w:rsidP="00A76167">
            <w:pPr>
              <w:rPr>
                <w:rFonts w:cs="Arial"/>
                <w:sz w:val="22"/>
                <w:szCs w:val="22"/>
              </w:rPr>
            </w:pPr>
            <w:r w:rsidRPr="00A76167">
              <w:rPr>
                <w:rFonts w:cs="Arial"/>
                <w:sz w:val="22"/>
                <w:szCs w:val="22"/>
              </w:rPr>
              <w:t xml:space="preserve">Further Rec: </w:t>
            </w:r>
          </w:p>
          <w:p w14:paraId="22B17193" w14:textId="77777777" w:rsidR="00BC0269" w:rsidRPr="00A76167" w:rsidRDefault="00BC0269" w:rsidP="00A76167">
            <w:pPr>
              <w:rPr>
                <w:rFonts w:cs="Arial"/>
                <w:sz w:val="22"/>
                <w:szCs w:val="22"/>
              </w:rPr>
            </w:pPr>
            <w:r w:rsidRPr="00A76167">
              <w:rPr>
                <w:rFonts w:cs="Arial"/>
                <w:sz w:val="22"/>
                <w:szCs w:val="22"/>
              </w:rPr>
              <w:t>Made: xx/xx/xx</w:t>
            </w:r>
          </w:p>
        </w:tc>
        <w:tc>
          <w:tcPr>
            <w:tcW w:w="8079" w:type="dxa"/>
          </w:tcPr>
          <w:p w14:paraId="0C5EDF09" w14:textId="77777777" w:rsidR="00BC0269" w:rsidRPr="00A76167" w:rsidRDefault="00BC0269" w:rsidP="00A76167">
            <w:pPr>
              <w:rPr>
                <w:rFonts w:cs="Arial"/>
                <w:b/>
                <w:sz w:val="22"/>
                <w:szCs w:val="22"/>
              </w:rPr>
            </w:pPr>
          </w:p>
          <w:p w14:paraId="2E9F0C73" w14:textId="77777777" w:rsidR="00BC0269" w:rsidRPr="00A76167" w:rsidRDefault="00BC0269" w:rsidP="00A76167">
            <w:pPr>
              <w:rPr>
                <w:rFonts w:cs="Arial"/>
                <w:b/>
                <w:sz w:val="22"/>
                <w:szCs w:val="22"/>
              </w:rPr>
            </w:pPr>
          </w:p>
        </w:tc>
      </w:tr>
      <w:tr w:rsidR="00A76167" w:rsidRPr="00A76167" w14:paraId="30D0BB1A" w14:textId="77777777" w:rsidTr="00A76167">
        <w:tc>
          <w:tcPr>
            <w:tcW w:w="1844" w:type="dxa"/>
          </w:tcPr>
          <w:p w14:paraId="65BEB9A6" w14:textId="77777777" w:rsidR="00BC0269" w:rsidRPr="00A76167" w:rsidRDefault="00BC0269" w:rsidP="00A76167">
            <w:pPr>
              <w:rPr>
                <w:rFonts w:cs="Arial"/>
                <w:sz w:val="22"/>
                <w:szCs w:val="22"/>
              </w:rPr>
            </w:pPr>
            <w:r w:rsidRPr="00A76167">
              <w:rPr>
                <w:rFonts w:cs="Arial"/>
                <w:sz w:val="22"/>
                <w:szCs w:val="22"/>
              </w:rPr>
              <w:t xml:space="preserve">Update: </w:t>
            </w:r>
          </w:p>
          <w:p w14:paraId="60E4F968" w14:textId="77777777" w:rsidR="00BC0269" w:rsidRPr="00A76167" w:rsidRDefault="00BC0269" w:rsidP="00A76167">
            <w:pPr>
              <w:rPr>
                <w:rFonts w:cs="Arial"/>
                <w:sz w:val="22"/>
                <w:szCs w:val="22"/>
              </w:rPr>
            </w:pPr>
            <w:r w:rsidRPr="00A76167">
              <w:rPr>
                <w:rFonts w:cs="Arial"/>
                <w:sz w:val="22"/>
                <w:szCs w:val="22"/>
              </w:rPr>
              <w:lastRenderedPageBreak/>
              <w:t>Made: xx/xx/xx</w:t>
            </w:r>
          </w:p>
        </w:tc>
        <w:tc>
          <w:tcPr>
            <w:tcW w:w="8079" w:type="dxa"/>
          </w:tcPr>
          <w:p w14:paraId="4B40FE65" w14:textId="77777777" w:rsidR="00BC0269" w:rsidRPr="00A76167" w:rsidRDefault="00BC0269" w:rsidP="00A76167">
            <w:pPr>
              <w:rPr>
                <w:rFonts w:cs="Arial"/>
                <w:b/>
                <w:sz w:val="22"/>
                <w:szCs w:val="22"/>
              </w:rPr>
            </w:pPr>
          </w:p>
          <w:p w14:paraId="176C4CF3" w14:textId="77777777" w:rsidR="00BC0269" w:rsidRPr="00A76167" w:rsidRDefault="00BC0269" w:rsidP="00A76167">
            <w:pPr>
              <w:rPr>
                <w:rFonts w:cs="Arial"/>
                <w:b/>
                <w:sz w:val="22"/>
                <w:szCs w:val="22"/>
              </w:rPr>
            </w:pPr>
          </w:p>
        </w:tc>
      </w:tr>
    </w:tbl>
    <w:p w14:paraId="5BD53A4D" w14:textId="77777777" w:rsidR="00E73882" w:rsidRDefault="00E73882"/>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E73882" w:rsidRPr="00A76167" w14:paraId="565519BD" w14:textId="77777777" w:rsidTr="00A76167">
        <w:tc>
          <w:tcPr>
            <w:tcW w:w="1844" w:type="dxa"/>
          </w:tcPr>
          <w:p w14:paraId="1C057756" w14:textId="5806E057" w:rsidR="00E73882" w:rsidRPr="00A76167" w:rsidRDefault="00E73882" w:rsidP="00E73882">
            <w:pPr>
              <w:rPr>
                <w:rFonts w:cs="Arial"/>
                <w:sz w:val="22"/>
                <w:szCs w:val="22"/>
              </w:rPr>
            </w:pPr>
            <w:r w:rsidRPr="00A76167">
              <w:rPr>
                <w:rFonts w:cs="Arial"/>
                <w:sz w:val="22"/>
                <w:szCs w:val="22"/>
              </w:rPr>
              <w:t>Rec Status:</w:t>
            </w:r>
          </w:p>
        </w:tc>
        <w:tc>
          <w:tcPr>
            <w:tcW w:w="3260" w:type="dxa"/>
          </w:tcPr>
          <w:p w14:paraId="18BFF191" w14:textId="1AD95C40" w:rsidR="00E73882" w:rsidRPr="00A76167" w:rsidRDefault="00E73882" w:rsidP="00E73882">
            <w:pPr>
              <w:jc w:val="right"/>
              <w:rPr>
                <w:rFonts w:cs="Arial"/>
                <w:b/>
                <w:sz w:val="22"/>
                <w:szCs w:val="22"/>
              </w:rPr>
            </w:pPr>
            <w:r w:rsidRPr="00A76167">
              <w:rPr>
                <w:rFonts w:cs="Arial"/>
                <w:b/>
                <w:sz w:val="22"/>
                <w:szCs w:val="22"/>
              </w:rPr>
              <w:t xml:space="preserve">Further Information Required  </w:t>
            </w:r>
          </w:p>
        </w:tc>
        <w:sdt>
          <w:sdtPr>
            <w:rPr>
              <w:rFonts w:cs="Arial"/>
              <w:sz w:val="22"/>
              <w:szCs w:val="22"/>
            </w:rPr>
            <w:id w:val="1174300212"/>
            <w14:checkbox>
              <w14:checked w14:val="0"/>
              <w14:checkedState w14:val="2612" w14:font="MS Gothic"/>
              <w14:uncheckedState w14:val="2610" w14:font="MS Gothic"/>
            </w14:checkbox>
          </w:sdtPr>
          <w:sdtEndPr/>
          <w:sdtContent>
            <w:tc>
              <w:tcPr>
                <w:tcW w:w="567" w:type="dxa"/>
              </w:tcPr>
              <w:p w14:paraId="16A2FA8E" w14:textId="1FB4B348"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c>
          <w:tcPr>
            <w:tcW w:w="3685" w:type="dxa"/>
          </w:tcPr>
          <w:p w14:paraId="0572D9E1" w14:textId="724E9530" w:rsidR="00E73882" w:rsidRPr="00A76167" w:rsidRDefault="00E73882" w:rsidP="00E73882">
            <w:pPr>
              <w:jc w:val="right"/>
              <w:rPr>
                <w:rFonts w:cs="Arial"/>
                <w:b/>
                <w:sz w:val="22"/>
                <w:szCs w:val="22"/>
              </w:rPr>
            </w:pPr>
            <w:r w:rsidRPr="00A76167">
              <w:rPr>
                <w:rFonts w:cs="Arial"/>
                <w:b/>
                <w:sz w:val="22"/>
                <w:szCs w:val="22"/>
              </w:rPr>
              <w:t>Resolved / No Action Required</w:t>
            </w:r>
          </w:p>
        </w:tc>
        <w:sdt>
          <w:sdtPr>
            <w:rPr>
              <w:rFonts w:cs="Arial"/>
              <w:sz w:val="22"/>
              <w:szCs w:val="22"/>
            </w:rPr>
            <w:id w:val="736448117"/>
            <w14:checkbox>
              <w14:checked w14:val="0"/>
              <w14:checkedState w14:val="2612" w14:font="MS Gothic"/>
              <w14:uncheckedState w14:val="2610" w14:font="MS Gothic"/>
            </w14:checkbox>
          </w:sdtPr>
          <w:sdtEndPr/>
          <w:sdtContent>
            <w:tc>
              <w:tcPr>
                <w:tcW w:w="567" w:type="dxa"/>
              </w:tcPr>
              <w:p w14:paraId="221D3A5F" w14:textId="4BBE4FF1"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r>
    </w:tbl>
    <w:p w14:paraId="54FC21DA" w14:textId="0042C219" w:rsidR="00BC0269" w:rsidRPr="00A76167" w:rsidRDefault="00BC0269" w:rsidP="00A76167">
      <w:pPr>
        <w:ind w:left="-540"/>
        <w:rPr>
          <w:rFonts w:cs="Arial"/>
          <w:b/>
          <w:sz w:val="22"/>
          <w:szCs w:val="22"/>
        </w:rPr>
      </w:pPr>
    </w:p>
    <w:p w14:paraId="1C1CE631" w14:textId="77777777" w:rsidR="0021513E" w:rsidRPr="00A76167" w:rsidRDefault="0021513E" w:rsidP="00A76167">
      <w:pPr>
        <w:ind w:left="-540"/>
        <w:rPr>
          <w:rFonts w:cs="Arial"/>
          <w:b/>
          <w:sz w:val="22"/>
          <w:szCs w:val="22"/>
        </w:rPr>
      </w:pPr>
    </w:p>
    <w:tbl>
      <w:tblPr>
        <w:tblStyle w:val="TableGrid"/>
        <w:tblW w:w="9923" w:type="dxa"/>
        <w:tblLayout w:type="fixed"/>
        <w:tblLook w:val="01E0" w:firstRow="1" w:lastRow="1" w:firstColumn="1" w:lastColumn="1" w:noHBand="0" w:noVBand="0"/>
      </w:tblPr>
      <w:tblGrid>
        <w:gridCol w:w="1844"/>
        <w:gridCol w:w="8079"/>
      </w:tblGrid>
      <w:tr w:rsidR="00A76167" w:rsidRPr="00A76167" w14:paraId="3CBA03D7" w14:textId="77777777" w:rsidTr="00A76167">
        <w:tc>
          <w:tcPr>
            <w:tcW w:w="1844" w:type="dxa"/>
          </w:tcPr>
          <w:p w14:paraId="67AB9750" w14:textId="77777777" w:rsidR="00BC0269" w:rsidRPr="00A76167" w:rsidRDefault="00BC0269" w:rsidP="00A76167">
            <w:pPr>
              <w:rPr>
                <w:rFonts w:cs="Arial"/>
                <w:sz w:val="22"/>
                <w:szCs w:val="22"/>
              </w:rPr>
            </w:pPr>
            <w:r w:rsidRPr="00A76167">
              <w:rPr>
                <w:rFonts w:cs="Arial"/>
                <w:sz w:val="22"/>
                <w:szCs w:val="22"/>
              </w:rPr>
              <w:t xml:space="preserve">Ref Code: </w:t>
            </w:r>
          </w:p>
          <w:p w14:paraId="3CD8C037" w14:textId="77777777" w:rsidR="00BC0269" w:rsidRPr="00A76167" w:rsidRDefault="00BC0269" w:rsidP="00A76167">
            <w:pPr>
              <w:rPr>
                <w:rFonts w:cs="Arial"/>
                <w:b/>
                <w:sz w:val="22"/>
                <w:szCs w:val="22"/>
              </w:rPr>
            </w:pPr>
            <w:r w:rsidRPr="00A76167">
              <w:rPr>
                <w:rFonts w:cs="Arial"/>
                <w:b/>
                <w:sz w:val="22"/>
                <w:szCs w:val="22"/>
              </w:rPr>
              <w:t>2013/10</w:t>
            </w:r>
          </w:p>
          <w:p w14:paraId="6252C3E3" w14:textId="77777777" w:rsidR="00BC0269" w:rsidRPr="00A76167" w:rsidRDefault="00BC0269" w:rsidP="00A76167">
            <w:pPr>
              <w:rPr>
                <w:rFonts w:cs="Arial"/>
                <w:sz w:val="22"/>
                <w:szCs w:val="22"/>
              </w:rPr>
            </w:pPr>
            <w:r w:rsidRPr="00A76167">
              <w:rPr>
                <w:rFonts w:cs="Arial"/>
                <w:sz w:val="22"/>
                <w:szCs w:val="22"/>
              </w:rPr>
              <w:t>Made: 21/02/13</w:t>
            </w:r>
          </w:p>
        </w:tc>
        <w:tc>
          <w:tcPr>
            <w:tcW w:w="8079" w:type="dxa"/>
          </w:tcPr>
          <w:p w14:paraId="1C31C75D" w14:textId="77777777" w:rsidR="00BC0269" w:rsidRPr="00A76167" w:rsidRDefault="00BC0269" w:rsidP="00A76167">
            <w:pPr>
              <w:rPr>
                <w:rFonts w:cs="Arial"/>
                <w:b/>
                <w:sz w:val="22"/>
                <w:szCs w:val="22"/>
              </w:rPr>
            </w:pPr>
            <w:r w:rsidRPr="00A76167">
              <w:rPr>
                <w:rFonts w:cs="Arial"/>
                <w:b/>
                <w:sz w:val="22"/>
                <w:szCs w:val="22"/>
              </w:rPr>
              <w:t>Indicator recommended for consideration by IGB on the understanding that the use of bed days in other indicators is investigated to ensure consistency. Additionally, that consideration is given to publishing a number and a rate alongside each CCG.</w:t>
            </w:r>
          </w:p>
        </w:tc>
      </w:tr>
      <w:tr w:rsidR="00A76167" w:rsidRPr="00A76167" w14:paraId="080C0218" w14:textId="77777777" w:rsidTr="00A76167">
        <w:tc>
          <w:tcPr>
            <w:tcW w:w="1844" w:type="dxa"/>
          </w:tcPr>
          <w:p w14:paraId="47322CC4" w14:textId="77777777" w:rsidR="00BC0269" w:rsidRPr="00A76167" w:rsidRDefault="00BC0269" w:rsidP="00A76167">
            <w:pPr>
              <w:rPr>
                <w:rFonts w:cs="Arial"/>
                <w:sz w:val="22"/>
                <w:szCs w:val="22"/>
              </w:rPr>
            </w:pPr>
            <w:r w:rsidRPr="00A76167">
              <w:rPr>
                <w:rFonts w:cs="Arial"/>
                <w:sz w:val="22"/>
                <w:szCs w:val="22"/>
              </w:rPr>
              <w:t>Ref code</w:t>
            </w:r>
          </w:p>
          <w:p w14:paraId="6AEC36FD" w14:textId="77777777" w:rsidR="00BC0269" w:rsidRPr="00A76167" w:rsidRDefault="00BC0269" w:rsidP="00A76167">
            <w:pPr>
              <w:rPr>
                <w:rFonts w:cs="Arial"/>
                <w:b/>
                <w:sz w:val="22"/>
                <w:szCs w:val="22"/>
              </w:rPr>
            </w:pPr>
            <w:r w:rsidRPr="00A76167">
              <w:rPr>
                <w:rFonts w:cs="Arial"/>
                <w:b/>
                <w:sz w:val="22"/>
                <w:szCs w:val="22"/>
              </w:rPr>
              <w:t>2013/23</w:t>
            </w:r>
          </w:p>
          <w:p w14:paraId="0306754F" w14:textId="77777777" w:rsidR="00BC0269" w:rsidRPr="00A76167" w:rsidRDefault="00BC0269" w:rsidP="00A76167">
            <w:pPr>
              <w:rPr>
                <w:rFonts w:cs="Arial"/>
                <w:sz w:val="22"/>
                <w:szCs w:val="22"/>
              </w:rPr>
            </w:pPr>
            <w:r w:rsidRPr="00A76167">
              <w:rPr>
                <w:rFonts w:cs="Arial"/>
                <w:sz w:val="22"/>
                <w:szCs w:val="22"/>
              </w:rPr>
              <w:t>Made: 03/05/13</w:t>
            </w:r>
          </w:p>
        </w:tc>
        <w:tc>
          <w:tcPr>
            <w:tcW w:w="8079" w:type="dxa"/>
          </w:tcPr>
          <w:p w14:paraId="29CF12AB" w14:textId="77777777" w:rsidR="00BC0269" w:rsidRPr="00A76167" w:rsidRDefault="00BC0269" w:rsidP="00A76167">
            <w:pPr>
              <w:rPr>
                <w:rFonts w:cs="Arial"/>
                <w:b/>
                <w:sz w:val="22"/>
                <w:szCs w:val="22"/>
              </w:rPr>
            </w:pPr>
            <w:r w:rsidRPr="00A76167">
              <w:rPr>
                <w:rFonts w:cs="Arial"/>
                <w:b/>
                <w:sz w:val="22"/>
                <w:szCs w:val="22"/>
              </w:rPr>
              <w:t>Indicator approved for consideration by IGB providing recommendations regarding standardisation and bed days calculation are further investigated.</w:t>
            </w:r>
          </w:p>
        </w:tc>
      </w:tr>
    </w:tbl>
    <w:p w14:paraId="5F0DB3FB" w14:textId="77777777" w:rsidR="00E73882" w:rsidRDefault="00E73882"/>
    <w:tbl>
      <w:tblPr>
        <w:tblStyle w:val="TableGrid"/>
        <w:tblW w:w="9923" w:type="dxa"/>
        <w:tblLayout w:type="fixed"/>
        <w:tblLook w:val="01E0" w:firstRow="1" w:lastRow="1" w:firstColumn="1" w:lastColumn="1" w:noHBand="0" w:noVBand="0"/>
      </w:tblPr>
      <w:tblGrid>
        <w:gridCol w:w="1844"/>
        <w:gridCol w:w="3260"/>
        <w:gridCol w:w="567"/>
        <w:gridCol w:w="3685"/>
        <w:gridCol w:w="567"/>
      </w:tblGrid>
      <w:tr w:rsidR="00E73882" w:rsidRPr="00A76167" w14:paraId="25C4486B" w14:textId="77777777" w:rsidTr="00A76167">
        <w:tc>
          <w:tcPr>
            <w:tcW w:w="1844" w:type="dxa"/>
          </w:tcPr>
          <w:p w14:paraId="4EEDFFC8" w14:textId="3E8D1FA3" w:rsidR="00E73882" w:rsidRPr="00A76167" w:rsidRDefault="00E73882" w:rsidP="00E73882">
            <w:pPr>
              <w:rPr>
                <w:rFonts w:cs="Arial"/>
                <w:sz w:val="22"/>
                <w:szCs w:val="22"/>
              </w:rPr>
            </w:pPr>
            <w:r w:rsidRPr="00A76167">
              <w:rPr>
                <w:rFonts w:cs="Arial"/>
                <w:sz w:val="22"/>
                <w:szCs w:val="22"/>
              </w:rPr>
              <w:t>Rec Status:</w:t>
            </w:r>
          </w:p>
        </w:tc>
        <w:tc>
          <w:tcPr>
            <w:tcW w:w="3260" w:type="dxa"/>
          </w:tcPr>
          <w:p w14:paraId="1B7A79C5" w14:textId="4703809D" w:rsidR="00E73882" w:rsidRPr="00A76167" w:rsidRDefault="00E73882" w:rsidP="00E73882">
            <w:pPr>
              <w:jc w:val="right"/>
              <w:rPr>
                <w:rFonts w:cs="Arial"/>
                <w:b/>
                <w:sz w:val="22"/>
                <w:szCs w:val="22"/>
              </w:rPr>
            </w:pPr>
            <w:r w:rsidRPr="00A76167">
              <w:rPr>
                <w:rFonts w:cs="Arial"/>
                <w:b/>
                <w:sz w:val="22"/>
                <w:szCs w:val="22"/>
              </w:rPr>
              <w:t xml:space="preserve">Further Information Required  </w:t>
            </w:r>
          </w:p>
        </w:tc>
        <w:sdt>
          <w:sdtPr>
            <w:rPr>
              <w:rFonts w:cs="Arial"/>
              <w:sz w:val="22"/>
              <w:szCs w:val="22"/>
            </w:rPr>
            <w:id w:val="1197965839"/>
            <w14:checkbox>
              <w14:checked w14:val="0"/>
              <w14:checkedState w14:val="2612" w14:font="MS Gothic"/>
              <w14:uncheckedState w14:val="2610" w14:font="MS Gothic"/>
            </w14:checkbox>
          </w:sdtPr>
          <w:sdtEndPr/>
          <w:sdtContent>
            <w:tc>
              <w:tcPr>
                <w:tcW w:w="567" w:type="dxa"/>
              </w:tcPr>
              <w:p w14:paraId="449E3370" w14:textId="6C69DD0D"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c>
          <w:tcPr>
            <w:tcW w:w="3685" w:type="dxa"/>
          </w:tcPr>
          <w:p w14:paraId="0428245C" w14:textId="345229A5" w:rsidR="00E73882" w:rsidRPr="00A76167" w:rsidRDefault="00E73882" w:rsidP="00E73882">
            <w:pPr>
              <w:jc w:val="right"/>
              <w:rPr>
                <w:rFonts w:cs="Arial"/>
                <w:b/>
                <w:sz w:val="22"/>
                <w:szCs w:val="22"/>
              </w:rPr>
            </w:pPr>
            <w:r w:rsidRPr="00A76167">
              <w:rPr>
                <w:rFonts w:cs="Arial"/>
                <w:b/>
                <w:sz w:val="22"/>
                <w:szCs w:val="22"/>
              </w:rPr>
              <w:t>Resolved / No Action Required</w:t>
            </w:r>
          </w:p>
        </w:tc>
        <w:sdt>
          <w:sdtPr>
            <w:rPr>
              <w:rFonts w:cs="Arial"/>
              <w:sz w:val="22"/>
              <w:szCs w:val="22"/>
            </w:rPr>
            <w:id w:val="-689369561"/>
            <w14:checkbox>
              <w14:checked w14:val="0"/>
              <w14:checkedState w14:val="2612" w14:font="MS Gothic"/>
              <w14:uncheckedState w14:val="2610" w14:font="MS Gothic"/>
            </w14:checkbox>
          </w:sdtPr>
          <w:sdtEndPr/>
          <w:sdtContent>
            <w:tc>
              <w:tcPr>
                <w:tcW w:w="567" w:type="dxa"/>
              </w:tcPr>
              <w:p w14:paraId="13079AA4" w14:textId="4F146466"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r>
    </w:tbl>
    <w:p w14:paraId="5E7FF6ED" w14:textId="77777777" w:rsidR="00BC0269" w:rsidRPr="00A76167" w:rsidRDefault="00BC0269">
      <w:pPr>
        <w:rPr>
          <w:rFonts w:cs="Arial"/>
          <w:b/>
          <w:sz w:val="22"/>
          <w:szCs w:val="22"/>
        </w:rPr>
      </w:pPr>
      <w:r w:rsidRPr="00A76167">
        <w:rPr>
          <w:rFonts w:cs="Arial"/>
          <w:b/>
          <w:sz w:val="22"/>
          <w:szCs w:val="22"/>
        </w:rPr>
        <w:br w:type="page"/>
      </w:r>
    </w:p>
    <w:p w14:paraId="6E30C094" w14:textId="77777777" w:rsidR="00BC0269" w:rsidRPr="00A76167" w:rsidRDefault="00BC0269" w:rsidP="00A76167">
      <w:pPr>
        <w:ind w:left="-851"/>
        <w:rPr>
          <w:rFonts w:cs="Arial"/>
          <w:sz w:val="22"/>
          <w:szCs w:val="22"/>
        </w:rPr>
      </w:pPr>
      <w:r w:rsidRPr="00A76167">
        <w:rPr>
          <w:rFonts w:cs="Arial"/>
          <w:sz w:val="22"/>
          <w:szCs w:val="22"/>
        </w:rPr>
        <w:lastRenderedPageBreak/>
        <w:t>Revisions:</w:t>
      </w:r>
    </w:p>
    <w:p w14:paraId="5F58EFD7" w14:textId="77777777" w:rsidR="00BC0269" w:rsidRPr="00A76167" w:rsidRDefault="00BC0269" w:rsidP="00A76167">
      <w:pPr>
        <w:ind w:left="-851"/>
        <w:rPr>
          <w:rFonts w:cs="Arial"/>
          <w:sz w:val="22"/>
          <w:szCs w:val="22"/>
        </w:rPr>
      </w:pPr>
      <w:r w:rsidRPr="00A76167">
        <w:rPr>
          <w:rFonts w:cs="Arial"/>
          <w:sz w:val="22"/>
          <w:szCs w:val="22"/>
        </w:rPr>
        <w:t>To be completed where changes to the methodology are made by the applicant during the appraisal [i.e. subsequent to the initial application form]</w:t>
      </w:r>
    </w:p>
    <w:p w14:paraId="71F5F188" w14:textId="77777777" w:rsidR="00BC0269" w:rsidRPr="00A76167" w:rsidRDefault="00BC0269" w:rsidP="00A76167">
      <w:pPr>
        <w:ind w:left="-851"/>
        <w:rPr>
          <w:rFonts w:cs="Arial"/>
          <w:sz w:val="22"/>
          <w:szCs w:val="22"/>
        </w:rPr>
      </w:pPr>
      <w:r w:rsidRPr="00A76167">
        <w:rPr>
          <w:rFonts w:cs="Arial"/>
          <w:sz w:val="22"/>
          <w:szCs w:val="22"/>
        </w:rPr>
        <w:t>A new section is to be added for each new set of revisions to go to MRG.</w:t>
      </w:r>
    </w:p>
    <w:p w14:paraId="033FD3DD" w14:textId="77777777" w:rsidR="00BC0269" w:rsidRPr="00A76167" w:rsidRDefault="00BC0269" w:rsidP="00A76167">
      <w:pPr>
        <w:ind w:left="-851"/>
        <w:rPr>
          <w:rFonts w:cs="Arial"/>
          <w:sz w:val="22"/>
          <w:szCs w:val="22"/>
        </w:rPr>
      </w:pPr>
    </w:p>
    <w:tbl>
      <w:tblPr>
        <w:tblStyle w:val="TableGrid"/>
        <w:tblW w:w="9923" w:type="dxa"/>
        <w:tblLayout w:type="fixed"/>
        <w:tblLook w:val="01E0" w:firstRow="1" w:lastRow="1" w:firstColumn="1" w:lastColumn="1" w:noHBand="0" w:noVBand="0"/>
      </w:tblPr>
      <w:tblGrid>
        <w:gridCol w:w="2125"/>
        <w:gridCol w:w="7798"/>
      </w:tblGrid>
      <w:tr w:rsidR="00A76167" w:rsidRPr="00A76167" w14:paraId="0DC5A208" w14:textId="77777777" w:rsidTr="00A76167">
        <w:tc>
          <w:tcPr>
            <w:tcW w:w="2125" w:type="dxa"/>
          </w:tcPr>
          <w:p w14:paraId="42AF76AA" w14:textId="77777777" w:rsidR="00BC0269" w:rsidRPr="00A76167" w:rsidRDefault="00BC0269" w:rsidP="00A76167">
            <w:pPr>
              <w:rPr>
                <w:rFonts w:cs="Arial"/>
                <w:sz w:val="22"/>
                <w:szCs w:val="22"/>
              </w:rPr>
            </w:pPr>
            <w:r w:rsidRPr="00A76167">
              <w:rPr>
                <w:rFonts w:cs="Arial"/>
                <w:sz w:val="22"/>
                <w:szCs w:val="22"/>
              </w:rPr>
              <w:t>Revision Date:</w:t>
            </w:r>
          </w:p>
        </w:tc>
        <w:tc>
          <w:tcPr>
            <w:tcW w:w="7798" w:type="dxa"/>
          </w:tcPr>
          <w:p w14:paraId="60682622" w14:textId="77777777" w:rsidR="00BC0269" w:rsidRPr="00A76167" w:rsidRDefault="00BC0269" w:rsidP="00A76167">
            <w:pPr>
              <w:rPr>
                <w:rFonts w:cs="Arial"/>
                <w:sz w:val="22"/>
                <w:szCs w:val="22"/>
              </w:rPr>
            </w:pPr>
          </w:p>
          <w:p w14:paraId="168BD70C" w14:textId="77777777" w:rsidR="00BC0269" w:rsidRPr="00A76167" w:rsidRDefault="00BC0269" w:rsidP="00A76167">
            <w:pPr>
              <w:rPr>
                <w:rFonts w:cs="Arial"/>
                <w:sz w:val="22"/>
                <w:szCs w:val="22"/>
              </w:rPr>
            </w:pPr>
          </w:p>
        </w:tc>
      </w:tr>
      <w:tr w:rsidR="00A76167" w:rsidRPr="00A76167" w14:paraId="362F662D" w14:textId="77777777" w:rsidTr="00A76167">
        <w:tc>
          <w:tcPr>
            <w:tcW w:w="2125" w:type="dxa"/>
          </w:tcPr>
          <w:p w14:paraId="71E5C8FF" w14:textId="77777777" w:rsidR="00BC0269" w:rsidRPr="00A76167" w:rsidRDefault="00BC0269" w:rsidP="00A76167">
            <w:pPr>
              <w:rPr>
                <w:rFonts w:cs="Arial"/>
                <w:sz w:val="22"/>
                <w:szCs w:val="22"/>
              </w:rPr>
            </w:pPr>
            <w:r w:rsidRPr="00A76167">
              <w:rPr>
                <w:rFonts w:cs="Arial"/>
                <w:sz w:val="22"/>
                <w:szCs w:val="22"/>
              </w:rPr>
              <w:t>General Comments / Reasoning:</w:t>
            </w:r>
          </w:p>
        </w:tc>
        <w:tc>
          <w:tcPr>
            <w:tcW w:w="7798" w:type="dxa"/>
          </w:tcPr>
          <w:p w14:paraId="175CD267" w14:textId="77777777" w:rsidR="00BC0269" w:rsidRPr="00A76167" w:rsidRDefault="00BC0269" w:rsidP="00A76167">
            <w:pPr>
              <w:rPr>
                <w:rFonts w:cs="Arial"/>
                <w:sz w:val="22"/>
                <w:szCs w:val="22"/>
              </w:rPr>
            </w:pPr>
          </w:p>
          <w:p w14:paraId="5F008552" w14:textId="77777777" w:rsidR="00BC0269" w:rsidRPr="00A76167" w:rsidRDefault="00BC0269" w:rsidP="00A76167">
            <w:pPr>
              <w:rPr>
                <w:rFonts w:cs="Arial"/>
                <w:sz w:val="22"/>
                <w:szCs w:val="22"/>
              </w:rPr>
            </w:pPr>
          </w:p>
          <w:p w14:paraId="320774B4" w14:textId="77777777" w:rsidR="00BC0269" w:rsidRPr="00A76167" w:rsidRDefault="00BC0269" w:rsidP="00A76167">
            <w:pPr>
              <w:rPr>
                <w:rFonts w:cs="Arial"/>
                <w:sz w:val="22"/>
                <w:szCs w:val="22"/>
              </w:rPr>
            </w:pPr>
          </w:p>
          <w:p w14:paraId="6314F607" w14:textId="77777777" w:rsidR="00BC0269" w:rsidRPr="00A76167" w:rsidRDefault="00BC0269" w:rsidP="00A76167">
            <w:pPr>
              <w:rPr>
                <w:rFonts w:cs="Arial"/>
                <w:sz w:val="22"/>
                <w:szCs w:val="22"/>
              </w:rPr>
            </w:pPr>
          </w:p>
        </w:tc>
      </w:tr>
      <w:tr w:rsidR="00A76167" w:rsidRPr="00A76167" w14:paraId="16BD6CF7" w14:textId="77777777" w:rsidTr="00A76167">
        <w:tc>
          <w:tcPr>
            <w:tcW w:w="2125" w:type="dxa"/>
          </w:tcPr>
          <w:p w14:paraId="536F9AF2" w14:textId="77777777" w:rsidR="00BC0269" w:rsidRPr="00A76167" w:rsidRDefault="00BC0269" w:rsidP="00A76167">
            <w:pPr>
              <w:rPr>
                <w:rFonts w:cs="Arial"/>
                <w:sz w:val="22"/>
                <w:szCs w:val="22"/>
              </w:rPr>
            </w:pPr>
            <w:r w:rsidRPr="00A76167">
              <w:rPr>
                <w:rFonts w:cs="Arial"/>
                <w:sz w:val="22"/>
                <w:szCs w:val="22"/>
              </w:rPr>
              <w:t>Revisions:</w:t>
            </w:r>
          </w:p>
        </w:tc>
        <w:tc>
          <w:tcPr>
            <w:tcW w:w="7798" w:type="dxa"/>
          </w:tcPr>
          <w:p w14:paraId="7B982481" w14:textId="77777777" w:rsidR="00BC0269" w:rsidRPr="00A76167" w:rsidRDefault="00BC0269" w:rsidP="00A76167">
            <w:pPr>
              <w:rPr>
                <w:rFonts w:cs="Arial"/>
                <w:sz w:val="22"/>
                <w:szCs w:val="22"/>
              </w:rPr>
            </w:pPr>
          </w:p>
        </w:tc>
      </w:tr>
      <w:tr w:rsidR="00A76167" w:rsidRPr="00A76167" w14:paraId="04DABBB6" w14:textId="77777777" w:rsidTr="00A76167">
        <w:tc>
          <w:tcPr>
            <w:tcW w:w="2125" w:type="dxa"/>
          </w:tcPr>
          <w:p w14:paraId="7C09FC32" w14:textId="77777777" w:rsidR="00BC0269" w:rsidRPr="00A76167" w:rsidRDefault="00BC0269" w:rsidP="00A76167">
            <w:pPr>
              <w:rPr>
                <w:rFonts w:cs="Arial"/>
                <w:sz w:val="22"/>
                <w:szCs w:val="22"/>
              </w:rPr>
            </w:pPr>
            <w:r w:rsidRPr="00A76167">
              <w:rPr>
                <w:rFonts w:cs="Arial"/>
                <w:sz w:val="22"/>
                <w:szCs w:val="22"/>
              </w:rPr>
              <w:t>Indicator Title</w:t>
            </w:r>
          </w:p>
        </w:tc>
        <w:tc>
          <w:tcPr>
            <w:tcW w:w="7798" w:type="dxa"/>
          </w:tcPr>
          <w:p w14:paraId="261CFA69" w14:textId="77777777" w:rsidR="00BC0269" w:rsidRPr="00A76167" w:rsidRDefault="00BC0269" w:rsidP="00A76167">
            <w:pPr>
              <w:rPr>
                <w:rFonts w:cs="Arial"/>
                <w:sz w:val="22"/>
                <w:szCs w:val="22"/>
              </w:rPr>
            </w:pPr>
          </w:p>
          <w:p w14:paraId="40BF4584" w14:textId="77777777" w:rsidR="00BC0269" w:rsidRPr="00A76167" w:rsidRDefault="00BC0269" w:rsidP="00A76167">
            <w:pPr>
              <w:rPr>
                <w:rFonts w:cs="Arial"/>
                <w:sz w:val="22"/>
                <w:szCs w:val="22"/>
              </w:rPr>
            </w:pPr>
          </w:p>
        </w:tc>
      </w:tr>
      <w:tr w:rsidR="00A76167" w:rsidRPr="00A76167" w14:paraId="70741056" w14:textId="77777777" w:rsidTr="00A76167">
        <w:tc>
          <w:tcPr>
            <w:tcW w:w="2125" w:type="dxa"/>
          </w:tcPr>
          <w:p w14:paraId="565FF807" w14:textId="77777777" w:rsidR="00BC0269" w:rsidRPr="00A76167" w:rsidRDefault="00BC0269" w:rsidP="00A76167">
            <w:pPr>
              <w:rPr>
                <w:rFonts w:cs="Arial"/>
                <w:sz w:val="22"/>
                <w:szCs w:val="22"/>
              </w:rPr>
            </w:pPr>
            <w:r w:rsidRPr="00A76167">
              <w:rPr>
                <w:rFonts w:cs="Arial"/>
                <w:sz w:val="22"/>
                <w:szCs w:val="22"/>
              </w:rPr>
              <w:t>Data source</w:t>
            </w:r>
          </w:p>
        </w:tc>
        <w:tc>
          <w:tcPr>
            <w:tcW w:w="7798" w:type="dxa"/>
          </w:tcPr>
          <w:p w14:paraId="3ABB0640" w14:textId="77777777" w:rsidR="00BC0269" w:rsidRPr="00A76167" w:rsidRDefault="00BC0269" w:rsidP="00A76167">
            <w:pPr>
              <w:rPr>
                <w:rFonts w:cs="Arial"/>
                <w:sz w:val="22"/>
                <w:szCs w:val="22"/>
              </w:rPr>
            </w:pPr>
          </w:p>
          <w:p w14:paraId="33EB99B2" w14:textId="77777777" w:rsidR="00BC0269" w:rsidRPr="00A76167" w:rsidRDefault="00BC0269" w:rsidP="00A76167">
            <w:pPr>
              <w:rPr>
                <w:rFonts w:cs="Arial"/>
                <w:sz w:val="22"/>
                <w:szCs w:val="22"/>
              </w:rPr>
            </w:pPr>
          </w:p>
        </w:tc>
      </w:tr>
      <w:tr w:rsidR="00A76167" w:rsidRPr="00A76167" w14:paraId="77148832" w14:textId="77777777" w:rsidTr="00A76167">
        <w:tc>
          <w:tcPr>
            <w:tcW w:w="2125" w:type="dxa"/>
          </w:tcPr>
          <w:p w14:paraId="2FA3A8CE" w14:textId="77777777" w:rsidR="00BC0269" w:rsidRPr="00A76167" w:rsidRDefault="00BC0269" w:rsidP="00A76167">
            <w:pPr>
              <w:rPr>
                <w:rFonts w:cs="Arial"/>
                <w:sz w:val="22"/>
                <w:szCs w:val="22"/>
              </w:rPr>
            </w:pPr>
            <w:r w:rsidRPr="00A76167">
              <w:rPr>
                <w:rFonts w:cs="Arial"/>
                <w:sz w:val="22"/>
                <w:szCs w:val="22"/>
              </w:rPr>
              <w:t>Construction</w:t>
            </w:r>
          </w:p>
        </w:tc>
        <w:tc>
          <w:tcPr>
            <w:tcW w:w="7798" w:type="dxa"/>
          </w:tcPr>
          <w:p w14:paraId="348FC087" w14:textId="77777777" w:rsidR="00BC0269" w:rsidRPr="00A76167" w:rsidRDefault="00BC0269" w:rsidP="00A76167">
            <w:pPr>
              <w:rPr>
                <w:rFonts w:cs="Arial"/>
                <w:sz w:val="22"/>
                <w:szCs w:val="22"/>
              </w:rPr>
            </w:pPr>
          </w:p>
          <w:p w14:paraId="09D9BEC8" w14:textId="77777777" w:rsidR="00BC0269" w:rsidRPr="00A76167" w:rsidRDefault="00BC0269" w:rsidP="00A76167">
            <w:pPr>
              <w:rPr>
                <w:rFonts w:cs="Arial"/>
                <w:sz w:val="22"/>
                <w:szCs w:val="22"/>
              </w:rPr>
            </w:pPr>
          </w:p>
          <w:p w14:paraId="0178B9EE" w14:textId="77777777" w:rsidR="00BC0269" w:rsidRPr="00A76167" w:rsidRDefault="00BC0269" w:rsidP="00A76167">
            <w:pPr>
              <w:rPr>
                <w:rFonts w:cs="Arial"/>
                <w:sz w:val="22"/>
                <w:szCs w:val="22"/>
              </w:rPr>
            </w:pPr>
          </w:p>
          <w:p w14:paraId="0F818694" w14:textId="77777777" w:rsidR="00BC0269" w:rsidRPr="00A76167" w:rsidRDefault="00BC0269" w:rsidP="00A76167">
            <w:pPr>
              <w:rPr>
                <w:rFonts w:cs="Arial"/>
                <w:sz w:val="22"/>
                <w:szCs w:val="22"/>
              </w:rPr>
            </w:pPr>
          </w:p>
        </w:tc>
      </w:tr>
      <w:tr w:rsidR="00A76167" w:rsidRPr="00A76167" w14:paraId="0F70609C" w14:textId="77777777" w:rsidTr="00A76167">
        <w:tc>
          <w:tcPr>
            <w:tcW w:w="2125" w:type="dxa"/>
          </w:tcPr>
          <w:p w14:paraId="69B9E6DA" w14:textId="77777777" w:rsidR="00BC0269" w:rsidRPr="00A76167" w:rsidRDefault="00BC0269" w:rsidP="00A76167">
            <w:pPr>
              <w:rPr>
                <w:rFonts w:cs="Arial"/>
                <w:sz w:val="22"/>
                <w:szCs w:val="22"/>
              </w:rPr>
            </w:pPr>
            <w:r w:rsidRPr="00A76167">
              <w:rPr>
                <w:rFonts w:cs="Arial"/>
                <w:sz w:val="22"/>
                <w:szCs w:val="22"/>
              </w:rPr>
              <w:t>Updated Potential Issues</w:t>
            </w:r>
          </w:p>
        </w:tc>
        <w:tc>
          <w:tcPr>
            <w:tcW w:w="7798" w:type="dxa"/>
          </w:tcPr>
          <w:p w14:paraId="1BDA2505" w14:textId="77777777" w:rsidR="00BC0269" w:rsidRPr="00A76167" w:rsidRDefault="00BC0269" w:rsidP="00A76167">
            <w:pPr>
              <w:rPr>
                <w:rFonts w:cs="Arial"/>
                <w:sz w:val="22"/>
                <w:szCs w:val="22"/>
              </w:rPr>
            </w:pPr>
          </w:p>
          <w:p w14:paraId="1ACAF2E8" w14:textId="77777777" w:rsidR="00BC0269" w:rsidRPr="00A76167" w:rsidRDefault="00BC0269" w:rsidP="00A76167">
            <w:pPr>
              <w:rPr>
                <w:rFonts w:cs="Arial"/>
                <w:sz w:val="22"/>
                <w:szCs w:val="22"/>
              </w:rPr>
            </w:pPr>
          </w:p>
          <w:p w14:paraId="76D569B2" w14:textId="77777777" w:rsidR="00BC0269" w:rsidRPr="00A76167" w:rsidRDefault="00BC0269" w:rsidP="00A76167">
            <w:pPr>
              <w:rPr>
                <w:rFonts w:cs="Arial"/>
                <w:sz w:val="22"/>
                <w:szCs w:val="22"/>
              </w:rPr>
            </w:pPr>
          </w:p>
          <w:p w14:paraId="7444D370" w14:textId="77777777" w:rsidR="00BC0269" w:rsidRPr="00A76167" w:rsidRDefault="00BC0269" w:rsidP="00A76167">
            <w:pPr>
              <w:rPr>
                <w:rFonts w:cs="Arial"/>
                <w:sz w:val="22"/>
                <w:szCs w:val="22"/>
              </w:rPr>
            </w:pPr>
          </w:p>
        </w:tc>
      </w:tr>
    </w:tbl>
    <w:p w14:paraId="6536E9F5" w14:textId="77777777" w:rsidR="00BC0269" w:rsidRPr="00A76167" w:rsidRDefault="00BC0269" w:rsidP="00A76167">
      <w:pPr>
        <w:ind w:left="-540"/>
        <w:rPr>
          <w:rFonts w:cs="Arial"/>
          <w:b/>
          <w:sz w:val="22"/>
          <w:szCs w:val="22"/>
        </w:rPr>
      </w:pPr>
      <w:r w:rsidRPr="00A76167">
        <w:rPr>
          <w:rFonts w:cs="Arial"/>
          <w:b/>
          <w:sz w:val="22"/>
          <w:szCs w:val="22"/>
        </w:rPr>
        <w:br w:type="page"/>
      </w:r>
    </w:p>
    <w:p w14:paraId="06BA3912" w14:textId="77777777" w:rsidR="00BC0269" w:rsidRPr="00A76167" w:rsidRDefault="00BC0269" w:rsidP="00A76167">
      <w:pPr>
        <w:ind w:left="-851"/>
        <w:rPr>
          <w:rFonts w:cs="Arial"/>
          <w:sz w:val="22"/>
          <w:szCs w:val="22"/>
        </w:rPr>
      </w:pPr>
    </w:p>
    <w:p w14:paraId="312C0B95" w14:textId="77777777" w:rsidR="00BC0269" w:rsidRPr="00A76167" w:rsidRDefault="00BC0269" w:rsidP="00A76167">
      <w:pPr>
        <w:ind w:left="-851"/>
        <w:rPr>
          <w:rFonts w:cs="Arial"/>
          <w:sz w:val="22"/>
          <w:szCs w:val="22"/>
        </w:rPr>
      </w:pPr>
      <w:r w:rsidRPr="00A76167">
        <w:rPr>
          <w:rFonts w:cs="Arial"/>
          <w:sz w:val="22"/>
          <w:szCs w:val="22"/>
        </w:rPr>
        <w:t xml:space="preserve">Record of Assurance provided by </w:t>
      </w:r>
      <w:r w:rsidRPr="00A76167">
        <w:rPr>
          <w:rFonts w:cs="Arial"/>
          <w:b/>
          <w:sz w:val="22"/>
          <w:szCs w:val="22"/>
        </w:rPr>
        <w:t>Indicator Governance Board</w:t>
      </w:r>
    </w:p>
    <w:p w14:paraId="01C514C5" w14:textId="77777777" w:rsidR="00BC0269" w:rsidRPr="00A76167" w:rsidRDefault="00BC0269" w:rsidP="00A76167">
      <w:pPr>
        <w:rPr>
          <w:rFonts w:cs="Arial"/>
          <w:sz w:val="22"/>
          <w:szCs w:val="22"/>
        </w:rPr>
      </w:pPr>
    </w:p>
    <w:tbl>
      <w:tblPr>
        <w:tblStyle w:val="TableGrid"/>
        <w:tblW w:w="9923" w:type="dxa"/>
        <w:tblLayout w:type="fixed"/>
        <w:tblLook w:val="01E0" w:firstRow="1" w:lastRow="1" w:firstColumn="1" w:lastColumn="1" w:noHBand="0" w:noVBand="0"/>
      </w:tblPr>
      <w:tblGrid>
        <w:gridCol w:w="2122"/>
        <w:gridCol w:w="5379"/>
        <w:gridCol w:w="997"/>
        <w:gridCol w:w="1425"/>
      </w:tblGrid>
      <w:tr w:rsidR="00A76167" w:rsidRPr="00A76167" w14:paraId="3349D392" w14:textId="77777777" w:rsidTr="00A76167">
        <w:tc>
          <w:tcPr>
            <w:tcW w:w="2122" w:type="dxa"/>
          </w:tcPr>
          <w:p w14:paraId="00BA818B" w14:textId="77777777" w:rsidR="00BC0269" w:rsidRPr="00A76167" w:rsidRDefault="00BC0269" w:rsidP="00A76167">
            <w:pPr>
              <w:rPr>
                <w:rFonts w:cs="Arial"/>
                <w:b/>
                <w:sz w:val="22"/>
                <w:szCs w:val="22"/>
              </w:rPr>
            </w:pPr>
            <w:r w:rsidRPr="00A76167">
              <w:rPr>
                <w:rFonts w:cs="Arial"/>
                <w:b/>
                <w:sz w:val="22"/>
                <w:szCs w:val="22"/>
              </w:rPr>
              <w:t>Indicator Title</w:t>
            </w:r>
          </w:p>
        </w:tc>
        <w:tc>
          <w:tcPr>
            <w:tcW w:w="5379" w:type="dxa"/>
          </w:tcPr>
          <w:p w14:paraId="0E0858EA" w14:textId="77777777" w:rsidR="00BC0269" w:rsidRPr="00A76167" w:rsidRDefault="00BC0269" w:rsidP="00A76167">
            <w:pPr>
              <w:rPr>
                <w:rFonts w:cs="Arial"/>
                <w:b/>
                <w:sz w:val="22"/>
                <w:szCs w:val="22"/>
              </w:rPr>
            </w:pPr>
            <w:r w:rsidRPr="00A76167">
              <w:rPr>
                <w:rFonts w:cs="Arial"/>
                <w:b/>
                <w:sz w:val="22"/>
                <w:szCs w:val="22"/>
              </w:rPr>
              <w:t>Patient Safety Incidents</w:t>
            </w:r>
          </w:p>
        </w:tc>
        <w:tc>
          <w:tcPr>
            <w:tcW w:w="997" w:type="dxa"/>
          </w:tcPr>
          <w:p w14:paraId="7147C1F2" w14:textId="77777777" w:rsidR="00BC0269" w:rsidRPr="00A76167" w:rsidRDefault="00BC0269" w:rsidP="00A76167">
            <w:pPr>
              <w:rPr>
                <w:rFonts w:cs="Arial"/>
                <w:sz w:val="22"/>
                <w:szCs w:val="22"/>
              </w:rPr>
            </w:pPr>
            <w:r w:rsidRPr="00A76167">
              <w:rPr>
                <w:rFonts w:cs="Arial"/>
                <w:sz w:val="22"/>
                <w:szCs w:val="22"/>
              </w:rPr>
              <w:t>IAS Ref Code:</w:t>
            </w:r>
          </w:p>
        </w:tc>
        <w:tc>
          <w:tcPr>
            <w:tcW w:w="1425" w:type="dxa"/>
          </w:tcPr>
          <w:p w14:paraId="68E84FC9" w14:textId="77777777" w:rsidR="00BC0269" w:rsidRPr="00A76167" w:rsidRDefault="00BC0269" w:rsidP="00A76167">
            <w:pPr>
              <w:rPr>
                <w:rFonts w:cs="Arial"/>
                <w:sz w:val="22"/>
                <w:szCs w:val="22"/>
              </w:rPr>
            </w:pPr>
            <w:r w:rsidRPr="00A76167">
              <w:rPr>
                <w:rFonts w:cs="Arial"/>
                <w:sz w:val="22"/>
                <w:szCs w:val="22"/>
              </w:rPr>
              <w:t>IAP00140</w:t>
            </w:r>
          </w:p>
        </w:tc>
      </w:tr>
      <w:tr w:rsidR="00A76167" w:rsidRPr="00A76167" w14:paraId="02042418" w14:textId="77777777" w:rsidTr="00A76167">
        <w:tc>
          <w:tcPr>
            <w:tcW w:w="2122" w:type="dxa"/>
          </w:tcPr>
          <w:p w14:paraId="3246640D" w14:textId="77777777" w:rsidR="00BC0269" w:rsidRPr="00A76167" w:rsidRDefault="00BC0269" w:rsidP="00A76167">
            <w:pPr>
              <w:rPr>
                <w:rFonts w:cs="Arial"/>
                <w:sz w:val="22"/>
                <w:szCs w:val="22"/>
              </w:rPr>
            </w:pPr>
            <w:r w:rsidRPr="00A76167">
              <w:rPr>
                <w:rFonts w:cs="Arial"/>
                <w:sz w:val="22"/>
                <w:szCs w:val="22"/>
              </w:rPr>
              <w:t>Indicator Set</w:t>
            </w:r>
          </w:p>
        </w:tc>
        <w:tc>
          <w:tcPr>
            <w:tcW w:w="5379" w:type="dxa"/>
          </w:tcPr>
          <w:p w14:paraId="517922A9" w14:textId="77777777" w:rsidR="00BC0269" w:rsidRPr="00A76167" w:rsidRDefault="00BC0269" w:rsidP="00A76167">
            <w:pPr>
              <w:rPr>
                <w:rFonts w:cs="Arial"/>
                <w:sz w:val="22"/>
                <w:szCs w:val="22"/>
              </w:rPr>
            </w:pPr>
            <w:r w:rsidRPr="00A76167">
              <w:rPr>
                <w:rFonts w:cs="Arial"/>
                <w:sz w:val="22"/>
                <w:szCs w:val="22"/>
              </w:rPr>
              <w:t>CCG Outcome Indicator Set</w:t>
            </w:r>
            <w:r w:rsidRPr="00A76167">
              <w:rPr>
                <w:rFonts w:cs="Arial"/>
                <w:sz w:val="22"/>
                <w:szCs w:val="22"/>
              </w:rPr>
              <w:cr/>
              <w:t xml:space="preserve"> (5.1)</w:t>
            </w:r>
          </w:p>
        </w:tc>
        <w:tc>
          <w:tcPr>
            <w:tcW w:w="997" w:type="dxa"/>
          </w:tcPr>
          <w:p w14:paraId="2F33825D" w14:textId="77777777" w:rsidR="00BC0269" w:rsidRPr="00A76167" w:rsidRDefault="00BC0269" w:rsidP="00A76167">
            <w:pPr>
              <w:rPr>
                <w:rFonts w:cs="Arial"/>
                <w:sz w:val="22"/>
                <w:szCs w:val="22"/>
              </w:rPr>
            </w:pPr>
          </w:p>
        </w:tc>
        <w:tc>
          <w:tcPr>
            <w:tcW w:w="1425" w:type="dxa"/>
          </w:tcPr>
          <w:p w14:paraId="661D02DF" w14:textId="77777777" w:rsidR="00BC0269" w:rsidRPr="00A76167" w:rsidRDefault="00BC0269" w:rsidP="00A76167">
            <w:pPr>
              <w:rPr>
                <w:rFonts w:cs="Arial"/>
                <w:sz w:val="22"/>
                <w:szCs w:val="22"/>
              </w:rPr>
            </w:pPr>
          </w:p>
        </w:tc>
      </w:tr>
    </w:tbl>
    <w:p w14:paraId="5C5C8581" w14:textId="77777777" w:rsidR="00E73882" w:rsidRDefault="00E73882"/>
    <w:tbl>
      <w:tblPr>
        <w:tblStyle w:val="TableGrid"/>
        <w:tblW w:w="9923" w:type="dxa"/>
        <w:tblLayout w:type="fixed"/>
        <w:tblLook w:val="01E0" w:firstRow="1" w:lastRow="1" w:firstColumn="1" w:lastColumn="1" w:noHBand="0" w:noVBand="0"/>
      </w:tblPr>
      <w:tblGrid>
        <w:gridCol w:w="2122"/>
        <w:gridCol w:w="7801"/>
      </w:tblGrid>
      <w:tr w:rsidR="00E73882" w:rsidRPr="00A76167" w14:paraId="2365CC22" w14:textId="77777777" w:rsidTr="00A76167">
        <w:tc>
          <w:tcPr>
            <w:tcW w:w="2122" w:type="dxa"/>
          </w:tcPr>
          <w:p w14:paraId="3D6509EC" w14:textId="6BD50246" w:rsidR="00E73882" w:rsidRPr="00A76167" w:rsidRDefault="00E73882" w:rsidP="00E73882">
            <w:pPr>
              <w:rPr>
                <w:rFonts w:cs="Arial"/>
                <w:sz w:val="22"/>
                <w:szCs w:val="22"/>
              </w:rPr>
            </w:pPr>
            <w:r w:rsidRPr="00A76167">
              <w:rPr>
                <w:rFonts w:cs="Arial"/>
                <w:sz w:val="22"/>
                <w:szCs w:val="22"/>
              </w:rPr>
              <w:t>Description</w:t>
            </w:r>
          </w:p>
        </w:tc>
        <w:tc>
          <w:tcPr>
            <w:tcW w:w="7801" w:type="dxa"/>
          </w:tcPr>
          <w:p w14:paraId="65C5195C" w14:textId="77777777" w:rsidR="00E73882" w:rsidRPr="00A76167" w:rsidRDefault="00E73882" w:rsidP="00E73882">
            <w:pPr>
              <w:rPr>
                <w:rFonts w:cs="Arial"/>
                <w:sz w:val="22"/>
                <w:szCs w:val="22"/>
              </w:rPr>
            </w:pPr>
            <w:r w:rsidRPr="00A76167">
              <w:rPr>
                <w:rFonts w:cs="Arial"/>
                <w:sz w:val="22"/>
                <w:szCs w:val="22"/>
              </w:rPr>
              <w:t>For each of a CCG’s five main providers, this indicator shows the rate of Patient Safety incidents per 1,000 total provider bed days.</w:t>
            </w:r>
          </w:p>
          <w:p w14:paraId="556AC7D8" w14:textId="77777777" w:rsidR="00E73882" w:rsidRPr="00A76167" w:rsidRDefault="00E73882" w:rsidP="00E73882">
            <w:pPr>
              <w:rPr>
                <w:rFonts w:cs="Arial"/>
                <w:sz w:val="22"/>
                <w:szCs w:val="22"/>
              </w:rPr>
            </w:pPr>
          </w:p>
          <w:p w14:paraId="7C81991C" w14:textId="77777777" w:rsidR="00E73882" w:rsidRPr="00A76167" w:rsidRDefault="00E73882" w:rsidP="00E73882">
            <w:pPr>
              <w:rPr>
                <w:rFonts w:cs="Arial"/>
                <w:sz w:val="22"/>
                <w:szCs w:val="22"/>
              </w:rPr>
            </w:pPr>
            <w:r w:rsidRPr="00A76167">
              <w:rPr>
                <w:rFonts w:cs="Arial"/>
                <w:sz w:val="22"/>
                <w:szCs w:val="22"/>
              </w:rPr>
              <w:t>“Patient safety incidents are an unintended or unexpected incident which could have, or did, lead to harm for one or more patients receiving NHS-funded healthcare.”</w:t>
            </w:r>
          </w:p>
          <w:p w14:paraId="683A65F1" w14:textId="12DBB9BE" w:rsidR="00E73882" w:rsidRPr="00A76167" w:rsidRDefault="00E73882" w:rsidP="00E73882">
            <w:pPr>
              <w:rPr>
                <w:rFonts w:cs="Arial"/>
                <w:sz w:val="22"/>
                <w:szCs w:val="22"/>
              </w:rPr>
            </w:pPr>
            <w:r w:rsidRPr="00A76167">
              <w:rPr>
                <w:rFonts w:cs="Arial"/>
                <w:sz w:val="22"/>
                <w:szCs w:val="22"/>
              </w:rPr>
              <w:t>(</w:t>
            </w:r>
            <w:hyperlink r:id="rId30" w:history="1">
              <w:r w:rsidRPr="00A76167">
                <w:rPr>
                  <w:rStyle w:val="Hyperlink"/>
                  <w:rFonts w:ascii="Arial" w:eastAsia="MS Mincho" w:hAnsi="Arial" w:cs="Arial"/>
                  <w:color w:val="auto"/>
                  <w:sz w:val="22"/>
                  <w:szCs w:val="22"/>
                </w:rPr>
                <w:t>http://www.nrls.npsa.nhs.uk/report-a-patient-safety-incident/healthcare-staff-reporting/</w:t>
              </w:r>
            </w:hyperlink>
            <w:r w:rsidRPr="00A76167">
              <w:rPr>
                <w:rFonts w:cs="Arial"/>
                <w:sz w:val="22"/>
                <w:szCs w:val="22"/>
              </w:rPr>
              <w:t>)</w:t>
            </w:r>
          </w:p>
        </w:tc>
      </w:tr>
    </w:tbl>
    <w:p w14:paraId="49DE0FAB" w14:textId="77777777" w:rsidR="00BC0269" w:rsidRPr="00A76167" w:rsidRDefault="00BC0269" w:rsidP="00A76167">
      <w:pPr>
        <w:rPr>
          <w:rFonts w:cs="Arial"/>
          <w:sz w:val="22"/>
          <w:szCs w:val="22"/>
        </w:rPr>
      </w:pPr>
    </w:p>
    <w:tbl>
      <w:tblPr>
        <w:tblStyle w:val="TableGrid"/>
        <w:tblW w:w="9923" w:type="dxa"/>
        <w:tblLook w:val="01E0" w:firstRow="1" w:lastRow="1" w:firstColumn="1" w:lastColumn="1" w:noHBand="0" w:noVBand="0"/>
      </w:tblPr>
      <w:tblGrid>
        <w:gridCol w:w="2127"/>
        <w:gridCol w:w="1418"/>
        <w:gridCol w:w="1842"/>
        <w:gridCol w:w="4536"/>
      </w:tblGrid>
      <w:tr w:rsidR="00A76167" w:rsidRPr="00A76167" w14:paraId="4EB98037" w14:textId="77777777" w:rsidTr="00A76167">
        <w:trPr>
          <w:trHeight w:val="229"/>
        </w:trPr>
        <w:tc>
          <w:tcPr>
            <w:tcW w:w="2127" w:type="dxa"/>
          </w:tcPr>
          <w:p w14:paraId="670BE5FD" w14:textId="77777777" w:rsidR="00BC0269" w:rsidRPr="00A76167" w:rsidRDefault="00BC0269" w:rsidP="00A76167">
            <w:pPr>
              <w:rPr>
                <w:rFonts w:cs="Arial"/>
                <w:sz w:val="22"/>
                <w:szCs w:val="22"/>
              </w:rPr>
            </w:pPr>
            <w:r w:rsidRPr="00A76167">
              <w:rPr>
                <w:rFonts w:cs="Arial"/>
                <w:sz w:val="22"/>
                <w:szCs w:val="22"/>
              </w:rPr>
              <w:t xml:space="preserve">Initial IGB discussion </w:t>
            </w:r>
          </w:p>
        </w:tc>
        <w:tc>
          <w:tcPr>
            <w:tcW w:w="1418" w:type="dxa"/>
          </w:tcPr>
          <w:p w14:paraId="4E831711" w14:textId="77777777" w:rsidR="00BC0269" w:rsidRPr="00A76167" w:rsidRDefault="00BC0269" w:rsidP="00A76167">
            <w:pPr>
              <w:rPr>
                <w:rFonts w:cs="Arial"/>
                <w:sz w:val="22"/>
                <w:szCs w:val="22"/>
              </w:rPr>
            </w:pPr>
            <w:r w:rsidRPr="00A76167">
              <w:rPr>
                <w:rFonts w:cs="Arial"/>
                <w:sz w:val="22"/>
                <w:szCs w:val="22"/>
              </w:rPr>
              <w:t>23/09/13</w:t>
            </w:r>
          </w:p>
        </w:tc>
        <w:tc>
          <w:tcPr>
            <w:tcW w:w="1842" w:type="dxa"/>
          </w:tcPr>
          <w:p w14:paraId="1618C032" w14:textId="77777777" w:rsidR="00BC0269" w:rsidRPr="00A76167" w:rsidRDefault="00BC0269" w:rsidP="00A76167">
            <w:pPr>
              <w:rPr>
                <w:rFonts w:cs="Arial"/>
                <w:b/>
                <w:sz w:val="22"/>
                <w:szCs w:val="22"/>
              </w:rPr>
            </w:pPr>
            <w:r w:rsidRPr="00A76167">
              <w:rPr>
                <w:rFonts w:cs="Arial"/>
                <w:sz w:val="22"/>
                <w:szCs w:val="22"/>
              </w:rPr>
              <w:t>Further discussed</w:t>
            </w:r>
          </w:p>
        </w:tc>
        <w:tc>
          <w:tcPr>
            <w:tcW w:w="4536" w:type="dxa"/>
          </w:tcPr>
          <w:p w14:paraId="4E91E98C" w14:textId="77777777" w:rsidR="00BC0269" w:rsidRPr="00A76167" w:rsidRDefault="00BC0269" w:rsidP="00A76167">
            <w:pPr>
              <w:rPr>
                <w:rFonts w:cs="Arial"/>
                <w:b/>
                <w:sz w:val="22"/>
                <w:szCs w:val="22"/>
              </w:rPr>
            </w:pPr>
          </w:p>
        </w:tc>
      </w:tr>
    </w:tbl>
    <w:p w14:paraId="3D78AE73" w14:textId="4035CC62" w:rsidR="00BC0269" w:rsidRPr="00A76167" w:rsidRDefault="00E73882" w:rsidP="00A76167">
      <w:pPr>
        <w:rPr>
          <w:rFonts w:cs="Arial"/>
          <w:sz w:val="22"/>
          <w:szCs w:val="22"/>
        </w:rPr>
      </w:pPr>
      <w:r w:rsidRPr="00A76167">
        <w:rPr>
          <w:rFonts w:cs="Arial"/>
          <w:b/>
          <w:sz w:val="22"/>
          <w:szCs w:val="22"/>
        </w:rPr>
        <w:t>Strategic Considerations &amp; Implications</w:t>
      </w:r>
    </w:p>
    <w:tbl>
      <w:tblPr>
        <w:tblStyle w:val="TableGrid"/>
        <w:tblW w:w="9923" w:type="dxa"/>
        <w:tblLayout w:type="fixed"/>
        <w:tblLook w:val="01E0" w:firstRow="1" w:lastRow="1" w:firstColumn="1" w:lastColumn="1" w:noHBand="0" w:noVBand="0"/>
      </w:tblPr>
      <w:tblGrid>
        <w:gridCol w:w="2119"/>
        <w:gridCol w:w="4402"/>
        <w:gridCol w:w="1696"/>
        <w:gridCol w:w="1423"/>
        <w:gridCol w:w="283"/>
      </w:tblGrid>
      <w:tr w:rsidR="00E73882" w:rsidRPr="00A76167" w14:paraId="0C78E5D4" w14:textId="77777777" w:rsidTr="00395391">
        <w:trPr>
          <w:trHeight w:val="1661"/>
        </w:trPr>
        <w:tc>
          <w:tcPr>
            <w:tcW w:w="2119" w:type="dxa"/>
          </w:tcPr>
          <w:p w14:paraId="1E40DFF1" w14:textId="77777777" w:rsidR="00E73882" w:rsidRPr="00A76167" w:rsidRDefault="00E73882" w:rsidP="00A76167">
            <w:pPr>
              <w:rPr>
                <w:rFonts w:cs="Arial"/>
                <w:sz w:val="22"/>
                <w:szCs w:val="22"/>
              </w:rPr>
            </w:pPr>
            <w:r w:rsidRPr="00A76167">
              <w:rPr>
                <w:rFonts w:cs="Arial"/>
                <w:sz w:val="22"/>
                <w:szCs w:val="22"/>
              </w:rPr>
              <w:t>Applicant / Sponsor Organisation</w:t>
            </w:r>
          </w:p>
        </w:tc>
        <w:tc>
          <w:tcPr>
            <w:tcW w:w="4402" w:type="dxa"/>
          </w:tcPr>
          <w:p w14:paraId="39DBD095" w14:textId="77777777" w:rsidR="00E73882" w:rsidRPr="00A76167" w:rsidRDefault="00E73882" w:rsidP="00A76167">
            <w:pPr>
              <w:rPr>
                <w:rFonts w:cs="Arial"/>
                <w:sz w:val="22"/>
                <w:szCs w:val="22"/>
              </w:rPr>
            </w:pPr>
            <w:r w:rsidRPr="00A76167">
              <w:rPr>
                <w:rFonts w:cs="Arial"/>
                <w:sz w:val="22"/>
                <w:szCs w:val="22"/>
              </w:rPr>
              <w:t>NHS England</w:t>
            </w:r>
          </w:p>
          <w:p w14:paraId="40DDA82A" w14:textId="77777777" w:rsidR="00E73882" w:rsidRPr="00A76167" w:rsidRDefault="00E73882" w:rsidP="00A76167">
            <w:pPr>
              <w:rPr>
                <w:rFonts w:cs="Arial"/>
                <w:sz w:val="22"/>
                <w:szCs w:val="22"/>
              </w:rPr>
            </w:pPr>
            <w:r w:rsidRPr="00A76167">
              <w:rPr>
                <w:rFonts w:cs="Arial"/>
                <w:sz w:val="22"/>
                <w:szCs w:val="22"/>
              </w:rPr>
              <w:t>*Costing for assurance appraisal included in development cost</w:t>
            </w:r>
          </w:p>
        </w:tc>
        <w:tc>
          <w:tcPr>
            <w:tcW w:w="1696" w:type="dxa"/>
          </w:tcPr>
          <w:p w14:paraId="12892A67" w14:textId="77777777" w:rsidR="00E73882" w:rsidRPr="00A76167" w:rsidRDefault="00E73882" w:rsidP="00A76167">
            <w:pPr>
              <w:rPr>
                <w:rFonts w:cs="Arial"/>
                <w:sz w:val="22"/>
                <w:szCs w:val="22"/>
              </w:rPr>
            </w:pPr>
            <w:r w:rsidRPr="00A76167">
              <w:rPr>
                <w:rFonts w:cs="Arial"/>
                <w:sz w:val="22"/>
                <w:szCs w:val="22"/>
              </w:rPr>
              <w:t>Assurance process funded?</w:t>
            </w:r>
          </w:p>
        </w:tc>
        <w:tc>
          <w:tcPr>
            <w:tcW w:w="1423" w:type="dxa"/>
          </w:tcPr>
          <w:p w14:paraId="5039A04C" w14:textId="77777777" w:rsidR="00E73882" w:rsidRPr="00A76167" w:rsidRDefault="00E73882" w:rsidP="00A76167">
            <w:pPr>
              <w:rPr>
                <w:rFonts w:cs="Arial"/>
                <w:b/>
                <w:sz w:val="22"/>
                <w:szCs w:val="22"/>
              </w:rPr>
            </w:pPr>
            <w:r w:rsidRPr="00A76167">
              <w:rPr>
                <w:rFonts w:cs="Arial"/>
                <w:b/>
                <w:sz w:val="22"/>
                <w:szCs w:val="22"/>
              </w:rPr>
              <w:t>Yes*</w:t>
            </w:r>
          </w:p>
          <w:sdt>
            <w:sdtPr>
              <w:rPr>
                <w:rFonts w:cs="Arial"/>
                <w:sz w:val="22"/>
                <w:szCs w:val="22"/>
              </w:rPr>
              <w:id w:val="-459795046"/>
              <w14:checkbox>
                <w14:checked w14:val="1"/>
                <w14:checkedState w14:val="2612" w14:font="MS Gothic"/>
                <w14:uncheckedState w14:val="2610" w14:font="MS Gothic"/>
              </w14:checkbox>
            </w:sdtPr>
            <w:sdtEndPr/>
            <w:sdtContent>
              <w:p w14:paraId="29D4D042" w14:textId="77777777" w:rsidR="00E73882" w:rsidRPr="00A76167" w:rsidRDefault="00E73882" w:rsidP="00A76167">
                <w:pPr>
                  <w:jc w:val="center"/>
                  <w:rPr>
                    <w:rFonts w:cs="Arial"/>
                    <w:sz w:val="22"/>
                    <w:szCs w:val="22"/>
                  </w:rPr>
                </w:pPr>
                <w:r w:rsidRPr="00A76167">
                  <w:rPr>
                    <w:rFonts w:ascii="Segoe UI Symbol" w:eastAsia="MS Gothic" w:hAnsi="Segoe UI Symbol" w:cs="Segoe UI Symbol"/>
                    <w:sz w:val="22"/>
                    <w:szCs w:val="22"/>
                  </w:rPr>
                  <w:t>☒</w:t>
                </w:r>
              </w:p>
            </w:sdtContent>
          </w:sdt>
          <w:p w14:paraId="64464B7E" w14:textId="77777777" w:rsidR="00E73882" w:rsidRPr="00A76167" w:rsidRDefault="00E73882" w:rsidP="00A76167">
            <w:pPr>
              <w:rPr>
                <w:rFonts w:cs="Arial"/>
                <w:b/>
                <w:sz w:val="22"/>
                <w:szCs w:val="22"/>
              </w:rPr>
            </w:pPr>
            <w:r w:rsidRPr="00A76167">
              <w:rPr>
                <w:rFonts w:cs="Arial"/>
                <w:b/>
                <w:sz w:val="22"/>
                <w:szCs w:val="22"/>
              </w:rPr>
              <w:t>No</w:t>
            </w:r>
          </w:p>
          <w:sdt>
            <w:sdtPr>
              <w:rPr>
                <w:rFonts w:cs="Arial"/>
                <w:sz w:val="22"/>
                <w:szCs w:val="22"/>
              </w:rPr>
              <w:id w:val="-136577974"/>
              <w14:checkbox>
                <w14:checked w14:val="0"/>
                <w14:checkedState w14:val="2612" w14:font="MS Gothic"/>
                <w14:uncheckedState w14:val="2610" w14:font="MS Gothic"/>
              </w14:checkbox>
            </w:sdtPr>
            <w:sdtEndPr/>
            <w:sdtContent>
              <w:p w14:paraId="4A948670" w14:textId="77CB009B" w:rsidR="00E73882" w:rsidRPr="00A76167" w:rsidRDefault="00E73882" w:rsidP="00A76167">
                <w:pPr>
                  <w:jc w:val="center"/>
                  <w:rPr>
                    <w:rFonts w:cs="Arial"/>
                    <w:sz w:val="22"/>
                    <w:szCs w:val="22"/>
                  </w:rPr>
                </w:pPr>
                <w:r w:rsidRPr="00A76167">
                  <w:rPr>
                    <w:rFonts w:ascii="Segoe UI Symbol" w:eastAsia="MS Gothic" w:hAnsi="Segoe UI Symbol" w:cs="Segoe UI Symbol"/>
                    <w:sz w:val="22"/>
                    <w:szCs w:val="22"/>
                  </w:rPr>
                  <w:t>☐</w:t>
                </w:r>
              </w:p>
            </w:sdtContent>
          </w:sdt>
        </w:tc>
        <w:tc>
          <w:tcPr>
            <w:tcW w:w="283" w:type="dxa"/>
          </w:tcPr>
          <w:p w14:paraId="3EF65DCA" w14:textId="77777777" w:rsidR="00E73882" w:rsidRPr="00A76167" w:rsidRDefault="00E73882" w:rsidP="00A76167">
            <w:pPr>
              <w:rPr>
                <w:rFonts w:cs="Arial"/>
                <w:sz w:val="22"/>
                <w:szCs w:val="22"/>
              </w:rPr>
            </w:pPr>
          </w:p>
        </w:tc>
      </w:tr>
    </w:tbl>
    <w:p w14:paraId="6AEE9FD2" w14:textId="77777777" w:rsidR="00E73882" w:rsidRDefault="00E73882"/>
    <w:tbl>
      <w:tblPr>
        <w:tblStyle w:val="TableGrid"/>
        <w:tblW w:w="9923" w:type="dxa"/>
        <w:tblLayout w:type="fixed"/>
        <w:tblLook w:val="01E0" w:firstRow="1" w:lastRow="1" w:firstColumn="1" w:lastColumn="1" w:noHBand="0" w:noVBand="0"/>
      </w:tblPr>
      <w:tblGrid>
        <w:gridCol w:w="2119"/>
        <w:gridCol w:w="7804"/>
      </w:tblGrid>
      <w:tr w:rsidR="00E73882" w:rsidRPr="00A76167" w14:paraId="23C4B852" w14:textId="77777777" w:rsidTr="00A76167">
        <w:tc>
          <w:tcPr>
            <w:tcW w:w="2119" w:type="dxa"/>
          </w:tcPr>
          <w:p w14:paraId="3EED294C" w14:textId="25717E10" w:rsidR="00E73882" w:rsidRPr="00A76167" w:rsidRDefault="00E73882" w:rsidP="00E73882">
            <w:pPr>
              <w:rPr>
                <w:rFonts w:cs="Arial"/>
                <w:sz w:val="22"/>
                <w:szCs w:val="22"/>
              </w:rPr>
            </w:pPr>
            <w:r w:rsidRPr="00A76167">
              <w:rPr>
                <w:rFonts w:cs="Arial"/>
                <w:sz w:val="22"/>
                <w:szCs w:val="22"/>
              </w:rPr>
              <w:t xml:space="preserve">Indicator rationale </w:t>
            </w:r>
          </w:p>
        </w:tc>
        <w:tc>
          <w:tcPr>
            <w:tcW w:w="7804" w:type="dxa"/>
          </w:tcPr>
          <w:p w14:paraId="0DFDFCAA" w14:textId="77777777" w:rsidR="00E73882" w:rsidRPr="00A76167" w:rsidRDefault="00E73882" w:rsidP="00E73882">
            <w:pPr>
              <w:rPr>
                <w:rFonts w:cs="Arial"/>
                <w:sz w:val="22"/>
                <w:szCs w:val="22"/>
              </w:rPr>
            </w:pPr>
            <w:r w:rsidRPr="00A76167">
              <w:rPr>
                <w:rFonts w:cs="Arial"/>
                <w:sz w:val="22"/>
                <w:szCs w:val="22"/>
              </w:rPr>
              <w:t>It is impossible to eliminate entirely adverse events in healthcare but the need to learn from the events is understood. Historically, a very incomplete picture of safety has been available from the information collected. Over many years, and with the introduction of the National Reporting and Learning System, by the National Patient Safety Agency, that picture is improving. However, more needs to be done, and maximising the potential to reduce incidents will be supported by continued improvements in reporting.</w:t>
            </w:r>
          </w:p>
          <w:p w14:paraId="63D2B8DB" w14:textId="77777777" w:rsidR="00E73882" w:rsidRPr="00A76167" w:rsidRDefault="00E73882" w:rsidP="00E73882">
            <w:pPr>
              <w:rPr>
                <w:rFonts w:cs="Arial"/>
                <w:sz w:val="22"/>
                <w:szCs w:val="22"/>
              </w:rPr>
            </w:pPr>
          </w:p>
          <w:p w14:paraId="260AA51E" w14:textId="77777777" w:rsidR="00E73882" w:rsidRPr="00A76167" w:rsidRDefault="00E73882" w:rsidP="00E73882">
            <w:pPr>
              <w:rPr>
                <w:rFonts w:cs="Arial"/>
                <w:sz w:val="22"/>
                <w:szCs w:val="22"/>
              </w:rPr>
            </w:pPr>
            <w:r w:rsidRPr="00A76167">
              <w:rPr>
                <w:rFonts w:cs="Arial"/>
                <w:sz w:val="22"/>
                <w:szCs w:val="22"/>
              </w:rPr>
              <w:t>The Clinical Commissioning Group Outcomes Indicator Set (CCG OIS) is an integral part of NHS England’s systematic approach to quality improvement. It is intended to provide clear, comparative information for CCGs, patients and the public about the quality of health services commissioned by CCGs and the associated health outcomes.</w:t>
            </w:r>
          </w:p>
          <w:p w14:paraId="2B562B37" w14:textId="77777777" w:rsidR="00E73882" w:rsidRPr="00A76167" w:rsidRDefault="00E73882" w:rsidP="00E73882">
            <w:pPr>
              <w:rPr>
                <w:rFonts w:cs="Arial"/>
                <w:sz w:val="22"/>
                <w:szCs w:val="22"/>
              </w:rPr>
            </w:pPr>
          </w:p>
        </w:tc>
      </w:tr>
      <w:tr w:rsidR="00E73882" w:rsidRPr="00A76167" w14:paraId="3E55FA08" w14:textId="77777777" w:rsidTr="00A76167">
        <w:tc>
          <w:tcPr>
            <w:tcW w:w="2119" w:type="dxa"/>
          </w:tcPr>
          <w:p w14:paraId="4DA126DD" w14:textId="77777777" w:rsidR="00E73882" w:rsidRPr="00A76167" w:rsidRDefault="00E73882" w:rsidP="00E73882">
            <w:pPr>
              <w:rPr>
                <w:rFonts w:cs="Arial"/>
                <w:sz w:val="22"/>
                <w:szCs w:val="22"/>
              </w:rPr>
            </w:pPr>
            <w:r w:rsidRPr="00A76167">
              <w:rPr>
                <w:rFonts w:cs="Arial"/>
                <w:sz w:val="22"/>
                <w:szCs w:val="22"/>
              </w:rPr>
              <w:lastRenderedPageBreak/>
              <w:t xml:space="preserve">Basis for rationale </w:t>
            </w:r>
          </w:p>
          <w:p w14:paraId="3A5CDC3B" w14:textId="77777777" w:rsidR="00E73882" w:rsidRPr="00A76167" w:rsidRDefault="00E73882" w:rsidP="00E73882">
            <w:pPr>
              <w:rPr>
                <w:rFonts w:cs="Arial"/>
                <w:sz w:val="22"/>
                <w:szCs w:val="22"/>
              </w:rPr>
            </w:pPr>
            <w:r w:rsidRPr="00A76167">
              <w:rPr>
                <w:rFonts w:cs="Arial"/>
                <w:sz w:val="22"/>
                <w:szCs w:val="22"/>
              </w:rPr>
              <w:t>[Details of quality statement, policy etc.]</w:t>
            </w:r>
            <w:r w:rsidRPr="00A76167">
              <w:rPr>
                <w:rFonts w:cs="Arial"/>
                <w:i/>
                <w:sz w:val="22"/>
                <w:szCs w:val="22"/>
              </w:rPr>
              <w:t xml:space="preserve"> </w:t>
            </w:r>
          </w:p>
        </w:tc>
        <w:tc>
          <w:tcPr>
            <w:tcW w:w="7804" w:type="dxa"/>
          </w:tcPr>
          <w:p w14:paraId="17798526" w14:textId="77777777" w:rsidR="00E73882" w:rsidRPr="00A76167" w:rsidRDefault="00E73882" w:rsidP="00E73882">
            <w:pPr>
              <w:rPr>
                <w:rFonts w:cs="Arial"/>
                <w:sz w:val="22"/>
                <w:szCs w:val="22"/>
              </w:rPr>
            </w:pPr>
            <w:r w:rsidRPr="00A76167">
              <w:rPr>
                <w:rFonts w:cs="Arial"/>
                <w:sz w:val="22"/>
                <w:szCs w:val="22"/>
              </w:rPr>
              <w:t>This is based upon the NHS Outcomes Framework indicator of the same name. It seeks an improved readiness of the NHS to report harm and to learn from it.</w:t>
            </w:r>
          </w:p>
          <w:p w14:paraId="0E16860B" w14:textId="77777777" w:rsidR="00E73882" w:rsidRPr="00A76167" w:rsidRDefault="00E73882" w:rsidP="00E73882">
            <w:pPr>
              <w:rPr>
                <w:rFonts w:cs="Arial"/>
                <w:sz w:val="22"/>
                <w:szCs w:val="22"/>
              </w:rPr>
            </w:pPr>
            <w:r w:rsidRPr="00A76167">
              <w:rPr>
                <w:rFonts w:cs="Arial"/>
                <w:sz w:val="22"/>
                <w:szCs w:val="22"/>
              </w:rPr>
              <w:t xml:space="preserve">HSCIC was originally asked by DH to provide an attribution method to allocate provider-level data to CCGs. This did not provide a sound basis for an indicator so following discussions with DH and NHS England, it was agreed to use the ‘five main providers’ methodology, as used in the CCG OIS Patient Experience indicators.  </w:t>
            </w:r>
          </w:p>
          <w:p w14:paraId="11211CAE" w14:textId="77777777" w:rsidR="00E73882" w:rsidRPr="00A76167" w:rsidRDefault="00E73882" w:rsidP="00E73882">
            <w:pPr>
              <w:rPr>
                <w:rFonts w:cs="Arial"/>
                <w:sz w:val="22"/>
                <w:szCs w:val="22"/>
              </w:rPr>
            </w:pPr>
          </w:p>
        </w:tc>
      </w:tr>
      <w:tr w:rsidR="00E73882" w:rsidRPr="00A76167" w14:paraId="4640C18B" w14:textId="77777777" w:rsidTr="00A76167">
        <w:tc>
          <w:tcPr>
            <w:tcW w:w="2119" w:type="dxa"/>
          </w:tcPr>
          <w:p w14:paraId="0365CEF0" w14:textId="77777777" w:rsidR="00E73882" w:rsidRPr="00A76167" w:rsidRDefault="00E73882" w:rsidP="00E73882">
            <w:pPr>
              <w:rPr>
                <w:rFonts w:cs="Arial"/>
                <w:sz w:val="22"/>
                <w:szCs w:val="22"/>
              </w:rPr>
            </w:pPr>
            <w:r w:rsidRPr="00A76167">
              <w:rPr>
                <w:rFonts w:cs="Arial"/>
                <w:sz w:val="22"/>
                <w:szCs w:val="22"/>
              </w:rPr>
              <w:t>Calculation Summary</w:t>
            </w:r>
          </w:p>
        </w:tc>
        <w:tc>
          <w:tcPr>
            <w:tcW w:w="7804" w:type="dxa"/>
          </w:tcPr>
          <w:p w14:paraId="73C09258" w14:textId="77777777" w:rsidR="00E73882" w:rsidRPr="00A76167" w:rsidRDefault="00E73882" w:rsidP="00E73882">
            <w:pPr>
              <w:autoSpaceDE w:val="0"/>
              <w:autoSpaceDN w:val="0"/>
              <w:adjustRightInd w:val="0"/>
              <w:rPr>
                <w:rFonts w:cs="Arial"/>
                <w:sz w:val="22"/>
                <w:szCs w:val="22"/>
              </w:rPr>
            </w:pPr>
            <w:r w:rsidRPr="00A76167">
              <w:rPr>
                <w:rFonts w:cs="Arial"/>
                <w:sz w:val="22"/>
                <w:szCs w:val="22"/>
              </w:rPr>
              <w:t xml:space="preserve">Reliable patient safety incident data is not currently provided at CCG level, so an alternative approach has been used to highlight a CCG’s performance. The CCG’s five main providers, based on total bed days commissioned by the CCG, are reported with their provider level crude patient safety incident figure, as well as the number of incidents per 1,000 total provider bed days (based on the bed days definition below). This is to maintain accuracy without the need for figures to be attributed to CCGs.  </w:t>
            </w:r>
          </w:p>
          <w:p w14:paraId="3DBB2CE9" w14:textId="77777777" w:rsidR="00E73882" w:rsidRPr="00A76167" w:rsidRDefault="00E73882" w:rsidP="00E73882">
            <w:pPr>
              <w:rPr>
                <w:rFonts w:cs="Arial"/>
                <w:sz w:val="22"/>
                <w:szCs w:val="22"/>
              </w:rPr>
            </w:pPr>
          </w:p>
          <w:p w14:paraId="50B6B2B2" w14:textId="77777777" w:rsidR="00E73882" w:rsidRPr="00A76167" w:rsidRDefault="00E73882" w:rsidP="00E73882">
            <w:pPr>
              <w:rPr>
                <w:rFonts w:cs="Arial"/>
                <w:sz w:val="22"/>
                <w:szCs w:val="22"/>
              </w:rPr>
            </w:pPr>
            <w:r w:rsidRPr="00A76167">
              <w:rPr>
                <w:rFonts w:cs="Arial"/>
                <w:sz w:val="22"/>
                <w:szCs w:val="22"/>
              </w:rPr>
              <w:t xml:space="preserve">A CCG’s five main providers are the ones it commissions the most activity to. This is calculated by totalling the provider’s number of bed days for any provider inpatient spell commissioned by that CCG during the reporting period.  </w:t>
            </w:r>
          </w:p>
          <w:p w14:paraId="0BF23E85" w14:textId="77777777" w:rsidR="00E73882" w:rsidRPr="00A76167" w:rsidRDefault="00E73882" w:rsidP="00E73882">
            <w:pPr>
              <w:rPr>
                <w:rFonts w:cs="Arial"/>
                <w:sz w:val="22"/>
                <w:szCs w:val="22"/>
              </w:rPr>
            </w:pPr>
          </w:p>
          <w:p w14:paraId="67551E59" w14:textId="77777777" w:rsidR="00E73882" w:rsidRPr="00A76167" w:rsidRDefault="00E73882" w:rsidP="00E73882">
            <w:pPr>
              <w:rPr>
                <w:rFonts w:cs="Arial"/>
                <w:sz w:val="22"/>
                <w:szCs w:val="22"/>
              </w:rPr>
            </w:pPr>
            <w:r w:rsidRPr="00A76167">
              <w:rPr>
                <w:rFonts w:cs="Arial"/>
                <w:sz w:val="22"/>
                <w:szCs w:val="22"/>
              </w:rPr>
              <w:t xml:space="preserve">To identify a CCG’s five main providers, the following data sources are used: </w:t>
            </w:r>
          </w:p>
          <w:p w14:paraId="477A38B6" w14:textId="77777777" w:rsidR="00E73882" w:rsidRPr="00A76167" w:rsidRDefault="00E73882" w:rsidP="00E73882">
            <w:pPr>
              <w:pStyle w:val="ListParagraph"/>
              <w:numPr>
                <w:ilvl w:val="0"/>
                <w:numId w:val="42"/>
              </w:numPr>
              <w:spacing w:after="0"/>
              <w:contextualSpacing/>
              <w:textboxTightWrap w:val="none"/>
              <w:rPr>
                <w:rFonts w:cs="Arial"/>
                <w:sz w:val="22"/>
                <w:szCs w:val="22"/>
              </w:rPr>
            </w:pPr>
            <w:r w:rsidRPr="00A76167">
              <w:rPr>
                <w:rFonts w:cs="Arial"/>
                <w:sz w:val="22"/>
                <w:szCs w:val="22"/>
              </w:rPr>
              <w:t>Hospital Episode Statistics Admitted Patient Care (HES APC)</w:t>
            </w:r>
          </w:p>
          <w:p w14:paraId="36DE8C0A" w14:textId="77777777" w:rsidR="00E73882" w:rsidRPr="00A76167" w:rsidRDefault="00E73882" w:rsidP="00E73882">
            <w:pPr>
              <w:pStyle w:val="ListParagraph"/>
              <w:numPr>
                <w:ilvl w:val="0"/>
                <w:numId w:val="42"/>
              </w:numPr>
              <w:spacing w:after="0"/>
              <w:contextualSpacing/>
              <w:textboxTightWrap w:val="none"/>
              <w:rPr>
                <w:rFonts w:cs="Arial"/>
                <w:sz w:val="22"/>
                <w:szCs w:val="22"/>
              </w:rPr>
            </w:pPr>
            <w:r w:rsidRPr="00A76167">
              <w:rPr>
                <w:rFonts w:cs="Arial"/>
                <w:sz w:val="22"/>
                <w:szCs w:val="22"/>
              </w:rPr>
              <w:t>GP Practice to CCG mapping file (to be released in April of the relevant financial year)</w:t>
            </w:r>
          </w:p>
          <w:p w14:paraId="12AF2105" w14:textId="77777777" w:rsidR="00E73882" w:rsidRPr="00A76167" w:rsidRDefault="00E73882" w:rsidP="00E73882">
            <w:pPr>
              <w:pStyle w:val="ListParagraph"/>
              <w:numPr>
                <w:ilvl w:val="0"/>
                <w:numId w:val="42"/>
              </w:numPr>
              <w:spacing w:after="0"/>
              <w:contextualSpacing/>
              <w:textboxTightWrap w:val="none"/>
              <w:rPr>
                <w:rFonts w:cs="Arial"/>
                <w:sz w:val="22"/>
                <w:szCs w:val="22"/>
              </w:rPr>
            </w:pPr>
            <w:r w:rsidRPr="00A76167">
              <w:rPr>
                <w:rFonts w:cs="Arial"/>
                <w:sz w:val="22"/>
                <w:szCs w:val="22"/>
              </w:rPr>
              <w:t>Where no GP Practice code is recorded in the HES APC data, the CCG of responsibility is identified using the lower super output area (LSOA) to CCG mapping file.</w:t>
            </w:r>
          </w:p>
          <w:p w14:paraId="639277EF" w14:textId="77777777" w:rsidR="00E73882" w:rsidRPr="00A76167" w:rsidRDefault="00E73882" w:rsidP="00E73882">
            <w:pPr>
              <w:rPr>
                <w:rFonts w:cs="Arial"/>
                <w:sz w:val="22"/>
                <w:szCs w:val="22"/>
              </w:rPr>
            </w:pPr>
          </w:p>
          <w:p w14:paraId="050FF1BB" w14:textId="77777777" w:rsidR="00E73882" w:rsidRPr="00A76167" w:rsidRDefault="00E73882" w:rsidP="00E73882">
            <w:pPr>
              <w:rPr>
                <w:rFonts w:cs="Arial"/>
                <w:sz w:val="22"/>
                <w:szCs w:val="22"/>
              </w:rPr>
            </w:pPr>
            <w:r w:rsidRPr="00A76167">
              <w:rPr>
                <w:rFonts w:cs="Arial"/>
                <w:sz w:val="22"/>
                <w:szCs w:val="22"/>
              </w:rPr>
              <w:t xml:space="preserve">Bed days are defined as: (Provider Spell discharge date – Provider Spell admission date) + 0.5. An arbitrary 0.5 days are added to the length of stay calculation to take into account day case admissions.   </w:t>
            </w:r>
          </w:p>
          <w:p w14:paraId="4FB9479C" w14:textId="77777777" w:rsidR="00E73882" w:rsidRPr="00A76167" w:rsidRDefault="00E73882" w:rsidP="00E73882">
            <w:pPr>
              <w:rPr>
                <w:rFonts w:cs="Arial"/>
                <w:i/>
                <w:sz w:val="22"/>
                <w:szCs w:val="22"/>
              </w:rPr>
            </w:pPr>
          </w:p>
          <w:p w14:paraId="3DA554B2" w14:textId="75D7DD95" w:rsidR="00E73882" w:rsidRPr="00E73882" w:rsidRDefault="00E73882" w:rsidP="00E73882">
            <w:pPr>
              <w:rPr>
                <w:rFonts w:cs="Arial"/>
                <w:sz w:val="22"/>
                <w:szCs w:val="22"/>
              </w:rPr>
            </w:pPr>
            <w:r w:rsidRPr="00A76167">
              <w:rPr>
                <w:rFonts w:cs="Arial"/>
                <w:sz w:val="22"/>
                <w:szCs w:val="22"/>
              </w:rPr>
              <w:t xml:space="preserve">The Patient Safety incidents rate per 1,000 total bed days is calculated using the number of reported incidents by the provider and that provider’s total number of bed days, irrespective of which CCG commissions them.  </w:t>
            </w:r>
          </w:p>
          <w:p w14:paraId="0F68E5B3" w14:textId="27615C5A" w:rsidR="00E73882" w:rsidRPr="00A76167" w:rsidRDefault="00E73882" w:rsidP="00E73882">
            <w:pPr>
              <w:rPr>
                <w:rFonts w:cs="Arial"/>
                <w:i/>
                <w:sz w:val="22"/>
                <w:szCs w:val="22"/>
              </w:rPr>
            </w:pPr>
          </w:p>
        </w:tc>
      </w:tr>
    </w:tbl>
    <w:p w14:paraId="016D3789" w14:textId="69C997F7" w:rsidR="00E73882" w:rsidRDefault="00E73882">
      <w:r w:rsidRPr="00E73882">
        <w:t>Example data is provided for illustration;</w:t>
      </w:r>
    </w:p>
    <w:tbl>
      <w:tblPr>
        <w:tblStyle w:val="TableGrid"/>
        <w:tblpPr w:leftFromText="180" w:rightFromText="180" w:vertAnchor="text" w:horzAnchor="margin" w:tblpY="110"/>
        <w:tblW w:w="7537" w:type="dxa"/>
        <w:tblLayout w:type="fixed"/>
        <w:tblLook w:val="04A0" w:firstRow="1" w:lastRow="0" w:firstColumn="1" w:lastColumn="0" w:noHBand="0" w:noVBand="1"/>
      </w:tblPr>
      <w:tblGrid>
        <w:gridCol w:w="1034"/>
        <w:gridCol w:w="918"/>
        <w:gridCol w:w="1312"/>
        <w:gridCol w:w="1312"/>
        <w:gridCol w:w="918"/>
        <w:gridCol w:w="1049"/>
        <w:gridCol w:w="994"/>
      </w:tblGrid>
      <w:tr w:rsidR="00E73882" w:rsidRPr="00A76167" w14:paraId="0DE68650" w14:textId="77777777" w:rsidTr="00B06C11">
        <w:trPr>
          <w:trHeight w:val="1115"/>
        </w:trPr>
        <w:tc>
          <w:tcPr>
            <w:tcW w:w="1034" w:type="dxa"/>
          </w:tcPr>
          <w:p w14:paraId="3BB813ED" w14:textId="77777777" w:rsidR="00E73882" w:rsidRPr="00A76167" w:rsidRDefault="00E73882" w:rsidP="00B06C11">
            <w:pPr>
              <w:jc w:val="center"/>
              <w:rPr>
                <w:rFonts w:cs="Arial"/>
                <w:b/>
                <w:sz w:val="22"/>
                <w:szCs w:val="22"/>
              </w:rPr>
            </w:pPr>
            <w:r w:rsidRPr="00A76167">
              <w:rPr>
                <w:rFonts w:cs="Arial"/>
                <w:b/>
                <w:sz w:val="22"/>
                <w:szCs w:val="22"/>
              </w:rPr>
              <w:t>Reporting Period</w:t>
            </w:r>
          </w:p>
        </w:tc>
        <w:tc>
          <w:tcPr>
            <w:tcW w:w="918" w:type="dxa"/>
          </w:tcPr>
          <w:p w14:paraId="1FE14636" w14:textId="77777777" w:rsidR="00E73882" w:rsidRPr="00A76167" w:rsidRDefault="00E73882" w:rsidP="00B06C11">
            <w:pPr>
              <w:jc w:val="center"/>
              <w:rPr>
                <w:rFonts w:cs="Arial"/>
                <w:b/>
                <w:sz w:val="22"/>
                <w:szCs w:val="22"/>
              </w:rPr>
            </w:pPr>
            <w:r w:rsidRPr="00A76167">
              <w:rPr>
                <w:rFonts w:cs="Arial"/>
                <w:b/>
                <w:sz w:val="22"/>
                <w:szCs w:val="22"/>
              </w:rPr>
              <w:t>Provider name</w:t>
            </w:r>
          </w:p>
        </w:tc>
        <w:tc>
          <w:tcPr>
            <w:tcW w:w="1312" w:type="dxa"/>
          </w:tcPr>
          <w:p w14:paraId="204F5AAA" w14:textId="77777777" w:rsidR="00E73882" w:rsidRPr="00A76167" w:rsidRDefault="00E73882" w:rsidP="00B06C11">
            <w:pPr>
              <w:jc w:val="center"/>
              <w:rPr>
                <w:rFonts w:cs="Arial"/>
                <w:b/>
                <w:sz w:val="22"/>
                <w:szCs w:val="22"/>
              </w:rPr>
            </w:pPr>
            <w:r w:rsidRPr="00A76167">
              <w:rPr>
                <w:rFonts w:cs="Arial"/>
                <w:b/>
                <w:sz w:val="22"/>
                <w:szCs w:val="22"/>
              </w:rPr>
              <w:t xml:space="preserve">Proportion of total CCG activity (bed days) </w:t>
            </w:r>
            <w:r w:rsidRPr="00A76167">
              <w:rPr>
                <w:rFonts w:cs="Arial"/>
                <w:b/>
                <w:sz w:val="22"/>
                <w:szCs w:val="22"/>
              </w:rPr>
              <w:lastRenderedPageBreak/>
              <w:t xml:space="preserve">commissioned at this Provider  </w:t>
            </w:r>
          </w:p>
        </w:tc>
        <w:tc>
          <w:tcPr>
            <w:tcW w:w="1312" w:type="dxa"/>
          </w:tcPr>
          <w:p w14:paraId="1F55E574" w14:textId="77777777" w:rsidR="00E73882" w:rsidRPr="00A76167" w:rsidRDefault="00E73882" w:rsidP="00B06C11">
            <w:pPr>
              <w:jc w:val="center"/>
              <w:rPr>
                <w:rFonts w:cs="Arial"/>
                <w:b/>
                <w:sz w:val="22"/>
                <w:szCs w:val="22"/>
              </w:rPr>
            </w:pPr>
            <w:r w:rsidRPr="00A76167">
              <w:rPr>
                <w:rFonts w:cs="Arial"/>
                <w:b/>
                <w:sz w:val="22"/>
                <w:szCs w:val="22"/>
              </w:rPr>
              <w:lastRenderedPageBreak/>
              <w:t xml:space="preserve">Number of bed days commissioned by CCG at </w:t>
            </w:r>
            <w:r w:rsidRPr="00A76167">
              <w:rPr>
                <w:rFonts w:cs="Arial"/>
                <w:b/>
                <w:sz w:val="22"/>
                <w:szCs w:val="22"/>
              </w:rPr>
              <w:lastRenderedPageBreak/>
              <w:t>this Provider</w:t>
            </w:r>
          </w:p>
        </w:tc>
        <w:tc>
          <w:tcPr>
            <w:tcW w:w="918" w:type="dxa"/>
          </w:tcPr>
          <w:p w14:paraId="3D5067BC" w14:textId="77777777" w:rsidR="00E73882" w:rsidRPr="00A76167" w:rsidRDefault="00E73882" w:rsidP="00B06C11">
            <w:pPr>
              <w:jc w:val="center"/>
              <w:rPr>
                <w:rFonts w:cs="Arial"/>
                <w:b/>
                <w:sz w:val="22"/>
                <w:szCs w:val="22"/>
              </w:rPr>
            </w:pPr>
            <w:r w:rsidRPr="00A76167">
              <w:rPr>
                <w:rFonts w:cs="Arial"/>
                <w:b/>
                <w:sz w:val="22"/>
                <w:szCs w:val="22"/>
              </w:rPr>
              <w:lastRenderedPageBreak/>
              <w:t>Provider activity: total numb</w:t>
            </w:r>
            <w:r w:rsidRPr="00A76167">
              <w:rPr>
                <w:rFonts w:cs="Arial"/>
                <w:b/>
                <w:sz w:val="22"/>
                <w:szCs w:val="22"/>
              </w:rPr>
              <w:lastRenderedPageBreak/>
              <w:t>er of  bed days</w:t>
            </w:r>
          </w:p>
        </w:tc>
        <w:tc>
          <w:tcPr>
            <w:tcW w:w="1049" w:type="dxa"/>
          </w:tcPr>
          <w:p w14:paraId="50A873E8" w14:textId="77777777" w:rsidR="00E73882" w:rsidRPr="00A76167" w:rsidRDefault="00E73882" w:rsidP="00B06C11">
            <w:pPr>
              <w:jc w:val="center"/>
              <w:rPr>
                <w:rFonts w:cs="Arial"/>
                <w:b/>
                <w:sz w:val="22"/>
                <w:szCs w:val="22"/>
              </w:rPr>
            </w:pPr>
            <w:r w:rsidRPr="00A76167">
              <w:rPr>
                <w:rFonts w:cs="Arial"/>
                <w:b/>
                <w:sz w:val="22"/>
                <w:szCs w:val="22"/>
              </w:rPr>
              <w:lastRenderedPageBreak/>
              <w:t xml:space="preserve">Patient Safety incidents reported by </w:t>
            </w:r>
            <w:r w:rsidRPr="00A76167">
              <w:rPr>
                <w:rFonts w:cs="Arial"/>
                <w:b/>
                <w:sz w:val="22"/>
                <w:szCs w:val="22"/>
              </w:rPr>
              <w:lastRenderedPageBreak/>
              <w:t>the Provider</w:t>
            </w:r>
          </w:p>
        </w:tc>
        <w:tc>
          <w:tcPr>
            <w:tcW w:w="994" w:type="dxa"/>
          </w:tcPr>
          <w:p w14:paraId="69737899" w14:textId="77777777" w:rsidR="00E73882" w:rsidRPr="00A76167" w:rsidRDefault="00E73882" w:rsidP="00B06C11">
            <w:pPr>
              <w:jc w:val="center"/>
              <w:rPr>
                <w:rFonts w:cs="Arial"/>
                <w:b/>
                <w:sz w:val="22"/>
                <w:szCs w:val="22"/>
              </w:rPr>
            </w:pPr>
            <w:r w:rsidRPr="00A76167">
              <w:rPr>
                <w:rFonts w:cs="Arial"/>
                <w:b/>
                <w:sz w:val="22"/>
                <w:szCs w:val="22"/>
              </w:rPr>
              <w:lastRenderedPageBreak/>
              <w:t>Patient Safety incidents per 1,000 Provid</w:t>
            </w:r>
            <w:r w:rsidRPr="00A76167">
              <w:rPr>
                <w:rFonts w:cs="Arial"/>
                <w:b/>
                <w:sz w:val="22"/>
                <w:szCs w:val="22"/>
              </w:rPr>
              <w:lastRenderedPageBreak/>
              <w:t>er bed days</w:t>
            </w:r>
          </w:p>
        </w:tc>
      </w:tr>
      <w:tr w:rsidR="00E73882" w:rsidRPr="00A76167" w14:paraId="37F02891" w14:textId="77777777" w:rsidTr="00B06C11">
        <w:trPr>
          <w:trHeight w:val="310"/>
        </w:trPr>
        <w:tc>
          <w:tcPr>
            <w:tcW w:w="1034" w:type="dxa"/>
          </w:tcPr>
          <w:p w14:paraId="5FBB60C9" w14:textId="77777777" w:rsidR="00E73882" w:rsidRPr="00A76167" w:rsidRDefault="00E73882" w:rsidP="00B06C11">
            <w:pPr>
              <w:jc w:val="center"/>
              <w:rPr>
                <w:rFonts w:cs="Arial"/>
                <w:sz w:val="22"/>
                <w:szCs w:val="22"/>
              </w:rPr>
            </w:pPr>
            <w:r w:rsidRPr="00A76167">
              <w:rPr>
                <w:rFonts w:cs="Arial"/>
                <w:sz w:val="22"/>
                <w:szCs w:val="22"/>
              </w:rPr>
              <w:lastRenderedPageBreak/>
              <w:t>Apr-Sep12</w:t>
            </w:r>
          </w:p>
        </w:tc>
        <w:tc>
          <w:tcPr>
            <w:tcW w:w="918" w:type="dxa"/>
          </w:tcPr>
          <w:p w14:paraId="327CE1ED" w14:textId="77777777" w:rsidR="00E73882" w:rsidRPr="00A76167" w:rsidRDefault="00E73882" w:rsidP="00B06C11">
            <w:pPr>
              <w:jc w:val="center"/>
              <w:rPr>
                <w:rFonts w:cs="Arial"/>
                <w:sz w:val="22"/>
                <w:szCs w:val="22"/>
              </w:rPr>
            </w:pPr>
            <w:r w:rsidRPr="00A76167">
              <w:rPr>
                <w:rFonts w:cs="Arial"/>
                <w:sz w:val="22"/>
                <w:szCs w:val="22"/>
              </w:rPr>
              <w:t>Provider 1</w:t>
            </w:r>
          </w:p>
        </w:tc>
        <w:tc>
          <w:tcPr>
            <w:tcW w:w="1312" w:type="dxa"/>
          </w:tcPr>
          <w:p w14:paraId="7BF411F1" w14:textId="77777777" w:rsidR="00E73882" w:rsidRPr="00A76167" w:rsidRDefault="00E73882" w:rsidP="00B06C11">
            <w:pPr>
              <w:jc w:val="center"/>
              <w:rPr>
                <w:rFonts w:cs="Arial"/>
                <w:sz w:val="22"/>
                <w:szCs w:val="22"/>
              </w:rPr>
            </w:pPr>
            <w:r w:rsidRPr="00A76167">
              <w:rPr>
                <w:rFonts w:cs="Arial"/>
                <w:sz w:val="22"/>
                <w:szCs w:val="22"/>
              </w:rPr>
              <w:t>52.8%</w:t>
            </w:r>
          </w:p>
        </w:tc>
        <w:tc>
          <w:tcPr>
            <w:tcW w:w="1312" w:type="dxa"/>
          </w:tcPr>
          <w:p w14:paraId="5D614A61" w14:textId="77777777" w:rsidR="00E73882" w:rsidRPr="00A76167" w:rsidRDefault="00E73882" w:rsidP="00B06C11">
            <w:pPr>
              <w:jc w:val="center"/>
              <w:rPr>
                <w:rFonts w:cs="Arial"/>
                <w:sz w:val="22"/>
                <w:szCs w:val="22"/>
              </w:rPr>
            </w:pPr>
            <w:r w:rsidRPr="00A76167">
              <w:rPr>
                <w:rFonts w:cs="Arial"/>
                <w:sz w:val="22"/>
                <w:szCs w:val="22"/>
              </w:rPr>
              <w:t>135,000</w:t>
            </w:r>
          </w:p>
        </w:tc>
        <w:tc>
          <w:tcPr>
            <w:tcW w:w="918" w:type="dxa"/>
          </w:tcPr>
          <w:p w14:paraId="786F4094" w14:textId="77777777" w:rsidR="00E73882" w:rsidRPr="00A76167" w:rsidRDefault="00E73882" w:rsidP="00B06C11">
            <w:pPr>
              <w:jc w:val="center"/>
              <w:rPr>
                <w:rFonts w:cs="Arial"/>
                <w:sz w:val="22"/>
                <w:szCs w:val="22"/>
              </w:rPr>
            </w:pPr>
            <w:r w:rsidRPr="00A76167">
              <w:rPr>
                <w:rFonts w:cs="Arial"/>
                <w:sz w:val="22"/>
                <w:szCs w:val="22"/>
              </w:rPr>
              <w:t>345,000</w:t>
            </w:r>
          </w:p>
        </w:tc>
        <w:tc>
          <w:tcPr>
            <w:tcW w:w="1049" w:type="dxa"/>
          </w:tcPr>
          <w:p w14:paraId="5F0D69B2" w14:textId="77777777" w:rsidR="00E73882" w:rsidRPr="00A76167" w:rsidRDefault="00E73882" w:rsidP="00B06C11">
            <w:pPr>
              <w:jc w:val="center"/>
              <w:rPr>
                <w:rFonts w:cs="Arial"/>
                <w:sz w:val="22"/>
                <w:szCs w:val="22"/>
              </w:rPr>
            </w:pPr>
            <w:r w:rsidRPr="00A76167">
              <w:rPr>
                <w:rFonts w:cs="Arial"/>
                <w:sz w:val="22"/>
                <w:szCs w:val="22"/>
              </w:rPr>
              <w:t>7,250</w:t>
            </w:r>
          </w:p>
        </w:tc>
        <w:tc>
          <w:tcPr>
            <w:tcW w:w="994" w:type="dxa"/>
          </w:tcPr>
          <w:p w14:paraId="209CBC4A" w14:textId="77777777" w:rsidR="00E73882" w:rsidRPr="00A76167" w:rsidRDefault="00E73882" w:rsidP="00B06C11">
            <w:pPr>
              <w:jc w:val="center"/>
              <w:rPr>
                <w:rFonts w:cs="Arial"/>
                <w:sz w:val="22"/>
                <w:szCs w:val="22"/>
              </w:rPr>
            </w:pPr>
            <w:r w:rsidRPr="00A76167">
              <w:rPr>
                <w:rFonts w:cs="Arial"/>
                <w:sz w:val="22"/>
                <w:szCs w:val="22"/>
              </w:rPr>
              <w:t>21.0</w:t>
            </w:r>
          </w:p>
        </w:tc>
      </w:tr>
      <w:tr w:rsidR="00E73882" w:rsidRPr="00A76167" w14:paraId="3910953B" w14:textId="77777777" w:rsidTr="00B06C11">
        <w:trPr>
          <w:trHeight w:val="326"/>
        </w:trPr>
        <w:tc>
          <w:tcPr>
            <w:tcW w:w="1034" w:type="dxa"/>
          </w:tcPr>
          <w:p w14:paraId="135119AC" w14:textId="77777777" w:rsidR="00E73882" w:rsidRPr="00A76167" w:rsidRDefault="00E73882" w:rsidP="00B06C11">
            <w:pPr>
              <w:jc w:val="center"/>
              <w:rPr>
                <w:rFonts w:cs="Arial"/>
                <w:sz w:val="22"/>
                <w:szCs w:val="22"/>
              </w:rPr>
            </w:pPr>
            <w:r w:rsidRPr="00A76167">
              <w:rPr>
                <w:rFonts w:cs="Arial"/>
                <w:sz w:val="22"/>
                <w:szCs w:val="22"/>
              </w:rPr>
              <w:t>Apr-Sep12</w:t>
            </w:r>
          </w:p>
        </w:tc>
        <w:tc>
          <w:tcPr>
            <w:tcW w:w="918" w:type="dxa"/>
          </w:tcPr>
          <w:p w14:paraId="29528A8B" w14:textId="77777777" w:rsidR="00E73882" w:rsidRPr="00A76167" w:rsidRDefault="00E73882" w:rsidP="00B06C11">
            <w:pPr>
              <w:jc w:val="center"/>
              <w:rPr>
                <w:rFonts w:cs="Arial"/>
                <w:sz w:val="22"/>
                <w:szCs w:val="22"/>
              </w:rPr>
            </w:pPr>
            <w:r w:rsidRPr="00A76167">
              <w:rPr>
                <w:rFonts w:cs="Arial"/>
                <w:sz w:val="22"/>
                <w:szCs w:val="22"/>
              </w:rPr>
              <w:t>Provider 2</w:t>
            </w:r>
          </w:p>
        </w:tc>
        <w:tc>
          <w:tcPr>
            <w:tcW w:w="1312" w:type="dxa"/>
          </w:tcPr>
          <w:p w14:paraId="5E99ACAB" w14:textId="77777777" w:rsidR="00E73882" w:rsidRPr="00A76167" w:rsidRDefault="00E73882" w:rsidP="00B06C11">
            <w:pPr>
              <w:jc w:val="center"/>
              <w:rPr>
                <w:rFonts w:cs="Arial"/>
                <w:sz w:val="22"/>
                <w:szCs w:val="22"/>
              </w:rPr>
            </w:pPr>
            <w:r w:rsidRPr="00A76167">
              <w:rPr>
                <w:rFonts w:cs="Arial"/>
                <w:sz w:val="22"/>
                <w:szCs w:val="22"/>
              </w:rPr>
              <w:t>39.5%</w:t>
            </w:r>
          </w:p>
        </w:tc>
        <w:tc>
          <w:tcPr>
            <w:tcW w:w="1312" w:type="dxa"/>
          </w:tcPr>
          <w:p w14:paraId="48820279" w14:textId="77777777" w:rsidR="00E73882" w:rsidRPr="00A76167" w:rsidRDefault="00E73882" w:rsidP="00B06C11">
            <w:pPr>
              <w:jc w:val="center"/>
              <w:rPr>
                <w:rFonts w:cs="Arial"/>
                <w:sz w:val="22"/>
                <w:szCs w:val="22"/>
              </w:rPr>
            </w:pPr>
            <w:r w:rsidRPr="00A76167">
              <w:rPr>
                <w:rFonts w:cs="Arial"/>
                <w:sz w:val="22"/>
                <w:szCs w:val="22"/>
              </w:rPr>
              <w:t>100,000</w:t>
            </w:r>
          </w:p>
        </w:tc>
        <w:tc>
          <w:tcPr>
            <w:tcW w:w="918" w:type="dxa"/>
          </w:tcPr>
          <w:p w14:paraId="3EA5BA71" w14:textId="77777777" w:rsidR="00E73882" w:rsidRPr="00A76167" w:rsidRDefault="00E73882" w:rsidP="00B06C11">
            <w:pPr>
              <w:jc w:val="center"/>
              <w:rPr>
                <w:rFonts w:cs="Arial"/>
                <w:sz w:val="22"/>
                <w:szCs w:val="22"/>
              </w:rPr>
            </w:pPr>
            <w:r w:rsidRPr="00A76167">
              <w:rPr>
                <w:rFonts w:cs="Arial"/>
                <w:sz w:val="22"/>
                <w:szCs w:val="22"/>
              </w:rPr>
              <w:t>190,000</w:t>
            </w:r>
          </w:p>
        </w:tc>
        <w:tc>
          <w:tcPr>
            <w:tcW w:w="1049" w:type="dxa"/>
          </w:tcPr>
          <w:p w14:paraId="76EE5CC3" w14:textId="77777777" w:rsidR="00E73882" w:rsidRPr="00A76167" w:rsidRDefault="00E73882" w:rsidP="00B06C11">
            <w:pPr>
              <w:jc w:val="center"/>
              <w:rPr>
                <w:rFonts w:cs="Arial"/>
                <w:sz w:val="22"/>
                <w:szCs w:val="22"/>
              </w:rPr>
            </w:pPr>
            <w:r w:rsidRPr="00A76167">
              <w:rPr>
                <w:rFonts w:cs="Arial"/>
                <w:sz w:val="22"/>
                <w:szCs w:val="22"/>
              </w:rPr>
              <w:t>1,500</w:t>
            </w:r>
          </w:p>
        </w:tc>
        <w:tc>
          <w:tcPr>
            <w:tcW w:w="994" w:type="dxa"/>
          </w:tcPr>
          <w:p w14:paraId="31698B45" w14:textId="77777777" w:rsidR="00E73882" w:rsidRPr="00A76167" w:rsidRDefault="00E73882" w:rsidP="00B06C11">
            <w:pPr>
              <w:jc w:val="center"/>
              <w:rPr>
                <w:rFonts w:cs="Arial"/>
                <w:sz w:val="22"/>
                <w:szCs w:val="22"/>
              </w:rPr>
            </w:pPr>
            <w:r w:rsidRPr="00A76167">
              <w:rPr>
                <w:rFonts w:cs="Arial"/>
                <w:sz w:val="22"/>
                <w:szCs w:val="22"/>
              </w:rPr>
              <w:t>7.9</w:t>
            </w:r>
          </w:p>
        </w:tc>
      </w:tr>
      <w:tr w:rsidR="00E73882" w:rsidRPr="00A76167" w14:paraId="446D954E" w14:textId="77777777" w:rsidTr="00B06C11">
        <w:trPr>
          <w:trHeight w:val="310"/>
        </w:trPr>
        <w:tc>
          <w:tcPr>
            <w:tcW w:w="1034" w:type="dxa"/>
          </w:tcPr>
          <w:p w14:paraId="4C39D6FE" w14:textId="77777777" w:rsidR="00E73882" w:rsidRPr="00A76167" w:rsidRDefault="00E73882" w:rsidP="00B06C11">
            <w:pPr>
              <w:jc w:val="center"/>
              <w:rPr>
                <w:rFonts w:cs="Arial"/>
                <w:sz w:val="22"/>
                <w:szCs w:val="22"/>
              </w:rPr>
            </w:pPr>
            <w:r w:rsidRPr="00A76167">
              <w:rPr>
                <w:rFonts w:cs="Arial"/>
                <w:sz w:val="22"/>
                <w:szCs w:val="22"/>
              </w:rPr>
              <w:t>Apr-Sep12</w:t>
            </w:r>
          </w:p>
        </w:tc>
        <w:tc>
          <w:tcPr>
            <w:tcW w:w="918" w:type="dxa"/>
          </w:tcPr>
          <w:p w14:paraId="61F9B0F4" w14:textId="77777777" w:rsidR="00E73882" w:rsidRPr="00A76167" w:rsidRDefault="00E73882" w:rsidP="00B06C11">
            <w:pPr>
              <w:jc w:val="center"/>
              <w:rPr>
                <w:rFonts w:cs="Arial"/>
                <w:sz w:val="22"/>
                <w:szCs w:val="22"/>
              </w:rPr>
            </w:pPr>
            <w:r w:rsidRPr="00A76167">
              <w:rPr>
                <w:rFonts w:cs="Arial"/>
                <w:sz w:val="22"/>
                <w:szCs w:val="22"/>
              </w:rPr>
              <w:t>Provider 3</w:t>
            </w:r>
          </w:p>
        </w:tc>
        <w:tc>
          <w:tcPr>
            <w:tcW w:w="1312" w:type="dxa"/>
          </w:tcPr>
          <w:p w14:paraId="430662F2" w14:textId="77777777" w:rsidR="00E73882" w:rsidRPr="00A76167" w:rsidRDefault="00E73882" w:rsidP="00B06C11">
            <w:pPr>
              <w:jc w:val="center"/>
              <w:rPr>
                <w:rFonts w:cs="Arial"/>
                <w:sz w:val="22"/>
                <w:szCs w:val="22"/>
              </w:rPr>
            </w:pPr>
            <w:r w:rsidRPr="00A76167">
              <w:rPr>
                <w:rFonts w:cs="Arial"/>
                <w:sz w:val="22"/>
                <w:szCs w:val="22"/>
              </w:rPr>
              <w:t>1.8%</w:t>
            </w:r>
          </w:p>
        </w:tc>
        <w:tc>
          <w:tcPr>
            <w:tcW w:w="1312" w:type="dxa"/>
          </w:tcPr>
          <w:p w14:paraId="670EC3BD" w14:textId="77777777" w:rsidR="00E73882" w:rsidRPr="00A76167" w:rsidRDefault="00E73882" w:rsidP="00B06C11">
            <w:pPr>
              <w:jc w:val="center"/>
              <w:rPr>
                <w:rFonts w:cs="Arial"/>
                <w:sz w:val="22"/>
                <w:szCs w:val="22"/>
              </w:rPr>
            </w:pPr>
            <w:r w:rsidRPr="00A76167">
              <w:rPr>
                <w:rFonts w:cs="Arial"/>
                <w:sz w:val="22"/>
                <w:szCs w:val="22"/>
              </w:rPr>
              <w:t>4,500</w:t>
            </w:r>
          </w:p>
        </w:tc>
        <w:tc>
          <w:tcPr>
            <w:tcW w:w="918" w:type="dxa"/>
          </w:tcPr>
          <w:p w14:paraId="3C782418" w14:textId="77777777" w:rsidR="00E73882" w:rsidRPr="00A76167" w:rsidRDefault="00E73882" w:rsidP="00B06C11">
            <w:pPr>
              <w:jc w:val="center"/>
              <w:rPr>
                <w:rFonts w:cs="Arial"/>
                <w:sz w:val="22"/>
                <w:szCs w:val="22"/>
              </w:rPr>
            </w:pPr>
            <w:r w:rsidRPr="00A76167">
              <w:rPr>
                <w:rFonts w:cs="Arial"/>
                <w:sz w:val="22"/>
                <w:szCs w:val="22"/>
              </w:rPr>
              <w:t>55,000</w:t>
            </w:r>
          </w:p>
        </w:tc>
        <w:tc>
          <w:tcPr>
            <w:tcW w:w="1049" w:type="dxa"/>
          </w:tcPr>
          <w:p w14:paraId="680D7EEA" w14:textId="77777777" w:rsidR="00E73882" w:rsidRPr="00A76167" w:rsidRDefault="00E73882" w:rsidP="00B06C11">
            <w:pPr>
              <w:jc w:val="center"/>
              <w:rPr>
                <w:rFonts w:cs="Arial"/>
                <w:sz w:val="22"/>
                <w:szCs w:val="22"/>
              </w:rPr>
            </w:pPr>
            <w:r w:rsidRPr="00A76167">
              <w:rPr>
                <w:rFonts w:cs="Arial"/>
                <w:sz w:val="22"/>
                <w:szCs w:val="22"/>
              </w:rPr>
              <w:t>1,250</w:t>
            </w:r>
          </w:p>
        </w:tc>
        <w:tc>
          <w:tcPr>
            <w:tcW w:w="994" w:type="dxa"/>
          </w:tcPr>
          <w:p w14:paraId="68CABACF" w14:textId="77777777" w:rsidR="00E73882" w:rsidRPr="00A76167" w:rsidRDefault="00E73882" w:rsidP="00B06C11">
            <w:pPr>
              <w:jc w:val="center"/>
              <w:rPr>
                <w:rFonts w:cs="Arial"/>
                <w:sz w:val="22"/>
                <w:szCs w:val="22"/>
              </w:rPr>
            </w:pPr>
            <w:r w:rsidRPr="00A76167">
              <w:rPr>
                <w:rFonts w:cs="Arial"/>
                <w:sz w:val="22"/>
                <w:szCs w:val="22"/>
              </w:rPr>
              <w:t>22.7</w:t>
            </w:r>
          </w:p>
        </w:tc>
      </w:tr>
      <w:tr w:rsidR="00E73882" w:rsidRPr="00A76167" w14:paraId="605BC1DC" w14:textId="77777777" w:rsidTr="00B06C11">
        <w:trPr>
          <w:trHeight w:val="310"/>
        </w:trPr>
        <w:tc>
          <w:tcPr>
            <w:tcW w:w="1034" w:type="dxa"/>
          </w:tcPr>
          <w:p w14:paraId="3B059FB6" w14:textId="77777777" w:rsidR="00E73882" w:rsidRPr="00A76167" w:rsidRDefault="00E73882" w:rsidP="00B06C11">
            <w:pPr>
              <w:jc w:val="center"/>
              <w:rPr>
                <w:rFonts w:cs="Arial"/>
                <w:sz w:val="22"/>
                <w:szCs w:val="22"/>
              </w:rPr>
            </w:pPr>
            <w:r w:rsidRPr="00A76167">
              <w:rPr>
                <w:rFonts w:cs="Arial"/>
                <w:sz w:val="22"/>
                <w:szCs w:val="22"/>
              </w:rPr>
              <w:t>Apr-Sep12</w:t>
            </w:r>
          </w:p>
        </w:tc>
        <w:tc>
          <w:tcPr>
            <w:tcW w:w="918" w:type="dxa"/>
          </w:tcPr>
          <w:p w14:paraId="61CCE2CE" w14:textId="77777777" w:rsidR="00E73882" w:rsidRPr="00A76167" w:rsidRDefault="00E73882" w:rsidP="00B06C11">
            <w:pPr>
              <w:jc w:val="center"/>
              <w:rPr>
                <w:rFonts w:cs="Arial"/>
                <w:sz w:val="22"/>
                <w:szCs w:val="22"/>
              </w:rPr>
            </w:pPr>
            <w:r w:rsidRPr="00A76167">
              <w:rPr>
                <w:rFonts w:cs="Arial"/>
                <w:sz w:val="22"/>
                <w:szCs w:val="22"/>
              </w:rPr>
              <w:t>Provider 4</w:t>
            </w:r>
          </w:p>
        </w:tc>
        <w:tc>
          <w:tcPr>
            <w:tcW w:w="1312" w:type="dxa"/>
          </w:tcPr>
          <w:p w14:paraId="0C25E2F0" w14:textId="77777777" w:rsidR="00E73882" w:rsidRPr="00A76167" w:rsidRDefault="00E73882" w:rsidP="00B06C11">
            <w:pPr>
              <w:jc w:val="center"/>
              <w:rPr>
                <w:rFonts w:cs="Arial"/>
                <w:sz w:val="22"/>
                <w:szCs w:val="22"/>
              </w:rPr>
            </w:pPr>
            <w:r w:rsidRPr="00A76167">
              <w:rPr>
                <w:rFonts w:cs="Arial"/>
                <w:sz w:val="22"/>
                <w:szCs w:val="22"/>
              </w:rPr>
              <w:t>1.6%</w:t>
            </w:r>
          </w:p>
        </w:tc>
        <w:tc>
          <w:tcPr>
            <w:tcW w:w="1312" w:type="dxa"/>
          </w:tcPr>
          <w:p w14:paraId="247FCC75" w14:textId="77777777" w:rsidR="00E73882" w:rsidRPr="00A76167" w:rsidRDefault="00E73882" w:rsidP="00B06C11">
            <w:pPr>
              <w:jc w:val="center"/>
              <w:rPr>
                <w:rFonts w:cs="Arial"/>
                <w:sz w:val="22"/>
                <w:szCs w:val="22"/>
              </w:rPr>
            </w:pPr>
            <w:r w:rsidRPr="00A76167">
              <w:rPr>
                <w:rFonts w:cs="Arial"/>
                <w:sz w:val="22"/>
                <w:szCs w:val="22"/>
              </w:rPr>
              <w:t>4,000</w:t>
            </w:r>
          </w:p>
        </w:tc>
        <w:tc>
          <w:tcPr>
            <w:tcW w:w="918" w:type="dxa"/>
          </w:tcPr>
          <w:p w14:paraId="55D371FB" w14:textId="77777777" w:rsidR="00E73882" w:rsidRPr="00A76167" w:rsidRDefault="00E73882" w:rsidP="00B06C11">
            <w:pPr>
              <w:jc w:val="center"/>
              <w:rPr>
                <w:rFonts w:cs="Arial"/>
                <w:sz w:val="22"/>
                <w:szCs w:val="22"/>
              </w:rPr>
            </w:pPr>
            <w:r w:rsidRPr="00A76167">
              <w:rPr>
                <w:rFonts w:cs="Arial"/>
                <w:sz w:val="22"/>
                <w:szCs w:val="22"/>
              </w:rPr>
              <w:t>4,500</w:t>
            </w:r>
          </w:p>
        </w:tc>
        <w:tc>
          <w:tcPr>
            <w:tcW w:w="1049" w:type="dxa"/>
          </w:tcPr>
          <w:p w14:paraId="2BC87CFB" w14:textId="77777777" w:rsidR="00E73882" w:rsidRPr="00A76167" w:rsidRDefault="00E73882" w:rsidP="00B06C11">
            <w:pPr>
              <w:jc w:val="center"/>
              <w:rPr>
                <w:rFonts w:cs="Arial"/>
                <w:sz w:val="22"/>
                <w:szCs w:val="22"/>
              </w:rPr>
            </w:pPr>
            <w:r w:rsidRPr="00A76167">
              <w:rPr>
                <w:rFonts w:cs="Arial"/>
                <w:sz w:val="22"/>
                <w:szCs w:val="22"/>
              </w:rPr>
              <w:t>250</w:t>
            </w:r>
          </w:p>
        </w:tc>
        <w:tc>
          <w:tcPr>
            <w:tcW w:w="994" w:type="dxa"/>
          </w:tcPr>
          <w:p w14:paraId="456F7802" w14:textId="77777777" w:rsidR="00E73882" w:rsidRPr="00A76167" w:rsidRDefault="00E73882" w:rsidP="00B06C11">
            <w:pPr>
              <w:jc w:val="center"/>
              <w:rPr>
                <w:rFonts w:cs="Arial"/>
                <w:sz w:val="22"/>
                <w:szCs w:val="22"/>
              </w:rPr>
            </w:pPr>
            <w:r w:rsidRPr="00A76167">
              <w:rPr>
                <w:rFonts w:cs="Arial"/>
                <w:sz w:val="22"/>
                <w:szCs w:val="22"/>
              </w:rPr>
              <w:t>55.6</w:t>
            </w:r>
          </w:p>
        </w:tc>
      </w:tr>
      <w:tr w:rsidR="00E73882" w:rsidRPr="00A76167" w14:paraId="6FE874B8" w14:textId="77777777" w:rsidTr="00B06C11">
        <w:trPr>
          <w:trHeight w:val="326"/>
        </w:trPr>
        <w:tc>
          <w:tcPr>
            <w:tcW w:w="1034" w:type="dxa"/>
          </w:tcPr>
          <w:p w14:paraId="3B290CA8" w14:textId="77777777" w:rsidR="00E73882" w:rsidRPr="00A76167" w:rsidRDefault="00E73882" w:rsidP="00B06C11">
            <w:pPr>
              <w:jc w:val="center"/>
              <w:rPr>
                <w:rFonts w:cs="Arial"/>
                <w:sz w:val="22"/>
                <w:szCs w:val="22"/>
              </w:rPr>
            </w:pPr>
            <w:r w:rsidRPr="00A76167">
              <w:rPr>
                <w:rFonts w:cs="Arial"/>
                <w:sz w:val="22"/>
                <w:szCs w:val="22"/>
              </w:rPr>
              <w:t>Apr-Sep12</w:t>
            </w:r>
          </w:p>
        </w:tc>
        <w:tc>
          <w:tcPr>
            <w:tcW w:w="918" w:type="dxa"/>
          </w:tcPr>
          <w:p w14:paraId="30D76CE9" w14:textId="77777777" w:rsidR="00E73882" w:rsidRPr="00A76167" w:rsidRDefault="00E73882" w:rsidP="00B06C11">
            <w:pPr>
              <w:jc w:val="center"/>
              <w:rPr>
                <w:rFonts w:cs="Arial"/>
                <w:sz w:val="22"/>
                <w:szCs w:val="22"/>
              </w:rPr>
            </w:pPr>
            <w:r w:rsidRPr="00A76167">
              <w:rPr>
                <w:rFonts w:cs="Arial"/>
                <w:sz w:val="22"/>
                <w:szCs w:val="22"/>
              </w:rPr>
              <w:t>Provider 5</w:t>
            </w:r>
          </w:p>
        </w:tc>
        <w:tc>
          <w:tcPr>
            <w:tcW w:w="1312" w:type="dxa"/>
          </w:tcPr>
          <w:p w14:paraId="537A055A" w14:textId="77777777" w:rsidR="00E73882" w:rsidRPr="00A76167" w:rsidRDefault="00E73882" w:rsidP="00B06C11">
            <w:pPr>
              <w:jc w:val="center"/>
              <w:rPr>
                <w:rFonts w:cs="Arial"/>
                <w:sz w:val="22"/>
                <w:szCs w:val="22"/>
              </w:rPr>
            </w:pPr>
            <w:r w:rsidRPr="00A76167">
              <w:rPr>
                <w:rFonts w:cs="Arial"/>
                <w:sz w:val="22"/>
                <w:szCs w:val="22"/>
              </w:rPr>
              <w:t>1.6%</w:t>
            </w:r>
          </w:p>
        </w:tc>
        <w:tc>
          <w:tcPr>
            <w:tcW w:w="1312" w:type="dxa"/>
          </w:tcPr>
          <w:p w14:paraId="0B2C3E51" w14:textId="77777777" w:rsidR="00E73882" w:rsidRPr="00A76167" w:rsidRDefault="00E73882" w:rsidP="00B06C11">
            <w:pPr>
              <w:jc w:val="center"/>
              <w:rPr>
                <w:rFonts w:cs="Arial"/>
                <w:sz w:val="22"/>
                <w:szCs w:val="22"/>
              </w:rPr>
            </w:pPr>
            <w:r w:rsidRPr="00A76167">
              <w:rPr>
                <w:rFonts w:cs="Arial"/>
                <w:sz w:val="22"/>
                <w:szCs w:val="22"/>
              </w:rPr>
              <w:t>4,000</w:t>
            </w:r>
          </w:p>
        </w:tc>
        <w:tc>
          <w:tcPr>
            <w:tcW w:w="918" w:type="dxa"/>
          </w:tcPr>
          <w:p w14:paraId="3B5F5D20" w14:textId="77777777" w:rsidR="00E73882" w:rsidRPr="00A76167" w:rsidRDefault="00E73882" w:rsidP="00B06C11">
            <w:pPr>
              <w:jc w:val="center"/>
              <w:rPr>
                <w:rFonts w:cs="Arial"/>
                <w:sz w:val="22"/>
                <w:szCs w:val="22"/>
              </w:rPr>
            </w:pPr>
            <w:r w:rsidRPr="00A76167">
              <w:rPr>
                <w:rFonts w:cs="Arial"/>
                <w:sz w:val="22"/>
                <w:szCs w:val="22"/>
              </w:rPr>
              <w:t>195,000</w:t>
            </w:r>
          </w:p>
        </w:tc>
        <w:tc>
          <w:tcPr>
            <w:tcW w:w="1049" w:type="dxa"/>
          </w:tcPr>
          <w:p w14:paraId="54847B33" w14:textId="77777777" w:rsidR="00E73882" w:rsidRPr="00A76167" w:rsidRDefault="00E73882" w:rsidP="00B06C11">
            <w:pPr>
              <w:jc w:val="center"/>
              <w:rPr>
                <w:rFonts w:cs="Arial"/>
                <w:sz w:val="22"/>
                <w:szCs w:val="22"/>
              </w:rPr>
            </w:pPr>
            <w:r w:rsidRPr="00A76167">
              <w:rPr>
                <w:rFonts w:cs="Arial"/>
                <w:sz w:val="22"/>
                <w:szCs w:val="22"/>
              </w:rPr>
              <w:t>2,750</w:t>
            </w:r>
          </w:p>
        </w:tc>
        <w:tc>
          <w:tcPr>
            <w:tcW w:w="994" w:type="dxa"/>
          </w:tcPr>
          <w:p w14:paraId="797746EA" w14:textId="77777777" w:rsidR="00E73882" w:rsidRPr="00A76167" w:rsidRDefault="00E73882" w:rsidP="00B06C11">
            <w:pPr>
              <w:jc w:val="center"/>
              <w:rPr>
                <w:rFonts w:cs="Arial"/>
                <w:sz w:val="22"/>
                <w:szCs w:val="22"/>
              </w:rPr>
            </w:pPr>
            <w:r w:rsidRPr="00A76167">
              <w:rPr>
                <w:rFonts w:cs="Arial"/>
                <w:sz w:val="22"/>
                <w:szCs w:val="22"/>
              </w:rPr>
              <w:t>14.1</w:t>
            </w:r>
          </w:p>
        </w:tc>
      </w:tr>
    </w:tbl>
    <w:p w14:paraId="2C4077D7" w14:textId="40423E7C" w:rsidR="00E73882" w:rsidRDefault="00E73882"/>
    <w:p w14:paraId="4863EA8C" w14:textId="3C29CBFC" w:rsidR="00E73882" w:rsidRDefault="00E73882"/>
    <w:p w14:paraId="2A835532" w14:textId="77777777" w:rsidR="00E73882" w:rsidRDefault="00E73882"/>
    <w:p w14:paraId="755C8AD2" w14:textId="77777777" w:rsidR="00E73882" w:rsidRDefault="00E73882"/>
    <w:tbl>
      <w:tblPr>
        <w:tblStyle w:val="TableGrid"/>
        <w:tblW w:w="9923" w:type="dxa"/>
        <w:tblLayout w:type="fixed"/>
        <w:tblLook w:val="01E0" w:firstRow="1" w:lastRow="1" w:firstColumn="1" w:lastColumn="1" w:noHBand="0" w:noVBand="0"/>
      </w:tblPr>
      <w:tblGrid>
        <w:gridCol w:w="2119"/>
        <w:gridCol w:w="7804"/>
      </w:tblGrid>
      <w:tr w:rsidR="00E73882" w:rsidRPr="00A76167" w14:paraId="18CD062D" w14:textId="77777777" w:rsidTr="00A76167">
        <w:tc>
          <w:tcPr>
            <w:tcW w:w="2119" w:type="dxa"/>
          </w:tcPr>
          <w:p w14:paraId="3D4DD035" w14:textId="77777777" w:rsidR="00E73882" w:rsidRPr="00A76167" w:rsidRDefault="00E73882" w:rsidP="00E73882">
            <w:pPr>
              <w:rPr>
                <w:rFonts w:cs="Arial"/>
                <w:sz w:val="22"/>
                <w:szCs w:val="22"/>
              </w:rPr>
            </w:pPr>
            <w:r w:rsidRPr="00A76167">
              <w:rPr>
                <w:rFonts w:cs="Arial"/>
                <w:sz w:val="22"/>
                <w:szCs w:val="22"/>
              </w:rPr>
              <w:t>Risks &amp; assumptions</w:t>
            </w:r>
          </w:p>
        </w:tc>
        <w:tc>
          <w:tcPr>
            <w:tcW w:w="7804" w:type="dxa"/>
          </w:tcPr>
          <w:p w14:paraId="6D394B81" w14:textId="77777777" w:rsidR="00E73882" w:rsidRPr="00A76167" w:rsidRDefault="00E73882" w:rsidP="00E73882">
            <w:pPr>
              <w:autoSpaceDE w:val="0"/>
              <w:autoSpaceDN w:val="0"/>
              <w:adjustRightInd w:val="0"/>
              <w:spacing w:after="120"/>
              <w:rPr>
                <w:rFonts w:cs="Arial"/>
                <w:sz w:val="22"/>
                <w:szCs w:val="22"/>
              </w:rPr>
            </w:pPr>
            <w:r w:rsidRPr="00A76167">
              <w:rPr>
                <w:rFonts w:cs="Arial"/>
                <w:sz w:val="22"/>
                <w:szCs w:val="22"/>
              </w:rPr>
              <w:t>Stated limitations:</w:t>
            </w:r>
          </w:p>
          <w:p w14:paraId="4A12944A" w14:textId="77777777" w:rsidR="00E73882" w:rsidRPr="00A76167" w:rsidRDefault="00E73882" w:rsidP="00E73882">
            <w:pPr>
              <w:numPr>
                <w:ilvl w:val="0"/>
                <w:numId w:val="26"/>
              </w:numPr>
              <w:autoSpaceDE w:val="0"/>
              <w:autoSpaceDN w:val="0"/>
              <w:adjustRightInd w:val="0"/>
              <w:spacing w:after="120"/>
              <w:ind w:left="360"/>
              <w:textboxTightWrap w:val="none"/>
              <w:rPr>
                <w:rFonts w:cs="Arial"/>
                <w:sz w:val="22"/>
                <w:szCs w:val="22"/>
              </w:rPr>
            </w:pPr>
            <w:r w:rsidRPr="00A76167">
              <w:rPr>
                <w:rFonts w:cs="Arial"/>
                <w:sz w:val="22"/>
                <w:szCs w:val="22"/>
              </w:rPr>
              <w:t>This indicator requires careful interpretation and should not be used in isolation. It should be taken in conjunction with other indicators and information from other sources that together form a holistic view of CCG outcomes and a fuller overview of how CCG processes are impacting on outcomes.</w:t>
            </w:r>
          </w:p>
          <w:p w14:paraId="45CFC19C" w14:textId="77777777" w:rsidR="00E73882" w:rsidRPr="00A76167" w:rsidRDefault="00E73882" w:rsidP="00E73882">
            <w:pPr>
              <w:numPr>
                <w:ilvl w:val="0"/>
                <w:numId w:val="26"/>
              </w:numPr>
              <w:autoSpaceDE w:val="0"/>
              <w:autoSpaceDN w:val="0"/>
              <w:adjustRightInd w:val="0"/>
              <w:spacing w:after="120"/>
              <w:ind w:left="360"/>
              <w:textboxTightWrap w:val="none"/>
              <w:rPr>
                <w:rFonts w:cs="Arial"/>
                <w:sz w:val="22"/>
                <w:szCs w:val="22"/>
              </w:rPr>
            </w:pPr>
            <w:r w:rsidRPr="00A76167">
              <w:rPr>
                <w:rFonts w:cs="Arial"/>
                <w:sz w:val="22"/>
                <w:szCs w:val="22"/>
              </w:rPr>
              <w:t xml:space="preserve">It is only mandatory for providers to report incidents with a </w:t>
            </w:r>
            <w:r w:rsidRPr="00A76167">
              <w:rPr>
                <w:rFonts w:cs="Arial"/>
                <w:i/>
                <w:iCs/>
                <w:sz w:val="22"/>
                <w:szCs w:val="22"/>
              </w:rPr>
              <w:t>severe degree of harm or death;</w:t>
            </w:r>
            <w:r w:rsidRPr="00A76167">
              <w:rPr>
                <w:rFonts w:cs="Arial"/>
                <w:sz w:val="22"/>
                <w:szCs w:val="22"/>
              </w:rPr>
              <w:t xml:space="preserve"> the reporting of patient safety incidents in general is voluntary and under-reporting is known to be common. There are major concerns regarding the level of completeness in the National Reporting and Learning System (NRLS) dataset currently available, particularly because NRLS has traditionally focussed upon learning from patient safety incidents and was never intended to be a reporting or data collection mechanism. The data in NRLS is not a complete count of all cases where a patient is harmed during contact with the NHS.</w:t>
            </w:r>
          </w:p>
          <w:p w14:paraId="4E4358A2" w14:textId="77777777" w:rsidR="00E73882" w:rsidRPr="00A76167" w:rsidRDefault="00E73882" w:rsidP="00E73882">
            <w:pPr>
              <w:numPr>
                <w:ilvl w:val="0"/>
                <w:numId w:val="26"/>
              </w:numPr>
              <w:autoSpaceDE w:val="0"/>
              <w:autoSpaceDN w:val="0"/>
              <w:adjustRightInd w:val="0"/>
              <w:spacing w:after="120"/>
              <w:ind w:left="360"/>
              <w:textboxTightWrap w:val="none"/>
              <w:rPr>
                <w:rFonts w:cs="Arial"/>
                <w:sz w:val="22"/>
                <w:szCs w:val="22"/>
              </w:rPr>
            </w:pPr>
            <w:r w:rsidRPr="00A76167">
              <w:rPr>
                <w:rFonts w:cs="Arial"/>
                <w:sz w:val="22"/>
                <w:szCs w:val="22"/>
              </w:rPr>
              <w:t xml:space="preserve">Patient Safety incidents occurring in acute trusts could happen in a number of different settings, including admitted patients (who </w:t>
            </w:r>
            <w:r w:rsidRPr="00A76167">
              <w:rPr>
                <w:rFonts w:cs="Arial"/>
                <w:i/>
                <w:sz w:val="22"/>
                <w:szCs w:val="22"/>
              </w:rPr>
              <w:t>are</w:t>
            </w:r>
            <w:r w:rsidRPr="00A76167">
              <w:rPr>
                <w:rFonts w:cs="Arial"/>
                <w:sz w:val="22"/>
                <w:szCs w:val="22"/>
              </w:rPr>
              <w:t xml:space="preserve"> reported on HES), outpatients, pharmacy, diagnostic tests and administration.  The published data does not specify the location or service, only the degree of harm and category of incident.</w:t>
            </w:r>
          </w:p>
          <w:p w14:paraId="08AC2C53" w14:textId="1B6B1A85" w:rsidR="00E73882" w:rsidRPr="00A76167" w:rsidRDefault="00E73882" w:rsidP="00E73882">
            <w:pPr>
              <w:numPr>
                <w:ilvl w:val="0"/>
                <w:numId w:val="26"/>
              </w:numPr>
              <w:autoSpaceDE w:val="0"/>
              <w:autoSpaceDN w:val="0"/>
              <w:adjustRightInd w:val="0"/>
              <w:spacing w:after="120"/>
              <w:ind w:left="360"/>
              <w:textboxTightWrap w:val="none"/>
              <w:rPr>
                <w:rFonts w:cs="Arial"/>
                <w:sz w:val="22"/>
                <w:szCs w:val="22"/>
              </w:rPr>
            </w:pPr>
            <w:r w:rsidRPr="00A76167">
              <w:rPr>
                <w:rFonts w:cs="Arial"/>
                <w:sz w:val="22"/>
                <w:szCs w:val="22"/>
              </w:rPr>
              <w:t>The patterns of providing care may vary between organisations in terms of extent of treatment in primary care settings; referral policies and practices; hospital outpatient facilities/walk-in clinics; and hospital inpatient admission policies and practices.</w:t>
            </w:r>
          </w:p>
          <w:p w14:paraId="57BA7683" w14:textId="5D20BD96" w:rsidR="00E73882" w:rsidRPr="00A76167" w:rsidRDefault="00E73882" w:rsidP="00E73882">
            <w:pPr>
              <w:autoSpaceDE w:val="0"/>
              <w:autoSpaceDN w:val="0"/>
              <w:adjustRightInd w:val="0"/>
              <w:spacing w:after="120"/>
              <w:ind w:left="360"/>
              <w:textboxTightWrap w:val="none"/>
              <w:rPr>
                <w:rFonts w:cs="Arial"/>
                <w:sz w:val="22"/>
                <w:szCs w:val="22"/>
              </w:rPr>
            </w:pPr>
          </w:p>
          <w:p w14:paraId="4C161BFA" w14:textId="77777777" w:rsidR="00E73882" w:rsidRPr="00A76167" w:rsidRDefault="00E73882" w:rsidP="00E73882">
            <w:pPr>
              <w:autoSpaceDE w:val="0"/>
              <w:autoSpaceDN w:val="0"/>
              <w:adjustRightInd w:val="0"/>
              <w:spacing w:after="120"/>
              <w:ind w:left="360"/>
              <w:textboxTightWrap w:val="none"/>
              <w:rPr>
                <w:rFonts w:cs="Arial"/>
                <w:sz w:val="22"/>
                <w:szCs w:val="22"/>
              </w:rPr>
            </w:pPr>
          </w:p>
          <w:p w14:paraId="502D2E17" w14:textId="37F42072" w:rsidR="00E73882" w:rsidRPr="00A76167" w:rsidRDefault="00E73882" w:rsidP="00E73882">
            <w:pPr>
              <w:numPr>
                <w:ilvl w:val="0"/>
                <w:numId w:val="26"/>
              </w:numPr>
              <w:autoSpaceDE w:val="0"/>
              <w:autoSpaceDN w:val="0"/>
              <w:adjustRightInd w:val="0"/>
              <w:spacing w:after="120"/>
              <w:ind w:left="360"/>
              <w:textboxTightWrap w:val="none"/>
              <w:rPr>
                <w:rFonts w:cs="Arial"/>
                <w:sz w:val="22"/>
                <w:szCs w:val="22"/>
              </w:rPr>
            </w:pPr>
            <w:r w:rsidRPr="00A76167">
              <w:rPr>
                <w:rFonts w:cs="Arial"/>
                <w:sz w:val="22"/>
                <w:szCs w:val="22"/>
              </w:rPr>
              <w:t>A number of factors outside the control of healthcare providers, such as the socio-economic mix of local populations, may determine whether a patient acquires an infection; thus, this could influence incidence.</w:t>
            </w:r>
          </w:p>
          <w:p w14:paraId="704DFC33" w14:textId="77777777" w:rsidR="00E73882" w:rsidRPr="00A76167" w:rsidRDefault="00E73882" w:rsidP="00E73882">
            <w:pPr>
              <w:numPr>
                <w:ilvl w:val="0"/>
                <w:numId w:val="26"/>
              </w:numPr>
              <w:autoSpaceDE w:val="0"/>
              <w:autoSpaceDN w:val="0"/>
              <w:adjustRightInd w:val="0"/>
              <w:spacing w:after="120"/>
              <w:ind w:left="360"/>
              <w:textboxTightWrap w:val="none"/>
              <w:rPr>
                <w:rFonts w:cs="Arial"/>
                <w:sz w:val="22"/>
                <w:szCs w:val="22"/>
              </w:rPr>
            </w:pPr>
            <w:r w:rsidRPr="00A76167">
              <w:rPr>
                <w:rFonts w:cs="Arial"/>
                <w:sz w:val="22"/>
                <w:szCs w:val="22"/>
              </w:rPr>
              <w:t xml:space="preserve">This indicator is not subject to standardisation, as there are no age breakdowns in the NRLS data. Furthermore, there are a vast array of patient safety incidents including ‘Patient Accident’, ‘Medication’, </w:t>
            </w:r>
            <w:r w:rsidRPr="00A76167">
              <w:rPr>
                <w:rFonts w:cs="Arial"/>
                <w:sz w:val="22"/>
                <w:szCs w:val="22"/>
              </w:rPr>
              <w:lastRenderedPageBreak/>
              <w:t xml:space="preserve">‘Treatment/Procedure’ and ‘Documentation’ that can occur across all equality dimension groups. </w:t>
            </w:r>
          </w:p>
          <w:p w14:paraId="7AD1142E" w14:textId="77777777" w:rsidR="00E73882" w:rsidRPr="00A76167" w:rsidRDefault="00E73882" w:rsidP="00E73882">
            <w:pPr>
              <w:numPr>
                <w:ilvl w:val="0"/>
                <w:numId w:val="26"/>
              </w:numPr>
              <w:autoSpaceDE w:val="0"/>
              <w:autoSpaceDN w:val="0"/>
              <w:adjustRightInd w:val="0"/>
              <w:spacing w:after="120"/>
              <w:ind w:left="360"/>
              <w:textboxTightWrap w:val="none"/>
              <w:rPr>
                <w:rFonts w:cs="Arial"/>
                <w:sz w:val="22"/>
                <w:szCs w:val="22"/>
              </w:rPr>
            </w:pPr>
            <w:r w:rsidRPr="00A76167">
              <w:rPr>
                <w:rFonts w:cs="Arial"/>
                <w:sz w:val="22"/>
                <w:szCs w:val="22"/>
              </w:rPr>
              <w:t xml:space="preserve">This indicator is not provided as a single output, as is the case with other CCG level indicators, as reliable CCG level data cannot be obtained for patient safety incidents.  </w:t>
            </w:r>
          </w:p>
          <w:p w14:paraId="42001907" w14:textId="77777777" w:rsidR="00E73882" w:rsidRPr="00A76167" w:rsidRDefault="00E73882" w:rsidP="00E73882">
            <w:pPr>
              <w:rPr>
                <w:rFonts w:cs="Arial"/>
                <w:sz w:val="22"/>
                <w:szCs w:val="22"/>
              </w:rPr>
            </w:pPr>
          </w:p>
        </w:tc>
      </w:tr>
      <w:tr w:rsidR="00E73882" w:rsidRPr="00A76167" w14:paraId="40254F5F" w14:textId="77777777" w:rsidTr="00560A77">
        <w:trPr>
          <w:trHeight w:val="6600"/>
        </w:trPr>
        <w:tc>
          <w:tcPr>
            <w:tcW w:w="2119" w:type="dxa"/>
          </w:tcPr>
          <w:p w14:paraId="0C729DA7" w14:textId="77777777" w:rsidR="00E73882" w:rsidRPr="00A76167" w:rsidRDefault="00E73882" w:rsidP="00E73882">
            <w:pPr>
              <w:rPr>
                <w:rFonts w:cs="Arial"/>
                <w:sz w:val="22"/>
                <w:szCs w:val="22"/>
              </w:rPr>
            </w:pPr>
            <w:r w:rsidRPr="00A76167">
              <w:rPr>
                <w:rFonts w:cs="Arial"/>
                <w:sz w:val="22"/>
                <w:szCs w:val="22"/>
              </w:rPr>
              <w:lastRenderedPageBreak/>
              <w:t>IG Considerations  [e.g. release of under-lying data, intermediaries access to data, data ownership impact on production]</w:t>
            </w:r>
          </w:p>
        </w:tc>
        <w:tc>
          <w:tcPr>
            <w:tcW w:w="7804" w:type="dxa"/>
          </w:tcPr>
          <w:p w14:paraId="2416D714" w14:textId="77777777" w:rsidR="00E73882" w:rsidRPr="00A76167" w:rsidRDefault="00E73882" w:rsidP="00E73882">
            <w:pPr>
              <w:rPr>
                <w:rFonts w:cs="Arial"/>
                <w:sz w:val="22"/>
                <w:szCs w:val="22"/>
              </w:rPr>
            </w:pPr>
            <w:r w:rsidRPr="00A76167">
              <w:rPr>
                <w:rFonts w:cs="Arial"/>
                <w:i/>
                <w:sz w:val="22"/>
                <w:szCs w:val="22"/>
              </w:rPr>
              <w:t>Data Source:</w:t>
            </w:r>
            <w:r w:rsidRPr="00A76167">
              <w:rPr>
                <w:rFonts w:cs="Arial"/>
                <w:sz w:val="22"/>
                <w:szCs w:val="22"/>
              </w:rPr>
              <w:t xml:space="preserve"> </w:t>
            </w:r>
          </w:p>
          <w:p w14:paraId="1B45D1B7" w14:textId="77777777" w:rsidR="00E73882" w:rsidRPr="00A76167" w:rsidRDefault="00E73882" w:rsidP="00E73882">
            <w:pPr>
              <w:rPr>
                <w:rFonts w:cs="Arial"/>
                <w:sz w:val="22"/>
                <w:szCs w:val="22"/>
              </w:rPr>
            </w:pPr>
            <w:r w:rsidRPr="00A76167">
              <w:rPr>
                <w:rFonts w:cs="Arial"/>
                <w:sz w:val="22"/>
                <w:szCs w:val="22"/>
              </w:rPr>
              <w:t>Organisation Patient Safety Incident workbook, reported to NHS via the National Reporting and Learning System (NRLS), which is administered by Imperial College, London.  Until June 2012 the NRLS was administered by the National Patient Safety Agency (NPSA)</w:t>
            </w:r>
          </w:p>
          <w:p w14:paraId="53DE4942" w14:textId="77777777" w:rsidR="00E73882" w:rsidRPr="00A76167" w:rsidRDefault="00E73882" w:rsidP="00E73882">
            <w:pPr>
              <w:rPr>
                <w:rFonts w:cs="Arial"/>
                <w:sz w:val="22"/>
                <w:szCs w:val="22"/>
              </w:rPr>
            </w:pPr>
            <w:r w:rsidRPr="00A76167">
              <w:rPr>
                <w:rFonts w:cs="Arial"/>
                <w:sz w:val="22"/>
                <w:szCs w:val="22"/>
              </w:rPr>
              <w:t>Hospital Episodes Statistics (HES) Admitted Patient Care (APC) data.</w:t>
            </w:r>
          </w:p>
          <w:p w14:paraId="0EF91884" w14:textId="77777777" w:rsidR="00E73882" w:rsidRPr="00A76167" w:rsidRDefault="00E73882" w:rsidP="00E73882">
            <w:pPr>
              <w:rPr>
                <w:rFonts w:cs="Arial"/>
                <w:sz w:val="22"/>
                <w:szCs w:val="22"/>
              </w:rPr>
            </w:pPr>
          </w:p>
          <w:p w14:paraId="052E25F2" w14:textId="77777777" w:rsidR="00E73882" w:rsidRPr="00A76167" w:rsidRDefault="00E73882" w:rsidP="00E73882">
            <w:pPr>
              <w:numPr>
                <w:ilvl w:val="0"/>
                <w:numId w:val="26"/>
              </w:numPr>
              <w:autoSpaceDE w:val="0"/>
              <w:autoSpaceDN w:val="0"/>
              <w:adjustRightInd w:val="0"/>
              <w:spacing w:after="0"/>
              <w:ind w:left="360"/>
              <w:textboxTightWrap w:val="none"/>
              <w:rPr>
                <w:rFonts w:cs="Arial"/>
                <w:sz w:val="22"/>
                <w:szCs w:val="22"/>
              </w:rPr>
            </w:pPr>
            <w:r w:rsidRPr="00A76167">
              <w:rPr>
                <w:rFonts w:cs="Arial"/>
                <w:sz w:val="22"/>
                <w:szCs w:val="22"/>
              </w:rPr>
              <w:t xml:space="preserve">Data from the Organisation Patient Safety Incident Workbook is publicly available. </w:t>
            </w:r>
          </w:p>
          <w:p w14:paraId="56726BE9" w14:textId="77777777" w:rsidR="00E73882" w:rsidRPr="00A76167" w:rsidRDefault="00E73882" w:rsidP="00E73882">
            <w:pPr>
              <w:numPr>
                <w:ilvl w:val="0"/>
                <w:numId w:val="26"/>
              </w:numPr>
              <w:autoSpaceDE w:val="0"/>
              <w:autoSpaceDN w:val="0"/>
              <w:adjustRightInd w:val="0"/>
              <w:spacing w:after="0"/>
              <w:ind w:left="360"/>
              <w:textboxTightWrap w:val="none"/>
              <w:rPr>
                <w:rFonts w:cs="Arial"/>
                <w:sz w:val="22"/>
                <w:szCs w:val="22"/>
              </w:rPr>
            </w:pPr>
            <w:r w:rsidRPr="00A76167">
              <w:rPr>
                <w:rFonts w:cs="Arial"/>
                <w:sz w:val="22"/>
                <w:szCs w:val="22"/>
              </w:rPr>
              <w:t xml:space="preserve">These data have historically been reported to the National Patient Safety Agency (NPSA) by the National Reporting and Learning System (NRLS). This has transitioned to Imperial College as stated above.   </w:t>
            </w:r>
          </w:p>
          <w:p w14:paraId="7EA2AFEB" w14:textId="77777777" w:rsidR="00E73882" w:rsidRPr="00A76167" w:rsidRDefault="00706C33" w:rsidP="00E73882">
            <w:pPr>
              <w:ind w:left="360"/>
              <w:rPr>
                <w:rStyle w:val="Hyperlink"/>
                <w:rFonts w:ascii="Arial" w:eastAsia="MS Mincho" w:hAnsi="Arial" w:cs="Arial"/>
                <w:color w:val="auto"/>
                <w:sz w:val="22"/>
                <w:szCs w:val="22"/>
              </w:rPr>
            </w:pPr>
            <w:hyperlink r:id="rId31" w:history="1">
              <w:r w:rsidR="00E73882" w:rsidRPr="00A76167">
                <w:rPr>
                  <w:rStyle w:val="Hyperlink"/>
                  <w:rFonts w:ascii="Arial" w:eastAsia="MS Mincho" w:hAnsi="Arial" w:cs="Arial"/>
                  <w:color w:val="auto"/>
                  <w:sz w:val="22"/>
                  <w:szCs w:val="22"/>
                </w:rPr>
                <w:t>http://www.nrls.npsa.nhs.uk/patient-safety-data/organisation-patient-safety-incident-reports/directory/</w:t>
              </w:r>
            </w:hyperlink>
          </w:p>
          <w:p w14:paraId="4243C840" w14:textId="77777777" w:rsidR="00E73882" w:rsidRPr="00A76167" w:rsidRDefault="00E73882" w:rsidP="00E73882">
            <w:pPr>
              <w:rPr>
                <w:rFonts w:cs="Arial"/>
                <w:sz w:val="22"/>
                <w:szCs w:val="22"/>
              </w:rPr>
            </w:pPr>
          </w:p>
          <w:p w14:paraId="11AD4B10" w14:textId="3D661F15" w:rsidR="00E73882" w:rsidRPr="00A76167" w:rsidRDefault="00E73882" w:rsidP="00E73882">
            <w:pPr>
              <w:numPr>
                <w:ilvl w:val="0"/>
                <w:numId w:val="26"/>
              </w:numPr>
              <w:autoSpaceDE w:val="0"/>
              <w:autoSpaceDN w:val="0"/>
              <w:adjustRightInd w:val="0"/>
              <w:spacing w:after="0"/>
              <w:ind w:left="360"/>
              <w:rPr>
                <w:rFonts w:cs="Arial"/>
                <w:sz w:val="22"/>
                <w:szCs w:val="22"/>
              </w:rPr>
            </w:pPr>
            <w:r w:rsidRPr="00A76167">
              <w:rPr>
                <w:rFonts w:cs="Arial"/>
                <w:sz w:val="22"/>
                <w:szCs w:val="22"/>
              </w:rPr>
              <w:t>Underlying HES data are held by the HSCIC and are made available to customers via several mechanisms depending on their requirements. These include the publication of aggregated output; a chargeable extract service that covers both bespoke and routine extracts; and direct access via an interrogation tool to the underlying data for certain customers.</w:t>
            </w:r>
            <w:r w:rsidRPr="00A76167">
              <w:rPr>
                <w:rFonts w:cs="Arial"/>
                <w:sz w:val="22"/>
                <w:szCs w:val="22"/>
              </w:rPr>
              <w:br/>
            </w:r>
          </w:p>
        </w:tc>
      </w:tr>
      <w:tr w:rsidR="00E73882" w:rsidRPr="00A76167" w14:paraId="407513C4" w14:textId="77777777" w:rsidTr="00A76167">
        <w:tc>
          <w:tcPr>
            <w:tcW w:w="2119" w:type="dxa"/>
          </w:tcPr>
          <w:p w14:paraId="01B66328" w14:textId="77777777" w:rsidR="00E73882" w:rsidRPr="00A76167" w:rsidRDefault="00E73882" w:rsidP="00E73882">
            <w:pPr>
              <w:rPr>
                <w:rFonts w:cs="Arial"/>
                <w:sz w:val="22"/>
                <w:szCs w:val="22"/>
              </w:rPr>
            </w:pPr>
            <w:r w:rsidRPr="00A76167">
              <w:rPr>
                <w:rFonts w:cs="Arial"/>
                <w:sz w:val="22"/>
                <w:szCs w:val="22"/>
              </w:rPr>
              <w:t>Potential impacts on other business areas [</w:t>
            </w:r>
            <w:proofErr w:type="spellStart"/>
            <w:r w:rsidRPr="00A76167">
              <w:rPr>
                <w:rFonts w:cs="Arial"/>
                <w:sz w:val="22"/>
                <w:szCs w:val="22"/>
              </w:rPr>
              <w:t>inc</w:t>
            </w:r>
            <w:proofErr w:type="spellEnd"/>
            <w:r w:rsidRPr="00A76167">
              <w:rPr>
                <w:rFonts w:cs="Arial"/>
                <w:sz w:val="22"/>
                <w:szCs w:val="22"/>
              </w:rPr>
              <w:t xml:space="preserve"> outstanding generic issues]</w:t>
            </w:r>
          </w:p>
        </w:tc>
        <w:tc>
          <w:tcPr>
            <w:tcW w:w="7804" w:type="dxa"/>
          </w:tcPr>
          <w:p w14:paraId="4D06A902" w14:textId="77777777" w:rsidR="00E73882" w:rsidRPr="00A76167" w:rsidRDefault="00E73882" w:rsidP="00E73882">
            <w:pPr>
              <w:rPr>
                <w:rFonts w:cs="Arial"/>
                <w:sz w:val="22"/>
                <w:szCs w:val="22"/>
              </w:rPr>
            </w:pPr>
            <w:r w:rsidRPr="00A76167">
              <w:rPr>
                <w:rFonts w:cs="Arial"/>
                <w:sz w:val="22"/>
                <w:szCs w:val="22"/>
              </w:rPr>
              <w:t xml:space="preserve">A similar indicator exists in the NHS Outcomes Framework, upon which this indicator is based. It provides quarterly counts of patient safety incidents at a national level and bi-annual counts at PCT/trust level.  </w:t>
            </w:r>
          </w:p>
          <w:p w14:paraId="138E8367" w14:textId="77777777" w:rsidR="00E73882" w:rsidRPr="00A76167" w:rsidRDefault="00E73882" w:rsidP="00E73882">
            <w:pPr>
              <w:rPr>
                <w:rFonts w:cs="Arial"/>
                <w:sz w:val="22"/>
                <w:szCs w:val="22"/>
              </w:rPr>
            </w:pPr>
            <w:r w:rsidRPr="00A76167">
              <w:rPr>
                <w:rFonts w:cs="Arial"/>
                <w:sz w:val="22"/>
                <w:szCs w:val="22"/>
              </w:rPr>
              <w:t xml:space="preserve">Indicator NHSOF 5a Patient Safety Incident Reporting) is available on the HSCIC Indicator Portal:  </w:t>
            </w:r>
          </w:p>
          <w:p w14:paraId="5D53D072" w14:textId="77777777" w:rsidR="00E73882" w:rsidRPr="00A76167" w:rsidRDefault="00706C33" w:rsidP="00E73882">
            <w:pPr>
              <w:rPr>
                <w:rFonts w:cs="Arial"/>
                <w:sz w:val="22"/>
                <w:szCs w:val="22"/>
              </w:rPr>
            </w:pPr>
            <w:hyperlink r:id="rId32" w:history="1">
              <w:r w:rsidR="00E73882" w:rsidRPr="00A76167">
                <w:rPr>
                  <w:rFonts w:cs="Arial"/>
                  <w:b/>
                  <w:sz w:val="22"/>
                  <w:szCs w:val="22"/>
                </w:rPr>
                <w:t>http://indicators.ic.nhs.uk/webview/</w:t>
              </w:r>
            </w:hyperlink>
            <w:r w:rsidR="00E73882" w:rsidRPr="00A76167">
              <w:rPr>
                <w:rFonts w:cs="Arial"/>
                <w:sz w:val="22"/>
                <w:szCs w:val="22"/>
              </w:rPr>
              <w:t>.</w:t>
            </w:r>
          </w:p>
          <w:p w14:paraId="737090EF" w14:textId="77777777" w:rsidR="00E73882" w:rsidRPr="00A76167" w:rsidRDefault="00E73882" w:rsidP="00E73882">
            <w:pPr>
              <w:rPr>
                <w:rFonts w:cs="Arial"/>
                <w:sz w:val="22"/>
                <w:szCs w:val="22"/>
              </w:rPr>
            </w:pPr>
          </w:p>
        </w:tc>
      </w:tr>
      <w:tr w:rsidR="00E73882" w:rsidRPr="00A76167" w14:paraId="74472BE3" w14:textId="77777777" w:rsidTr="00A76167">
        <w:tc>
          <w:tcPr>
            <w:tcW w:w="2119" w:type="dxa"/>
          </w:tcPr>
          <w:p w14:paraId="66841241" w14:textId="77777777" w:rsidR="00E73882" w:rsidRPr="00A76167" w:rsidRDefault="00E73882" w:rsidP="00E73882">
            <w:pPr>
              <w:rPr>
                <w:rFonts w:cs="Arial"/>
                <w:sz w:val="22"/>
                <w:szCs w:val="22"/>
              </w:rPr>
            </w:pPr>
            <w:r w:rsidRPr="00A76167">
              <w:rPr>
                <w:rFonts w:cs="Arial"/>
                <w:sz w:val="22"/>
                <w:szCs w:val="22"/>
              </w:rPr>
              <w:t>Implementation Method</w:t>
            </w:r>
          </w:p>
          <w:p w14:paraId="73BD2F76" w14:textId="77777777" w:rsidR="00E73882" w:rsidRPr="00A76167" w:rsidRDefault="00E73882" w:rsidP="00E73882">
            <w:pPr>
              <w:rPr>
                <w:rFonts w:cs="Arial"/>
                <w:i/>
                <w:sz w:val="22"/>
                <w:szCs w:val="22"/>
              </w:rPr>
            </w:pPr>
            <w:r w:rsidRPr="00A76167">
              <w:rPr>
                <w:rFonts w:cs="Arial"/>
                <w:sz w:val="22"/>
                <w:szCs w:val="22"/>
              </w:rPr>
              <w:t>[</w:t>
            </w:r>
            <w:proofErr w:type="spellStart"/>
            <w:r w:rsidRPr="00A76167">
              <w:rPr>
                <w:rFonts w:cs="Arial"/>
                <w:sz w:val="22"/>
                <w:szCs w:val="22"/>
              </w:rPr>
              <w:t>inc</w:t>
            </w:r>
            <w:proofErr w:type="spellEnd"/>
            <w:r w:rsidRPr="00A76167">
              <w:rPr>
                <w:rFonts w:cs="Arial"/>
                <w:sz w:val="22"/>
                <w:szCs w:val="22"/>
              </w:rPr>
              <w:t xml:space="preserve"> production funding]</w:t>
            </w:r>
          </w:p>
        </w:tc>
        <w:tc>
          <w:tcPr>
            <w:tcW w:w="7804" w:type="dxa"/>
          </w:tcPr>
          <w:p w14:paraId="3BD2B8A1" w14:textId="77777777" w:rsidR="00E73882" w:rsidRPr="00A76167" w:rsidRDefault="00E73882" w:rsidP="00E73882">
            <w:pPr>
              <w:rPr>
                <w:rFonts w:cs="Arial"/>
                <w:sz w:val="22"/>
                <w:szCs w:val="22"/>
              </w:rPr>
            </w:pPr>
            <w:r w:rsidRPr="00A76167">
              <w:rPr>
                <w:rFonts w:cs="Arial"/>
                <w:sz w:val="22"/>
                <w:szCs w:val="22"/>
              </w:rPr>
              <w:t>This indicator makes use of an existing data collection, so there are no additional data collection cost implications or burden.</w:t>
            </w:r>
          </w:p>
          <w:p w14:paraId="1E01CE95" w14:textId="77777777" w:rsidR="00E73882" w:rsidRPr="00A76167" w:rsidRDefault="00E73882" w:rsidP="00E73882">
            <w:pPr>
              <w:rPr>
                <w:rFonts w:cs="Arial"/>
                <w:sz w:val="22"/>
                <w:szCs w:val="22"/>
              </w:rPr>
            </w:pPr>
          </w:p>
          <w:p w14:paraId="465EF8A7" w14:textId="57EADAB9" w:rsidR="00E73882" w:rsidRPr="00A76167" w:rsidRDefault="00E73882" w:rsidP="00E73882">
            <w:pPr>
              <w:rPr>
                <w:rFonts w:cs="Arial"/>
                <w:sz w:val="22"/>
                <w:szCs w:val="22"/>
              </w:rPr>
            </w:pPr>
            <w:r w:rsidRPr="00A76167">
              <w:rPr>
                <w:rFonts w:cs="Arial"/>
                <w:sz w:val="22"/>
                <w:szCs w:val="22"/>
              </w:rPr>
              <w:t>NHS England has commissioned HSCIC to produce and disseminate the CCG OIS indicators; this is funded via the Grant in Aid funding to HSCIC.</w:t>
            </w:r>
          </w:p>
          <w:p w14:paraId="4476064B" w14:textId="77777777" w:rsidR="00E73882" w:rsidRPr="00A76167" w:rsidRDefault="00E73882" w:rsidP="00E73882">
            <w:pPr>
              <w:rPr>
                <w:rFonts w:cs="Arial"/>
                <w:sz w:val="22"/>
                <w:szCs w:val="22"/>
              </w:rPr>
            </w:pPr>
          </w:p>
          <w:p w14:paraId="7EDC4D19" w14:textId="77777777" w:rsidR="00E73882" w:rsidRPr="00A76167" w:rsidRDefault="00E73882" w:rsidP="00E73882">
            <w:pPr>
              <w:rPr>
                <w:rFonts w:cs="Arial"/>
                <w:sz w:val="22"/>
                <w:szCs w:val="22"/>
              </w:rPr>
            </w:pPr>
            <w:r w:rsidRPr="00A76167">
              <w:rPr>
                <w:rFonts w:cs="Arial"/>
                <w:sz w:val="22"/>
                <w:szCs w:val="22"/>
              </w:rPr>
              <w:t xml:space="preserve">Collection of the data for the CCG OIS is via existing data collections, in this case HES. Testing and specification of the indicators is carried out by the </w:t>
            </w:r>
            <w:r w:rsidRPr="00A76167">
              <w:rPr>
                <w:rFonts w:cs="Arial"/>
                <w:sz w:val="22"/>
                <w:szCs w:val="22"/>
              </w:rPr>
              <w:lastRenderedPageBreak/>
              <w:t>Specification Development Service and construction of the indicators is provided by Clinical Indicators via the CI Platform.</w:t>
            </w:r>
          </w:p>
          <w:p w14:paraId="6486C0D3" w14:textId="77777777" w:rsidR="00E73882" w:rsidRPr="00A76167" w:rsidRDefault="00E73882" w:rsidP="00E73882">
            <w:pPr>
              <w:rPr>
                <w:rFonts w:cs="Arial"/>
                <w:sz w:val="22"/>
                <w:szCs w:val="22"/>
              </w:rPr>
            </w:pPr>
          </w:p>
          <w:p w14:paraId="20A04B86" w14:textId="77777777" w:rsidR="00E73882" w:rsidRPr="00A76167" w:rsidRDefault="00E73882" w:rsidP="00E73882">
            <w:pPr>
              <w:rPr>
                <w:rFonts w:cs="Arial"/>
                <w:sz w:val="22"/>
                <w:szCs w:val="22"/>
              </w:rPr>
            </w:pPr>
            <w:r w:rsidRPr="00A76167">
              <w:rPr>
                <w:rFonts w:cs="Arial"/>
                <w:sz w:val="22"/>
                <w:szCs w:val="22"/>
              </w:rPr>
              <w:t>Dissemination and presentation of the CCG OIS will be via a number of routes:</w:t>
            </w:r>
          </w:p>
          <w:p w14:paraId="407E2A99" w14:textId="3C72E4D5" w:rsidR="00E73882" w:rsidRPr="00A76167" w:rsidRDefault="00E73882" w:rsidP="00E73882">
            <w:pPr>
              <w:pStyle w:val="ListParagraph"/>
              <w:numPr>
                <w:ilvl w:val="0"/>
                <w:numId w:val="38"/>
              </w:numPr>
              <w:spacing w:after="0"/>
              <w:contextualSpacing/>
              <w:textboxTightWrap w:val="none"/>
              <w:rPr>
                <w:rFonts w:cs="Arial"/>
                <w:sz w:val="22"/>
                <w:szCs w:val="22"/>
              </w:rPr>
            </w:pPr>
            <w:r w:rsidRPr="00A76167">
              <w:rPr>
                <w:rFonts w:cs="Arial"/>
                <w:sz w:val="22"/>
                <w:szCs w:val="22"/>
              </w:rPr>
              <w:t xml:space="preserve">The indicators and their underlying data will be made publicly available via the HSCIC website and the Indicator Portal. </w:t>
            </w:r>
          </w:p>
          <w:p w14:paraId="4334FE08" w14:textId="77777777" w:rsidR="00E73882" w:rsidRPr="00A76167" w:rsidRDefault="00E73882" w:rsidP="00E73882">
            <w:pPr>
              <w:pStyle w:val="ListParagraph"/>
              <w:numPr>
                <w:ilvl w:val="0"/>
                <w:numId w:val="38"/>
              </w:numPr>
              <w:spacing w:after="0"/>
              <w:contextualSpacing/>
              <w:textboxTightWrap w:val="none"/>
              <w:rPr>
                <w:rFonts w:cs="Arial"/>
                <w:sz w:val="22"/>
                <w:szCs w:val="22"/>
              </w:rPr>
            </w:pPr>
            <w:r w:rsidRPr="00A76167">
              <w:rPr>
                <w:rFonts w:cs="Arial"/>
                <w:sz w:val="22"/>
                <w:szCs w:val="22"/>
              </w:rPr>
              <w:t>The data will also be provided to NHS England for use in their internal Intelligence Tool.</w:t>
            </w:r>
          </w:p>
          <w:p w14:paraId="63025990" w14:textId="77777777" w:rsidR="00E73882" w:rsidRPr="00A76167" w:rsidRDefault="00E73882" w:rsidP="00E73882">
            <w:pPr>
              <w:pStyle w:val="ListParagraph"/>
              <w:numPr>
                <w:ilvl w:val="0"/>
                <w:numId w:val="38"/>
              </w:numPr>
              <w:spacing w:after="0"/>
              <w:contextualSpacing/>
              <w:textboxTightWrap w:val="none"/>
              <w:rPr>
                <w:rFonts w:cs="Arial"/>
                <w:sz w:val="22"/>
                <w:szCs w:val="22"/>
              </w:rPr>
            </w:pPr>
            <w:r w:rsidRPr="00A76167">
              <w:rPr>
                <w:rFonts w:cs="Arial"/>
                <w:sz w:val="22"/>
                <w:szCs w:val="22"/>
              </w:rPr>
              <w:t>Subject to confirmation by NHS England, the calculated indicator, numerator and denominator for CCGs will be supplied by messaging to the Calculating Quality Reporting Service (CQRS) for use by CCGs as part of their management information</w:t>
            </w:r>
          </w:p>
          <w:p w14:paraId="6C32CF4A" w14:textId="77777777" w:rsidR="00E73882" w:rsidRPr="00A76167" w:rsidRDefault="00E73882" w:rsidP="00E73882">
            <w:pPr>
              <w:rPr>
                <w:rFonts w:cs="Arial"/>
                <w:sz w:val="22"/>
                <w:szCs w:val="22"/>
              </w:rPr>
            </w:pPr>
          </w:p>
        </w:tc>
      </w:tr>
    </w:tbl>
    <w:p w14:paraId="696B93C8" w14:textId="77777777" w:rsidR="00BC0269" w:rsidRPr="00A76167" w:rsidRDefault="00BC0269" w:rsidP="00A76167">
      <w:pPr>
        <w:rPr>
          <w:rFonts w:cs="Arial"/>
          <w:sz w:val="22"/>
          <w:szCs w:val="22"/>
        </w:rPr>
      </w:pPr>
    </w:p>
    <w:p w14:paraId="5F114449" w14:textId="750B9177" w:rsidR="00BC0269" w:rsidRPr="00A76167" w:rsidRDefault="00E73882" w:rsidP="00A76167">
      <w:pPr>
        <w:rPr>
          <w:rFonts w:cs="Arial"/>
          <w:sz w:val="22"/>
          <w:szCs w:val="22"/>
        </w:rPr>
      </w:pPr>
      <w:r w:rsidRPr="00A76167">
        <w:rPr>
          <w:rFonts w:cs="Arial"/>
          <w:b/>
          <w:sz w:val="22"/>
          <w:szCs w:val="22"/>
        </w:rPr>
        <w:t>Development Advice / Peer Review (undertaken as part of assurance process)</w:t>
      </w:r>
    </w:p>
    <w:tbl>
      <w:tblPr>
        <w:tblStyle w:val="TableGrid"/>
        <w:tblW w:w="9923" w:type="dxa"/>
        <w:tblLayout w:type="fixed"/>
        <w:tblLook w:val="01E0" w:firstRow="1" w:lastRow="1" w:firstColumn="1" w:lastColumn="1" w:noHBand="0" w:noVBand="0"/>
      </w:tblPr>
      <w:tblGrid>
        <w:gridCol w:w="2119"/>
        <w:gridCol w:w="7804"/>
      </w:tblGrid>
      <w:tr w:rsidR="00A76167" w:rsidRPr="00A76167" w14:paraId="135F161C" w14:textId="77777777" w:rsidTr="00A76167">
        <w:trPr>
          <w:trHeight w:val="404"/>
        </w:trPr>
        <w:tc>
          <w:tcPr>
            <w:tcW w:w="2119" w:type="dxa"/>
          </w:tcPr>
          <w:p w14:paraId="5908B047" w14:textId="77777777" w:rsidR="00BC0269" w:rsidRPr="00A76167" w:rsidRDefault="00BC0269" w:rsidP="00A76167">
            <w:pPr>
              <w:rPr>
                <w:rFonts w:cs="Arial"/>
                <w:sz w:val="22"/>
                <w:szCs w:val="22"/>
              </w:rPr>
            </w:pPr>
            <w:r w:rsidRPr="00A76167">
              <w:rPr>
                <w:rFonts w:cs="Arial"/>
                <w:sz w:val="22"/>
                <w:szCs w:val="22"/>
              </w:rPr>
              <w:t>Range of input during development</w:t>
            </w:r>
          </w:p>
        </w:tc>
        <w:tc>
          <w:tcPr>
            <w:tcW w:w="7804" w:type="dxa"/>
          </w:tcPr>
          <w:p w14:paraId="3D5F7D84" w14:textId="77777777" w:rsidR="00BC0269" w:rsidRPr="00A76167" w:rsidRDefault="00BC0269" w:rsidP="00A76167">
            <w:pPr>
              <w:rPr>
                <w:rFonts w:cs="Arial"/>
                <w:sz w:val="22"/>
                <w:szCs w:val="22"/>
              </w:rPr>
            </w:pPr>
            <w:r w:rsidRPr="00A76167">
              <w:rPr>
                <w:rFonts w:cs="Arial"/>
                <w:sz w:val="22"/>
                <w:szCs w:val="22"/>
              </w:rPr>
              <w:t>Similar indicator previously considered for use in NHS Outcomes Framework and subject to assurance through the HSCIC Indicator Assurance process.</w:t>
            </w:r>
          </w:p>
        </w:tc>
      </w:tr>
      <w:tr w:rsidR="00A76167" w:rsidRPr="00A76167" w14:paraId="5E02D425" w14:textId="77777777" w:rsidTr="00A76167">
        <w:trPr>
          <w:trHeight w:val="413"/>
        </w:trPr>
        <w:tc>
          <w:tcPr>
            <w:tcW w:w="2119" w:type="dxa"/>
          </w:tcPr>
          <w:p w14:paraId="41DFEBE4" w14:textId="77777777" w:rsidR="00BC0269" w:rsidRPr="00A76167" w:rsidRDefault="00BC0269" w:rsidP="00A76167">
            <w:pPr>
              <w:rPr>
                <w:rFonts w:cs="Arial"/>
                <w:sz w:val="22"/>
                <w:szCs w:val="22"/>
              </w:rPr>
            </w:pPr>
            <w:r w:rsidRPr="00A76167">
              <w:rPr>
                <w:rFonts w:cs="Arial"/>
                <w:sz w:val="22"/>
                <w:szCs w:val="22"/>
              </w:rPr>
              <w:t>Assurance Service</w:t>
            </w:r>
          </w:p>
          <w:p w14:paraId="46695AC0" w14:textId="77777777" w:rsidR="00BC0269" w:rsidRPr="00A76167" w:rsidRDefault="00BC0269" w:rsidP="00A76167">
            <w:pPr>
              <w:rPr>
                <w:rFonts w:cs="Arial"/>
                <w:i/>
                <w:sz w:val="22"/>
                <w:szCs w:val="22"/>
              </w:rPr>
            </w:pPr>
            <w:r w:rsidRPr="00A76167">
              <w:rPr>
                <w:rFonts w:cs="Arial"/>
                <w:sz w:val="22"/>
                <w:szCs w:val="22"/>
              </w:rPr>
              <w:t>Peer Reviewers:</w:t>
            </w:r>
          </w:p>
        </w:tc>
        <w:tc>
          <w:tcPr>
            <w:tcW w:w="7804" w:type="dxa"/>
          </w:tcPr>
          <w:p w14:paraId="52CB582F" w14:textId="77777777" w:rsidR="00BC0269" w:rsidRPr="00A76167" w:rsidRDefault="00BC0269" w:rsidP="00A76167">
            <w:pPr>
              <w:rPr>
                <w:rFonts w:cs="Arial"/>
                <w:sz w:val="22"/>
                <w:szCs w:val="22"/>
              </w:rPr>
            </w:pPr>
            <w:r w:rsidRPr="00A76167">
              <w:rPr>
                <w:rFonts w:cs="Arial"/>
                <w:sz w:val="22"/>
                <w:szCs w:val="22"/>
              </w:rPr>
              <w:t>No peer review currently undertaken</w:t>
            </w:r>
          </w:p>
        </w:tc>
      </w:tr>
      <w:tr w:rsidR="00A76167" w:rsidRPr="00A76167" w14:paraId="73CFB472" w14:textId="77777777" w:rsidTr="00A76167">
        <w:trPr>
          <w:trHeight w:val="413"/>
        </w:trPr>
        <w:tc>
          <w:tcPr>
            <w:tcW w:w="2119" w:type="dxa"/>
          </w:tcPr>
          <w:p w14:paraId="2D917DD0" w14:textId="77777777" w:rsidR="00BC0269" w:rsidRPr="00A76167" w:rsidRDefault="00BC0269" w:rsidP="00A76167">
            <w:pPr>
              <w:rPr>
                <w:rFonts w:cs="Arial"/>
                <w:sz w:val="22"/>
                <w:szCs w:val="22"/>
              </w:rPr>
            </w:pPr>
            <w:r w:rsidRPr="00A76167">
              <w:rPr>
                <w:rFonts w:cs="Arial"/>
                <w:sz w:val="22"/>
                <w:szCs w:val="22"/>
              </w:rPr>
              <w:t>Peer Review summary:</w:t>
            </w:r>
          </w:p>
        </w:tc>
        <w:tc>
          <w:tcPr>
            <w:tcW w:w="7804" w:type="dxa"/>
          </w:tcPr>
          <w:p w14:paraId="41945D65" w14:textId="77777777" w:rsidR="00BC0269" w:rsidRPr="00A76167" w:rsidRDefault="00BC0269" w:rsidP="00A76167">
            <w:pPr>
              <w:spacing w:after="120"/>
              <w:rPr>
                <w:rFonts w:cs="Arial"/>
                <w:sz w:val="22"/>
                <w:szCs w:val="22"/>
              </w:rPr>
            </w:pPr>
            <w:r w:rsidRPr="00A76167">
              <w:rPr>
                <w:rFonts w:cs="Arial"/>
                <w:sz w:val="22"/>
                <w:szCs w:val="22"/>
              </w:rPr>
              <w:t>-</w:t>
            </w:r>
          </w:p>
        </w:tc>
      </w:tr>
    </w:tbl>
    <w:p w14:paraId="024A6192" w14:textId="77777777" w:rsidR="00BC0269" w:rsidRPr="00A76167" w:rsidRDefault="00BC0269" w:rsidP="00A76167">
      <w:pPr>
        <w:rPr>
          <w:rFonts w:cs="Arial"/>
          <w:sz w:val="22"/>
          <w:szCs w:val="22"/>
        </w:rPr>
      </w:pPr>
    </w:p>
    <w:p w14:paraId="7A8DBDBB" w14:textId="1811C890" w:rsidR="00BC0269" w:rsidRPr="00A76167" w:rsidRDefault="00E73882" w:rsidP="00A76167">
      <w:pPr>
        <w:rPr>
          <w:rFonts w:cs="Arial"/>
          <w:sz w:val="22"/>
          <w:szCs w:val="22"/>
        </w:rPr>
      </w:pPr>
      <w:r w:rsidRPr="00A76167">
        <w:rPr>
          <w:rFonts w:cs="Arial"/>
          <w:b/>
          <w:sz w:val="22"/>
          <w:szCs w:val="22"/>
        </w:rPr>
        <w:t>Record of MRG Discussion</w:t>
      </w:r>
    </w:p>
    <w:tbl>
      <w:tblPr>
        <w:tblStyle w:val="TableGrid"/>
        <w:tblW w:w="9923" w:type="dxa"/>
        <w:tblLayout w:type="fixed"/>
        <w:tblLook w:val="01E0" w:firstRow="1" w:lastRow="1" w:firstColumn="1" w:lastColumn="1" w:noHBand="0" w:noVBand="0"/>
      </w:tblPr>
      <w:tblGrid>
        <w:gridCol w:w="2119"/>
        <w:gridCol w:w="7804"/>
      </w:tblGrid>
      <w:tr w:rsidR="00E73882" w:rsidRPr="00A76167" w14:paraId="4184CB2F" w14:textId="77777777" w:rsidTr="00A76167">
        <w:tc>
          <w:tcPr>
            <w:tcW w:w="2119" w:type="dxa"/>
          </w:tcPr>
          <w:p w14:paraId="477D2592" w14:textId="1D40F387" w:rsidR="00E73882" w:rsidRPr="00A76167" w:rsidRDefault="00E73882" w:rsidP="00A76167">
            <w:pPr>
              <w:rPr>
                <w:rFonts w:cs="Arial"/>
                <w:sz w:val="22"/>
                <w:szCs w:val="22"/>
              </w:rPr>
            </w:pPr>
            <w:r w:rsidRPr="00A76167">
              <w:rPr>
                <w:rFonts w:cs="Arial"/>
                <w:sz w:val="22"/>
                <w:szCs w:val="22"/>
              </w:rPr>
              <w:t>Discussion dates:</w:t>
            </w:r>
          </w:p>
        </w:tc>
        <w:tc>
          <w:tcPr>
            <w:tcW w:w="7804" w:type="dxa"/>
          </w:tcPr>
          <w:p w14:paraId="0C3ED3BE" w14:textId="77777777" w:rsidR="00E73882" w:rsidRPr="00A76167" w:rsidRDefault="00E73882" w:rsidP="00E73882">
            <w:pPr>
              <w:rPr>
                <w:rFonts w:cs="Arial"/>
                <w:sz w:val="22"/>
                <w:szCs w:val="22"/>
              </w:rPr>
            </w:pPr>
            <w:r w:rsidRPr="00A76167">
              <w:rPr>
                <w:rFonts w:cs="Arial"/>
                <w:sz w:val="22"/>
                <w:szCs w:val="22"/>
              </w:rPr>
              <w:t>26/10/12</w:t>
            </w:r>
          </w:p>
          <w:p w14:paraId="27173CD0" w14:textId="614DDD9D" w:rsidR="00E73882" w:rsidRPr="00A76167" w:rsidRDefault="00E73882" w:rsidP="00E73882">
            <w:pPr>
              <w:rPr>
                <w:rFonts w:cs="Arial"/>
                <w:sz w:val="22"/>
                <w:szCs w:val="22"/>
              </w:rPr>
            </w:pPr>
            <w:r w:rsidRPr="00A76167">
              <w:rPr>
                <w:rFonts w:cs="Arial"/>
                <w:sz w:val="22"/>
                <w:szCs w:val="22"/>
              </w:rPr>
              <w:t>03/05/13</w:t>
            </w:r>
          </w:p>
        </w:tc>
      </w:tr>
      <w:tr w:rsidR="00E73882" w:rsidRPr="00A76167" w14:paraId="313ACB6F" w14:textId="77777777" w:rsidTr="00A76167">
        <w:tc>
          <w:tcPr>
            <w:tcW w:w="2119" w:type="dxa"/>
          </w:tcPr>
          <w:p w14:paraId="5E2297BD" w14:textId="780778CA" w:rsidR="00E73882" w:rsidRPr="00A76167" w:rsidRDefault="00E73882" w:rsidP="00A76167">
            <w:pPr>
              <w:rPr>
                <w:rFonts w:cs="Arial"/>
                <w:sz w:val="22"/>
                <w:szCs w:val="22"/>
              </w:rPr>
            </w:pPr>
            <w:r w:rsidRPr="00A76167">
              <w:rPr>
                <w:rFonts w:cs="Arial"/>
                <w:sz w:val="22"/>
                <w:szCs w:val="22"/>
              </w:rPr>
              <w:t>By:</w:t>
            </w:r>
          </w:p>
        </w:tc>
        <w:tc>
          <w:tcPr>
            <w:tcW w:w="7804" w:type="dxa"/>
          </w:tcPr>
          <w:p w14:paraId="1453A948" w14:textId="77777777" w:rsidR="00E73882" w:rsidRPr="00A76167" w:rsidRDefault="00E73882" w:rsidP="00E73882">
            <w:pPr>
              <w:rPr>
                <w:rFonts w:cs="Arial"/>
                <w:sz w:val="22"/>
                <w:szCs w:val="22"/>
                <w:highlight w:val="yellow"/>
              </w:rPr>
            </w:pPr>
            <w:r w:rsidRPr="00A76167">
              <w:rPr>
                <w:rFonts w:cs="Arial"/>
                <w:sz w:val="22"/>
                <w:szCs w:val="22"/>
              </w:rPr>
              <w:t xml:space="preserve">John </w:t>
            </w:r>
            <w:proofErr w:type="spellStart"/>
            <w:r w:rsidRPr="00A76167">
              <w:rPr>
                <w:rFonts w:cs="Arial"/>
                <w:sz w:val="22"/>
                <w:szCs w:val="22"/>
              </w:rPr>
              <w:t>Varlow</w:t>
            </w:r>
            <w:proofErr w:type="spellEnd"/>
            <w:r w:rsidRPr="00A76167">
              <w:rPr>
                <w:rFonts w:cs="Arial"/>
                <w:sz w:val="22"/>
                <w:szCs w:val="22"/>
              </w:rPr>
              <w:tab/>
              <w:t>HSCIC</w:t>
            </w:r>
            <w:r w:rsidRPr="00A76167">
              <w:rPr>
                <w:rFonts w:cs="Arial"/>
                <w:sz w:val="22"/>
                <w:szCs w:val="22"/>
              </w:rPr>
              <w:tab/>
              <w:t>Director of Information &amp; Analysis</w:t>
            </w:r>
          </w:p>
          <w:p w14:paraId="6891DE95" w14:textId="77777777" w:rsidR="00E73882" w:rsidRPr="00A76167" w:rsidRDefault="00E73882" w:rsidP="00E73882">
            <w:pPr>
              <w:rPr>
                <w:rFonts w:cs="Arial"/>
                <w:sz w:val="22"/>
                <w:szCs w:val="22"/>
              </w:rPr>
            </w:pPr>
            <w:r w:rsidRPr="00A76167">
              <w:rPr>
                <w:rFonts w:cs="Arial"/>
                <w:sz w:val="22"/>
                <w:szCs w:val="22"/>
              </w:rPr>
              <w:t>Andy Sutherland</w:t>
            </w:r>
            <w:r w:rsidRPr="00A76167">
              <w:rPr>
                <w:rFonts w:cs="Arial"/>
                <w:sz w:val="22"/>
                <w:szCs w:val="22"/>
              </w:rPr>
              <w:tab/>
              <w:t>HSCIC</w:t>
            </w:r>
            <w:r w:rsidRPr="00A76167">
              <w:rPr>
                <w:rFonts w:cs="Arial"/>
                <w:sz w:val="22"/>
                <w:szCs w:val="22"/>
              </w:rPr>
              <w:tab/>
              <w:t>Statistics Head of Profession</w:t>
            </w:r>
          </w:p>
          <w:p w14:paraId="3F14F982" w14:textId="77777777" w:rsidR="00E73882" w:rsidRPr="00A76167" w:rsidRDefault="00E73882" w:rsidP="00E73882">
            <w:pPr>
              <w:rPr>
                <w:rFonts w:cs="Arial"/>
                <w:sz w:val="22"/>
                <w:szCs w:val="22"/>
              </w:rPr>
            </w:pPr>
            <w:r w:rsidRPr="00A76167">
              <w:rPr>
                <w:rFonts w:cs="Arial"/>
                <w:sz w:val="22"/>
                <w:szCs w:val="22"/>
              </w:rPr>
              <w:t>Azim Lakhani</w:t>
            </w:r>
            <w:r w:rsidRPr="00A76167">
              <w:rPr>
                <w:rFonts w:cs="Arial"/>
                <w:sz w:val="22"/>
                <w:szCs w:val="22"/>
              </w:rPr>
              <w:tab/>
              <w:t>HSCIC</w:t>
            </w:r>
            <w:r w:rsidRPr="00A76167">
              <w:rPr>
                <w:rFonts w:cs="Arial"/>
                <w:sz w:val="22"/>
                <w:szCs w:val="22"/>
              </w:rPr>
              <w:tab/>
              <w:t>Head of Clinical Analysis, Research &amp; Development</w:t>
            </w:r>
          </w:p>
          <w:p w14:paraId="22B4C1FA" w14:textId="77777777" w:rsidR="00E73882" w:rsidRPr="00A76167" w:rsidRDefault="00E73882" w:rsidP="00E73882">
            <w:pPr>
              <w:rPr>
                <w:rFonts w:cs="Arial"/>
                <w:sz w:val="22"/>
                <w:szCs w:val="22"/>
              </w:rPr>
            </w:pPr>
            <w:r w:rsidRPr="00A76167">
              <w:rPr>
                <w:rFonts w:cs="Arial"/>
                <w:sz w:val="22"/>
                <w:szCs w:val="22"/>
              </w:rPr>
              <w:t>Alyson Whitmarsh</w:t>
            </w:r>
            <w:r w:rsidRPr="00A76167">
              <w:rPr>
                <w:rFonts w:cs="Arial"/>
                <w:sz w:val="22"/>
                <w:szCs w:val="22"/>
              </w:rPr>
              <w:tab/>
              <w:t>HSCIC</w:t>
            </w:r>
            <w:r w:rsidRPr="00A76167">
              <w:rPr>
                <w:rFonts w:cs="Arial"/>
                <w:sz w:val="22"/>
                <w:szCs w:val="22"/>
              </w:rPr>
              <w:tab/>
              <w:t>Programme Manager, Clinical Audit</w:t>
            </w:r>
          </w:p>
          <w:p w14:paraId="0B824DD1" w14:textId="77777777" w:rsidR="00E73882" w:rsidRPr="00A76167" w:rsidRDefault="00E73882" w:rsidP="00E73882">
            <w:pPr>
              <w:rPr>
                <w:rFonts w:cs="Arial"/>
                <w:sz w:val="22"/>
                <w:szCs w:val="22"/>
              </w:rPr>
            </w:pPr>
            <w:r w:rsidRPr="00A76167">
              <w:rPr>
                <w:rFonts w:cs="Arial"/>
                <w:sz w:val="22"/>
                <w:szCs w:val="22"/>
              </w:rPr>
              <w:t xml:space="preserve">Irene </w:t>
            </w:r>
            <w:proofErr w:type="spellStart"/>
            <w:r w:rsidRPr="00A76167">
              <w:rPr>
                <w:rFonts w:cs="Arial"/>
                <w:sz w:val="22"/>
                <w:szCs w:val="22"/>
              </w:rPr>
              <w:t>Begaj</w:t>
            </w:r>
            <w:proofErr w:type="spellEnd"/>
            <w:r w:rsidRPr="00A76167">
              <w:rPr>
                <w:rFonts w:cs="Arial"/>
                <w:sz w:val="22"/>
                <w:szCs w:val="22"/>
              </w:rPr>
              <w:t xml:space="preserve">               UHB          Statistical Intelligence Analyst</w:t>
            </w:r>
          </w:p>
          <w:p w14:paraId="20F01508" w14:textId="77777777" w:rsidR="00E73882" w:rsidRPr="00A76167" w:rsidRDefault="00E73882" w:rsidP="00E73882">
            <w:pPr>
              <w:rPr>
                <w:rFonts w:cs="Arial"/>
                <w:sz w:val="22"/>
                <w:szCs w:val="22"/>
                <w:highlight w:val="yellow"/>
              </w:rPr>
            </w:pPr>
            <w:r w:rsidRPr="00A76167">
              <w:rPr>
                <w:rFonts w:cs="Arial"/>
                <w:sz w:val="22"/>
                <w:szCs w:val="22"/>
              </w:rPr>
              <w:t>Daniel Sutcliffe        NICE          Programme Manager</w:t>
            </w:r>
          </w:p>
          <w:p w14:paraId="3563A009" w14:textId="77777777" w:rsidR="00E73882" w:rsidRPr="00A76167" w:rsidRDefault="00E73882" w:rsidP="00E73882">
            <w:pPr>
              <w:rPr>
                <w:rFonts w:cs="Arial"/>
                <w:sz w:val="22"/>
                <w:szCs w:val="22"/>
              </w:rPr>
            </w:pPr>
            <w:r w:rsidRPr="00A76167">
              <w:rPr>
                <w:rFonts w:cs="Arial"/>
                <w:sz w:val="22"/>
                <w:szCs w:val="22"/>
              </w:rPr>
              <w:t>Jonathon Hope</w:t>
            </w:r>
            <w:r w:rsidRPr="00A76167">
              <w:rPr>
                <w:rFonts w:cs="Arial"/>
                <w:sz w:val="22"/>
                <w:szCs w:val="22"/>
              </w:rPr>
              <w:tab/>
              <w:t>HSCIC</w:t>
            </w:r>
            <w:r w:rsidRPr="00A76167">
              <w:rPr>
                <w:rFonts w:cs="Arial"/>
                <w:sz w:val="22"/>
                <w:szCs w:val="22"/>
              </w:rPr>
              <w:tab/>
              <w:t>Principal Information Analyst, Clinical Audit</w:t>
            </w:r>
          </w:p>
          <w:p w14:paraId="70240759" w14:textId="77777777" w:rsidR="00E73882" w:rsidRPr="00A76167" w:rsidRDefault="00E73882" w:rsidP="00A76167">
            <w:pPr>
              <w:rPr>
                <w:rFonts w:cs="Arial"/>
                <w:i/>
                <w:sz w:val="22"/>
                <w:szCs w:val="22"/>
                <w:u w:val="single"/>
              </w:rPr>
            </w:pPr>
          </w:p>
        </w:tc>
      </w:tr>
      <w:tr w:rsidR="00A76167" w:rsidRPr="00A76167" w14:paraId="46F67B03" w14:textId="77777777" w:rsidTr="00A76167">
        <w:tc>
          <w:tcPr>
            <w:tcW w:w="2119" w:type="dxa"/>
          </w:tcPr>
          <w:p w14:paraId="73C0F1D7" w14:textId="77777777" w:rsidR="00BC0269" w:rsidRPr="00A76167" w:rsidRDefault="00BC0269" w:rsidP="00A76167">
            <w:pPr>
              <w:rPr>
                <w:rFonts w:cs="Arial"/>
                <w:sz w:val="22"/>
                <w:szCs w:val="22"/>
              </w:rPr>
            </w:pPr>
            <w:r w:rsidRPr="00A76167">
              <w:rPr>
                <w:rFonts w:cs="Arial"/>
                <w:sz w:val="22"/>
                <w:szCs w:val="22"/>
              </w:rPr>
              <w:t xml:space="preserve">Summary of MRG discussions: </w:t>
            </w:r>
          </w:p>
        </w:tc>
        <w:tc>
          <w:tcPr>
            <w:tcW w:w="7804" w:type="dxa"/>
          </w:tcPr>
          <w:p w14:paraId="4C0ABE7D" w14:textId="77777777" w:rsidR="00BC0269" w:rsidRPr="00A76167" w:rsidRDefault="00BC0269" w:rsidP="00A76167">
            <w:pPr>
              <w:rPr>
                <w:rFonts w:cs="Arial"/>
                <w:i/>
                <w:sz w:val="22"/>
                <w:szCs w:val="22"/>
                <w:u w:val="single"/>
              </w:rPr>
            </w:pPr>
            <w:r w:rsidRPr="00A76167">
              <w:rPr>
                <w:rFonts w:cs="Arial"/>
                <w:i/>
                <w:sz w:val="22"/>
                <w:szCs w:val="22"/>
                <w:u w:val="single"/>
              </w:rPr>
              <w:t>Summary of MRG – 26/10/12</w:t>
            </w:r>
          </w:p>
          <w:p w14:paraId="533AA524" w14:textId="77777777" w:rsidR="00BC0269" w:rsidRPr="00A76167" w:rsidRDefault="00BC0269" w:rsidP="00A76167">
            <w:pPr>
              <w:rPr>
                <w:rFonts w:cs="Arial"/>
                <w:i/>
                <w:sz w:val="22"/>
                <w:szCs w:val="22"/>
                <w:u w:val="single"/>
              </w:rPr>
            </w:pPr>
          </w:p>
          <w:p w14:paraId="0BDE26DB" w14:textId="77777777" w:rsidR="00BC0269" w:rsidRPr="00A76167" w:rsidRDefault="00BC0269" w:rsidP="00A76167">
            <w:pPr>
              <w:rPr>
                <w:rFonts w:cs="Arial"/>
                <w:sz w:val="22"/>
                <w:szCs w:val="22"/>
              </w:rPr>
            </w:pPr>
            <w:r w:rsidRPr="00A76167">
              <w:rPr>
                <w:rFonts w:cs="Arial"/>
                <w:sz w:val="22"/>
                <w:szCs w:val="22"/>
              </w:rPr>
              <w:t xml:space="preserve">An original application describing an attribution method to apportion patient safety incidents to a CCG based on overall inpatient activity at provider level was considered at MRG, however this was subsequently revised based on </w:t>
            </w:r>
            <w:r w:rsidRPr="00A76167">
              <w:rPr>
                <w:rFonts w:cs="Arial"/>
                <w:sz w:val="22"/>
                <w:szCs w:val="22"/>
              </w:rPr>
              <w:lastRenderedPageBreak/>
              <w:t xml:space="preserve">advice from DH.  The revised method using the “five main providers” is described in the calculation summary above and is based on methodology used for the calculation of patient experience indicators in the CCG Outcomes Indicator Set.  </w:t>
            </w:r>
          </w:p>
          <w:p w14:paraId="64854BB1" w14:textId="77777777" w:rsidR="00BC0269" w:rsidRPr="00A76167" w:rsidRDefault="00BC0269" w:rsidP="00A76167">
            <w:pPr>
              <w:rPr>
                <w:rFonts w:cs="Arial"/>
                <w:sz w:val="22"/>
                <w:szCs w:val="22"/>
              </w:rPr>
            </w:pPr>
          </w:p>
          <w:p w14:paraId="68B59E9D" w14:textId="77777777" w:rsidR="00BC0269" w:rsidRPr="00A76167" w:rsidRDefault="00BC0269" w:rsidP="00A76167">
            <w:pPr>
              <w:rPr>
                <w:rFonts w:cs="Arial"/>
                <w:sz w:val="22"/>
                <w:szCs w:val="22"/>
              </w:rPr>
            </w:pPr>
            <w:r w:rsidRPr="00A76167">
              <w:rPr>
                <w:rFonts w:cs="Arial"/>
                <w:sz w:val="22"/>
                <w:szCs w:val="22"/>
              </w:rPr>
              <w:t>A number of wider issues were considered  as part of the initial MRG discussion:</w:t>
            </w:r>
          </w:p>
          <w:p w14:paraId="1A92DAA8" w14:textId="77777777" w:rsidR="00BC0269" w:rsidRPr="00A76167" w:rsidRDefault="00BC0269" w:rsidP="00A76167">
            <w:pPr>
              <w:rPr>
                <w:rFonts w:cs="Arial"/>
                <w:sz w:val="22"/>
                <w:szCs w:val="22"/>
              </w:rPr>
            </w:pPr>
          </w:p>
          <w:p w14:paraId="0EDB2EE8" w14:textId="77777777"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 xml:space="preserve">MRG suggested that further research be carried out on whether it would be better to use bed days rather than admissions for attributing patient safety incidence. It was subsequently evidenced that the use of length of stay or bed days provides a similar correlation between the direct provider-to-CCG rate and the attributed rates as the use of admissions. </w:t>
            </w:r>
          </w:p>
          <w:p w14:paraId="09A345E3" w14:textId="77777777"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The option to use bed days was adopted.</w:t>
            </w:r>
          </w:p>
          <w:p w14:paraId="57BCD381" w14:textId="77777777" w:rsidR="00BC0269" w:rsidRPr="00A76167" w:rsidRDefault="00BC0269" w:rsidP="00A76167">
            <w:pPr>
              <w:rPr>
                <w:rFonts w:cs="Arial"/>
                <w:sz w:val="22"/>
                <w:szCs w:val="22"/>
              </w:rPr>
            </w:pPr>
          </w:p>
          <w:p w14:paraId="020AE4FE" w14:textId="77777777"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MRG asked if there was any base research available on whether particular groups are affected with regards to patient safety. It was also commented that the quality assessment should indicate whether risk adjustment has been considered, although it was suggested risk adjustment was not necessary in this instance.</w:t>
            </w:r>
          </w:p>
          <w:p w14:paraId="76FF91AD" w14:textId="25885056"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 xml:space="preserve">An update was provided highlighting that the NRLS data includes an array of patient safety incidents that can occur in any group.  There are approximately 300k patient safety incidents each quarter and, of those, around 25% (~80k) are classified as ‘Patient Accident’.  </w:t>
            </w:r>
            <w:r w:rsidR="0021513E" w:rsidRPr="00A76167">
              <w:rPr>
                <w:rFonts w:cs="Arial"/>
                <w:sz w:val="22"/>
                <w:szCs w:val="22"/>
              </w:rPr>
              <w:t>Additionally,</w:t>
            </w:r>
            <w:r w:rsidRPr="00A76167">
              <w:rPr>
                <w:rFonts w:cs="Arial"/>
                <w:sz w:val="22"/>
                <w:szCs w:val="22"/>
              </w:rPr>
              <w:t xml:space="preserve"> there are no age breakdowns in NRLS data so it cannot be risk adjusted. </w:t>
            </w:r>
          </w:p>
          <w:p w14:paraId="45849CE6" w14:textId="77777777" w:rsidR="00BC0269" w:rsidRPr="00A76167" w:rsidRDefault="00BC0269" w:rsidP="00A76167">
            <w:pPr>
              <w:rPr>
                <w:rFonts w:cs="Arial"/>
                <w:sz w:val="22"/>
                <w:szCs w:val="22"/>
                <w:highlight w:val="green"/>
              </w:rPr>
            </w:pPr>
          </w:p>
          <w:p w14:paraId="0B84087D" w14:textId="77777777"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MRG recommended that the data source for the indicator should be reviewed when upcoming changes to the HPA data collections come online which are believed to provide direct CCG level data.</w:t>
            </w:r>
          </w:p>
          <w:p w14:paraId="63464A39" w14:textId="14550600" w:rsidR="00BC0269" w:rsidRPr="00A76167" w:rsidRDefault="0021513E" w:rsidP="00BC0269">
            <w:pPr>
              <w:pStyle w:val="ListParagraph"/>
              <w:numPr>
                <w:ilvl w:val="0"/>
                <w:numId w:val="32"/>
              </w:numPr>
              <w:spacing w:after="0"/>
              <w:contextualSpacing/>
              <w:textboxTightWrap w:val="none"/>
              <w:rPr>
                <w:rFonts w:cs="Arial"/>
                <w:sz w:val="22"/>
                <w:szCs w:val="22"/>
              </w:rPr>
            </w:pPr>
            <w:r w:rsidRPr="00A76167">
              <w:rPr>
                <w:rFonts w:cs="Arial"/>
                <w:sz w:val="22"/>
                <w:szCs w:val="22"/>
              </w:rPr>
              <w:t>However,</w:t>
            </w:r>
            <w:r w:rsidR="00BC0269" w:rsidRPr="00A76167">
              <w:rPr>
                <w:rFonts w:cs="Arial"/>
                <w:sz w:val="22"/>
                <w:szCs w:val="22"/>
              </w:rPr>
              <w:t xml:space="preserve"> the developer updated the group that HPA hold no plans to provide the overall ‘Patient Safety Incidents’ figure at CCG level, although other individual patient safety items such as MRSA and </w:t>
            </w:r>
            <w:r w:rsidR="00BC0269" w:rsidRPr="00A76167">
              <w:rPr>
                <w:rFonts w:cs="Arial"/>
                <w:i/>
                <w:sz w:val="22"/>
                <w:szCs w:val="22"/>
              </w:rPr>
              <w:t xml:space="preserve">C. difficile </w:t>
            </w:r>
            <w:r w:rsidR="00BC0269" w:rsidRPr="00A76167">
              <w:rPr>
                <w:rFonts w:cs="Arial"/>
                <w:sz w:val="22"/>
                <w:szCs w:val="22"/>
              </w:rPr>
              <w:t xml:space="preserve">will be reported. </w:t>
            </w:r>
          </w:p>
          <w:p w14:paraId="1A9A49FF" w14:textId="77777777"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The NRLS do not hold any GP Practice data and so cannot provide at CCG level in the foreseeable future.</w:t>
            </w:r>
          </w:p>
          <w:p w14:paraId="2C157495" w14:textId="77777777" w:rsidR="00BC0269" w:rsidRPr="00A76167" w:rsidRDefault="00BC0269" w:rsidP="00A76167">
            <w:pPr>
              <w:rPr>
                <w:rFonts w:cs="Arial"/>
                <w:sz w:val="22"/>
                <w:szCs w:val="22"/>
              </w:rPr>
            </w:pPr>
          </w:p>
          <w:p w14:paraId="4E2653C4" w14:textId="3B94F980" w:rsidR="00BC0269" w:rsidRPr="00A76167" w:rsidRDefault="00BC0269" w:rsidP="00A76167">
            <w:pPr>
              <w:rPr>
                <w:rFonts w:cs="Arial"/>
                <w:sz w:val="22"/>
                <w:szCs w:val="22"/>
              </w:rPr>
            </w:pPr>
          </w:p>
          <w:p w14:paraId="5D3471CC" w14:textId="3FFE9832" w:rsidR="0021513E" w:rsidRPr="00A76167" w:rsidRDefault="0021513E" w:rsidP="00A76167">
            <w:pPr>
              <w:rPr>
                <w:rFonts w:cs="Arial"/>
                <w:sz w:val="22"/>
                <w:szCs w:val="22"/>
              </w:rPr>
            </w:pPr>
          </w:p>
          <w:p w14:paraId="25217E06" w14:textId="10EC6714" w:rsidR="0021513E" w:rsidRPr="00A76167" w:rsidRDefault="0021513E" w:rsidP="00A76167">
            <w:pPr>
              <w:rPr>
                <w:rFonts w:cs="Arial"/>
                <w:sz w:val="22"/>
                <w:szCs w:val="22"/>
              </w:rPr>
            </w:pPr>
          </w:p>
          <w:p w14:paraId="583B14E6" w14:textId="6D9DA2F4" w:rsidR="0021513E" w:rsidRPr="00A76167" w:rsidRDefault="0021513E" w:rsidP="00A76167">
            <w:pPr>
              <w:rPr>
                <w:rFonts w:cs="Arial"/>
                <w:sz w:val="22"/>
                <w:szCs w:val="22"/>
              </w:rPr>
            </w:pPr>
          </w:p>
          <w:p w14:paraId="53815DF4" w14:textId="24FE4876" w:rsidR="0021513E" w:rsidRPr="00A76167" w:rsidRDefault="0021513E" w:rsidP="00A76167">
            <w:pPr>
              <w:rPr>
                <w:rFonts w:cs="Arial"/>
                <w:sz w:val="22"/>
                <w:szCs w:val="22"/>
              </w:rPr>
            </w:pPr>
          </w:p>
          <w:p w14:paraId="4A2EA325" w14:textId="7A3598D5" w:rsidR="0021513E" w:rsidRPr="00A76167" w:rsidRDefault="0021513E" w:rsidP="00A76167">
            <w:pPr>
              <w:rPr>
                <w:rFonts w:cs="Arial"/>
                <w:sz w:val="22"/>
                <w:szCs w:val="22"/>
              </w:rPr>
            </w:pPr>
          </w:p>
          <w:p w14:paraId="32F31FC1" w14:textId="77777777" w:rsidR="0021513E" w:rsidRPr="00A76167" w:rsidRDefault="0021513E" w:rsidP="00A76167">
            <w:pPr>
              <w:rPr>
                <w:rFonts w:cs="Arial"/>
                <w:i/>
                <w:sz w:val="22"/>
                <w:szCs w:val="22"/>
                <w:u w:val="single"/>
              </w:rPr>
            </w:pPr>
          </w:p>
          <w:p w14:paraId="2F6865AA" w14:textId="0F5E6270" w:rsidR="00BC0269" w:rsidRPr="00A76167" w:rsidRDefault="00BC0269" w:rsidP="00A76167">
            <w:pPr>
              <w:rPr>
                <w:rFonts w:cs="Arial"/>
                <w:i/>
                <w:sz w:val="22"/>
                <w:szCs w:val="22"/>
                <w:u w:val="single"/>
              </w:rPr>
            </w:pPr>
            <w:r w:rsidRPr="00A76167">
              <w:rPr>
                <w:rFonts w:cs="Arial"/>
                <w:i/>
                <w:sz w:val="22"/>
                <w:szCs w:val="22"/>
                <w:u w:val="single"/>
              </w:rPr>
              <w:t>Summary of MRG – 03/05/13</w:t>
            </w:r>
          </w:p>
          <w:p w14:paraId="5310EDF8" w14:textId="77777777" w:rsidR="00BC0269" w:rsidRPr="00A76167" w:rsidRDefault="00BC0269" w:rsidP="00A76167">
            <w:pPr>
              <w:rPr>
                <w:rFonts w:cs="Arial"/>
                <w:sz w:val="22"/>
                <w:szCs w:val="22"/>
              </w:rPr>
            </w:pPr>
            <w:r w:rsidRPr="00A76167">
              <w:rPr>
                <w:rFonts w:cs="Arial"/>
                <w:sz w:val="22"/>
                <w:szCs w:val="22"/>
              </w:rPr>
              <w:lastRenderedPageBreak/>
              <w:t>An alternative approach to the previously presented attribution method was considered; used by the DH in the CCG packs (</w:t>
            </w:r>
            <w:r w:rsidRPr="00A76167">
              <w:rPr>
                <w:rFonts w:cs="Arial"/>
                <w:i/>
                <w:sz w:val="22"/>
                <w:szCs w:val="22"/>
              </w:rPr>
              <w:t>See calculation section above</w:t>
            </w:r>
            <w:r w:rsidRPr="00A76167">
              <w:rPr>
                <w:rFonts w:cs="Arial"/>
                <w:sz w:val="22"/>
                <w:szCs w:val="22"/>
              </w:rPr>
              <w:t xml:space="preserve">). </w:t>
            </w:r>
          </w:p>
          <w:p w14:paraId="4B861A4F" w14:textId="77777777" w:rsidR="00BC0269" w:rsidRPr="00A76167" w:rsidRDefault="00BC0269" w:rsidP="00A76167">
            <w:pPr>
              <w:rPr>
                <w:rFonts w:cs="Arial"/>
                <w:sz w:val="22"/>
                <w:szCs w:val="22"/>
              </w:rPr>
            </w:pPr>
          </w:p>
          <w:p w14:paraId="72AC3305" w14:textId="77777777"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MRG favoured this approach for this indicator on the basis that in view of an actual value not being presented, the more contextual information provided the better.</w:t>
            </w:r>
          </w:p>
          <w:p w14:paraId="532E3D5A" w14:textId="77777777" w:rsidR="00BC0269" w:rsidRPr="00A76167" w:rsidRDefault="00BC0269" w:rsidP="00A76167">
            <w:pPr>
              <w:rPr>
                <w:rFonts w:cs="Arial"/>
                <w:i/>
                <w:sz w:val="22"/>
                <w:szCs w:val="22"/>
                <w:u w:val="single"/>
              </w:rPr>
            </w:pPr>
          </w:p>
          <w:p w14:paraId="2FF48D53" w14:textId="5E754267"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 xml:space="preserve">MRG queried how the commissioner of a CCG would judge the results of this indicator. </w:t>
            </w:r>
            <w:r w:rsidR="0021513E" w:rsidRPr="00A76167">
              <w:rPr>
                <w:rFonts w:cs="Arial"/>
                <w:sz w:val="22"/>
                <w:szCs w:val="22"/>
              </w:rPr>
              <w:t>Specifically,</w:t>
            </w:r>
            <w:r w:rsidRPr="00A76167">
              <w:rPr>
                <w:rFonts w:cs="Arial"/>
                <w:sz w:val="22"/>
                <w:szCs w:val="22"/>
              </w:rPr>
              <w:t xml:space="preserve"> would the commissioner be able to ascertain whether patients in their CCG are receiving a ‘bad deal’ in terms of number of incidents reported. </w:t>
            </w:r>
          </w:p>
          <w:p w14:paraId="53DE64A5" w14:textId="77777777"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 xml:space="preserve">MRG commented that it may be appropriate to standardise to take account of differences in trust size, and that both a number and a rate of admissions (bed days) could be presented alongside each CCG. A rate (per 100,000) would be sensible as the proportion may not be easily comparable.  </w:t>
            </w:r>
          </w:p>
          <w:p w14:paraId="15C7F053" w14:textId="77777777"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The rate of incidents per 100,000 provider bed days is now included in the reported data.</w:t>
            </w:r>
          </w:p>
          <w:p w14:paraId="325B6696" w14:textId="4940F000" w:rsidR="00BC0269" w:rsidRPr="00A76167" w:rsidRDefault="0021513E" w:rsidP="00BC0269">
            <w:pPr>
              <w:pStyle w:val="ListParagraph"/>
              <w:numPr>
                <w:ilvl w:val="0"/>
                <w:numId w:val="32"/>
              </w:numPr>
              <w:spacing w:after="0"/>
              <w:contextualSpacing/>
              <w:textboxTightWrap w:val="none"/>
              <w:rPr>
                <w:rFonts w:cs="Arial"/>
                <w:b/>
                <w:sz w:val="22"/>
                <w:szCs w:val="22"/>
              </w:rPr>
            </w:pPr>
            <w:r w:rsidRPr="00A76167">
              <w:rPr>
                <w:rFonts w:cs="Arial"/>
                <w:sz w:val="22"/>
                <w:szCs w:val="22"/>
              </w:rPr>
              <w:t>Additionally,</w:t>
            </w:r>
            <w:r w:rsidR="00BC0269" w:rsidRPr="00A76167">
              <w:rPr>
                <w:rFonts w:cs="Arial"/>
                <w:sz w:val="22"/>
                <w:szCs w:val="22"/>
              </w:rPr>
              <w:t xml:space="preserve"> the developer reported that Patient Safety incidents cannot be directly assigned to CCG’s, as there is no GP Practice code in the NRLS data. The actual number of incidents reported by each of the trusts could relate to a number of CCGs.</w:t>
            </w:r>
          </w:p>
          <w:p w14:paraId="777B5870" w14:textId="77777777" w:rsidR="00BC0269" w:rsidRPr="00A76167" w:rsidRDefault="00BC0269" w:rsidP="00A76167">
            <w:pPr>
              <w:rPr>
                <w:rFonts w:cs="Arial"/>
                <w:sz w:val="22"/>
                <w:szCs w:val="22"/>
              </w:rPr>
            </w:pPr>
          </w:p>
          <w:p w14:paraId="51FCB99F" w14:textId="469E9882"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 xml:space="preserve">MRG commented that the bed days calculation could be adjusted. For </w:t>
            </w:r>
            <w:r w:rsidR="0021513E" w:rsidRPr="00A76167">
              <w:rPr>
                <w:rFonts w:cs="Arial"/>
                <w:sz w:val="22"/>
                <w:szCs w:val="22"/>
              </w:rPr>
              <w:t>example,</w:t>
            </w:r>
            <w:r w:rsidRPr="00A76167">
              <w:rPr>
                <w:rFonts w:cs="Arial"/>
                <w:sz w:val="22"/>
                <w:szCs w:val="22"/>
              </w:rPr>
              <w:t xml:space="preserve"> a 4 hour stay in hospital would be assigned 0.5 bed days, whereas a 47 hour stay could potentially be assigned 1 bed day. Perhaps look at adding the arbitrary 0.5 bed days to all admissions so that same day discharges aren’t over represented.</w:t>
            </w:r>
          </w:p>
          <w:p w14:paraId="6769E931" w14:textId="77777777"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 xml:space="preserve">MRG discussed further the options for ensuring that a meaningful denominator is used that allows the indicator to capture the level of risk. Length of stay or admissions alone would not provide enough information, therefore bed days would appear to offer the best opportunity in terms of a meaningful denominator. In respect of whether to use 1 or ½ for partial day stays, this wouldn’t matter either way as long as this is consistent between CCGs. </w:t>
            </w:r>
          </w:p>
          <w:p w14:paraId="6523F43C" w14:textId="77777777"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 xml:space="preserve">The developer revised the methodology to define bed days as: (Provider Spell discharge date – Provider Spell admission date) + 0.5. An arbitrary 0.5 days are added to the length of stay calculation to take into account day case admissions.   </w:t>
            </w:r>
          </w:p>
          <w:p w14:paraId="2F5D902B" w14:textId="77777777"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This definition was assured by the Methodology Review Group for calculating bed days.</w:t>
            </w:r>
          </w:p>
          <w:p w14:paraId="33708A74" w14:textId="77777777" w:rsidR="00BC0269" w:rsidRPr="00A76167" w:rsidRDefault="00BC0269" w:rsidP="00A76167">
            <w:pPr>
              <w:rPr>
                <w:rFonts w:cs="Arial"/>
                <w:sz w:val="22"/>
                <w:szCs w:val="22"/>
              </w:rPr>
            </w:pPr>
          </w:p>
          <w:p w14:paraId="7F7C4CE4" w14:textId="77777777"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More widely MRG recommended asking NRLS to include GP practice code as part of data collection. MRG suggested that each incident should be linked to either HES ID or NHS no. in order to clearly link back to CCG level.</w:t>
            </w:r>
          </w:p>
          <w:p w14:paraId="5E9ED557" w14:textId="1D13C67C" w:rsidR="00BC0269" w:rsidRPr="00A76167" w:rsidRDefault="00BC0269" w:rsidP="00BC0269">
            <w:pPr>
              <w:pStyle w:val="ListParagraph"/>
              <w:numPr>
                <w:ilvl w:val="0"/>
                <w:numId w:val="32"/>
              </w:numPr>
              <w:spacing w:after="0"/>
              <w:contextualSpacing/>
              <w:textboxTightWrap w:val="none"/>
              <w:rPr>
                <w:rFonts w:cs="Arial"/>
                <w:sz w:val="22"/>
                <w:szCs w:val="22"/>
              </w:rPr>
            </w:pPr>
            <w:r w:rsidRPr="00A76167">
              <w:rPr>
                <w:rFonts w:cs="Arial"/>
                <w:sz w:val="22"/>
                <w:szCs w:val="22"/>
              </w:rPr>
              <w:t xml:space="preserve">The NRLS provided the following </w:t>
            </w:r>
            <w:r w:rsidR="0021513E" w:rsidRPr="00A76167">
              <w:rPr>
                <w:rFonts w:cs="Arial"/>
                <w:sz w:val="22"/>
                <w:szCs w:val="22"/>
              </w:rPr>
              <w:t>response:</w:t>
            </w:r>
            <w:r w:rsidRPr="00A76167">
              <w:rPr>
                <w:rFonts w:cs="Arial"/>
                <w:sz w:val="22"/>
                <w:szCs w:val="22"/>
              </w:rPr>
              <w:t xml:space="preserve"> </w:t>
            </w:r>
            <w:r w:rsidRPr="00A76167">
              <w:rPr>
                <w:rFonts w:cs="Arial"/>
                <w:sz w:val="22"/>
                <w:szCs w:val="22"/>
              </w:rPr>
              <w:br/>
            </w:r>
            <w:r w:rsidRPr="00A76167">
              <w:rPr>
                <w:rFonts w:cs="Arial"/>
                <w:i/>
                <w:sz w:val="22"/>
                <w:szCs w:val="22"/>
              </w:rPr>
              <w:t xml:space="preserve">‘The NRLS is currently being reviewed and the assessment of short and long-term changes and requirements are in course. So far, there is no </w:t>
            </w:r>
            <w:r w:rsidRPr="00A76167">
              <w:rPr>
                <w:rFonts w:cs="Arial"/>
                <w:i/>
                <w:sz w:val="22"/>
                <w:szCs w:val="22"/>
              </w:rPr>
              <w:lastRenderedPageBreak/>
              <w:t>concrete decision on the inclusion of GP Practice code into the collection but this will be considered. In summary - at the moment, the NRLS have no agreed plans to collect GP Practice codes</w:t>
            </w:r>
            <w:r w:rsidRPr="00A76167">
              <w:rPr>
                <w:rFonts w:cs="Arial"/>
                <w:sz w:val="22"/>
                <w:szCs w:val="22"/>
              </w:rPr>
              <w:t>.’</w:t>
            </w:r>
          </w:p>
          <w:p w14:paraId="0E6B5708" w14:textId="77777777" w:rsidR="00BC0269" w:rsidRPr="00A76167" w:rsidRDefault="00BC0269" w:rsidP="00A76167">
            <w:pPr>
              <w:rPr>
                <w:rFonts w:cs="Arial"/>
                <w:sz w:val="22"/>
                <w:szCs w:val="22"/>
                <w:u w:val="single"/>
              </w:rPr>
            </w:pPr>
          </w:p>
        </w:tc>
      </w:tr>
    </w:tbl>
    <w:p w14:paraId="7D48036B" w14:textId="77777777" w:rsidR="00E73882" w:rsidRDefault="00E73882"/>
    <w:tbl>
      <w:tblPr>
        <w:tblStyle w:val="TableGrid"/>
        <w:tblW w:w="9923" w:type="dxa"/>
        <w:tblLayout w:type="fixed"/>
        <w:tblLook w:val="01E0" w:firstRow="1" w:lastRow="1" w:firstColumn="1" w:lastColumn="1" w:noHBand="0" w:noVBand="0"/>
      </w:tblPr>
      <w:tblGrid>
        <w:gridCol w:w="2119"/>
        <w:gridCol w:w="6504"/>
        <w:gridCol w:w="713"/>
        <w:gridCol w:w="587"/>
      </w:tblGrid>
      <w:tr w:rsidR="00E73882" w:rsidRPr="00A76167" w14:paraId="3B459493" w14:textId="77777777" w:rsidTr="00A76167">
        <w:trPr>
          <w:trHeight w:val="228"/>
        </w:trPr>
        <w:tc>
          <w:tcPr>
            <w:tcW w:w="2119" w:type="dxa"/>
          </w:tcPr>
          <w:p w14:paraId="5DDF1B62" w14:textId="1771BBF0" w:rsidR="00E73882" w:rsidRPr="00A76167" w:rsidRDefault="00E73882" w:rsidP="00E73882">
            <w:pPr>
              <w:rPr>
                <w:rFonts w:cs="Arial"/>
                <w:sz w:val="22"/>
                <w:szCs w:val="22"/>
              </w:rPr>
            </w:pPr>
            <w:r w:rsidRPr="00A76167">
              <w:rPr>
                <w:rFonts w:cs="Arial"/>
                <w:i/>
                <w:sz w:val="22"/>
                <w:szCs w:val="22"/>
              </w:rPr>
              <w:t>Outcome of MRG consideration:</w:t>
            </w:r>
          </w:p>
        </w:tc>
        <w:tc>
          <w:tcPr>
            <w:tcW w:w="6504" w:type="dxa"/>
          </w:tcPr>
          <w:p w14:paraId="532A7297" w14:textId="7C493078" w:rsidR="00E73882" w:rsidRPr="00A76167" w:rsidRDefault="00E73882" w:rsidP="00E73882">
            <w:pPr>
              <w:pStyle w:val="ListParagraph"/>
              <w:numPr>
                <w:ilvl w:val="0"/>
                <w:numId w:val="23"/>
              </w:numPr>
              <w:spacing w:after="0"/>
              <w:contextualSpacing/>
              <w:textboxTightWrap w:val="none"/>
              <w:rPr>
                <w:rFonts w:cs="Arial"/>
                <w:b/>
                <w:sz w:val="22"/>
                <w:szCs w:val="22"/>
              </w:rPr>
            </w:pPr>
            <w:r w:rsidRPr="00A76167">
              <w:rPr>
                <w:rFonts w:cs="Arial"/>
                <w:b/>
                <w:sz w:val="22"/>
                <w:szCs w:val="22"/>
              </w:rPr>
              <w:t>No significant issues identified</w:t>
            </w:r>
          </w:p>
        </w:tc>
        <w:sdt>
          <w:sdtPr>
            <w:rPr>
              <w:rFonts w:cs="Arial"/>
              <w:sz w:val="22"/>
              <w:szCs w:val="22"/>
            </w:rPr>
            <w:id w:val="1677693217"/>
            <w14:checkbox>
              <w14:checked w14:val="0"/>
              <w14:checkedState w14:val="2612" w14:font="MS Gothic"/>
              <w14:uncheckedState w14:val="2610" w14:font="MS Gothic"/>
            </w14:checkbox>
          </w:sdtPr>
          <w:sdtEndPr/>
          <w:sdtContent>
            <w:tc>
              <w:tcPr>
                <w:tcW w:w="713" w:type="dxa"/>
              </w:tcPr>
              <w:p w14:paraId="1E7AEB97" w14:textId="1ED55565"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c>
          <w:tcPr>
            <w:tcW w:w="587" w:type="dxa"/>
          </w:tcPr>
          <w:p w14:paraId="6CACC66F" w14:textId="77777777" w:rsidR="00E73882" w:rsidRPr="00A76167" w:rsidRDefault="00E73882" w:rsidP="00E73882">
            <w:pPr>
              <w:rPr>
                <w:rFonts w:cs="Arial"/>
                <w:b/>
                <w:sz w:val="22"/>
                <w:szCs w:val="22"/>
              </w:rPr>
            </w:pPr>
          </w:p>
        </w:tc>
      </w:tr>
      <w:tr w:rsidR="00E73882" w:rsidRPr="00A76167" w14:paraId="0EB43058" w14:textId="77777777" w:rsidTr="00A76167">
        <w:trPr>
          <w:trHeight w:val="228"/>
        </w:trPr>
        <w:tc>
          <w:tcPr>
            <w:tcW w:w="2119" w:type="dxa"/>
          </w:tcPr>
          <w:p w14:paraId="21DDBA40" w14:textId="77777777" w:rsidR="00E73882" w:rsidRPr="00A76167" w:rsidRDefault="00E73882" w:rsidP="00E73882">
            <w:pPr>
              <w:rPr>
                <w:rFonts w:cs="Arial"/>
                <w:sz w:val="22"/>
                <w:szCs w:val="22"/>
              </w:rPr>
            </w:pPr>
          </w:p>
        </w:tc>
        <w:tc>
          <w:tcPr>
            <w:tcW w:w="6504" w:type="dxa"/>
          </w:tcPr>
          <w:p w14:paraId="523EEA70" w14:textId="7939C972" w:rsidR="00E73882" w:rsidRPr="00A76167" w:rsidRDefault="00E73882" w:rsidP="00E73882">
            <w:pPr>
              <w:pStyle w:val="ListParagraph"/>
              <w:numPr>
                <w:ilvl w:val="0"/>
                <w:numId w:val="23"/>
              </w:numPr>
              <w:spacing w:after="0"/>
              <w:contextualSpacing/>
              <w:textboxTightWrap w:val="none"/>
              <w:rPr>
                <w:rFonts w:cs="Arial"/>
                <w:b/>
                <w:sz w:val="22"/>
                <w:szCs w:val="22"/>
              </w:rPr>
            </w:pPr>
            <w:r w:rsidRPr="00A76167">
              <w:rPr>
                <w:rFonts w:cs="Arial"/>
                <w:b/>
                <w:sz w:val="22"/>
                <w:szCs w:val="22"/>
              </w:rPr>
              <w:t>No significant issues on basis of completion of outstanding actions</w:t>
            </w:r>
          </w:p>
        </w:tc>
        <w:sdt>
          <w:sdtPr>
            <w:rPr>
              <w:rFonts w:cs="Arial"/>
              <w:sz w:val="22"/>
              <w:szCs w:val="22"/>
            </w:rPr>
            <w:id w:val="-185133453"/>
            <w14:checkbox>
              <w14:checked w14:val="0"/>
              <w14:checkedState w14:val="2612" w14:font="MS Gothic"/>
              <w14:uncheckedState w14:val="2610" w14:font="MS Gothic"/>
            </w14:checkbox>
          </w:sdtPr>
          <w:sdtEndPr/>
          <w:sdtContent>
            <w:tc>
              <w:tcPr>
                <w:tcW w:w="713" w:type="dxa"/>
              </w:tcPr>
              <w:p w14:paraId="52B4A593" w14:textId="38F21EBD"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c>
          <w:tcPr>
            <w:tcW w:w="587" w:type="dxa"/>
          </w:tcPr>
          <w:p w14:paraId="7740DEE7" w14:textId="77777777" w:rsidR="00E73882" w:rsidRPr="00A76167" w:rsidRDefault="00E73882" w:rsidP="00E73882">
            <w:pPr>
              <w:rPr>
                <w:rFonts w:cs="Arial"/>
                <w:b/>
                <w:sz w:val="22"/>
                <w:szCs w:val="22"/>
              </w:rPr>
            </w:pPr>
          </w:p>
        </w:tc>
      </w:tr>
      <w:tr w:rsidR="00E73882" w:rsidRPr="00A76167" w14:paraId="6DDD0819" w14:textId="77777777" w:rsidTr="00A76167">
        <w:trPr>
          <w:trHeight w:val="228"/>
        </w:trPr>
        <w:tc>
          <w:tcPr>
            <w:tcW w:w="2119" w:type="dxa"/>
          </w:tcPr>
          <w:p w14:paraId="6583A1C5" w14:textId="77777777" w:rsidR="00E73882" w:rsidRPr="00A76167" w:rsidRDefault="00E73882" w:rsidP="00E73882">
            <w:pPr>
              <w:rPr>
                <w:rFonts w:cs="Arial"/>
                <w:sz w:val="22"/>
                <w:szCs w:val="22"/>
              </w:rPr>
            </w:pPr>
          </w:p>
        </w:tc>
        <w:tc>
          <w:tcPr>
            <w:tcW w:w="6504" w:type="dxa"/>
          </w:tcPr>
          <w:p w14:paraId="05E1F968" w14:textId="3B920A1C" w:rsidR="00E73882" w:rsidRPr="00A76167" w:rsidRDefault="00E73882" w:rsidP="00E73882">
            <w:pPr>
              <w:pStyle w:val="ListParagraph"/>
              <w:numPr>
                <w:ilvl w:val="0"/>
                <w:numId w:val="23"/>
              </w:numPr>
              <w:spacing w:after="0"/>
              <w:contextualSpacing/>
              <w:textboxTightWrap w:val="none"/>
              <w:rPr>
                <w:rFonts w:cs="Arial"/>
                <w:b/>
                <w:sz w:val="22"/>
                <w:szCs w:val="22"/>
              </w:rPr>
            </w:pPr>
            <w:r w:rsidRPr="00A76167">
              <w:rPr>
                <w:rFonts w:cs="Arial"/>
                <w:b/>
                <w:sz w:val="22"/>
                <w:szCs w:val="22"/>
              </w:rPr>
              <w:t>Some concerns expressed as caveats or limitations</w:t>
            </w:r>
          </w:p>
        </w:tc>
        <w:sdt>
          <w:sdtPr>
            <w:rPr>
              <w:rFonts w:cs="Arial"/>
              <w:sz w:val="22"/>
              <w:szCs w:val="22"/>
            </w:rPr>
            <w:id w:val="-2059697512"/>
            <w14:checkbox>
              <w14:checked w14:val="1"/>
              <w14:checkedState w14:val="2612" w14:font="MS Gothic"/>
              <w14:uncheckedState w14:val="2610" w14:font="MS Gothic"/>
            </w14:checkbox>
          </w:sdtPr>
          <w:sdtEndPr/>
          <w:sdtContent>
            <w:tc>
              <w:tcPr>
                <w:tcW w:w="713" w:type="dxa"/>
              </w:tcPr>
              <w:p w14:paraId="4929C167" w14:textId="6C9A98A7"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c>
          <w:tcPr>
            <w:tcW w:w="587" w:type="dxa"/>
          </w:tcPr>
          <w:p w14:paraId="61ED7637" w14:textId="77777777" w:rsidR="00E73882" w:rsidRPr="00A76167" w:rsidRDefault="00E73882" w:rsidP="00E73882">
            <w:pPr>
              <w:rPr>
                <w:rFonts w:cs="Arial"/>
                <w:b/>
                <w:sz w:val="22"/>
                <w:szCs w:val="22"/>
              </w:rPr>
            </w:pPr>
          </w:p>
        </w:tc>
      </w:tr>
      <w:tr w:rsidR="00E73882" w:rsidRPr="00A76167" w14:paraId="781B4A0F" w14:textId="77777777" w:rsidTr="00A76167">
        <w:trPr>
          <w:trHeight w:val="228"/>
        </w:trPr>
        <w:tc>
          <w:tcPr>
            <w:tcW w:w="2119" w:type="dxa"/>
          </w:tcPr>
          <w:p w14:paraId="463E25FF" w14:textId="77777777" w:rsidR="00E73882" w:rsidRPr="00A76167" w:rsidRDefault="00E73882" w:rsidP="00E73882">
            <w:pPr>
              <w:rPr>
                <w:rFonts w:cs="Arial"/>
                <w:sz w:val="22"/>
                <w:szCs w:val="22"/>
              </w:rPr>
            </w:pPr>
          </w:p>
        </w:tc>
        <w:tc>
          <w:tcPr>
            <w:tcW w:w="6504" w:type="dxa"/>
          </w:tcPr>
          <w:p w14:paraId="59447E2D" w14:textId="01DF3FA0" w:rsidR="00E73882" w:rsidRPr="00A76167" w:rsidRDefault="00E73882" w:rsidP="00E73882">
            <w:pPr>
              <w:pStyle w:val="ListParagraph"/>
              <w:numPr>
                <w:ilvl w:val="0"/>
                <w:numId w:val="23"/>
              </w:numPr>
              <w:spacing w:after="0"/>
              <w:contextualSpacing/>
              <w:textboxTightWrap w:val="none"/>
              <w:rPr>
                <w:rFonts w:cs="Arial"/>
                <w:b/>
                <w:sz w:val="22"/>
                <w:szCs w:val="22"/>
              </w:rPr>
            </w:pPr>
            <w:r w:rsidRPr="00A76167">
              <w:rPr>
                <w:rFonts w:cs="Arial"/>
                <w:b/>
                <w:sz w:val="22"/>
                <w:szCs w:val="22"/>
              </w:rPr>
              <w:t>Significant reservations</w:t>
            </w:r>
          </w:p>
        </w:tc>
        <w:sdt>
          <w:sdtPr>
            <w:rPr>
              <w:rFonts w:cs="Arial"/>
              <w:sz w:val="22"/>
              <w:szCs w:val="22"/>
            </w:rPr>
            <w:id w:val="1672061425"/>
            <w14:checkbox>
              <w14:checked w14:val="0"/>
              <w14:checkedState w14:val="2612" w14:font="MS Gothic"/>
              <w14:uncheckedState w14:val="2610" w14:font="MS Gothic"/>
            </w14:checkbox>
          </w:sdtPr>
          <w:sdtEndPr/>
          <w:sdtContent>
            <w:tc>
              <w:tcPr>
                <w:tcW w:w="713" w:type="dxa"/>
              </w:tcPr>
              <w:p w14:paraId="33A97CAF" w14:textId="6C988176"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c>
          <w:tcPr>
            <w:tcW w:w="587" w:type="dxa"/>
          </w:tcPr>
          <w:p w14:paraId="0821147A" w14:textId="77777777" w:rsidR="00E73882" w:rsidRPr="00A76167" w:rsidRDefault="00E73882" w:rsidP="00E73882">
            <w:pPr>
              <w:rPr>
                <w:rFonts w:cs="Arial"/>
                <w:b/>
                <w:sz w:val="22"/>
                <w:szCs w:val="22"/>
              </w:rPr>
            </w:pPr>
          </w:p>
        </w:tc>
      </w:tr>
      <w:tr w:rsidR="00E73882" w:rsidRPr="00A76167" w14:paraId="6E081F3A" w14:textId="77777777" w:rsidTr="00A76167">
        <w:trPr>
          <w:trHeight w:val="228"/>
        </w:trPr>
        <w:tc>
          <w:tcPr>
            <w:tcW w:w="2119" w:type="dxa"/>
          </w:tcPr>
          <w:p w14:paraId="7C1DF33F" w14:textId="77777777" w:rsidR="00E73882" w:rsidRPr="00A76167" w:rsidRDefault="00E73882" w:rsidP="00E73882">
            <w:pPr>
              <w:rPr>
                <w:rFonts w:cs="Arial"/>
                <w:sz w:val="22"/>
                <w:szCs w:val="22"/>
              </w:rPr>
            </w:pPr>
          </w:p>
        </w:tc>
        <w:tc>
          <w:tcPr>
            <w:tcW w:w="6504" w:type="dxa"/>
          </w:tcPr>
          <w:p w14:paraId="2409AFB3" w14:textId="31AB8FBF" w:rsidR="00E73882" w:rsidRPr="00A76167" w:rsidRDefault="00E73882" w:rsidP="00E73882">
            <w:pPr>
              <w:pStyle w:val="ListParagraph"/>
              <w:numPr>
                <w:ilvl w:val="0"/>
                <w:numId w:val="23"/>
              </w:numPr>
              <w:spacing w:after="0"/>
              <w:contextualSpacing/>
              <w:textboxTightWrap w:val="none"/>
              <w:rPr>
                <w:rFonts w:cs="Arial"/>
                <w:b/>
                <w:sz w:val="22"/>
                <w:szCs w:val="22"/>
              </w:rPr>
            </w:pPr>
            <w:r w:rsidRPr="00A76167">
              <w:rPr>
                <w:rFonts w:cs="Arial"/>
                <w:b/>
                <w:sz w:val="22"/>
                <w:szCs w:val="22"/>
              </w:rPr>
              <w:t>Unresolved issues</w:t>
            </w:r>
          </w:p>
        </w:tc>
        <w:sdt>
          <w:sdtPr>
            <w:rPr>
              <w:rFonts w:cs="Arial"/>
              <w:sz w:val="22"/>
              <w:szCs w:val="22"/>
            </w:rPr>
            <w:id w:val="996622570"/>
            <w14:checkbox>
              <w14:checked w14:val="0"/>
              <w14:checkedState w14:val="2612" w14:font="MS Gothic"/>
              <w14:uncheckedState w14:val="2610" w14:font="MS Gothic"/>
            </w14:checkbox>
          </w:sdtPr>
          <w:sdtEndPr/>
          <w:sdtContent>
            <w:tc>
              <w:tcPr>
                <w:tcW w:w="713" w:type="dxa"/>
              </w:tcPr>
              <w:p w14:paraId="22A62A97" w14:textId="1DB650F4" w:rsidR="00E73882" w:rsidRPr="00A76167" w:rsidRDefault="00E73882" w:rsidP="00E73882">
                <w:pPr>
                  <w:jc w:val="center"/>
                  <w:rPr>
                    <w:rFonts w:cs="Arial"/>
                    <w:sz w:val="22"/>
                    <w:szCs w:val="22"/>
                  </w:rPr>
                </w:pPr>
                <w:r w:rsidRPr="00A76167">
                  <w:rPr>
                    <w:rFonts w:ascii="Segoe UI Symbol" w:eastAsia="MS Gothic" w:hAnsi="Segoe UI Symbol" w:cs="Segoe UI Symbol"/>
                    <w:sz w:val="22"/>
                    <w:szCs w:val="22"/>
                  </w:rPr>
                  <w:t>☐</w:t>
                </w:r>
              </w:p>
            </w:tc>
          </w:sdtContent>
        </w:sdt>
        <w:tc>
          <w:tcPr>
            <w:tcW w:w="587" w:type="dxa"/>
          </w:tcPr>
          <w:p w14:paraId="5BBC9E0C" w14:textId="77777777" w:rsidR="00E73882" w:rsidRPr="00A76167" w:rsidRDefault="00E73882" w:rsidP="00E73882">
            <w:pPr>
              <w:rPr>
                <w:rFonts w:cs="Arial"/>
                <w:b/>
                <w:sz w:val="22"/>
                <w:szCs w:val="22"/>
              </w:rPr>
            </w:pPr>
          </w:p>
        </w:tc>
      </w:tr>
    </w:tbl>
    <w:p w14:paraId="4EB8082C" w14:textId="77777777" w:rsidR="00E73882" w:rsidRDefault="00E73882"/>
    <w:tbl>
      <w:tblPr>
        <w:tblStyle w:val="TableGrid"/>
        <w:tblW w:w="9923" w:type="dxa"/>
        <w:tblLayout w:type="fixed"/>
        <w:tblLook w:val="01E0" w:firstRow="1" w:lastRow="1" w:firstColumn="1" w:lastColumn="1" w:noHBand="0" w:noVBand="0"/>
      </w:tblPr>
      <w:tblGrid>
        <w:gridCol w:w="2119"/>
        <w:gridCol w:w="7804"/>
      </w:tblGrid>
      <w:tr w:rsidR="00E73882" w:rsidRPr="00A76167" w14:paraId="04D5B175" w14:textId="77777777" w:rsidTr="00A76167">
        <w:trPr>
          <w:trHeight w:val="805"/>
        </w:trPr>
        <w:tc>
          <w:tcPr>
            <w:tcW w:w="2119" w:type="dxa"/>
          </w:tcPr>
          <w:p w14:paraId="40359F45" w14:textId="6D20277B" w:rsidR="00E73882" w:rsidRPr="00A76167" w:rsidRDefault="00E73882" w:rsidP="00E73882">
            <w:pPr>
              <w:rPr>
                <w:rFonts w:cs="Arial"/>
                <w:sz w:val="22"/>
                <w:szCs w:val="22"/>
              </w:rPr>
            </w:pPr>
            <w:r w:rsidRPr="00A76167">
              <w:rPr>
                <w:rFonts w:cs="Arial"/>
                <w:sz w:val="22"/>
                <w:szCs w:val="22"/>
              </w:rPr>
              <w:t>MRG statement of recommendation:</w:t>
            </w:r>
          </w:p>
        </w:tc>
        <w:tc>
          <w:tcPr>
            <w:tcW w:w="7804" w:type="dxa"/>
          </w:tcPr>
          <w:p w14:paraId="05979C70" w14:textId="77777777" w:rsidR="00E73882" w:rsidRPr="00A76167" w:rsidRDefault="00E73882" w:rsidP="00E73882">
            <w:pPr>
              <w:rPr>
                <w:rFonts w:cs="Arial"/>
                <w:b/>
                <w:sz w:val="22"/>
                <w:szCs w:val="22"/>
              </w:rPr>
            </w:pPr>
            <w:r w:rsidRPr="00A76167">
              <w:rPr>
                <w:rFonts w:cs="Arial"/>
                <w:b/>
                <w:sz w:val="22"/>
                <w:szCs w:val="22"/>
              </w:rPr>
              <w:t>The indicator has been put forward for consideration by IGB on the basis of the completion of further consideration of the method to calculate bed days (</w:t>
            </w:r>
            <w:r w:rsidRPr="00A76167">
              <w:rPr>
                <w:rFonts w:cs="Arial"/>
                <w:i/>
                <w:sz w:val="22"/>
                <w:szCs w:val="22"/>
              </w:rPr>
              <w:t>which has subsequently been completed see above</w:t>
            </w:r>
            <w:r w:rsidRPr="00A76167">
              <w:rPr>
                <w:rFonts w:cs="Arial"/>
                <w:b/>
                <w:sz w:val="22"/>
                <w:szCs w:val="22"/>
              </w:rPr>
              <w:t>).</w:t>
            </w:r>
          </w:p>
          <w:p w14:paraId="642BF152" w14:textId="77777777" w:rsidR="00E73882" w:rsidRPr="00A76167" w:rsidRDefault="00E73882" w:rsidP="00E73882">
            <w:pPr>
              <w:rPr>
                <w:rFonts w:cs="Arial"/>
                <w:b/>
                <w:sz w:val="22"/>
                <w:szCs w:val="22"/>
              </w:rPr>
            </w:pPr>
          </w:p>
        </w:tc>
      </w:tr>
    </w:tbl>
    <w:p w14:paraId="0B06717A" w14:textId="77777777" w:rsidR="00BC0269" w:rsidRPr="00A76167" w:rsidRDefault="00BC0269" w:rsidP="00A76167">
      <w:pPr>
        <w:rPr>
          <w:rFonts w:cs="Arial"/>
          <w:sz w:val="22"/>
          <w:szCs w:val="22"/>
        </w:rPr>
      </w:pPr>
    </w:p>
    <w:p w14:paraId="113C0F51" w14:textId="77777777" w:rsidR="00BC0269" w:rsidRPr="00A76167" w:rsidRDefault="00BC0269" w:rsidP="00A76167">
      <w:pPr>
        <w:ind w:left="-851"/>
        <w:rPr>
          <w:rFonts w:cs="Arial"/>
          <w:sz w:val="22"/>
          <w:szCs w:val="22"/>
        </w:rPr>
      </w:pPr>
      <w:r w:rsidRPr="00A76167">
        <w:rPr>
          <w:rFonts w:cs="Arial"/>
          <w:sz w:val="22"/>
          <w:szCs w:val="22"/>
        </w:rPr>
        <w:t>IGB – Additional Recommendations:</w:t>
      </w:r>
    </w:p>
    <w:p w14:paraId="48246088" w14:textId="6ACA25D0" w:rsidR="00BC0269" w:rsidRDefault="00BC0269" w:rsidP="00A76167">
      <w:pPr>
        <w:ind w:left="-851"/>
        <w:rPr>
          <w:rFonts w:cs="Arial"/>
          <w:sz w:val="22"/>
          <w:szCs w:val="22"/>
        </w:rPr>
      </w:pPr>
      <w:r w:rsidRPr="00A76167">
        <w:rPr>
          <w:rFonts w:cs="Arial"/>
          <w:sz w:val="22"/>
          <w:szCs w:val="22"/>
        </w:rPr>
        <w:t>[Add new section as necessary]</w:t>
      </w:r>
    </w:p>
    <w:p w14:paraId="681994BF" w14:textId="529711AA" w:rsidR="00EC2F12" w:rsidRPr="00A76167" w:rsidRDefault="00EC2F12" w:rsidP="00A76167">
      <w:pPr>
        <w:ind w:left="-851"/>
        <w:rPr>
          <w:rFonts w:cs="Arial"/>
          <w:sz w:val="22"/>
          <w:szCs w:val="22"/>
        </w:rPr>
      </w:pPr>
      <w:r w:rsidRPr="00A76167">
        <w:rPr>
          <w:rFonts w:cs="Arial"/>
          <w:b/>
          <w:sz w:val="22"/>
          <w:szCs w:val="22"/>
        </w:rPr>
        <w:t>Recommendations &amp; Updates</w:t>
      </w:r>
    </w:p>
    <w:tbl>
      <w:tblPr>
        <w:tblStyle w:val="TableGrid"/>
        <w:tblW w:w="9923" w:type="dxa"/>
        <w:tblLayout w:type="fixed"/>
        <w:tblLook w:val="01E0" w:firstRow="1" w:lastRow="1" w:firstColumn="1" w:lastColumn="1" w:noHBand="0" w:noVBand="0"/>
      </w:tblPr>
      <w:tblGrid>
        <w:gridCol w:w="2127"/>
        <w:gridCol w:w="7796"/>
      </w:tblGrid>
      <w:tr w:rsidR="00EC2F12" w:rsidRPr="00A76167" w14:paraId="6E60939C" w14:textId="77777777" w:rsidTr="00A76167">
        <w:tc>
          <w:tcPr>
            <w:tcW w:w="2127" w:type="dxa"/>
          </w:tcPr>
          <w:p w14:paraId="617B8880" w14:textId="4337FC14" w:rsidR="00EC2F12" w:rsidRPr="00A76167" w:rsidRDefault="00EC2F12" w:rsidP="00A76167">
            <w:pPr>
              <w:rPr>
                <w:rFonts w:cs="Arial"/>
                <w:sz w:val="22"/>
                <w:szCs w:val="22"/>
              </w:rPr>
            </w:pPr>
            <w:r w:rsidRPr="00A76167">
              <w:rPr>
                <w:rFonts w:cs="Arial"/>
                <w:sz w:val="22"/>
                <w:szCs w:val="22"/>
              </w:rPr>
              <w:t>Made:</w:t>
            </w:r>
          </w:p>
        </w:tc>
        <w:tc>
          <w:tcPr>
            <w:tcW w:w="7796" w:type="dxa"/>
          </w:tcPr>
          <w:p w14:paraId="5B307E0D" w14:textId="14226E80" w:rsidR="00EC2F12" w:rsidRPr="00A76167" w:rsidRDefault="00EC2F12" w:rsidP="00A76167">
            <w:pPr>
              <w:rPr>
                <w:rFonts w:cs="Arial"/>
                <w:b/>
                <w:sz w:val="22"/>
                <w:szCs w:val="22"/>
              </w:rPr>
            </w:pPr>
            <w:r w:rsidRPr="00A76167">
              <w:rPr>
                <w:rFonts w:cs="Arial"/>
                <w:sz w:val="22"/>
                <w:szCs w:val="22"/>
              </w:rPr>
              <w:t>xx/xx/xx</w:t>
            </w:r>
          </w:p>
        </w:tc>
      </w:tr>
      <w:tr w:rsidR="00A76167" w:rsidRPr="00A76167" w14:paraId="79091BB6" w14:textId="77777777" w:rsidTr="00A76167">
        <w:tc>
          <w:tcPr>
            <w:tcW w:w="2127" w:type="dxa"/>
          </w:tcPr>
          <w:p w14:paraId="49CEA6BA" w14:textId="77777777" w:rsidR="00BC0269" w:rsidRPr="00A76167" w:rsidRDefault="00BC0269" w:rsidP="00A76167">
            <w:pPr>
              <w:rPr>
                <w:rFonts w:cs="Arial"/>
                <w:sz w:val="22"/>
                <w:szCs w:val="22"/>
              </w:rPr>
            </w:pPr>
            <w:r w:rsidRPr="00A76167">
              <w:rPr>
                <w:rFonts w:cs="Arial"/>
                <w:sz w:val="22"/>
                <w:szCs w:val="22"/>
              </w:rPr>
              <w:t>Comments &amp; Recommendations</w:t>
            </w:r>
          </w:p>
          <w:p w14:paraId="17DF089C" w14:textId="77777777" w:rsidR="00BC0269" w:rsidRPr="00A76167" w:rsidRDefault="00BC0269" w:rsidP="00A76167">
            <w:pPr>
              <w:rPr>
                <w:rFonts w:cs="Arial"/>
                <w:sz w:val="22"/>
                <w:szCs w:val="22"/>
              </w:rPr>
            </w:pPr>
            <w:r w:rsidRPr="00A76167">
              <w:rPr>
                <w:rFonts w:cs="Arial"/>
                <w:sz w:val="22"/>
                <w:szCs w:val="22"/>
              </w:rPr>
              <w:t>[List additional comments and recommendations raised by IGB]</w:t>
            </w:r>
          </w:p>
          <w:p w14:paraId="625A16BF" w14:textId="77777777" w:rsidR="00BC0269" w:rsidRPr="00A76167" w:rsidRDefault="00BC0269" w:rsidP="00A76167">
            <w:pPr>
              <w:rPr>
                <w:rFonts w:cs="Arial"/>
                <w:sz w:val="22"/>
                <w:szCs w:val="22"/>
              </w:rPr>
            </w:pPr>
          </w:p>
        </w:tc>
        <w:tc>
          <w:tcPr>
            <w:tcW w:w="7796" w:type="dxa"/>
          </w:tcPr>
          <w:p w14:paraId="35278191" w14:textId="77777777" w:rsidR="00BC0269" w:rsidRPr="00A76167" w:rsidRDefault="00BC0269" w:rsidP="00A76167">
            <w:pPr>
              <w:rPr>
                <w:rFonts w:cs="Arial"/>
                <w:b/>
                <w:sz w:val="22"/>
                <w:szCs w:val="22"/>
              </w:rPr>
            </w:pPr>
          </w:p>
          <w:p w14:paraId="47A26BE5" w14:textId="77777777" w:rsidR="00BC0269" w:rsidRPr="00A76167" w:rsidRDefault="00BC0269" w:rsidP="00A76167">
            <w:pPr>
              <w:rPr>
                <w:rFonts w:cs="Arial"/>
                <w:b/>
                <w:sz w:val="22"/>
                <w:szCs w:val="22"/>
              </w:rPr>
            </w:pPr>
          </w:p>
          <w:p w14:paraId="3D121053" w14:textId="77777777" w:rsidR="00BC0269" w:rsidRPr="00A76167" w:rsidRDefault="00BC0269" w:rsidP="00A76167">
            <w:pPr>
              <w:rPr>
                <w:rFonts w:cs="Arial"/>
                <w:b/>
                <w:sz w:val="22"/>
                <w:szCs w:val="22"/>
              </w:rPr>
            </w:pPr>
          </w:p>
        </w:tc>
      </w:tr>
    </w:tbl>
    <w:p w14:paraId="088D894B" w14:textId="77777777" w:rsidR="00EC2F12" w:rsidRDefault="00EC2F12"/>
    <w:tbl>
      <w:tblPr>
        <w:tblStyle w:val="TableGrid"/>
        <w:tblW w:w="9923" w:type="dxa"/>
        <w:tblLayout w:type="fixed"/>
        <w:tblLook w:val="01E0" w:firstRow="1" w:lastRow="1" w:firstColumn="1" w:lastColumn="1" w:noHBand="0" w:noVBand="0"/>
      </w:tblPr>
      <w:tblGrid>
        <w:gridCol w:w="2127"/>
        <w:gridCol w:w="2410"/>
        <w:gridCol w:w="567"/>
        <w:gridCol w:w="1984"/>
        <w:gridCol w:w="567"/>
        <w:gridCol w:w="1418"/>
        <w:gridCol w:w="567"/>
        <w:gridCol w:w="283"/>
      </w:tblGrid>
      <w:tr w:rsidR="00EC2F12" w:rsidRPr="00A76167" w14:paraId="675C4DF6" w14:textId="77777777" w:rsidTr="0020578D">
        <w:tc>
          <w:tcPr>
            <w:tcW w:w="2127" w:type="dxa"/>
          </w:tcPr>
          <w:p w14:paraId="16CFB9DE" w14:textId="77777777" w:rsidR="00EC2F12" w:rsidRPr="00A76167" w:rsidRDefault="00EC2F12" w:rsidP="0020578D">
            <w:pPr>
              <w:rPr>
                <w:rFonts w:cs="Arial"/>
                <w:sz w:val="22"/>
                <w:szCs w:val="22"/>
              </w:rPr>
            </w:pPr>
            <w:r w:rsidRPr="00A76167">
              <w:rPr>
                <w:rFonts w:cs="Arial"/>
                <w:sz w:val="22"/>
                <w:szCs w:val="22"/>
              </w:rPr>
              <w:t>Action required:</w:t>
            </w:r>
          </w:p>
        </w:tc>
        <w:tc>
          <w:tcPr>
            <w:tcW w:w="2410" w:type="dxa"/>
          </w:tcPr>
          <w:p w14:paraId="3A1A4879" w14:textId="77777777" w:rsidR="00EC2F12" w:rsidRPr="00A76167" w:rsidRDefault="00EC2F12" w:rsidP="0020578D">
            <w:pPr>
              <w:jc w:val="right"/>
              <w:rPr>
                <w:rFonts w:cs="Arial"/>
                <w:b/>
                <w:sz w:val="22"/>
                <w:szCs w:val="22"/>
              </w:rPr>
            </w:pPr>
            <w:r w:rsidRPr="00A76167">
              <w:rPr>
                <w:rFonts w:cs="Arial"/>
                <w:b/>
                <w:sz w:val="22"/>
                <w:szCs w:val="22"/>
              </w:rPr>
              <w:t xml:space="preserve">IGB Update Not Required </w:t>
            </w:r>
          </w:p>
        </w:tc>
        <w:sdt>
          <w:sdtPr>
            <w:rPr>
              <w:rFonts w:cs="Arial"/>
              <w:sz w:val="22"/>
              <w:szCs w:val="22"/>
            </w:rPr>
            <w:id w:val="1938717135"/>
            <w14:checkbox>
              <w14:checked w14:val="0"/>
              <w14:checkedState w14:val="2612" w14:font="MS Gothic"/>
              <w14:uncheckedState w14:val="2610" w14:font="MS Gothic"/>
            </w14:checkbox>
          </w:sdtPr>
          <w:sdtEndPr/>
          <w:sdtContent>
            <w:tc>
              <w:tcPr>
                <w:tcW w:w="567" w:type="dxa"/>
              </w:tcPr>
              <w:p w14:paraId="1D5B2718" w14:textId="77777777" w:rsidR="00EC2F12" w:rsidRPr="00A76167" w:rsidRDefault="00EC2F12" w:rsidP="0020578D">
                <w:pPr>
                  <w:jc w:val="center"/>
                  <w:rPr>
                    <w:rFonts w:cs="Arial"/>
                    <w:sz w:val="22"/>
                    <w:szCs w:val="22"/>
                  </w:rPr>
                </w:pPr>
                <w:r w:rsidRPr="00A76167">
                  <w:rPr>
                    <w:rFonts w:ascii="Segoe UI Symbol" w:eastAsia="MS Gothic" w:hAnsi="Segoe UI Symbol" w:cs="Segoe UI Symbol"/>
                    <w:sz w:val="22"/>
                    <w:szCs w:val="22"/>
                  </w:rPr>
                  <w:t>☐</w:t>
                </w:r>
              </w:p>
            </w:tc>
          </w:sdtContent>
        </w:sdt>
        <w:tc>
          <w:tcPr>
            <w:tcW w:w="1984" w:type="dxa"/>
          </w:tcPr>
          <w:p w14:paraId="4CF79517" w14:textId="77777777" w:rsidR="00EC2F12" w:rsidRPr="00A76167" w:rsidRDefault="00EC2F12" w:rsidP="0020578D">
            <w:pPr>
              <w:jc w:val="right"/>
              <w:rPr>
                <w:rFonts w:cs="Arial"/>
                <w:b/>
                <w:sz w:val="22"/>
                <w:szCs w:val="22"/>
              </w:rPr>
            </w:pPr>
            <w:r w:rsidRPr="00A76167">
              <w:rPr>
                <w:rFonts w:cs="Arial"/>
                <w:b/>
                <w:sz w:val="22"/>
                <w:szCs w:val="22"/>
              </w:rPr>
              <w:t>Further Update IGB</w:t>
            </w:r>
          </w:p>
        </w:tc>
        <w:sdt>
          <w:sdtPr>
            <w:rPr>
              <w:rFonts w:cs="Arial"/>
              <w:sz w:val="22"/>
              <w:szCs w:val="22"/>
            </w:rPr>
            <w:id w:val="1385840407"/>
            <w14:checkbox>
              <w14:checked w14:val="0"/>
              <w14:checkedState w14:val="2612" w14:font="MS Gothic"/>
              <w14:uncheckedState w14:val="2610" w14:font="MS Gothic"/>
            </w14:checkbox>
          </w:sdtPr>
          <w:sdtEndPr/>
          <w:sdtContent>
            <w:tc>
              <w:tcPr>
                <w:tcW w:w="567" w:type="dxa"/>
              </w:tcPr>
              <w:p w14:paraId="511F773C" w14:textId="77777777" w:rsidR="00EC2F12" w:rsidRPr="00A76167" w:rsidRDefault="00EC2F12" w:rsidP="0020578D">
                <w:pPr>
                  <w:rPr>
                    <w:rFonts w:cs="Arial"/>
                    <w:b/>
                    <w:sz w:val="22"/>
                    <w:szCs w:val="22"/>
                  </w:rPr>
                </w:pPr>
                <w:r w:rsidRPr="00A76167">
                  <w:rPr>
                    <w:rFonts w:ascii="Segoe UI Symbol" w:eastAsia="MS Gothic" w:hAnsi="Segoe UI Symbol" w:cs="Segoe UI Symbol"/>
                    <w:sz w:val="22"/>
                    <w:szCs w:val="22"/>
                  </w:rPr>
                  <w:t>☐</w:t>
                </w:r>
              </w:p>
            </w:tc>
          </w:sdtContent>
        </w:sdt>
        <w:tc>
          <w:tcPr>
            <w:tcW w:w="1418" w:type="dxa"/>
          </w:tcPr>
          <w:p w14:paraId="3F2E1782" w14:textId="77777777" w:rsidR="00EC2F12" w:rsidRPr="00A76167" w:rsidRDefault="00EC2F12" w:rsidP="0020578D">
            <w:pPr>
              <w:jc w:val="right"/>
              <w:rPr>
                <w:rFonts w:cs="Arial"/>
                <w:b/>
                <w:sz w:val="22"/>
                <w:szCs w:val="22"/>
              </w:rPr>
            </w:pPr>
            <w:r w:rsidRPr="00A76167">
              <w:rPr>
                <w:rFonts w:cs="Arial"/>
                <w:b/>
                <w:sz w:val="22"/>
                <w:szCs w:val="22"/>
              </w:rPr>
              <w:t xml:space="preserve">Refer to MRG </w:t>
            </w:r>
          </w:p>
        </w:tc>
        <w:sdt>
          <w:sdtPr>
            <w:rPr>
              <w:rFonts w:cs="Arial"/>
              <w:sz w:val="22"/>
              <w:szCs w:val="22"/>
            </w:rPr>
            <w:id w:val="-1424798437"/>
            <w14:checkbox>
              <w14:checked w14:val="0"/>
              <w14:checkedState w14:val="2612" w14:font="MS Gothic"/>
              <w14:uncheckedState w14:val="2610" w14:font="MS Gothic"/>
            </w14:checkbox>
          </w:sdtPr>
          <w:sdtEndPr/>
          <w:sdtContent>
            <w:tc>
              <w:tcPr>
                <w:tcW w:w="567" w:type="dxa"/>
              </w:tcPr>
              <w:p w14:paraId="6648A07A" w14:textId="77777777" w:rsidR="00EC2F12" w:rsidRPr="00A76167" w:rsidRDefault="00EC2F12" w:rsidP="0020578D">
                <w:pPr>
                  <w:rPr>
                    <w:rFonts w:cs="Arial"/>
                    <w:b/>
                    <w:sz w:val="22"/>
                    <w:szCs w:val="22"/>
                  </w:rPr>
                </w:pPr>
                <w:r w:rsidRPr="00A76167">
                  <w:rPr>
                    <w:rFonts w:ascii="Segoe UI Symbol" w:eastAsia="MS Gothic" w:hAnsi="Segoe UI Symbol" w:cs="Segoe UI Symbol"/>
                    <w:sz w:val="22"/>
                    <w:szCs w:val="22"/>
                  </w:rPr>
                  <w:t>☐</w:t>
                </w:r>
              </w:p>
            </w:tc>
          </w:sdtContent>
        </w:sdt>
        <w:tc>
          <w:tcPr>
            <w:tcW w:w="283" w:type="dxa"/>
          </w:tcPr>
          <w:p w14:paraId="0B4168C0" w14:textId="77777777" w:rsidR="00EC2F12" w:rsidRPr="00A76167" w:rsidRDefault="00EC2F12" w:rsidP="0020578D">
            <w:pPr>
              <w:rPr>
                <w:rFonts w:cs="Arial"/>
                <w:b/>
                <w:sz w:val="22"/>
                <w:szCs w:val="22"/>
              </w:rPr>
            </w:pPr>
          </w:p>
        </w:tc>
      </w:tr>
    </w:tbl>
    <w:p w14:paraId="38D8B041" w14:textId="77777777" w:rsidR="00EC2F12" w:rsidRDefault="00EC2F12"/>
    <w:tbl>
      <w:tblPr>
        <w:tblStyle w:val="TableGrid"/>
        <w:tblW w:w="9923" w:type="dxa"/>
        <w:tblLayout w:type="fixed"/>
        <w:tblLook w:val="01E0" w:firstRow="1" w:lastRow="1" w:firstColumn="1" w:lastColumn="1" w:noHBand="0" w:noVBand="0"/>
      </w:tblPr>
      <w:tblGrid>
        <w:gridCol w:w="2127"/>
        <w:gridCol w:w="7796"/>
      </w:tblGrid>
      <w:tr w:rsidR="00A76167" w:rsidRPr="00A76167" w14:paraId="2C0EEDD7" w14:textId="77777777" w:rsidTr="00A76167">
        <w:tc>
          <w:tcPr>
            <w:tcW w:w="2127" w:type="dxa"/>
          </w:tcPr>
          <w:p w14:paraId="0EE49FF5" w14:textId="77777777" w:rsidR="00BC0269" w:rsidRPr="00A76167" w:rsidRDefault="00BC0269" w:rsidP="00A76167">
            <w:pPr>
              <w:rPr>
                <w:rFonts w:cs="Arial"/>
                <w:sz w:val="22"/>
                <w:szCs w:val="22"/>
              </w:rPr>
            </w:pPr>
            <w:r w:rsidRPr="00A76167">
              <w:rPr>
                <w:rFonts w:cs="Arial"/>
                <w:sz w:val="22"/>
                <w:szCs w:val="22"/>
              </w:rPr>
              <w:t>Update:</w:t>
            </w:r>
          </w:p>
          <w:p w14:paraId="73D92F80" w14:textId="77777777" w:rsidR="00BC0269" w:rsidRPr="00A76167" w:rsidRDefault="00BC0269" w:rsidP="00A76167">
            <w:pPr>
              <w:rPr>
                <w:rFonts w:cs="Arial"/>
                <w:sz w:val="22"/>
                <w:szCs w:val="22"/>
              </w:rPr>
            </w:pPr>
            <w:r w:rsidRPr="00A76167">
              <w:rPr>
                <w:rFonts w:cs="Arial"/>
                <w:sz w:val="22"/>
                <w:szCs w:val="22"/>
              </w:rPr>
              <w:t>Made: xx/xx/xx</w:t>
            </w:r>
          </w:p>
        </w:tc>
        <w:tc>
          <w:tcPr>
            <w:tcW w:w="7796" w:type="dxa"/>
          </w:tcPr>
          <w:p w14:paraId="191F3C93" w14:textId="77777777" w:rsidR="00BC0269" w:rsidRPr="00A76167" w:rsidRDefault="00BC0269" w:rsidP="00A76167">
            <w:pPr>
              <w:rPr>
                <w:rFonts w:cs="Arial"/>
                <w:b/>
                <w:sz w:val="22"/>
                <w:szCs w:val="22"/>
              </w:rPr>
            </w:pPr>
          </w:p>
          <w:p w14:paraId="5E638C6C" w14:textId="77777777" w:rsidR="00BC0269" w:rsidRPr="00A76167" w:rsidRDefault="00BC0269" w:rsidP="00A76167">
            <w:pPr>
              <w:rPr>
                <w:rFonts w:cs="Arial"/>
                <w:b/>
                <w:sz w:val="22"/>
                <w:szCs w:val="22"/>
              </w:rPr>
            </w:pPr>
          </w:p>
        </w:tc>
      </w:tr>
    </w:tbl>
    <w:p w14:paraId="49720304" w14:textId="77777777" w:rsidR="0021513E" w:rsidRPr="00A76167" w:rsidRDefault="0021513E" w:rsidP="00A76167">
      <w:pPr>
        <w:ind w:left="-851"/>
        <w:rPr>
          <w:rFonts w:cs="Arial"/>
          <w:sz w:val="22"/>
          <w:szCs w:val="22"/>
        </w:rPr>
      </w:pPr>
    </w:p>
    <w:p w14:paraId="1B00D501" w14:textId="4E4BEECB" w:rsidR="00BC0269" w:rsidRPr="00A76167" w:rsidRDefault="00BC0269" w:rsidP="00A76167">
      <w:pPr>
        <w:ind w:left="-851"/>
        <w:rPr>
          <w:rFonts w:cs="Arial"/>
          <w:sz w:val="22"/>
          <w:szCs w:val="22"/>
        </w:rPr>
      </w:pPr>
      <w:r w:rsidRPr="00A76167">
        <w:rPr>
          <w:rFonts w:cs="Arial"/>
          <w:sz w:val="22"/>
          <w:szCs w:val="22"/>
        </w:rPr>
        <w:t>Review:</w:t>
      </w:r>
      <w:r w:rsidR="00EC2F12" w:rsidRPr="00EC2F12">
        <w:rPr>
          <w:rFonts w:cs="Arial"/>
          <w:b/>
          <w:sz w:val="22"/>
          <w:szCs w:val="22"/>
        </w:rPr>
        <w:t xml:space="preserve"> </w:t>
      </w:r>
      <w:r w:rsidR="00EC2F12" w:rsidRPr="00A76167">
        <w:rPr>
          <w:rFonts w:cs="Arial"/>
          <w:b/>
          <w:sz w:val="22"/>
          <w:szCs w:val="22"/>
        </w:rPr>
        <w:t>Review</w:t>
      </w:r>
    </w:p>
    <w:tbl>
      <w:tblPr>
        <w:tblStyle w:val="TableGrid"/>
        <w:tblW w:w="2127" w:type="dxa"/>
        <w:tblLayout w:type="fixed"/>
        <w:tblLook w:val="01E0" w:firstRow="1" w:lastRow="1" w:firstColumn="1" w:lastColumn="1" w:noHBand="0" w:noVBand="0"/>
      </w:tblPr>
      <w:tblGrid>
        <w:gridCol w:w="1418"/>
        <w:gridCol w:w="709"/>
      </w:tblGrid>
      <w:tr w:rsidR="00EC2F12" w:rsidRPr="00A76167" w14:paraId="61D5FC4C" w14:textId="77777777" w:rsidTr="00EC2F12">
        <w:trPr>
          <w:trHeight w:val="285"/>
        </w:trPr>
        <w:tc>
          <w:tcPr>
            <w:tcW w:w="1418" w:type="dxa"/>
          </w:tcPr>
          <w:p w14:paraId="01C09E74" w14:textId="5CE84AF4" w:rsidR="00EC2F12" w:rsidRPr="00A76167" w:rsidRDefault="00EC2F12" w:rsidP="00A76167">
            <w:pPr>
              <w:rPr>
                <w:rFonts w:cs="Arial"/>
                <w:b/>
                <w:sz w:val="22"/>
                <w:szCs w:val="22"/>
              </w:rPr>
            </w:pPr>
            <w:r w:rsidRPr="00A76167">
              <w:rPr>
                <w:rFonts w:cs="Arial"/>
                <w:sz w:val="22"/>
                <w:szCs w:val="22"/>
              </w:rPr>
              <w:lastRenderedPageBreak/>
              <w:t>Review Timescale</w:t>
            </w:r>
          </w:p>
        </w:tc>
        <w:tc>
          <w:tcPr>
            <w:tcW w:w="709" w:type="dxa"/>
          </w:tcPr>
          <w:p w14:paraId="558B7360" w14:textId="77777777" w:rsidR="00EC2F12" w:rsidRPr="00A76167" w:rsidRDefault="00EC2F12" w:rsidP="00A76167">
            <w:pPr>
              <w:jc w:val="center"/>
              <w:rPr>
                <w:rFonts w:cs="Arial"/>
                <w:sz w:val="22"/>
                <w:szCs w:val="22"/>
              </w:rPr>
            </w:pPr>
          </w:p>
        </w:tc>
      </w:tr>
      <w:tr w:rsidR="00EC2F12" w:rsidRPr="00A76167" w14:paraId="3EE8EC22" w14:textId="77777777" w:rsidTr="00EC2F12">
        <w:trPr>
          <w:trHeight w:val="285"/>
        </w:trPr>
        <w:tc>
          <w:tcPr>
            <w:tcW w:w="1418" w:type="dxa"/>
          </w:tcPr>
          <w:p w14:paraId="04456040" w14:textId="77777777" w:rsidR="00EC2F12" w:rsidRPr="00A76167" w:rsidRDefault="00EC2F12" w:rsidP="00A76167">
            <w:pPr>
              <w:rPr>
                <w:rFonts w:cs="Arial"/>
                <w:sz w:val="22"/>
                <w:szCs w:val="22"/>
              </w:rPr>
            </w:pPr>
            <w:r w:rsidRPr="00A76167">
              <w:rPr>
                <w:rFonts w:cs="Arial"/>
                <w:b/>
                <w:sz w:val="22"/>
                <w:szCs w:val="22"/>
              </w:rPr>
              <w:t>1 year</w:t>
            </w:r>
          </w:p>
        </w:tc>
        <w:sdt>
          <w:sdtPr>
            <w:rPr>
              <w:rFonts w:cs="Arial"/>
              <w:sz w:val="22"/>
              <w:szCs w:val="22"/>
            </w:rPr>
            <w:id w:val="1014495464"/>
            <w14:checkbox>
              <w14:checked w14:val="1"/>
              <w14:checkedState w14:val="2612" w14:font="MS Gothic"/>
              <w14:uncheckedState w14:val="2610" w14:font="MS Gothic"/>
            </w14:checkbox>
          </w:sdtPr>
          <w:sdtEndPr/>
          <w:sdtContent>
            <w:tc>
              <w:tcPr>
                <w:tcW w:w="709" w:type="dxa"/>
              </w:tcPr>
              <w:p w14:paraId="748A30CB" w14:textId="77777777" w:rsidR="00EC2F12" w:rsidRPr="00A76167" w:rsidRDefault="00EC2F12" w:rsidP="00A76167">
                <w:pPr>
                  <w:jc w:val="center"/>
                  <w:rPr>
                    <w:rFonts w:cs="Arial"/>
                    <w:sz w:val="22"/>
                    <w:szCs w:val="22"/>
                  </w:rPr>
                </w:pPr>
                <w:r w:rsidRPr="00A76167">
                  <w:rPr>
                    <w:rFonts w:ascii="Segoe UI Symbol" w:eastAsia="MS Gothic" w:hAnsi="Segoe UI Symbol" w:cs="Segoe UI Symbol"/>
                    <w:sz w:val="22"/>
                    <w:szCs w:val="22"/>
                  </w:rPr>
                  <w:t>☒</w:t>
                </w:r>
              </w:p>
            </w:tc>
          </w:sdtContent>
        </w:sdt>
      </w:tr>
      <w:tr w:rsidR="00EC2F12" w:rsidRPr="00A76167" w14:paraId="3628487E" w14:textId="77777777" w:rsidTr="00EC2F12">
        <w:trPr>
          <w:trHeight w:val="285"/>
        </w:trPr>
        <w:tc>
          <w:tcPr>
            <w:tcW w:w="1418" w:type="dxa"/>
          </w:tcPr>
          <w:p w14:paraId="08B7A19B" w14:textId="77777777" w:rsidR="00EC2F12" w:rsidRPr="00A76167" w:rsidRDefault="00EC2F12" w:rsidP="00A76167">
            <w:pPr>
              <w:rPr>
                <w:rFonts w:cs="Arial"/>
                <w:sz w:val="22"/>
                <w:szCs w:val="22"/>
              </w:rPr>
            </w:pPr>
            <w:r w:rsidRPr="00A76167">
              <w:rPr>
                <w:rFonts w:cs="Arial"/>
                <w:b/>
                <w:sz w:val="22"/>
                <w:szCs w:val="22"/>
              </w:rPr>
              <w:t>3 years</w:t>
            </w:r>
          </w:p>
        </w:tc>
        <w:sdt>
          <w:sdtPr>
            <w:rPr>
              <w:rFonts w:cs="Arial"/>
              <w:sz w:val="22"/>
              <w:szCs w:val="22"/>
            </w:rPr>
            <w:id w:val="972939044"/>
            <w14:checkbox>
              <w14:checked w14:val="0"/>
              <w14:checkedState w14:val="2612" w14:font="MS Gothic"/>
              <w14:uncheckedState w14:val="2610" w14:font="MS Gothic"/>
            </w14:checkbox>
          </w:sdtPr>
          <w:sdtEndPr/>
          <w:sdtContent>
            <w:tc>
              <w:tcPr>
                <w:tcW w:w="709" w:type="dxa"/>
              </w:tcPr>
              <w:p w14:paraId="07BF7534" w14:textId="77777777" w:rsidR="00EC2F12" w:rsidRPr="00A76167" w:rsidRDefault="00EC2F12" w:rsidP="00A76167">
                <w:pPr>
                  <w:jc w:val="center"/>
                  <w:rPr>
                    <w:rFonts w:cs="Arial"/>
                    <w:sz w:val="22"/>
                    <w:szCs w:val="22"/>
                  </w:rPr>
                </w:pPr>
                <w:r w:rsidRPr="00A76167">
                  <w:rPr>
                    <w:rFonts w:ascii="Segoe UI Symbol" w:eastAsia="MS Gothic" w:hAnsi="Segoe UI Symbol" w:cs="Segoe UI Symbol"/>
                    <w:sz w:val="22"/>
                    <w:szCs w:val="22"/>
                  </w:rPr>
                  <w:t>☐</w:t>
                </w:r>
              </w:p>
            </w:tc>
          </w:sdtContent>
        </w:sdt>
      </w:tr>
      <w:tr w:rsidR="00EC2F12" w:rsidRPr="00A76167" w14:paraId="6EF91B57" w14:textId="77777777" w:rsidTr="00EC2F12">
        <w:trPr>
          <w:trHeight w:val="285"/>
        </w:trPr>
        <w:tc>
          <w:tcPr>
            <w:tcW w:w="1418" w:type="dxa"/>
          </w:tcPr>
          <w:p w14:paraId="4271E5B6" w14:textId="77777777" w:rsidR="00EC2F12" w:rsidRPr="00A76167" w:rsidRDefault="00EC2F12" w:rsidP="00A76167">
            <w:pPr>
              <w:rPr>
                <w:rFonts w:cs="Arial"/>
                <w:sz w:val="22"/>
                <w:szCs w:val="22"/>
              </w:rPr>
            </w:pPr>
            <w:r w:rsidRPr="00A76167">
              <w:rPr>
                <w:rFonts w:cs="Arial"/>
                <w:b/>
                <w:sz w:val="22"/>
                <w:szCs w:val="22"/>
              </w:rPr>
              <w:t>Other:</w:t>
            </w:r>
          </w:p>
        </w:tc>
        <w:sdt>
          <w:sdtPr>
            <w:rPr>
              <w:rFonts w:cs="Arial"/>
              <w:sz w:val="22"/>
              <w:szCs w:val="22"/>
            </w:rPr>
            <w:id w:val="250395938"/>
            <w14:checkbox>
              <w14:checked w14:val="0"/>
              <w14:checkedState w14:val="2612" w14:font="MS Gothic"/>
              <w14:uncheckedState w14:val="2610" w14:font="MS Gothic"/>
            </w14:checkbox>
          </w:sdtPr>
          <w:sdtEndPr/>
          <w:sdtContent>
            <w:tc>
              <w:tcPr>
                <w:tcW w:w="709" w:type="dxa"/>
              </w:tcPr>
              <w:p w14:paraId="26864C16" w14:textId="77777777" w:rsidR="00EC2F12" w:rsidRPr="00A76167" w:rsidRDefault="00EC2F12" w:rsidP="00A76167">
                <w:pPr>
                  <w:jc w:val="center"/>
                  <w:rPr>
                    <w:rFonts w:cs="Arial"/>
                    <w:sz w:val="22"/>
                    <w:szCs w:val="22"/>
                  </w:rPr>
                </w:pPr>
                <w:r w:rsidRPr="00A76167">
                  <w:rPr>
                    <w:rFonts w:ascii="Segoe UI Symbol" w:eastAsia="MS Gothic" w:hAnsi="Segoe UI Symbol" w:cs="Segoe UI Symbol"/>
                    <w:sz w:val="22"/>
                    <w:szCs w:val="22"/>
                  </w:rPr>
                  <w:t>☐</w:t>
                </w:r>
              </w:p>
            </w:tc>
          </w:sdtContent>
        </w:sdt>
      </w:tr>
    </w:tbl>
    <w:p w14:paraId="6F3D3F52" w14:textId="77777777" w:rsidR="00EC2F12" w:rsidRPr="00A76167" w:rsidRDefault="00EC2F12" w:rsidP="00EC2F12">
      <w:pPr>
        <w:rPr>
          <w:rFonts w:cs="Arial"/>
          <w:sz w:val="22"/>
          <w:szCs w:val="22"/>
        </w:rPr>
      </w:pPr>
      <w:r w:rsidRPr="00A76167">
        <w:rPr>
          <w:rFonts w:cs="Arial"/>
          <w:sz w:val="22"/>
          <w:szCs w:val="22"/>
        </w:rPr>
        <w:t>Rationale         [Issues to consider  – Changes to process, policy data source, coding definitions HES definitions ]</w:t>
      </w:r>
    </w:p>
    <w:p w14:paraId="659ADB34" w14:textId="1BB32C78" w:rsidR="00BC0269" w:rsidRPr="00A76167" w:rsidRDefault="00EC2F12" w:rsidP="00EC2F12">
      <w:pPr>
        <w:rPr>
          <w:rFonts w:cs="Arial"/>
          <w:sz w:val="22"/>
          <w:szCs w:val="22"/>
        </w:rPr>
      </w:pPr>
      <w:r w:rsidRPr="00A76167">
        <w:rPr>
          <w:rFonts w:cs="Arial"/>
          <w:sz w:val="22"/>
          <w:szCs w:val="22"/>
        </w:rPr>
        <w:t>In light of the potential change of ownership of the data source the indicator is recommended for annual review in the short term</w:t>
      </w:r>
    </w:p>
    <w:p w14:paraId="00D84AD0" w14:textId="77777777" w:rsidR="00BC0269" w:rsidRPr="00A76167" w:rsidRDefault="00BC0269" w:rsidP="00A76167">
      <w:pPr>
        <w:tabs>
          <w:tab w:val="left" w:pos="2830"/>
        </w:tabs>
        <w:ind w:left="-851"/>
        <w:rPr>
          <w:rFonts w:cs="Arial"/>
          <w:sz w:val="22"/>
          <w:szCs w:val="22"/>
        </w:rPr>
      </w:pPr>
      <w:r w:rsidRPr="00A76167">
        <w:rPr>
          <w:rFonts w:cs="Arial"/>
          <w:sz w:val="22"/>
          <w:szCs w:val="22"/>
        </w:rPr>
        <w:t xml:space="preserve">IGB Sign-off: </w:t>
      </w:r>
    </w:p>
    <w:p w14:paraId="04BAB6C7" w14:textId="0F395A9C" w:rsidR="00BC0269" w:rsidRPr="00A76167" w:rsidRDefault="00EC2F12" w:rsidP="00A76167">
      <w:pPr>
        <w:rPr>
          <w:rFonts w:cs="Arial"/>
          <w:sz w:val="22"/>
          <w:szCs w:val="22"/>
        </w:rPr>
      </w:pPr>
      <w:r w:rsidRPr="00A76167">
        <w:rPr>
          <w:rFonts w:cs="Arial"/>
          <w:b/>
          <w:sz w:val="22"/>
          <w:szCs w:val="22"/>
        </w:rPr>
        <w:t>Indicator Assurance Process Output</w:t>
      </w:r>
    </w:p>
    <w:tbl>
      <w:tblPr>
        <w:tblStyle w:val="TableGrid"/>
        <w:tblW w:w="9923" w:type="dxa"/>
        <w:tblLayout w:type="fixed"/>
        <w:tblLook w:val="01E0" w:firstRow="1" w:lastRow="1" w:firstColumn="1" w:lastColumn="1" w:noHBand="0" w:noVBand="0"/>
      </w:tblPr>
      <w:tblGrid>
        <w:gridCol w:w="2124"/>
        <w:gridCol w:w="6509"/>
        <w:gridCol w:w="713"/>
        <w:gridCol w:w="577"/>
      </w:tblGrid>
      <w:tr w:rsidR="00EC2F12" w:rsidRPr="00A76167" w14:paraId="5916A99C" w14:textId="77777777" w:rsidTr="00A76167">
        <w:trPr>
          <w:trHeight w:val="228"/>
        </w:trPr>
        <w:tc>
          <w:tcPr>
            <w:tcW w:w="2124" w:type="dxa"/>
          </w:tcPr>
          <w:p w14:paraId="15335C32" w14:textId="30939B2C" w:rsidR="00EC2F12" w:rsidRPr="00A76167" w:rsidRDefault="00EC2F12" w:rsidP="00EC2F12">
            <w:pPr>
              <w:rPr>
                <w:rFonts w:cs="Arial"/>
                <w:sz w:val="22"/>
                <w:szCs w:val="22"/>
              </w:rPr>
            </w:pPr>
            <w:r w:rsidRPr="00A76167">
              <w:rPr>
                <w:rFonts w:cs="Arial"/>
                <w:i/>
                <w:sz w:val="22"/>
                <w:szCs w:val="22"/>
              </w:rPr>
              <w:t>Final Appraisal Status</w:t>
            </w:r>
          </w:p>
        </w:tc>
        <w:tc>
          <w:tcPr>
            <w:tcW w:w="6509" w:type="dxa"/>
          </w:tcPr>
          <w:p w14:paraId="6E64A14F" w14:textId="57F5C9AD" w:rsidR="00EC2F12" w:rsidRPr="00A76167" w:rsidRDefault="00EC2F12" w:rsidP="00EC2F12">
            <w:pPr>
              <w:pStyle w:val="ListParagraph"/>
              <w:numPr>
                <w:ilvl w:val="0"/>
                <w:numId w:val="25"/>
              </w:numPr>
              <w:spacing w:after="0"/>
              <w:contextualSpacing/>
              <w:textboxTightWrap w:val="none"/>
              <w:rPr>
                <w:rFonts w:cs="Arial"/>
                <w:b/>
                <w:sz w:val="22"/>
                <w:szCs w:val="22"/>
              </w:rPr>
            </w:pPr>
            <w:r w:rsidRPr="00A76167">
              <w:rPr>
                <w:rFonts w:cs="Arial"/>
                <w:b/>
                <w:sz w:val="22"/>
                <w:szCs w:val="22"/>
              </w:rPr>
              <w:t>Assured</w:t>
            </w:r>
          </w:p>
        </w:tc>
        <w:sdt>
          <w:sdtPr>
            <w:rPr>
              <w:rFonts w:cs="Arial"/>
              <w:sz w:val="22"/>
              <w:szCs w:val="22"/>
            </w:rPr>
            <w:id w:val="-1393576912"/>
            <w14:checkbox>
              <w14:checked w14:val="1"/>
              <w14:checkedState w14:val="2612" w14:font="MS Gothic"/>
              <w14:uncheckedState w14:val="2610" w14:font="MS Gothic"/>
            </w14:checkbox>
          </w:sdtPr>
          <w:sdtEndPr/>
          <w:sdtContent>
            <w:tc>
              <w:tcPr>
                <w:tcW w:w="713" w:type="dxa"/>
              </w:tcPr>
              <w:p w14:paraId="258D47EA" w14:textId="0B46E0AC" w:rsidR="00EC2F12" w:rsidRPr="00A76167" w:rsidRDefault="00EC2F12" w:rsidP="00EC2F12">
                <w:pPr>
                  <w:jc w:val="center"/>
                  <w:rPr>
                    <w:rFonts w:cs="Arial"/>
                    <w:sz w:val="22"/>
                    <w:szCs w:val="22"/>
                  </w:rPr>
                </w:pPr>
                <w:r w:rsidRPr="00A76167">
                  <w:rPr>
                    <w:rFonts w:ascii="Segoe UI Symbol" w:eastAsia="MS Gothic" w:hAnsi="Segoe UI Symbol" w:cs="Segoe UI Symbol"/>
                    <w:sz w:val="22"/>
                    <w:szCs w:val="22"/>
                  </w:rPr>
                  <w:t>☒</w:t>
                </w:r>
              </w:p>
            </w:tc>
          </w:sdtContent>
        </w:sdt>
        <w:tc>
          <w:tcPr>
            <w:tcW w:w="577" w:type="dxa"/>
          </w:tcPr>
          <w:p w14:paraId="380CAB5C" w14:textId="77777777" w:rsidR="00EC2F12" w:rsidRPr="00A76167" w:rsidRDefault="00EC2F12" w:rsidP="00EC2F12">
            <w:pPr>
              <w:rPr>
                <w:rFonts w:cs="Arial"/>
                <w:b/>
                <w:sz w:val="22"/>
                <w:szCs w:val="22"/>
              </w:rPr>
            </w:pPr>
          </w:p>
        </w:tc>
      </w:tr>
      <w:tr w:rsidR="00EC2F12" w:rsidRPr="00A76167" w14:paraId="123A3CA4" w14:textId="77777777" w:rsidTr="00A76167">
        <w:trPr>
          <w:trHeight w:val="228"/>
        </w:trPr>
        <w:tc>
          <w:tcPr>
            <w:tcW w:w="2124" w:type="dxa"/>
          </w:tcPr>
          <w:p w14:paraId="0F3504D1" w14:textId="77777777" w:rsidR="00EC2F12" w:rsidRPr="00A76167" w:rsidRDefault="00EC2F12" w:rsidP="00EC2F12">
            <w:pPr>
              <w:rPr>
                <w:rFonts w:cs="Arial"/>
                <w:sz w:val="22"/>
                <w:szCs w:val="22"/>
              </w:rPr>
            </w:pPr>
          </w:p>
        </w:tc>
        <w:tc>
          <w:tcPr>
            <w:tcW w:w="6509" w:type="dxa"/>
          </w:tcPr>
          <w:p w14:paraId="00067DFA" w14:textId="3925CC66" w:rsidR="00EC2F12" w:rsidRPr="00A76167" w:rsidRDefault="00EC2F12" w:rsidP="00EC2F12">
            <w:pPr>
              <w:pStyle w:val="ListParagraph"/>
              <w:numPr>
                <w:ilvl w:val="0"/>
                <w:numId w:val="25"/>
              </w:numPr>
              <w:spacing w:after="0"/>
              <w:contextualSpacing/>
              <w:textboxTightWrap w:val="none"/>
              <w:rPr>
                <w:rFonts w:cs="Arial"/>
                <w:b/>
                <w:sz w:val="22"/>
                <w:szCs w:val="22"/>
              </w:rPr>
            </w:pPr>
            <w:r w:rsidRPr="00A76167">
              <w:rPr>
                <w:rFonts w:cs="Arial"/>
                <w:b/>
                <w:sz w:val="22"/>
                <w:szCs w:val="22"/>
              </w:rPr>
              <w:t>Assured with Comments</w:t>
            </w:r>
          </w:p>
        </w:tc>
        <w:sdt>
          <w:sdtPr>
            <w:rPr>
              <w:rFonts w:cs="Arial"/>
              <w:sz w:val="22"/>
              <w:szCs w:val="22"/>
            </w:rPr>
            <w:id w:val="-329681067"/>
            <w14:checkbox>
              <w14:checked w14:val="0"/>
              <w14:checkedState w14:val="2612" w14:font="MS Gothic"/>
              <w14:uncheckedState w14:val="2610" w14:font="MS Gothic"/>
            </w14:checkbox>
          </w:sdtPr>
          <w:sdtEndPr/>
          <w:sdtContent>
            <w:tc>
              <w:tcPr>
                <w:tcW w:w="713" w:type="dxa"/>
              </w:tcPr>
              <w:p w14:paraId="141B8E34" w14:textId="7A1F3B72" w:rsidR="00EC2F12" w:rsidRPr="00A76167" w:rsidRDefault="00EC2F12" w:rsidP="00EC2F12">
                <w:pPr>
                  <w:jc w:val="center"/>
                  <w:rPr>
                    <w:rFonts w:cs="Arial"/>
                    <w:sz w:val="22"/>
                    <w:szCs w:val="22"/>
                  </w:rPr>
                </w:pPr>
                <w:r w:rsidRPr="00A76167">
                  <w:rPr>
                    <w:rFonts w:ascii="Segoe UI Symbol" w:eastAsia="MS Gothic" w:hAnsi="Segoe UI Symbol" w:cs="Segoe UI Symbol"/>
                    <w:sz w:val="22"/>
                    <w:szCs w:val="22"/>
                  </w:rPr>
                  <w:t>☐</w:t>
                </w:r>
              </w:p>
            </w:tc>
          </w:sdtContent>
        </w:sdt>
        <w:tc>
          <w:tcPr>
            <w:tcW w:w="577" w:type="dxa"/>
          </w:tcPr>
          <w:p w14:paraId="002B2515" w14:textId="77777777" w:rsidR="00EC2F12" w:rsidRPr="00A76167" w:rsidRDefault="00EC2F12" w:rsidP="00EC2F12">
            <w:pPr>
              <w:rPr>
                <w:rFonts w:cs="Arial"/>
                <w:b/>
                <w:sz w:val="22"/>
                <w:szCs w:val="22"/>
              </w:rPr>
            </w:pPr>
          </w:p>
        </w:tc>
      </w:tr>
      <w:tr w:rsidR="00EC2F12" w:rsidRPr="00A76167" w14:paraId="219EFDAA" w14:textId="77777777" w:rsidTr="00A76167">
        <w:trPr>
          <w:trHeight w:val="228"/>
        </w:trPr>
        <w:tc>
          <w:tcPr>
            <w:tcW w:w="2124" w:type="dxa"/>
          </w:tcPr>
          <w:p w14:paraId="07B3FC74" w14:textId="77777777" w:rsidR="00EC2F12" w:rsidRPr="00A76167" w:rsidRDefault="00EC2F12" w:rsidP="00EC2F12">
            <w:pPr>
              <w:rPr>
                <w:rFonts w:cs="Arial"/>
                <w:sz w:val="22"/>
                <w:szCs w:val="22"/>
              </w:rPr>
            </w:pPr>
          </w:p>
        </w:tc>
        <w:tc>
          <w:tcPr>
            <w:tcW w:w="6509" w:type="dxa"/>
          </w:tcPr>
          <w:p w14:paraId="1EE89A21" w14:textId="1B386ED1" w:rsidR="00EC2F12" w:rsidRPr="00A76167" w:rsidRDefault="00EC2F12" w:rsidP="00EC2F12">
            <w:pPr>
              <w:pStyle w:val="ListParagraph"/>
              <w:numPr>
                <w:ilvl w:val="0"/>
                <w:numId w:val="25"/>
              </w:numPr>
              <w:spacing w:after="0"/>
              <w:contextualSpacing/>
              <w:textboxTightWrap w:val="none"/>
              <w:rPr>
                <w:rFonts w:cs="Arial"/>
                <w:b/>
                <w:sz w:val="22"/>
                <w:szCs w:val="22"/>
              </w:rPr>
            </w:pPr>
            <w:r w:rsidRPr="00A76167">
              <w:rPr>
                <w:rFonts w:cs="Arial"/>
                <w:b/>
                <w:sz w:val="22"/>
                <w:szCs w:val="22"/>
              </w:rPr>
              <w:t>Failed Assurance</w:t>
            </w:r>
          </w:p>
        </w:tc>
        <w:sdt>
          <w:sdtPr>
            <w:rPr>
              <w:rFonts w:cs="Arial"/>
              <w:sz w:val="22"/>
              <w:szCs w:val="22"/>
            </w:rPr>
            <w:id w:val="1241842843"/>
            <w14:checkbox>
              <w14:checked w14:val="0"/>
              <w14:checkedState w14:val="2612" w14:font="MS Gothic"/>
              <w14:uncheckedState w14:val="2610" w14:font="MS Gothic"/>
            </w14:checkbox>
          </w:sdtPr>
          <w:sdtEndPr/>
          <w:sdtContent>
            <w:tc>
              <w:tcPr>
                <w:tcW w:w="713" w:type="dxa"/>
              </w:tcPr>
              <w:p w14:paraId="5C6D9481" w14:textId="5EFFF8B4" w:rsidR="00EC2F12" w:rsidRPr="00A76167" w:rsidRDefault="00EC2F12" w:rsidP="00EC2F12">
                <w:pPr>
                  <w:jc w:val="center"/>
                  <w:rPr>
                    <w:rFonts w:cs="Arial"/>
                    <w:sz w:val="22"/>
                    <w:szCs w:val="22"/>
                  </w:rPr>
                </w:pPr>
                <w:r w:rsidRPr="00A76167">
                  <w:rPr>
                    <w:rFonts w:ascii="Segoe UI Symbol" w:eastAsia="MS Gothic" w:hAnsi="Segoe UI Symbol" w:cs="Segoe UI Symbol"/>
                    <w:sz w:val="22"/>
                    <w:szCs w:val="22"/>
                  </w:rPr>
                  <w:t>☐</w:t>
                </w:r>
              </w:p>
            </w:tc>
          </w:sdtContent>
        </w:sdt>
        <w:tc>
          <w:tcPr>
            <w:tcW w:w="577" w:type="dxa"/>
          </w:tcPr>
          <w:p w14:paraId="72E6F702" w14:textId="77777777" w:rsidR="00EC2F12" w:rsidRPr="00A76167" w:rsidRDefault="00EC2F12" w:rsidP="00EC2F12">
            <w:pPr>
              <w:rPr>
                <w:rFonts w:cs="Arial"/>
                <w:b/>
                <w:sz w:val="22"/>
                <w:szCs w:val="22"/>
              </w:rPr>
            </w:pPr>
          </w:p>
        </w:tc>
      </w:tr>
    </w:tbl>
    <w:p w14:paraId="2655D55C" w14:textId="77777777" w:rsidR="00EC2F12" w:rsidRDefault="00EC2F12"/>
    <w:tbl>
      <w:tblPr>
        <w:tblStyle w:val="TableGrid"/>
        <w:tblW w:w="9923" w:type="dxa"/>
        <w:tblLayout w:type="fixed"/>
        <w:tblLook w:val="01E0" w:firstRow="1" w:lastRow="1" w:firstColumn="1" w:lastColumn="1" w:noHBand="0" w:noVBand="0"/>
      </w:tblPr>
      <w:tblGrid>
        <w:gridCol w:w="2124"/>
        <w:gridCol w:w="7799"/>
      </w:tblGrid>
      <w:tr w:rsidR="00EC2F12" w:rsidRPr="00A76167" w14:paraId="0969D5F2" w14:textId="77777777" w:rsidTr="00A76167">
        <w:tc>
          <w:tcPr>
            <w:tcW w:w="2124" w:type="dxa"/>
          </w:tcPr>
          <w:p w14:paraId="2ECCF3FC" w14:textId="77777777" w:rsidR="00EC2F12" w:rsidRPr="00A76167" w:rsidRDefault="00EC2F12" w:rsidP="00EC2F12">
            <w:pPr>
              <w:rPr>
                <w:rFonts w:cs="Arial"/>
                <w:sz w:val="22"/>
                <w:szCs w:val="22"/>
              </w:rPr>
            </w:pPr>
            <w:r w:rsidRPr="00A76167">
              <w:rPr>
                <w:rFonts w:cs="Arial"/>
                <w:sz w:val="22"/>
                <w:szCs w:val="22"/>
              </w:rPr>
              <w:t>Basis of Sign-off</w:t>
            </w:r>
          </w:p>
          <w:p w14:paraId="05336AE3" w14:textId="07B8C824" w:rsidR="00EC2F12" w:rsidRPr="00A76167" w:rsidRDefault="00EC2F12" w:rsidP="00EC2F12">
            <w:pPr>
              <w:rPr>
                <w:rFonts w:cs="Arial"/>
                <w:sz w:val="22"/>
                <w:szCs w:val="22"/>
              </w:rPr>
            </w:pPr>
            <w:r w:rsidRPr="00A76167">
              <w:rPr>
                <w:rFonts w:cs="Arial"/>
                <w:sz w:val="22"/>
                <w:szCs w:val="22"/>
              </w:rPr>
              <w:t>[Detail caveats and limitations ]</w:t>
            </w:r>
          </w:p>
        </w:tc>
        <w:tc>
          <w:tcPr>
            <w:tcW w:w="7799" w:type="dxa"/>
          </w:tcPr>
          <w:p w14:paraId="20982FAD" w14:textId="77777777" w:rsidR="00EC2F12" w:rsidRPr="00A76167" w:rsidRDefault="00EC2F12" w:rsidP="00A76167">
            <w:pPr>
              <w:rPr>
                <w:rFonts w:cs="Arial"/>
                <w:sz w:val="22"/>
                <w:szCs w:val="22"/>
              </w:rPr>
            </w:pPr>
          </w:p>
        </w:tc>
      </w:tr>
      <w:tr w:rsidR="00A76167" w:rsidRPr="00A76167" w14:paraId="6183DB42" w14:textId="77777777" w:rsidTr="00A76167">
        <w:tc>
          <w:tcPr>
            <w:tcW w:w="2124" w:type="dxa"/>
          </w:tcPr>
          <w:p w14:paraId="7DD9613C" w14:textId="77777777" w:rsidR="00BC0269" w:rsidRPr="00A76167" w:rsidRDefault="00BC0269" w:rsidP="00A76167">
            <w:pPr>
              <w:rPr>
                <w:rFonts w:cs="Arial"/>
                <w:sz w:val="22"/>
                <w:szCs w:val="22"/>
              </w:rPr>
            </w:pPr>
            <w:r w:rsidRPr="00A76167">
              <w:rPr>
                <w:rFonts w:cs="Arial"/>
                <w:sz w:val="22"/>
                <w:szCs w:val="22"/>
              </w:rPr>
              <w:t>Sign-off Date</w:t>
            </w:r>
          </w:p>
        </w:tc>
        <w:tc>
          <w:tcPr>
            <w:tcW w:w="7799" w:type="dxa"/>
          </w:tcPr>
          <w:p w14:paraId="17743E39" w14:textId="77777777" w:rsidR="00BC0269" w:rsidRPr="00A76167" w:rsidRDefault="00BC0269" w:rsidP="00A76167">
            <w:pPr>
              <w:rPr>
                <w:rFonts w:cs="Arial"/>
                <w:sz w:val="22"/>
                <w:szCs w:val="22"/>
              </w:rPr>
            </w:pPr>
            <w:r w:rsidRPr="00A76167">
              <w:rPr>
                <w:rFonts w:cs="Arial"/>
                <w:sz w:val="22"/>
                <w:szCs w:val="22"/>
              </w:rPr>
              <w:t>06/12/2013</w:t>
            </w:r>
          </w:p>
        </w:tc>
      </w:tr>
    </w:tbl>
    <w:p w14:paraId="1A7F68EB" w14:textId="77777777" w:rsidR="00BC0269" w:rsidRPr="00A76167" w:rsidRDefault="00BC0269" w:rsidP="00A76167">
      <w:pPr>
        <w:rPr>
          <w:rFonts w:cs="Arial"/>
          <w:sz w:val="22"/>
          <w:szCs w:val="22"/>
        </w:rPr>
      </w:pPr>
    </w:p>
    <w:p w14:paraId="1F89ED71" w14:textId="53937D5F" w:rsidR="00E65476" w:rsidRPr="00A76167" w:rsidRDefault="00706C33" w:rsidP="001D243C">
      <w:pPr>
        <w:rPr>
          <w:rFonts w:cs="Arial"/>
          <w:b/>
          <w:sz w:val="22"/>
          <w:szCs w:val="22"/>
        </w:rPr>
      </w:pPr>
      <w:r w:rsidRPr="00706C33">
        <w:t>See our </w:t>
      </w:r>
      <w:hyperlink r:id="rId33" w:anchor="what-to-do" w:history="1">
        <w:r w:rsidRPr="00706C33">
          <w:rPr>
            <w:color w:val="0563C1"/>
            <w:u w:val="single"/>
          </w:rPr>
          <w:t>accessibility statement</w:t>
        </w:r>
      </w:hyperlink>
      <w:r w:rsidRPr="00706C33">
        <w:t> if you’re havin</w:t>
      </w:r>
      <w:bookmarkStart w:id="0" w:name="_GoBack"/>
      <w:bookmarkEnd w:id="0"/>
      <w:r w:rsidRPr="00706C33">
        <w:t>g problems with this document.</w:t>
      </w:r>
    </w:p>
    <w:sectPr w:rsidR="00E65476" w:rsidRPr="00A76167" w:rsidSect="000C24AF">
      <w:pgSz w:w="11906" w:h="16838"/>
      <w:pgMar w:top="1021" w:right="1021" w:bottom="1021" w:left="1021" w:header="454"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67D28" w14:textId="77777777" w:rsidR="00A76167" w:rsidRDefault="00A76167" w:rsidP="000C24AF">
      <w:pPr>
        <w:spacing w:after="0"/>
      </w:pPr>
      <w:r>
        <w:separator/>
      </w:r>
    </w:p>
  </w:endnote>
  <w:endnote w:type="continuationSeparator" w:id="0">
    <w:p w14:paraId="6C367D29" w14:textId="77777777" w:rsidR="00A76167" w:rsidRDefault="00A76167" w:rsidP="000C24A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eastAsia="Calibri" w:cs="Arial"/>
        <w:sz w:val="18"/>
        <w:szCs w:val="18"/>
      </w:rPr>
      <w:id w:val="-861506761"/>
      <w:docPartObj>
        <w:docPartGallery w:val="Page Numbers (Bottom of Page)"/>
        <w:docPartUnique/>
      </w:docPartObj>
    </w:sdtPr>
    <w:sdtEndPr>
      <w:rPr>
        <w:noProof/>
      </w:rPr>
    </w:sdtEndPr>
    <w:sdtContent>
      <w:p w14:paraId="652BC389" w14:textId="167D4147" w:rsidR="00A76167" w:rsidRPr="00A76167" w:rsidRDefault="00A76167" w:rsidP="00A76167">
        <w:pPr>
          <w:tabs>
            <w:tab w:val="left" w:pos="426"/>
            <w:tab w:val="center" w:pos="4513"/>
            <w:tab w:val="right" w:pos="9026"/>
          </w:tabs>
          <w:spacing w:after="0"/>
          <w:textboxTightWrap w:val="none"/>
          <w:rPr>
            <w:rFonts w:eastAsia="Calibri" w:cs="Arial"/>
            <w:sz w:val="18"/>
            <w:szCs w:val="18"/>
          </w:rPr>
        </w:pPr>
        <w:r w:rsidRPr="00A76167">
          <w:rPr>
            <w:rFonts w:eastAsia="Calibri" w:cs="Arial"/>
            <w:sz w:val="18"/>
            <w:szCs w:val="18"/>
          </w:rPr>
          <w:t>IAP00</w:t>
        </w:r>
        <w:r>
          <w:rPr>
            <w:rFonts w:eastAsia="Calibri" w:cs="Arial"/>
            <w:sz w:val="18"/>
            <w:szCs w:val="18"/>
          </w:rPr>
          <w:t>140</w:t>
        </w:r>
        <w:r w:rsidRPr="00A76167">
          <w:rPr>
            <w:rFonts w:eastAsia="Calibri" w:cs="Arial"/>
            <w:sz w:val="18"/>
            <w:szCs w:val="18"/>
          </w:rPr>
          <w:t xml:space="preserve"> Supporting documentation</w:t>
        </w:r>
      </w:p>
      <w:p w14:paraId="5AF95A66" w14:textId="77777777" w:rsidR="00A76167" w:rsidRPr="00A76167" w:rsidRDefault="00A76167" w:rsidP="00A76167">
        <w:pPr>
          <w:tabs>
            <w:tab w:val="left" w:pos="426"/>
            <w:tab w:val="center" w:pos="4513"/>
            <w:tab w:val="right" w:pos="9026"/>
          </w:tabs>
          <w:spacing w:after="0"/>
          <w:textboxTightWrap w:val="none"/>
          <w:rPr>
            <w:rFonts w:eastAsia="Calibri" w:cs="Arial"/>
            <w:sz w:val="18"/>
            <w:szCs w:val="18"/>
          </w:rPr>
        </w:pPr>
        <w:r w:rsidRPr="00A76167">
          <w:rPr>
            <w:rFonts w:eastAsia="Calibri" w:cs="Arial"/>
            <w:sz w:val="18"/>
            <w:szCs w:val="18"/>
          </w:rPr>
          <w:t>Copyright © 2019 NHS Digital</w:t>
        </w:r>
        <w:r w:rsidRPr="00A76167">
          <w:rPr>
            <w:rFonts w:eastAsia="Calibri" w:cs="Arial"/>
            <w:sz w:val="18"/>
            <w:szCs w:val="18"/>
          </w:rPr>
          <w:tab/>
        </w:r>
        <w:r w:rsidRPr="00A76167">
          <w:rPr>
            <w:rFonts w:eastAsia="Calibri" w:cs="Arial"/>
            <w:sz w:val="18"/>
            <w:szCs w:val="18"/>
          </w:rPr>
          <w:tab/>
        </w:r>
        <w:r w:rsidRPr="00A76167">
          <w:rPr>
            <w:rFonts w:eastAsia="Calibri" w:cs="Arial"/>
            <w:sz w:val="18"/>
            <w:szCs w:val="18"/>
          </w:rPr>
          <w:tab/>
        </w:r>
        <w:r w:rsidRPr="00A76167">
          <w:rPr>
            <w:rFonts w:eastAsia="Calibri" w:cs="Arial"/>
            <w:sz w:val="18"/>
            <w:szCs w:val="18"/>
          </w:rPr>
          <w:tab/>
        </w:r>
        <w:r w:rsidRPr="00A76167">
          <w:rPr>
            <w:rFonts w:eastAsia="Calibri" w:cs="Arial"/>
            <w:sz w:val="18"/>
            <w:szCs w:val="18"/>
          </w:rPr>
          <w:tab/>
        </w:r>
        <w:r w:rsidRPr="00A76167">
          <w:rPr>
            <w:rFonts w:eastAsia="Calibri" w:cs="Arial"/>
            <w:sz w:val="18"/>
            <w:szCs w:val="18"/>
          </w:rPr>
          <w:tab/>
        </w:r>
        <w:r w:rsidRPr="00A76167">
          <w:rPr>
            <w:rFonts w:eastAsia="Calibri" w:cs="Arial"/>
            <w:sz w:val="18"/>
            <w:szCs w:val="18"/>
          </w:rPr>
          <w:tab/>
        </w:r>
        <w:r w:rsidRPr="00A76167">
          <w:rPr>
            <w:rFonts w:eastAsia="Calibri" w:cs="Arial"/>
            <w:sz w:val="18"/>
            <w:szCs w:val="18"/>
          </w:rPr>
          <w:tab/>
        </w:r>
        <w:r w:rsidRPr="00A76167">
          <w:rPr>
            <w:rFonts w:eastAsia="Calibri" w:cs="Arial"/>
            <w:sz w:val="18"/>
            <w:szCs w:val="18"/>
          </w:rPr>
          <w:tab/>
        </w:r>
        <w:r w:rsidRPr="00A76167">
          <w:rPr>
            <w:rFonts w:eastAsia="Calibri" w:cs="Arial"/>
            <w:sz w:val="18"/>
            <w:szCs w:val="18"/>
          </w:rPr>
          <w:fldChar w:fldCharType="begin"/>
        </w:r>
        <w:r w:rsidRPr="00A76167">
          <w:rPr>
            <w:rFonts w:eastAsia="Calibri" w:cs="Arial"/>
            <w:sz w:val="18"/>
            <w:szCs w:val="18"/>
          </w:rPr>
          <w:instrText xml:space="preserve"> PAGE   \* MERGEFORMAT </w:instrText>
        </w:r>
        <w:r w:rsidRPr="00A76167">
          <w:rPr>
            <w:rFonts w:eastAsia="Calibri" w:cs="Arial"/>
            <w:sz w:val="18"/>
            <w:szCs w:val="18"/>
          </w:rPr>
          <w:fldChar w:fldCharType="separate"/>
        </w:r>
        <w:r w:rsidRPr="00A76167">
          <w:rPr>
            <w:rFonts w:eastAsia="Calibri" w:cs="Arial"/>
            <w:sz w:val="18"/>
            <w:szCs w:val="18"/>
          </w:rPr>
          <w:t>1</w:t>
        </w:r>
        <w:r w:rsidRPr="00A76167">
          <w:rPr>
            <w:rFonts w:eastAsia="Calibri" w:cs="Arial"/>
            <w:noProof/>
            <w:sz w:val="18"/>
            <w:szCs w:val="18"/>
          </w:rPr>
          <w:fldChar w:fldCharType="end"/>
        </w:r>
      </w:p>
    </w:sdtContent>
  </w:sdt>
  <w:p w14:paraId="6C367D2F" w14:textId="77777777" w:rsidR="00A76167" w:rsidRDefault="00A76167" w:rsidP="00BC0269">
    <w:pP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367D26" w14:textId="77777777" w:rsidR="00A76167" w:rsidRDefault="00A76167" w:rsidP="000C24AF">
      <w:pPr>
        <w:spacing w:after="0"/>
      </w:pPr>
      <w:r>
        <w:separator/>
      </w:r>
    </w:p>
  </w:footnote>
  <w:footnote w:type="continuationSeparator" w:id="0">
    <w:p w14:paraId="6C367D27" w14:textId="77777777" w:rsidR="00A76167" w:rsidRDefault="00A76167" w:rsidP="000C24AF">
      <w:pPr>
        <w:spacing w:after="0"/>
      </w:pPr>
      <w:r>
        <w:continuationSeparator/>
      </w:r>
    </w:p>
  </w:footnote>
  <w:footnote w:id="1">
    <w:p w14:paraId="4E44EC37" w14:textId="3CF7156E" w:rsidR="00D47EDC" w:rsidRDefault="00D47EDC" w:rsidP="00E65476">
      <w:pPr>
        <w:pStyle w:val="FootnoteText"/>
      </w:pPr>
    </w:p>
  </w:footnote>
  <w:footnote w:id="2">
    <w:p w14:paraId="6EC8B79C" w14:textId="77777777" w:rsidR="00D47EDC" w:rsidRDefault="00D47EDC" w:rsidP="00E65476">
      <w:pPr>
        <w:pStyle w:val="FootnoteText"/>
      </w:pPr>
      <w:r>
        <w:rPr>
          <w:rStyle w:val="FootnoteReference"/>
        </w:rPr>
        <w:footnoteRef/>
      </w:r>
      <w:r>
        <w:t xml:space="preserve"> </w:t>
      </w:r>
      <w:hyperlink r:id="rId1" w:history="1">
        <w:r w:rsidRPr="00A44F7D">
          <w:rPr>
            <w:rStyle w:val="Hyperlink"/>
            <w:rFonts w:ascii="Arial" w:hAnsi="Arial"/>
          </w:rPr>
          <w:t>http://webarchive.nationalarchives.gov.uk/20130107105354/http://www.dh.gov.uk/en/Publicationsandstatistics/Publications/PublicationsPolicyAndGuidance/Browsable/DH_4916275</w:t>
        </w:r>
      </w:hyperlink>
      <w:r>
        <w:t xml:space="preserve"> </w:t>
      </w:r>
    </w:p>
  </w:footnote>
  <w:footnote w:id="3">
    <w:p w14:paraId="27494120" w14:textId="1FAD72F6" w:rsidR="00D47EDC" w:rsidRDefault="00D47EDC" w:rsidP="00E65476">
      <w:pPr>
        <w:pStyle w:val="FootnoteText"/>
      </w:pPr>
    </w:p>
  </w:footnote>
  <w:footnote w:id="4">
    <w:p w14:paraId="50FCD89A" w14:textId="1BE8E063" w:rsidR="00D47EDC" w:rsidRDefault="00D47EDC" w:rsidP="00E65476">
      <w:pPr>
        <w:pStyle w:val="FootnoteText"/>
      </w:pPr>
    </w:p>
  </w:footnote>
  <w:footnote w:id="5">
    <w:p w14:paraId="67992CAC" w14:textId="77777777" w:rsidR="00A76167" w:rsidRPr="00CA5EBD" w:rsidRDefault="00A76167" w:rsidP="00E65476">
      <w:pPr>
        <w:spacing w:before="240"/>
        <w:rPr>
          <w:sz w:val="22"/>
          <w:szCs w:val="22"/>
        </w:rPr>
      </w:pPr>
      <w:r w:rsidRPr="00CA5EBD">
        <w:rPr>
          <w:rStyle w:val="FootnoteReference"/>
        </w:rPr>
        <w:footnoteRef/>
      </w:r>
      <w:r w:rsidRPr="00CA5EBD">
        <w:t xml:space="preserve"> </w:t>
      </w:r>
      <w:r w:rsidRPr="00CA5EBD">
        <w:rPr>
          <w:sz w:val="22"/>
          <w:szCs w:val="22"/>
        </w:rPr>
        <w:t>* the NRLS sets two ‘submission’ deadlines a year, for data to be included in the Organisation Patient Safety Incident Reports (NRLS Official Statistics) workbooks: the last Friday in May and the last Friday in November.</w:t>
      </w:r>
    </w:p>
    <w:p w14:paraId="7A53B113" w14:textId="77777777" w:rsidR="00A76167" w:rsidRDefault="00A76167" w:rsidP="00E65476">
      <w:pPr>
        <w:pStyle w:val="FootnoteText"/>
      </w:pPr>
    </w:p>
  </w:footnote>
  <w:footnote w:id="6">
    <w:p w14:paraId="77BD29FF" w14:textId="75D38748" w:rsidR="00A76167" w:rsidRDefault="00A76167" w:rsidP="00E65476">
      <w:pPr>
        <w:pStyle w:val="FootnoteText"/>
      </w:pPr>
      <w:r>
        <w:t>T</w:t>
      </w:r>
      <w:r w:rsidRPr="001603A5">
        <w:t>he NRLS sets two ‘submission’ deadlines a year, for data to be included in the Organisation Patient Safety Incident Reports (NRLS Official Statistics) workbooks: the last Friday in May and the last Friday in November.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71D06" w14:textId="77777777" w:rsidR="00A76167" w:rsidRPr="00A76167" w:rsidRDefault="00A76167" w:rsidP="00A76167">
    <w:pPr>
      <w:tabs>
        <w:tab w:val="center" w:pos="4513"/>
        <w:tab w:val="right" w:pos="9026"/>
      </w:tabs>
      <w:spacing w:after="0"/>
      <w:jc w:val="center"/>
      <w:textboxTightWrap w:val="none"/>
      <w:rPr>
        <w:rFonts w:eastAsia="Calibri" w:cs="Arial"/>
        <w:b/>
        <w:bCs/>
      </w:rPr>
    </w:pPr>
    <w:r w:rsidRPr="00A76167">
      <w:rPr>
        <w:rFonts w:eastAsia="Calibri" w:cs="Arial"/>
        <w:b/>
        <w:bCs/>
      </w:rPr>
      <w:t>NICE inherited this indicator and all its supporting documentation from NHS Digital on 1 April 2020</w:t>
    </w:r>
  </w:p>
  <w:p w14:paraId="6C367D2E" w14:textId="77777777" w:rsidR="00A76167" w:rsidRDefault="00A76167" w:rsidP="00E570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83234"/>
    <w:multiLevelType w:val="hybridMultilevel"/>
    <w:tmpl w:val="7246828A"/>
    <w:lvl w:ilvl="0" w:tplc="91CE2B00">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F3FDC"/>
    <w:multiLevelType w:val="hybridMultilevel"/>
    <w:tmpl w:val="E49CD0B6"/>
    <w:lvl w:ilvl="0" w:tplc="31F6FFF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556F0"/>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9EC65BD"/>
    <w:multiLevelType w:val="hybridMultilevel"/>
    <w:tmpl w:val="89B08E36"/>
    <w:lvl w:ilvl="0" w:tplc="926E2EB0">
      <w:start w:val="1"/>
      <w:numFmt w:val="lowerLetter"/>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336D3F"/>
    <w:multiLevelType w:val="hybridMultilevel"/>
    <w:tmpl w:val="D304FB3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546334"/>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BB966BF"/>
    <w:multiLevelType w:val="hybridMultilevel"/>
    <w:tmpl w:val="0A76D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1B0164"/>
    <w:multiLevelType w:val="hybridMultilevel"/>
    <w:tmpl w:val="AA2867D0"/>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D262DD6"/>
    <w:multiLevelType w:val="hybridMultilevel"/>
    <w:tmpl w:val="373E9412"/>
    <w:lvl w:ilvl="0" w:tplc="5FEC7112">
      <w:start w:val="3"/>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B500DF"/>
    <w:multiLevelType w:val="hybridMultilevel"/>
    <w:tmpl w:val="AA2867D0"/>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1546CA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16E46B23"/>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B3B6701"/>
    <w:multiLevelType w:val="hybridMultilevel"/>
    <w:tmpl w:val="316EB19A"/>
    <w:lvl w:ilvl="0" w:tplc="EE26B92C">
      <w:numFmt w:val="bullet"/>
      <w:lvlText w:val="•"/>
      <w:lvlJc w:val="left"/>
      <w:pPr>
        <w:ind w:left="720" w:hanging="720"/>
      </w:pPr>
      <w:rPr>
        <w:rFonts w:ascii="Calibri" w:eastAsia="Times New Roman" w:hAnsi="Calibri" w:cs="Calibri" w:hint="default"/>
        <w:color w:val="000000" w:themeColor="text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A3367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8476AB9"/>
    <w:multiLevelType w:val="hybridMultilevel"/>
    <w:tmpl w:val="0D1C4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253CBF"/>
    <w:multiLevelType w:val="hybridMultilevel"/>
    <w:tmpl w:val="3ABA44EE"/>
    <w:lvl w:ilvl="0" w:tplc="2DDCBB8A">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9E1D67"/>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7" w15:restartNumberingAfterBreak="0">
    <w:nsid w:val="3075373C"/>
    <w:multiLevelType w:val="hybridMultilevel"/>
    <w:tmpl w:val="60F2B16E"/>
    <w:lvl w:ilvl="0" w:tplc="D540AE2C">
      <w:start w:val="1"/>
      <w:numFmt w:val="decimal"/>
      <w:lvlText w:val="%1."/>
      <w:lvlJc w:val="left"/>
      <w:pPr>
        <w:tabs>
          <w:tab w:val="num" w:pos="480"/>
        </w:tabs>
        <w:ind w:left="480" w:hanging="420"/>
      </w:pPr>
      <w:rPr>
        <w:rFonts w:hint="default"/>
      </w:rPr>
    </w:lvl>
    <w:lvl w:ilvl="1" w:tplc="08090019" w:tentative="1">
      <w:start w:val="1"/>
      <w:numFmt w:val="lowerLetter"/>
      <w:lvlText w:val="%2."/>
      <w:lvlJc w:val="left"/>
      <w:pPr>
        <w:tabs>
          <w:tab w:val="num" w:pos="1140"/>
        </w:tabs>
        <w:ind w:left="1140" w:hanging="360"/>
      </w:pPr>
    </w:lvl>
    <w:lvl w:ilvl="2" w:tplc="0809001B" w:tentative="1">
      <w:start w:val="1"/>
      <w:numFmt w:val="lowerRoman"/>
      <w:lvlText w:val="%3."/>
      <w:lvlJc w:val="right"/>
      <w:pPr>
        <w:tabs>
          <w:tab w:val="num" w:pos="1860"/>
        </w:tabs>
        <w:ind w:left="1860" w:hanging="180"/>
      </w:pPr>
    </w:lvl>
    <w:lvl w:ilvl="3" w:tplc="0809000F" w:tentative="1">
      <w:start w:val="1"/>
      <w:numFmt w:val="decimal"/>
      <w:lvlText w:val="%4."/>
      <w:lvlJc w:val="left"/>
      <w:pPr>
        <w:tabs>
          <w:tab w:val="num" w:pos="2580"/>
        </w:tabs>
        <w:ind w:left="2580" w:hanging="360"/>
      </w:pPr>
    </w:lvl>
    <w:lvl w:ilvl="4" w:tplc="08090019" w:tentative="1">
      <w:start w:val="1"/>
      <w:numFmt w:val="lowerLetter"/>
      <w:lvlText w:val="%5."/>
      <w:lvlJc w:val="left"/>
      <w:pPr>
        <w:tabs>
          <w:tab w:val="num" w:pos="3300"/>
        </w:tabs>
        <w:ind w:left="3300" w:hanging="360"/>
      </w:pPr>
    </w:lvl>
    <w:lvl w:ilvl="5" w:tplc="0809001B" w:tentative="1">
      <w:start w:val="1"/>
      <w:numFmt w:val="lowerRoman"/>
      <w:lvlText w:val="%6."/>
      <w:lvlJc w:val="right"/>
      <w:pPr>
        <w:tabs>
          <w:tab w:val="num" w:pos="4020"/>
        </w:tabs>
        <w:ind w:left="4020" w:hanging="180"/>
      </w:pPr>
    </w:lvl>
    <w:lvl w:ilvl="6" w:tplc="0809000F" w:tentative="1">
      <w:start w:val="1"/>
      <w:numFmt w:val="decimal"/>
      <w:lvlText w:val="%7."/>
      <w:lvlJc w:val="left"/>
      <w:pPr>
        <w:tabs>
          <w:tab w:val="num" w:pos="4740"/>
        </w:tabs>
        <w:ind w:left="4740" w:hanging="360"/>
      </w:pPr>
    </w:lvl>
    <w:lvl w:ilvl="7" w:tplc="08090019" w:tentative="1">
      <w:start w:val="1"/>
      <w:numFmt w:val="lowerLetter"/>
      <w:lvlText w:val="%8."/>
      <w:lvlJc w:val="left"/>
      <w:pPr>
        <w:tabs>
          <w:tab w:val="num" w:pos="5460"/>
        </w:tabs>
        <w:ind w:left="5460" w:hanging="360"/>
      </w:pPr>
    </w:lvl>
    <w:lvl w:ilvl="8" w:tplc="0809001B" w:tentative="1">
      <w:start w:val="1"/>
      <w:numFmt w:val="lowerRoman"/>
      <w:lvlText w:val="%9."/>
      <w:lvlJc w:val="right"/>
      <w:pPr>
        <w:tabs>
          <w:tab w:val="num" w:pos="6180"/>
        </w:tabs>
        <w:ind w:left="6180" w:hanging="180"/>
      </w:pPr>
    </w:lvl>
  </w:abstractNum>
  <w:abstractNum w:abstractNumId="18" w15:restartNumberingAfterBreak="0">
    <w:nsid w:val="30D066A4"/>
    <w:multiLevelType w:val="hybridMultilevel"/>
    <w:tmpl w:val="7582585C"/>
    <w:lvl w:ilvl="0" w:tplc="3182A586">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4100E1D"/>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B265C77"/>
    <w:multiLevelType w:val="hybridMultilevel"/>
    <w:tmpl w:val="C66EFA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F75C70"/>
    <w:multiLevelType w:val="hybridMultilevel"/>
    <w:tmpl w:val="D22C8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817D39"/>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02E5A1F"/>
    <w:multiLevelType w:val="hybridMultilevel"/>
    <w:tmpl w:val="CD8E6D52"/>
    <w:lvl w:ilvl="0" w:tplc="C9009796">
      <w:start w:val="1"/>
      <w:numFmt w:val="lowerRoman"/>
      <w:lvlText w:val="%1)"/>
      <w:lvlJc w:val="left"/>
      <w:pPr>
        <w:ind w:left="780" w:hanging="720"/>
      </w:pPr>
      <w:rPr>
        <w:rFonts w:hint="default"/>
        <w:b w:val="0"/>
        <w:sz w:val="24"/>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4" w15:restartNumberingAfterBreak="0">
    <w:nsid w:val="4B80334F"/>
    <w:multiLevelType w:val="hybridMultilevel"/>
    <w:tmpl w:val="54E068D4"/>
    <w:lvl w:ilvl="0" w:tplc="B65A2F94">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1208CB"/>
    <w:multiLevelType w:val="hybridMultilevel"/>
    <w:tmpl w:val="24206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50474C"/>
    <w:multiLevelType w:val="hybridMultilevel"/>
    <w:tmpl w:val="783C2DF6"/>
    <w:lvl w:ilvl="0" w:tplc="A7D662C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C419D9"/>
    <w:multiLevelType w:val="hybridMultilevel"/>
    <w:tmpl w:val="B77CA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95057B"/>
    <w:multiLevelType w:val="hybridMultilevel"/>
    <w:tmpl w:val="EF7E498C"/>
    <w:lvl w:ilvl="0" w:tplc="AA10D3C8">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9E32E9"/>
    <w:multiLevelType w:val="hybridMultilevel"/>
    <w:tmpl w:val="B1245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D538F"/>
    <w:multiLevelType w:val="hybridMultilevel"/>
    <w:tmpl w:val="08E81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0209E1"/>
    <w:multiLevelType w:val="hybridMultilevel"/>
    <w:tmpl w:val="696837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D79253D"/>
    <w:multiLevelType w:val="hybridMultilevel"/>
    <w:tmpl w:val="87206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B711CD"/>
    <w:multiLevelType w:val="hybridMultilevel"/>
    <w:tmpl w:val="694CE9E8"/>
    <w:lvl w:ilvl="0" w:tplc="AA10D3C8">
      <w:numFmt w:val="bullet"/>
      <w:lvlText w:val="-"/>
      <w:lvlJc w:val="left"/>
      <w:pPr>
        <w:ind w:left="405"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D50700"/>
    <w:multiLevelType w:val="hybridMultilevel"/>
    <w:tmpl w:val="CA5848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5C5F7A"/>
    <w:multiLevelType w:val="hybridMultilevel"/>
    <w:tmpl w:val="A0F20EF8"/>
    <w:lvl w:ilvl="0" w:tplc="926E2EB0">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D2A4210"/>
    <w:multiLevelType w:val="hybridMultilevel"/>
    <w:tmpl w:val="617A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833534"/>
    <w:multiLevelType w:val="hybridMultilevel"/>
    <w:tmpl w:val="9FB8D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E41225"/>
    <w:multiLevelType w:val="hybridMultilevel"/>
    <w:tmpl w:val="7E66A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515017F"/>
    <w:multiLevelType w:val="multilevel"/>
    <w:tmpl w:val="823223DC"/>
    <w:lvl w:ilvl="0">
      <w:start w:val="1"/>
      <w:numFmt w:val="decimal"/>
      <w:lvlText w:val="Section %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5813953"/>
    <w:multiLevelType w:val="multilevel"/>
    <w:tmpl w:val="EED64C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CB61CEF"/>
    <w:multiLevelType w:val="hybridMultilevel"/>
    <w:tmpl w:val="851AC7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DD5A34"/>
    <w:multiLevelType w:val="hybridMultilevel"/>
    <w:tmpl w:val="18AAA3AC"/>
    <w:lvl w:ilvl="0" w:tplc="08090019">
      <w:start w:val="1"/>
      <w:numFmt w:val="lowerLetter"/>
      <w:lvlText w:val="%1."/>
      <w:lvlJc w:val="left"/>
      <w:pPr>
        <w:ind w:left="360" w:hanging="360"/>
      </w:pPr>
      <w:rPr>
        <w:rFonts w:hint="default"/>
      </w:rPr>
    </w:lvl>
    <w:lvl w:ilvl="1" w:tplc="D9FE7B8E">
      <w:numFmt w:val="bullet"/>
      <w:lvlText w:val="•"/>
      <w:lvlJc w:val="left"/>
      <w:pPr>
        <w:ind w:left="1440" w:hanging="720"/>
      </w:pPr>
      <w:rPr>
        <w:rFonts w:ascii="Calibri" w:eastAsia="Times New Roman" w:hAnsi="Calibri" w:cs="Calibr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num>
  <w:num w:numId="3">
    <w:abstractNumId w:val="26"/>
  </w:num>
  <w:num w:numId="4">
    <w:abstractNumId w:val="39"/>
  </w:num>
  <w:num w:numId="5">
    <w:abstractNumId w:val="23"/>
  </w:num>
  <w:num w:numId="6">
    <w:abstractNumId w:val="41"/>
  </w:num>
  <w:num w:numId="7">
    <w:abstractNumId w:val="4"/>
  </w:num>
  <w:num w:numId="8">
    <w:abstractNumId w:val="17"/>
  </w:num>
  <w:num w:numId="9">
    <w:abstractNumId w:val="29"/>
  </w:num>
  <w:num w:numId="10">
    <w:abstractNumId w:val="32"/>
  </w:num>
  <w:num w:numId="11">
    <w:abstractNumId w:val="16"/>
  </w:num>
  <w:num w:numId="12">
    <w:abstractNumId w:val="5"/>
  </w:num>
  <w:num w:numId="13">
    <w:abstractNumId w:val="3"/>
  </w:num>
  <w:num w:numId="14">
    <w:abstractNumId w:val="8"/>
  </w:num>
  <w:num w:numId="15">
    <w:abstractNumId w:val="24"/>
  </w:num>
  <w:num w:numId="16">
    <w:abstractNumId w:val="14"/>
  </w:num>
  <w:num w:numId="17">
    <w:abstractNumId w:val="13"/>
  </w:num>
  <w:num w:numId="18">
    <w:abstractNumId w:val="10"/>
  </w:num>
  <w:num w:numId="19">
    <w:abstractNumId w:val="19"/>
  </w:num>
  <w:num w:numId="20">
    <w:abstractNumId w:val="2"/>
  </w:num>
  <w:num w:numId="21">
    <w:abstractNumId w:val="35"/>
  </w:num>
  <w:num w:numId="22">
    <w:abstractNumId w:val="9"/>
  </w:num>
  <w:num w:numId="23">
    <w:abstractNumId w:val="11"/>
  </w:num>
  <w:num w:numId="24">
    <w:abstractNumId w:val="42"/>
  </w:num>
  <w:num w:numId="25">
    <w:abstractNumId w:val="22"/>
  </w:num>
  <w:num w:numId="26">
    <w:abstractNumId w:val="27"/>
  </w:num>
  <w:num w:numId="27">
    <w:abstractNumId w:val="33"/>
  </w:num>
  <w:num w:numId="28">
    <w:abstractNumId w:val="28"/>
  </w:num>
  <w:num w:numId="29">
    <w:abstractNumId w:val="1"/>
  </w:num>
  <w:num w:numId="30">
    <w:abstractNumId w:val="37"/>
  </w:num>
  <w:num w:numId="31">
    <w:abstractNumId w:val="6"/>
  </w:num>
  <w:num w:numId="32">
    <w:abstractNumId w:val="20"/>
  </w:num>
  <w:num w:numId="33">
    <w:abstractNumId w:val="30"/>
  </w:num>
  <w:num w:numId="34">
    <w:abstractNumId w:val="21"/>
  </w:num>
  <w:num w:numId="35">
    <w:abstractNumId w:val="36"/>
  </w:num>
  <w:num w:numId="36">
    <w:abstractNumId w:val="25"/>
  </w:num>
  <w:num w:numId="37">
    <w:abstractNumId w:val="38"/>
  </w:num>
  <w:num w:numId="38">
    <w:abstractNumId w:val="18"/>
  </w:num>
  <w:num w:numId="39">
    <w:abstractNumId w:val="12"/>
  </w:num>
  <w:num w:numId="40">
    <w:abstractNumId w:val="7"/>
  </w:num>
  <w:num w:numId="41">
    <w:abstractNumId w:val="15"/>
  </w:num>
  <w:num w:numId="42">
    <w:abstractNumId w:val="31"/>
  </w:num>
  <w:num w:numId="43">
    <w:abstractNumId w:val="34"/>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documentProtection w:edit="readOnly"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528"/>
    <w:rsid w:val="00000197"/>
    <w:rsid w:val="000277F8"/>
    <w:rsid w:val="00082634"/>
    <w:rsid w:val="00095621"/>
    <w:rsid w:val="000C24AF"/>
    <w:rsid w:val="0010192E"/>
    <w:rsid w:val="0010571A"/>
    <w:rsid w:val="00110985"/>
    <w:rsid w:val="001453B1"/>
    <w:rsid w:val="0015258C"/>
    <w:rsid w:val="001757E3"/>
    <w:rsid w:val="001A5F3E"/>
    <w:rsid w:val="001C3565"/>
    <w:rsid w:val="001C53D7"/>
    <w:rsid w:val="001D243C"/>
    <w:rsid w:val="0021513E"/>
    <w:rsid w:val="00274F7A"/>
    <w:rsid w:val="002A7E9E"/>
    <w:rsid w:val="002C1D57"/>
    <w:rsid w:val="002C446A"/>
    <w:rsid w:val="0033715E"/>
    <w:rsid w:val="003D3A42"/>
    <w:rsid w:val="00420E7F"/>
    <w:rsid w:val="00435C46"/>
    <w:rsid w:val="004E445F"/>
    <w:rsid w:val="00514083"/>
    <w:rsid w:val="00616632"/>
    <w:rsid w:val="0062039B"/>
    <w:rsid w:val="006B3E0F"/>
    <w:rsid w:val="00702B4D"/>
    <w:rsid w:val="00706C33"/>
    <w:rsid w:val="0071497F"/>
    <w:rsid w:val="00763FA3"/>
    <w:rsid w:val="00772A5C"/>
    <w:rsid w:val="007D6E37"/>
    <w:rsid w:val="007E4138"/>
    <w:rsid w:val="008022CE"/>
    <w:rsid w:val="008144A7"/>
    <w:rsid w:val="00856A34"/>
    <w:rsid w:val="008C6900"/>
    <w:rsid w:val="008C7501"/>
    <w:rsid w:val="008D5953"/>
    <w:rsid w:val="00956B08"/>
    <w:rsid w:val="009B4AB9"/>
    <w:rsid w:val="00A268E2"/>
    <w:rsid w:val="00A57320"/>
    <w:rsid w:val="00A73E11"/>
    <w:rsid w:val="00A76167"/>
    <w:rsid w:val="00AD2BEF"/>
    <w:rsid w:val="00B77C41"/>
    <w:rsid w:val="00BC0269"/>
    <w:rsid w:val="00BD2300"/>
    <w:rsid w:val="00CA5EBD"/>
    <w:rsid w:val="00CC0C0F"/>
    <w:rsid w:val="00D47EDC"/>
    <w:rsid w:val="00D93D0D"/>
    <w:rsid w:val="00DC7D44"/>
    <w:rsid w:val="00DD7C30"/>
    <w:rsid w:val="00E45C31"/>
    <w:rsid w:val="00E5704B"/>
    <w:rsid w:val="00E60528"/>
    <w:rsid w:val="00E60E30"/>
    <w:rsid w:val="00E65476"/>
    <w:rsid w:val="00E73882"/>
    <w:rsid w:val="00EB1195"/>
    <w:rsid w:val="00EC2F12"/>
    <w:rsid w:val="00ED3649"/>
    <w:rsid w:val="00F02A7E"/>
    <w:rsid w:val="00F20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C367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4AF"/>
    <w:pPr>
      <w:spacing w:after="140"/>
      <w:textboxTightWrap w:val="lastLineOnly"/>
    </w:pPr>
    <w:rPr>
      <w:rFonts w:ascii="Arial" w:hAnsi="Arial"/>
      <w:sz w:val="24"/>
      <w:szCs w:val="24"/>
    </w:rPr>
  </w:style>
  <w:style w:type="paragraph" w:styleId="Heading1">
    <w:name w:val="heading 1"/>
    <w:next w:val="Normal"/>
    <w:link w:val="Heading1Char"/>
    <w:qFormat/>
    <w:rsid w:val="000C24AF"/>
    <w:pPr>
      <w:keepNext/>
      <w:spacing w:before="140" w:after="280"/>
      <w:outlineLvl w:val="0"/>
    </w:pPr>
    <w:rPr>
      <w:rFonts w:ascii="Arial" w:hAnsi="Arial" w:cs="Arial"/>
      <w:b/>
      <w:bCs/>
      <w:color w:val="003360" w:themeColor="accent1"/>
      <w:spacing w:val="-14"/>
      <w:kern w:val="28"/>
      <w:sz w:val="42"/>
      <w:szCs w:val="32"/>
      <w14:ligatures w14:val="standardContextual"/>
    </w:rPr>
  </w:style>
  <w:style w:type="paragraph" w:styleId="Heading2">
    <w:name w:val="heading 2"/>
    <w:next w:val="Normal"/>
    <w:link w:val="Heading2Char"/>
    <w:autoRedefine/>
    <w:qFormat/>
    <w:rsid w:val="008D5953"/>
    <w:pPr>
      <w:keepNext/>
      <w:spacing w:before="70" w:after="140"/>
      <w:outlineLvl w:val="1"/>
    </w:pPr>
    <w:rPr>
      <w:rFonts w:ascii="Arial" w:eastAsia="MS Mincho" w:hAnsi="Arial"/>
      <w:b/>
      <w:color w:val="003360" w:themeColor="accent1"/>
      <w:spacing w:val="-8"/>
      <w:kern w:val="28"/>
      <w:sz w:val="35"/>
      <w:szCs w:val="28"/>
      <w14:ligatures w14:val="standardContextual"/>
    </w:rPr>
  </w:style>
  <w:style w:type="paragraph" w:styleId="Heading3">
    <w:name w:val="heading 3"/>
    <w:basedOn w:val="Heading2"/>
    <w:next w:val="Normal"/>
    <w:link w:val="Heading3Char"/>
    <w:autoRedefine/>
    <w:qFormat/>
    <w:rsid w:val="000C24AF"/>
    <w:pPr>
      <w:outlineLvl w:val="2"/>
    </w:pPr>
    <w:rPr>
      <w:rFonts w:cs="Arial"/>
      <w:bCs/>
      <w:sz w:val="28"/>
      <w:szCs w:val="26"/>
    </w:rPr>
  </w:style>
  <w:style w:type="paragraph" w:styleId="Heading4">
    <w:name w:val="heading 4"/>
    <w:basedOn w:val="Normal"/>
    <w:next w:val="Normal"/>
    <w:link w:val="Heading4Char"/>
    <w:qFormat/>
    <w:rsid w:val="000C24AF"/>
    <w:pPr>
      <w:keepNext/>
      <w:spacing w:before="70" w:after="70"/>
      <w:outlineLvl w:val="3"/>
    </w:pPr>
    <w:rPr>
      <w:b/>
      <w:color w:val="003360" w:themeColor="accen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D5953"/>
    <w:rPr>
      <w:rFonts w:ascii="Arial" w:eastAsia="MS Mincho" w:hAnsi="Arial"/>
      <w:b/>
      <w:color w:val="003360" w:themeColor="accent1"/>
      <w:spacing w:val="-8"/>
      <w:kern w:val="28"/>
      <w:sz w:val="35"/>
      <w:szCs w:val="28"/>
      <w14:ligatures w14:val="standardContextual"/>
    </w:rPr>
  </w:style>
  <w:style w:type="character" w:customStyle="1" w:styleId="Heading1Char">
    <w:name w:val="Heading 1 Char"/>
    <w:basedOn w:val="DefaultParagraphFont"/>
    <w:link w:val="Heading1"/>
    <w:rsid w:val="000C24AF"/>
    <w:rPr>
      <w:rFonts w:ascii="Arial" w:hAnsi="Arial" w:cs="Arial"/>
      <w:b/>
      <w:bCs/>
      <w:color w:val="003360" w:themeColor="accent1"/>
      <w:spacing w:val="-14"/>
      <w:kern w:val="28"/>
      <w:sz w:val="42"/>
      <w:szCs w:val="32"/>
      <w14:ligatures w14:val="standardContextual"/>
    </w:rPr>
  </w:style>
  <w:style w:type="paragraph" w:styleId="ListParagraph">
    <w:name w:val="List Paragraph"/>
    <w:basedOn w:val="Normal"/>
    <w:link w:val="ListParagraphChar"/>
    <w:uiPriority w:val="34"/>
    <w:qFormat/>
    <w:rsid w:val="00D93D0D"/>
    <w:pPr>
      <w:spacing w:after="180"/>
      <w:ind w:firstLine="360"/>
    </w:pPr>
  </w:style>
  <w:style w:type="character" w:customStyle="1" w:styleId="Heading3Char">
    <w:name w:val="Heading 3 Char"/>
    <w:basedOn w:val="DefaultParagraphFont"/>
    <w:link w:val="Heading3"/>
    <w:rsid w:val="000C24AF"/>
    <w:rPr>
      <w:rFonts w:ascii="Arial" w:eastAsia="MS Mincho" w:hAnsi="Arial" w:cs="Arial"/>
      <w:b/>
      <w:bCs/>
      <w:color w:val="003360" w:themeColor="accent1"/>
      <w:spacing w:val="-8"/>
      <w:kern w:val="28"/>
      <w:sz w:val="28"/>
      <w:szCs w:val="26"/>
      <w14:ligatures w14:val="standardContextual"/>
    </w:rPr>
  </w:style>
  <w:style w:type="paragraph" w:customStyle="1" w:styleId="Bulletlist">
    <w:name w:val="Bullet list"/>
    <w:basedOn w:val="ListParagraph"/>
    <w:link w:val="BulletlistChar"/>
    <w:autoRedefine/>
    <w:qFormat/>
    <w:rsid w:val="00616632"/>
    <w:pPr>
      <w:numPr>
        <w:numId w:val="1"/>
      </w:numPr>
      <w:autoSpaceDE w:val="0"/>
      <w:autoSpaceDN w:val="0"/>
      <w:adjustRightInd w:val="0"/>
      <w:spacing w:after="140"/>
      <w:ind w:left="510" w:hanging="510"/>
      <w:textboxTightWrap w:val="none"/>
    </w:pPr>
    <w:rPr>
      <w:rFonts w:cs="FrutigerLTStd-Light"/>
      <w:szCs w:val="22"/>
    </w:rPr>
  </w:style>
  <w:style w:type="character" w:customStyle="1" w:styleId="BulletlistChar">
    <w:name w:val="Bullet list Char"/>
    <w:basedOn w:val="DefaultParagraphFont"/>
    <w:link w:val="Bulletlist"/>
    <w:rsid w:val="00616632"/>
    <w:rPr>
      <w:rFonts w:ascii="Arial" w:hAnsi="Arial" w:cs="FrutigerLTStd-Light"/>
      <w:sz w:val="24"/>
      <w:szCs w:val="22"/>
    </w:rPr>
  </w:style>
  <w:style w:type="paragraph" w:customStyle="1" w:styleId="Footnote-hanging">
    <w:name w:val="Footnote - hanging"/>
    <w:basedOn w:val="Bulletlist"/>
    <w:link w:val="Footnote-hangingChar"/>
    <w:qFormat/>
    <w:rsid w:val="008D5953"/>
    <w:pPr>
      <w:numPr>
        <w:numId w:val="0"/>
      </w:numPr>
      <w:tabs>
        <w:tab w:val="left" w:pos="284"/>
      </w:tabs>
      <w:spacing w:after="280"/>
      <w:ind w:left="284" w:hanging="284"/>
    </w:pPr>
    <w:rPr>
      <w:sz w:val="18"/>
      <w:szCs w:val="18"/>
    </w:rPr>
  </w:style>
  <w:style w:type="character" w:customStyle="1" w:styleId="Footnote-hangingChar">
    <w:name w:val="Footnote - hanging Char"/>
    <w:basedOn w:val="BulletlistChar"/>
    <w:link w:val="Footnote-hanging"/>
    <w:rsid w:val="008D5953"/>
    <w:rPr>
      <w:rFonts w:ascii="Arial" w:hAnsi="Arial" w:cs="FrutigerLTStd-Light"/>
      <w:sz w:val="18"/>
      <w:szCs w:val="18"/>
    </w:rPr>
  </w:style>
  <w:style w:type="character" w:customStyle="1" w:styleId="Heading4Char">
    <w:name w:val="Heading 4 Char"/>
    <w:basedOn w:val="DefaultParagraphFont"/>
    <w:link w:val="Heading4"/>
    <w:rsid w:val="000C24AF"/>
    <w:rPr>
      <w:rFonts w:ascii="Arial" w:hAnsi="Arial"/>
      <w:b/>
      <w:color w:val="003360" w:themeColor="accent1"/>
      <w:sz w:val="24"/>
    </w:rPr>
  </w:style>
  <w:style w:type="character" w:styleId="Hyperlink">
    <w:name w:val="Hyperlink"/>
    <w:basedOn w:val="DefaultParagraphFont"/>
    <w:unhideWhenUsed/>
    <w:qFormat/>
    <w:rsid w:val="000C24AF"/>
    <w:rPr>
      <w:rFonts w:asciiTheme="minorHAnsi" w:hAnsiTheme="minorHAnsi"/>
      <w:color w:val="0051A3" w:themeColor="text1" w:themeTint="BF"/>
      <w:u w:val="none"/>
    </w:rPr>
  </w:style>
  <w:style w:type="paragraph" w:customStyle="1" w:styleId="Standfirst">
    <w:name w:val="Standfirst"/>
    <w:basedOn w:val="Heading4"/>
    <w:link w:val="StandfirstChar"/>
    <w:autoRedefine/>
    <w:qFormat/>
    <w:rsid w:val="000C24AF"/>
    <w:pPr>
      <w:spacing w:before="0" w:after="140" w:line="420" w:lineRule="atLeast"/>
    </w:pPr>
    <w:rPr>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character" w:customStyle="1" w:styleId="StandfirstChar">
    <w:name w:val="Standfirst Char"/>
    <w:basedOn w:val="Heading4Char"/>
    <w:link w:val="Standfirst"/>
    <w:rsid w:val="000C24AF"/>
    <w:rPr>
      <w:rFonts w:ascii="Arial" w:hAnsi="Arial"/>
      <w:b/>
      <w:color w:val="505050" w:themeColor="accent3"/>
      <w:spacing w:val="4"/>
      <w:kern w:val="28"/>
      <w:sz w:val="28"/>
      <w:szCs w:val="28"/>
      <w14:textFill>
        <w14:solidFill>
          <w14:schemeClr w14:val="accent3">
            <w14:lumMod w14:val="75000"/>
            <w14:lumOff w14:val="25000"/>
            <w14:lumMod w14:val="75000"/>
            <w14:lumOff w14:val="25000"/>
          </w14:schemeClr>
        </w14:solidFill>
      </w14:textFill>
      <w14:ligatures w14:val="standardContextual"/>
    </w:rPr>
  </w:style>
  <w:style w:type="paragraph" w:styleId="TOC1">
    <w:name w:val="toc 1"/>
    <w:basedOn w:val="Normal"/>
    <w:next w:val="Normal"/>
    <w:autoRedefine/>
    <w:uiPriority w:val="39"/>
    <w:unhideWhenUsed/>
    <w:qFormat/>
    <w:rsid w:val="008D5953"/>
    <w:pPr>
      <w:pBdr>
        <w:top w:val="single" w:sz="4" w:space="4" w:color="B9B9B9" w:themeColor="accent3" w:themeTint="66"/>
        <w:bottom w:val="single" w:sz="4" w:space="4" w:color="B9B9B9" w:themeColor="accent3" w:themeTint="66"/>
      </w:pBdr>
      <w:tabs>
        <w:tab w:val="right" w:pos="9854"/>
      </w:tabs>
    </w:pPr>
    <w:rPr>
      <w:b/>
      <w:noProof/>
      <w:color w:val="003360" w:themeColor="accent1"/>
      <w:sz w:val="28"/>
    </w:rPr>
  </w:style>
  <w:style w:type="paragraph" w:styleId="TOCHeading">
    <w:name w:val="TOC Heading"/>
    <w:basedOn w:val="Heading1"/>
    <w:next w:val="Normal"/>
    <w:uiPriority w:val="39"/>
    <w:unhideWhenUsed/>
    <w:qFormat/>
    <w:rsid w:val="000C24AF"/>
    <w:pPr>
      <w:keepLines/>
      <w:spacing w:before="480" w:after="0" w:line="276" w:lineRule="auto"/>
      <w:outlineLvl w:val="9"/>
    </w:pPr>
    <w:rPr>
      <w:rFonts w:asciiTheme="majorHAnsi" w:eastAsiaTheme="majorEastAsia" w:hAnsiTheme="majorHAnsi" w:cstheme="majorBidi"/>
      <w:kern w:val="0"/>
      <w:sz w:val="28"/>
      <w:szCs w:val="28"/>
      <w:lang w:val="en-US" w:eastAsia="ja-JP"/>
    </w:rPr>
  </w:style>
  <w:style w:type="paragraph" w:customStyle="1" w:styleId="FrontpageTitle">
    <w:name w:val="Frontpage_Title"/>
    <w:basedOn w:val="Normal"/>
    <w:link w:val="FrontpageTitleChar"/>
    <w:autoRedefine/>
    <w:qFormat/>
    <w:rsid w:val="00E5704B"/>
    <w:rPr>
      <w:color w:val="003360" w:themeColor="accent1"/>
      <w:sz w:val="70"/>
      <w:szCs w:val="84"/>
    </w:rPr>
  </w:style>
  <w:style w:type="character" w:customStyle="1" w:styleId="FrontpageTitleChar">
    <w:name w:val="Frontpage_Title Char"/>
    <w:basedOn w:val="DefaultParagraphFont"/>
    <w:link w:val="FrontpageTitle"/>
    <w:rsid w:val="00E5704B"/>
    <w:rPr>
      <w:rFonts w:ascii="Arial" w:hAnsi="Arial"/>
      <w:color w:val="003360" w:themeColor="accent1"/>
      <w:sz w:val="70"/>
      <w:szCs w:val="84"/>
    </w:rPr>
  </w:style>
  <w:style w:type="paragraph" w:customStyle="1" w:styleId="Frontpagesubhead">
    <w:name w:val="Frontpage_subhead"/>
    <w:basedOn w:val="Normal"/>
    <w:link w:val="FrontpagesubheadChar"/>
    <w:autoRedefine/>
    <w:qFormat/>
    <w:rsid w:val="00E5704B"/>
    <w:rPr>
      <w:b/>
      <w:color w:val="003360" w:themeColor="accent1"/>
      <w:sz w:val="35"/>
      <w:szCs w:val="42"/>
    </w:rPr>
  </w:style>
  <w:style w:type="character" w:customStyle="1" w:styleId="FrontpagesubheadChar">
    <w:name w:val="Frontpage_subhead Char"/>
    <w:basedOn w:val="DefaultParagraphFont"/>
    <w:link w:val="Frontpagesubhead"/>
    <w:rsid w:val="00E5704B"/>
    <w:rPr>
      <w:rFonts w:ascii="Arial" w:hAnsi="Arial"/>
      <w:b/>
      <w:color w:val="003360" w:themeColor="accent1"/>
      <w:sz w:val="35"/>
      <w:szCs w:val="42"/>
    </w:rPr>
  </w:style>
  <w:style w:type="paragraph" w:customStyle="1" w:styleId="Footnoteseparator">
    <w:name w:val="Footnote_separator"/>
    <w:basedOn w:val="Heading3"/>
    <w:link w:val="FootnoteseparatorChar"/>
    <w:rsid w:val="000C24AF"/>
    <w:rPr>
      <w:noProof/>
      <w:w w:val="200"/>
      <w:sz w:val="16"/>
      <w:szCs w:val="16"/>
    </w:rPr>
  </w:style>
  <w:style w:type="character" w:customStyle="1" w:styleId="FootnoteseparatorChar">
    <w:name w:val="Footnote_separator Char"/>
    <w:basedOn w:val="Heading3Char"/>
    <w:link w:val="Footnoteseparator"/>
    <w:rsid w:val="000C24AF"/>
    <w:rPr>
      <w:rFonts w:ascii="Arial" w:eastAsia="MS Mincho" w:hAnsi="Arial" w:cs="Arial"/>
      <w:b/>
      <w:bCs/>
      <w:noProof/>
      <w:color w:val="003360" w:themeColor="accent1"/>
      <w:spacing w:val="-8"/>
      <w:w w:val="200"/>
      <w:kern w:val="28"/>
      <w:sz w:val="16"/>
      <w:szCs w:val="16"/>
      <w14:ligatures w14:val="standardContextual"/>
    </w:rPr>
  </w:style>
  <w:style w:type="paragraph" w:customStyle="1" w:styleId="Numberedlist">
    <w:name w:val="Numbered list"/>
    <w:basedOn w:val="ListParagraph"/>
    <w:link w:val="NumberedlistChar"/>
    <w:qFormat/>
    <w:rsid w:val="000C24AF"/>
    <w:pPr>
      <w:spacing w:after="140"/>
      <w:ind w:left="510" w:hanging="510"/>
    </w:pPr>
  </w:style>
  <w:style w:type="character" w:customStyle="1" w:styleId="NumberedlistChar">
    <w:name w:val="Numbered list Char"/>
    <w:basedOn w:val="DefaultParagraphFont"/>
    <w:link w:val="Numberedlist"/>
    <w:rsid w:val="000C24AF"/>
    <w:rPr>
      <w:rFonts w:ascii="Arial" w:hAnsi="Arial"/>
      <w:sz w:val="24"/>
      <w:szCs w:val="24"/>
    </w:rPr>
  </w:style>
  <w:style w:type="paragraph" w:styleId="TOC2">
    <w:name w:val="toc 2"/>
    <w:basedOn w:val="Normal"/>
    <w:next w:val="Normal"/>
    <w:autoRedefine/>
    <w:uiPriority w:val="39"/>
    <w:unhideWhenUsed/>
    <w:qFormat/>
    <w:rsid w:val="000C24AF"/>
    <w:pPr>
      <w:spacing w:after="100"/>
      <w:ind w:left="220"/>
    </w:pPr>
  </w:style>
  <w:style w:type="paragraph" w:styleId="TOC3">
    <w:name w:val="toc 3"/>
    <w:basedOn w:val="Normal"/>
    <w:next w:val="Normal"/>
    <w:autoRedefine/>
    <w:uiPriority w:val="39"/>
    <w:semiHidden/>
    <w:unhideWhenUsed/>
    <w:qFormat/>
    <w:rsid w:val="000C24AF"/>
    <w:pPr>
      <w:spacing w:after="100" w:line="276" w:lineRule="auto"/>
      <w:ind w:left="440"/>
      <w:textboxTightWrap w:val="none"/>
    </w:pPr>
    <w:rPr>
      <w:rFonts w:asciiTheme="minorHAnsi" w:eastAsiaTheme="minorEastAsia" w:hAnsiTheme="minorHAnsi" w:cstheme="minorBidi"/>
      <w:szCs w:val="22"/>
      <w:lang w:val="en-US" w:eastAsia="ja-JP"/>
    </w:rPr>
  </w:style>
  <w:style w:type="paragraph" w:styleId="Header">
    <w:name w:val="header"/>
    <w:basedOn w:val="Normal"/>
    <w:link w:val="HeaderChar"/>
    <w:uiPriority w:val="99"/>
    <w:unhideWhenUsed/>
    <w:qFormat/>
    <w:rsid w:val="00095621"/>
    <w:pPr>
      <w:pBdr>
        <w:bottom w:val="single" w:sz="6" w:space="4" w:color="505050" w:themeColor="accent3"/>
      </w:pBdr>
      <w:tabs>
        <w:tab w:val="left" w:pos="9639"/>
      </w:tabs>
      <w:spacing w:after="0"/>
    </w:pPr>
    <w:rPr>
      <w:b/>
      <w:color w:val="505050" w:themeColor="accent3"/>
      <w:sz w:val="20"/>
    </w:rPr>
  </w:style>
  <w:style w:type="character" w:customStyle="1" w:styleId="HeaderChar">
    <w:name w:val="Header Char"/>
    <w:basedOn w:val="DefaultParagraphFont"/>
    <w:link w:val="Header"/>
    <w:uiPriority w:val="99"/>
    <w:rsid w:val="00095621"/>
    <w:rPr>
      <w:rFonts w:ascii="Arial" w:hAnsi="Arial"/>
      <w:b/>
      <w:color w:val="505050" w:themeColor="accent3"/>
      <w:szCs w:val="24"/>
    </w:rPr>
  </w:style>
  <w:style w:type="paragraph" w:styleId="Footer">
    <w:name w:val="footer"/>
    <w:basedOn w:val="Normal"/>
    <w:link w:val="FooterChar"/>
    <w:autoRedefine/>
    <w:uiPriority w:val="99"/>
    <w:unhideWhenUsed/>
    <w:qFormat/>
    <w:rsid w:val="00BC0269"/>
    <w:pPr>
      <w:tabs>
        <w:tab w:val="right" w:pos="9866"/>
      </w:tabs>
      <w:spacing w:after="0"/>
    </w:pPr>
    <w:rPr>
      <w:rFonts w:eastAsia="Calibri" w:cs="Arial"/>
      <w:sz w:val="18"/>
      <w:szCs w:val="18"/>
    </w:rPr>
  </w:style>
  <w:style w:type="character" w:customStyle="1" w:styleId="FooterChar">
    <w:name w:val="Footer Char"/>
    <w:basedOn w:val="DefaultParagraphFont"/>
    <w:link w:val="Footer"/>
    <w:uiPriority w:val="99"/>
    <w:rsid w:val="00BC0269"/>
    <w:rPr>
      <w:rFonts w:ascii="Arial" w:eastAsia="Calibri" w:hAnsi="Arial" w:cs="Arial"/>
      <w:sz w:val="18"/>
      <w:szCs w:val="18"/>
    </w:rPr>
  </w:style>
  <w:style w:type="character" w:styleId="Strong">
    <w:name w:val="Strong"/>
    <w:aliases w:val="Bold"/>
    <w:qFormat/>
    <w:rsid w:val="000C24AF"/>
    <w:rPr>
      <w:rFonts w:asciiTheme="minorHAnsi" w:hAnsiTheme="minorHAnsi"/>
      <w:b/>
      <w:bCs/>
    </w:rPr>
  </w:style>
  <w:style w:type="paragraph" w:styleId="Quote">
    <w:name w:val="Quote"/>
    <w:basedOn w:val="Normal"/>
    <w:next w:val="Normal"/>
    <w:link w:val="QuoteChar"/>
    <w:uiPriority w:val="29"/>
    <w:qFormat/>
    <w:rsid w:val="000C24AF"/>
    <w:pPr>
      <w:spacing w:before="70" w:after="70"/>
    </w:pPr>
    <w:rPr>
      <w:rFonts w:ascii="Goudy Old Style" w:hAnsi="Goudy Old Style"/>
      <w:i/>
      <w:iCs/>
      <w:color w:val="003360" w:themeColor="accent1"/>
      <w:sz w:val="35"/>
    </w:rPr>
  </w:style>
  <w:style w:type="character" w:customStyle="1" w:styleId="QuoteChar">
    <w:name w:val="Quote Char"/>
    <w:basedOn w:val="DefaultParagraphFont"/>
    <w:link w:val="Quote"/>
    <w:uiPriority w:val="29"/>
    <w:rsid w:val="000C24AF"/>
    <w:rPr>
      <w:rFonts w:ascii="Goudy Old Style" w:hAnsi="Goudy Old Style"/>
      <w:i/>
      <w:iCs/>
      <w:color w:val="003360" w:themeColor="accent1"/>
      <w:sz w:val="35"/>
      <w:szCs w:val="24"/>
    </w:rPr>
  </w:style>
  <w:style w:type="character" w:customStyle="1" w:styleId="ListParagraphChar">
    <w:name w:val="List Paragraph Char"/>
    <w:basedOn w:val="DefaultParagraphFont"/>
    <w:link w:val="ListParagraph"/>
    <w:uiPriority w:val="34"/>
    <w:rsid w:val="001D243C"/>
    <w:rPr>
      <w:rFonts w:ascii="Arial" w:hAnsi="Arial"/>
      <w:sz w:val="24"/>
      <w:szCs w:val="24"/>
    </w:rPr>
  </w:style>
  <w:style w:type="character" w:styleId="FootnoteReference">
    <w:name w:val="footnote reference"/>
    <w:basedOn w:val="DefaultParagraphFont"/>
    <w:uiPriority w:val="99"/>
    <w:semiHidden/>
    <w:unhideWhenUsed/>
    <w:rsid w:val="001D243C"/>
    <w:rPr>
      <w:vertAlign w:val="superscript"/>
    </w:rPr>
  </w:style>
  <w:style w:type="paragraph" w:styleId="BalloonText">
    <w:name w:val="Balloon Text"/>
    <w:basedOn w:val="Normal"/>
    <w:link w:val="BalloonTextChar"/>
    <w:unhideWhenUsed/>
    <w:rsid w:val="003D3A42"/>
    <w:pPr>
      <w:spacing w:after="0"/>
    </w:pPr>
    <w:rPr>
      <w:rFonts w:ascii="Tahoma" w:hAnsi="Tahoma" w:cs="Tahoma"/>
      <w:sz w:val="16"/>
      <w:szCs w:val="16"/>
    </w:rPr>
  </w:style>
  <w:style w:type="character" w:customStyle="1" w:styleId="BalloonTextChar">
    <w:name w:val="Balloon Text Char"/>
    <w:basedOn w:val="DefaultParagraphFont"/>
    <w:link w:val="BalloonText"/>
    <w:rsid w:val="003D3A42"/>
    <w:rPr>
      <w:rFonts w:ascii="Tahoma" w:hAnsi="Tahoma" w:cs="Tahoma"/>
      <w:sz w:val="16"/>
      <w:szCs w:val="16"/>
    </w:rPr>
  </w:style>
  <w:style w:type="table" w:customStyle="1" w:styleId="TableGrid1">
    <w:name w:val="Table Grid1"/>
    <w:basedOn w:val="TableNormal"/>
    <w:next w:val="TableGrid"/>
    <w:uiPriority w:val="59"/>
    <w:rsid w:val="00772A5C"/>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72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5258C"/>
    <w:rPr>
      <w:color w:val="808080"/>
    </w:rPr>
  </w:style>
  <w:style w:type="paragraph" w:styleId="FootnoteText">
    <w:name w:val="footnote text"/>
    <w:basedOn w:val="Normal"/>
    <w:link w:val="FootnoteTextChar"/>
    <w:uiPriority w:val="99"/>
    <w:semiHidden/>
    <w:unhideWhenUsed/>
    <w:rsid w:val="00E65476"/>
    <w:pPr>
      <w:spacing w:after="0"/>
    </w:pPr>
    <w:rPr>
      <w:sz w:val="20"/>
      <w:szCs w:val="20"/>
    </w:rPr>
  </w:style>
  <w:style w:type="character" w:customStyle="1" w:styleId="FootnoteTextChar">
    <w:name w:val="Footnote Text Char"/>
    <w:basedOn w:val="DefaultParagraphFont"/>
    <w:link w:val="FootnoteText"/>
    <w:uiPriority w:val="99"/>
    <w:semiHidden/>
    <w:rsid w:val="00E65476"/>
    <w:rPr>
      <w:rFonts w:ascii="Arial" w:hAnsi="Arial"/>
    </w:rPr>
  </w:style>
  <w:style w:type="character" w:styleId="CommentReference">
    <w:name w:val="annotation reference"/>
    <w:basedOn w:val="DefaultParagraphFont"/>
    <w:unhideWhenUsed/>
    <w:rsid w:val="00E65476"/>
    <w:rPr>
      <w:sz w:val="16"/>
      <w:szCs w:val="16"/>
    </w:rPr>
  </w:style>
  <w:style w:type="paragraph" w:styleId="CommentText">
    <w:name w:val="annotation text"/>
    <w:basedOn w:val="Normal"/>
    <w:link w:val="CommentTextChar"/>
    <w:unhideWhenUsed/>
    <w:rsid w:val="00E65476"/>
    <w:rPr>
      <w:sz w:val="20"/>
      <w:szCs w:val="20"/>
    </w:rPr>
  </w:style>
  <w:style w:type="character" w:customStyle="1" w:styleId="CommentTextChar">
    <w:name w:val="Comment Text Char"/>
    <w:basedOn w:val="DefaultParagraphFont"/>
    <w:link w:val="CommentText"/>
    <w:rsid w:val="00E65476"/>
    <w:rPr>
      <w:rFonts w:ascii="Arial" w:hAnsi="Arial"/>
    </w:rPr>
  </w:style>
  <w:style w:type="paragraph" w:styleId="CommentSubject">
    <w:name w:val="annotation subject"/>
    <w:basedOn w:val="CommentText"/>
    <w:next w:val="CommentText"/>
    <w:link w:val="CommentSubjectChar"/>
    <w:unhideWhenUsed/>
    <w:rsid w:val="00E65476"/>
    <w:rPr>
      <w:b/>
      <w:bCs/>
    </w:rPr>
  </w:style>
  <w:style w:type="character" w:customStyle="1" w:styleId="CommentSubjectChar">
    <w:name w:val="Comment Subject Char"/>
    <w:basedOn w:val="CommentTextChar"/>
    <w:link w:val="CommentSubject"/>
    <w:rsid w:val="00E65476"/>
    <w:rPr>
      <w:rFonts w:ascii="Arial" w:hAnsi="Arial"/>
      <w:b/>
      <w:bCs/>
    </w:rPr>
  </w:style>
  <w:style w:type="character" w:styleId="FollowedHyperlink">
    <w:name w:val="FollowedHyperlink"/>
    <w:basedOn w:val="DefaultParagraphFont"/>
    <w:uiPriority w:val="99"/>
    <w:semiHidden/>
    <w:unhideWhenUsed/>
    <w:rsid w:val="00E65476"/>
    <w:rPr>
      <w:color w:val="701870" w:themeColor="followedHyperlink"/>
      <w:u w:val="single"/>
    </w:rPr>
  </w:style>
  <w:style w:type="paragraph" w:customStyle="1" w:styleId="CharCharCharCharCharCharCharCharCharCharChar">
    <w:name w:val="Char Char Char Char Char Char Char Char Char Char Char"/>
    <w:basedOn w:val="Normal"/>
    <w:rsid w:val="00BC0269"/>
    <w:pPr>
      <w:spacing w:after="120" w:line="240" w:lineRule="exact"/>
      <w:jc w:val="both"/>
      <w:textboxTightWrap w:val="none"/>
    </w:pPr>
    <w:rPr>
      <w:rFonts w:ascii="Verdana" w:hAnsi="Verdana"/>
      <w:sz w:val="20"/>
      <w:szCs w:val="20"/>
      <w:lang w:val="en-US"/>
    </w:rPr>
  </w:style>
  <w:style w:type="paragraph" w:customStyle="1" w:styleId="CharCharChar">
    <w:name w:val="Char Char Char"/>
    <w:basedOn w:val="Normal"/>
    <w:rsid w:val="00BC0269"/>
    <w:pPr>
      <w:spacing w:after="120" w:line="240" w:lineRule="exact"/>
      <w:jc w:val="both"/>
      <w:textboxTightWrap w:val="none"/>
    </w:pPr>
    <w:rPr>
      <w:rFonts w:ascii="Verdana" w:hAnsi="Verdana"/>
      <w:sz w:val="20"/>
      <w:szCs w:val="20"/>
      <w:lang w:val="en-US"/>
    </w:rPr>
  </w:style>
  <w:style w:type="paragraph" w:customStyle="1" w:styleId="Default">
    <w:name w:val="Default"/>
    <w:rsid w:val="00BC0269"/>
    <w:pPr>
      <w:autoSpaceDE w:val="0"/>
      <w:autoSpaceDN w:val="0"/>
      <w:adjustRightInd w:val="0"/>
    </w:pPr>
    <w:rPr>
      <w:rFonts w:ascii="Arial"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3782">
      <w:bodyDiv w:val="1"/>
      <w:marLeft w:val="0"/>
      <w:marRight w:val="0"/>
      <w:marTop w:val="0"/>
      <w:marBottom w:val="0"/>
      <w:divBdr>
        <w:top w:val="none" w:sz="0" w:space="0" w:color="auto"/>
        <w:left w:val="none" w:sz="0" w:space="0" w:color="auto"/>
        <w:bottom w:val="none" w:sz="0" w:space="0" w:color="auto"/>
        <w:right w:val="none" w:sz="0" w:space="0" w:color="auto"/>
      </w:divBdr>
    </w:div>
    <w:div w:id="126873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rls.npsa.nhs.uk/patient-safety-data/organisation-patient-safety-incident-reports/" TargetMode="External"/><Relationship Id="rId18" Type="http://schemas.openxmlformats.org/officeDocument/2006/relationships/hyperlink" Target="https://www.england.nhs.uk/resources/resources-for-ccgs/ccg-out-tool/ccg-ois/" TargetMode="External"/><Relationship Id="rId26"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hyperlink" Target="http://www.nrls.npsa.nhs.uk/report-a-patient-safety-incident/healthcare-staff-reporting/"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content.digital.nhs.uk/hes" TargetMode="External"/><Relationship Id="rId17" Type="http://schemas.openxmlformats.org/officeDocument/2006/relationships/hyperlink" Target="https://indicators.hscic.gov.uk/" TargetMode="External"/><Relationship Id="rId25" Type="http://schemas.openxmlformats.org/officeDocument/2006/relationships/hyperlink" Target="http://www.commissioningboard.nhs.uk/la-ccg-data/" TargetMode="External"/><Relationship Id="rId33" Type="http://schemas.openxmlformats.org/officeDocument/2006/relationships/hyperlink" Target="https://www.nice.org.uk/accessibility" TargetMode="External"/><Relationship Id="rId2" Type="http://schemas.openxmlformats.org/officeDocument/2006/relationships/customXml" Target="../customXml/item2.xml"/><Relationship Id="rId16" Type="http://schemas.openxmlformats.org/officeDocument/2006/relationships/hyperlink" Target="http://www.nrls.npsa.nhs.uk/report-a-patient-safety-incident/about-reporting-patient-safety-incidents/" TargetMode="External"/><Relationship Id="rId20" Type="http://schemas.openxmlformats.org/officeDocument/2006/relationships/image" Target="media/image1.png"/><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scic.gov.uk/hes" TargetMode="External"/><Relationship Id="rId24" Type="http://schemas.openxmlformats.org/officeDocument/2006/relationships/image" Target="media/image3.emf"/><Relationship Id="rId32" Type="http://schemas.openxmlformats.org/officeDocument/2006/relationships/hyperlink" Target="http://indicators.ic.nhs.uk/webview/" TargetMode="External"/><Relationship Id="rId5" Type="http://schemas.openxmlformats.org/officeDocument/2006/relationships/settings" Target="settings.xml"/><Relationship Id="rId15" Type="http://schemas.openxmlformats.org/officeDocument/2006/relationships/hyperlink" Target="http://content.digital.nhs.uk/ccgois" TargetMode="External"/><Relationship Id="rId23" Type="http://schemas.openxmlformats.org/officeDocument/2006/relationships/image" Target="media/image2.emf"/><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www.hscic.gov.uk/hes" TargetMode="External"/><Relationship Id="rId31" Type="http://schemas.openxmlformats.org/officeDocument/2006/relationships/hyperlink" Target="http://www.nrls.npsa.nhs.uk/patient-safety-data/organisation-patient-safety-incident-reports/directory/"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content.digital.nhs.uk/hesdatadictionary" TargetMode="External"/><Relationship Id="rId22" Type="http://schemas.openxmlformats.org/officeDocument/2006/relationships/hyperlink" Target="http://www.nrls.npsa.nhs.uk/patient-safety-data/organisation-patient-safety-incident-reports/directory/" TargetMode="External"/><Relationship Id="rId27" Type="http://schemas.openxmlformats.org/officeDocument/2006/relationships/chart" Target="charts/chart1.xml"/><Relationship Id="rId30" Type="http://schemas.openxmlformats.org/officeDocument/2006/relationships/hyperlink" Target="http://www.nrls.npsa.nhs.uk/report-a-patient-safety-incident/healthcare-staff-reporting/" TargetMode="External"/><Relationship Id="rId35"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webarchive.nationalarchives.gov.uk/20130107105354/http://www.dh.gov.uk/en/Publicationsandstatistics/Publications/PublicationsPolicyAndGuidance/Browsable/DH_4916275"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ic.green.net\IC_Data_DFS\CA\Commissioning%20Outcomes%20Framework\HES\1.%20COF%2012_13\4.New%20Indicators%20for%20Development\Patient%20Safety%20to%20NICE\Patient%20Safety%20upd%2005021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000" baseline="0"/>
              <a:t>% Provider Inpatient to Outpatient Activity</a:t>
            </a:r>
            <a:endParaRPr lang="en-GB" sz="1000"/>
          </a:p>
        </c:rich>
      </c:tx>
      <c:overlay val="0"/>
    </c:title>
    <c:autoTitleDeleted val="0"/>
    <c:plotArea>
      <c:layout/>
      <c:barChart>
        <c:barDir val="col"/>
        <c:grouping val="clustered"/>
        <c:varyColors val="0"/>
        <c:ser>
          <c:idx val="0"/>
          <c:order val="0"/>
          <c:tx>
            <c:v>Frequency</c:v>
          </c:tx>
          <c:invertIfNegative val="0"/>
          <c:cat>
            <c:strRef>
              <c:f>'OP to APC'!$M$320:$M$331</c:f>
              <c:strCache>
                <c:ptCount val="12"/>
                <c:pt idx="0">
                  <c:v>≤10</c:v>
                </c:pt>
                <c:pt idx="1">
                  <c:v>≤20</c:v>
                </c:pt>
                <c:pt idx="2">
                  <c:v>≤30</c:v>
                </c:pt>
                <c:pt idx="3">
                  <c:v>≤40</c:v>
                </c:pt>
                <c:pt idx="4">
                  <c:v>≤50</c:v>
                </c:pt>
                <c:pt idx="5">
                  <c:v>≤60</c:v>
                </c:pt>
                <c:pt idx="6">
                  <c:v>≤70</c:v>
                </c:pt>
                <c:pt idx="7">
                  <c:v>≤80</c:v>
                </c:pt>
                <c:pt idx="8">
                  <c:v>≤90</c:v>
                </c:pt>
                <c:pt idx="9">
                  <c:v>≤100</c:v>
                </c:pt>
                <c:pt idx="10">
                  <c:v>&gt;100</c:v>
                </c:pt>
                <c:pt idx="11">
                  <c:v>IP but no OP</c:v>
                </c:pt>
              </c:strCache>
            </c:strRef>
          </c:cat>
          <c:val>
            <c:numRef>
              <c:f>'OP to APC'!$N$320:$N$331</c:f>
              <c:numCache>
                <c:formatCode>General</c:formatCode>
                <c:ptCount val="12"/>
                <c:pt idx="0">
                  <c:v>68</c:v>
                </c:pt>
                <c:pt idx="1">
                  <c:v>51</c:v>
                </c:pt>
                <c:pt idx="2">
                  <c:v>110</c:v>
                </c:pt>
                <c:pt idx="3">
                  <c:v>23</c:v>
                </c:pt>
                <c:pt idx="4">
                  <c:v>8</c:v>
                </c:pt>
                <c:pt idx="5">
                  <c:v>1</c:v>
                </c:pt>
                <c:pt idx="6">
                  <c:v>0</c:v>
                </c:pt>
                <c:pt idx="7">
                  <c:v>0</c:v>
                </c:pt>
                <c:pt idx="8">
                  <c:v>0</c:v>
                </c:pt>
                <c:pt idx="9">
                  <c:v>0</c:v>
                </c:pt>
                <c:pt idx="10">
                  <c:v>3</c:v>
                </c:pt>
                <c:pt idx="11">
                  <c:v>34</c:v>
                </c:pt>
              </c:numCache>
            </c:numRef>
          </c:val>
          <c:extLst>
            <c:ext xmlns:c16="http://schemas.microsoft.com/office/drawing/2014/chart" uri="{C3380CC4-5D6E-409C-BE32-E72D297353CC}">
              <c16:uniqueId val="{00000000-6713-450C-868D-E119C0970B41}"/>
            </c:ext>
          </c:extLst>
        </c:ser>
        <c:dLbls>
          <c:showLegendKey val="0"/>
          <c:showVal val="0"/>
          <c:showCatName val="0"/>
          <c:showSerName val="0"/>
          <c:showPercent val="0"/>
          <c:showBubbleSize val="0"/>
        </c:dLbls>
        <c:gapWidth val="150"/>
        <c:axId val="114340608"/>
        <c:axId val="114342528"/>
      </c:barChart>
      <c:catAx>
        <c:axId val="114340608"/>
        <c:scaling>
          <c:orientation val="minMax"/>
        </c:scaling>
        <c:delete val="0"/>
        <c:axPos val="b"/>
        <c:title>
          <c:tx>
            <c:rich>
              <a:bodyPr/>
              <a:lstStyle/>
              <a:p>
                <a:pPr>
                  <a:defRPr/>
                </a:pPr>
                <a:r>
                  <a:rPr lang="en-GB"/>
                  <a:t>%</a:t>
                </a:r>
                <a:r>
                  <a:rPr lang="en-GB" baseline="0"/>
                  <a:t> Inpatient admissions to Outpatient attendances</a:t>
                </a:r>
                <a:endParaRPr lang="en-GB"/>
              </a:p>
            </c:rich>
          </c:tx>
          <c:overlay val="0"/>
        </c:title>
        <c:numFmt formatCode="General" sourceLinked="1"/>
        <c:majorTickMark val="out"/>
        <c:minorTickMark val="none"/>
        <c:tickLblPos val="nextTo"/>
        <c:crossAx val="114342528"/>
        <c:crosses val="autoZero"/>
        <c:auto val="1"/>
        <c:lblAlgn val="ctr"/>
        <c:lblOffset val="100"/>
        <c:noMultiLvlLbl val="0"/>
      </c:catAx>
      <c:valAx>
        <c:axId val="114342528"/>
        <c:scaling>
          <c:orientation val="minMax"/>
          <c:max val="100"/>
        </c:scaling>
        <c:delete val="0"/>
        <c:axPos val="l"/>
        <c:title>
          <c:tx>
            <c:rich>
              <a:bodyPr/>
              <a:lstStyle/>
              <a:p>
                <a:pPr>
                  <a:defRPr/>
                </a:pPr>
                <a:r>
                  <a:rPr lang="en-GB"/>
                  <a:t>No of</a:t>
                </a:r>
                <a:r>
                  <a:rPr lang="en-GB" baseline="0"/>
                  <a:t> </a:t>
                </a:r>
                <a:r>
                  <a:rPr lang="en-GB"/>
                  <a:t>Providers</a:t>
                </a:r>
              </a:p>
            </c:rich>
          </c:tx>
          <c:overlay val="0"/>
        </c:title>
        <c:numFmt formatCode="General" sourceLinked="1"/>
        <c:majorTickMark val="out"/>
        <c:minorTickMark val="none"/>
        <c:tickLblPos val="nextTo"/>
        <c:crossAx val="114340608"/>
        <c:crosses val="autoZero"/>
        <c:crossBetween val="between"/>
      </c:valAx>
      <c:dTable>
        <c:showHorzBorder val="1"/>
        <c:showVertBorder val="1"/>
        <c:showOutline val="1"/>
        <c:showKeys val="0"/>
        <c:txPr>
          <a:bodyPr/>
          <a:lstStyle/>
          <a:p>
            <a:pPr rtl="0">
              <a:defRPr sz="800" baseline="0"/>
            </a:pPr>
            <a:endParaRPr lang="en-US"/>
          </a:p>
        </c:txPr>
      </c:dTable>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DE1DEF9BA34C02AD824B4F7E6081DD"/>
        <w:category>
          <w:name w:val="General"/>
          <w:gallery w:val="placeholder"/>
        </w:category>
        <w:types>
          <w:type w:val="bbPlcHdr"/>
        </w:types>
        <w:behaviors>
          <w:behavior w:val="content"/>
        </w:behaviors>
        <w:guid w:val="{BCC4C09F-F79A-4CF6-AEFD-7F5F4784E40F}"/>
      </w:docPartPr>
      <w:docPartBody>
        <w:p w:rsidR="008D6DE4" w:rsidRDefault="00FD2F2B" w:rsidP="00FD2F2B">
          <w:pPr>
            <w:pStyle w:val="0ADE1DEF9BA34C02AD824B4F7E6081DD"/>
          </w:pPr>
          <w:r w:rsidRPr="00BC452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rutigerLTStd-Light">
    <w:altName w:val="Calibri"/>
    <w:panose1 w:val="00000000000000000000"/>
    <w:charset w:val="00"/>
    <w:family w:val="swiss"/>
    <w:notTrueType/>
    <w:pitch w:val="default"/>
    <w:sig w:usb0="00000003" w:usb1="00000000" w:usb2="00000000" w:usb3="00000000" w:csb0="00000001" w:csb1="00000000"/>
  </w:font>
  <w:font w:name="Goudy Old Style">
    <w:altName w:val="Bell MT"/>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D9"/>
    <w:rsid w:val="00024330"/>
    <w:rsid w:val="001B72D9"/>
    <w:rsid w:val="002B3BE6"/>
    <w:rsid w:val="008916E4"/>
    <w:rsid w:val="008D6DE4"/>
    <w:rsid w:val="00AE052B"/>
    <w:rsid w:val="00FD2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E361EE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2F2B"/>
    <w:rPr>
      <w:color w:val="808080"/>
    </w:rPr>
  </w:style>
  <w:style w:type="paragraph" w:customStyle="1" w:styleId="7A519A16D776400A999ACBB3AEE6FA1C">
    <w:name w:val="7A519A16D776400A999ACBB3AEE6FA1C"/>
    <w:rsid w:val="001B72D9"/>
  </w:style>
  <w:style w:type="paragraph" w:customStyle="1" w:styleId="EE3D57D5D6D54AD689BE336733C314BB">
    <w:name w:val="EE3D57D5D6D54AD689BE336733C314BB"/>
    <w:rsid w:val="001B72D9"/>
  </w:style>
  <w:style w:type="paragraph" w:customStyle="1" w:styleId="803F80D2479F4D4CBD7709FDCB8E1B7F">
    <w:name w:val="803F80D2479F4D4CBD7709FDCB8E1B7F"/>
    <w:rsid w:val="001B72D9"/>
  </w:style>
  <w:style w:type="paragraph" w:customStyle="1" w:styleId="7970170360E1490BB072ADFF83B61717">
    <w:name w:val="7970170360E1490BB072ADFF83B61717"/>
    <w:rsid w:val="001B72D9"/>
  </w:style>
  <w:style w:type="paragraph" w:customStyle="1" w:styleId="A00F2AB3DE2A4404B365138E4DD5F116">
    <w:name w:val="A00F2AB3DE2A4404B365138E4DD5F116"/>
    <w:rsid w:val="00AE052B"/>
  </w:style>
  <w:style w:type="paragraph" w:customStyle="1" w:styleId="06925CBF689F46EE80EEFFD4BB6E6169">
    <w:name w:val="06925CBF689F46EE80EEFFD4BB6E6169"/>
    <w:rsid w:val="008916E4"/>
    <w:pPr>
      <w:spacing w:after="160" w:line="259" w:lineRule="auto"/>
    </w:pPr>
  </w:style>
  <w:style w:type="paragraph" w:customStyle="1" w:styleId="328B899063A2424BA8631D9AAE5DCDCF">
    <w:name w:val="328B899063A2424BA8631D9AAE5DCDCF"/>
    <w:rsid w:val="008916E4"/>
    <w:pPr>
      <w:spacing w:after="160" w:line="259" w:lineRule="auto"/>
    </w:pPr>
  </w:style>
  <w:style w:type="paragraph" w:customStyle="1" w:styleId="2FC5EA12A5CB442B8941991B1B14962B">
    <w:name w:val="2FC5EA12A5CB442B8941991B1B14962B"/>
    <w:rsid w:val="008916E4"/>
    <w:pPr>
      <w:spacing w:after="160" w:line="259" w:lineRule="auto"/>
    </w:pPr>
  </w:style>
  <w:style w:type="paragraph" w:customStyle="1" w:styleId="AB146C5F69024DA283693036BFA62355">
    <w:name w:val="AB146C5F69024DA283693036BFA62355"/>
    <w:rsid w:val="008916E4"/>
    <w:pPr>
      <w:spacing w:after="160" w:line="259" w:lineRule="auto"/>
    </w:pPr>
  </w:style>
  <w:style w:type="paragraph" w:customStyle="1" w:styleId="5F5EC341F3DC4160857F2F79D5F9C22C">
    <w:name w:val="5F5EC341F3DC4160857F2F79D5F9C22C"/>
    <w:rsid w:val="008916E4"/>
    <w:pPr>
      <w:spacing w:after="160" w:line="259" w:lineRule="auto"/>
    </w:pPr>
  </w:style>
  <w:style w:type="paragraph" w:customStyle="1" w:styleId="922AA87CE6D3420D8FFA9ED561F73DD1">
    <w:name w:val="922AA87CE6D3420D8FFA9ED561F73DD1"/>
    <w:rsid w:val="008916E4"/>
    <w:pPr>
      <w:spacing w:after="160" w:line="259" w:lineRule="auto"/>
    </w:pPr>
  </w:style>
  <w:style w:type="paragraph" w:customStyle="1" w:styleId="943ED3C46E544989A8443E8C5FAD5813">
    <w:name w:val="943ED3C46E544989A8443E8C5FAD5813"/>
    <w:rsid w:val="008916E4"/>
    <w:pPr>
      <w:spacing w:after="160" w:line="259" w:lineRule="auto"/>
    </w:pPr>
  </w:style>
  <w:style w:type="paragraph" w:customStyle="1" w:styleId="625CEEDBC0BF4C1688421D54CCD98A87">
    <w:name w:val="625CEEDBC0BF4C1688421D54CCD98A87"/>
    <w:rsid w:val="008916E4"/>
    <w:pPr>
      <w:spacing w:after="160" w:line="259" w:lineRule="auto"/>
    </w:pPr>
  </w:style>
  <w:style w:type="paragraph" w:customStyle="1" w:styleId="475C18B2FC574F9681440991D22D2CAD">
    <w:name w:val="475C18B2FC574F9681440991D22D2CAD"/>
    <w:rsid w:val="008916E4"/>
    <w:pPr>
      <w:spacing w:after="160" w:line="259" w:lineRule="auto"/>
    </w:pPr>
  </w:style>
  <w:style w:type="paragraph" w:customStyle="1" w:styleId="81644C8F81454D45B3ECA2F1958F48D0">
    <w:name w:val="81644C8F81454D45B3ECA2F1958F48D0"/>
    <w:rsid w:val="008916E4"/>
    <w:pPr>
      <w:spacing w:after="160" w:line="259" w:lineRule="auto"/>
    </w:pPr>
  </w:style>
  <w:style w:type="paragraph" w:customStyle="1" w:styleId="AAB9E10C98BA41FB941A36FAD322ABCA">
    <w:name w:val="AAB9E10C98BA41FB941A36FAD322ABCA"/>
    <w:rsid w:val="008916E4"/>
    <w:pPr>
      <w:spacing w:after="160" w:line="259" w:lineRule="auto"/>
    </w:pPr>
  </w:style>
  <w:style w:type="paragraph" w:customStyle="1" w:styleId="81093A84664D4394AC1DA391F9C00B64">
    <w:name w:val="81093A84664D4394AC1DA391F9C00B64"/>
    <w:rsid w:val="008916E4"/>
    <w:pPr>
      <w:spacing w:after="160" w:line="259" w:lineRule="auto"/>
    </w:pPr>
  </w:style>
  <w:style w:type="paragraph" w:customStyle="1" w:styleId="83C486E69D5D4B29A7704FB4BEBDC383">
    <w:name w:val="83C486E69D5D4B29A7704FB4BEBDC383"/>
    <w:rsid w:val="00FD2F2B"/>
    <w:pPr>
      <w:spacing w:after="160" w:line="259" w:lineRule="auto"/>
    </w:pPr>
  </w:style>
  <w:style w:type="paragraph" w:customStyle="1" w:styleId="0ADE1DEF9BA34C02AD824B4F7E6081DD">
    <w:name w:val="0ADE1DEF9BA34C02AD824B4F7E6081DD"/>
    <w:rsid w:val="00FD2F2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HSCIC_Corporate">
  <a:themeElements>
    <a:clrScheme name="HSCIC_corporate">
      <a:dk1>
        <a:srgbClr val="001830"/>
      </a:dk1>
      <a:lt1>
        <a:srgbClr val="FAFCFC"/>
      </a:lt1>
      <a:dk2>
        <a:srgbClr val="000000"/>
      </a:dk2>
      <a:lt2>
        <a:srgbClr val="F0F8FC"/>
      </a:lt2>
      <a:accent1>
        <a:srgbClr val="003360"/>
      </a:accent1>
      <a:accent2>
        <a:srgbClr val="A0D0E8"/>
      </a:accent2>
      <a:accent3>
        <a:srgbClr val="505050"/>
      </a:accent3>
      <a:accent4>
        <a:srgbClr val="80A0B0"/>
      </a:accent4>
      <a:accent5>
        <a:srgbClr val="D8E0E8"/>
      </a:accent5>
      <a:accent6>
        <a:srgbClr val="B0AAB0"/>
      </a:accent6>
      <a:hlink>
        <a:srgbClr val="0060E0"/>
      </a:hlink>
      <a:folHlink>
        <a:srgbClr val="70187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B5AFA9-7708-4B93-86A3-F18C331D2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11220</Words>
  <Characters>63958</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2020-03-24T13:44:00Z</dcterms:created>
  <dcterms:modified xsi:type="dcterms:W3CDTF">2020-03-24T13:45:00Z</dcterms:modified>
</cp:coreProperties>
</file>