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94335" w14:textId="77777777" w:rsidR="00E03F3B" w:rsidRPr="008D3DFD" w:rsidRDefault="00E03F3B">
      <w:pPr>
        <w:pStyle w:val="Default"/>
        <w:rPr>
          <w:color w:val="auto"/>
          <w:sz w:val="22"/>
          <w:szCs w:val="22"/>
        </w:rPr>
      </w:pPr>
    </w:p>
    <w:p w14:paraId="4E140518" w14:textId="77777777" w:rsidR="00E03F3B" w:rsidRPr="008D3DFD" w:rsidRDefault="00E03F3B">
      <w:pPr>
        <w:pStyle w:val="Default"/>
        <w:rPr>
          <w:color w:val="auto"/>
          <w:sz w:val="22"/>
          <w:szCs w:val="22"/>
        </w:rPr>
      </w:pPr>
      <w:r w:rsidRPr="008D3DFD">
        <w:rPr>
          <w:color w:val="auto"/>
          <w:sz w:val="22"/>
          <w:szCs w:val="22"/>
        </w:rPr>
        <w:t xml:space="preserve"> </w:t>
      </w:r>
      <w:r w:rsidRPr="008D3DFD">
        <w:rPr>
          <w:b/>
          <w:bCs/>
          <w:color w:val="auto"/>
          <w:sz w:val="22"/>
          <w:szCs w:val="22"/>
        </w:rPr>
        <w:t xml:space="preserve"> </w:t>
      </w:r>
    </w:p>
    <w:p w14:paraId="23CD4EE2" w14:textId="77777777" w:rsidR="00850809" w:rsidRPr="008D3DFD" w:rsidRDefault="00E03F3B" w:rsidP="00850809">
      <w:pPr>
        <w:jc w:val="center"/>
        <w:rPr>
          <w:rFonts w:ascii="Arial" w:eastAsia="Calibri" w:hAnsi="Arial" w:cs="Arial"/>
          <w:b/>
          <w:bCs/>
          <w:sz w:val="28"/>
          <w:szCs w:val="28"/>
          <w:lang w:eastAsia="en-US"/>
        </w:rPr>
      </w:pPr>
      <w:r w:rsidRPr="008D3DFD">
        <w:rPr>
          <w:rFonts w:ascii="Arial" w:hAnsi="Arial" w:cs="Arial"/>
          <w:b/>
          <w:bCs/>
        </w:rPr>
        <w:t xml:space="preserve"> </w:t>
      </w:r>
      <w:r w:rsidR="00850809" w:rsidRPr="008D3DFD">
        <w:rPr>
          <w:rFonts w:ascii="Arial" w:eastAsia="Calibri" w:hAnsi="Arial" w:cs="Arial"/>
          <w:b/>
          <w:bCs/>
          <w:sz w:val="28"/>
          <w:szCs w:val="28"/>
          <w:lang w:eastAsia="en-US"/>
        </w:rPr>
        <w:t>NHS Digital</w:t>
      </w:r>
    </w:p>
    <w:p w14:paraId="1658010E" w14:textId="77777777" w:rsidR="00850809" w:rsidRPr="008D3DFD" w:rsidRDefault="00850809" w:rsidP="00850809">
      <w:pPr>
        <w:spacing w:after="0" w:line="240" w:lineRule="auto"/>
        <w:jc w:val="center"/>
        <w:rPr>
          <w:rFonts w:ascii="Arial" w:eastAsia="Calibri" w:hAnsi="Arial" w:cs="Arial"/>
          <w:b/>
          <w:bCs/>
          <w:sz w:val="28"/>
          <w:szCs w:val="28"/>
          <w:lang w:eastAsia="en-US"/>
        </w:rPr>
      </w:pPr>
      <w:r w:rsidRPr="008D3DFD">
        <w:rPr>
          <w:rFonts w:ascii="Arial" w:eastAsia="Calibri" w:hAnsi="Arial" w:cs="Arial"/>
          <w:b/>
          <w:bCs/>
          <w:sz w:val="28"/>
          <w:szCs w:val="28"/>
          <w:lang w:eastAsia="en-US"/>
        </w:rPr>
        <w:t>Indicator Supporting Documentation</w:t>
      </w:r>
    </w:p>
    <w:p w14:paraId="492D3E77" w14:textId="30D70BA3" w:rsidR="00850809" w:rsidRPr="008D3DFD" w:rsidRDefault="00850809" w:rsidP="00850809">
      <w:pPr>
        <w:spacing w:after="0" w:line="240" w:lineRule="auto"/>
        <w:jc w:val="center"/>
        <w:rPr>
          <w:rFonts w:ascii="Arial" w:eastAsia="Calibri" w:hAnsi="Arial" w:cs="Arial"/>
          <w:b/>
          <w:bCs/>
          <w:sz w:val="28"/>
          <w:szCs w:val="28"/>
          <w:lang w:eastAsia="en-US"/>
        </w:rPr>
      </w:pPr>
      <w:r w:rsidRPr="008D3DFD">
        <w:rPr>
          <w:rFonts w:ascii="Arial" w:eastAsia="Calibri" w:hAnsi="Arial" w:cs="Arial"/>
          <w:b/>
          <w:bCs/>
          <w:sz w:val="28"/>
          <w:szCs w:val="28"/>
          <w:lang w:eastAsia="en-US"/>
        </w:rPr>
        <w:t>IAP00141 Incidence of Healthcare Associated Infection (HCAI) – C. difficile infection (CCGOIS)</w:t>
      </w:r>
    </w:p>
    <w:p w14:paraId="71145670" w14:textId="67C246E6" w:rsidR="00E03F3B" w:rsidRPr="008D3DFD" w:rsidRDefault="00E03F3B">
      <w:pPr>
        <w:pStyle w:val="Default"/>
        <w:rPr>
          <w:color w:val="auto"/>
          <w:sz w:val="22"/>
          <w:szCs w:val="22"/>
        </w:rPr>
      </w:pPr>
    </w:p>
    <w:p w14:paraId="3444F608" w14:textId="77777777" w:rsidR="00E03F3B" w:rsidRPr="008D3DFD" w:rsidRDefault="00E03F3B">
      <w:pPr>
        <w:pStyle w:val="Default"/>
        <w:rPr>
          <w:color w:val="auto"/>
          <w:sz w:val="22"/>
          <w:szCs w:val="22"/>
        </w:rPr>
      </w:pPr>
      <w:r w:rsidRPr="008D3DFD">
        <w:rPr>
          <w:b/>
          <w:bCs/>
          <w:color w:val="auto"/>
          <w:sz w:val="22"/>
          <w:szCs w:val="22"/>
        </w:rPr>
        <w:t xml:space="preserve"> </w:t>
      </w:r>
    </w:p>
    <w:p w14:paraId="549F67BF" w14:textId="5077A9AC" w:rsidR="00E03F3B" w:rsidRPr="008D3DFD" w:rsidRDefault="00E03F3B" w:rsidP="003434E5">
      <w:pPr>
        <w:pStyle w:val="Default"/>
        <w:jc w:val="center"/>
        <w:rPr>
          <w:b/>
          <w:bCs/>
          <w:color w:val="auto"/>
          <w:sz w:val="28"/>
          <w:szCs w:val="28"/>
        </w:rPr>
      </w:pPr>
      <w:r w:rsidRPr="008D3DFD">
        <w:rPr>
          <w:b/>
          <w:bCs/>
          <w:color w:val="auto"/>
          <w:sz w:val="28"/>
          <w:szCs w:val="28"/>
        </w:rPr>
        <w:t>Application Form</w:t>
      </w:r>
    </w:p>
    <w:p w14:paraId="025BF83C" w14:textId="19B51656" w:rsidR="00E03F3B" w:rsidRPr="008D3DFD" w:rsidRDefault="00E03F3B" w:rsidP="003434E5">
      <w:pPr>
        <w:pStyle w:val="Default"/>
        <w:jc w:val="center"/>
        <w:rPr>
          <w:color w:val="auto"/>
          <w:sz w:val="28"/>
          <w:szCs w:val="28"/>
        </w:rPr>
      </w:pPr>
    </w:p>
    <w:p w14:paraId="1D4ED437" w14:textId="53269577" w:rsidR="00E03F3B" w:rsidRPr="008D3DFD" w:rsidRDefault="00E03F3B" w:rsidP="003434E5">
      <w:pPr>
        <w:pStyle w:val="Default"/>
        <w:jc w:val="center"/>
        <w:rPr>
          <w:b/>
          <w:bCs/>
          <w:color w:val="auto"/>
          <w:sz w:val="28"/>
          <w:szCs w:val="28"/>
        </w:rPr>
      </w:pPr>
      <w:r w:rsidRPr="008D3DFD">
        <w:rPr>
          <w:b/>
          <w:bCs/>
          <w:color w:val="auto"/>
          <w:sz w:val="28"/>
          <w:szCs w:val="28"/>
        </w:rPr>
        <w:t>Indicator and Methodology Assurance Service</w:t>
      </w:r>
    </w:p>
    <w:p w14:paraId="36B46675" w14:textId="41CB64CE" w:rsidR="002F5CC8" w:rsidRPr="008D3DFD" w:rsidRDefault="002F5CC8" w:rsidP="003434E5">
      <w:pPr>
        <w:pStyle w:val="Default"/>
        <w:jc w:val="center"/>
        <w:rPr>
          <w:b/>
          <w:bCs/>
          <w:color w:val="auto"/>
          <w:sz w:val="28"/>
          <w:szCs w:val="28"/>
        </w:rPr>
      </w:pPr>
    </w:p>
    <w:p w14:paraId="3DD2989B" w14:textId="0A40E73A" w:rsidR="002F5CC8" w:rsidRPr="008D3DFD" w:rsidRDefault="002F5CC8" w:rsidP="003434E5">
      <w:pPr>
        <w:pStyle w:val="Default"/>
        <w:jc w:val="center"/>
        <w:rPr>
          <w:b/>
          <w:bCs/>
          <w:color w:val="auto"/>
          <w:sz w:val="28"/>
          <w:szCs w:val="28"/>
        </w:rPr>
      </w:pPr>
      <w:r w:rsidRPr="008D3DFD">
        <w:rPr>
          <w:b/>
          <w:bCs/>
          <w:color w:val="auto"/>
          <w:sz w:val="28"/>
          <w:szCs w:val="28"/>
        </w:rPr>
        <w:t>Title: Incidence of Healthcare Associated Infection</w:t>
      </w:r>
    </w:p>
    <w:p w14:paraId="09E434A7" w14:textId="77777777" w:rsidR="002F5CC8" w:rsidRPr="008D3DFD" w:rsidRDefault="002F5CC8" w:rsidP="003434E5">
      <w:pPr>
        <w:pStyle w:val="Default"/>
        <w:jc w:val="center"/>
        <w:rPr>
          <w:b/>
          <w:bCs/>
          <w:color w:val="auto"/>
          <w:sz w:val="28"/>
          <w:szCs w:val="28"/>
        </w:rPr>
      </w:pPr>
    </w:p>
    <w:p w14:paraId="616D1532" w14:textId="76F34C3F" w:rsidR="002F5CC8" w:rsidRPr="008D3DFD" w:rsidRDefault="002F5CC8" w:rsidP="003434E5">
      <w:pPr>
        <w:pStyle w:val="Default"/>
        <w:jc w:val="center"/>
        <w:rPr>
          <w:color w:val="auto"/>
          <w:sz w:val="28"/>
          <w:szCs w:val="28"/>
        </w:rPr>
      </w:pPr>
      <w:r w:rsidRPr="008D3DFD">
        <w:rPr>
          <w:b/>
          <w:bCs/>
          <w:color w:val="auto"/>
          <w:sz w:val="28"/>
          <w:szCs w:val="28"/>
        </w:rPr>
        <w:t>(HCAI) - C. difficile</w:t>
      </w:r>
    </w:p>
    <w:p w14:paraId="1D0D7671" w14:textId="77777777" w:rsidR="002F5CC8" w:rsidRPr="008D3DFD" w:rsidRDefault="002F5CC8" w:rsidP="003434E5">
      <w:pPr>
        <w:pStyle w:val="Default"/>
        <w:jc w:val="center"/>
        <w:rPr>
          <w:b/>
          <w:bCs/>
          <w:color w:val="auto"/>
          <w:sz w:val="28"/>
          <w:szCs w:val="28"/>
        </w:rPr>
      </w:pPr>
    </w:p>
    <w:p w14:paraId="30D2FB7A" w14:textId="6EC10538" w:rsidR="002F5CC8" w:rsidRPr="008D3DFD" w:rsidRDefault="002F5CC8" w:rsidP="003434E5">
      <w:pPr>
        <w:pStyle w:val="Default"/>
        <w:jc w:val="center"/>
        <w:rPr>
          <w:color w:val="auto"/>
          <w:sz w:val="28"/>
          <w:szCs w:val="28"/>
        </w:rPr>
      </w:pPr>
      <w:r w:rsidRPr="008D3DFD">
        <w:rPr>
          <w:b/>
          <w:bCs/>
          <w:color w:val="auto"/>
          <w:sz w:val="28"/>
          <w:szCs w:val="28"/>
        </w:rPr>
        <w:t>Set or domain: CCG OIS 5.4</w:t>
      </w:r>
    </w:p>
    <w:p w14:paraId="2746EE32" w14:textId="77777777" w:rsidR="002F5CC8" w:rsidRPr="008D3DFD" w:rsidRDefault="002F5CC8" w:rsidP="003434E5">
      <w:pPr>
        <w:pStyle w:val="Default"/>
        <w:jc w:val="center"/>
        <w:rPr>
          <w:b/>
          <w:bCs/>
          <w:color w:val="auto"/>
          <w:sz w:val="28"/>
          <w:szCs w:val="28"/>
        </w:rPr>
      </w:pPr>
    </w:p>
    <w:p w14:paraId="32E7058F" w14:textId="6822B9CE" w:rsidR="00441BE2" w:rsidRPr="008D3DFD" w:rsidRDefault="002F5CC8" w:rsidP="003434E5">
      <w:pPr>
        <w:pStyle w:val="Default"/>
        <w:jc w:val="center"/>
        <w:rPr>
          <w:b/>
          <w:bCs/>
          <w:color w:val="auto"/>
          <w:sz w:val="28"/>
          <w:szCs w:val="28"/>
        </w:rPr>
      </w:pPr>
      <w:r w:rsidRPr="008D3DFD">
        <w:rPr>
          <w:b/>
          <w:bCs/>
          <w:color w:val="auto"/>
          <w:sz w:val="28"/>
          <w:szCs w:val="28"/>
        </w:rPr>
        <w:t>IAS Reference Code: IAP00141</w:t>
      </w:r>
    </w:p>
    <w:p w14:paraId="173F110B" w14:textId="77777777" w:rsidR="00441BE2" w:rsidRPr="008D3DFD" w:rsidRDefault="00441BE2">
      <w:pPr>
        <w:rPr>
          <w:rFonts w:ascii="Arial" w:hAnsi="Arial" w:cs="Arial"/>
          <w:b/>
          <w:bCs/>
          <w:sz w:val="28"/>
          <w:szCs w:val="28"/>
        </w:rPr>
      </w:pPr>
      <w:r w:rsidRPr="008D3DFD">
        <w:rPr>
          <w:rFonts w:ascii="Arial" w:hAnsi="Arial" w:cs="Arial"/>
          <w:b/>
          <w:bCs/>
          <w:sz w:val="28"/>
          <w:szCs w:val="28"/>
        </w:rPr>
        <w:br w:type="page"/>
      </w:r>
    </w:p>
    <w:p w14:paraId="638E60C1" w14:textId="77777777" w:rsidR="002F5CC8" w:rsidRPr="008D3DFD" w:rsidRDefault="002F5CC8" w:rsidP="003434E5">
      <w:pPr>
        <w:pStyle w:val="Default"/>
        <w:jc w:val="center"/>
        <w:rPr>
          <w:b/>
          <w:bCs/>
          <w:color w:val="auto"/>
          <w:sz w:val="28"/>
          <w:szCs w:val="28"/>
        </w:rPr>
      </w:pPr>
    </w:p>
    <w:p w14:paraId="3AD12617" w14:textId="04AF1900" w:rsidR="002F5CC8" w:rsidRPr="008D3DFD" w:rsidRDefault="002F5CC8" w:rsidP="002F5CC8">
      <w:pPr>
        <w:pStyle w:val="Default"/>
        <w:rPr>
          <w:b/>
          <w:bCs/>
          <w:color w:val="auto"/>
          <w:sz w:val="22"/>
          <w:szCs w:val="22"/>
        </w:rPr>
      </w:pPr>
    </w:p>
    <w:p w14:paraId="495FA1A5" w14:textId="77777777" w:rsidR="002F5CC8" w:rsidRPr="008D3DFD" w:rsidRDefault="002F5CC8" w:rsidP="002F5CC8">
      <w:pPr>
        <w:autoSpaceDE w:val="0"/>
        <w:autoSpaceDN w:val="0"/>
        <w:adjustRightInd w:val="0"/>
        <w:spacing w:after="0" w:line="240" w:lineRule="auto"/>
        <w:rPr>
          <w:rFonts w:ascii="Arial" w:hAnsi="Arial" w:cs="Arial"/>
        </w:rPr>
      </w:pPr>
    </w:p>
    <w:tbl>
      <w:tblPr>
        <w:tblStyle w:val="TableGrid"/>
        <w:tblW w:w="0" w:type="auto"/>
        <w:tblLayout w:type="fixed"/>
        <w:tblLook w:val="0020" w:firstRow="1" w:lastRow="0" w:firstColumn="0" w:lastColumn="0" w:noHBand="0" w:noVBand="0"/>
      </w:tblPr>
      <w:tblGrid>
        <w:gridCol w:w="2662"/>
        <w:gridCol w:w="2662"/>
        <w:gridCol w:w="2662"/>
        <w:gridCol w:w="2662"/>
      </w:tblGrid>
      <w:tr w:rsidR="008D3DFD" w:rsidRPr="008D3DFD" w14:paraId="2CCF08B7" w14:textId="77777777" w:rsidTr="008D3DFD">
        <w:trPr>
          <w:trHeight w:val="97"/>
        </w:trPr>
        <w:tc>
          <w:tcPr>
            <w:tcW w:w="2662" w:type="dxa"/>
          </w:tcPr>
          <w:p w14:paraId="74C91161" w14:textId="0ACF8830" w:rsidR="002F5CC8" w:rsidRPr="008D3DFD" w:rsidRDefault="002F5CC8" w:rsidP="002F5CC8">
            <w:pPr>
              <w:autoSpaceDE w:val="0"/>
              <w:autoSpaceDN w:val="0"/>
              <w:adjustRightInd w:val="0"/>
              <w:rPr>
                <w:rFonts w:ascii="Arial" w:hAnsi="Arial" w:cs="Arial"/>
              </w:rPr>
            </w:pPr>
            <w:r w:rsidRPr="008D3DFD">
              <w:rPr>
                <w:rFonts w:ascii="Arial" w:hAnsi="Arial" w:cs="Arial"/>
                <w:b/>
                <w:bCs/>
              </w:rPr>
              <w:t xml:space="preserve">Version History </w:t>
            </w:r>
            <w:r w:rsidRPr="008D3DFD">
              <w:rPr>
                <w:rFonts w:ascii="Arial" w:hAnsi="Arial" w:cs="Arial"/>
              </w:rPr>
              <w:t xml:space="preserve">Version </w:t>
            </w:r>
          </w:p>
        </w:tc>
        <w:tc>
          <w:tcPr>
            <w:tcW w:w="2662" w:type="dxa"/>
          </w:tcPr>
          <w:p w14:paraId="60AC994B"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Date </w:t>
            </w:r>
          </w:p>
        </w:tc>
        <w:tc>
          <w:tcPr>
            <w:tcW w:w="2662" w:type="dxa"/>
          </w:tcPr>
          <w:p w14:paraId="5881B12E"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Changed By </w:t>
            </w:r>
          </w:p>
        </w:tc>
        <w:tc>
          <w:tcPr>
            <w:tcW w:w="2662" w:type="dxa"/>
          </w:tcPr>
          <w:p w14:paraId="027710E0"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Change </w:t>
            </w:r>
          </w:p>
        </w:tc>
      </w:tr>
      <w:tr w:rsidR="008D3DFD" w:rsidRPr="008D3DFD" w14:paraId="165F121B" w14:textId="77777777" w:rsidTr="008D3DFD">
        <w:trPr>
          <w:trHeight w:val="82"/>
        </w:trPr>
        <w:tc>
          <w:tcPr>
            <w:tcW w:w="2662" w:type="dxa"/>
          </w:tcPr>
          <w:p w14:paraId="1D8E15D3"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V0.1 </w:t>
            </w:r>
          </w:p>
        </w:tc>
        <w:tc>
          <w:tcPr>
            <w:tcW w:w="2662" w:type="dxa"/>
          </w:tcPr>
          <w:p w14:paraId="6EE7F2C0"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15/08/2017 </w:t>
            </w:r>
          </w:p>
        </w:tc>
        <w:tc>
          <w:tcPr>
            <w:tcW w:w="2662" w:type="dxa"/>
          </w:tcPr>
          <w:p w14:paraId="5358AB4E"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Andy Besch </w:t>
            </w:r>
          </w:p>
        </w:tc>
        <w:tc>
          <w:tcPr>
            <w:tcW w:w="2662" w:type="dxa"/>
          </w:tcPr>
          <w:p w14:paraId="0BB0BD69"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Commenced uplift to new application form </w:t>
            </w:r>
          </w:p>
        </w:tc>
      </w:tr>
      <w:tr w:rsidR="008D3DFD" w:rsidRPr="008D3DFD" w14:paraId="69CBC757" w14:textId="77777777" w:rsidTr="008D3DFD">
        <w:trPr>
          <w:trHeight w:val="82"/>
        </w:trPr>
        <w:tc>
          <w:tcPr>
            <w:tcW w:w="2662" w:type="dxa"/>
          </w:tcPr>
          <w:p w14:paraId="584648AF"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V0.2 </w:t>
            </w:r>
          </w:p>
        </w:tc>
        <w:tc>
          <w:tcPr>
            <w:tcW w:w="2662" w:type="dxa"/>
          </w:tcPr>
          <w:p w14:paraId="1B5F483B"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19/10/2017 </w:t>
            </w:r>
          </w:p>
        </w:tc>
        <w:tc>
          <w:tcPr>
            <w:tcW w:w="2662" w:type="dxa"/>
          </w:tcPr>
          <w:p w14:paraId="3162AD11"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Sharif Salah </w:t>
            </w:r>
          </w:p>
        </w:tc>
        <w:tc>
          <w:tcPr>
            <w:tcW w:w="2662" w:type="dxa"/>
          </w:tcPr>
          <w:p w14:paraId="31963068"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Review of comments &amp; completion of remainder of form </w:t>
            </w:r>
          </w:p>
        </w:tc>
      </w:tr>
      <w:tr w:rsidR="008D3DFD" w:rsidRPr="008D3DFD" w14:paraId="42F81184" w14:textId="77777777" w:rsidTr="008D3DFD">
        <w:trPr>
          <w:trHeight w:val="82"/>
        </w:trPr>
        <w:tc>
          <w:tcPr>
            <w:tcW w:w="2662" w:type="dxa"/>
          </w:tcPr>
          <w:p w14:paraId="49AB5256"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V0.3 </w:t>
            </w:r>
          </w:p>
        </w:tc>
        <w:tc>
          <w:tcPr>
            <w:tcW w:w="2662" w:type="dxa"/>
          </w:tcPr>
          <w:p w14:paraId="4C827F23"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25/10/2017 </w:t>
            </w:r>
          </w:p>
        </w:tc>
        <w:tc>
          <w:tcPr>
            <w:tcW w:w="2662" w:type="dxa"/>
          </w:tcPr>
          <w:p w14:paraId="45545002"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Sharif Salah </w:t>
            </w:r>
          </w:p>
        </w:tc>
        <w:tc>
          <w:tcPr>
            <w:tcW w:w="2662" w:type="dxa"/>
          </w:tcPr>
          <w:p w14:paraId="4E8E44F4"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Further minor changes following a review by Chris Dew </w:t>
            </w:r>
          </w:p>
        </w:tc>
      </w:tr>
      <w:tr w:rsidR="008D3DFD" w:rsidRPr="008D3DFD" w14:paraId="18F14A10" w14:textId="77777777" w:rsidTr="008D3DFD">
        <w:trPr>
          <w:trHeight w:val="82"/>
        </w:trPr>
        <w:tc>
          <w:tcPr>
            <w:tcW w:w="2662" w:type="dxa"/>
          </w:tcPr>
          <w:p w14:paraId="41C4DCBB"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V0.4 </w:t>
            </w:r>
          </w:p>
        </w:tc>
        <w:tc>
          <w:tcPr>
            <w:tcW w:w="2662" w:type="dxa"/>
          </w:tcPr>
          <w:p w14:paraId="3854BB5D"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26/10/2017 </w:t>
            </w:r>
          </w:p>
        </w:tc>
        <w:tc>
          <w:tcPr>
            <w:tcW w:w="2662" w:type="dxa"/>
          </w:tcPr>
          <w:p w14:paraId="25A4B8ED"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Sharif Salah </w:t>
            </w:r>
          </w:p>
        </w:tc>
        <w:tc>
          <w:tcPr>
            <w:tcW w:w="2662" w:type="dxa"/>
          </w:tcPr>
          <w:p w14:paraId="3B572348"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Further minor changes ready for MRG </w:t>
            </w:r>
          </w:p>
        </w:tc>
      </w:tr>
      <w:tr w:rsidR="008D3DFD" w:rsidRPr="008D3DFD" w14:paraId="4FF1D043" w14:textId="77777777" w:rsidTr="008D3DFD">
        <w:trPr>
          <w:trHeight w:val="82"/>
        </w:trPr>
        <w:tc>
          <w:tcPr>
            <w:tcW w:w="2662" w:type="dxa"/>
          </w:tcPr>
          <w:p w14:paraId="7BB31788"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V0.5 </w:t>
            </w:r>
          </w:p>
        </w:tc>
        <w:tc>
          <w:tcPr>
            <w:tcW w:w="2662" w:type="dxa"/>
          </w:tcPr>
          <w:p w14:paraId="209AC6CD"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03/01/2018 </w:t>
            </w:r>
          </w:p>
        </w:tc>
        <w:tc>
          <w:tcPr>
            <w:tcW w:w="2662" w:type="dxa"/>
          </w:tcPr>
          <w:p w14:paraId="6CC96CD4"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Sharif Salah </w:t>
            </w:r>
          </w:p>
        </w:tc>
        <w:tc>
          <w:tcPr>
            <w:tcW w:w="2662" w:type="dxa"/>
          </w:tcPr>
          <w:p w14:paraId="0660F05D" w14:textId="77777777" w:rsidR="002F5CC8" w:rsidRPr="008D3DFD" w:rsidRDefault="002F5CC8" w:rsidP="002F5CC8">
            <w:pPr>
              <w:autoSpaceDE w:val="0"/>
              <w:autoSpaceDN w:val="0"/>
              <w:adjustRightInd w:val="0"/>
              <w:rPr>
                <w:rFonts w:ascii="Arial" w:hAnsi="Arial" w:cs="Arial"/>
              </w:rPr>
            </w:pPr>
            <w:r w:rsidRPr="008D3DFD">
              <w:rPr>
                <w:rFonts w:ascii="Arial" w:hAnsi="Arial" w:cs="Arial"/>
              </w:rPr>
              <w:t xml:space="preserve">Action of changes recommended by MRG </w:t>
            </w:r>
          </w:p>
        </w:tc>
      </w:tr>
    </w:tbl>
    <w:p w14:paraId="4C5EC3E8" w14:textId="6B3B56EE" w:rsidR="002F5CC8" w:rsidRPr="008D3DFD" w:rsidRDefault="002F5CC8" w:rsidP="002F5CC8">
      <w:pPr>
        <w:pStyle w:val="Default"/>
        <w:rPr>
          <w:color w:val="auto"/>
          <w:sz w:val="22"/>
          <w:szCs w:val="22"/>
        </w:rPr>
      </w:pPr>
    </w:p>
    <w:p w14:paraId="5E82CD63" w14:textId="5B0E4294" w:rsidR="002F5CC8" w:rsidRPr="008D3DFD" w:rsidRDefault="002F5CC8" w:rsidP="002F5CC8">
      <w:pPr>
        <w:pStyle w:val="Default"/>
        <w:rPr>
          <w:color w:val="auto"/>
          <w:sz w:val="22"/>
          <w:szCs w:val="22"/>
        </w:rPr>
      </w:pPr>
    </w:p>
    <w:p w14:paraId="4D1D0C05" w14:textId="6E62F700" w:rsidR="002F5CC8" w:rsidRPr="008D3DFD" w:rsidRDefault="002F5CC8" w:rsidP="002F5CC8">
      <w:pPr>
        <w:pStyle w:val="Default"/>
        <w:rPr>
          <w:color w:val="auto"/>
          <w:sz w:val="22"/>
          <w:szCs w:val="22"/>
        </w:rPr>
      </w:pPr>
    </w:p>
    <w:p w14:paraId="65AABD60" w14:textId="622FE7CF" w:rsidR="002F5CC8" w:rsidRPr="008D3DFD" w:rsidRDefault="002F5CC8" w:rsidP="002F5CC8">
      <w:pPr>
        <w:pStyle w:val="Default"/>
        <w:rPr>
          <w:color w:val="auto"/>
          <w:sz w:val="22"/>
          <w:szCs w:val="22"/>
        </w:rPr>
      </w:pPr>
    </w:p>
    <w:p w14:paraId="62DCEB88" w14:textId="6DF6C915" w:rsidR="002F5CC8" w:rsidRPr="008D3DFD" w:rsidRDefault="002F5CC8" w:rsidP="002F5CC8">
      <w:pPr>
        <w:pStyle w:val="Default"/>
        <w:rPr>
          <w:color w:val="auto"/>
          <w:sz w:val="22"/>
          <w:szCs w:val="22"/>
        </w:rPr>
      </w:pPr>
    </w:p>
    <w:p w14:paraId="2F8D115B" w14:textId="77777777" w:rsidR="002F5CC8" w:rsidRPr="008D3DFD" w:rsidRDefault="002F5CC8" w:rsidP="002F5CC8">
      <w:pPr>
        <w:pStyle w:val="Default"/>
        <w:rPr>
          <w:color w:val="auto"/>
          <w:sz w:val="22"/>
          <w:szCs w:val="22"/>
        </w:rPr>
      </w:pPr>
    </w:p>
    <w:p w14:paraId="72C175D9" w14:textId="02D30870" w:rsidR="002F5CC8" w:rsidRPr="008D3DFD" w:rsidRDefault="002F5CC8" w:rsidP="002F5CC8">
      <w:pPr>
        <w:pStyle w:val="Default"/>
        <w:rPr>
          <w:color w:val="auto"/>
          <w:sz w:val="22"/>
          <w:szCs w:val="22"/>
        </w:rPr>
      </w:pPr>
    </w:p>
    <w:p w14:paraId="74F754E0" w14:textId="4F800B50" w:rsidR="002F5CC8" w:rsidRPr="008D3DFD" w:rsidRDefault="002F5CC8" w:rsidP="002F5CC8">
      <w:pPr>
        <w:pStyle w:val="Default"/>
        <w:rPr>
          <w:color w:val="auto"/>
          <w:sz w:val="22"/>
          <w:szCs w:val="22"/>
        </w:rPr>
      </w:pPr>
    </w:p>
    <w:p w14:paraId="7E3EE93B" w14:textId="4E866F39" w:rsidR="002F5CC8" w:rsidRPr="008D3DFD" w:rsidRDefault="002F5CC8" w:rsidP="002F5CC8">
      <w:pPr>
        <w:pStyle w:val="Default"/>
        <w:rPr>
          <w:color w:val="auto"/>
          <w:sz w:val="22"/>
          <w:szCs w:val="22"/>
        </w:rPr>
      </w:pPr>
    </w:p>
    <w:p w14:paraId="1665C20A" w14:textId="58D1B56D" w:rsidR="002F5CC8" w:rsidRPr="008D3DFD" w:rsidRDefault="002F5CC8" w:rsidP="002F5CC8">
      <w:pPr>
        <w:pStyle w:val="Default"/>
        <w:rPr>
          <w:color w:val="auto"/>
          <w:sz w:val="22"/>
          <w:szCs w:val="22"/>
        </w:rPr>
      </w:pPr>
    </w:p>
    <w:p w14:paraId="0029EE7E" w14:textId="63AF0DB8" w:rsidR="002F5CC8" w:rsidRPr="008D3DFD" w:rsidRDefault="002F5CC8" w:rsidP="002F5CC8">
      <w:pPr>
        <w:pStyle w:val="Default"/>
        <w:rPr>
          <w:color w:val="auto"/>
          <w:sz w:val="22"/>
          <w:szCs w:val="22"/>
        </w:rPr>
      </w:pPr>
    </w:p>
    <w:p w14:paraId="4DAE43A8" w14:textId="316656E7" w:rsidR="002F5CC8" w:rsidRPr="008D3DFD" w:rsidRDefault="002F5CC8" w:rsidP="002F5CC8">
      <w:pPr>
        <w:pStyle w:val="Default"/>
        <w:rPr>
          <w:color w:val="auto"/>
          <w:sz w:val="22"/>
          <w:szCs w:val="22"/>
        </w:rPr>
      </w:pPr>
    </w:p>
    <w:p w14:paraId="3E20B1B6" w14:textId="074E6C23" w:rsidR="002F5CC8" w:rsidRPr="008D3DFD" w:rsidRDefault="002F5CC8" w:rsidP="002F5CC8">
      <w:pPr>
        <w:pStyle w:val="Default"/>
        <w:rPr>
          <w:color w:val="auto"/>
          <w:sz w:val="22"/>
          <w:szCs w:val="22"/>
        </w:rPr>
      </w:pPr>
    </w:p>
    <w:p w14:paraId="66972619" w14:textId="697D9A7A" w:rsidR="00441BE2" w:rsidRPr="008D3DFD" w:rsidRDefault="00441BE2">
      <w:pPr>
        <w:rPr>
          <w:rFonts w:ascii="Arial" w:hAnsi="Arial" w:cs="Arial"/>
        </w:rPr>
      </w:pPr>
      <w:r w:rsidRPr="008D3DFD">
        <w:rPr>
          <w:rFonts w:ascii="Arial" w:hAnsi="Arial" w:cs="Arial"/>
        </w:rPr>
        <w:br w:type="page"/>
      </w:r>
    </w:p>
    <w:p w14:paraId="129C1F1A" w14:textId="77777777" w:rsidR="002F5CC8" w:rsidRPr="008D3DFD" w:rsidRDefault="002F5CC8" w:rsidP="002F5CC8">
      <w:pPr>
        <w:pStyle w:val="Default"/>
        <w:rPr>
          <w:color w:val="auto"/>
          <w:sz w:val="22"/>
          <w:szCs w:val="22"/>
        </w:rPr>
      </w:pPr>
    </w:p>
    <w:p w14:paraId="657C5227" w14:textId="51DFAB19" w:rsidR="002F5CC8" w:rsidRPr="008D3DFD" w:rsidRDefault="002F5CC8" w:rsidP="002F5CC8">
      <w:pPr>
        <w:pStyle w:val="Default"/>
        <w:rPr>
          <w:color w:val="auto"/>
          <w:sz w:val="22"/>
          <w:szCs w:val="22"/>
        </w:rPr>
      </w:pPr>
    </w:p>
    <w:p w14:paraId="0CB3AC29" w14:textId="2253A197" w:rsidR="002F5CC8" w:rsidRPr="008D3DFD" w:rsidRDefault="002F5CC8" w:rsidP="00441BE2">
      <w:pPr>
        <w:pStyle w:val="Default"/>
        <w:jc w:val="center"/>
        <w:rPr>
          <w:b/>
          <w:bCs/>
          <w:color w:val="auto"/>
          <w:sz w:val="32"/>
          <w:szCs w:val="32"/>
        </w:rPr>
      </w:pPr>
      <w:r w:rsidRPr="008D3DFD">
        <w:rPr>
          <w:b/>
          <w:bCs/>
          <w:color w:val="auto"/>
          <w:sz w:val="32"/>
          <w:szCs w:val="32"/>
        </w:rPr>
        <w:t>Application Form</w:t>
      </w:r>
    </w:p>
    <w:p w14:paraId="7D6ADC44" w14:textId="7F5F75A5" w:rsidR="002F5CC8" w:rsidRPr="008D3DFD" w:rsidRDefault="00850809" w:rsidP="002F5CC8">
      <w:pPr>
        <w:pStyle w:val="Default"/>
        <w:rPr>
          <w:color w:val="auto"/>
          <w:sz w:val="22"/>
          <w:szCs w:val="22"/>
        </w:rPr>
      </w:pPr>
      <w:bookmarkStart w:id="0" w:name="_Hlk35344473"/>
      <w:r w:rsidRPr="008D3DFD">
        <w:rPr>
          <w:b/>
          <w:bCs/>
          <w:color w:val="auto"/>
        </w:rPr>
        <w:t>Section 1. Introduction / Overview</w:t>
      </w:r>
    </w:p>
    <w:tbl>
      <w:tblPr>
        <w:tblStyle w:val="TableGrid"/>
        <w:tblW w:w="0" w:type="auto"/>
        <w:tblLook w:val="04A0" w:firstRow="1" w:lastRow="0" w:firstColumn="1" w:lastColumn="0" w:noHBand="0" w:noVBand="1"/>
      </w:tblPr>
      <w:tblGrid>
        <w:gridCol w:w="4255"/>
        <w:gridCol w:w="9726"/>
      </w:tblGrid>
      <w:tr w:rsidR="00850809" w:rsidRPr="008D3DFD" w14:paraId="7C77BF09" w14:textId="77777777" w:rsidTr="00850809">
        <w:tc>
          <w:tcPr>
            <w:tcW w:w="4255" w:type="dxa"/>
          </w:tcPr>
          <w:p w14:paraId="5C2C3ED4" w14:textId="77777777" w:rsidR="00850809" w:rsidRPr="008D3DFD" w:rsidRDefault="00850809" w:rsidP="00850809">
            <w:pPr>
              <w:rPr>
                <w:rFonts w:ascii="Arial" w:hAnsi="Arial" w:cs="Arial"/>
              </w:rPr>
            </w:pPr>
            <w:r w:rsidRPr="008D3DFD">
              <w:rPr>
                <w:rFonts w:ascii="Arial" w:hAnsi="Arial" w:cs="Arial"/>
              </w:rPr>
              <w:t>1.1 Title</w:t>
            </w:r>
          </w:p>
          <w:p w14:paraId="2334C914" w14:textId="77777777" w:rsidR="00850809" w:rsidRPr="008D3DFD" w:rsidRDefault="00850809" w:rsidP="002F5CC8">
            <w:pPr>
              <w:pStyle w:val="Default"/>
              <w:rPr>
                <w:color w:val="auto"/>
                <w:sz w:val="22"/>
                <w:szCs w:val="22"/>
              </w:rPr>
            </w:pPr>
          </w:p>
        </w:tc>
        <w:tc>
          <w:tcPr>
            <w:tcW w:w="9726" w:type="dxa"/>
          </w:tcPr>
          <w:p w14:paraId="2DCF157A" w14:textId="3078BE99" w:rsidR="00850809" w:rsidRPr="008D3DFD" w:rsidRDefault="00850809" w:rsidP="002F5CC8">
            <w:pPr>
              <w:pStyle w:val="Default"/>
              <w:rPr>
                <w:color w:val="auto"/>
                <w:sz w:val="22"/>
                <w:szCs w:val="22"/>
              </w:rPr>
            </w:pPr>
            <w:r w:rsidRPr="008D3DFD">
              <w:rPr>
                <w:color w:val="auto"/>
                <w:sz w:val="22"/>
                <w:szCs w:val="22"/>
              </w:rPr>
              <w:t xml:space="preserve">Incidence of Healthcare Associated Infection (HCAI) - C. difficile </w:t>
            </w:r>
          </w:p>
        </w:tc>
      </w:tr>
      <w:tr w:rsidR="00850809" w:rsidRPr="008D3DFD" w14:paraId="4F86BCFC" w14:textId="77777777" w:rsidTr="00850809">
        <w:tc>
          <w:tcPr>
            <w:tcW w:w="4255" w:type="dxa"/>
          </w:tcPr>
          <w:p w14:paraId="59929503" w14:textId="34B1D5EE" w:rsidR="00850809" w:rsidRPr="008D3DFD" w:rsidRDefault="00850809" w:rsidP="002F5CC8">
            <w:pPr>
              <w:pStyle w:val="Default"/>
              <w:rPr>
                <w:color w:val="auto"/>
                <w:sz w:val="22"/>
                <w:szCs w:val="22"/>
              </w:rPr>
            </w:pPr>
            <w:r w:rsidRPr="008D3DFD">
              <w:rPr>
                <w:b/>
                <w:bCs/>
                <w:color w:val="auto"/>
              </w:rPr>
              <w:t>1.2. Set or domain</w:t>
            </w:r>
          </w:p>
        </w:tc>
        <w:tc>
          <w:tcPr>
            <w:tcW w:w="9726" w:type="dxa"/>
          </w:tcPr>
          <w:p w14:paraId="21B3CAF6" w14:textId="3B12C168" w:rsidR="00850809" w:rsidRPr="008D3DFD" w:rsidRDefault="00850809" w:rsidP="002F5CC8">
            <w:pPr>
              <w:pStyle w:val="Default"/>
              <w:rPr>
                <w:color w:val="auto"/>
                <w:sz w:val="22"/>
                <w:szCs w:val="22"/>
              </w:rPr>
            </w:pPr>
            <w:r w:rsidRPr="008D3DFD">
              <w:rPr>
                <w:color w:val="auto"/>
                <w:sz w:val="22"/>
                <w:szCs w:val="22"/>
              </w:rPr>
              <w:t>Clinical Commissioning Group Outcome Indicator Set (CCG OIS)</w:t>
            </w:r>
          </w:p>
          <w:p w14:paraId="16B2417B" w14:textId="097E11CB" w:rsidR="00850809" w:rsidRPr="008D3DFD" w:rsidRDefault="00850809" w:rsidP="002F5CC8">
            <w:pPr>
              <w:pStyle w:val="Default"/>
              <w:rPr>
                <w:color w:val="auto"/>
                <w:sz w:val="22"/>
                <w:szCs w:val="22"/>
              </w:rPr>
            </w:pPr>
            <w:r w:rsidRPr="008D3DFD">
              <w:rPr>
                <w:color w:val="auto"/>
                <w:sz w:val="22"/>
                <w:szCs w:val="22"/>
              </w:rPr>
              <w:t>Domain 5 - Treating and caring for people in a safe environment and protecting them from avoidable harm</w:t>
            </w:r>
          </w:p>
        </w:tc>
      </w:tr>
      <w:tr w:rsidR="00850809" w:rsidRPr="008D3DFD" w14:paraId="14C575AE" w14:textId="77777777" w:rsidTr="00850809">
        <w:tc>
          <w:tcPr>
            <w:tcW w:w="4255" w:type="dxa"/>
          </w:tcPr>
          <w:p w14:paraId="2025AC78" w14:textId="65FD400B" w:rsidR="00850809" w:rsidRPr="008D3DFD" w:rsidRDefault="00850809" w:rsidP="002F5CC8">
            <w:pPr>
              <w:pStyle w:val="Default"/>
              <w:rPr>
                <w:color w:val="auto"/>
                <w:sz w:val="22"/>
                <w:szCs w:val="22"/>
              </w:rPr>
            </w:pPr>
            <w:r w:rsidRPr="008D3DFD">
              <w:rPr>
                <w:b/>
                <w:bCs/>
                <w:color w:val="auto"/>
              </w:rPr>
              <w:t>1.3. Topic area</w:t>
            </w:r>
          </w:p>
        </w:tc>
        <w:tc>
          <w:tcPr>
            <w:tcW w:w="9726" w:type="dxa"/>
          </w:tcPr>
          <w:p w14:paraId="366C2C6A" w14:textId="676B72F2" w:rsidR="00850809" w:rsidRPr="008D3DFD" w:rsidRDefault="00850809" w:rsidP="002F5CC8">
            <w:pPr>
              <w:pStyle w:val="Default"/>
              <w:rPr>
                <w:color w:val="auto"/>
                <w:sz w:val="22"/>
                <w:szCs w:val="22"/>
              </w:rPr>
            </w:pPr>
            <w:r w:rsidRPr="008D3DFD">
              <w:rPr>
                <w:color w:val="auto"/>
                <w:sz w:val="22"/>
                <w:szCs w:val="22"/>
              </w:rPr>
              <w:t xml:space="preserve">Patient Safety </w:t>
            </w:r>
          </w:p>
          <w:p w14:paraId="55A77878" w14:textId="77777777" w:rsidR="00850809" w:rsidRPr="008D3DFD" w:rsidRDefault="00850809" w:rsidP="002F5CC8">
            <w:pPr>
              <w:pStyle w:val="Default"/>
              <w:rPr>
                <w:color w:val="auto"/>
                <w:sz w:val="22"/>
                <w:szCs w:val="22"/>
              </w:rPr>
            </w:pPr>
          </w:p>
        </w:tc>
      </w:tr>
      <w:tr w:rsidR="00850809" w:rsidRPr="008D3DFD" w14:paraId="2F28F25E" w14:textId="77777777" w:rsidTr="00850809">
        <w:tc>
          <w:tcPr>
            <w:tcW w:w="4255" w:type="dxa"/>
          </w:tcPr>
          <w:p w14:paraId="694B4ED5" w14:textId="384F0A50" w:rsidR="00850809" w:rsidRPr="008D3DFD" w:rsidRDefault="00850809" w:rsidP="002F5CC8">
            <w:pPr>
              <w:pStyle w:val="Default"/>
              <w:rPr>
                <w:color w:val="auto"/>
                <w:sz w:val="22"/>
                <w:szCs w:val="22"/>
              </w:rPr>
            </w:pPr>
            <w:r w:rsidRPr="008D3DFD">
              <w:rPr>
                <w:b/>
                <w:bCs/>
                <w:color w:val="auto"/>
              </w:rPr>
              <w:t>1.4. Definition</w:t>
            </w:r>
          </w:p>
        </w:tc>
        <w:tc>
          <w:tcPr>
            <w:tcW w:w="9726" w:type="dxa"/>
          </w:tcPr>
          <w:p w14:paraId="48426AF1" w14:textId="6056496A" w:rsidR="00850809" w:rsidRPr="008D3DFD" w:rsidRDefault="00850809" w:rsidP="002F5CC8">
            <w:pPr>
              <w:pStyle w:val="Default"/>
              <w:rPr>
                <w:color w:val="auto"/>
                <w:sz w:val="22"/>
                <w:szCs w:val="22"/>
              </w:rPr>
            </w:pPr>
            <w:r w:rsidRPr="008D3DFD">
              <w:rPr>
                <w:color w:val="auto"/>
                <w:sz w:val="22"/>
                <w:szCs w:val="22"/>
              </w:rPr>
              <w:t xml:space="preserve">CCG OIS indicator 5.4 presents the number of C. difficile infections reported, in people aged two and over, per CCG, in each of the last 13 months. </w:t>
            </w:r>
          </w:p>
          <w:p w14:paraId="2B09B9C8" w14:textId="1B38E007" w:rsidR="00850809" w:rsidRPr="008D3DFD" w:rsidRDefault="00850809" w:rsidP="002F5CC8">
            <w:pPr>
              <w:pStyle w:val="Default"/>
              <w:rPr>
                <w:color w:val="auto"/>
                <w:sz w:val="22"/>
                <w:szCs w:val="22"/>
              </w:rPr>
            </w:pPr>
            <w:r w:rsidRPr="008D3DFD">
              <w:rPr>
                <w:color w:val="auto"/>
                <w:sz w:val="22"/>
                <w:szCs w:val="22"/>
              </w:rPr>
              <w:t xml:space="preserve">This mirrors the reporting practice of Public Health England (PHE), who are the data source, and who also publish monthly C. difficile data on a rolling 13-month basis so that the figure for the same month in the previous year is also shown. </w:t>
            </w:r>
          </w:p>
        </w:tc>
      </w:tr>
      <w:tr w:rsidR="00850809" w:rsidRPr="008D3DFD" w14:paraId="3CDFB053" w14:textId="77777777" w:rsidTr="00850809">
        <w:tc>
          <w:tcPr>
            <w:tcW w:w="4255" w:type="dxa"/>
          </w:tcPr>
          <w:p w14:paraId="19130513" w14:textId="6CC7013F" w:rsidR="00850809" w:rsidRPr="008D3DFD" w:rsidRDefault="00850809" w:rsidP="002F5CC8">
            <w:pPr>
              <w:pStyle w:val="Default"/>
              <w:rPr>
                <w:color w:val="auto"/>
                <w:sz w:val="22"/>
                <w:szCs w:val="22"/>
              </w:rPr>
            </w:pPr>
            <w:r w:rsidRPr="008D3DFD">
              <w:rPr>
                <w:b/>
                <w:bCs/>
                <w:color w:val="auto"/>
              </w:rPr>
              <w:t>1.5. Indicator owner &amp; contact details</w:t>
            </w:r>
          </w:p>
        </w:tc>
        <w:tc>
          <w:tcPr>
            <w:tcW w:w="9726" w:type="dxa"/>
          </w:tcPr>
          <w:p w14:paraId="5B427653" w14:textId="091C2DBB" w:rsidR="00850809" w:rsidRPr="008D3DFD" w:rsidRDefault="00850809" w:rsidP="002F5CC8">
            <w:pPr>
              <w:pStyle w:val="Default"/>
              <w:rPr>
                <w:color w:val="auto"/>
                <w:sz w:val="22"/>
                <w:szCs w:val="22"/>
              </w:rPr>
            </w:pPr>
            <w:r w:rsidRPr="008D3DFD">
              <w:rPr>
                <w:color w:val="auto"/>
                <w:sz w:val="22"/>
                <w:szCs w:val="22"/>
              </w:rPr>
              <w:t>Clinical Indicators team, NHS Digital</w:t>
            </w:r>
          </w:p>
          <w:p w14:paraId="2125A961" w14:textId="1FC24285" w:rsidR="00850809" w:rsidRPr="008D3DFD" w:rsidRDefault="00850809" w:rsidP="002F5CC8">
            <w:pPr>
              <w:pStyle w:val="Default"/>
              <w:rPr>
                <w:color w:val="auto"/>
                <w:sz w:val="22"/>
                <w:szCs w:val="22"/>
              </w:rPr>
            </w:pPr>
            <w:r w:rsidRPr="008D3DFD">
              <w:rPr>
                <w:color w:val="auto"/>
                <w:sz w:val="22"/>
                <w:szCs w:val="22"/>
              </w:rPr>
              <w:t>Clinical.indicators@nhs.net</w:t>
            </w:r>
          </w:p>
        </w:tc>
      </w:tr>
      <w:tr w:rsidR="00850809" w:rsidRPr="008D3DFD" w14:paraId="11CC71ED" w14:textId="77777777" w:rsidTr="00850809">
        <w:tc>
          <w:tcPr>
            <w:tcW w:w="4255" w:type="dxa"/>
          </w:tcPr>
          <w:p w14:paraId="36C6E5C7" w14:textId="340B07AB" w:rsidR="00850809" w:rsidRPr="008D3DFD" w:rsidRDefault="00850809" w:rsidP="00615085">
            <w:pPr>
              <w:autoSpaceDE w:val="0"/>
              <w:autoSpaceDN w:val="0"/>
              <w:adjustRightInd w:val="0"/>
              <w:rPr>
                <w:rFonts w:ascii="Arial" w:hAnsi="Arial" w:cs="Arial"/>
              </w:rPr>
            </w:pPr>
            <w:r w:rsidRPr="008D3DFD">
              <w:rPr>
                <w:rFonts w:ascii="Arial" w:hAnsi="Arial" w:cs="Arial"/>
                <w:b/>
                <w:bCs/>
              </w:rPr>
              <w:t>1.6. Publication status</w:t>
            </w:r>
          </w:p>
        </w:tc>
        <w:tc>
          <w:tcPr>
            <w:tcW w:w="9726" w:type="dxa"/>
          </w:tcPr>
          <w:p w14:paraId="251AD790" w14:textId="3F8C8E7B" w:rsidR="00850809" w:rsidRPr="008D3DFD" w:rsidRDefault="00850809" w:rsidP="002F5CC8">
            <w:pPr>
              <w:pStyle w:val="Default"/>
              <w:rPr>
                <w:color w:val="auto"/>
                <w:sz w:val="22"/>
                <w:szCs w:val="22"/>
              </w:rPr>
            </w:pPr>
            <w:r w:rsidRPr="008D3DFD">
              <w:rPr>
                <w:color w:val="auto"/>
                <w:sz w:val="22"/>
                <w:szCs w:val="22"/>
              </w:rPr>
              <w:t>Currently in publication</w:t>
            </w:r>
          </w:p>
        </w:tc>
      </w:tr>
    </w:tbl>
    <w:p w14:paraId="2631FD78" w14:textId="4456EECB" w:rsidR="00850809" w:rsidRPr="008D3DFD" w:rsidRDefault="00850809">
      <w:pPr>
        <w:rPr>
          <w:rFonts w:ascii="Arial" w:hAnsi="Arial" w:cs="Arial"/>
        </w:rPr>
      </w:pPr>
      <w:r w:rsidRPr="008D3DFD">
        <w:rPr>
          <w:rFonts w:ascii="Arial" w:hAnsi="Arial" w:cs="Arial"/>
          <w:b/>
          <w:bCs/>
        </w:rPr>
        <w:t>Section 2. Rationale</w:t>
      </w:r>
    </w:p>
    <w:tbl>
      <w:tblPr>
        <w:tblStyle w:val="TableGrid"/>
        <w:tblW w:w="0" w:type="auto"/>
        <w:tblLook w:val="04A0" w:firstRow="1" w:lastRow="0" w:firstColumn="1" w:lastColumn="0" w:noHBand="0" w:noVBand="1"/>
      </w:tblPr>
      <w:tblGrid>
        <w:gridCol w:w="4245"/>
        <w:gridCol w:w="9747"/>
      </w:tblGrid>
      <w:tr w:rsidR="00850809" w:rsidRPr="008D3DFD" w14:paraId="09787D70" w14:textId="77777777" w:rsidTr="00850809">
        <w:tc>
          <w:tcPr>
            <w:tcW w:w="4245" w:type="dxa"/>
          </w:tcPr>
          <w:p w14:paraId="30621175" w14:textId="3B75DECB" w:rsidR="00850809" w:rsidRPr="008D3DFD" w:rsidRDefault="00850809" w:rsidP="008923B2">
            <w:pPr>
              <w:pStyle w:val="Default"/>
              <w:rPr>
                <w:color w:val="auto"/>
                <w:sz w:val="22"/>
                <w:szCs w:val="22"/>
              </w:rPr>
            </w:pPr>
            <w:r w:rsidRPr="008D3DFD">
              <w:rPr>
                <w:b/>
                <w:bCs/>
                <w:color w:val="auto"/>
                <w:sz w:val="22"/>
                <w:szCs w:val="22"/>
              </w:rPr>
              <w:t>2.1. Purpose</w:t>
            </w:r>
          </w:p>
        </w:tc>
        <w:tc>
          <w:tcPr>
            <w:tcW w:w="9747" w:type="dxa"/>
          </w:tcPr>
          <w:p w14:paraId="3D448A40" w14:textId="23E2EF38" w:rsidR="00850809" w:rsidRPr="008D3DFD" w:rsidRDefault="00850809" w:rsidP="008923B2">
            <w:pPr>
              <w:pStyle w:val="Default"/>
              <w:rPr>
                <w:color w:val="auto"/>
                <w:sz w:val="22"/>
                <w:szCs w:val="22"/>
              </w:rPr>
            </w:pPr>
            <w:r w:rsidRPr="008D3DFD">
              <w:rPr>
                <w:color w:val="auto"/>
              </w:rPr>
              <w:t>This indicator forms part of Domain 5 of the CCG Outcomes Indicator Set: Treating and caring for people in a safe environment and protecting them from avoidable harm. The indicator supports the objectives of continually increasing standards of infection control to limit the incidence of HCAI, with the overall aim of eradicating them completely. Reductions in volumes of reported C. difficile infection are linked to better patient outcomes (or a lack of harmful outcome).</w:t>
            </w:r>
          </w:p>
        </w:tc>
      </w:tr>
      <w:tr w:rsidR="00850809" w:rsidRPr="008D3DFD" w14:paraId="53FA022E" w14:textId="1CC29CE2" w:rsidTr="00850809">
        <w:tc>
          <w:tcPr>
            <w:tcW w:w="4245" w:type="dxa"/>
          </w:tcPr>
          <w:p w14:paraId="7AEDA0BD" w14:textId="74B46AF6" w:rsidR="00850809" w:rsidRPr="008D3DFD" w:rsidRDefault="00850809" w:rsidP="008923B2">
            <w:pPr>
              <w:pStyle w:val="Default"/>
              <w:rPr>
                <w:color w:val="auto"/>
                <w:sz w:val="22"/>
                <w:szCs w:val="22"/>
              </w:rPr>
            </w:pPr>
            <w:r w:rsidRPr="008D3DFD">
              <w:rPr>
                <w:b/>
                <w:bCs/>
                <w:color w:val="auto"/>
                <w:sz w:val="22"/>
                <w:szCs w:val="22"/>
              </w:rPr>
              <w:t>2.2 Sponsor</w:t>
            </w:r>
          </w:p>
        </w:tc>
        <w:tc>
          <w:tcPr>
            <w:tcW w:w="9747" w:type="dxa"/>
          </w:tcPr>
          <w:p w14:paraId="7109509B" w14:textId="1FC8F1B6" w:rsidR="00850809" w:rsidRPr="008D3DFD" w:rsidRDefault="00850809" w:rsidP="008923B2">
            <w:pPr>
              <w:pStyle w:val="Default"/>
              <w:rPr>
                <w:b/>
                <w:bCs/>
                <w:color w:val="auto"/>
                <w:sz w:val="22"/>
                <w:szCs w:val="22"/>
              </w:rPr>
            </w:pPr>
            <w:r w:rsidRPr="008D3DFD">
              <w:rPr>
                <w:color w:val="auto"/>
                <w:sz w:val="22"/>
                <w:szCs w:val="22"/>
              </w:rPr>
              <w:t xml:space="preserve">Originally commissioned by NHS England </w:t>
            </w:r>
          </w:p>
        </w:tc>
      </w:tr>
      <w:tr w:rsidR="00850809" w:rsidRPr="008D3DFD" w14:paraId="0363BFD6" w14:textId="10310942" w:rsidTr="00850809">
        <w:tc>
          <w:tcPr>
            <w:tcW w:w="4245" w:type="dxa"/>
          </w:tcPr>
          <w:p w14:paraId="7017CE22" w14:textId="1BE7F13D" w:rsidR="00850809" w:rsidRPr="008D3DFD" w:rsidRDefault="00850809" w:rsidP="00615085">
            <w:pPr>
              <w:pStyle w:val="Default"/>
              <w:rPr>
                <w:color w:val="auto"/>
                <w:sz w:val="22"/>
                <w:szCs w:val="22"/>
              </w:rPr>
            </w:pPr>
            <w:r w:rsidRPr="008D3DFD">
              <w:rPr>
                <w:b/>
                <w:bCs/>
                <w:color w:val="auto"/>
                <w:sz w:val="22"/>
                <w:szCs w:val="22"/>
              </w:rPr>
              <w:t>2.3 Endorsement</w:t>
            </w:r>
          </w:p>
        </w:tc>
        <w:tc>
          <w:tcPr>
            <w:tcW w:w="9747" w:type="dxa"/>
          </w:tcPr>
          <w:p w14:paraId="6CA4D6B2" w14:textId="093C79C2" w:rsidR="00850809" w:rsidRPr="008D3DFD" w:rsidRDefault="00850809" w:rsidP="00615085">
            <w:pPr>
              <w:pStyle w:val="Default"/>
              <w:rPr>
                <w:b/>
                <w:bCs/>
                <w:color w:val="auto"/>
                <w:sz w:val="22"/>
                <w:szCs w:val="22"/>
              </w:rPr>
            </w:pPr>
            <w:r w:rsidRPr="008D3DFD">
              <w:rPr>
                <w:color w:val="auto"/>
                <w:sz w:val="22"/>
                <w:szCs w:val="22"/>
              </w:rPr>
              <w:t>Mandated by the Department of Health in 1 2007 letter from the Chief Medical Officer and the Chief Nursing Officer:</w:t>
            </w:r>
          </w:p>
          <w:p w14:paraId="01C3C3DA" w14:textId="6D5CE773" w:rsidR="00850809" w:rsidRPr="008D3DFD" w:rsidRDefault="00850809" w:rsidP="00615085">
            <w:pPr>
              <w:pStyle w:val="Default"/>
              <w:rPr>
                <w:b/>
                <w:bCs/>
                <w:color w:val="auto"/>
                <w:sz w:val="22"/>
                <w:szCs w:val="22"/>
              </w:rPr>
            </w:pPr>
          </w:p>
          <w:p w14:paraId="390FEDC8" w14:textId="77777777" w:rsidR="00850809" w:rsidRPr="008D3DFD" w:rsidRDefault="00850809" w:rsidP="008923B2">
            <w:pPr>
              <w:pStyle w:val="Default"/>
              <w:rPr>
                <w:color w:val="auto"/>
                <w:sz w:val="22"/>
                <w:szCs w:val="22"/>
              </w:rPr>
            </w:pPr>
            <w:r w:rsidRPr="008D3DFD">
              <w:rPr>
                <w:color w:val="auto"/>
                <w:sz w:val="22"/>
                <w:szCs w:val="22"/>
              </w:rPr>
              <w:t>http://webarchive.nationalarchives.gov.uk/20081105222157/http://www.dh.go</w:t>
            </w:r>
          </w:p>
          <w:p w14:paraId="3A6F2716" w14:textId="77777777" w:rsidR="00850809" w:rsidRPr="008D3DFD" w:rsidRDefault="00850809" w:rsidP="008923B2">
            <w:pPr>
              <w:pStyle w:val="Default"/>
              <w:rPr>
                <w:color w:val="auto"/>
                <w:sz w:val="22"/>
                <w:szCs w:val="22"/>
              </w:rPr>
            </w:pPr>
            <w:r w:rsidRPr="008D3DFD">
              <w:rPr>
                <w:color w:val="auto"/>
                <w:sz w:val="22"/>
                <w:szCs w:val="22"/>
              </w:rPr>
              <w:t>v.uk/en/Publicationsandstatistics/Lettersandcirculars/Professionalletters/Chie</w:t>
            </w:r>
          </w:p>
          <w:p w14:paraId="61FF1685" w14:textId="77777777" w:rsidR="00850809" w:rsidRPr="008D3DFD" w:rsidRDefault="00850809" w:rsidP="008923B2">
            <w:pPr>
              <w:pStyle w:val="Default"/>
              <w:rPr>
                <w:color w:val="auto"/>
                <w:sz w:val="22"/>
                <w:szCs w:val="22"/>
              </w:rPr>
            </w:pPr>
            <w:r w:rsidRPr="008D3DFD">
              <w:rPr>
                <w:color w:val="auto"/>
                <w:sz w:val="22"/>
                <w:szCs w:val="22"/>
              </w:rPr>
              <w:t>fmedicalofficerletters/DH_073767?IdcService=GET_FILE&amp;dID=137883&amp;Ren</w:t>
            </w:r>
          </w:p>
          <w:p w14:paraId="1EC4E7B4" w14:textId="1816E6CF" w:rsidR="00850809" w:rsidRPr="008D3DFD" w:rsidRDefault="00850809" w:rsidP="00615085">
            <w:pPr>
              <w:pStyle w:val="Default"/>
              <w:rPr>
                <w:b/>
                <w:bCs/>
                <w:color w:val="auto"/>
                <w:sz w:val="22"/>
                <w:szCs w:val="22"/>
              </w:rPr>
            </w:pPr>
            <w:r w:rsidRPr="008D3DFD">
              <w:rPr>
                <w:color w:val="auto"/>
                <w:sz w:val="22"/>
                <w:szCs w:val="22"/>
              </w:rPr>
              <w:t>dition=Web</w:t>
            </w:r>
          </w:p>
          <w:p w14:paraId="443CF2EE" w14:textId="4E3D3FC9" w:rsidR="00850809" w:rsidRPr="008D3DFD" w:rsidRDefault="00850809" w:rsidP="00615085">
            <w:pPr>
              <w:pStyle w:val="Default"/>
              <w:rPr>
                <w:b/>
                <w:bCs/>
                <w:color w:val="auto"/>
                <w:sz w:val="22"/>
                <w:szCs w:val="22"/>
              </w:rPr>
            </w:pPr>
          </w:p>
        </w:tc>
      </w:tr>
      <w:tr w:rsidR="00850809" w:rsidRPr="008D3DFD" w14:paraId="325668BB" w14:textId="4C8E0E38" w:rsidTr="00850809">
        <w:tc>
          <w:tcPr>
            <w:tcW w:w="4245" w:type="dxa"/>
          </w:tcPr>
          <w:p w14:paraId="63F25E9C" w14:textId="546C62E5" w:rsidR="00850809" w:rsidRPr="008D3DFD" w:rsidRDefault="00850809" w:rsidP="008923B2">
            <w:pPr>
              <w:pStyle w:val="Default"/>
              <w:rPr>
                <w:color w:val="auto"/>
                <w:sz w:val="22"/>
                <w:szCs w:val="22"/>
              </w:rPr>
            </w:pPr>
            <w:r w:rsidRPr="008D3DFD">
              <w:rPr>
                <w:b/>
                <w:bCs/>
                <w:color w:val="auto"/>
                <w:sz w:val="22"/>
                <w:szCs w:val="22"/>
              </w:rPr>
              <w:lastRenderedPageBreak/>
              <w:t>2.4 Evidence and Policy base</w:t>
            </w:r>
          </w:p>
        </w:tc>
        <w:tc>
          <w:tcPr>
            <w:tcW w:w="9747" w:type="dxa"/>
          </w:tcPr>
          <w:p w14:paraId="2B5A1883" w14:textId="5C4BD334" w:rsidR="00850809" w:rsidRPr="008D3DFD" w:rsidRDefault="00850809" w:rsidP="008923B2">
            <w:pPr>
              <w:pStyle w:val="Default"/>
              <w:rPr>
                <w:color w:val="auto"/>
                <w:sz w:val="22"/>
                <w:szCs w:val="22"/>
              </w:rPr>
            </w:pPr>
            <w:r w:rsidRPr="008D3DFD">
              <w:rPr>
                <w:color w:val="auto"/>
                <w:sz w:val="22"/>
                <w:szCs w:val="22"/>
              </w:rPr>
              <w:t xml:space="preserve">Healthcare Associated Infections can result in longer hospital stays and, in severe cases, prolonged illness or death. High standards of infection control </w:t>
            </w:r>
          </w:p>
          <w:p w14:paraId="7DCC54C8" w14:textId="77777777" w:rsidR="00850809" w:rsidRPr="008D3DFD" w:rsidRDefault="00850809" w:rsidP="008923B2">
            <w:pPr>
              <w:pStyle w:val="Default"/>
              <w:rPr>
                <w:color w:val="auto"/>
                <w:sz w:val="22"/>
                <w:szCs w:val="22"/>
              </w:rPr>
            </w:pPr>
            <w:r w:rsidRPr="008D3DFD">
              <w:rPr>
                <w:color w:val="auto"/>
                <w:sz w:val="22"/>
                <w:szCs w:val="22"/>
              </w:rPr>
              <w:t xml:space="preserve">can limit the incidence of such infections. </w:t>
            </w:r>
          </w:p>
          <w:p w14:paraId="23A4057E" w14:textId="77777777" w:rsidR="00850809" w:rsidRPr="008D3DFD" w:rsidRDefault="00850809" w:rsidP="008923B2">
            <w:pPr>
              <w:pStyle w:val="Default"/>
              <w:rPr>
                <w:color w:val="auto"/>
                <w:sz w:val="22"/>
                <w:szCs w:val="22"/>
              </w:rPr>
            </w:pPr>
            <w:r w:rsidRPr="008D3DFD">
              <w:rPr>
                <w:color w:val="auto"/>
                <w:sz w:val="22"/>
                <w:szCs w:val="22"/>
              </w:rPr>
              <w:t xml:space="preserve">PHE performs the vital task of monitoring, responding to, and limiting outbreaks of life-threatening infectious diseases for which antibiotics are of limited use. Public health teams use the data to monitor the rates of infection in their area; to monitor outbreaks of infections and check that trends are decreasing in both community and hospital settings; to identify seasonal variations in disease outbreaks. </w:t>
            </w:r>
          </w:p>
          <w:p w14:paraId="02110528" w14:textId="77777777" w:rsidR="00850809" w:rsidRPr="008D3DFD" w:rsidRDefault="00850809" w:rsidP="008923B2">
            <w:pPr>
              <w:pStyle w:val="Default"/>
              <w:rPr>
                <w:color w:val="auto"/>
                <w:sz w:val="22"/>
                <w:szCs w:val="22"/>
              </w:rPr>
            </w:pPr>
            <w:r w:rsidRPr="008D3DFD">
              <w:rPr>
                <w:color w:val="auto"/>
                <w:sz w:val="22"/>
                <w:szCs w:val="22"/>
              </w:rPr>
              <w:t xml:space="preserve">PHE has been managing the mandatory surveillance of Staphylococcus aureus bacteraemia in England since April 2001. Mandatory surveillance was originally instigated in response to increasing levels of MRSA bacteraemia across the English NHS and has subsequently been rolled out for other HCAIs where there was a perceived issue/problem. </w:t>
            </w:r>
          </w:p>
          <w:p w14:paraId="674912E5" w14:textId="13E47941" w:rsidR="00850809" w:rsidRPr="008D3DFD" w:rsidRDefault="00850809" w:rsidP="008923B2">
            <w:pPr>
              <w:pStyle w:val="Default"/>
              <w:rPr>
                <w:color w:val="auto"/>
                <w:sz w:val="22"/>
                <w:szCs w:val="22"/>
              </w:rPr>
            </w:pPr>
            <w:r w:rsidRPr="008D3DFD">
              <w:rPr>
                <w:color w:val="auto"/>
                <w:sz w:val="22"/>
                <w:szCs w:val="22"/>
              </w:rPr>
              <w:t xml:space="preserve">Surveillance of C. difficile infection was originally introduced in 2004 for patients aged 65 years and over. This was then extended to include all cases in patients aged 2 years and over in April 2007. Reports are submitted using the same real-time web-enabled system that is used to collect enhanced MRSA and MSSA bacteraemia data. An enhanced dataset similar to that collected for MRSA and MSSA is also collected. </w:t>
            </w:r>
          </w:p>
          <w:p w14:paraId="3F0C5F1F" w14:textId="58A9FE0E" w:rsidR="00850809" w:rsidRPr="008D3DFD" w:rsidRDefault="00850809" w:rsidP="008923B2">
            <w:pPr>
              <w:pStyle w:val="Default"/>
              <w:rPr>
                <w:color w:val="auto"/>
                <w:sz w:val="22"/>
                <w:szCs w:val="22"/>
              </w:rPr>
            </w:pPr>
          </w:p>
          <w:p w14:paraId="0E712561" w14:textId="77777777" w:rsidR="00850809" w:rsidRPr="008D3DFD" w:rsidRDefault="00850809" w:rsidP="008923B2">
            <w:pPr>
              <w:pStyle w:val="Default"/>
              <w:rPr>
                <w:color w:val="auto"/>
                <w:sz w:val="22"/>
                <w:szCs w:val="22"/>
              </w:rPr>
            </w:pPr>
            <w:r w:rsidRPr="008D3DFD">
              <w:rPr>
                <w:color w:val="auto"/>
                <w:sz w:val="22"/>
                <w:szCs w:val="22"/>
              </w:rPr>
              <w:t xml:space="preserve">NHS Improvement also publish C-diificile related guidance where they set out the objectives for acute trusts and CCGs to make continuous improvement in Clostridium difficile infection care. </w:t>
            </w:r>
          </w:p>
          <w:p w14:paraId="0C84381B" w14:textId="77777777" w:rsidR="00850809" w:rsidRPr="008D3DFD" w:rsidRDefault="00850809" w:rsidP="008923B2">
            <w:pPr>
              <w:pStyle w:val="Default"/>
              <w:rPr>
                <w:color w:val="auto"/>
                <w:sz w:val="22"/>
                <w:szCs w:val="22"/>
              </w:rPr>
            </w:pPr>
          </w:p>
          <w:p w14:paraId="63A31545" w14:textId="77777777" w:rsidR="00850809" w:rsidRPr="008D3DFD" w:rsidRDefault="00850809" w:rsidP="008923B2">
            <w:pPr>
              <w:pStyle w:val="Default"/>
              <w:rPr>
                <w:color w:val="auto"/>
                <w:sz w:val="22"/>
                <w:szCs w:val="22"/>
              </w:rPr>
            </w:pPr>
            <w:r w:rsidRPr="008D3DFD">
              <w:rPr>
                <w:color w:val="auto"/>
                <w:sz w:val="22"/>
                <w:szCs w:val="22"/>
              </w:rPr>
              <w:t xml:space="preserve">https://improvement.nhs.uk/resources/clostridium-difficile-infection-objectives/ </w:t>
            </w:r>
          </w:p>
          <w:p w14:paraId="45CE4E4D" w14:textId="77777777" w:rsidR="00850809" w:rsidRPr="008D3DFD" w:rsidRDefault="00850809" w:rsidP="008923B2">
            <w:pPr>
              <w:pStyle w:val="Default"/>
              <w:rPr>
                <w:color w:val="auto"/>
                <w:sz w:val="22"/>
                <w:szCs w:val="22"/>
              </w:rPr>
            </w:pPr>
          </w:p>
          <w:p w14:paraId="620ADFE0" w14:textId="4246AA8C" w:rsidR="00850809" w:rsidRPr="008D3DFD" w:rsidRDefault="00850809" w:rsidP="008923B2">
            <w:pPr>
              <w:pStyle w:val="Default"/>
              <w:rPr>
                <w:color w:val="auto"/>
                <w:sz w:val="22"/>
                <w:szCs w:val="22"/>
              </w:rPr>
            </w:pPr>
            <w:r w:rsidRPr="008D3DFD">
              <w:rPr>
                <w:color w:val="auto"/>
                <w:sz w:val="22"/>
                <w:szCs w:val="22"/>
              </w:rPr>
              <w:t xml:space="preserve">This includes Clostridium difficile infection assessment tool and action plan guidance, available at </w:t>
            </w:r>
          </w:p>
          <w:p w14:paraId="2C099700" w14:textId="77777777" w:rsidR="00850809" w:rsidRPr="008D3DFD" w:rsidRDefault="00850809" w:rsidP="008923B2">
            <w:pPr>
              <w:pStyle w:val="Default"/>
              <w:rPr>
                <w:color w:val="auto"/>
                <w:sz w:val="22"/>
                <w:szCs w:val="22"/>
              </w:rPr>
            </w:pPr>
          </w:p>
          <w:p w14:paraId="2562565F" w14:textId="77777777" w:rsidR="00850809" w:rsidRPr="008D3DFD" w:rsidRDefault="00850809" w:rsidP="008703D8">
            <w:pPr>
              <w:pStyle w:val="Default"/>
              <w:rPr>
                <w:color w:val="auto"/>
                <w:sz w:val="22"/>
                <w:szCs w:val="22"/>
              </w:rPr>
            </w:pPr>
            <w:r w:rsidRPr="008D3DFD">
              <w:rPr>
                <w:color w:val="auto"/>
                <w:sz w:val="22"/>
                <w:szCs w:val="22"/>
              </w:rPr>
              <w:t>https://improvement.nhs.uk/uploads/documents/Clostridium_difficile_infection</w:t>
            </w:r>
          </w:p>
          <w:p w14:paraId="2313D335" w14:textId="77777777" w:rsidR="00850809" w:rsidRPr="008D3DFD" w:rsidRDefault="00850809" w:rsidP="008703D8">
            <w:pPr>
              <w:pStyle w:val="Default"/>
              <w:rPr>
                <w:color w:val="auto"/>
                <w:sz w:val="22"/>
                <w:szCs w:val="22"/>
              </w:rPr>
            </w:pPr>
            <w:r w:rsidRPr="008D3DFD">
              <w:rPr>
                <w:color w:val="auto"/>
                <w:sz w:val="22"/>
                <w:szCs w:val="22"/>
              </w:rPr>
              <w:t xml:space="preserve">_assessment_tool_and_action_plan_guidance.xlsx </w:t>
            </w:r>
          </w:p>
          <w:p w14:paraId="7C3DE529" w14:textId="5C939906" w:rsidR="00850809" w:rsidRPr="008D3DFD" w:rsidRDefault="00850809" w:rsidP="008703D8">
            <w:pPr>
              <w:pStyle w:val="Default"/>
              <w:rPr>
                <w:color w:val="auto"/>
                <w:sz w:val="22"/>
                <w:szCs w:val="22"/>
              </w:rPr>
            </w:pPr>
          </w:p>
          <w:p w14:paraId="4B0A3696" w14:textId="77777777" w:rsidR="00850809" w:rsidRPr="008D3DFD" w:rsidRDefault="00850809" w:rsidP="008703D8">
            <w:pPr>
              <w:pStyle w:val="Default"/>
              <w:rPr>
                <w:color w:val="auto"/>
                <w:sz w:val="22"/>
                <w:szCs w:val="22"/>
              </w:rPr>
            </w:pPr>
            <w:r w:rsidRPr="008D3DFD">
              <w:rPr>
                <w:color w:val="auto"/>
                <w:sz w:val="22"/>
                <w:szCs w:val="22"/>
              </w:rPr>
              <w:t xml:space="preserve">Organisations are able to use this assessment tool to identify risk factors and good practice in CDI prevention and control. </w:t>
            </w:r>
          </w:p>
          <w:p w14:paraId="70228305" w14:textId="77777777" w:rsidR="00850809" w:rsidRPr="008D3DFD" w:rsidRDefault="00850809" w:rsidP="00615085">
            <w:pPr>
              <w:pStyle w:val="Default"/>
              <w:rPr>
                <w:b/>
                <w:bCs/>
                <w:color w:val="auto"/>
                <w:sz w:val="22"/>
                <w:szCs w:val="22"/>
              </w:rPr>
            </w:pPr>
          </w:p>
          <w:p w14:paraId="66C01974" w14:textId="77777777" w:rsidR="00850809" w:rsidRPr="008D3DFD" w:rsidRDefault="00850809" w:rsidP="008703D8">
            <w:pPr>
              <w:pStyle w:val="Default"/>
              <w:rPr>
                <w:color w:val="auto"/>
                <w:sz w:val="22"/>
                <w:szCs w:val="22"/>
              </w:rPr>
            </w:pPr>
            <w:r w:rsidRPr="008D3DFD">
              <w:rPr>
                <w:color w:val="auto"/>
                <w:sz w:val="22"/>
                <w:szCs w:val="22"/>
              </w:rPr>
              <w:t xml:space="preserve">A further document titled Clostridium difficile infection objectives 2017/18 and guidance on sanction implementation is available from </w:t>
            </w:r>
          </w:p>
          <w:p w14:paraId="1B26BD1B" w14:textId="77777777" w:rsidR="00850809" w:rsidRPr="008D3DFD" w:rsidRDefault="00850809" w:rsidP="00615085">
            <w:pPr>
              <w:pStyle w:val="Default"/>
              <w:rPr>
                <w:b/>
                <w:bCs/>
                <w:color w:val="auto"/>
                <w:sz w:val="22"/>
                <w:szCs w:val="22"/>
              </w:rPr>
            </w:pPr>
          </w:p>
          <w:p w14:paraId="602162DB" w14:textId="77777777" w:rsidR="00850809" w:rsidRPr="008D3DFD" w:rsidRDefault="00850809" w:rsidP="008703D8">
            <w:pPr>
              <w:pStyle w:val="Default"/>
              <w:rPr>
                <w:color w:val="auto"/>
                <w:sz w:val="22"/>
                <w:szCs w:val="22"/>
              </w:rPr>
            </w:pPr>
            <w:r w:rsidRPr="008D3DFD">
              <w:rPr>
                <w:color w:val="auto"/>
                <w:sz w:val="22"/>
                <w:szCs w:val="22"/>
              </w:rPr>
              <w:t xml:space="preserve">https://improvement.nhs.uk/uploads/documents/CDI_objectives_201718_final_2.pdf </w:t>
            </w:r>
          </w:p>
          <w:p w14:paraId="00C44E1E" w14:textId="729D6488" w:rsidR="00850809" w:rsidRPr="008D3DFD" w:rsidRDefault="00850809" w:rsidP="00615085">
            <w:pPr>
              <w:pStyle w:val="Default"/>
              <w:rPr>
                <w:b/>
                <w:bCs/>
                <w:color w:val="auto"/>
                <w:sz w:val="22"/>
                <w:szCs w:val="22"/>
              </w:rPr>
            </w:pPr>
          </w:p>
        </w:tc>
      </w:tr>
      <w:bookmarkEnd w:id="0"/>
    </w:tbl>
    <w:p w14:paraId="72B35B14" w14:textId="48A510C6" w:rsidR="00044E60" w:rsidRPr="008D3DFD" w:rsidRDefault="00044E60" w:rsidP="00044E60">
      <w:pPr>
        <w:pStyle w:val="Default"/>
        <w:rPr>
          <w:color w:val="auto"/>
          <w:sz w:val="22"/>
          <w:szCs w:val="22"/>
        </w:rPr>
      </w:pPr>
    </w:p>
    <w:p w14:paraId="7F815876" w14:textId="202BB396" w:rsidR="003434E5" w:rsidRPr="008D3DFD" w:rsidRDefault="003434E5" w:rsidP="00044E60">
      <w:pPr>
        <w:pStyle w:val="Default"/>
        <w:rPr>
          <w:color w:val="auto"/>
          <w:sz w:val="22"/>
          <w:szCs w:val="22"/>
        </w:rPr>
      </w:pPr>
    </w:p>
    <w:p w14:paraId="479539C3" w14:textId="42D5D77D" w:rsidR="003434E5" w:rsidRPr="008D3DFD" w:rsidRDefault="003434E5" w:rsidP="00044E60">
      <w:pPr>
        <w:pStyle w:val="Default"/>
        <w:rPr>
          <w:color w:val="auto"/>
          <w:sz w:val="22"/>
          <w:szCs w:val="22"/>
        </w:rPr>
      </w:pPr>
    </w:p>
    <w:p w14:paraId="20B8B499" w14:textId="68F5116B" w:rsidR="003434E5" w:rsidRPr="008D3DFD" w:rsidRDefault="003434E5" w:rsidP="00044E60">
      <w:pPr>
        <w:pStyle w:val="Default"/>
        <w:rPr>
          <w:color w:val="auto"/>
          <w:sz w:val="22"/>
          <w:szCs w:val="22"/>
        </w:rPr>
      </w:pPr>
    </w:p>
    <w:p w14:paraId="1CAA2CC9" w14:textId="4784D89C" w:rsidR="003434E5" w:rsidRPr="008D3DFD" w:rsidRDefault="003434E5" w:rsidP="00044E60">
      <w:pPr>
        <w:pStyle w:val="Default"/>
        <w:rPr>
          <w:color w:val="auto"/>
          <w:sz w:val="22"/>
          <w:szCs w:val="22"/>
        </w:rPr>
      </w:pPr>
    </w:p>
    <w:p w14:paraId="4E76BE59" w14:textId="77777777" w:rsidR="003434E5" w:rsidRPr="008D3DFD" w:rsidRDefault="003434E5" w:rsidP="00044E60">
      <w:pPr>
        <w:pStyle w:val="Default"/>
        <w:rPr>
          <w:color w:val="auto"/>
          <w:sz w:val="22"/>
          <w:szCs w:val="22"/>
        </w:rPr>
      </w:pPr>
    </w:p>
    <w:p w14:paraId="7CF57BA7" w14:textId="70959E31" w:rsidR="003434E5" w:rsidRPr="008D3DFD" w:rsidRDefault="003434E5" w:rsidP="00044E60">
      <w:pPr>
        <w:pStyle w:val="Default"/>
        <w:rPr>
          <w:color w:val="auto"/>
          <w:sz w:val="22"/>
          <w:szCs w:val="22"/>
        </w:rPr>
      </w:pPr>
    </w:p>
    <w:p w14:paraId="36E2A6A0" w14:textId="301F2676" w:rsidR="003434E5" w:rsidRPr="008D3DFD" w:rsidRDefault="003434E5" w:rsidP="00044E60">
      <w:pPr>
        <w:pStyle w:val="Default"/>
        <w:rPr>
          <w:color w:val="auto"/>
          <w:sz w:val="22"/>
          <w:szCs w:val="22"/>
        </w:rPr>
      </w:pPr>
    </w:p>
    <w:p w14:paraId="36134AA5" w14:textId="1D236440" w:rsidR="003434E5" w:rsidRPr="008D3DFD" w:rsidRDefault="003434E5" w:rsidP="00044E60">
      <w:pPr>
        <w:pStyle w:val="Default"/>
        <w:rPr>
          <w:color w:val="auto"/>
          <w:sz w:val="22"/>
          <w:szCs w:val="22"/>
        </w:rPr>
      </w:pPr>
    </w:p>
    <w:p w14:paraId="71C9A996" w14:textId="607BE47D" w:rsidR="003434E5" w:rsidRPr="008D3DFD" w:rsidRDefault="003434E5" w:rsidP="00044E60">
      <w:pPr>
        <w:pStyle w:val="Default"/>
        <w:rPr>
          <w:color w:val="auto"/>
          <w:sz w:val="22"/>
          <w:szCs w:val="22"/>
        </w:rPr>
      </w:pPr>
    </w:p>
    <w:p w14:paraId="0BF97923" w14:textId="7CA8F280" w:rsidR="003434E5" w:rsidRPr="008D3DFD" w:rsidRDefault="003434E5" w:rsidP="00044E60">
      <w:pPr>
        <w:pStyle w:val="Default"/>
        <w:rPr>
          <w:color w:val="auto"/>
          <w:sz w:val="22"/>
          <w:szCs w:val="22"/>
        </w:rPr>
      </w:pPr>
    </w:p>
    <w:p w14:paraId="786C20F1" w14:textId="53558780" w:rsidR="003434E5" w:rsidRPr="008D3DFD" w:rsidRDefault="00850809" w:rsidP="00044E60">
      <w:pPr>
        <w:pStyle w:val="Default"/>
        <w:rPr>
          <w:color w:val="auto"/>
          <w:sz w:val="22"/>
          <w:szCs w:val="22"/>
        </w:rPr>
      </w:pPr>
      <w:r w:rsidRPr="008D3DFD">
        <w:rPr>
          <w:color w:val="auto"/>
          <w:sz w:val="22"/>
          <w:szCs w:val="22"/>
        </w:rPr>
        <w:t>Section 3. Data</w:t>
      </w:r>
    </w:p>
    <w:p w14:paraId="05813620" w14:textId="77777777" w:rsidR="003434E5" w:rsidRPr="008D3DFD" w:rsidRDefault="003434E5" w:rsidP="00044E60">
      <w:pPr>
        <w:pStyle w:val="Default"/>
        <w:rPr>
          <w:color w:val="auto"/>
          <w:sz w:val="22"/>
          <w:szCs w:val="22"/>
        </w:rPr>
      </w:pPr>
    </w:p>
    <w:tbl>
      <w:tblPr>
        <w:tblStyle w:val="TableGrid"/>
        <w:tblW w:w="25572" w:type="dxa"/>
        <w:tblLayout w:type="fixed"/>
        <w:tblLook w:val="04A0" w:firstRow="1" w:lastRow="0" w:firstColumn="1" w:lastColumn="0" w:noHBand="0" w:noVBand="1"/>
      </w:tblPr>
      <w:tblGrid>
        <w:gridCol w:w="1872"/>
        <w:gridCol w:w="23700"/>
      </w:tblGrid>
      <w:tr w:rsidR="00850809" w:rsidRPr="008D3DFD" w14:paraId="6B5EEAF9" w14:textId="77777777" w:rsidTr="00850809">
        <w:tc>
          <w:tcPr>
            <w:tcW w:w="1872" w:type="dxa"/>
          </w:tcPr>
          <w:p w14:paraId="3FEBAB80" w14:textId="1F5A5C6F" w:rsidR="00850809" w:rsidRPr="008D3DFD" w:rsidRDefault="00850809" w:rsidP="00044E60">
            <w:pPr>
              <w:pStyle w:val="Default"/>
              <w:rPr>
                <w:color w:val="auto"/>
                <w:sz w:val="22"/>
                <w:szCs w:val="22"/>
              </w:rPr>
            </w:pPr>
            <w:r w:rsidRPr="008D3DFD">
              <w:rPr>
                <w:b/>
                <w:bCs/>
                <w:color w:val="auto"/>
              </w:rPr>
              <w:t>3.1. Data Source</w:t>
            </w:r>
          </w:p>
        </w:tc>
        <w:tc>
          <w:tcPr>
            <w:tcW w:w="23700" w:type="dxa"/>
          </w:tcPr>
          <w:p w14:paraId="0A683F7E" w14:textId="7DD06CD2" w:rsidR="00850809" w:rsidRPr="008D3DFD" w:rsidRDefault="00850809" w:rsidP="00044E60">
            <w:pPr>
              <w:pStyle w:val="Default"/>
              <w:rPr>
                <w:color w:val="auto"/>
                <w:sz w:val="22"/>
                <w:szCs w:val="22"/>
              </w:rPr>
            </w:pPr>
            <w:r w:rsidRPr="008D3DFD">
              <w:rPr>
                <w:color w:val="auto"/>
                <w:sz w:val="22"/>
                <w:szCs w:val="22"/>
              </w:rPr>
              <w:t xml:space="preserve">Public Health England (formerly Health Protection Agency until April 2013) mandatory surveillance data </w:t>
            </w:r>
          </w:p>
          <w:p w14:paraId="753B5B5C" w14:textId="77777777" w:rsidR="00850809" w:rsidRPr="008D3DFD" w:rsidRDefault="00850809" w:rsidP="00044E60">
            <w:pPr>
              <w:pStyle w:val="Default"/>
              <w:rPr>
                <w:color w:val="auto"/>
                <w:sz w:val="22"/>
                <w:szCs w:val="22"/>
              </w:rPr>
            </w:pPr>
            <w:r w:rsidRPr="008D3DFD">
              <w:rPr>
                <w:color w:val="auto"/>
                <w:sz w:val="22"/>
                <w:szCs w:val="22"/>
              </w:rPr>
              <w:t xml:space="preserve">Monthly C. difficile infection figures at CCG level are published by PHE at: </w:t>
            </w:r>
          </w:p>
          <w:p w14:paraId="1D3F8C38" w14:textId="77777777" w:rsidR="00850809" w:rsidRPr="008D3DFD" w:rsidRDefault="00850809" w:rsidP="00044E60">
            <w:pPr>
              <w:pStyle w:val="Default"/>
              <w:rPr>
                <w:color w:val="auto"/>
                <w:sz w:val="22"/>
                <w:szCs w:val="22"/>
              </w:rPr>
            </w:pPr>
            <w:r w:rsidRPr="008D3DFD">
              <w:rPr>
                <w:color w:val="auto"/>
                <w:sz w:val="22"/>
                <w:szCs w:val="22"/>
              </w:rPr>
              <w:t>https://www.gov.uk/government/statistics/clostridium-difficile-infection-</w:t>
            </w:r>
          </w:p>
          <w:p w14:paraId="2CC0613B" w14:textId="2D0CC135" w:rsidR="00850809" w:rsidRPr="008D3DFD" w:rsidRDefault="00850809" w:rsidP="00044E60">
            <w:pPr>
              <w:pStyle w:val="Default"/>
              <w:rPr>
                <w:color w:val="auto"/>
                <w:sz w:val="22"/>
                <w:szCs w:val="22"/>
              </w:rPr>
            </w:pPr>
            <w:r w:rsidRPr="008D3DFD">
              <w:rPr>
                <w:color w:val="auto"/>
                <w:sz w:val="22"/>
                <w:szCs w:val="22"/>
              </w:rPr>
              <w:t xml:space="preserve">monthly-data-by-attributed-clinical-commissioning-group </w:t>
            </w:r>
          </w:p>
        </w:tc>
      </w:tr>
      <w:tr w:rsidR="00850809" w:rsidRPr="008D3DFD" w14:paraId="41BFD506" w14:textId="77777777" w:rsidTr="00850809">
        <w:tc>
          <w:tcPr>
            <w:tcW w:w="1872" w:type="dxa"/>
          </w:tcPr>
          <w:p w14:paraId="1826AFA8" w14:textId="77777777" w:rsidR="00850809" w:rsidRPr="008D3DFD" w:rsidRDefault="00850809" w:rsidP="00850809">
            <w:pPr>
              <w:autoSpaceDE w:val="0"/>
              <w:autoSpaceDN w:val="0"/>
              <w:adjustRightInd w:val="0"/>
              <w:rPr>
                <w:rFonts w:ascii="Arial" w:hAnsi="Arial" w:cs="Arial"/>
                <w:b/>
                <w:bCs/>
              </w:rPr>
            </w:pPr>
            <w:r w:rsidRPr="008D3DFD">
              <w:rPr>
                <w:rFonts w:ascii="Arial" w:hAnsi="Arial" w:cs="Arial"/>
                <w:b/>
                <w:bCs/>
              </w:rPr>
              <w:t xml:space="preserve">3.2. </w:t>
            </w:r>
          </w:p>
          <w:p w14:paraId="1F2D78E7" w14:textId="77777777" w:rsidR="00850809" w:rsidRPr="008D3DFD" w:rsidRDefault="00850809" w:rsidP="00850809">
            <w:pPr>
              <w:pStyle w:val="Default"/>
              <w:rPr>
                <w:color w:val="auto"/>
                <w:sz w:val="22"/>
                <w:szCs w:val="22"/>
              </w:rPr>
            </w:pPr>
            <w:r w:rsidRPr="008D3DFD">
              <w:rPr>
                <w:b/>
                <w:bCs/>
                <w:color w:val="auto"/>
                <w:sz w:val="22"/>
                <w:szCs w:val="22"/>
              </w:rPr>
              <w:t xml:space="preserve">Justification of source and others considered </w:t>
            </w:r>
          </w:p>
          <w:p w14:paraId="792986CB" w14:textId="77777777" w:rsidR="00850809" w:rsidRPr="008D3DFD" w:rsidRDefault="00850809" w:rsidP="00044E60">
            <w:pPr>
              <w:pStyle w:val="Default"/>
              <w:rPr>
                <w:color w:val="auto"/>
                <w:sz w:val="22"/>
                <w:szCs w:val="22"/>
              </w:rPr>
            </w:pPr>
          </w:p>
        </w:tc>
        <w:tc>
          <w:tcPr>
            <w:tcW w:w="23700" w:type="dxa"/>
          </w:tcPr>
          <w:p w14:paraId="1880A941" w14:textId="4F1F270A" w:rsidR="00850809" w:rsidRPr="008D3DFD" w:rsidRDefault="00850809" w:rsidP="00044E60">
            <w:pPr>
              <w:pStyle w:val="Default"/>
              <w:rPr>
                <w:color w:val="auto"/>
                <w:sz w:val="22"/>
                <w:szCs w:val="22"/>
              </w:rPr>
            </w:pPr>
            <w:r w:rsidRPr="008D3DFD">
              <w:rPr>
                <w:color w:val="auto"/>
                <w:sz w:val="22"/>
                <w:szCs w:val="22"/>
              </w:rPr>
              <w:t xml:space="preserve">PHE has carried out mandatory enhanced surveillance of C. difficile infection since April 2007 for NHS acute trusts. Patient-level data of any C. difficile infections identified in the acute trust’s hospital laboratory, regardless of the location of the patient at the time the specimen was taken, are reported monthly to PHE. </w:t>
            </w:r>
          </w:p>
          <w:p w14:paraId="7A06BCE4" w14:textId="77777777" w:rsidR="00850809" w:rsidRPr="008D3DFD" w:rsidRDefault="00850809" w:rsidP="00044E60">
            <w:pPr>
              <w:pStyle w:val="Default"/>
              <w:rPr>
                <w:color w:val="auto"/>
                <w:sz w:val="22"/>
                <w:szCs w:val="22"/>
              </w:rPr>
            </w:pPr>
            <w:r w:rsidRPr="008D3DFD">
              <w:rPr>
                <w:color w:val="auto"/>
                <w:sz w:val="22"/>
                <w:szCs w:val="22"/>
              </w:rPr>
              <w:t xml:space="preserve">Independent sector (IS) healthcare organisations providing regulated activities also undertake surveillance of C. difficile infection, although it is not mandatory for them. </w:t>
            </w:r>
          </w:p>
          <w:p w14:paraId="170F0A4F" w14:textId="77777777" w:rsidR="00850809" w:rsidRPr="008D3DFD" w:rsidRDefault="00850809" w:rsidP="00E03F3B">
            <w:pPr>
              <w:pStyle w:val="Default"/>
              <w:rPr>
                <w:color w:val="auto"/>
                <w:sz w:val="22"/>
                <w:szCs w:val="22"/>
              </w:rPr>
            </w:pPr>
          </w:p>
          <w:p w14:paraId="49D31455" w14:textId="1AE9D14C" w:rsidR="00850809" w:rsidRPr="008D3DFD" w:rsidRDefault="00850809" w:rsidP="00E03F3B">
            <w:pPr>
              <w:pStyle w:val="Default"/>
              <w:rPr>
                <w:color w:val="auto"/>
                <w:sz w:val="22"/>
                <w:szCs w:val="22"/>
              </w:rPr>
            </w:pPr>
          </w:p>
        </w:tc>
      </w:tr>
      <w:tr w:rsidR="00850809" w:rsidRPr="008D3DFD" w14:paraId="340028C1" w14:textId="77777777" w:rsidTr="00850809">
        <w:tc>
          <w:tcPr>
            <w:tcW w:w="1872" w:type="dxa"/>
          </w:tcPr>
          <w:p w14:paraId="2C08B791" w14:textId="0363F559" w:rsidR="00850809" w:rsidRPr="008D3DFD" w:rsidRDefault="00850809" w:rsidP="00044E60">
            <w:pPr>
              <w:pStyle w:val="Default"/>
              <w:rPr>
                <w:color w:val="auto"/>
                <w:sz w:val="22"/>
                <w:szCs w:val="22"/>
              </w:rPr>
            </w:pPr>
            <w:r w:rsidRPr="008D3DFD">
              <w:rPr>
                <w:b/>
                <w:bCs/>
                <w:color w:val="auto"/>
              </w:rPr>
              <w:t>3.3. Data availability</w:t>
            </w:r>
          </w:p>
        </w:tc>
        <w:tc>
          <w:tcPr>
            <w:tcW w:w="23700" w:type="dxa"/>
          </w:tcPr>
          <w:p w14:paraId="7FC6C279" w14:textId="4925039F" w:rsidR="00850809" w:rsidRPr="008D3DFD" w:rsidRDefault="00850809" w:rsidP="00044E60">
            <w:pPr>
              <w:pStyle w:val="Default"/>
              <w:rPr>
                <w:color w:val="auto"/>
                <w:sz w:val="22"/>
                <w:szCs w:val="22"/>
              </w:rPr>
            </w:pPr>
            <w:r w:rsidRPr="008D3DFD">
              <w:rPr>
                <w:color w:val="auto"/>
                <w:sz w:val="22"/>
                <w:szCs w:val="22"/>
              </w:rPr>
              <w:t>The monthly C. difficile counts on the Indicator Portal are updated at quarterly intervals throughout the year – in March, June, September, December. Publication dates are publicly pre-announced on the NHS Digital publication calendar</w:t>
            </w:r>
          </w:p>
          <w:p w14:paraId="15389F01" w14:textId="3838B232" w:rsidR="00850809" w:rsidRPr="008D3DFD" w:rsidRDefault="00850809" w:rsidP="00044E60">
            <w:pPr>
              <w:pStyle w:val="Default"/>
              <w:rPr>
                <w:color w:val="auto"/>
                <w:sz w:val="22"/>
                <w:szCs w:val="22"/>
              </w:rPr>
            </w:pPr>
          </w:p>
          <w:p w14:paraId="0D8BBE78" w14:textId="77777777" w:rsidR="00850809" w:rsidRPr="008D3DFD" w:rsidRDefault="00850809" w:rsidP="00044E60">
            <w:pPr>
              <w:pStyle w:val="Default"/>
              <w:rPr>
                <w:color w:val="auto"/>
                <w:sz w:val="22"/>
                <w:szCs w:val="22"/>
              </w:rPr>
            </w:pPr>
            <w:r w:rsidRPr="008D3DFD">
              <w:rPr>
                <w:color w:val="auto"/>
                <w:sz w:val="22"/>
                <w:szCs w:val="22"/>
              </w:rPr>
              <w:t xml:space="preserve">https://digital.nhs.uk/article/6677/Publications-by-year </w:t>
            </w:r>
          </w:p>
          <w:p w14:paraId="7218F0EB" w14:textId="77777777" w:rsidR="00850809" w:rsidRPr="008D3DFD" w:rsidRDefault="00850809" w:rsidP="00044E60">
            <w:pPr>
              <w:pStyle w:val="Default"/>
              <w:rPr>
                <w:color w:val="auto"/>
                <w:sz w:val="22"/>
                <w:szCs w:val="22"/>
              </w:rPr>
            </w:pPr>
          </w:p>
          <w:p w14:paraId="6F0AB3DA" w14:textId="77777777" w:rsidR="00850809" w:rsidRPr="008D3DFD" w:rsidRDefault="00850809" w:rsidP="00044E60">
            <w:pPr>
              <w:pStyle w:val="Default"/>
              <w:rPr>
                <w:color w:val="auto"/>
                <w:sz w:val="22"/>
                <w:szCs w:val="22"/>
              </w:rPr>
            </w:pPr>
            <w:r w:rsidRPr="008D3DFD">
              <w:rPr>
                <w:color w:val="auto"/>
                <w:sz w:val="22"/>
                <w:szCs w:val="22"/>
              </w:rPr>
              <w:t xml:space="preserve"> </w:t>
            </w:r>
          </w:p>
          <w:p w14:paraId="465723A6" w14:textId="17FF630F" w:rsidR="00850809" w:rsidRPr="008D3DFD" w:rsidRDefault="00850809" w:rsidP="00044E60">
            <w:pPr>
              <w:pStyle w:val="Default"/>
              <w:rPr>
                <w:color w:val="auto"/>
                <w:sz w:val="22"/>
                <w:szCs w:val="22"/>
              </w:rPr>
            </w:pPr>
            <w:r w:rsidRPr="008D3DFD">
              <w:rPr>
                <w:color w:val="auto"/>
                <w:sz w:val="22"/>
                <w:szCs w:val="22"/>
              </w:rPr>
              <w:t xml:space="preserve">The monthly C. difficile counts on the PHE website are updated more frequently. Monthly data is processed and analysed before being published on the first Wednesday of the following month. This occurs between two and six weeks following the end of a given month (depending on how the month falls). For example, January 2017 data was signed off on 15 February 2017 and then published on 1 March 2017. This is two weeks from sign-off to publication. </w:t>
            </w:r>
          </w:p>
          <w:p w14:paraId="3B88026D" w14:textId="6BD1F07A" w:rsidR="00850809" w:rsidRPr="008D3DFD" w:rsidRDefault="00850809" w:rsidP="00044E60">
            <w:pPr>
              <w:pStyle w:val="Default"/>
              <w:rPr>
                <w:color w:val="auto"/>
                <w:sz w:val="22"/>
                <w:szCs w:val="22"/>
              </w:rPr>
            </w:pPr>
          </w:p>
          <w:p w14:paraId="75CBF403" w14:textId="77777777" w:rsidR="00850809" w:rsidRPr="008D3DFD" w:rsidRDefault="00850809" w:rsidP="00044E60">
            <w:pPr>
              <w:pStyle w:val="Default"/>
              <w:rPr>
                <w:color w:val="auto"/>
                <w:sz w:val="22"/>
                <w:szCs w:val="22"/>
              </w:rPr>
            </w:pPr>
            <w:r w:rsidRPr="008D3DFD">
              <w:rPr>
                <w:color w:val="auto"/>
                <w:sz w:val="22"/>
                <w:szCs w:val="22"/>
              </w:rPr>
              <w:t xml:space="preserve">PHE data is published on a monthly, quarterly and annual basis according to a pre-announced publication schedule published on gov.uk. Dates are included for an entire 12-month period. The PHE official statistics publication calendar is available here: </w:t>
            </w:r>
          </w:p>
          <w:p w14:paraId="70037333" w14:textId="77777777" w:rsidR="00850809" w:rsidRPr="008D3DFD" w:rsidRDefault="00850809" w:rsidP="00044E60">
            <w:pPr>
              <w:pStyle w:val="Default"/>
              <w:rPr>
                <w:color w:val="auto"/>
                <w:sz w:val="22"/>
                <w:szCs w:val="22"/>
              </w:rPr>
            </w:pPr>
          </w:p>
          <w:p w14:paraId="27DD3E28" w14:textId="77777777" w:rsidR="00850809" w:rsidRPr="008D3DFD" w:rsidRDefault="00850809" w:rsidP="00044E60">
            <w:pPr>
              <w:pStyle w:val="Default"/>
              <w:rPr>
                <w:color w:val="auto"/>
                <w:sz w:val="22"/>
                <w:szCs w:val="22"/>
              </w:rPr>
            </w:pPr>
            <w:r w:rsidRPr="008D3DFD">
              <w:rPr>
                <w:color w:val="auto"/>
                <w:sz w:val="22"/>
                <w:szCs w:val="22"/>
              </w:rPr>
              <w:t>www.gov.uk/government/uploads/system/uploads/attachment_data/file/61</w:t>
            </w:r>
          </w:p>
          <w:p w14:paraId="7D943C14" w14:textId="77777777" w:rsidR="00850809" w:rsidRPr="008D3DFD" w:rsidRDefault="00850809" w:rsidP="00044E60">
            <w:pPr>
              <w:pStyle w:val="Default"/>
              <w:rPr>
                <w:color w:val="auto"/>
                <w:sz w:val="22"/>
                <w:szCs w:val="22"/>
              </w:rPr>
            </w:pPr>
            <w:r w:rsidRPr="008D3DFD">
              <w:rPr>
                <w:color w:val="auto"/>
                <w:sz w:val="22"/>
                <w:szCs w:val="22"/>
              </w:rPr>
              <w:lastRenderedPageBreak/>
              <w:t xml:space="preserve">0032/PHE_official_statistics_12_months_publication_calendar.xlsx </w:t>
            </w:r>
          </w:p>
          <w:p w14:paraId="1685D230" w14:textId="3AD1C2B4" w:rsidR="00850809" w:rsidRPr="008D3DFD" w:rsidRDefault="00850809" w:rsidP="00044E60">
            <w:pPr>
              <w:pStyle w:val="Default"/>
              <w:rPr>
                <w:color w:val="auto"/>
                <w:sz w:val="22"/>
                <w:szCs w:val="22"/>
              </w:rPr>
            </w:pPr>
          </w:p>
          <w:p w14:paraId="1C273B8D" w14:textId="77777777" w:rsidR="00850809" w:rsidRPr="008D3DFD" w:rsidRDefault="00850809" w:rsidP="00044E60">
            <w:pPr>
              <w:pStyle w:val="Default"/>
              <w:rPr>
                <w:color w:val="auto"/>
                <w:sz w:val="22"/>
                <w:szCs w:val="22"/>
              </w:rPr>
            </w:pPr>
          </w:p>
          <w:p w14:paraId="71931E59" w14:textId="77777777" w:rsidR="00850809" w:rsidRPr="008D3DFD" w:rsidRDefault="00850809" w:rsidP="00E03F3B">
            <w:pPr>
              <w:pStyle w:val="Default"/>
              <w:rPr>
                <w:color w:val="auto"/>
                <w:sz w:val="22"/>
                <w:szCs w:val="22"/>
              </w:rPr>
            </w:pPr>
          </w:p>
        </w:tc>
      </w:tr>
      <w:tr w:rsidR="00850809" w:rsidRPr="008D3DFD" w14:paraId="597BC5A5" w14:textId="77777777" w:rsidTr="00850809">
        <w:tc>
          <w:tcPr>
            <w:tcW w:w="1872" w:type="dxa"/>
          </w:tcPr>
          <w:p w14:paraId="1EE6A2D1" w14:textId="77A49495" w:rsidR="00850809" w:rsidRPr="008D3DFD" w:rsidRDefault="00850809" w:rsidP="00E03F3B">
            <w:pPr>
              <w:pStyle w:val="Default"/>
              <w:rPr>
                <w:color w:val="auto"/>
                <w:sz w:val="22"/>
                <w:szCs w:val="22"/>
              </w:rPr>
            </w:pPr>
            <w:r w:rsidRPr="008D3DFD">
              <w:rPr>
                <w:b/>
                <w:bCs/>
                <w:color w:val="auto"/>
              </w:rPr>
              <w:lastRenderedPageBreak/>
              <w:t>3.4. Data Quality</w:t>
            </w:r>
          </w:p>
        </w:tc>
        <w:tc>
          <w:tcPr>
            <w:tcW w:w="23700" w:type="dxa"/>
          </w:tcPr>
          <w:p w14:paraId="1D2DCADA" w14:textId="6576F01E" w:rsidR="00850809" w:rsidRPr="008D3DFD" w:rsidRDefault="00850809" w:rsidP="00E03F3B">
            <w:pPr>
              <w:pStyle w:val="Default"/>
              <w:rPr>
                <w:color w:val="auto"/>
                <w:sz w:val="22"/>
                <w:szCs w:val="22"/>
              </w:rPr>
            </w:pPr>
            <w:r w:rsidRPr="008D3DFD">
              <w:rPr>
                <w:color w:val="auto"/>
                <w:sz w:val="22"/>
                <w:szCs w:val="22"/>
              </w:rPr>
              <w:t xml:space="preserve">  </w:t>
            </w:r>
          </w:p>
          <w:p w14:paraId="552C9D35" w14:textId="77777777" w:rsidR="00850809" w:rsidRPr="008D3DFD" w:rsidRDefault="00850809" w:rsidP="00044E60">
            <w:pPr>
              <w:pStyle w:val="Default"/>
              <w:rPr>
                <w:color w:val="auto"/>
                <w:sz w:val="22"/>
                <w:szCs w:val="22"/>
              </w:rPr>
            </w:pPr>
            <w:r w:rsidRPr="008D3DFD">
              <w:rPr>
                <w:b/>
                <w:bCs/>
                <w:color w:val="auto"/>
                <w:sz w:val="22"/>
                <w:szCs w:val="22"/>
              </w:rPr>
              <w:t xml:space="preserve">i) What data quality checks are relevant to this indicator? </w:t>
            </w:r>
          </w:p>
          <w:p w14:paraId="2B97D49E" w14:textId="77777777" w:rsidR="00850809" w:rsidRPr="008D3DFD" w:rsidRDefault="00850809" w:rsidP="00044E60">
            <w:pPr>
              <w:pStyle w:val="Default"/>
              <w:rPr>
                <w:rFonts w:eastAsia="MS Gothic"/>
                <w:color w:val="auto"/>
                <w:sz w:val="22"/>
                <w:szCs w:val="22"/>
              </w:rPr>
            </w:pPr>
            <w:r w:rsidRPr="008D3DFD">
              <w:rPr>
                <w:b/>
                <w:bCs/>
                <w:color w:val="auto"/>
                <w:sz w:val="22"/>
                <w:szCs w:val="22"/>
              </w:rPr>
              <w:t xml:space="preserve">Coverage </w:t>
            </w:r>
            <w:r w:rsidRPr="008D3DFD">
              <w:rPr>
                <w:rFonts w:ascii="Segoe UI Symbol" w:eastAsia="MS Gothic" w:hAnsi="Segoe UI Symbol" w:cs="Segoe UI Symbol"/>
                <w:color w:val="auto"/>
                <w:sz w:val="22"/>
                <w:szCs w:val="22"/>
              </w:rPr>
              <w:t>☐</w:t>
            </w:r>
            <w:r w:rsidRPr="008D3DFD">
              <w:rPr>
                <w:rFonts w:eastAsia="MS Gothic"/>
                <w:color w:val="auto"/>
                <w:sz w:val="22"/>
                <w:szCs w:val="22"/>
              </w:rPr>
              <w:t xml:space="preserve"> </w:t>
            </w:r>
          </w:p>
          <w:p w14:paraId="7AC48D7B" w14:textId="77777777" w:rsidR="00850809" w:rsidRPr="008D3DFD" w:rsidRDefault="00850809" w:rsidP="00044E60">
            <w:pPr>
              <w:pStyle w:val="Default"/>
              <w:rPr>
                <w:rFonts w:eastAsia="MS Gothic"/>
                <w:color w:val="auto"/>
                <w:sz w:val="22"/>
                <w:szCs w:val="22"/>
              </w:rPr>
            </w:pPr>
            <w:r w:rsidRPr="008D3DFD">
              <w:rPr>
                <w:rFonts w:eastAsia="MS Gothic"/>
                <w:b/>
                <w:bCs/>
                <w:color w:val="auto"/>
                <w:sz w:val="22"/>
                <w:szCs w:val="22"/>
              </w:rPr>
              <w:t xml:space="preserve">Completeness </w:t>
            </w:r>
            <w:r w:rsidRPr="008D3DFD">
              <w:rPr>
                <w:rFonts w:ascii="Segoe UI Symbol" w:eastAsia="MS Gothic" w:hAnsi="Segoe UI Symbol" w:cs="Segoe UI Symbol"/>
                <w:color w:val="auto"/>
                <w:sz w:val="22"/>
                <w:szCs w:val="22"/>
              </w:rPr>
              <w:t>☒</w:t>
            </w:r>
            <w:r w:rsidRPr="008D3DFD">
              <w:rPr>
                <w:rFonts w:eastAsia="MS Gothic"/>
                <w:color w:val="auto"/>
                <w:sz w:val="22"/>
                <w:szCs w:val="22"/>
              </w:rPr>
              <w:t xml:space="preserve"> Validity </w:t>
            </w:r>
            <w:r w:rsidRPr="008D3DFD">
              <w:rPr>
                <w:rFonts w:ascii="Segoe UI Symbol" w:eastAsia="MS Gothic" w:hAnsi="Segoe UI Symbol" w:cs="Segoe UI Symbol"/>
                <w:color w:val="auto"/>
                <w:sz w:val="22"/>
                <w:szCs w:val="22"/>
              </w:rPr>
              <w:t>☒</w:t>
            </w:r>
            <w:r w:rsidRPr="008D3DFD">
              <w:rPr>
                <w:rFonts w:eastAsia="MS Gothic"/>
                <w:color w:val="auto"/>
                <w:sz w:val="22"/>
                <w:szCs w:val="22"/>
              </w:rPr>
              <w:t xml:space="preserve"> </w:t>
            </w:r>
          </w:p>
          <w:p w14:paraId="6174B0F3" w14:textId="77777777" w:rsidR="00850809" w:rsidRPr="008D3DFD" w:rsidRDefault="00850809" w:rsidP="00044E60">
            <w:pPr>
              <w:pStyle w:val="Default"/>
              <w:rPr>
                <w:rFonts w:eastAsia="MS Gothic"/>
                <w:color w:val="auto"/>
                <w:sz w:val="22"/>
                <w:szCs w:val="22"/>
              </w:rPr>
            </w:pPr>
            <w:r w:rsidRPr="008D3DFD">
              <w:rPr>
                <w:rFonts w:eastAsia="MS Gothic"/>
                <w:b/>
                <w:bCs/>
                <w:color w:val="auto"/>
                <w:sz w:val="22"/>
                <w:szCs w:val="22"/>
              </w:rPr>
              <w:t xml:space="preserve">Default </w:t>
            </w:r>
            <w:r w:rsidRPr="008D3DFD">
              <w:rPr>
                <w:rFonts w:ascii="Segoe UI Symbol" w:eastAsia="MS Gothic" w:hAnsi="Segoe UI Symbol" w:cs="Segoe UI Symbol"/>
                <w:color w:val="auto"/>
                <w:sz w:val="22"/>
                <w:szCs w:val="22"/>
              </w:rPr>
              <w:t>☐</w:t>
            </w:r>
            <w:r w:rsidRPr="008D3DFD">
              <w:rPr>
                <w:rFonts w:eastAsia="MS Gothic"/>
                <w:color w:val="auto"/>
                <w:sz w:val="22"/>
                <w:szCs w:val="22"/>
              </w:rPr>
              <w:t xml:space="preserve"> </w:t>
            </w:r>
          </w:p>
          <w:p w14:paraId="795553C6" w14:textId="4B0401E0" w:rsidR="00850809" w:rsidRPr="008D3DFD" w:rsidRDefault="00850809" w:rsidP="00044E60">
            <w:pPr>
              <w:pStyle w:val="Default"/>
              <w:rPr>
                <w:color w:val="auto"/>
                <w:sz w:val="22"/>
                <w:szCs w:val="22"/>
              </w:rPr>
            </w:pPr>
            <w:r w:rsidRPr="008D3DFD">
              <w:rPr>
                <w:rFonts w:eastAsia="MS Gothic"/>
                <w:b/>
                <w:bCs/>
                <w:color w:val="auto"/>
                <w:sz w:val="22"/>
                <w:szCs w:val="22"/>
              </w:rPr>
              <w:t xml:space="preserve">Integrity </w:t>
            </w:r>
            <w:r w:rsidRPr="008D3DFD">
              <w:rPr>
                <w:rFonts w:ascii="Segoe UI Symbol" w:eastAsia="MS Gothic" w:hAnsi="Segoe UI Symbol" w:cs="Segoe UI Symbol"/>
                <w:color w:val="auto"/>
                <w:sz w:val="22"/>
                <w:szCs w:val="22"/>
              </w:rPr>
              <w:t>☒</w:t>
            </w:r>
            <w:r w:rsidRPr="008D3DFD">
              <w:rPr>
                <w:rFonts w:eastAsia="MS Gothic"/>
                <w:color w:val="auto"/>
                <w:sz w:val="22"/>
                <w:szCs w:val="22"/>
              </w:rPr>
              <w:t xml:space="preserve"> Timeliness </w:t>
            </w:r>
            <w:r w:rsidRPr="008D3DFD">
              <w:rPr>
                <w:rFonts w:ascii="Segoe UI Symbol" w:eastAsia="MS Gothic" w:hAnsi="Segoe UI Symbol" w:cs="Segoe UI Symbol"/>
                <w:color w:val="auto"/>
                <w:sz w:val="22"/>
                <w:szCs w:val="22"/>
              </w:rPr>
              <w:t>☒</w:t>
            </w:r>
            <w:r w:rsidRPr="008D3DFD">
              <w:rPr>
                <w:rFonts w:eastAsia="MS Gothic"/>
                <w:color w:val="auto"/>
                <w:sz w:val="22"/>
                <w:szCs w:val="22"/>
              </w:rPr>
              <w:t xml:space="preserve"> Other </w:t>
            </w:r>
            <w:r w:rsidRPr="008D3DFD">
              <w:rPr>
                <w:rFonts w:ascii="Segoe UI Symbol" w:eastAsia="MS Gothic" w:hAnsi="Segoe UI Symbol" w:cs="Segoe UI Symbol"/>
                <w:color w:val="auto"/>
                <w:sz w:val="22"/>
                <w:szCs w:val="22"/>
              </w:rPr>
              <w:t>☐</w:t>
            </w:r>
            <w:r w:rsidRPr="008D3DFD">
              <w:rPr>
                <w:rFonts w:eastAsia="MS Gothic"/>
                <w:color w:val="auto"/>
                <w:sz w:val="22"/>
                <w:szCs w:val="22"/>
              </w:rPr>
              <w:t xml:space="preserve"> </w:t>
            </w:r>
          </w:p>
        </w:tc>
      </w:tr>
      <w:tr w:rsidR="00850809" w:rsidRPr="008D3DFD" w14:paraId="11880E27" w14:textId="77777777" w:rsidTr="00850809">
        <w:tc>
          <w:tcPr>
            <w:tcW w:w="1872" w:type="dxa"/>
          </w:tcPr>
          <w:p w14:paraId="69846438" w14:textId="77777777" w:rsidR="00850809" w:rsidRPr="008D3DFD" w:rsidRDefault="00850809" w:rsidP="00044E60">
            <w:pPr>
              <w:pStyle w:val="Default"/>
              <w:rPr>
                <w:b/>
                <w:bCs/>
                <w:color w:val="auto"/>
                <w:sz w:val="22"/>
                <w:szCs w:val="22"/>
              </w:rPr>
            </w:pPr>
          </w:p>
        </w:tc>
        <w:tc>
          <w:tcPr>
            <w:tcW w:w="23700" w:type="dxa"/>
          </w:tcPr>
          <w:p w14:paraId="52C2DF07" w14:textId="1100DF54" w:rsidR="00850809" w:rsidRPr="008D3DFD" w:rsidRDefault="00850809" w:rsidP="00044E60">
            <w:pPr>
              <w:pStyle w:val="Default"/>
              <w:rPr>
                <w:color w:val="auto"/>
                <w:sz w:val="22"/>
                <w:szCs w:val="22"/>
              </w:rPr>
            </w:pPr>
            <w:r w:rsidRPr="008D3DFD">
              <w:rPr>
                <w:b/>
                <w:bCs/>
                <w:color w:val="auto"/>
                <w:sz w:val="22"/>
                <w:szCs w:val="22"/>
              </w:rPr>
              <w:t xml:space="preserve">If you included ‘Other’ as a data quality check, please describe the check, how it will be measured, and its reason for use below: </w:t>
            </w:r>
          </w:p>
          <w:p w14:paraId="426E0379" w14:textId="3AF5BA81" w:rsidR="00850809" w:rsidRPr="008D3DFD" w:rsidRDefault="00850809" w:rsidP="00044E60">
            <w:pPr>
              <w:pStyle w:val="Default"/>
              <w:rPr>
                <w:color w:val="auto"/>
                <w:sz w:val="22"/>
                <w:szCs w:val="22"/>
              </w:rPr>
            </w:pPr>
            <w:r w:rsidRPr="008D3DFD">
              <w:rPr>
                <w:color w:val="auto"/>
                <w:sz w:val="22"/>
                <w:szCs w:val="22"/>
              </w:rPr>
              <w:t xml:space="preserve">Not applicable </w:t>
            </w:r>
          </w:p>
        </w:tc>
      </w:tr>
      <w:tr w:rsidR="00850809" w:rsidRPr="008D3DFD" w14:paraId="2C1ACAE9" w14:textId="77777777" w:rsidTr="00850809">
        <w:tc>
          <w:tcPr>
            <w:tcW w:w="1872" w:type="dxa"/>
          </w:tcPr>
          <w:p w14:paraId="4C52C069" w14:textId="77777777" w:rsidR="00850809" w:rsidRPr="008D3DFD" w:rsidRDefault="00850809" w:rsidP="00044E60">
            <w:pPr>
              <w:pStyle w:val="Default"/>
              <w:rPr>
                <w:b/>
                <w:bCs/>
                <w:color w:val="auto"/>
                <w:sz w:val="22"/>
                <w:szCs w:val="22"/>
              </w:rPr>
            </w:pPr>
          </w:p>
        </w:tc>
        <w:tc>
          <w:tcPr>
            <w:tcW w:w="23700" w:type="dxa"/>
          </w:tcPr>
          <w:p w14:paraId="427BD9B2" w14:textId="170595DB" w:rsidR="00850809" w:rsidRPr="008D3DFD" w:rsidRDefault="00850809" w:rsidP="00044E60">
            <w:pPr>
              <w:pStyle w:val="Default"/>
              <w:rPr>
                <w:color w:val="auto"/>
                <w:sz w:val="22"/>
                <w:szCs w:val="22"/>
              </w:rPr>
            </w:pPr>
            <w:r w:rsidRPr="008D3DFD">
              <w:rPr>
                <w:b/>
                <w:bCs/>
                <w:color w:val="auto"/>
                <w:sz w:val="22"/>
                <w:szCs w:val="22"/>
              </w:rPr>
              <w:t xml:space="preserve">ii) What are the current values for the data quality checks selected? </w:t>
            </w:r>
            <w:r w:rsidRPr="008D3DFD">
              <w:rPr>
                <w:color w:val="auto"/>
                <w:sz w:val="22"/>
                <w:szCs w:val="22"/>
              </w:rPr>
              <w:t xml:space="preserve">The period of data the current values are calculated from should be stated. Current values should be recorded as a percentage and calculated as described below. </w:t>
            </w:r>
          </w:p>
          <w:p w14:paraId="3ABD0B71" w14:textId="77777777" w:rsidR="00850809" w:rsidRPr="008D3DFD" w:rsidRDefault="00850809" w:rsidP="00044E60">
            <w:pPr>
              <w:pStyle w:val="Default"/>
              <w:rPr>
                <w:color w:val="auto"/>
                <w:sz w:val="22"/>
                <w:szCs w:val="22"/>
              </w:rPr>
            </w:pPr>
            <w:r w:rsidRPr="008D3DFD">
              <w:rPr>
                <w:color w:val="auto"/>
                <w:sz w:val="22"/>
                <w:szCs w:val="22"/>
              </w:rPr>
              <w:t xml:space="preserve">A data quality statement accompanies the actual data for all CCG OIS indicators on the Indicator Portal. The data quality statement for incidence of C. difficile infection is available at: </w:t>
            </w:r>
          </w:p>
          <w:p w14:paraId="45F25F5A" w14:textId="77777777" w:rsidR="00850809" w:rsidRPr="008D3DFD" w:rsidRDefault="00850809" w:rsidP="00044E60">
            <w:pPr>
              <w:pStyle w:val="Default"/>
              <w:rPr>
                <w:color w:val="auto"/>
                <w:sz w:val="22"/>
                <w:szCs w:val="22"/>
              </w:rPr>
            </w:pPr>
          </w:p>
          <w:p w14:paraId="2ABD0085" w14:textId="77777777" w:rsidR="00850809" w:rsidRPr="008D3DFD" w:rsidRDefault="00850809" w:rsidP="00044E60">
            <w:pPr>
              <w:pStyle w:val="Default"/>
              <w:rPr>
                <w:color w:val="auto"/>
                <w:sz w:val="22"/>
                <w:szCs w:val="22"/>
              </w:rPr>
            </w:pPr>
            <w:r w:rsidRPr="008D3DFD">
              <w:rPr>
                <w:color w:val="auto"/>
                <w:sz w:val="22"/>
                <w:szCs w:val="22"/>
              </w:rPr>
              <w:t>https://indicators.hscic.gov.uk/download/Clinical%20Commissioning%20Gr</w:t>
            </w:r>
          </w:p>
          <w:p w14:paraId="2AF68C37" w14:textId="5737FDB4" w:rsidR="00850809" w:rsidRPr="008D3DFD" w:rsidRDefault="00850809" w:rsidP="00044E60">
            <w:pPr>
              <w:pStyle w:val="Default"/>
              <w:rPr>
                <w:color w:val="auto"/>
                <w:sz w:val="22"/>
                <w:szCs w:val="22"/>
              </w:rPr>
            </w:pPr>
            <w:r w:rsidRPr="008D3DFD">
              <w:rPr>
                <w:color w:val="auto"/>
                <w:sz w:val="22"/>
                <w:szCs w:val="22"/>
              </w:rPr>
              <w:t xml:space="preserve">oup%20Indicators/Specification/CCG_5.4_I00806_Q.pdf </w:t>
            </w:r>
          </w:p>
          <w:p w14:paraId="1A0CBBC8" w14:textId="758CB5E1" w:rsidR="00850809" w:rsidRPr="008D3DFD" w:rsidRDefault="00850809" w:rsidP="00044E60">
            <w:pPr>
              <w:pStyle w:val="Default"/>
              <w:rPr>
                <w:color w:val="auto"/>
                <w:sz w:val="22"/>
                <w:szCs w:val="22"/>
              </w:rPr>
            </w:pPr>
          </w:p>
          <w:p w14:paraId="11F342B5" w14:textId="77777777" w:rsidR="00850809" w:rsidRPr="008D3DFD" w:rsidRDefault="00850809" w:rsidP="00044E60">
            <w:pPr>
              <w:pStyle w:val="Default"/>
              <w:rPr>
                <w:color w:val="auto"/>
                <w:sz w:val="22"/>
                <w:szCs w:val="22"/>
              </w:rPr>
            </w:pPr>
            <w:r w:rsidRPr="008D3DFD">
              <w:rPr>
                <w:color w:val="auto"/>
                <w:sz w:val="22"/>
                <w:szCs w:val="22"/>
              </w:rPr>
              <w:t xml:space="preserve">Public Health England (PHE) also publishes a more detailed data quality statement relating to Mandatory Health Care Associated Infection Surveillance, including C. difficile infection. This is available at: </w:t>
            </w:r>
          </w:p>
          <w:p w14:paraId="322A6ADB" w14:textId="3C52C42A" w:rsidR="00850809" w:rsidRPr="008D3DFD" w:rsidRDefault="00850809" w:rsidP="00044E60">
            <w:pPr>
              <w:pStyle w:val="Default"/>
              <w:rPr>
                <w:color w:val="auto"/>
                <w:sz w:val="22"/>
                <w:szCs w:val="22"/>
              </w:rPr>
            </w:pPr>
          </w:p>
          <w:p w14:paraId="582949BA" w14:textId="77777777" w:rsidR="00850809" w:rsidRPr="008D3DFD" w:rsidRDefault="00850809" w:rsidP="00044E60">
            <w:pPr>
              <w:pStyle w:val="Default"/>
              <w:rPr>
                <w:color w:val="auto"/>
                <w:sz w:val="22"/>
                <w:szCs w:val="22"/>
              </w:rPr>
            </w:pPr>
            <w:r w:rsidRPr="008D3DFD">
              <w:rPr>
                <w:color w:val="auto"/>
                <w:sz w:val="22"/>
                <w:szCs w:val="22"/>
              </w:rPr>
              <w:t>https://www.gov.uk/government/uploads/system/uploads/attachment_data/</w:t>
            </w:r>
          </w:p>
          <w:p w14:paraId="1325920E" w14:textId="77777777" w:rsidR="00850809" w:rsidRPr="008D3DFD" w:rsidRDefault="00850809" w:rsidP="00044E60">
            <w:pPr>
              <w:pStyle w:val="Default"/>
              <w:rPr>
                <w:color w:val="auto"/>
                <w:sz w:val="22"/>
                <w:szCs w:val="22"/>
              </w:rPr>
            </w:pPr>
            <w:r w:rsidRPr="008D3DFD">
              <w:rPr>
                <w:color w:val="auto"/>
                <w:sz w:val="22"/>
                <w:szCs w:val="22"/>
              </w:rPr>
              <w:t>file/635429/mandatory_healthcare_associated_infection_data_quality_rep</w:t>
            </w:r>
          </w:p>
          <w:p w14:paraId="052E62CF" w14:textId="77777777" w:rsidR="00850809" w:rsidRPr="008D3DFD" w:rsidRDefault="00850809" w:rsidP="00044E60">
            <w:pPr>
              <w:pStyle w:val="Default"/>
              <w:rPr>
                <w:color w:val="auto"/>
                <w:sz w:val="22"/>
                <w:szCs w:val="22"/>
              </w:rPr>
            </w:pPr>
            <w:r w:rsidRPr="008D3DFD">
              <w:rPr>
                <w:color w:val="auto"/>
                <w:sz w:val="22"/>
                <w:szCs w:val="22"/>
              </w:rPr>
              <w:t xml:space="preserve">ort.pdf </w:t>
            </w:r>
          </w:p>
          <w:p w14:paraId="4E3C51C1" w14:textId="7B19326D" w:rsidR="00850809" w:rsidRPr="008D3DFD" w:rsidRDefault="00850809" w:rsidP="00044E60">
            <w:pPr>
              <w:pStyle w:val="Default"/>
              <w:rPr>
                <w:color w:val="auto"/>
                <w:sz w:val="22"/>
                <w:szCs w:val="22"/>
              </w:rPr>
            </w:pPr>
          </w:p>
          <w:p w14:paraId="63AD14AE" w14:textId="77777777" w:rsidR="00850809" w:rsidRPr="008D3DFD" w:rsidRDefault="00850809" w:rsidP="00044E60">
            <w:pPr>
              <w:pStyle w:val="Default"/>
              <w:rPr>
                <w:color w:val="auto"/>
                <w:sz w:val="22"/>
                <w:szCs w:val="22"/>
              </w:rPr>
            </w:pPr>
            <w:r w:rsidRPr="008D3DFD">
              <w:rPr>
                <w:color w:val="auto"/>
                <w:sz w:val="22"/>
                <w:szCs w:val="22"/>
              </w:rPr>
              <w:t xml:space="preserve">PHE update this statement annually just after the close of every financial year. </w:t>
            </w:r>
          </w:p>
          <w:p w14:paraId="10B06D39" w14:textId="5CCBF6FB" w:rsidR="00850809" w:rsidRPr="008D3DFD" w:rsidRDefault="00850809" w:rsidP="00044E60">
            <w:pPr>
              <w:pStyle w:val="Default"/>
              <w:rPr>
                <w:color w:val="auto"/>
                <w:sz w:val="22"/>
                <w:szCs w:val="22"/>
              </w:rPr>
            </w:pPr>
            <w:r w:rsidRPr="008D3DFD">
              <w:rPr>
                <w:color w:val="auto"/>
                <w:sz w:val="22"/>
                <w:szCs w:val="22"/>
              </w:rPr>
              <w:t xml:space="preserve">PHE also include a note to aid interpretation on their monthly data file explaining what can and can’t be deduced from the published data. </w:t>
            </w:r>
          </w:p>
          <w:p w14:paraId="17CEF3F9" w14:textId="79724370" w:rsidR="00850809" w:rsidRPr="008D3DFD" w:rsidRDefault="00850809" w:rsidP="00044E60">
            <w:pPr>
              <w:pStyle w:val="Default"/>
              <w:rPr>
                <w:color w:val="auto"/>
                <w:sz w:val="22"/>
                <w:szCs w:val="22"/>
              </w:rPr>
            </w:pPr>
          </w:p>
          <w:p w14:paraId="4D37A4BA" w14:textId="77777777" w:rsidR="00850809" w:rsidRPr="008D3DFD" w:rsidRDefault="00850809" w:rsidP="00044E60">
            <w:pPr>
              <w:pStyle w:val="Default"/>
              <w:rPr>
                <w:color w:val="auto"/>
                <w:sz w:val="22"/>
                <w:szCs w:val="22"/>
              </w:rPr>
            </w:pPr>
            <w:r w:rsidRPr="008D3DFD">
              <w:rPr>
                <w:b/>
                <w:bCs/>
                <w:color w:val="auto"/>
                <w:sz w:val="22"/>
                <w:szCs w:val="22"/>
              </w:rPr>
              <w:t xml:space="preserve">Period of data: June 2016 to June 2017 </w:t>
            </w:r>
          </w:p>
          <w:p w14:paraId="6AB746D0" w14:textId="77777777" w:rsidR="00850809" w:rsidRPr="008D3DFD" w:rsidRDefault="00850809" w:rsidP="00044E60">
            <w:pPr>
              <w:pStyle w:val="Default"/>
              <w:rPr>
                <w:color w:val="auto"/>
                <w:sz w:val="22"/>
                <w:szCs w:val="22"/>
              </w:rPr>
            </w:pPr>
            <w:r w:rsidRPr="008D3DFD">
              <w:rPr>
                <w:b/>
                <w:bCs/>
                <w:color w:val="auto"/>
                <w:sz w:val="22"/>
                <w:szCs w:val="22"/>
              </w:rPr>
              <w:t xml:space="preserve">Coverage: Data for all CCGs is available </w:t>
            </w:r>
          </w:p>
          <w:p w14:paraId="14249233" w14:textId="77777777" w:rsidR="00850809" w:rsidRPr="008D3DFD" w:rsidRDefault="00850809" w:rsidP="00044E60">
            <w:pPr>
              <w:pStyle w:val="Default"/>
              <w:rPr>
                <w:color w:val="auto"/>
                <w:sz w:val="22"/>
                <w:szCs w:val="22"/>
              </w:rPr>
            </w:pPr>
            <w:r w:rsidRPr="008D3DFD">
              <w:rPr>
                <w:b/>
                <w:bCs/>
                <w:color w:val="auto"/>
                <w:sz w:val="22"/>
                <w:szCs w:val="22"/>
              </w:rPr>
              <w:t xml:space="preserve">Calculation: n/a </w:t>
            </w:r>
          </w:p>
          <w:p w14:paraId="2F92116E" w14:textId="7275B7F2" w:rsidR="00850809" w:rsidRPr="008D3DFD" w:rsidRDefault="00850809" w:rsidP="00044E60">
            <w:pPr>
              <w:pStyle w:val="Default"/>
              <w:rPr>
                <w:b/>
                <w:bCs/>
                <w:color w:val="auto"/>
                <w:sz w:val="22"/>
                <w:szCs w:val="22"/>
              </w:rPr>
            </w:pPr>
            <w:r w:rsidRPr="008D3DFD">
              <w:rPr>
                <w:b/>
                <w:bCs/>
                <w:color w:val="auto"/>
                <w:sz w:val="22"/>
                <w:szCs w:val="22"/>
              </w:rPr>
              <w:t xml:space="preserve">Completeness: </w:t>
            </w:r>
          </w:p>
          <w:p w14:paraId="291EBB72" w14:textId="1B09DA0F" w:rsidR="00850809" w:rsidRPr="008D3DFD" w:rsidRDefault="00850809" w:rsidP="00044E60">
            <w:pPr>
              <w:pStyle w:val="Default"/>
              <w:rPr>
                <w:color w:val="auto"/>
                <w:sz w:val="22"/>
                <w:szCs w:val="22"/>
              </w:rPr>
            </w:pPr>
          </w:p>
          <w:p w14:paraId="54A810E6" w14:textId="77777777" w:rsidR="00850809" w:rsidRPr="008D3DFD" w:rsidRDefault="00850809" w:rsidP="00044E60">
            <w:pPr>
              <w:pStyle w:val="Default"/>
              <w:rPr>
                <w:color w:val="auto"/>
                <w:sz w:val="22"/>
                <w:szCs w:val="22"/>
              </w:rPr>
            </w:pPr>
            <w:r w:rsidRPr="008D3DFD">
              <w:rPr>
                <w:color w:val="auto"/>
                <w:sz w:val="22"/>
                <w:szCs w:val="22"/>
              </w:rPr>
              <w:t xml:space="preserve">In relation to NHS acute trusts, data completeness is considered good. From April 2007 all acute NHS trusts in England have been required to report all cases of C. difficile in patients aged two years and over. </w:t>
            </w:r>
          </w:p>
          <w:p w14:paraId="63FF3C87" w14:textId="4E9D18A0" w:rsidR="00850809" w:rsidRPr="008D3DFD" w:rsidRDefault="00850809" w:rsidP="00044E60">
            <w:pPr>
              <w:pStyle w:val="Default"/>
              <w:rPr>
                <w:color w:val="auto"/>
                <w:sz w:val="22"/>
                <w:szCs w:val="22"/>
              </w:rPr>
            </w:pPr>
          </w:p>
          <w:p w14:paraId="647D2344" w14:textId="77777777" w:rsidR="00850809" w:rsidRPr="008D3DFD" w:rsidRDefault="00850809" w:rsidP="00044E60">
            <w:pPr>
              <w:pStyle w:val="Default"/>
              <w:rPr>
                <w:color w:val="auto"/>
                <w:sz w:val="22"/>
                <w:szCs w:val="22"/>
              </w:rPr>
            </w:pPr>
            <w:r w:rsidRPr="008D3DFD">
              <w:rPr>
                <w:color w:val="auto"/>
                <w:sz w:val="22"/>
                <w:szCs w:val="22"/>
              </w:rPr>
              <w:t xml:space="preserve">NHS acute trusts that have failed to sign-off their data for three or more months in a row are highlighted in all acute trust level data tables published by NHS England. Only 2 out of 152 acute trusts were highlighted in the data table that covers </w:t>
            </w:r>
            <w:r w:rsidRPr="008D3DFD">
              <w:rPr>
                <w:color w:val="auto"/>
                <w:sz w:val="22"/>
                <w:szCs w:val="22"/>
              </w:rPr>
              <w:lastRenderedPageBreak/>
              <w:t xml:space="preserve">the 13 months to August 2017. </w:t>
            </w:r>
          </w:p>
          <w:p w14:paraId="7BC6A07E" w14:textId="77777777" w:rsidR="00850809" w:rsidRPr="008D3DFD" w:rsidRDefault="00850809" w:rsidP="00044E60">
            <w:pPr>
              <w:pStyle w:val="Default"/>
              <w:rPr>
                <w:color w:val="auto"/>
                <w:sz w:val="22"/>
                <w:szCs w:val="22"/>
              </w:rPr>
            </w:pPr>
          </w:p>
          <w:p w14:paraId="01D6555F" w14:textId="77777777" w:rsidR="00850809" w:rsidRPr="008D3DFD" w:rsidRDefault="00850809" w:rsidP="00044E60">
            <w:pPr>
              <w:pStyle w:val="Default"/>
              <w:rPr>
                <w:color w:val="auto"/>
                <w:sz w:val="22"/>
                <w:szCs w:val="22"/>
              </w:rPr>
            </w:pPr>
            <w:r w:rsidRPr="008D3DFD">
              <w:rPr>
                <w:color w:val="auto"/>
                <w:sz w:val="22"/>
                <w:szCs w:val="22"/>
              </w:rPr>
              <w:t xml:space="preserve">However, the following information on page 8 of the UK Statistics Assessment Report, available at: </w:t>
            </w:r>
          </w:p>
          <w:p w14:paraId="0C400E6F" w14:textId="77777777" w:rsidR="00850809" w:rsidRPr="008D3DFD" w:rsidRDefault="00850809" w:rsidP="00044E60">
            <w:pPr>
              <w:pStyle w:val="Default"/>
              <w:rPr>
                <w:color w:val="auto"/>
                <w:sz w:val="22"/>
                <w:szCs w:val="22"/>
              </w:rPr>
            </w:pPr>
          </w:p>
          <w:p w14:paraId="7E6FA1FD" w14:textId="77777777" w:rsidR="00850809" w:rsidRPr="008D3DFD" w:rsidRDefault="00850809" w:rsidP="00E31FAB">
            <w:pPr>
              <w:pStyle w:val="Default"/>
              <w:rPr>
                <w:color w:val="auto"/>
                <w:sz w:val="22"/>
                <w:szCs w:val="22"/>
              </w:rPr>
            </w:pPr>
            <w:r w:rsidRPr="008D3DFD">
              <w:rPr>
                <w:color w:val="auto"/>
                <w:sz w:val="22"/>
                <w:szCs w:val="22"/>
              </w:rPr>
              <w:t>https://www.statisticsauthority.gov.uk/publication/statistics-on-mandatory-</w:t>
            </w:r>
          </w:p>
          <w:p w14:paraId="4E8EE6CF" w14:textId="77777777" w:rsidR="00850809" w:rsidRPr="008D3DFD" w:rsidRDefault="00850809" w:rsidP="00E31FAB">
            <w:pPr>
              <w:pStyle w:val="Default"/>
              <w:rPr>
                <w:color w:val="auto"/>
                <w:sz w:val="22"/>
                <w:szCs w:val="22"/>
              </w:rPr>
            </w:pPr>
            <w:r w:rsidRPr="008D3DFD">
              <w:rPr>
                <w:color w:val="auto"/>
                <w:sz w:val="22"/>
                <w:szCs w:val="22"/>
              </w:rPr>
              <w:t xml:space="preserve">surveillance-of-healthcare-associated-infections-in-england/ </w:t>
            </w:r>
          </w:p>
          <w:p w14:paraId="29CA8C61" w14:textId="77777777" w:rsidR="00850809" w:rsidRPr="008D3DFD" w:rsidRDefault="00850809" w:rsidP="00044E60">
            <w:pPr>
              <w:pStyle w:val="Default"/>
              <w:rPr>
                <w:color w:val="auto"/>
                <w:sz w:val="22"/>
                <w:szCs w:val="22"/>
              </w:rPr>
            </w:pPr>
          </w:p>
          <w:p w14:paraId="6A4E265A" w14:textId="77777777" w:rsidR="00850809" w:rsidRPr="008D3DFD" w:rsidRDefault="00850809" w:rsidP="00E31FAB">
            <w:pPr>
              <w:pStyle w:val="Default"/>
              <w:rPr>
                <w:color w:val="auto"/>
                <w:sz w:val="22"/>
                <w:szCs w:val="22"/>
              </w:rPr>
            </w:pPr>
            <w:r w:rsidRPr="008D3DFD">
              <w:rPr>
                <w:color w:val="auto"/>
                <w:sz w:val="22"/>
                <w:szCs w:val="22"/>
              </w:rPr>
              <w:t xml:space="preserve">should also be noted. It states that: </w:t>
            </w:r>
          </w:p>
          <w:p w14:paraId="26CB262C" w14:textId="77777777" w:rsidR="00850809" w:rsidRPr="008D3DFD" w:rsidRDefault="00850809" w:rsidP="00E31FAB">
            <w:pPr>
              <w:pStyle w:val="Default"/>
              <w:rPr>
                <w:color w:val="auto"/>
                <w:sz w:val="22"/>
                <w:szCs w:val="22"/>
              </w:rPr>
            </w:pPr>
            <w:r w:rsidRPr="008D3DFD">
              <w:rPr>
                <w:color w:val="auto"/>
                <w:sz w:val="22"/>
                <w:szCs w:val="22"/>
              </w:rPr>
              <w:t xml:space="preserve">"...the fact that the reporting of Health Care Associated Infections (HCAIs) by the non-NHS sector is not mandatory means that not all of the affected population is represented in the data. This incomplete capture could lead </w:t>
            </w:r>
          </w:p>
          <w:p w14:paraId="37D14063" w14:textId="77777777" w:rsidR="00850809" w:rsidRPr="008D3DFD" w:rsidRDefault="00850809" w:rsidP="00E31FAB">
            <w:pPr>
              <w:pStyle w:val="Default"/>
              <w:rPr>
                <w:color w:val="auto"/>
                <w:sz w:val="22"/>
                <w:szCs w:val="22"/>
              </w:rPr>
            </w:pPr>
            <w:r w:rsidRPr="008D3DFD">
              <w:rPr>
                <w:color w:val="auto"/>
                <w:sz w:val="22"/>
                <w:szCs w:val="22"/>
              </w:rPr>
              <w:t xml:space="preserve">to patchy response planning and continued spread of infection". </w:t>
            </w:r>
          </w:p>
          <w:p w14:paraId="79E724A6" w14:textId="77777777" w:rsidR="00850809" w:rsidRPr="008D3DFD" w:rsidRDefault="00850809" w:rsidP="00E31FAB">
            <w:pPr>
              <w:pStyle w:val="Default"/>
              <w:rPr>
                <w:b/>
                <w:bCs/>
                <w:color w:val="auto"/>
                <w:sz w:val="22"/>
                <w:szCs w:val="22"/>
              </w:rPr>
            </w:pPr>
            <w:r w:rsidRPr="008D3DFD">
              <w:rPr>
                <w:b/>
                <w:bCs/>
                <w:color w:val="auto"/>
                <w:sz w:val="22"/>
                <w:szCs w:val="22"/>
              </w:rPr>
              <w:t>Calculation: n/</w:t>
            </w:r>
          </w:p>
          <w:p w14:paraId="4D6045EC" w14:textId="49F78E61" w:rsidR="00850809" w:rsidRPr="008D3DFD" w:rsidRDefault="00850809" w:rsidP="00E31FAB">
            <w:pPr>
              <w:pStyle w:val="Default"/>
              <w:rPr>
                <w:color w:val="auto"/>
                <w:sz w:val="22"/>
                <w:szCs w:val="22"/>
              </w:rPr>
            </w:pPr>
          </w:p>
          <w:p w14:paraId="391DFBB3" w14:textId="4E4DE169" w:rsidR="00850809" w:rsidRPr="008D3DFD" w:rsidRDefault="00850809" w:rsidP="00E31FAB">
            <w:pPr>
              <w:pStyle w:val="Default"/>
              <w:rPr>
                <w:color w:val="auto"/>
                <w:sz w:val="22"/>
                <w:szCs w:val="22"/>
              </w:rPr>
            </w:pPr>
          </w:p>
          <w:p w14:paraId="1CCD5BC1" w14:textId="0D45B017" w:rsidR="00850809" w:rsidRPr="008D3DFD" w:rsidRDefault="00850809" w:rsidP="00E31FAB">
            <w:pPr>
              <w:pStyle w:val="Default"/>
              <w:rPr>
                <w:color w:val="auto"/>
                <w:sz w:val="22"/>
                <w:szCs w:val="22"/>
              </w:rPr>
            </w:pPr>
          </w:p>
          <w:p w14:paraId="458125F1" w14:textId="77777777" w:rsidR="00850809" w:rsidRPr="008D3DFD" w:rsidRDefault="00850809" w:rsidP="00E31FAB">
            <w:pPr>
              <w:pStyle w:val="Default"/>
              <w:rPr>
                <w:color w:val="auto"/>
                <w:sz w:val="22"/>
                <w:szCs w:val="22"/>
              </w:rPr>
            </w:pPr>
          </w:p>
          <w:p w14:paraId="2A932FA6" w14:textId="77777777" w:rsidR="00850809" w:rsidRPr="008D3DFD" w:rsidRDefault="00850809" w:rsidP="00E31FAB">
            <w:pPr>
              <w:pStyle w:val="Default"/>
              <w:rPr>
                <w:color w:val="auto"/>
                <w:sz w:val="22"/>
                <w:szCs w:val="22"/>
              </w:rPr>
            </w:pPr>
            <w:r w:rsidRPr="008D3DFD">
              <w:rPr>
                <w:b/>
                <w:bCs/>
                <w:color w:val="auto"/>
                <w:sz w:val="22"/>
                <w:szCs w:val="22"/>
              </w:rPr>
              <w:t xml:space="preserve">Validity: n/a </w:t>
            </w:r>
          </w:p>
          <w:p w14:paraId="455AE09B" w14:textId="77777777" w:rsidR="00850809" w:rsidRPr="008D3DFD" w:rsidRDefault="00850809" w:rsidP="00E31FAB">
            <w:pPr>
              <w:pStyle w:val="Default"/>
              <w:rPr>
                <w:color w:val="auto"/>
                <w:sz w:val="22"/>
                <w:szCs w:val="22"/>
              </w:rPr>
            </w:pPr>
            <w:r w:rsidRPr="008D3DFD">
              <w:rPr>
                <w:color w:val="auto"/>
                <w:sz w:val="22"/>
                <w:szCs w:val="22"/>
              </w:rPr>
              <w:t xml:space="preserve">The nature of the data collection means that NHS acute trusts can request updates to their data at any time. Further information on the process necessary for an acute trust to request such changes can be found here: </w:t>
            </w:r>
          </w:p>
          <w:p w14:paraId="7CB4B4EC" w14:textId="77777777" w:rsidR="00850809" w:rsidRPr="008D3DFD" w:rsidRDefault="00850809" w:rsidP="00E31FAB">
            <w:pPr>
              <w:pStyle w:val="Default"/>
              <w:rPr>
                <w:color w:val="auto"/>
                <w:sz w:val="22"/>
                <w:szCs w:val="22"/>
              </w:rPr>
            </w:pPr>
          </w:p>
          <w:p w14:paraId="199DFD77" w14:textId="77777777" w:rsidR="00850809" w:rsidRPr="008D3DFD" w:rsidRDefault="00850809" w:rsidP="00E31FAB">
            <w:pPr>
              <w:pStyle w:val="Default"/>
              <w:rPr>
                <w:color w:val="auto"/>
                <w:sz w:val="22"/>
                <w:szCs w:val="22"/>
              </w:rPr>
            </w:pPr>
            <w:r w:rsidRPr="008D3DFD">
              <w:rPr>
                <w:color w:val="auto"/>
                <w:sz w:val="22"/>
                <w:szCs w:val="22"/>
              </w:rPr>
              <w:t>https://hcaidcs.phe.org.uk/ContentManagement/LinksAndAnnouncements/</w:t>
            </w:r>
          </w:p>
          <w:p w14:paraId="661BF818" w14:textId="77777777" w:rsidR="00850809" w:rsidRPr="008D3DFD" w:rsidRDefault="00850809" w:rsidP="00E31FAB">
            <w:pPr>
              <w:pStyle w:val="Default"/>
              <w:rPr>
                <w:color w:val="auto"/>
                <w:sz w:val="22"/>
                <w:szCs w:val="22"/>
              </w:rPr>
            </w:pPr>
            <w:r w:rsidRPr="008D3DFD">
              <w:rPr>
                <w:color w:val="auto"/>
                <w:sz w:val="22"/>
                <w:szCs w:val="22"/>
              </w:rPr>
              <w:t>HCAIDCS_System_Administration%20_Unlock_Requests_UserGuide_V2.</w:t>
            </w:r>
          </w:p>
          <w:p w14:paraId="629681A5" w14:textId="77777777" w:rsidR="00850809" w:rsidRPr="008D3DFD" w:rsidRDefault="00850809" w:rsidP="00E31FAB">
            <w:pPr>
              <w:pStyle w:val="Default"/>
              <w:rPr>
                <w:color w:val="auto"/>
                <w:sz w:val="22"/>
                <w:szCs w:val="22"/>
              </w:rPr>
            </w:pPr>
            <w:r w:rsidRPr="008D3DFD">
              <w:rPr>
                <w:color w:val="auto"/>
                <w:sz w:val="22"/>
                <w:szCs w:val="22"/>
              </w:rPr>
              <w:t xml:space="preserve">0.pdf </w:t>
            </w:r>
          </w:p>
          <w:p w14:paraId="49419B54" w14:textId="42F8714E" w:rsidR="00850809" w:rsidRPr="008D3DFD" w:rsidRDefault="00850809" w:rsidP="00E31FAB">
            <w:pPr>
              <w:pStyle w:val="Default"/>
              <w:rPr>
                <w:color w:val="auto"/>
                <w:sz w:val="22"/>
                <w:szCs w:val="22"/>
              </w:rPr>
            </w:pPr>
          </w:p>
          <w:p w14:paraId="1D29AEAC" w14:textId="77777777" w:rsidR="00850809" w:rsidRPr="008D3DFD" w:rsidRDefault="00850809" w:rsidP="00E31FAB">
            <w:pPr>
              <w:pStyle w:val="Default"/>
              <w:rPr>
                <w:color w:val="auto"/>
                <w:sz w:val="22"/>
                <w:szCs w:val="22"/>
              </w:rPr>
            </w:pPr>
            <w:r w:rsidRPr="008D3DFD">
              <w:rPr>
                <w:color w:val="auto"/>
                <w:sz w:val="22"/>
                <w:szCs w:val="22"/>
              </w:rPr>
              <w:t xml:space="preserve">Further information on the Data Specific Revisions &amp; corrections Policy can be found here: </w:t>
            </w:r>
          </w:p>
          <w:p w14:paraId="501FA4E3" w14:textId="631EB07C" w:rsidR="00850809" w:rsidRPr="008D3DFD" w:rsidRDefault="00850809" w:rsidP="00E31FAB">
            <w:pPr>
              <w:pStyle w:val="Default"/>
              <w:rPr>
                <w:color w:val="auto"/>
                <w:sz w:val="22"/>
                <w:szCs w:val="22"/>
              </w:rPr>
            </w:pPr>
          </w:p>
          <w:p w14:paraId="670018E3" w14:textId="77777777" w:rsidR="00850809" w:rsidRPr="008D3DFD" w:rsidRDefault="00850809" w:rsidP="00E31FAB">
            <w:pPr>
              <w:pStyle w:val="Default"/>
              <w:rPr>
                <w:color w:val="auto"/>
                <w:sz w:val="22"/>
                <w:szCs w:val="22"/>
              </w:rPr>
            </w:pPr>
            <w:r w:rsidRPr="008D3DFD">
              <w:rPr>
                <w:color w:val="auto"/>
                <w:sz w:val="22"/>
                <w:szCs w:val="22"/>
              </w:rPr>
              <w:t>https://www.gov.uk/government/uploads/system/uploads/attachment_data/</w:t>
            </w:r>
          </w:p>
          <w:p w14:paraId="43936324" w14:textId="77777777" w:rsidR="00850809" w:rsidRPr="008D3DFD" w:rsidRDefault="00850809" w:rsidP="00E31FAB">
            <w:pPr>
              <w:pStyle w:val="Default"/>
              <w:rPr>
                <w:color w:val="auto"/>
                <w:sz w:val="22"/>
                <w:szCs w:val="22"/>
              </w:rPr>
            </w:pPr>
            <w:r w:rsidRPr="008D3DFD">
              <w:rPr>
                <w:color w:val="auto"/>
                <w:sz w:val="22"/>
                <w:szCs w:val="22"/>
              </w:rPr>
              <w:t>file/509316/HCAI_Mandatory_Surveillance_Data_Specific_Revisions_and</w:t>
            </w:r>
          </w:p>
          <w:p w14:paraId="1B2B6291" w14:textId="77777777" w:rsidR="00850809" w:rsidRPr="008D3DFD" w:rsidRDefault="00850809" w:rsidP="00E31FAB">
            <w:pPr>
              <w:pStyle w:val="Default"/>
              <w:rPr>
                <w:color w:val="auto"/>
                <w:sz w:val="22"/>
                <w:szCs w:val="22"/>
              </w:rPr>
            </w:pPr>
            <w:r w:rsidRPr="008D3DFD">
              <w:rPr>
                <w:color w:val="auto"/>
                <w:sz w:val="22"/>
                <w:szCs w:val="22"/>
              </w:rPr>
              <w:t xml:space="preserve">_Corrections_Policy_March_2016.pdf </w:t>
            </w:r>
          </w:p>
          <w:p w14:paraId="2B656123" w14:textId="6A7124D9" w:rsidR="00850809" w:rsidRPr="008D3DFD" w:rsidRDefault="00850809" w:rsidP="00E31FAB">
            <w:pPr>
              <w:pStyle w:val="Default"/>
              <w:rPr>
                <w:color w:val="auto"/>
                <w:sz w:val="22"/>
                <w:szCs w:val="22"/>
              </w:rPr>
            </w:pPr>
          </w:p>
          <w:p w14:paraId="136519D2" w14:textId="77777777" w:rsidR="00850809" w:rsidRPr="008D3DFD" w:rsidRDefault="00850809" w:rsidP="00E31FAB">
            <w:pPr>
              <w:pStyle w:val="Default"/>
              <w:rPr>
                <w:color w:val="auto"/>
                <w:sz w:val="22"/>
                <w:szCs w:val="22"/>
              </w:rPr>
            </w:pPr>
            <w:r w:rsidRPr="008D3DFD">
              <w:rPr>
                <w:color w:val="auto"/>
                <w:sz w:val="22"/>
                <w:szCs w:val="22"/>
              </w:rPr>
              <w:t xml:space="preserve">This process means that there are frequently minor changes/additions to the most recent three data months in future publications. </w:t>
            </w:r>
          </w:p>
          <w:p w14:paraId="289C499C" w14:textId="77777777" w:rsidR="00850809" w:rsidRPr="008D3DFD" w:rsidRDefault="00850809" w:rsidP="00E31FAB">
            <w:pPr>
              <w:pStyle w:val="Default"/>
              <w:rPr>
                <w:color w:val="auto"/>
                <w:sz w:val="22"/>
                <w:szCs w:val="22"/>
              </w:rPr>
            </w:pPr>
            <w:r w:rsidRPr="008D3DFD">
              <w:rPr>
                <w:color w:val="auto"/>
                <w:sz w:val="22"/>
                <w:szCs w:val="22"/>
              </w:rPr>
              <w:t xml:space="preserve">Please see ‘3.5. Quality assurance’ for further details. </w:t>
            </w:r>
          </w:p>
          <w:p w14:paraId="0EC0A19E" w14:textId="77777777" w:rsidR="00850809" w:rsidRPr="008D3DFD" w:rsidRDefault="00850809" w:rsidP="00E31FAB">
            <w:pPr>
              <w:pStyle w:val="Default"/>
              <w:rPr>
                <w:color w:val="auto"/>
                <w:sz w:val="22"/>
                <w:szCs w:val="22"/>
              </w:rPr>
            </w:pPr>
            <w:r w:rsidRPr="008D3DFD">
              <w:rPr>
                <w:b/>
                <w:bCs/>
                <w:color w:val="auto"/>
                <w:sz w:val="22"/>
                <w:szCs w:val="22"/>
              </w:rPr>
              <w:t xml:space="preserve">Calculation: n/a </w:t>
            </w:r>
          </w:p>
          <w:p w14:paraId="0F04E9DE" w14:textId="77777777" w:rsidR="00850809" w:rsidRPr="008D3DFD" w:rsidRDefault="00850809" w:rsidP="00E31FAB">
            <w:pPr>
              <w:pStyle w:val="Default"/>
              <w:rPr>
                <w:color w:val="auto"/>
                <w:sz w:val="22"/>
                <w:szCs w:val="22"/>
              </w:rPr>
            </w:pPr>
            <w:r w:rsidRPr="008D3DFD">
              <w:rPr>
                <w:b/>
                <w:bCs/>
                <w:color w:val="auto"/>
                <w:sz w:val="22"/>
                <w:szCs w:val="22"/>
              </w:rPr>
              <w:t xml:space="preserve">Default: n/a </w:t>
            </w:r>
          </w:p>
          <w:p w14:paraId="4A8C975B" w14:textId="77777777" w:rsidR="00850809" w:rsidRPr="008D3DFD" w:rsidRDefault="00850809" w:rsidP="00E31FAB">
            <w:pPr>
              <w:pStyle w:val="Default"/>
              <w:rPr>
                <w:color w:val="auto"/>
                <w:sz w:val="22"/>
                <w:szCs w:val="22"/>
              </w:rPr>
            </w:pPr>
            <w:r w:rsidRPr="008D3DFD">
              <w:rPr>
                <w:b/>
                <w:bCs/>
                <w:color w:val="auto"/>
                <w:sz w:val="22"/>
                <w:szCs w:val="22"/>
              </w:rPr>
              <w:t xml:space="preserve">Calculation: n/a </w:t>
            </w:r>
          </w:p>
          <w:p w14:paraId="0E975042" w14:textId="77777777" w:rsidR="00850809" w:rsidRPr="008D3DFD" w:rsidRDefault="00850809" w:rsidP="00E31FAB">
            <w:pPr>
              <w:pStyle w:val="Default"/>
              <w:rPr>
                <w:color w:val="auto"/>
                <w:sz w:val="22"/>
                <w:szCs w:val="22"/>
              </w:rPr>
            </w:pPr>
            <w:r w:rsidRPr="008D3DFD">
              <w:rPr>
                <w:b/>
                <w:bCs/>
                <w:color w:val="auto"/>
                <w:sz w:val="22"/>
                <w:szCs w:val="22"/>
              </w:rPr>
              <w:t xml:space="preserve">Integrity: n/a </w:t>
            </w:r>
          </w:p>
          <w:p w14:paraId="5DEEB16B" w14:textId="77777777" w:rsidR="00850809" w:rsidRPr="008D3DFD" w:rsidRDefault="00850809" w:rsidP="00E31FAB">
            <w:pPr>
              <w:pStyle w:val="Default"/>
              <w:rPr>
                <w:color w:val="auto"/>
                <w:sz w:val="22"/>
                <w:szCs w:val="22"/>
              </w:rPr>
            </w:pPr>
            <w:r w:rsidRPr="008D3DFD">
              <w:rPr>
                <w:b/>
                <w:bCs/>
                <w:color w:val="auto"/>
                <w:sz w:val="22"/>
                <w:szCs w:val="22"/>
              </w:rPr>
              <w:t xml:space="preserve">Calculation: n/a </w:t>
            </w:r>
          </w:p>
          <w:p w14:paraId="29192D9D" w14:textId="77777777" w:rsidR="00850809" w:rsidRPr="008D3DFD" w:rsidRDefault="00850809" w:rsidP="00E31FAB">
            <w:pPr>
              <w:pStyle w:val="Default"/>
              <w:rPr>
                <w:color w:val="auto"/>
                <w:sz w:val="22"/>
                <w:szCs w:val="22"/>
              </w:rPr>
            </w:pPr>
            <w:r w:rsidRPr="008D3DFD">
              <w:rPr>
                <w:b/>
                <w:bCs/>
                <w:color w:val="auto"/>
                <w:sz w:val="22"/>
                <w:szCs w:val="22"/>
              </w:rPr>
              <w:t xml:space="preserve">Timeliness: n/a </w:t>
            </w:r>
          </w:p>
          <w:p w14:paraId="45F7AE69" w14:textId="77777777" w:rsidR="00850809" w:rsidRPr="008D3DFD" w:rsidRDefault="00850809" w:rsidP="00E31FAB">
            <w:pPr>
              <w:pStyle w:val="Default"/>
              <w:rPr>
                <w:color w:val="auto"/>
                <w:sz w:val="22"/>
                <w:szCs w:val="22"/>
              </w:rPr>
            </w:pPr>
            <w:r w:rsidRPr="008D3DFD">
              <w:rPr>
                <w:b/>
                <w:bCs/>
                <w:color w:val="auto"/>
                <w:sz w:val="22"/>
                <w:szCs w:val="22"/>
              </w:rPr>
              <w:lastRenderedPageBreak/>
              <w:t xml:space="preserve">Calculation: n/a </w:t>
            </w:r>
          </w:p>
          <w:p w14:paraId="119F8050" w14:textId="4F9A947A" w:rsidR="00850809" w:rsidRPr="008D3DFD" w:rsidRDefault="00850809" w:rsidP="00E31FAB">
            <w:pPr>
              <w:pStyle w:val="Default"/>
              <w:rPr>
                <w:color w:val="auto"/>
                <w:sz w:val="22"/>
                <w:szCs w:val="22"/>
              </w:rPr>
            </w:pPr>
            <w:r w:rsidRPr="008D3DFD">
              <w:rPr>
                <w:b/>
                <w:bCs/>
                <w:color w:val="auto"/>
                <w:sz w:val="22"/>
                <w:szCs w:val="22"/>
              </w:rPr>
              <w:t xml:space="preserve">Other: n/a </w:t>
            </w:r>
          </w:p>
          <w:p w14:paraId="76581497" w14:textId="4F403225" w:rsidR="00850809" w:rsidRPr="008D3DFD" w:rsidRDefault="00850809" w:rsidP="00E31FAB">
            <w:pPr>
              <w:pStyle w:val="Default"/>
              <w:rPr>
                <w:color w:val="auto"/>
                <w:sz w:val="22"/>
                <w:szCs w:val="22"/>
              </w:rPr>
            </w:pPr>
          </w:p>
        </w:tc>
      </w:tr>
      <w:tr w:rsidR="00850809" w:rsidRPr="008D3DFD" w14:paraId="59CD0754" w14:textId="77777777" w:rsidTr="00850809">
        <w:tc>
          <w:tcPr>
            <w:tcW w:w="1872" w:type="dxa"/>
          </w:tcPr>
          <w:p w14:paraId="75D62873" w14:textId="77777777" w:rsidR="00850809" w:rsidRPr="008D3DFD" w:rsidRDefault="00850809" w:rsidP="00E31FAB">
            <w:pPr>
              <w:pStyle w:val="Default"/>
              <w:rPr>
                <w:b/>
                <w:bCs/>
                <w:color w:val="auto"/>
                <w:sz w:val="22"/>
                <w:szCs w:val="22"/>
              </w:rPr>
            </w:pPr>
          </w:p>
        </w:tc>
        <w:tc>
          <w:tcPr>
            <w:tcW w:w="23700" w:type="dxa"/>
          </w:tcPr>
          <w:p w14:paraId="67AA9E12" w14:textId="1DAC4B6C" w:rsidR="00850809" w:rsidRPr="008D3DFD" w:rsidRDefault="00850809" w:rsidP="00E31FAB">
            <w:pPr>
              <w:pStyle w:val="Default"/>
              <w:rPr>
                <w:color w:val="auto"/>
                <w:sz w:val="22"/>
                <w:szCs w:val="22"/>
              </w:rPr>
            </w:pPr>
            <w:r w:rsidRPr="008D3DFD">
              <w:rPr>
                <w:b/>
                <w:bCs/>
                <w:color w:val="auto"/>
                <w:sz w:val="22"/>
                <w:szCs w:val="22"/>
              </w:rPr>
              <w:t xml:space="preserve">iv) What is the rationale for the selection of the data quality checks and thresholds selected above? </w:t>
            </w:r>
          </w:p>
          <w:p w14:paraId="664DA75E" w14:textId="77777777" w:rsidR="00850809" w:rsidRPr="008D3DFD" w:rsidRDefault="00850809" w:rsidP="00E31FAB">
            <w:pPr>
              <w:pStyle w:val="Default"/>
              <w:rPr>
                <w:color w:val="auto"/>
                <w:sz w:val="22"/>
                <w:szCs w:val="22"/>
              </w:rPr>
            </w:pPr>
            <w:r w:rsidRPr="008D3DFD">
              <w:rPr>
                <w:color w:val="auto"/>
                <w:sz w:val="22"/>
                <w:szCs w:val="22"/>
              </w:rPr>
              <w:t xml:space="preserve">See above </w:t>
            </w:r>
          </w:p>
          <w:p w14:paraId="2B2AFD4F" w14:textId="77777777" w:rsidR="00850809" w:rsidRPr="008D3DFD" w:rsidRDefault="00850809" w:rsidP="00E31FAB">
            <w:pPr>
              <w:pStyle w:val="Default"/>
              <w:rPr>
                <w:color w:val="auto"/>
                <w:sz w:val="22"/>
                <w:szCs w:val="22"/>
              </w:rPr>
            </w:pPr>
            <w:r w:rsidRPr="008D3DFD">
              <w:rPr>
                <w:b/>
                <w:bCs/>
                <w:color w:val="auto"/>
                <w:sz w:val="22"/>
                <w:szCs w:val="22"/>
              </w:rPr>
              <w:t xml:space="preserve">v) Describe how you would plan to improve data quality should it not meet, or subsequently fall below, the thresholds required for this indicator. </w:t>
            </w:r>
          </w:p>
          <w:p w14:paraId="4BD64335" w14:textId="77777777" w:rsidR="00850809" w:rsidRPr="008D3DFD" w:rsidRDefault="00850809" w:rsidP="00E31FAB">
            <w:pPr>
              <w:pStyle w:val="Default"/>
              <w:rPr>
                <w:color w:val="auto"/>
                <w:sz w:val="22"/>
                <w:szCs w:val="22"/>
              </w:rPr>
            </w:pPr>
            <w:r w:rsidRPr="008D3DFD">
              <w:rPr>
                <w:color w:val="auto"/>
                <w:sz w:val="22"/>
                <w:szCs w:val="22"/>
              </w:rPr>
              <w:t xml:space="preserve">Any data quality issues will be managed and mitigated through agreed engagement channels with the data suppliers. </w:t>
            </w:r>
          </w:p>
          <w:p w14:paraId="4A09173B" w14:textId="00BC1DF7" w:rsidR="00850809" w:rsidRPr="008D3DFD" w:rsidRDefault="00850809" w:rsidP="00E31FAB">
            <w:pPr>
              <w:pStyle w:val="Default"/>
              <w:rPr>
                <w:b/>
                <w:bCs/>
                <w:color w:val="auto"/>
                <w:sz w:val="22"/>
                <w:szCs w:val="22"/>
              </w:rPr>
            </w:pPr>
          </w:p>
        </w:tc>
      </w:tr>
      <w:tr w:rsidR="00850809" w:rsidRPr="008D3DFD" w14:paraId="52612AFA" w14:textId="77777777" w:rsidTr="00850809">
        <w:tc>
          <w:tcPr>
            <w:tcW w:w="1872" w:type="dxa"/>
          </w:tcPr>
          <w:p w14:paraId="6B639CEE" w14:textId="77777777" w:rsidR="00850809" w:rsidRPr="008D3DFD" w:rsidRDefault="00850809" w:rsidP="00E31FAB">
            <w:pPr>
              <w:pStyle w:val="Default"/>
              <w:rPr>
                <w:b/>
                <w:bCs/>
                <w:color w:val="auto"/>
                <w:sz w:val="22"/>
                <w:szCs w:val="22"/>
              </w:rPr>
            </w:pPr>
          </w:p>
        </w:tc>
        <w:tc>
          <w:tcPr>
            <w:tcW w:w="23700" w:type="dxa"/>
          </w:tcPr>
          <w:p w14:paraId="34365644" w14:textId="33DAC927" w:rsidR="00850809" w:rsidRPr="008D3DFD" w:rsidRDefault="00850809" w:rsidP="00E31FAB">
            <w:pPr>
              <w:pStyle w:val="Default"/>
              <w:rPr>
                <w:color w:val="auto"/>
                <w:sz w:val="22"/>
                <w:szCs w:val="22"/>
              </w:rPr>
            </w:pPr>
            <w:r w:rsidRPr="008D3DFD">
              <w:rPr>
                <w:b/>
                <w:bCs/>
                <w:color w:val="auto"/>
                <w:sz w:val="22"/>
                <w:szCs w:val="22"/>
              </w:rPr>
              <w:t xml:space="preserve">vi) Who will own the data quality risks and issues for this indicator? </w:t>
            </w:r>
          </w:p>
          <w:p w14:paraId="23984B51" w14:textId="77777777" w:rsidR="00850809" w:rsidRPr="008D3DFD" w:rsidRDefault="00850809" w:rsidP="00E31FAB">
            <w:pPr>
              <w:pStyle w:val="Default"/>
              <w:rPr>
                <w:color w:val="auto"/>
                <w:sz w:val="22"/>
                <w:szCs w:val="22"/>
              </w:rPr>
            </w:pPr>
            <w:r w:rsidRPr="008D3DFD">
              <w:rPr>
                <w:b/>
                <w:bCs/>
                <w:color w:val="auto"/>
                <w:sz w:val="22"/>
                <w:szCs w:val="22"/>
              </w:rPr>
              <w:t xml:space="preserve">Name: </w:t>
            </w:r>
            <w:r w:rsidRPr="008D3DFD">
              <w:rPr>
                <w:color w:val="auto"/>
                <w:sz w:val="22"/>
                <w:szCs w:val="22"/>
              </w:rPr>
              <w:t xml:space="preserve">Chris Dew </w:t>
            </w:r>
          </w:p>
          <w:p w14:paraId="248E2963" w14:textId="77777777" w:rsidR="00850809" w:rsidRPr="008D3DFD" w:rsidRDefault="00850809" w:rsidP="00E31FAB">
            <w:pPr>
              <w:pStyle w:val="Default"/>
              <w:rPr>
                <w:color w:val="auto"/>
                <w:sz w:val="22"/>
                <w:szCs w:val="22"/>
              </w:rPr>
            </w:pPr>
            <w:r w:rsidRPr="008D3DFD">
              <w:rPr>
                <w:b/>
                <w:bCs/>
                <w:color w:val="auto"/>
                <w:sz w:val="22"/>
                <w:szCs w:val="22"/>
              </w:rPr>
              <w:t xml:space="preserve">Job Title: </w:t>
            </w:r>
            <w:r w:rsidRPr="008D3DFD">
              <w:rPr>
                <w:color w:val="auto"/>
                <w:sz w:val="22"/>
                <w:szCs w:val="22"/>
              </w:rPr>
              <w:t xml:space="preserve">Information Analysis Lead Manager </w:t>
            </w:r>
          </w:p>
          <w:p w14:paraId="7CD66EF6" w14:textId="77777777" w:rsidR="00850809" w:rsidRPr="008D3DFD" w:rsidRDefault="00850809" w:rsidP="00E31FAB">
            <w:pPr>
              <w:pStyle w:val="Default"/>
              <w:rPr>
                <w:color w:val="auto"/>
                <w:sz w:val="22"/>
                <w:szCs w:val="22"/>
              </w:rPr>
            </w:pPr>
            <w:r w:rsidRPr="008D3DFD">
              <w:rPr>
                <w:b/>
                <w:bCs/>
                <w:color w:val="auto"/>
                <w:sz w:val="22"/>
                <w:szCs w:val="22"/>
              </w:rPr>
              <w:t xml:space="preserve">Role: </w:t>
            </w:r>
            <w:r w:rsidRPr="008D3DFD">
              <w:rPr>
                <w:color w:val="auto"/>
                <w:sz w:val="22"/>
                <w:szCs w:val="22"/>
              </w:rPr>
              <w:t xml:space="preserve">Responsible Statistician for CCG OIS </w:t>
            </w:r>
          </w:p>
          <w:p w14:paraId="496BD5D1" w14:textId="77777777" w:rsidR="00850809" w:rsidRPr="008D3DFD" w:rsidRDefault="00850809" w:rsidP="00E31FAB">
            <w:pPr>
              <w:pStyle w:val="Default"/>
              <w:rPr>
                <w:color w:val="auto"/>
                <w:sz w:val="22"/>
                <w:szCs w:val="22"/>
              </w:rPr>
            </w:pPr>
            <w:r w:rsidRPr="008D3DFD">
              <w:rPr>
                <w:b/>
                <w:bCs/>
                <w:color w:val="auto"/>
                <w:sz w:val="22"/>
                <w:szCs w:val="22"/>
              </w:rPr>
              <w:t xml:space="preserve">Email: </w:t>
            </w:r>
            <w:r w:rsidRPr="008D3DFD">
              <w:rPr>
                <w:color w:val="auto"/>
                <w:sz w:val="22"/>
                <w:szCs w:val="22"/>
              </w:rPr>
              <w:t xml:space="preserve">clinical.indicators@nhs.net </w:t>
            </w:r>
          </w:p>
          <w:p w14:paraId="6FE57FB5" w14:textId="36E1BD19" w:rsidR="00850809" w:rsidRPr="008D3DFD" w:rsidRDefault="00850809" w:rsidP="00E31FAB">
            <w:pPr>
              <w:pStyle w:val="Default"/>
              <w:rPr>
                <w:b/>
                <w:bCs/>
                <w:color w:val="auto"/>
                <w:sz w:val="22"/>
                <w:szCs w:val="22"/>
              </w:rPr>
            </w:pPr>
            <w:r w:rsidRPr="008D3DFD">
              <w:rPr>
                <w:b/>
                <w:bCs/>
                <w:color w:val="auto"/>
                <w:sz w:val="22"/>
                <w:szCs w:val="22"/>
              </w:rPr>
              <w:t xml:space="preserve">Telephone: </w:t>
            </w:r>
            <w:r w:rsidRPr="008D3DFD">
              <w:rPr>
                <w:color w:val="auto"/>
                <w:sz w:val="22"/>
                <w:szCs w:val="22"/>
              </w:rPr>
              <w:t xml:space="preserve">0300 303 5678 </w:t>
            </w:r>
          </w:p>
        </w:tc>
      </w:tr>
      <w:tr w:rsidR="00850809" w:rsidRPr="008D3DFD" w14:paraId="17FD9A3C" w14:textId="77777777" w:rsidTr="00850809">
        <w:tc>
          <w:tcPr>
            <w:tcW w:w="1872" w:type="dxa"/>
          </w:tcPr>
          <w:p w14:paraId="7201C5A4" w14:textId="77777777" w:rsidR="00850809" w:rsidRPr="008D3DFD" w:rsidRDefault="00850809" w:rsidP="00E31FAB">
            <w:pPr>
              <w:pStyle w:val="Default"/>
              <w:rPr>
                <w:b/>
                <w:bCs/>
                <w:color w:val="auto"/>
                <w:sz w:val="22"/>
                <w:szCs w:val="22"/>
              </w:rPr>
            </w:pPr>
          </w:p>
        </w:tc>
        <w:tc>
          <w:tcPr>
            <w:tcW w:w="23700" w:type="dxa"/>
          </w:tcPr>
          <w:p w14:paraId="7A3D02AF" w14:textId="67884667" w:rsidR="00850809" w:rsidRPr="008D3DFD" w:rsidRDefault="00850809" w:rsidP="00E31FAB">
            <w:pPr>
              <w:pStyle w:val="Default"/>
              <w:rPr>
                <w:color w:val="auto"/>
                <w:sz w:val="22"/>
                <w:szCs w:val="22"/>
              </w:rPr>
            </w:pPr>
            <w:r w:rsidRPr="008D3DFD">
              <w:rPr>
                <w:b/>
                <w:bCs/>
                <w:color w:val="auto"/>
                <w:sz w:val="22"/>
                <w:szCs w:val="22"/>
              </w:rPr>
              <w:t xml:space="preserve">vii) Describe how the data quality risks and issues will be managed for this indicator, including the escalation process. </w:t>
            </w:r>
          </w:p>
          <w:p w14:paraId="6AF0190B" w14:textId="4EFB971F" w:rsidR="00850809" w:rsidRPr="008D3DFD" w:rsidRDefault="00850809" w:rsidP="00E31FAB">
            <w:pPr>
              <w:pStyle w:val="Default"/>
              <w:rPr>
                <w:b/>
                <w:bCs/>
                <w:color w:val="auto"/>
                <w:sz w:val="22"/>
                <w:szCs w:val="22"/>
              </w:rPr>
            </w:pPr>
            <w:r w:rsidRPr="008D3DFD">
              <w:rPr>
                <w:color w:val="auto"/>
                <w:sz w:val="22"/>
                <w:szCs w:val="22"/>
              </w:rPr>
              <w:t xml:space="preserve">Any issues will be managed and mitigated through agreed engagement channels with the data suppliers. </w:t>
            </w:r>
          </w:p>
        </w:tc>
      </w:tr>
      <w:tr w:rsidR="00850809" w:rsidRPr="008D3DFD" w14:paraId="7783211C" w14:textId="77777777" w:rsidTr="00850809">
        <w:tc>
          <w:tcPr>
            <w:tcW w:w="1872" w:type="dxa"/>
          </w:tcPr>
          <w:p w14:paraId="568694DA" w14:textId="77777777" w:rsidR="00850809" w:rsidRPr="008D3DFD" w:rsidRDefault="00850809" w:rsidP="00E31FAB">
            <w:pPr>
              <w:pStyle w:val="Default"/>
              <w:rPr>
                <w:b/>
                <w:bCs/>
                <w:color w:val="auto"/>
                <w:sz w:val="22"/>
                <w:szCs w:val="22"/>
              </w:rPr>
            </w:pPr>
          </w:p>
        </w:tc>
        <w:tc>
          <w:tcPr>
            <w:tcW w:w="23700" w:type="dxa"/>
          </w:tcPr>
          <w:p w14:paraId="30343BF8" w14:textId="490817D1" w:rsidR="00850809" w:rsidRPr="008D3DFD" w:rsidRDefault="00850809" w:rsidP="00E31FAB">
            <w:pPr>
              <w:pStyle w:val="Default"/>
              <w:rPr>
                <w:color w:val="auto"/>
                <w:sz w:val="22"/>
                <w:szCs w:val="22"/>
              </w:rPr>
            </w:pPr>
            <w:r w:rsidRPr="008D3DFD">
              <w:rPr>
                <w:b/>
                <w:bCs/>
                <w:color w:val="auto"/>
                <w:sz w:val="22"/>
                <w:szCs w:val="22"/>
              </w:rPr>
              <w:t xml:space="preserve">viii) Describe any assumptions you have made about data quality for this indicator. </w:t>
            </w:r>
          </w:p>
          <w:p w14:paraId="3B16DF59" w14:textId="52C45602" w:rsidR="00850809" w:rsidRPr="008D3DFD" w:rsidRDefault="00850809" w:rsidP="00E31FAB">
            <w:pPr>
              <w:pStyle w:val="Default"/>
              <w:rPr>
                <w:b/>
                <w:bCs/>
                <w:color w:val="auto"/>
                <w:sz w:val="22"/>
                <w:szCs w:val="22"/>
              </w:rPr>
            </w:pPr>
            <w:r w:rsidRPr="008D3DFD">
              <w:rPr>
                <w:color w:val="auto"/>
                <w:sz w:val="22"/>
                <w:szCs w:val="22"/>
              </w:rPr>
              <w:t xml:space="preserve">Please see section 3.5 ‘Quality Assurance' and section 5 ‘Limitations and potential bias’ </w:t>
            </w:r>
          </w:p>
        </w:tc>
      </w:tr>
      <w:tr w:rsidR="00850809" w:rsidRPr="008D3DFD" w14:paraId="33913FBF" w14:textId="77777777" w:rsidTr="00850809">
        <w:tc>
          <w:tcPr>
            <w:tcW w:w="1872" w:type="dxa"/>
          </w:tcPr>
          <w:p w14:paraId="72E4D435" w14:textId="77777777" w:rsidR="00850809" w:rsidRPr="008D3DFD" w:rsidRDefault="00850809" w:rsidP="00E31FAB">
            <w:pPr>
              <w:pStyle w:val="Default"/>
              <w:rPr>
                <w:b/>
                <w:bCs/>
                <w:color w:val="auto"/>
                <w:sz w:val="22"/>
                <w:szCs w:val="22"/>
              </w:rPr>
            </w:pPr>
          </w:p>
        </w:tc>
        <w:tc>
          <w:tcPr>
            <w:tcW w:w="23700" w:type="dxa"/>
          </w:tcPr>
          <w:p w14:paraId="477CE048" w14:textId="04094691" w:rsidR="00850809" w:rsidRPr="008D3DFD" w:rsidRDefault="00850809" w:rsidP="00E31FAB">
            <w:pPr>
              <w:pStyle w:val="Default"/>
              <w:rPr>
                <w:color w:val="auto"/>
                <w:sz w:val="22"/>
                <w:szCs w:val="22"/>
              </w:rPr>
            </w:pPr>
            <w:r w:rsidRPr="008D3DFD">
              <w:rPr>
                <w:b/>
                <w:bCs/>
                <w:color w:val="auto"/>
                <w:sz w:val="22"/>
                <w:szCs w:val="22"/>
              </w:rPr>
              <w:t xml:space="preserve">ix) Describe any data quality constraints you are aware of for this indicator. </w:t>
            </w:r>
          </w:p>
          <w:p w14:paraId="24CEFB73" w14:textId="67C5FB0A" w:rsidR="00850809" w:rsidRPr="008D3DFD" w:rsidRDefault="00850809" w:rsidP="00E31FAB">
            <w:pPr>
              <w:pStyle w:val="Default"/>
              <w:rPr>
                <w:b/>
                <w:bCs/>
                <w:color w:val="auto"/>
                <w:sz w:val="22"/>
                <w:szCs w:val="22"/>
              </w:rPr>
            </w:pPr>
            <w:r w:rsidRPr="008D3DFD">
              <w:rPr>
                <w:color w:val="auto"/>
                <w:sz w:val="22"/>
                <w:szCs w:val="22"/>
              </w:rPr>
              <w:t xml:space="preserve">Please see section 3.5 ‘Quality Assurance' and section 5 ‘Limitations and potential bias' </w:t>
            </w:r>
          </w:p>
        </w:tc>
      </w:tr>
      <w:tr w:rsidR="00850809" w:rsidRPr="008D3DFD" w14:paraId="31E7613F" w14:textId="77777777" w:rsidTr="00850809">
        <w:tc>
          <w:tcPr>
            <w:tcW w:w="1872" w:type="dxa"/>
          </w:tcPr>
          <w:p w14:paraId="5CFF5A15" w14:textId="77777777" w:rsidR="00850809" w:rsidRPr="008D3DFD" w:rsidRDefault="00850809" w:rsidP="00E31FAB">
            <w:pPr>
              <w:pStyle w:val="Default"/>
              <w:rPr>
                <w:b/>
                <w:bCs/>
                <w:color w:val="auto"/>
                <w:sz w:val="22"/>
                <w:szCs w:val="22"/>
              </w:rPr>
            </w:pPr>
          </w:p>
        </w:tc>
        <w:tc>
          <w:tcPr>
            <w:tcW w:w="23700" w:type="dxa"/>
          </w:tcPr>
          <w:p w14:paraId="6B091360" w14:textId="4FADE38C" w:rsidR="00850809" w:rsidRPr="008D3DFD" w:rsidRDefault="00850809" w:rsidP="00E31FAB">
            <w:pPr>
              <w:pStyle w:val="Default"/>
              <w:rPr>
                <w:color w:val="auto"/>
                <w:sz w:val="22"/>
                <w:szCs w:val="22"/>
              </w:rPr>
            </w:pPr>
            <w:r w:rsidRPr="008D3DFD">
              <w:rPr>
                <w:b/>
                <w:bCs/>
                <w:color w:val="auto"/>
                <w:sz w:val="22"/>
                <w:szCs w:val="22"/>
              </w:rPr>
              <w:t xml:space="preserve">Additional data quality information: </w:t>
            </w:r>
          </w:p>
          <w:p w14:paraId="2B608BFE" w14:textId="6CDC0A08" w:rsidR="00850809" w:rsidRPr="008D3DFD" w:rsidRDefault="00850809" w:rsidP="00E31FAB">
            <w:pPr>
              <w:pStyle w:val="Default"/>
              <w:rPr>
                <w:b/>
                <w:bCs/>
                <w:color w:val="auto"/>
                <w:sz w:val="22"/>
                <w:szCs w:val="22"/>
              </w:rPr>
            </w:pPr>
            <w:r w:rsidRPr="008D3DFD">
              <w:rPr>
                <w:color w:val="auto"/>
                <w:sz w:val="22"/>
                <w:szCs w:val="22"/>
              </w:rPr>
              <w:t xml:space="preserve">Not applicable </w:t>
            </w:r>
          </w:p>
        </w:tc>
      </w:tr>
      <w:tr w:rsidR="008D3DFD" w:rsidRPr="008D3DFD" w14:paraId="06183196" w14:textId="77777777" w:rsidTr="00850809">
        <w:tc>
          <w:tcPr>
            <w:tcW w:w="1872" w:type="dxa"/>
          </w:tcPr>
          <w:p w14:paraId="6E297E54" w14:textId="77777777" w:rsidR="00544C08" w:rsidRPr="008D3DFD" w:rsidRDefault="00544C08" w:rsidP="00544C08">
            <w:pPr>
              <w:autoSpaceDE w:val="0"/>
              <w:autoSpaceDN w:val="0"/>
              <w:adjustRightInd w:val="0"/>
              <w:rPr>
                <w:rFonts w:ascii="Arial" w:hAnsi="Arial" w:cs="Arial"/>
              </w:rPr>
            </w:pPr>
            <w:r w:rsidRPr="008D3DFD">
              <w:rPr>
                <w:rFonts w:ascii="Arial" w:hAnsi="Arial" w:cs="Arial"/>
                <w:b/>
                <w:bCs/>
              </w:rPr>
              <w:t xml:space="preserve">3.4. Quality Assurance </w:t>
            </w:r>
          </w:p>
          <w:p w14:paraId="714D1D33" w14:textId="77777777" w:rsidR="00544C08" w:rsidRPr="008D3DFD" w:rsidRDefault="00544C08" w:rsidP="00E03F3B">
            <w:pPr>
              <w:autoSpaceDE w:val="0"/>
              <w:autoSpaceDN w:val="0"/>
              <w:adjustRightInd w:val="0"/>
              <w:rPr>
                <w:rFonts w:ascii="Arial" w:hAnsi="Arial" w:cs="Arial"/>
                <w:b/>
                <w:bCs/>
              </w:rPr>
            </w:pPr>
          </w:p>
        </w:tc>
        <w:tc>
          <w:tcPr>
            <w:tcW w:w="23700" w:type="dxa"/>
          </w:tcPr>
          <w:p w14:paraId="621EBD58"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The administrative data source used for collection of the data included in all mandatory HCAI surveillance outputs is the HCAI DCS. This is a real-time web-enabled system that facilitates the collection of all mandatory HCAI surveillance data from NHS acute trusts. </w:t>
            </w:r>
          </w:p>
          <w:p w14:paraId="5052CAC9"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The mandatory HCAI surveillance protocol provides background on both the surveillance processes and the mechanism employed for data collection (HCAI DCS). Details of exactly what should be reported (surveillance inclusion criteria, core data set etc.) are also provided for each organism under surveillance. Information on monthly reporting deadlines (as outlined in section 3.1) is also provided. The HCAI DCS is also supplemented by a complete and comprehensive set of user guides. These guides provide system users with detailed information on all aspects of the system: </w:t>
            </w:r>
          </w:p>
          <w:p w14:paraId="133A577D"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hcaidcs.phe.org.uk/WebPages/InternalContentPage.aspx </w:t>
            </w:r>
          </w:p>
          <w:p w14:paraId="0EC4256F" w14:textId="77777777" w:rsidR="00544C08" w:rsidRPr="008D3DFD" w:rsidRDefault="00544C08" w:rsidP="00544C08">
            <w:pPr>
              <w:pStyle w:val="Default"/>
              <w:rPr>
                <w:color w:val="auto"/>
                <w:sz w:val="22"/>
                <w:szCs w:val="22"/>
              </w:rPr>
            </w:pPr>
            <w:r w:rsidRPr="008D3DFD">
              <w:rPr>
                <w:color w:val="auto"/>
                <w:sz w:val="22"/>
                <w:szCs w:val="22"/>
              </w:rPr>
              <w:t xml:space="preserve">All infection episodes are entered onto the HCAI DCS by the NHS acute trust responsible for testing the specimen. Acute trust CEOs are required to sign-off the infection data across all four organisms collected via the HCAI DCS on the 15th of each month (see section 3.11 for further detail). CEO sign-off constitutes formal agreement/assurance that a given month of data is complete and correct. Acute trust CEO sign-off is as mandated by the Chief Medical Officer (CMO). </w:t>
            </w:r>
          </w:p>
          <w:p w14:paraId="15DCD0C5"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Further information in relation to quality assurance is published in the detailed data quality statement relating to Mandatory Health Care Associated Infection Surveillance, including C. difficile infection available at: </w:t>
            </w:r>
          </w:p>
          <w:p w14:paraId="5341C6F1" w14:textId="77777777" w:rsidR="00544C08" w:rsidRPr="008D3DFD" w:rsidRDefault="00544C08" w:rsidP="00544C08">
            <w:pPr>
              <w:autoSpaceDE w:val="0"/>
              <w:autoSpaceDN w:val="0"/>
              <w:adjustRightInd w:val="0"/>
              <w:rPr>
                <w:rFonts w:ascii="Arial" w:hAnsi="Arial" w:cs="Arial"/>
              </w:rPr>
            </w:pPr>
          </w:p>
          <w:p w14:paraId="1D7A004B" w14:textId="77777777" w:rsidR="00544C08" w:rsidRPr="008D3DFD" w:rsidRDefault="00544C08" w:rsidP="00544C08">
            <w:pPr>
              <w:pStyle w:val="Default"/>
              <w:rPr>
                <w:color w:val="auto"/>
                <w:sz w:val="22"/>
                <w:szCs w:val="22"/>
              </w:rPr>
            </w:pPr>
            <w:r w:rsidRPr="008D3DFD">
              <w:rPr>
                <w:color w:val="auto"/>
                <w:sz w:val="22"/>
                <w:szCs w:val="22"/>
              </w:rPr>
              <w:t>https://www.gov.uk/government/uploads/system/uploads/attachment_data/</w:t>
            </w:r>
          </w:p>
          <w:p w14:paraId="6C69F092" w14:textId="77777777" w:rsidR="00544C08" w:rsidRPr="008D3DFD" w:rsidRDefault="00544C08" w:rsidP="00544C08">
            <w:pPr>
              <w:pStyle w:val="Default"/>
              <w:rPr>
                <w:color w:val="auto"/>
                <w:sz w:val="22"/>
                <w:szCs w:val="22"/>
              </w:rPr>
            </w:pPr>
            <w:r w:rsidRPr="008D3DFD">
              <w:rPr>
                <w:color w:val="auto"/>
                <w:sz w:val="22"/>
                <w:szCs w:val="22"/>
              </w:rPr>
              <w:t>file/635429/mandatory_healthcare_associated_infection_data_quality_rep</w:t>
            </w:r>
          </w:p>
          <w:p w14:paraId="373EFB23" w14:textId="77777777" w:rsidR="00544C08" w:rsidRPr="008D3DFD" w:rsidRDefault="00544C08" w:rsidP="00544C08">
            <w:pPr>
              <w:pStyle w:val="Default"/>
              <w:rPr>
                <w:color w:val="auto"/>
                <w:sz w:val="22"/>
                <w:szCs w:val="22"/>
              </w:rPr>
            </w:pPr>
            <w:r w:rsidRPr="008D3DFD">
              <w:rPr>
                <w:color w:val="auto"/>
                <w:sz w:val="22"/>
                <w:szCs w:val="22"/>
              </w:rPr>
              <w:t xml:space="preserve">ort.pdf </w:t>
            </w:r>
          </w:p>
          <w:p w14:paraId="06354F5A" w14:textId="77777777" w:rsidR="00544C08" w:rsidRPr="008D3DFD" w:rsidRDefault="00544C08" w:rsidP="00544C08">
            <w:pPr>
              <w:autoSpaceDE w:val="0"/>
              <w:autoSpaceDN w:val="0"/>
              <w:adjustRightInd w:val="0"/>
              <w:rPr>
                <w:rFonts w:ascii="Arial" w:hAnsi="Arial" w:cs="Arial"/>
              </w:rPr>
            </w:pPr>
          </w:p>
          <w:p w14:paraId="4631D6CF" w14:textId="77777777" w:rsidR="00544C08" w:rsidRPr="008D3DFD" w:rsidRDefault="00544C08" w:rsidP="00544C08">
            <w:pPr>
              <w:pStyle w:val="Default"/>
              <w:rPr>
                <w:color w:val="auto"/>
                <w:sz w:val="22"/>
                <w:szCs w:val="22"/>
              </w:rPr>
            </w:pPr>
            <w:r w:rsidRPr="008D3DFD">
              <w:rPr>
                <w:color w:val="auto"/>
                <w:sz w:val="22"/>
                <w:szCs w:val="22"/>
              </w:rPr>
              <w:lastRenderedPageBreak/>
              <w:t xml:space="preserve">It should also be noted that there have been improvements made by Public Health England across a range of areas in relation to ‘Statistics on Mandatory Surveillance of Healthcare Associated Infections’ (a group which includes MRSA, MSSA and E. coli bacteraemia, and C. difficile infection) to comply with a series of requirements laid out by the UK Statistics Authority in </w:t>
            </w:r>
          </w:p>
          <w:p w14:paraId="010A9600" w14:textId="77777777" w:rsidR="00544C08" w:rsidRPr="008D3DFD" w:rsidRDefault="00544C08" w:rsidP="00544C08">
            <w:pPr>
              <w:autoSpaceDE w:val="0"/>
              <w:autoSpaceDN w:val="0"/>
              <w:adjustRightInd w:val="0"/>
              <w:rPr>
                <w:rFonts w:ascii="Arial" w:hAnsi="Arial" w:cs="Arial"/>
              </w:rPr>
            </w:pPr>
          </w:p>
          <w:p w14:paraId="0E292677" w14:textId="77777777" w:rsidR="00544C08" w:rsidRPr="008D3DFD" w:rsidRDefault="00544C08" w:rsidP="00544C08">
            <w:pPr>
              <w:pStyle w:val="Default"/>
              <w:rPr>
                <w:color w:val="auto"/>
                <w:sz w:val="22"/>
                <w:szCs w:val="22"/>
              </w:rPr>
            </w:pPr>
            <w:r w:rsidRPr="008D3DFD">
              <w:rPr>
                <w:color w:val="auto"/>
                <w:sz w:val="22"/>
                <w:szCs w:val="22"/>
              </w:rPr>
              <w:t xml:space="preserve">Assessment Report 302 Statistics on Mandatory Surveillance of Healthcare-Associated Infections in England </w:t>
            </w:r>
          </w:p>
          <w:p w14:paraId="5BB55A01"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available at: </w:t>
            </w:r>
          </w:p>
          <w:p w14:paraId="574AB53C" w14:textId="77777777" w:rsidR="00544C08" w:rsidRPr="008D3DFD" w:rsidRDefault="00544C08" w:rsidP="00544C08">
            <w:pPr>
              <w:autoSpaceDE w:val="0"/>
              <w:autoSpaceDN w:val="0"/>
              <w:adjustRightInd w:val="0"/>
              <w:rPr>
                <w:rFonts w:ascii="Arial" w:hAnsi="Arial" w:cs="Arial"/>
              </w:rPr>
            </w:pPr>
          </w:p>
          <w:p w14:paraId="6817B149" w14:textId="77777777" w:rsidR="00544C08" w:rsidRPr="008D3DFD" w:rsidRDefault="00544C08" w:rsidP="00544C08">
            <w:pPr>
              <w:pStyle w:val="Default"/>
              <w:rPr>
                <w:color w:val="auto"/>
                <w:sz w:val="22"/>
                <w:szCs w:val="22"/>
              </w:rPr>
            </w:pPr>
            <w:r w:rsidRPr="008D3DFD">
              <w:rPr>
                <w:color w:val="auto"/>
                <w:sz w:val="22"/>
                <w:szCs w:val="22"/>
              </w:rPr>
              <w:t>https://www.statisticsauthority.gov.uk/publication/statistics-on-mandatory-</w:t>
            </w:r>
          </w:p>
          <w:p w14:paraId="6FF92C56" w14:textId="77777777" w:rsidR="00544C08" w:rsidRPr="008D3DFD" w:rsidRDefault="00544C08" w:rsidP="00544C08">
            <w:pPr>
              <w:pStyle w:val="Default"/>
              <w:rPr>
                <w:color w:val="auto"/>
                <w:sz w:val="22"/>
                <w:szCs w:val="22"/>
              </w:rPr>
            </w:pPr>
            <w:r w:rsidRPr="008D3DFD">
              <w:rPr>
                <w:color w:val="auto"/>
                <w:sz w:val="22"/>
                <w:szCs w:val="22"/>
              </w:rPr>
              <w:t xml:space="preserve">surveillance-of-healthcare-associated-infections-in-england/ </w:t>
            </w:r>
          </w:p>
          <w:p w14:paraId="4526D1E2" w14:textId="77777777" w:rsidR="00544C08" w:rsidRPr="008D3DFD" w:rsidRDefault="00544C08" w:rsidP="00544C08">
            <w:pPr>
              <w:pStyle w:val="Default"/>
              <w:rPr>
                <w:color w:val="auto"/>
                <w:sz w:val="22"/>
                <w:szCs w:val="22"/>
              </w:rPr>
            </w:pPr>
          </w:p>
          <w:p w14:paraId="7D4EA1A4" w14:textId="77777777" w:rsidR="00544C08" w:rsidRPr="008D3DFD" w:rsidRDefault="00544C08" w:rsidP="00544C08">
            <w:pPr>
              <w:pStyle w:val="Default"/>
              <w:rPr>
                <w:color w:val="auto"/>
                <w:sz w:val="22"/>
                <w:szCs w:val="22"/>
              </w:rPr>
            </w:pPr>
            <w:r w:rsidRPr="008D3DFD">
              <w:rPr>
                <w:color w:val="auto"/>
                <w:sz w:val="22"/>
                <w:szCs w:val="22"/>
              </w:rPr>
              <w:t xml:space="preserve">The outputs were subsequently accredited as National Statistics in August 2016 </w:t>
            </w:r>
          </w:p>
          <w:p w14:paraId="36661AA0" w14:textId="77777777" w:rsidR="00544C08" w:rsidRPr="008D3DFD" w:rsidRDefault="00544C08" w:rsidP="00E03F3B">
            <w:pPr>
              <w:autoSpaceDE w:val="0"/>
              <w:autoSpaceDN w:val="0"/>
              <w:adjustRightInd w:val="0"/>
              <w:rPr>
                <w:rFonts w:ascii="Arial" w:hAnsi="Arial" w:cs="Arial"/>
              </w:rPr>
            </w:pPr>
          </w:p>
        </w:tc>
      </w:tr>
      <w:tr w:rsidR="008D3DFD" w:rsidRPr="008D3DFD" w14:paraId="2B1397A4" w14:textId="77777777" w:rsidTr="00850809">
        <w:tc>
          <w:tcPr>
            <w:tcW w:w="1872" w:type="dxa"/>
          </w:tcPr>
          <w:p w14:paraId="3D59F6FE" w14:textId="4620DC69" w:rsidR="00544C08" w:rsidRPr="008D3DFD" w:rsidRDefault="00544C08" w:rsidP="00E03F3B">
            <w:pPr>
              <w:autoSpaceDE w:val="0"/>
              <w:autoSpaceDN w:val="0"/>
              <w:adjustRightInd w:val="0"/>
              <w:rPr>
                <w:rFonts w:ascii="Arial" w:hAnsi="Arial" w:cs="Arial"/>
                <w:b/>
                <w:bCs/>
              </w:rPr>
            </w:pPr>
            <w:r w:rsidRPr="008D3DFD">
              <w:rPr>
                <w:rFonts w:ascii="Arial" w:hAnsi="Arial" w:cs="Arial"/>
                <w:b/>
                <w:bCs/>
              </w:rPr>
              <w:lastRenderedPageBreak/>
              <w:t>3.6. Data Linkage</w:t>
            </w:r>
          </w:p>
        </w:tc>
        <w:tc>
          <w:tcPr>
            <w:tcW w:w="23700" w:type="dxa"/>
          </w:tcPr>
          <w:p w14:paraId="3F6544F7" w14:textId="65FD1F11" w:rsidR="00544C08" w:rsidRPr="008D3DFD" w:rsidRDefault="00544C08" w:rsidP="00E03F3B">
            <w:pPr>
              <w:autoSpaceDE w:val="0"/>
              <w:autoSpaceDN w:val="0"/>
              <w:adjustRightInd w:val="0"/>
              <w:rPr>
                <w:rFonts w:ascii="Arial" w:hAnsi="Arial" w:cs="Arial"/>
              </w:rPr>
            </w:pPr>
            <w:r w:rsidRPr="008D3DFD">
              <w:rPr>
                <w:rFonts w:ascii="Arial" w:hAnsi="Arial" w:cs="Arial"/>
              </w:rPr>
              <w:t>Not applicable</w:t>
            </w:r>
          </w:p>
        </w:tc>
      </w:tr>
      <w:tr w:rsidR="008D3DFD" w:rsidRPr="008D3DFD" w14:paraId="7D32B6BF" w14:textId="77777777" w:rsidTr="00850809">
        <w:tc>
          <w:tcPr>
            <w:tcW w:w="1872" w:type="dxa"/>
          </w:tcPr>
          <w:p w14:paraId="09BF1F92" w14:textId="6B330FE5" w:rsidR="00544C08" w:rsidRPr="008D3DFD" w:rsidRDefault="00544C08" w:rsidP="00E03F3B">
            <w:pPr>
              <w:autoSpaceDE w:val="0"/>
              <w:autoSpaceDN w:val="0"/>
              <w:adjustRightInd w:val="0"/>
              <w:rPr>
                <w:rFonts w:ascii="Arial" w:hAnsi="Arial" w:cs="Arial"/>
                <w:b/>
                <w:bCs/>
              </w:rPr>
            </w:pPr>
            <w:r w:rsidRPr="008D3DFD">
              <w:rPr>
                <w:rFonts w:ascii="Arial" w:hAnsi="Arial" w:cs="Arial"/>
                <w:b/>
                <w:bCs/>
              </w:rPr>
              <w:t>3.7. Quality of data linkage</w:t>
            </w:r>
          </w:p>
        </w:tc>
        <w:tc>
          <w:tcPr>
            <w:tcW w:w="23700" w:type="dxa"/>
          </w:tcPr>
          <w:p w14:paraId="042AE8D4" w14:textId="14E0B2DA" w:rsidR="00544C08" w:rsidRPr="008D3DFD" w:rsidRDefault="00544C08" w:rsidP="00E03F3B">
            <w:pPr>
              <w:autoSpaceDE w:val="0"/>
              <w:autoSpaceDN w:val="0"/>
              <w:adjustRightInd w:val="0"/>
              <w:rPr>
                <w:rFonts w:ascii="Arial" w:hAnsi="Arial" w:cs="Arial"/>
              </w:rPr>
            </w:pPr>
            <w:r w:rsidRPr="008D3DFD">
              <w:rPr>
                <w:rFonts w:ascii="Arial" w:hAnsi="Arial" w:cs="Arial"/>
              </w:rPr>
              <w:t>Not applicable</w:t>
            </w:r>
          </w:p>
        </w:tc>
      </w:tr>
      <w:tr w:rsidR="008D3DFD" w:rsidRPr="008D3DFD" w14:paraId="04BFDD2F" w14:textId="77777777" w:rsidTr="00850809">
        <w:tc>
          <w:tcPr>
            <w:tcW w:w="1872" w:type="dxa"/>
          </w:tcPr>
          <w:p w14:paraId="09D77E6A" w14:textId="37A4AAD2" w:rsidR="00544C08" w:rsidRPr="008D3DFD" w:rsidRDefault="00544C08" w:rsidP="00E03F3B">
            <w:pPr>
              <w:autoSpaceDE w:val="0"/>
              <w:autoSpaceDN w:val="0"/>
              <w:adjustRightInd w:val="0"/>
              <w:rPr>
                <w:rFonts w:ascii="Arial" w:hAnsi="Arial" w:cs="Arial"/>
                <w:b/>
                <w:bCs/>
              </w:rPr>
            </w:pPr>
            <w:r w:rsidRPr="008D3DFD">
              <w:rPr>
                <w:rFonts w:ascii="Arial" w:hAnsi="Arial" w:cs="Arial"/>
                <w:b/>
                <w:bCs/>
              </w:rPr>
              <w:t>3.8. Data Fields</w:t>
            </w:r>
          </w:p>
        </w:tc>
        <w:tc>
          <w:tcPr>
            <w:tcW w:w="23700" w:type="dxa"/>
          </w:tcPr>
          <w:p w14:paraId="00F95CE2"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The data fields available in the PHE data published monthly are as follows. </w:t>
            </w:r>
          </w:p>
          <w:p w14:paraId="796D0AC3"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CCG Code </w:t>
            </w:r>
          </w:p>
          <w:p w14:paraId="6742D1AD"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PHE Centre </w:t>
            </w:r>
          </w:p>
          <w:p w14:paraId="0972C260"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CCG Name </w:t>
            </w:r>
          </w:p>
          <w:p w14:paraId="12979F44"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Month 1 Total </w:t>
            </w:r>
          </w:p>
          <w:p w14:paraId="5DC5A4A1"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Month 2 Total </w:t>
            </w:r>
          </w:p>
          <w:p w14:paraId="0249A5C9"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Month 3 Total </w:t>
            </w:r>
          </w:p>
          <w:p w14:paraId="5E69B5B5"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Month 4 Total </w:t>
            </w:r>
          </w:p>
          <w:p w14:paraId="186CC89C"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Month 5 Total </w:t>
            </w:r>
          </w:p>
          <w:p w14:paraId="2058C9B6"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Month 6 Total </w:t>
            </w:r>
          </w:p>
          <w:p w14:paraId="093F1812"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Month 7 Total </w:t>
            </w:r>
          </w:p>
          <w:p w14:paraId="548B32EB"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Month 8 Total </w:t>
            </w:r>
          </w:p>
          <w:p w14:paraId="7B2D4D0A"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Month 9 Total </w:t>
            </w:r>
          </w:p>
          <w:p w14:paraId="7AC623E9" w14:textId="77777777" w:rsidR="00544C08" w:rsidRPr="008D3DFD" w:rsidRDefault="00544C08" w:rsidP="00544C08">
            <w:pPr>
              <w:pStyle w:val="Default"/>
              <w:rPr>
                <w:color w:val="auto"/>
              </w:rPr>
            </w:pPr>
            <w:r w:rsidRPr="008D3DFD">
              <w:rPr>
                <w:color w:val="auto"/>
              </w:rPr>
              <w:t xml:space="preserve">Month 10 Total </w:t>
            </w:r>
          </w:p>
          <w:p w14:paraId="673FB866" w14:textId="31CF5A40" w:rsidR="00544C08" w:rsidRPr="008D3DFD" w:rsidRDefault="00544C08" w:rsidP="00544C08">
            <w:pPr>
              <w:pStyle w:val="Default"/>
              <w:rPr>
                <w:color w:val="auto"/>
                <w:sz w:val="22"/>
                <w:szCs w:val="22"/>
              </w:rPr>
            </w:pPr>
            <w:r w:rsidRPr="008D3DFD">
              <w:rPr>
                <w:color w:val="auto"/>
                <w:sz w:val="22"/>
                <w:szCs w:val="22"/>
              </w:rPr>
              <w:t xml:space="preserve">Month 11 Total </w:t>
            </w:r>
          </w:p>
          <w:p w14:paraId="129220F6" w14:textId="77777777" w:rsidR="00544C08" w:rsidRPr="008D3DFD" w:rsidRDefault="00544C08" w:rsidP="00544C08">
            <w:pPr>
              <w:pStyle w:val="Default"/>
              <w:rPr>
                <w:color w:val="auto"/>
                <w:sz w:val="22"/>
                <w:szCs w:val="22"/>
              </w:rPr>
            </w:pPr>
            <w:r w:rsidRPr="008D3DFD">
              <w:rPr>
                <w:color w:val="auto"/>
                <w:sz w:val="22"/>
                <w:szCs w:val="22"/>
              </w:rPr>
              <w:t xml:space="preserve"> Month 12 Total </w:t>
            </w:r>
          </w:p>
          <w:p w14:paraId="0B07332B" w14:textId="77777777" w:rsidR="00544C08" w:rsidRPr="008D3DFD" w:rsidRDefault="00544C08" w:rsidP="00544C08">
            <w:pPr>
              <w:pStyle w:val="Default"/>
              <w:rPr>
                <w:color w:val="auto"/>
                <w:sz w:val="22"/>
                <w:szCs w:val="22"/>
              </w:rPr>
            </w:pPr>
            <w:r w:rsidRPr="008D3DFD">
              <w:rPr>
                <w:color w:val="auto"/>
                <w:sz w:val="22"/>
                <w:szCs w:val="22"/>
              </w:rPr>
              <w:t xml:space="preserve"> Month 13 Total </w:t>
            </w:r>
          </w:p>
          <w:p w14:paraId="2E42BC22" w14:textId="77777777" w:rsidR="00544C08" w:rsidRPr="008D3DFD" w:rsidRDefault="00544C08" w:rsidP="00544C08">
            <w:pPr>
              <w:pStyle w:val="Default"/>
              <w:rPr>
                <w:color w:val="auto"/>
                <w:sz w:val="22"/>
                <w:szCs w:val="22"/>
              </w:rPr>
            </w:pPr>
            <w:r w:rsidRPr="008D3DFD">
              <w:rPr>
                <w:color w:val="auto"/>
                <w:sz w:val="22"/>
                <w:szCs w:val="22"/>
              </w:rPr>
              <w:t xml:space="preserve"> NHS Digital repackages this data in order to publish it on the Indicator Portal as   </w:t>
            </w:r>
          </w:p>
          <w:p w14:paraId="2B194D86" w14:textId="51383114"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 part of CCG OIS, as described in Section 5.1.</w:t>
            </w:r>
          </w:p>
        </w:tc>
      </w:tr>
      <w:tr w:rsidR="00850809" w:rsidRPr="008D3DFD" w14:paraId="4E1BCAF4" w14:textId="77777777" w:rsidTr="00850809">
        <w:tc>
          <w:tcPr>
            <w:tcW w:w="1872" w:type="dxa"/>
          </w:tcPr>
          <w:p w14:paraId="23FF0170" w14:textId="1748740E" w:rsidR="00850809" w:rsidRPr="008D3DFD" w:rsidRDefault="00850809" w:rsidP="00E03F3B">
            <w:pPr>
              <w:autoSpaceDE w:val="0"/>
              <w:autoSpaceDN w:val="0"/>
              <w:adjustRightInd w:val="0"/>
              <w:rPr>
                <w:rFonts w:ascii="Arial" w:hAnsi="Arial" w:cs="Arial"/>
              </w:rPr>
            </w:pPr>
            <w:r w:rsidRPr="008D3DFD">
              <w:rPr>
                <w:rFonts w:ascii="Arial" w:hAnsi="Arial" w:cs="Arial"/>
                <w:b/>
                <w:bCs/>
              </w:rPr>
              <w:t>3.9. Data Filters</w:t>
            </w:r>
          </w:p>
        </w:tc>
        <w:tc>
          <w:tcPr>
            <w:tcW w:w="23700" w:type="dxa"/>
          </w:tcPr>
          <w:p w14:paraId="1DD2E82B" w14:textId="7282EE5B" w:rsidR="00850809" w:rsidRPr="008D3DFD" w:rsidRDefault="00850809" w:rsidP="00E03F3B">
            <w:pPr>
              <w:autoSpaceDE w:val="0"/>
              <w:autoSpaceDN w:val="0"/>
              <w:adjustRightInd w:val="0"/>
              <w:rPr>
                <w:rFonts w:ascii="Arial" w:hAnsi="Arial" w:cs="Arial"/>
              </w:rPr>
            </w:pPr>
            <w:r w:rsidRPr="008D3DFD">
              <w:rPr>
                <w:rFonts w:ascii="Arial" w:hAnsi="Arial" w:cs="Arial"/>
              </w:rPr>
              <w:t>None</w:t>
            </w:r>
          </w:p>
          <w:p w14:paraId="395D5F3F" w14:textId="0579698D" w:rsidR="00850809" w:rsidRPr="008D3DFD" w:rsidRDefault="00850809" w:rsidP="00E03F3B">
            <w:pPr>
              <w:autoSpaceDE w:val="0"/>
              <w:autoSpaceDN w:val="0"/>
              <w:adjustRightInd w:val="0"/>
              <w:rPr>
                <w:rFonts w:ascii="Arial" w:hAnsi="Arial" w:cs="Arial"/>
              </w:rPr>
            </w:pPr>
          </w:p>
        </w:tc>
      </w:tr>
      <w:tr w:rsidR="008D3DFD" w:rsidRPr="008D3DFD" w14:paraId="7575768D" w14:textId="77777777" w:rsidTr="00850809">
        <w:tc>
          <w:tcPr>
            <w:tcW w:w="1872" w:type="dxa"/>
          </w:tcPr>
          <w:p w14:paraId="3C8A31F5" w14:textId="3818AA63" w:rsidR="00544C08" w:rsidRPr="008D3DFD" w:rsidRDefault="00544C08" w:rsidP="00E03F3B">
            <w:pPr>
              <w:autoSpaceDE w:val="0"/>
              <w:autoSpaceDN w:val="0"/>
              <w:adjustRightInd w:val="0"/>
              <w:rPr>
                <w:rFonts w:ascii="Arial" w:hAnsi="Arial" w:cs="Arial"/>
                <w:b/>
                <w:bCs/>
              </w:rPr>
            </w:pPr>
            <w:r w:rsidRPr="008D3DFD">
              <w:rPr>
                <w:rFonts w:ascii="Arial" w:hAnsi="Arial" w:cs="Arial"/>
                <w:b/>
                <w:bCs/>
              </w:rPr>
              <w:lastRenderedPageBreak/>
              <w:t>3.10. Justifications of inclusions and exclusions</w:t>
            </w:r>
          </w:p>
        </w:tc>
        <w:tc>
          <w:tcPr>
            <w:tcW w:w="23700" w:type="dxa"/>
          </w:tcPr>
          <w:p w14:paraId="1CAB5F58" w14:textId="36D4E0AB" w:rsidR="00544C08" w:rsidRPr="008D3DFD" w:rsidRDefault="00544C08" w:rsidP="00E03F3B">
            <w:pPr>
              <w:autoSpaceDE w:val="0"/>
              <w:autoSpaceDN w:val="0"/>
              <w:adjustRightInd w:val="0"/>
              <w:rPr>
                <w:rFonts w:ascii="Arial" w:hAnsi="Arial" w:cs="Arial"/>
              </w:rPr>
            </w:pPr>
            <w:r w:rsidRPr="008D3DFD">
              <w:rPr>
                <w:rFonts w:ascii="Arial" w:hAnsi="Arial" w:cs="Arial"/>
              </w:rPr>
              <w:t>There is a protocol in place for the organisms covered by Mandatory HCAI Surveillance. This protocol spells out in detail the exact processes/requirements for data suppliers (NHS acute trusts) in terms of data provision/transfer from NHS acute trusts to PHE (HCAI DCS). The mandatory HCAI surveillance protocol provides background on both the surveillance processes and the mechanism employed for data collection (HCAI DCS). Details of exactly what should be reported (surveillance inclusion criteria, core data set etc.) are also provided for each organism under surveillance.</w:t>
            </w:r>
          </w:p>
        </w:tc>
      </w:tr>
      <w:tr w:rsidR="008D3DFD" w:rsidRPr="008D3DFD" w14:paraId="40A83DC8" w14:textId="77777777" w:rsidTr="00850809">
        <w:tc>
          <w:tcPr>
            <w:tcW w:w="1872" w:type="dxa"/>
          </w:tcPr>
          <w:p w14:paraId="12514251" w14:textId="58AA55FD" w:rsidR="00544C08" w:rsidRPr="008D3DFD" w:rsidRDefault="00544C08" w:rsidP="00E03F3B">
            <w:pPr>
              <w:autoSpaceDE w:val="0"/>
              <w:autoSpaceDN w:val="0"/>
              <w:adjustRightInd w:val="0"/>
              <w:rPr>
                <w:rFonts w:ascii="Arial" w:hAnsi="Arial" w:cs="Arial"/>
                <w:b/>
                <w:bCs/>
              </w:rPr>
            </w:pPr>
            <w:r w:rsidRPr="008D3DFD">
              <w:rPr>
                <w:rFonts w:ascii="Arial" w:hAnsi="Arial" w:cs="Arial"/>
                <w:b/>
                <w:bCs/>
              </w:rPr>
              <w:t>3.11. Data Processing</w:t>
            </w:r>
          </w:p>
        </w:tc>
        <w:tc>
          <w:tcPr>
            <w:tcW w:w="23700" w:type="dxa"/>
          </w:tcPr>
          <w:p w14:paraId="3EAA4D4C"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PHE receive record level data, including NHS number, of the patients with the infection from trusts, which is then mapped to a GP. </w:t>
            </w:r>
          </w:p>
          <w:p w14:paraId="2664424A"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NHS Digital’s Organisation Data Service (ODS) is used to attribute C. difficile cases. </w:t>
            </w:r>
          </w:p>
          <w:p w14:paraId="6F4FD703"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The following allocation method is used to ensure that even in cases where the patient does not have a GP, they are still mapped to a CCG (as used for other indicators). </w:t>
            </w:r>
          </w:p>
          <w:p w14:paraId="64F88EE4"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The algorithm attributes a CCG as the first of these steps that succeeds: </w:t>
            </w:r>
          </w:p>
          <w:p w14:paraId="2E8EA3F6"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1. GP Practice code maps to CCG </w:t>
            </w:r>
          </w:p>
          <w:p w14:paraId="3134D3C2"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2. Postcode of patient maps to CCG </w:t>
            </w:r>
          </w:p>
          <w:p w14:paraId="52AC8694"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3. The CCG within which the HQ of the reporting trust resides </w:t>
            </w:r>
          </w:p>
          <w:p w14:paraId="3FB3B215" w14:textId="77777777" w:rsidR="00544C08" w:rsidRPr="008D3DFD" w:rsidRDefault="00544C08" w:rsidP="00544C08">
            <w:pPr>
              <w:autoSpaceDE w:val="0"/>
              <w:autoSpaceDN w:val="0"/>
              <w:adjustRightInd w:val="0"/>
              <w:rPr>
                <w:rFonts w:ascii="Arial" w:hAnsi="Arial" w:cs="Arial"/>
              </w:rPr>
            </w:pPr>
          </w:p>
          <w:p w14:paraId="6BC3B30E"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where the GP and postcode are obtained from the Spine through the patient's NHS number and date of birth if the trace is successful </w:t>
            </w:r>
          </w:p>
          <w:p w14:paraId="4DB921B6"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It is possible for a single CCG to be the main commissioning body, or ‘lead’, to more than one acute trust while another CCG may not be lead to any acute trust. </w:t>
            </w:r>
          </w:p>
          <w:p w14:paraId="5269D1F3" w14:textId="524F263F" w:rsidR="00544C08" w:rsidRPr="008D3DFD" w:rsidRDefault="00544C08" w:rsidP="00544C08">
            <w:pPr>
              <w:autoSpaceDE w:val="0"/>
              <w:autoSpaceDN w:val="0"/>
              <w:adjustRightInd w:val="0"/>
              <w:rPr>
                <w:rFonts w:ascii="Arial" w:hAnsi="Arial" w:cs="Arial"/>
              </w:rPr>
            </w:pPr>
            <w:r w:rsidRPr="008D3DFD">
              <w:rPr>
                <w:rFonts w:ascii="Arial" w:hAnsi="Arial" w:cs="Arial"/>
              </w:rPr>
              <w:t>It should be noted that the allocation method described above will lead to a patient attending an out of area Trust having their data tracked back to their ‘home’ CCG (i.e. CCG of residence) for reporting purposes.</w:t>
            </w:r>
          </w:p>
        </w:tc>
      </w:tr>
    </w:tbl>
    <w:p w14:paraId="5198F522" w14:textId="255886E6" w:rsidR="00850809" w:rsidRPr="008D3DFD" w:rsidRDefault="00544C08">
      <w:pPr>
        <w:rPr>
          <w:rFonts w:ascii="Arial" w:hAnsi="Arial" w:cs="Arial"/>
        </w:rPr>
      </w:pPr>
      <w:r w:rsidRPr="008D3DFD">
        <w:rPr>
          <w:rFonts w:ascii="Arial" w:hAnsi="Arial" w:cs="Arial"/>
          <w:b/>
          <w:bCs/>
        </w:rPr>
        <w:t>Section 4. Construction</w:t>
      </w:r>
    </w:p>
    <w:tbl>
      <w:tblPr>
        <w:tblStyle w:val="TableGrid"/>
        <w:tblW w:w="25582" w:type="dxa"/>
        <w:tblLayout w:type="fixed"/>
        <w:tblLook w:val="04A0" w:firstRow="1" w:lastRow="0" w:firstColumn="1" w:lastColumn="0" w:noHBand="0" w:noVBand="1"/>
      </w:tblPr>
      <w:tblGrid>
        <w:gridCol w:w="1882"/>
        <w:gridCol w:w="23700"/>
      </w:tblGrid>
      <w:tr w:rsidR="00544C08" w:rsidRPr="008D3DFD" w14:paraId="29F909C2" w14:textId="77777777" w:rsidTr="00544C08">
        <w:tc>
          <w:tcPr>
            <w:tcW w:w="1882" w:type="dxa"/>
          </w:tcPr>
          <w:p w14:paraId="631ABE2D" w14:textId="594B435F" w:rsidR="00544C08" w:rsidRPr="008D3DFD" w:rsidRDefault="00544C08" w:rsidP="00E03F3B">
            <w:pPr>
              <w:pStyle w:val="Default"/>
              <w:rPr>
                <w:b/>
                <w:bCs/>
                <w:color w:val="auto"/>
                <w:sz w:val="22"/>
                <w:szCs w:val="22"/>
              </w:rPr>
            </w:pPr>
            <w:bookmarkStart w:id="1" w:name="_Hlk35420420"/>
            <w:bookmarkStart w:id="2" w:name="_Hlk35420348"/>
            <w:r w:rsidRPr="008D3DFD">
              <w:rPr>
                <w:b/>
                <w:bCs/>
                <w:color w:val="auto"/>
                <w:sz w:val="22"/>
                <w:szCs w:val="22"/>
              </w:rPr>
              <w:t>4.1. Numerator</w:t>
            </w:r>
          </w:p>
        </w:tc>
        <w:tc>
          <w:tcPr>
            <w:tcW w:w="23700" w:type="dxa"/>
          </w:tcPr>
          <w:p w14:paraId="13FE9DD1" w14:textId="2AEEF6F7" w:rsidR="00544C08" w:rsidRPr="008D3DFD" w:rsidRDefault="00544C08" w:rsidP="00E03F3B">
            <w:pPr>
              <w:pStyle w:val="Default"/>
              <w:rPr>
                <w:color w:val="auto"/>
                <w:sz w:val="22"/>
                <w:szCs w:val="22"/>
              </w:rPr>
            </w:pPr>
            <w:r w:rsidRPr="008D3DFD">
              <w:rPr>
                <w:color w:val="auto"/>
              </w:rPr>
              <w:t>Count of all reported C. difficile infections in people aged two and over, per CCG</w:t>
            </w:r>
          </w:p>
        </w:tc>
      </w:tr>
      <w:bookmarkEnd w:id="1"/>
      <w:tr w:rsidR="008D3DFD" w:rsidRPr="008D3DFD" w14:paraId="5A9E3DD5" w14:textId="77777777" w:rsidTr="00544C08">
        <w:tc>
          <w:tcPr>
            <w:tcW w:w="1882" w:type="dxa"/>
          </w:tcPr>
          <w:p w14:paraId="1556A3C6" w14:textId="7985C5CB" w:rsidR="00544C08" w:rsidRPr="008D3DFD" w:rsidRDefault="00544C08" w:rsidP="00E03F3B">
            <w:pPr>
              <w:pStyle w:val="Default"/>
              <w:rPr>
                <w:color w:val="auto"/>
                <w:sz w:val="22"/>
                <w:szCs w:val="22"/>
              </w:rPr>
            </w:pPr>
            <w:r w:rsidRPr="008D3DFD">
              <w:rPr>
                <w:b/>
                <w:bCs/>
                <w:color w:val="auto"/>
                <w:sz w:val="22"/>
                <w:szCs w:val="22"/>
              </w:rPr>
              <w:t>4.2. Dominator</w:t>
            </w:r>
          </w:p>
        </w:tc>
        <w:tc>
          <w:tcPr>
            <w:tcW w:w="23700" w:type="dxa"/>
          </w:tcPr>
          <w:p w14:paraId="6103C774" w14:textId="6DF2C403" w:rsidR="00544C08" w:rsidRPr="008D3DFD" w:rsidRDefault="00544C08" w:rsidP="00E03F3B">
            <w:pPr>
              <w:pStyle w:val="Default"/>
              <w:rPr>
                <w:color w:val="auto"/>
                <w:sz w:val="22"/>
                <w:szCs w:val="22"/>
              </w:rPr>
            </w:pPr>
            <w:r w:rsidRPr="008D3DFD">
              <w:rPr>
                <w:color w:val="auto"/>
                <w:sz w:val="22"/>
                <w:szCs w:val="22"/>
              </w:rPr>
              <w:t xml:space="preserve">  None</w:t>
            </w:r>
          </w:p>
          <w:p w14:paraId="6233ACF2" w14:textId="77777777" w:rsidR="00544C08" w:rsidRPr="008D3DFD" w:rsidRDefault="00544C08" w:rsidP="00E03F3B">
            <w:pPr>
              <w:pStyle w:val="Default"/>
              <w:rPr>
                <w:color w:val="auto"/>
                <w:sz w:val="22"/>
                <w:szCs w:val="22"/>
              </w:rPr>
            </w:pPr>
          </w:p>
          <w:p w14:paraId="15B4F817" w14:textId="69079032" w:rsidR="00544C08" w:rsidRPr="008D3DFD" w:rsidRDefault="00544C08" w:rsidP="00E03F3B">
            <w:pPr>
              <w:pStyle w:val="Default"/>
              <w:rPr>
                <w:b/>
                <w:bCs/>
                <w:color w:val="auto"/>
                <w:sz w:val="22"/>
                <w:szCs w:val="22"/>
              </w:rPr>
            </w:pPr>
          </w:p>
        </w:tc>
      </w:tr>
      <w:tr w:rsidR="008D3DFD" w:rsidRPr="008D3DFD" w14:paraId="25E5DC6D" w14:textId="77777777" w:rsidTr="00544C08">
        <w:tc>
          <w:tcPr>
            <w:tcW w:w="1882" w:type="dxa"/>
          </w:tcPr>
          <w:p w14:paraId="1967D4E7" w14:textId="59E6732E" w:rsidR="00544C08" w:rsidRPr="008D3DFD" w:rsidRDefault="00544C08" w:rsidP="00947276">
            <w:pPr>
              <w:pStyle w:val="Default"/>
              <w:rPr>
                <w:color w:val="auto"/>
                <w:sz w:val="22"/>
                <w:szCs w:val="22"/>
              </w:rPr>
            </w:pPr>
            <w:r w:rsidRPr="008D3DFD">
              <w:rPr>
                <w:b/>
                <w:bCs/>
                <w:color w:val="auto"/>
                <w:sz w:val="22"/>
                <w:szCs w:val="22"/>
              </w:rPr>
              <w:t>4.3. Computation</w:t>
            </w:r>
          </w:p>
        </w:tc>
        <w:tc>
          <w:tcPr>
            <w:tcW w:w="23700" w:type="dxa"/>
          </w:tcPr>
          <w:p w14:paraId="7FEF679E" w14:textId="37D59FFF" w:rsidR="00544C08" w:rsidRPr="008D3DFD" w:rsidRDefault="00544C08" w:rsidP="00947276">
            <w:pPr>
              <w:pStyle w:val="Default"/>
              <w:rPr>
                <w:color w:val="auto"/>
                <w:sz w:val="22"/>
                <w:szCs w:val="22"/>
              </w:rPr>
            </w:pPr>
            <w:r w:rsidRPr="008D3DFD">
              <w:rPr>
                <w:color w:val="auto"/>
                <w:sz w:val="22"/>
                <w:szCs w:val="22"/>
              </w:rPr>
              <w:t xml:space="preserve">This indicator is a count of all reported C. difficile infections in people aged two and over, per CCG, as reported by PHE. </w:t>
            </w:r>
          </w:p>
          <w:p w14:paraId="1E670652" w14:textId="77777777" w:rsidR="00544C08" w:rsidRPr="008D3DFD" w:rsidRDefault="00544C08" w:rsidP="00947276">
            <w:pPr>
              <w:pStyle w:val="Default"/>
              <w:rPr>
                <w:color w:val="auto"/>
                <w:sz w:val="22"/>
                <w:szCs w:val="22"/>
              </w:rPr>
            </w:pPr>
            <w:r w:rsidRPr="008D3DFD">
              <w:rPr>
                <w:color w:val="auto"/>
                <w:sz w:val="22"/>
                <w:szCs w:val="22"/>
              </w:rPr>
              <w:t xml:space="preserve">It includes patients who are (i) in-patients, day-patients, emergency assessment patients or not known; AND (ii) have had their specimen taken at an acute trust or not known; AND (iii) specimen was taken on or after day four of the admission (admission date is considered day ‘1’). </w:t>
            </w:r>
          </w:p>
          <w:p w14:paraId="716A3D3F" w14:textId="77777777" w:rsidR="00544C08" w:rsidRPr="008D3DFD" w:rsidRDefault="00544C08" w:rsidP="00947276">
            <w:pPr>
              <w:pStyle w:val="Default"/>
              <w:rPr>
                <w:color w:val="auto"/>
                <w:sz w:val="22"/>
                <w:szCs w:val="22"/>
              </w:rPr>
            </w:pPr>
            <w:r w:rsidRPr="008D3DFD">
              <w:rPr>
                <w:color w:val="auto"/>
                <w:sz w:val="22"/>
                <w:szCs w:val="22"/>
              </w:rPr>
              <w:t xml:space="preserve">Cases of C. difficile identified in one month may or may not be included in the following month’s figures. A case is considered to be ‘new’ if it occurs outside of a 28 day period since the initial positive specimen. Positive results within this period are considered to be duplicates and are thus not reported. </w:t>
            </w:r>
          </w:p>
          <w:p w14:paraId="13BC8257" w14:textId="77777777" w:rsidR="00544C08" w:rsidRPr="008D3DFD" w:rsidRDefault="00544C08" w:rsidP="00947276">
            <w:pPr>
              <w:pStyle w:val="Default"/>
              <w:rPr>
                <w:color w:val="auto"/>
                <w:sz w:val="22"/>
                <w:szCs w:val="22"/>
              </w:rPr>
            </w:pPr>
            <w:r w:rsidRPr="008D3DFD">
              <w:rPr>
                <w:color w:val="auto"/>
                <w:sz w:val="22"/>
                <w:szCs w:val="22"/>
              </w:rPr>
              <w:t xml:space="preserve">Note the data published for the latest three months are provisional in nature and may be subject to change in a subsequent release. </w:t>
            </w:r>
          </w:p>
          <w:p w14:paraId="3191152B" w14:textId="5F527F71" w:rsidR="00544C08" w:rsidRPr="008D3DFD" w:rsidRDefault="00544C08" w:rsidP="003434E5">
            <w:pPr>
              <w:pStyle w:val="Default"/>
              <w:rPr>
                <w:b/>
                <w:bCs/>
                <w:color w:val="auto"/>
                <w:sz w:val="22"/>
                <w:szCs w:val="22"/>
              </w:rPr>
            </w:pPr>
            <w:r w:rsidRPr="008D3DFD">
              <w:rPr>
                <w:color w:val="auto"/>
                <w:sz w:val="22"/>
                <w:szCs w:val="22"/>
              </w:rPr>
              <w:t xml:space="preserve">As this indicator is a raw count of cases only, a denominator is not required. </w:t>
            </w:r>
          </w:p>
        </w:tc>
      </w:tr>
      <w:bookmarkEnd w:id="2"/>
      <w:tr w:rsidR="008D3DFD" w:rsidRPr="008D3DFD" w14:paraId="6D9B5AB2" w14:textId="77777777" w:rsidTr="00544C08">
        <w:tc>
          <w:tcPr>
            <w:tcW w:w="1882" w:type="dxa"/>
          </w:tcPr>
          <w:p w14:paraId="48BA8596" w14:textId="382A1B8B" w:rsidR="00544C08" w:rsidRPr="008D3DFD" w:rsidRDefault="00544C08" w:rsidP="00544C08">
            <w:pPr>
              <w:pStyle w:val="Default"/>
              <w:rPr>
                <w:b/>
                <w:bCs/>
                <w:color w:val="auto"/>
                <w:sz w:val="22"/>
                <w:szCs w:val="22"/>
              </w:rPr>
            </w:pPr>
            <w:r w:rsidRPr="008D3DFD">
              <w:rPr>
                <w:b/>
                <w:bCs/>
                <w:color w:val="auto"/>
                <w:sz w:val="22"/>
                <w:szCs w:val="22"/>
              </w:rPr>
              <w:t>4.4. Risk adjustments or standardisation type and methodology</w:t>
            </w:r>
          </w:p>
        </w:tc>
        <w:tc>
          <w:tcPr>
            <w:tcW w:w="23700" w:type="dxa"/>
          </w:tcPr>
          <w:p w14:paraId="2F188309" w14:textId="3F5F5E89" w:rsidR="00544C08" w:rsidRPr="008D3DFD" w:rsidRDefault="00544C08" w:rsidP="00544C08">
            <w:pPr>
              <w:pStyle w:val="Default"/>
              <w:rPr>
                <w:color w:val="auto"/>
                <w:sz w:val="22"/>
                <w:szCs w:val="22"/>
              </w:rPr>
            </w:pPr>
            <w:r w:rsidRPr="008D3DFD">
              <w:rPr>
                <w:b/>
                <w:bCs/>
                <w:color w:val="auto"/>
                <w:sz w:val="22"/>
                <w:szCs w:val="22"/>
              </w:rPr>
              <w:t xml:space="preserve">None </w:t>
            </w:r>
          </w:p>
          <w:p w14:paraId="5A67C829" w14:textId="77777777" w:rsidR="00544C08" w:rsidRPr="008D3DFD" w:rsidRDefault="00544C08" w:rsidP="00544C08">
            <w:pPr>
              <w:pStyle w:val="Default"/>
              <w:rPr>
                <w:color w:val="auto"/>
                <w:sz w:val="22"/>
                <w:szCs w:val="22"/>
              </w:rPr>
            </w:pPr>
            <w:r w:rsidRPr="008D3DFD">
              <w:rPr>
                <w:color w:val="auto"/>
                <w:sz w:val="22"/>
                <w:szCs w:val="22"/>
              </w:rPr>
              <w:t xml:space="preserve">Variables and methodology: </w:t>
            </w:r>
          </w:p>
          <w:p w14:paraId="4E1097C6" w14:textId="154627B4" w:rsidR="00544C08" w:rsidRPr="008D3DFD" w:rsidRDefault="00544C08" w:rsidP="00544C08">
            <w:pPr>
              <w:pStyle w:val="Default"/>
              <w:rPr>
                <w:b/>
                <w:bCs/>
                <w:color w:val="auto"/>
                <w:sz w:val="22"/>
                <w:szCs w:val="22"/>
              </w:rPr>
            </w:pPr>
            <w:r w:rsidRPr="008D3DFD">
              <w:rPr>
                <w:color w:val="auto"/>
                <w:sz w:val="22"/>
                <w:szCs w:val="22"/>
              </w:rPr>
              <w:t xml:space="preserve">Not applicable </w:t>
            </w:r>
          </w:p>
        </w:tc>
      </w:tr>
      <w:tr w:rsidR="008D3DFD" w:rsidRPr="008D3DFD" w14:paraId="0CA65AFD" w14:textId="77777777" w:rsidTr="00544C08">
        <w:trPr>
          <w:trHeight w:val="1188"/>
        </w:trPr>
        <w:tc>
          <w:tcPr>
            <w:tcW w:w="1882" w:type="dxa"/>
          </w:tcPr>
          <w:p w14:paraId="343BCA26" w14:textId="25C90B38" w:rsidR="00544C08" w:rsidRPr="008D3DFD" w:rsidRDefault="00544C08" w:rsidP="00544C08">
            <w:pPr>
              <w:autoSpaceDE w:val="0"/>
              <w:autoSpaceDN w:val="0"/>
              <w:adjustRightInd w:val="0"/>
              <w:rPr>
                <w:rFonts w:ascii="Arial" w:hAnsi="Arial" w:cs="Arial"/>
                <w:b/>
                <w:bCs/>
              </w:rPr>
            </w:pPr>
            <w:r w:rsidRPr="008D3DFD">
              <w:rPr>
                <w:rFonts w:ascii="Arial" w:hAnsi="Arial" w:cs="Arial"/>
                <w:b/>
                <w:bCs/>
              </w:rPr>
              <w:lastRenderedPageBreak/>
              <w:t xml:space="preserve">4.5. Justification of risk and variables </w:t>
            </w:r>
            <w:r w:rsidRPr="008D3DFD">
              <w:rPr>
                <w:rFonts w:ascii="Arial" w:hAnsi="Arial" w:cs="Arial"/>
              </w:rPr>
              <w:t>or why risk adjustment is not used</w:t>
            </w:r>
          </w:p>
        </w:tc>
        <w:tc>
          <w:tcPr>
            <w:tcW w:w="23700" w:type="dxa"/>
          </w:tcPr>
          <w:p w14:paraId="1F7004BF"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The indicator is a raw monthly count. We do not currently publish rates for this indicator (standardised or otherwise). This approach was agreed during initial assurance of the indicator where it was noted that it was not seen as desirable to give the impression that it would be more acceptable to have higher rates in particular groups, the aim of the indicator being principally to bring about improvement and not to compare trusts. There was also concern that random variation may ‘swamp’ issues related to age or gender. NHS Improvement’s objective is to drive down infection rates in all CCGs rather than compare CCGs against each other. </w:t>
            </w:r>
          </w:p>
          <w:p w14:paraId="2772CF42"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CCG rates per 100,000 population on a financial year basis are however published by PHE. They are signposted in the Quality Statement and are available at: </w:t>
            </w:r>
          </w:p>
          <w:p w14:paraId="7A85CF78" w14:textId="77777777" w:rsidR="00544C08" w:rsidRPr="008D3DFD" w:rsidRDefault="00544C08" w:rsidP="00544C08">
            <w:pPr>
              <w:autoSpaceDE w:val="0"/>
              <w:autoSpaceDN w:val="0"/>
              <w:adjustRightInd w:val="0"/>
              <w:rPr>
                <w:rFonts w:ascii="Arial" w:hAnsi="Arial" w:cs="Arial"/>
              </w:rPr>
            </w:pPr>
          </w:p>
          <w:p w14:paraId="7A752D25" w14:textId="77777777" w:rsidR="00544C08" w:rsidRPr="008D3DFD" w:rsidRDefault="00544C08" w:rsidP="00544C08">
            <w:pPr>
              <w:pStyle w:val="Default"/>
              <w:rPr>
                <w:color w:val="auto"/>
                <w:sz w:val="22"/>
                <w:szCs w:val="22"/>
              </w:rPr>
            </w:pPr>
            <w:r w:rsidRPr="008D3DFD">
              <w:rPr>
                <w:color w:val="auto"/>
                <w:sz w:val="22"/>
                <w:szCs w:val="22"/>
              </w:rPr>
              <w:t>https://www.gov.uk/government/statistics/clostridium-difficile-</w:t>
            </w:r>
          </w:p>
          <w:p w14:paraId="74C6E0AE" w14:textId="7C51DCB3" w:rsidR="00544C08" w:rsidRPr="008D3DFD" w:rsidRDefault="00544C08" w:rsidP="00544C08">
            <w:pPr>
              <w:autoSpaceDE w:val="0"/>
              <w:autoSpaceDN w:val="0"/>
              <w:adjustRightInd w:val="0"/>
              <w:rPr>
                <w:rFonts w:ascii="Arial" w:hAnsi="Arial" w:cs="Arial"/>
              </w:rPr>
            </w:pPr>
            <w:r w:rsidRPr="008D3DFD">
              <w:rPr>
                <w:rFonts w:ascii="Arial" w:hAnsi="Arial" w:cs="Arial"/>
              </w:rPr>
              <w:t>infection-annual-data</w:t>
            </w:r>
          </w:p>
        </w:tc>
      </w:tr>
      <w:tr w:rsidR="008D3DFD" w:rsidRPr="008D3DFD" w14:paraId="547DD141" w14:textId="77777777" w:rsidTr="00544C08">
        <w:trPr>
          <w:trHeight w:val="1188"/>
        </w:trPr>
        <w:tc>
          <w:tcPr>
            <w:tcW w:w="1882" w:type="dxa"/>
          </w:tcPr>
          <w:p w14:paraId="3BB61218" w14:textId="3DB4EFC4" w:rsidR="00544C08" w:rsidRPr="008D3DFD" w:rsidRDefault="00544C08" w:rsidP="00544C08">
            <w:pPr>
              <w:autoSpaceDE w:val="0"/>
              <w:autoSpaceDN w:val="0"/>
              <w:adjustRightInd w:val="0"/>
              <w:rPr>
                <w:rFonts w:ascii="Arial" w:hAnsi="Arial" w:cs="Arial"/>
              </w:rPr>
            </w:pPr>
            <w:r w:rsidRPr="008D3DFD">
              <w:rPr>
                <w:rFonts w:ascii="Arial" w:hAnsi="Arial" w:cs="Arial"/>
                <w:b/>
                <w:bCs/>
              </w:rPr>
              <w:t>4.5. Confidence interval / control limit use and methodology</w:t>
            </w:r>
          </w:p>
        </w:tc>
        <w:tc>
          <w:tcPr>
            <w:tcW w:w="23700" w:type="dxa"/>
          </w:tcPr>
          <w:p w14:paraId="633344BD" w14:textId="384B4C2C" w:rsidR="00544C08" w:rsidRPr="008D3DFD" w:rsidRDefault="00544C08" w:rsidP="00544C08">
            <w:pPr>
              <w:autoSpaceDE w:val="0"/>
              <w:autoSpaceDN w:val="0"/>
              <w:adjustRightInd w:val="0"/>
              <w:rPr>
                <w:rFonts w:ascii="Arial" w:hAnsi="Arial" w:cs="Arial"/>
              </w:rPr>
            </w:pPr>
            <w:r w:rsidRPr="008D3DFD">
              <w:rPr>
                <w:rFonts w:ascii="Arial" w:hAnsi="Arial" w:cs="Arial"/>
              </w:rPr>
              <w:t>None</w:t>
            </w:r>
          </w:p>
          <w:p w14:paraId="2D3E9243" w14:textId="581C588E" w:rsidR="00544C08" w:rsidRPr="008D3DFD" w:rsidRDefault="00544C08" w:rsidP="00544C08">
            <w:pPr>
              <w:autoSpaceDE w:val="0"/>
              <w:autoSpaceDN w:val="0"/>
              <w:adjustRightInd w:val="0"/>
              <w:rPr>
                <w:rFonts w:ascii="Arial" w:hAnsi="Arial" w:cs="Arial"/>
              </w:rPr>
            </w:pPr>
          </w:p>
        </w:tc>
      </w:tr>
    </w:tbl>
    <w:p w14:paraId="615F07EB" w14:textId="0FB8DC18" w:rsidR="00544C08" w:rsidRPr="008D3DFD" w:rsidRDefault="00544C08">
      <w:pPr>
        <w:rPr>
          <w:rFonts w:ascii="Arial" w:hAnsi="Arial" w:cs="Arial"/>
        </w:rPr>
      </w:pPr>
      <w:r w:rsidRPr="008D3DFD">
        <w:rPr>
          <w:rFonts w:ascii="Arial" w:hAnsi="Arial" w:cs="Arial"/>
        </w:rPr>
        <w:t>Section 5. Presentation and Interpretation</w:t>
      </w:r>
    </w:p>
    <w:p w14:paraId="41E0483B" w14:textId="2DD6A930" w:rsidR="00544C08" w:rsidRPr="008D3DFD" w:rsidRDefault="00544C08">
      <w:pPr>
        <w:rPr>
          <w:rFonts w:ascii="Arial" w:hAnsi="Arial" w:cs="Arial"/>
        </w:rPr>
      </w:pPr>
      <w:r w:rsidRPr="008D3DFD">
        <w:rPr>
          <w:rFonts w:ascii="Arial" w:hAnsi="Arial" w:cs="Arial"/>
        </w:rPr>
        <w:t>Presentation</w:t>
      </w:r>
    </w:p>
    <w:tbl>
      <w:tblPr>
        <w:tblStyle w:val="TableGrid"/>
        <w:tblW w:w="25582" w:type="dxa"/>
        <w:tblLayout w:type="fixed"/>
        <w:tblLook w:val="04A0" w:firstRow="1" w:lastRow="0" w:firstColumn="1" w:lastColumn="0" w:noHBand="0" w:noVBand="1"/>
      </w:tblPr>
      <w:tblGrid>
        <w:gridCol w:w="1882"/>
        <w:gridCol w:w="23700"/>
      </w:tblGrid>
      <w:tr w:rsidR="008D3DFD" w:rsidRPr="008D3DFD" w14:paraId="78DE478F" w14:textId="77777777" w:rsidTr="00544C08">
        <w:tc>
          <w:tcPr>
            <w:tcW w:w="1882" w:type="dxa"/>
          </w:tcPr>
          <w:p w14:paraId="7314648A" w14:textId="2BF8D3C4" w:rsidR="00544C08" w:rsidRPr="008D3DFD" w:rsidRDefault="00544C08" w:rsidP="00544C08">
            <w:pPr>
              <w:pStyle w:val="Default"/>
              <w:rPr>
                <w:b/>
                <w:bCs/>
                <w:color w:val="auto"/>
                <w:sz w:val="22"/>
                <w:szCs w:val="22"/>
              </w:rPr>
            </w:pPr>
            <w:r w:rsidRPr="008D3DFD">
              <w:rPr>
                <w:b/>
                <w:bCs/>
                <w:color w:val="auto"/>
                <w:sz w:val="22"/>
                <w:szCs w:val="22"/>
              </w:rPr>
              <w:t>5.1. Presentation of indicator</w:t>
            </w:r>
          </w:p>
        </w:tc>
        <w:tc>
          <w:tcPr>
            <w:tcW w:w="23700" w:type="dxa"/>
          </w:tcPr>
          <w:p w14:paraId="0CA569E8"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The indicator is released in the form of a csv and xlsx file (each containing the same data) with the following column headings: </w:t>
            </w:r>
          </w:p>
          <w:p w14:paraId="40DCB3FC"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Reporting period of coverage Breakdown ONS code Level description Indicator value </w:t>
            </w:r>
          </w:p>
          <w:p w14:paraId="7061F419" w14:textId="6DF1A80E" w:rsidR="00544C08" w:rsidRPr="008D3DFD" w:rsidRDefault="00544C08" w:rsidP="00544C08">
            <w:pPr>
              <w:autoSpaceDE w:val="0"/>
              <w:autoSpaceDN w:val="0"/>
              <w:adjustRightInd w:val="0"/>
              <w:rPr>
                <w:rFonts w:ascii="Arial" w:hAnsi="Arial" w:cs="Arial"/>
              </w:rPr>
            </w:pPr>
            <w:r w:rsidRPr="008D3DFD">
              <w:rPr>
                <w:rFonts w:ascii="Arial" w:hAnsi="Arial" w:cs="Arial"/>
              </w:rPr>
              <w:t>Only values at CCG level are presented</w:t>
            </w:r>
          </w:p>
        </w:tc>
      </w:tr>
      <w:tr w:rsidR="00544C08" w:rsidRPr="008D3DFD" w14:paraId="6AEF1B7D" w14:textId="77777777" w:rsidTr="00544C08">
        <w:tc>
          <w:tcPr>
            <w:tcW w:w="1882" w:type="dxa"/>
          </w:tcPr>
          <w:p w14:paraId="554F8FFA" w14:textId="77777777" w:rsidR="00544C08" w:rsidRPr="008D3DFD" w:rsidRDefault="00544C08" w:rsidP="00544C08">
            <w:pPr>
              <w:pStyle w:val="Default"/>
              <w:rPr>
                <w:b/>
                <w:bCs/>
                <w:color w:val="auto"/>
                <w:sz w:val="22"/>
                <w:szCs w:val="22"/>
              </w:rPr>
            </w:pPr>
            <w:r w:rsidRPr="008D3DFD">
              <w:rPr>
                <w:b/>
                <w:bCs/>
                <w:color w:val="auto"/>
                <w:sz w:val="22"/>
                <w:szCs w:val="22"/>
              </w:rPr>
              <w:t>5.2. Contextual information provided alongside indicator</w:t>
            </w:r>
          </w:p>
          <w:p w14:paraId="2FE8BA6A" w14:textId="68534DB3" w:rsidR="00544C08" w:rsidRPr="008D3DFD" w:rsidRDefault="00544C08" w:rsidP="00544C08">
            <w:pPr>
              <w:pStyle w:val="Default"/>
              <w:rPr>
                <w:b/>
                <w:bCs/>
                <w:color w:val="auto"/>
                <w:sz w:val="22"/>
                <w:szCs w:val="22"/>
              </w:rPr>
            </w:pPr>
            <w:r w:rsidRPr="008D3DFD">
              <w:rPr>
                <w:color w:val="auto"/>
                <w:sz w:val="22"/>
                <w:szCs w:val="22"/>
              </w:rPr>
              <w:t>with justification</w:t>
            </w:r>
          </w:p>
        </w:tc>
        <w:tc>
          <w:tcPr>
            <w:tcW w:w="23700" w:type="dxa"/>
          </w:tcPr>
          <w:p w14:paraId="0E443D44" w14:textId="1F2B442C" w:rsidR="00544C08" w:rsidRPr="008D3DFD" w:rsidRDefault="00544C08" w:rsidP="00544C08">
            <w:pPr>
              <w:pStyle w:val="Default"/>
              <w:rPr>
                <w:color w:val="auto"/>
                <w:sz w:val="22"/>
                <w:szCs w:val="22"/>
              </w:rPr>
            </w:pPr>
            <w:r w:rsidRPr="008D3DFD">
              <w:rPr>
                <w:color w:val="auto"/>
              </w:rPr>
              <w:t>Contextual information is provided in the quality statement published on the Indicator Portal alongside the data file and contains much of the information presented in this application, including some of the information detailed in '2 - Evidence and Policy base'. It demonstrates how the Code of Practice for Official Statistics has been followed in the collection, production and dissemination of the data.</w:t>
            </w:r>
          </w:p>
        </w:tc>
      </w:tr>
      <w:tr w:rsidR="008D3DFD" w:rsidRPr="008D3DFD" w14:paraId="3D5AFCAB" w14:textId="77777777" w:rsidTr="00544C08">
        <w:tc>
          <w:tcPr>
            <w:tcW w:w="1882" w:type="dxa"/>
          </w:tcPr>
          <w:p w14:paraId="5F436857" w14:textId="6257B909" w:rsidR="00544C08" w:rsidRPr="008D3DFD" w:rsidRDefault="00544C08" w:rsidP="00544C08">
            <w:pPr>
              <w:pStyle w:val="Default"/>
              <w:rPr>
                <w:color w:val="auto"/>
                <w:sz w:val="22"/>
                <w:szCs w:val="22"/>
              </w:rPr>
            </w:pPr>
            <w:r w:rsidRPr="008D3DFD">
              <w:rPr>
                <w:b/>
                <w:bCs/>
                <w:color w:val="auto"/>
                <w:sz w:val="22"/>
                <w:szCs w:val="22"/>
              </w:rPr>
              <w:t>5.3. Calculation and data source of contextual information</w:t>
            </w:r>
          </w:p>
        </w:tc>
        <w:tc>
          <w:tcPr>
            <w:tcW w:w="23700" w:type="dxa"/>
          </w:tcPr>
          <w:p w14:paraId="524DD612" w14:textId="5920ED7B" w:rsidR="00544C08" w:rsidRPr="008D3DFD" w:rsidRDefault="00544C08" w:rsidP="00544C08">
            <w:pPr>
              <w:pStyle w:val="Default"/>
              <w:rPr>
                <w:color w:val="auto"/>
                <w:sz w:val="22"/>
                <w:szCs w:val="22"/>
              </w:rPr>
            </w:pPr>
            <w:r w:rsidRPr="008D3DFD">
              <w:rPr>
                <w:color w:val="auto"/>
                <w:sz w:val="22"/>
                <w:szCs w:val="22"/>
              </w:rPr>
              <w:t xml:space="preserve">The contextual information provided in the PHE data quality statement supports the Indicator Portal data quality statement by providing a greater depth of information. </w:t>
            </w:r>
          </w:p>
          <w:p w14:paraId="4B635905" w14:textId="7CF2306F"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PHE also include a note containing contextual information to aid interpretation on their monthly data file explaining what can and can’t be deduced from the published data. </w:t>
            </w:r>
          </w:p>
        </w:tc>
      </w:tr>
      <w:tr w:rsidR="008D3DFD" w:rsidRPr="008D3DFD" w14:paraId="78AD63C0" w14:textId="77777777" w:rsidTr="00544C08">
        <w:tc>
          <w:tcPr>
            <w:tcW w:w="1882" w:type="dxa"/>
          </w:tcPr>
          <w:p w14:paraId="3AE2B864" w14:textId="77777777" w:rsidR="00544C08" w:rsidRPr="008D3DFD" w:rsidRDefault="00544C08" w:rsidP="00544C08">
            <w:pPr>
              <w:pStyle w:val="Default"/>
              <w:rPr>
                <w:b/>
                <w:bCs/>
                <w:color w:val="auto"/>
                <w:sz w:val="22"/>
                <w:szCs w:val="22"/>
              </w:rPr>
            </w:pPr>
            <w:r w:rsidRPr="008D3DFD">
              <w:rPr>
                <w:b/>
                <w:bCs/>
                <w:color w:val="auto"/>
                <w:sz w:val="22"/>
                <w:szCs w:val="22"/>
              </w:rPr>
              <w:t>5.4. Use of bandings, benchmarks or targets</w:t>
            </w:r>
          </w:p>
          <w:p w14:paraId="74BDB122" w14:textId="26C8B729" w:rsidR="00544C08" w:rsidRPr="008D3DFD" w:rsidRDefault="00544C08" w:rsidP="00544C08">
            <w:pPr>
              <w:autoSpaceDE w:val="0"/>
              <w:autoSpaceDN w:val="0"/>
              <w:adjustRightInd w:val="0"/>
              <w:rPr>
                <w:rFonts w:ascii="Arial" w:hAnsi="Arial" w:cs="Arial"/>
              </w:rPr>
            </w:pPr>
            <w:r w:rsidRPr="008D3DFD">
              <w:rPr>
                <w:rFonts w:ascii="Arial" w:hAnsi="Arial" w:cs="Arial"/>
              </w:rPr>
              <w:t>with justification</w:t>
            </w:r>
          </w:p>
        </w:tc>
        <w:tc>
          <w:tcPr>
            <w:tcW w:w="23700" w:type="dxa"/>
          </w:tcPr>
          <w:p w14:paraId="43BE5AC7" w14:textId="3806B795" w:rsidR="00544C08" w:rsidRPr="008D3DFD" w:rsidRDefault="00544C08" w:rsidP="00544C08">
            <w:pPr>
              <w:autoSpaceDE w:val="0"/>
              <w:autoSpaceDN w:val="0"/>
              <w:adjustRightInd w:val="0"/>
              <w:rPr>
                <w:rFonts w:ascii="Arial" w:hAnsi="Arial" w:cs="Arial"/>
              </w:rPr>
            </w:pPr>
            <w:r w:rsidRPr="008D3DFD">
              <w:rPr>
                <w:rFonts w:ascii="Arial" w:hAnsi="Arial" w:cs="Arial"/>
              </w:rPr>
              <w:t>None</w:t>
            </w:r>
          </w:p>
        </w:tc>
      </w:tr>
      <w:tr w:rsidR="008D3DFD" w:rsidRPr="008D3DFD" w14:paraId="6FB31502" w14:textId="77777777" w:rsidTr="00544C08">
        <w:tc>
          <w:tcPr>
            <w:tcW w:w="1882" w:type="dxa"/>
          </w:tcPr>
          <w:p w14:paraId="0817133C" w14:textId="77777777" w:rsidR="00544C08" w:rsidRPr="008D3DFD" w:rsidRDefault="00544C08" w:rsidP="00544C08">
            <w:pPr>
              <w:pStyle w:val="Default"/>
              <w:rPr>
                <w:b/>
                <w:bCs/>
                <w:color w:val="auto"/>
                <w:sz w:val="22"/>
                <w:szCs w:val="22"/>
              </w:rPr>
            </w:pPr>
            <w:r w:rsidRPr="008D3DFD">
              <w:rPr>
                <w:b/>
                <w:bCs/>
                <w:color w:val="auto"/>
                <w:sz w:val="22"/>
                <w:szCs w:val="22"/>
              </w:rPr>
              <w:t xml:space="preserve">5.5. Banding, </w:t>
            </w:r>
            <w:r w:rsidRPr="008D3DFD">
              <w:rPr>
                <w:b/>
                <w:bCs/>
                <w:color w:val="auto"/>
                <w:sz w:val="22"/>
                <w:szCs w:val="22"/>
              </w:rPr>
              <w:lastRenderedPageBreak/>
              <w:t xml:space="preserve">benchmark or target methodology </w:t>
            </w:r>
          </w:p>
          <w:p w14:paraId="618065C0" w14:textId="7849AADA" w:rsidR="00544C08" w:rsidRPr="008D3DFD" w:rsidRDefault="00544C08" w:rsidP="00544C08">
            <w:pPr>
              <w:autoSpaceDE w:val="0"/>
              <w:autoSpaceDN w:val="0"/>
              <w:adjustRightInd w:val="0"/>
              <w:rPr>
                <w:rFonts w:ascii="Arial" w:hAnsi="Arial" w:cs="Arial"/>
              </w:rPr>
            </w:pPr>
            <w:r w:rsidRPr="008D3DFD">
              <w:rPr>
                <w:rFonts w:ascii="Arial" w:hAnsi="Arial" w:cs="Arial"/>
              </w:rPr>
              <w:t>If appropriate</w:t>
            </w:r>
          </w:p>
        </w:tc>
        <w:tc>
          <w:tcPr>
            <w:tcW w:w="23700" w:type="dxa"/>
          </w:tcPr>
          <w:p w14:paraId="37DB35FE" w14:textId="2C4155AC" w:rsidR="00544C08" w:rsidRPr="008D3DFD" w:rsidRDefault="00544C08" w:rsidP="00544C08">
            <w:pPr>
              <w:autoSpaceDE w:val="0"/>
              <w:autoSpaceDN w:val="0"/>
              <w:adjustRightInd w:val="0"/>
              <w:rPr>
                <w:rFonts w:ascii="Arial" w:hAnsi="Arial" w:cs="Arial"/>
              </w:rPr>
            </w:pPr>
            <w:r w:rsidRPr="008D3DFD">
              <w:rPr>
                <w:rFonts w:ascii="Arial" w:hAnsi="Arial" w:cs="Arial"/>
              </w:rPr>
              <w:lastRenderedPageBreak/>
              <w:t>Not applicable</w:t>
            </w:r>
          </w:p>
        </w:tc>
      </w:tr>
    </w:tbl>
    <w:p w14:paraId="3D2C6707" w14:textId="05FB01AB" w:rsidR="00544C08" w:rsidRPr="008D3DFD" w:rsidRDefault="00544C08">
      <w:pPr>
        <w:rPr>
          <w:rFonts w:ascii="Arial" w:hAnsi="Arial" w:cs="Arial"/>
        </w:rPr>
      </w:pPr>
      <w:r w:rsidRPr="008D3DFD">
        <w:rPr>
          <w:rFonts w:ascii="Arial" w:hAnsi="Arial" w:cs="Arial"/>
        </w:rPr>
        <w:t>Interpretation</w:t>
      </w:r>
    </w:p>
    <w:tbl>
      <w:tblPr>
        <w:tblStyle w:val="TableGrid"/>
        <w:tblW w:w="25582" w:type="dxa"/>
        <w:tblLayout w:type="fixed"/>
        <w:tblLook w:val="04A0" w:firstRow="1" w:lastRow="0" w:firstColumn="1" w:lastColumn="0" w:noHBand="0" w:noVBand="1"/>
      </w:tblPr>
      <w:tblGrid>
        <w:gridCol w:w="1882"/>
        <w:gridCol w:w="23700"/>
      </w:tblGrid>
      <w:tr w:rsidR="008D3DFD" w:rsidRPr="008D3DFD" w14:paraId="26BC5D23" w14:textId="77777777" w:rsidTr="00544C08">
        <w:tc>
          <w:tcPr>
            <w:tcW w:w="1882" w:type="dxa"/>
          </w:tcPr>
          <w:p w14:paraId="5616D183" w14:textId="36B6FC59" w:rsidR="00544C08" w:rsidRPr="008D3DFD" w:rsidRDefault="00544C08" w:rsidP="00544C08">
            <w:pPr>
              <w:autoSpaceDE w:val="0"/>
              <w:autoSpaceDN w:val="0"/>
              <w:adjustRightInd w:val="0"/>
              <w:rPr>
                <w:rFonts w:ascii="Arial" w:hAnsi="Arial" w:cs="Arial"/>
                <w:b/>
                <w:bCs/>
              </w:rPr>
            </w:pPr>
            <w:bookmarkStart w:id="3" w:name="_Hlk35421180"/>
            <w:r w:rsidRPr="008D3DFD">
              <w:rPr>
                <w:rFonts w:ascii="Arial" w:hAnsi="Arial" w:cs="Arial"/>
                <w:b/>
                <w:bCs/>
              </w:rPr>
              <w:t>5.6. Interpretation guidelines</w:t>
            </w:r>
          </w:p>
        </w:tc>
        <w:tc>
          <w:tcPr>
            <w:tcW w:w="23700" w:type="dxa"/>
          </w:tcPr>
          <w:p w14:paraId="4BFC3941" w14:textId="77777777" w:rsidR="00544C08" w:rsidRPr="008D3DFD" w:rsidRDefault="00544C08" w:rsidP="00544C08">
            <w:pPr>
              <w:pStyle w:val="Default"/>
              <w:rPr>
                <w:color w:val="auto"/>
                <w:sz w:val="22"/>
                <w:szCs w:val="22"/>
              </w:rPr>
            </w:pPr>
            <w:r w:rsidRPr="008D3DFD">
              <w:rPr>
                <w:color w:val="auto"/>
                <w:sz w:val="22"/>
                <w:szCs w:val="22"/>
              </w:rPr>
              <w:t xml:space="preserve">This indicator requires careful interpretation and should not be used in isolation. It should be taken in conjunction with other indicators and information from other sources that together form a holistic view of CCG outcomes and a fuller overview of how CCG processes are impacting on outcomes. </w:t>
            </w:r>
          </w:p>
          <w:p w14:paraId="262D59DE" w14:textId="77777777" w:rsidR="00544C08" w:rsidRPr="008D3DFD" w:rsidRDefault="00544C08" w:rsidP="00544C08">
            <w:pPr>
              <w:pStyle w:val="Default"/>
              <w:rPr>
                <w:color w:val="auto"/>
                <w:sz w:val="22"/>
                <w:szCs w:val="22"/>
              </w:rPr>
            </w:pPr>
            <w:r w:rsidRPr="008D3DFD">
              <w:rPr>
                <w:color w:val="auto"/>
                <w:sz w:val="22"/>
                <w:szCs w:val="22"/>
              </w:rPr>
              <w:t xml:space="preserve">Readers may be interested in referring to the aggregate quarterly counts and rates for all NHS acute trusts in England which are published by PHE with an epidemiological commentary on a quarterly basis (QEC). The QEC contain a description of the trends in the mandatory reports of C. difficile. The commentary also describes trends in other epidemiological factors and is available here. </w:t>
            </w:r>
          </w:p>
          <w:p w14:paraId="44706415" w14:textId="34DD58AA" w:rsidR="00544C08" w:rsidRPr="008D3DFD" w:rsidRDefault="00544C08" w:rsidP="00544C08">
            <w:pPr>
              <w:autoSpaceDE w:val="0"/>
              <w:autoSpaceDN w:val="0"/>
              <w:adjustRightInd w:val="0"/>
              <w:rPr>
                <w:rFonts w:ascii="Arial" w:hAnsi="Arial" w:cs="Arial"/>
              </w:rPr>
            </w:pPr>
            <w:r w:rsidRPr="008D3DFD">
              <w:rPr>
                <w:rFonts w:ascii="Arial" w:hAnsi="Arial" w:cs="Arial"/>
              </w:rPr>
              <w:t>PHE also include a note to aid interpretation on their monthly data file explaining what can and can’t be deduced from the published data. The note explains that this data does not provide a basis for decisions on the clinical effectiveness of infection control interventions in individual trusts, and that further investigations considering potential confounders would need to be undertaken before this could be done.</w:t>
            </w:r>
          </w:p>
        </w:tc>
      </w:tr>
      <w:bookmarkEnd w:id="3"/>
      <w:tr w:rsidR="008D3DFD" w:rsidRPr="008D3DFD" w14:paraId="1704AA1B" w14:textId="77777777" w:rsidTr="00544C08">
        <w:tc>
          <w:tcPr>
            <w:tcW w:w="1882" w:type="dxa"/>
          </w:tcPr>
          <w:p w14:paraId="551FF15A" w14:textId="63416D9D" w:rsidR="00544C08" w:rsidRPr="008D3DFD" w:rsidRDefault="00544C08" w:rsidP="00544C08">
            <w:pPr>
              <w:autoSpaceDE w:val="0"/>
              <w:autoSpaceDN w:val="0"/>
              <w:adjustRightInd w:val="0"/>
              <w:rPr>
                <w:rFonts w:ascii="Arial" w:hAnsi="Arial" w:cs="Arial"/>
                <w:b/>
                <w:bCs/>
              </w:rPr>
            </w:pPr>
            <w:r w:rsidRPr="008D3DFD">
              <w:rPr>
                <w:rFonts w:ascii="Arial" w:hAnsi="Arial" w:cs="Arial"/>
                <w:b/>
                <w:bCs/>
              </w:rPr>
              <w:t>5.7. Limitations and potential bias</w:t>
            </w:r>
          </w:p>
        </w:tc>
        <w:tc>
          <w:tcPr>
            <w:tcW w:w="23700" w:type="dxa"/>
          </w:tcPr>
          <w:p w14:paraId="51D70E12"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The patterns of providing care may vary between organisations in terms of extent of treatment in primary care settings; referral policies and practices; hospital outpatient facilities/walk-in clinics; and hospital inpatient admission policies and practices. </w:t>
            </w:r>
          </w:p>
          <w:p w14:paraId="4243AE71"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A number of factors outside the control of healthcare providers, such as the socio-economic mix of local populations, may determine whether a patient acquires an infection; thus, this could influence incidence. </w:t>
            </w:r>
          </w:p>
          <w:p w14:paraId="39880017"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This indicator is not subject to standardisation as the policy objectives are to drive down infection rates and reduce disparity between CCGs, rather than compare across CCGs. </w:t>
            </w:r>
          </w:p>
          <w:p w14:paraId="3178406F"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PHE undertakes routine comparisons between data collected on the HCAI DCS and that collected via the voluntary surveillance system (Second Generation Surveillance System). This routine audit not only enables them to assess the completeness of the mandatory datasets but also enables us to identify/investigate any differences that may exist in terms of the collection/recording of data by region/geography, age, sex etc. They also assess potential sources of bias and error as well as discussion on the impact that NHS performance management may have on reported data. This is available here </w:t>
            </w:r>
          </w:p>
          <w:p w14:paraId="457AE735" w14:textId="6D4CA023" w:rsidR="00544C08" w:rsidRPr="008D3DFD" w:rsidRDefault="00544C08" w:rsidP="00544C08">
            <w:pPr>
              <w:autoSpaceDE w:val="0"/>
              <w:autoSpaceDN w:val="0"/>
              <w:adjustRightInd w:val="0"/>
              <w:rPr>
                <w:rFonts w:ascii="Arial" w:hAnsi="Arial" w:cs="Arial"/>
              </w:rPr>
            </w:pPr>
            <w:r w:rsidRPr="008D3DFD">
              <w:rPr>
                <w:rFonts w:ascii="Arial" w:hAnsi="Arial" w:cs="Arial"/>
              </w:rPr>
              <w:t>Please also see section 5.9 on ‘Evidence of variability’</w:t>
            </w:r>
          </w:p>
        </w:tc>
      </w:tr>
      <w:tr w:rsidR="008D3DFD" w:rsidRPr="008D3DFD" w14:paraId="362F649C" w14:textId="77777777" w:rsidTr="00544C08">
        <w:tc>
          <w:tcPr>
            <w:tcW w:w="1882" w:type="dxa"/>
          </w:tcPr>
          <w:p w14:paraId="5E4C5A24" w14:textId="6C45B5D2" w:rsidR="00544C08" w:rsidRPr="008D3DFD" w:rsidRDefault="00544C08" w:rsidP="00544C08">
            <w:pPr>
              <w:autoSpaceDE w:val="0"/>
              <w:autoSpaceDN w:val="0"/>
              <w:adjustRightInd w:val="0"/>
              <w:rPr>
                <w:rFonts w:ascii="Arial" w:hAnsi="Arial" w:cs="Arial"/>
                <w:b/>
                <w:bCs/>
              </w:rPr>
            </w:pPr>
            <w:r w:rsidRPr="008D3DFD">
              <w:rPr>
                <w:rFonts w:ascii="Arial" w:hAnsi="Arial" w:cs="Arial"/>
                <w:b/>
                <w:bCs/>
              </w:rPr>
              <w:t>5.7. Improvement actions</w:t>
            </w:r>
          </w:p>
        </w:tc>
        <w:tc>
          <w:tcPr>
            <w:tcW w:w="23700" w:type="dxa"/>
          </w:tcPr>
          <w:p w14:paraId="1A0993B2"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Mandatory HCAI surveillance outputs are used to monitor progress on controlling key health care associated infections and for providing epidemiological evidence to inform action to reduce them. </w:t>
            </w:r>
          </w:p>
          <w:p w14:paraId="7C73D3CD"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Data are used to support the NHS objective of improving the quality and safety of services and promoting patient choice by providing access to </w:t>
            </w:r>
          </w:p>
          <w:p w14:paraId="02914BE6" w14:textId="77777777" w:rsidR="00544C08" w:rsidRPr="008D3DFD" w:rsidRDefault="00544C08" w:rsidP="00544C08">
            <w:pPr>
              <w:pStyle w:val="Default"/>
              <w:rPr>
                <w:color w:val="auto"/>
                <w:sz w:val="22"/>
                <w:szCs w:val="22"/>
              </w:rPr>
            </w:pPr>
            <w:r w:rsidRPr="008D3DFD">
              <w:rPr>
                <w:color w:val="auto"/>
                <w:sz w:val="22"/>
                <w:szCs w:val="22"/>
              </w:rPr>
              <w:t xml:space="preserve">information on NHS performance. </w:t>
            </w:r>
          </w:p>
          <w:p w14:paraId="1B1963BD" w14:textId="77777777" w:rsidR="00544C08" w:rsidRPr="008D3DFD" w:rsidRDefault="00544C08" w:rsidP="00544C08">
            <w:pPr>
              <w:pStyle w:val="Default"/>
              <w:rPr>
                <w:color w:val="auto"/>
                <w:sz w:val="22"/>
                <w:szCs w:val="22"/>
              </w:rPr>
            </w:pPr>
            <w:r w:rsidRPr="008D3DFD">
              <w:rPr>
                <w:color w:val="auto"/>
                <w:sz w:val="22"/>
                <w:szCs w:val="22"/>
              </w:rPr>
              <w:t xml:space="preserve">Data are used for various benchmarking purposes. Hospital infection control teams use the data to prepare benchmarking information for providers within their area. PHE also run and maintain a centralised benchmarking dashboard which allows users to compare a specific organisation (for example an NHS acute Trust) against a selection of other user-specified Trusts. This report can display both counts and rates for the selected time period and is available. Further details on the benchmarking dashboard are available here. </w:t>
            </w:r>
          </w:p>
          <w:p w14:paraId="38141172" w14:textId="77777777" w:rsidR="00544C08" w:rsidRPr="008D3DFD" w:rsidRDefault="00544C08" w:rsidP="00544C08">
            <w:pPr>
              <w:pStyle w:val="Default"/>
              <w:rPr>
                <w:color w:val="auto"/>
                <w:sz w:val="22"/>
                <w:szCs w:val="22"/>
              </w:rPr>
            </w:pPr>
            <w:r w:rsidRPr="008D3DFD">
              <w:rPr>
                <w:color w:val="auto"/>
                <w:sz w:val="22"/>
                <w:szCs w:val="22"/>
              </w:rPr>
              <w:t xml:space="preserve">Data are also used for the performance management of CDI objectives set by NHS Improvement. This helps enable acute trusts and CCGs make continuous improvement in Clostridium difficile infection care. </w:t>
            </w:r>
          </w:p>
          <w:p w14:paraId="74EE0D57" w14:textId="77777777" w:rsidR="00544C08" w:rsidRPr="008D3DFD" w:rsidRDefault="00544C08" w:rsidP="00544C08">
            <w:pPr>
              <w:autoSpaceDE w:val="0"/>
              <w:autoSpaceDN w:val="0"/>
              <w:adjustRightInd w:val="0"/>
              <w:rPr>
                <w:rFonts w:ascii="Arial" w:hAnsi="Arial" w:cs="Arial"/>
              </w:rPr>
            </w:pPr>
            <w:r w:rsidRPr="008D3DFD">
              <w:rPr>
                <w:rFonts w:ascii="Arial" w:hAnsi="Arial" w:cs="Arial"/>
              </w:rPr>
              <w:t xml:space="preserve">Resources for acute trusts and CCGS are available from: </w:t>
            </w:r>
          </w:p>
          <w:p w14:paraId="6B82B505" w14:textId="77777777" w:rsidR="00544C08" w:rsidRPr="008D3DFD" w:rsidRDefault="00544C08" w:rsidP="00544C08">
            <w:pPr>
              <w:pStyle w:val="Default"/>
              <w:rPr>
                <w:color w:val="auto"/>
                <w:sz w:val="22"/>
                <w:szCs w:val="22"/>
              </w:rPr>
            </w:pPr>
            <w:r w:rsidRPr="008D3DFD">
              <w:rPr>
                <w:color w:val="auto"/>
                <w:sz w:val="22"/>
                <w:szCs w:val="22"/>
              </w:rPr>
              <w:t xml:space="preserve">https://improvement.nhs.uk/resources/clostridium-difficile-infection-objectives/ </w:t>
            </w:r>
          </w:p>
          <w:p w14:paraId="106768BF" w14:textId="77777777" w:rsidR="00544C08" w:rsidRPr="008D3DFD" w:rsidRDefault="00544C08" w:rsidP="00544C08">
            <w:pPr>
              <w:pStyle w:val="Default"/>
              <w:rPr>
                <w:color w:val="auto"/>
                <w:sz w:val="22"/>
                <w:szCs w:val="22"/>
              </w:rPr>
            </w:pPr>
            <w:r w:rsidRPr="008D3DFD">
              <w:rPr>
                <w:color w:val="auto"/>
                <w:sz w:val="22"/>
                <w:szCs w:val="22"/>
              </w:rPr>
              <w:t xml:space="preserve">This includes Clostridium difficile infection assessment tool and action plan guidance, available from here. </w:t>
            </w:r>
          </w:p>
          <w:p w14:paraId="6A2A1876" w14:textId="77777777" w:rsidR="00544C08" w:rsidRPr="008D3DFD" w:rsidRDefault="00544C08" w:rsidP="00544C08">
            <w:pPr>
              <w:pStyle w:val="Default"/>
              <w:rPr>
                <w:color w:val="auto"/>
                <w:sz w:val="22"/>
                <w:szCs w:val="22"/>
              </w:rPr>
            </w:pPr>
          </w:p>
          <w:p w14:paraId="6BF96618" w14:textId="77777777" w:rsidR="00544C08" w:rsidRPr="008D3DFD" w:rsidRDefault="00544C08" w:rsidP="00544C08">
            <w:pPr>
              <w:pStyle w:val="Default"/>
              <w:rPr>
                <w:color w:val="auto"/>
                <w:sz w:val="22"/>
                <w:szCs w:val="22"/>
              </w:rPr>
            </w:pPr>
          </w:p>
          <w:p w14:paraId="59CE90E4" w14:textId="77777777" w:rsidR="00544C08" w:rsidRPr="008D3DFD" w:rsidRDefault="00544C08" w:rsidP="00544C08">
            <w:pPr>
              <w:pStyle w:val="Default"/>
              <w:rPr>
                <w:color w:val="auto"/>
                <w:sz w:val="22"/>
                <w:szCs w:val="22"/>
              </w:rPr>
            </w:pPr>
          </w:p>
          <w:p w14:paraId="64996380" w14:textId="77777777" w:rsidR="00544C08" w:rsidRPr="008D3DFD" w:rsidRDefault="00544C08" w:rsidP="00544C08">
            <w:pPr>
              <w:pStyle w:val="Default"/>
              <w:rPr>
                <w:color w:val="auto"/>
                <w:sz w:val="22"/>
                <w:szCs w:val="22"/>
              </w:rPr>
            </w:pPr>
            <w:r w:rsidRPr="008D3DFD">
              <w:rPr>
                <w:color w:val="auto"/>
                <w:sz w:val="22"/>
                <w:szCs w:val="22"/>
              </w:rPr>
              <w:t xml:space="preserve">Organisations are able to use this assessment tool to identify risk factors and good practice in CDI prevention and control, as well as to monitor progress against objectives, in order to reduce infections locally. Mandatory surveillance outputs are routinely used to appraise local/regional NHS management of infection levels within their area. </w:t>
            </w:r>
          </w:p>
          <w:p w14:paraId="6B8B1C2F" w14:textId="77777777" w:rsidR="00544C08" w:rsidRPr="008D3DFD" w:rsidRDefault="00544C08" w:rsidP="00544C08">
            <w:pPr>
              <w:pStyle w:val="Default"/>
              <w:rPr>
                <w:color w:val="auto"/>
                <w:sz w:val="22"/>
                <w:szCs w:val="22"/>
              </w:rPr>
            </w:pPr>
            <w:r w:rsidRPr="008D3DFD">
              <w:rPr>
                <w:color w:val="auto"/>
                <w:sz w:val="22"/>
                <w:szCs w:val="22"/>
              </w:rPr>
              <w:t xml:space="preserve">A further document titled Clostridium difficile infection objectives 2017/18 and guidance on sanction implementation is available from here. </w:t>
            </w:r>
            <w:r w:rsidRPr="008D3DFD">
              <w:rPr>
                <w:rFonts w:eastAsia="Times New Roman"/>
                <w:color w:val="auto"/>
                <w:sz w:val="22"/>
                <w:szCs w:val="22"/>
              </w:rPr>
              <w:t xml:space="preserve">Document available on request by email to </w:t>
            </w:r>
            <w:hyperlink r:id="rId7" w:history="1">
              <w:r w:rsidRPr="008D3DFD">
                <w:rPr>
                  <w:rStyle w:val="Hyperlink"/>
                  <w:rFonts w:eastAsia="Times New Roman"/>
                  <w:color w:val="auto"/>
                  <w:sz w:val="22"/>
                  <w:szCs w:val="22"/>
                </w:rPr>
                <w:t>indicators@nice.org.uk</w:t>
              </w:r>
            </w:hyperlink>
            <w:r w:rsidRPr="008D3DFD">
              <w:rPr>
                <w:color w:val="auto"/>
                <w:sz w:val="22"/>
                <w:szCs w:val="22"/>
              </w:rPr>
              <w:t xml:space="preserve">. </w:t>
            </w:r>
          </w:p>
          <w:p w14:paraId="322AFCC2" w14:textId="52C52C7C" w:rsidR="00544C08" w:rsidRPr="008D3DFD" w:rsidRDefault="00544C08" w:rsidP="00544C08">
            <w:pPr>
              <w:autoSpaceDE w:val="0"/>
              <w:autoSpaceDN w:val="0"/>
              <w:adjustRightInd w:val="0"/>
              <w:rPr>
                <w:rFonts w:ascii="Arial" w:hAnsi="Arial" w:cs="Arial"/>
              </w:rPr>
            </w:pPr>
            <w:r w:rsidRPr="008D3DFD">
              <w:rPr>
                <w:rFonts w:ascii="Arial" w:hAnsi="Arial" w:cs="Arial"/>
              </w:rPr>
              <w:lastRenderedPageBreak/>
              <w:t>These data are also used to inform patient choice via the NHS Choices website.</w:t>
            </w:r>
          </w:p>
        </w:tc>
      </w:tr>
      <w:tr w:rsidR="008D3DFD" w:rsidRPr="008D3DFD" w14:paraId="77AC461F" w14:textId="77777777" w:rsidTr="00544C08">
        <w:tc>
          <w:tcPr>
            <w:tcW w:w="1882" w:type="dxa"/>
          </w:tcPr>
          <w:p w14:paraId="7B304E71" w14:textId="40A1081B" w:rsidR="008D3DFD" w:rsidRPr="008D3DFD" w:rsidRDefault="008D3DFD" w:rsidP="00544C08">
            <w:pPr>
              <w:autoSpaceDE w:val="0"/>
              <w:autoSpaceDN w:val="0"/>
              <w:adjustRightInd w:val="0"/>
              <w:rPr>
                <w:rFonts w:ascii="Arial" w:hAnsi="Arial" w:cs="Arial"/>
                <w:b/>
                <w:bCs/>
              </w:rPr>
            </w:pPr>
            <w:r w:rsidRPr="008D3DFD">
              <w:rPr>
                <w:rFonts w:ascii="Arial" w:hAnsi="Arial" w:cs="Arial"/>
                <w:b/>
                <w:bCs/>
              </w:rPr>
              <w:lastRenderedPageBreak/>
              <w:t>5.9. Evidence of variability</w:t>
            </w:r>
          </w:p>
        </w:tc>
        <w:tc>
          <w:tcPr>
            <w:tcW w:w="23700" w:type="dxa"/>
          </w:tcPr>
          <w:p w14:paraId="073E2F61" w14:textId="07511FEE" w:rsidR="008D3DFD" w:rsidRPr="008D3DFD" w:rsidRDefault="008D3DFD" w:rsidP="00544C08">
            <w:pPr>
              <w:autoSpaceDE w:val="0"/>
              <w:autoSpaceDN w:val="0"/>
              <w:adjustRightInd w:val="0"/>
              <w:rPr>
                <w:rFonts w:ascii="Arial" w:hAnsi="Arial" w:cs="Arial"/>
              </w:rPr>
            </w:pPr>
            <w:r w:rsidRPr="008D3DFD">
              <w:rPr>
                <w:rFonts w:ascii="Arial" w:hAnsi="Arial" w:cs="Arial"/>
              </w:rPr>
              <w:t>Fluctuations in the data can occur for a number of reasons and high fluctuations may not necessarily indicate an outbreak - for instance, organisational changes, variations in the patient populations being treated and seasonality can also cause large variation in counts. Consideration of the numbers without the context cannot indicate the reasons or the significance of the fluctuations</w:t>
            </w:r>
          </w:p>
        </w:tc>
      </w:tr>
    </w:tbl>
    <w:p w14:paraId="65718BE2" w14:textId="7FD82F38" w:rsidR="00544C08" w:rsidRPr="008D3DFD" w:rsidRDefault="00544C08">
      <w:pPr>
        <w:rPr>
          <w:rFonts w:ascii="Arial" w:hAnsi="Arial" w:cs="Arial"/>
        </w:rPr>
      </w:pPr>
      <w:r w:rsidRPr="008D3DFD">
        <w:rPr>
          <w:rFonts w:ascii="Arial" w:hAnsi="Arial" w:cs="Arial"/>
          <w:b/>
          <w:bCs/>
        </w:rPr>
        <w:t>Section 6. Risks</w:t>
      </w:r>
    </w:p>
    <w:tbl>
      <w:tblPr>
        <w:tblStyle w:val="TableGrid"/>
        <w:tblW w:w="25582" w:type="dxa"/>
        <w:tblLayout w:type="fixed"/>
        <w:tblLook w:val="04A0" w:firstRow="1" w:lastRow="0" w:firstColumn="1" w:lastColumn="0" w:noHBand="0" w:noVBand="1"/>
      </w:tblPr>
      <w:tblGrid>
        <w:gridCol w:w="1882"/>
        <w:gridCol w:w="23700"/>
      </w:tblGrid>
      <w:tr w:rsidR="008D3DFD" w:rsidRPr="008D3DFD" w14:paraId="39E8D1BD" w14:textId="77777777" w:rsidTr="00544C08">
        <w:tc>
          <w:tcPr>
            <w:tcW w:w="1882" w:type="dxa"/>
          </w:tcPr>
          <w:p w14:paraId="5F3B0B51" w14:textId="6ED6F521" w:rsidR="008D3DFD" w:rsidRPr="008D3DFD" w:rsidRDefault="008D3DFD" w:rsidP="00544C08">
            <w:pPr>
              <w:autoSpaceDE w:val="0"/>
              <w:autoSpaceDN w:val="0"/>
              <w:adjustRightInd w:val="0"/>
              <w:rPr>
                <w:rFonts w:ascii="Arial" w:hAnsi="Arial" w:cs="Arial"/>
                <w:b/>
                <w:bCs/>
              </w:rPr>
            </w:pPr>
            <w:r w:rsidRPr="008D3DFD">
              <w:rPr>
                <w:rFonts w:ascii="Arial" w:hAnsi="Arial" w:cs="Arial"/>
                <w:b/>
                <w:bCs/>
              </w:rPr>
              <w:t>6.1. Similar existing indicators</w:t>
            </w:r>
          </w:p>
        </w:tc>
        <w:tc>
          <w:tcPr>
            <w:tcW w:w="23700" w:type="dxa"/>
          </w:tcPr>
          <w:p w14:paraId="6CF045D7"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In addition to the identical C. difficile PHE data already publishes on its own website (https://www.gov.uk/government/statistics/clostridium-difficile-infection-monthly-data-by-attributed-clinical-commissioning-group), a similar indicator exists in the NHS Outcomes Framework (5.2.ii Incidence of healthcare-associated infection - C. difficile). These counts are however attributed to an acute trust (where possible) rather than to a CCG. 5.2.ii also provides national level counts which include all cases regardless of whether it was possible to attribute an individual to a particular acute trust. </w:t>
            </w:r>
          </w:p>
          <w:p w14:paraId="772DFA50" w14:textId="58B42903" w:rsidR="008D3DFD" w:rsidRPr="008D3DFD" w:rsidRDefault="008D3DFD" w:rsidP="008D3DFD">
            <w:pPr>
              <w:autoSpaceDE w:val="0"/>
              <w:autoSpaceDN w:val="0"/>
              <w:adjustRightInd w:val="0"/>
              <w:rPr>
                <w:rFonts w:ascii="Arial" w:hAnsi="Arial" w:cs="Arial"/>
              </w:rPr>
            </w:pPr>
            <w:r w:rsidRPr="008D3DFD">
              <w:rPr>
                <w:rFonts w:ascii="Arial" w:hAnsi="Arial" w:cs="Arial"/>
              </w:rPr>
              <w:t>This data is available on the Indicator Portal (https://indicators.hscic.gov.uk/webview/) reference P01792</w:t>
            </w:r>
          </w:p>
        </w:tc>
      </w:tr>
      <w:tr w:rsidR="008D3DFD" w:rsidRPr="008D3DFD" w14:paraId="60A13277" w14:textId="77777777" w:rsidTr="00544C08">
        <w:tc>
          <w:tcPr>
            <w:tcW w:w="1882" w:type="dxa"/>
          </w:tcPr>
          <w:p w14:paraId="7D9A5ABF" w14:textId="18468A43" w:rsidR="008D3DFD" w:rsidRPr="008D3DFD" w:rsidRDefault="008D3DFD" w:rsidP="00544C08">
            <w:pPr>
              <w:autoSpaceDE w:val="0"/>
              <w:autoSpaceDN w:val="0"/>
              <w:adjustRightInd w:val="0"/>
              <w:rPr>
                <w:rFonts w:ascii="Arial" w:hAnsi="Arial" w:cs="Arial"/>
                <w:b/>
                <w:bCs/>
              </w:rPr>
            </w:pPr>
            <w:bookmarkStart w:id="4" w:name="_Hlk35425039"/>
            <w:r w:rsidRPr="008D3DFD">
              <w:rPr>
                <w:rFonts w:ascii="Arial" w:hAnsi="Arial" w:cs="Arial"/>
                <w:b/>
                <w:bCs/>
              </w:rPr>
              <w:t>6.2. Coherence and comparability</w:t>
            </w:r>
          </w:p>
        </w:tc>
        <w:tc>
          <w:tcPr>
            <w:tcW w:w="23700" w:type="dxa"/>
          </w:tcPr>
          <w:p w14:paraId="70D48BB0"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Whilst this data shows the trend in the number of C. difficile infections in a CCG over a series of months, it does not provide a basis for reliable month on month comparisons. Please see section 5.9 on ‘Evidence of variability’ for more details. </w:t>
            </w:r>
          </w:p>
          <w:p w14:paraId="25985929" w14:textId="24FFD4A7" w:rsidR="008D3DFD" w:rsidRPr="008D3DFD" w:rsidRDefault="008D3DFD" w:rsidP="008D3DFD">
            <w:pPr>
              <w:autoSpaceDE w:val="0"/>
              <w:autoSpaceDN w:val="0"/>
              <w:adjustRightInd w:val="0"/>
              <w:rPr>
                <w:rFonts w:ascii="Arial" w:hAnsi="Arial" w:cs="Arial"/>
              </w:rPr>
            </w:pPr>
            <w:r w:rsidRPr="008D3DFD">
              <w:rPr>
                <w:rFonts w:ascii="Arial" w:hAnsi="Arial" w:cs="Arial"/>
              </w:rPr>
              <w:t>This data does not provide for comparisons between CCGs either. As mentioned previously, the C. difficile infection count has not been adjusted to give a standardised rate considering factors such as CCG demographics or case mix</w:t>
            </w:r>
          </w:p>
        </w:tc>
      </w:tr>
      <w:bookmarkEnd w:id="4"/>
      <w:tr w:rsidR="008D3DFD" w:rsidRPr="008D3DFD" w14:paraId="434839CD" w14:textId="77777777" w:rsidTr="00544C08">
        <w:tc>
          <w:tcPr>
            <w:tcW w:w="1882" w:type="dxa"/>
          </w:tcPr>
          <w:p w14:paraId="30B744CF" w14:textId="6225FF89" w:rsidR="008D3DFD" w:rsidRPr="008D3DFD" w:rsidRDefault="008D3DFD" w:rsidP="00544C08">
            <w:pPr>
              <w:autoSpaceDE w:val="0"/>
              <w:autoSpaceDN w:val="0"/>
              <w:adjustRightInd w:val="0"/>
              <w:rPr>
                <w:rFonts w:ascii="Arial" w:hAnsi="Arial" w:cs="Arial"/>
                <w:b/>
                <w:bCs/>
              </w:rPr>
            </w:pPr>
            <w:r w:rsidRPr="008D3DFD">
              <w:rPr>
                <w:rFonts w:ascii="Arial" w:hAnsi="Arial" w:cs="Arial"/>
                <w:b/>
                <w:bCs/>
              </w:rPr>
              <w:t>6.3. Undesired behaviours and/or gaming</w:t>
            </w:r>
          </w:p>
        </w:tc>
        <w:tc>
          <w:tcPr>
            <w:tcW w:w="23700" w:type="dxa"/>
          </w:tcPr>
          <w:p w14:paraId="3B5CB5EC"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The possibility of the following ‘unintended consequences’ arising was previously highlighted during the initial assurance of this indicator: </w:t>
            </w:r>
          </w:p>
          <w:p w14:paraId="6EBBE131" w14:textId="77777777" w:rsidR="008D3DFD" w:rsidRPr="008D3DFD" w:rsidRDefault="008D3DFD" w:rsidP="008D3DFD">
            <w:pPr>
              <w:numPr>
                <w:ilvl w:val="0"/>
                <w:numId w:val="9"/>
              </w:numPr>
              <w:autoSpaceDE w:val="0"/>
              <w:autoSpaceDN w:val="0"/>
              <w:adjustRightInd w:val="0"/>
              <w:rPr>
                <w:rFonts w:ascii="Arial" w:hAnsi="Arial" w:cs="Arial"/>
              </w:rPr>
            </w:pPr>
            <w:r w:rsidRPr="008D3DFD">
              <w:rPr>
                <w:rFonts w:ascii="Arial" w:hAnsi="Arial" w:cs="Arial"/>
              </w:rPr>
              <w:t xml:space="preserve">• Delayed testing of patients with diarrhoea for as long as possible, hoping to avoid a notified C. Difficile infection. </w:t>
            </w:r>
          </w:p>
          <w:p w14:paraId="38BB196D" w14:textId="77777777" w:rsidR="008D3DFD" w:rsidRPr="008D3DFD" w:rsidRDefault="008D3DFD" w:rsidP="008D3DFD">
            <w:pPr>
              <w:numPr>
                <w:ilvl w:val="0"/>
                <w:numId w:val="9"/>
              </w:numPr>
              <w:autoSpaceDE w:val="0"/>
              <w:autoSpaceDN w:val="0"/>
              <w:adjustRightInd w:val="0"/>
              <w:rPr>
                <w:rFonts w:ascii="Arial" w:hAnsi="Arial" w:cs="Arial"/>
              </w:rPr>
            </w:pPr>
            <w:r w:rsidRPr="008D3DFD">
              <w:rPr>
                <w:rFonts w:ascii="Arial" w:hAnsi="Arial" w:cs="Arial"/>
              </w:rPr>
              <w:t xml:space="preserve">• Treating patients without testing for infection. </w:t>
            </w:r>
          </w:p>
          <w:p w14:paraId="7CCB318D" w14:textId="77777777" w:rsidR="008D3DFD" w:rsidRPr="008D3DFD" w:rsidRDefault="008D3DFD" w:rsidP="008D3DFD">
            <w:pPr>
              <w:numPr>
                <w:ilvl w:val="0"/>
                <w:numId w:val="9"/>
              </w:numPr>
              <w:autoSpaceDE w:val="0"/>
              <w:autoSpaceDN w:val="0"/>
              <w:adjustRightInd w:val="0"/>
              <w:rPr>
                <w:rFonts w:ascii="Arial" w:hAnsi="Arial" w:cs="Arial"/>
              </w:rPr>
            </w:pPr>
            <w:r w:rsidRPr="008D3DFD">
              <w:rPr>
                <w:rFonts w:ascii="Arial" w:hAnsi="Arial" w:cs="Arial"/>
              </w:rPr>
              <w:t xml:space="preserve">• Not registering patients who have a history of susceptibility to HCAIs. </w:t>
            </w:r>
          </w:p>
          <w:p w14:paraId="1A38EEF4" w14:textId="77777777" w:rsidR="008D3DFD" w:rsidRPr="008D3DFD" w:rsidRDefault="008D3DFD" w:rsidP="008D3DFD">
            <w:pPr>
              <w:autoSpaceDE w:val="0"/>
              <w:autoSpaceDN w:val="0"/>
              <w:adjustRightInd w:val="0"/>
              <w:rPr>
                <w:rFonts w:ascii="Arial" w:hAnsi="Arial" w:cs="Arial"/>
              </w:rPr>
            </w:pPr>
          </w:p>
          <w:p w14:paraId="1533BC84"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Referring older people less to avoid HCAIs </w:t>
            </w:r>
          </w:p>
          <w:p w14:paraId="01D77FA3" w14:textId="7CD3DE6E" w:rsidR="008D3DFD" w:rsidRPr="008D3DFD" w:rsidRDefault="008D3DFD" w:rsidP="008D3DFD">
            <w:pPr>
              <w:autoSpaceDE w:val="0"/>
              <w:autoSpaceDN w:val="0"/>
              <w:adjustRightInd w:val="0"/>
              <w:rPr>
                <w:rFonts w:ascii="Arial" w:hAnsi="Arial" w:cs="Arial"/>
              </w:rPr>
            </w:pPr>
            <w:r w:rsidRPr="008D3DFD">
              <w:rPr>
                <w:rFonts w:ascii="Arial" w:hAnsi="Arial" w:cs="Arial"/>
              </w:rPr>
              <w:t>However, this indicator repackages data already published by PHE. If any of these behaviours occurred, it wouldn’t be because of this indicator being included in CCG OIS</w:t>
            </w:r>
          </w:p>
        </w:tc>
      </w:tr>
      <w:tr w:rsidR="008D3DFD" w:rsidRPr="008D3DFD" w14:paraId="68E0321B" w14:textId="77777777" w:rsidTr="00544C08">
        <w:tc>
          <w:tcPr>
            <w:tcW w:w="1882" w:type="dxa"/>
          </w:tcPr>
          <w:p w14:paraId="1D252561" w14:textId="0440FFED" w:rsidR="008D3DFD" w:rsidRPr="008D3DFD" w:rsidRDefault="008D3DFD" w:rsidP="008D3DFD">
            <w:pPr>
              <w:autoSpaceDE w:val="0"/>
              <w:autoSpaceDN w:val="0"/>
              <w:adjustRightInd w:val="0"/>
              <w:rPr>
                <w:rFonts w:ascii="Arial" w:hAnsi="Arial" w:cs="Arial"/>
                <w:b/>
                <w:bCs/>
              </w:rPr>
            </w:pPr>
            <w:r w:rsidRPr="008D3DFD">
              <w:rPr>
                <w:rFonts w:ascii="Arial" w:hAnsi="Arial" w:cs="Arial"/>
                <w:b/>
                <w:bCs/>
              </w:rPr>
              <w:t>6.4. Approach to indicator review</w:t>
            </w:r>
          </w:p>
        </w:tc>
        <w:tc>
          <w:tcPr>
            <w:tcW w:w="23700" w:type="dxa"/>
          </w:tcPr>
          <w:p w14:paraId="4AB6BF18"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As this indicator was previously given the assurance rating ‘no significant issues on the basis of completion of outstanding actions’, the previous review period was set to three years. Following this indicator review, the review period will be set by the Indicator Governance Board (IGB). Prior to the review period lapsing the Indicator and Methodology Assurance Service (IMAS) will liaise with the Clinical Indicators (CI) team to initiate the review process. </w:t>
            </w:r>
          </w:p>
          <w:p w14:paraId="5FCDEB8C"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User feedback and comments on this indicator are welcomed via</w:t>
            </w:r>
          </w:p>
          <w:p w14:paraId="79D24AB3" w14:textId="77777777" w:rsidR="008D3DFD" w:rsidRPr="008D3DFD" w:rsidRDefault="008D3DFD" w:rsidP="008D3DFD">
            <w:pPr>
              <w:autoSpaceDE w:val="0"/>
              <w:autoSpaceDN w:val="0"/>
              <w:adjustRightInd w:val="0"/>
              <w:rPr>
                <w:rFonts w:ascii="Arial" w:hAnsi="Arial" w:cs="Arial"/>
              </w:rPr>
            </w:pPr>
          </w:p>
          <w:p w14:paraId="1388A400" w14:textId="77777777" w:rsidR="008D3DFD" w:rsidRPr="008D3DFD" w:rsidRDefault="008D3DFD" w:rsidP="008D3DFD">
            <w:pPr>
              <w:pStyle w:val="Default"/>
              <w:rPr>
                <w:color w:val="auto"/>
                <w:sz w:val="22"/>
                <w:szCs w:val="22"/>
              </w:rPr>
            </w:pPr>
            <w:r w:rsidRPr="008D3DFD">
              <w:rPr>
                <w:color w:val="auto"/>
                <w:sz w:val="22"/>
                <w:szCs w:val="22"/>
              </w:rPr>
              <w:t xml:space="preserve">NHS Digital Enquiries enquiries@nhsdigital.nhs.uk or the Clinical Indicators mailbox clinical.indicators@nhs.net </w:t>
            </w:r>
          </w:p>
          <w:p w14:paraId="7C0847EC" w14:textId="77777777" w:rsidR="008D3DFD" w:rsidRPr="008D3DFD" w:rsidRDefault="008D3DFD" w:rsidP="008D3DFD">
            <w:pPr>
              <w:pStyle w:val="Default"/>
              <w:rPr>
                <w:color w:val="auto"/>
                <w:sz w:val="22"/>
                <w:szCs w:val="22"/>
              </w:rPr>
            </w:pPr>
            <w:r w:rsidRPr="008D3DFD">
              <w:rPr>
                <w:color w:val="auto"/>
                <w:sz w:val="22"/>
                <w:szCs w:val="22"/>
              </w:rPr>
              <w:t xml:space="preserve">User needs and feedback will be taken into consideration during this assurance process. However, no feedback has been received from users of the data about this specific indicator Despite this, the indicator remains in Domain 5 of CCG OIS. </w:t>
            </w:r>
          </w:p>
          <w:p w14:paraId="64BC2437" w14:textId="77777777" w:rsidR="008D3DFD" w:rsidRPr="008D3DFD" w:rsidRDefault="008D3DFD" w:rsidP="008D3DFD">
            <w:pPr>
              <w:pStyle w:val="Default"/>
              <w:rPr>
                <w:color w:val="auto"/>
                <w:sz w:val="22"/>
                <w:szCs w:val="22"/>
              </w:rPr>
            </w:pPr>
            <w:r w:rsidRPr="008D3DFD">
              <w:rPr>
                <w:color w:val="auto"/>
                <w:sz w:val="22"/>
                <w:szCs w:val="22"/>
              </w:rPr>
              <w:t xml:space="preserve">To try and improve customer feedback all data teams in NHS Digital are undertaking customer satisfaction surveys and are sending the following link to all customers to give them the opportunity to provide customer feedback </w:t>
            </w:r>
          </w:p>
          <w:p w14:paraId="20C63902"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http://bit.ly/CustomerSatisfactionSurveyClinicalIndicators </w:t>
            </w:r>
          </w:p>
          <w:p w14:paraId="3517B0A3" w14:textId="77777777" w:rsidR="008D3DFD" w:rsidRPr="008D3DFD" w:rsidRDefault="008D3DFD" w:rsidP="008D3DFD">
            <w:pPr>
              <w:autoSpaceDE w:val="0"/>
              <w:autoSpaceDN w:val="0"/>
              <w:adjustRightInd w:val="0"/>
              <w:rPr>
                <w:rFonts w:ascii="Arial" w:hAnsi="Arial" w:cs="Arial"/>
              </w:rPr>
            </w:pPr>
          </w:p>
        </w:tc>
      </w:tr>
      <w:tr w:rsidR="008D3DFD" w:rsidRPr="008D3DFD" w14:paraId="0A58C98B" w14:textId="77777777" w:rsidTr="00544C08">
        <w:tc>
          <w:tcPr>
            <w:tcW w:w="1882" w:type="dxa"/>
          </w:tcPr>
          <w:p w14:paraId="4E22A5A3" w14:textId="6CACB6EC" w:rsidR="008D3DFD" w:rsidRPr="008D3DFD" w:rsidRDefault="008D3DFD" w:rsidP="008D3DFD">
            <w:pPr>
              <w:autoSpaceDE w:val="0"/>
              <w:autoSpaceDN w:val="0"/>
              <w:adjustRightInd w:val="0"/>
              <w:rPr>
                <w:rFonts w:ascii="Arial" w:hAnsi="Arial" w:cs="Arial"/>
                <w:b/>
                <w:bCs/>
              </w:rPr>
            </w:pPr>
            <w:r w:rsidRPr="008D3DFD">
              <w:rPr>
                <w:rFonts w:ascii="Arial" w:hAnsi="Arial" w:cs="Arial"/>
                <w:b/>
                <w:bCs/>
              </w:rPr>
              <w:t>6.5. Disclosure control</w:t>
            </w:r>
          </w:p>
        </w:tc>
        <w:tc>
          <w:tcPr>
            <w:tcW w:w="23700" w:type="dxa"/>
          </w:tcPr>
          <w:p w14:paraId="223946AB" w14:textId="4B8D8DE6" w:rsidR="008D3DFD" w:rsidRPr="008D3DFD" w:rsidRDefault="008D3DFD" w:rsidP="008D3DFD">
            <w:pPr>
              <w:autoSpaceDE w:val="0"/>
              <w:autoSpaceDN w:val="0"/>
              <w:adjustRightInd w:val="0"/>
              <w:rPr>
                <w:rFonts w:ascii="Arial" w:hAnsi="Arial" w:cs="Arial"/>
              </w:rPr>
            </w:pPr>
            <w:r w:rsidRPr="008D3DFD">
              <w:rPr>
                <w:rFonts w:ascii="Arial" w:hAnsi="Arial" w:cs="Arial"/>
              </w:rPr>
              <w:t>No disclosure control is applied to this indicator. All figures have already been made publicly available by PHE. Counts are not rounded before publication</w:t>
            </w:r>
          </w:p>
        </w:tc>
      </w:tr>
    </w:tbl>
    <w:p w14:paraId="626CBAB0" w14:textId="72B99535" w:rsidR="00E15F62" w:rsidRPr="008D3DFD" w:rsidRDefault="00E15F62" w:rsidP="00E15F62">
      <w:pPr>
        <w:autoSpaceDE w:val="0"/>
        <w:autoSpaceDN w:val="0"/>
        <w:adjustRightInd w:val="0"/>
        <w:spacing w:after="0" w:line="240" w:lineRule="auto"/>
        <w:rPr>
          <w:rFonts w:ascii="Arial" w:hAnsi="Arial" w:cs="Arial"/>
        </w:rPr>
      </w:pPr>
    </w:p>
    <w:p w14:paraId="5F13E467" w14:textId="77777777" w:rsidR="00E15F62" w:rsidRPr="008D3DFD" w:rsidRDefault="00E15F62" w:rsidP="00E15F62">
      <w:pPr>
        <w:autoSpaceDE w:val="0"/>
        <w:autoSpaceDN w:val="0"/>
        <w:adjustRightInd w:val="0"/>
        <w:spacing w:after="0" w:line="240" w:lineRule="auto"/>
        <w:rPr>
          <w:rFonts w:ascii="Arial" w:hAnsi="Arial" w:cs="Arial"/>
        </w:rPr>
      </w:pPr>
    </w:p>
    <w:tbl>
      <w:tblPr>
        <w:tblStyle w:val="TableGrid"/>
        <w:tblW w:w="0" w:type="auto"/>
        <w:tblLayout w:type="fixed"/>
        <w:tblLook w:val="0020" w:firstRow="1" w:lastRow="0" w:firstColumn="0" w:lastColumn="0" w:noHBand="0" w:noVBand="0"/>
      </w:tblPr>
      <w:tblGrid>
        <w:gridCol w:w="9475"/>
      </w:tblGrid>
      <w:tr w:rsidR="008D3DFD" w:rsidRPr="008D3DFD" w14:paraId="1EB2B5E8" w14:textId="77777777" w:rsidTr="008D3DFD">
        <w:trPr>
          <w:trHeight w:val="360"/>
        </w:trPr>
        <w:tc>
          <w:tcPr>
            <w:tcW w:w="9475" w:type="dxa"/>
          </w:tcPr>
          <w:p w14:paraId="0042D359" w14:textId="3385916F" w:rsidR="00E15F62" w:rsidRPr="008D3DFD" w:rsidRDefault="00E15F62" w:rsidP="00E15F62">
            <w:pPr>
              <w:autoSpaceDE w:val="0"/>
              <w:autoSpaceDN w:val="0"/>
              <w:adjustRightInd w:val="0"/>
              <w:jc w:val="center"/>
              <w:rPr>
                <w:rFonts w:ascii="Arial" w:hAnsi="Arial" w:cs="Arial"/>
              </w:rPr>
            </w:pPr>
            <w:r w:rsidRPr="008D3DFD">
              <w:rPr>
                <w:rFonts w:ascii="Arial" w:hAnsi="Arial" w:cs="Arial"/>
              </w:rPr>
              <w:t>Indicator Assurance Report</w:t>
            </w:r>
          </w:p>
        </w:tc>
      </w:tr>
      <w:tr w:rsidR="008D3DFD" w:rsidRPr="008D3DFD" w14:paraId="1CCF615B" w14:textId="77777777" w:rsidTr="008D3DFD">
        <w:trPr>
          <w:trHeight w:val="408"/>
        </w:trPr>
        <w:tc>
          <w:tcPr>
            <w:tcW w:w="9475" w:type="dxa"/>
          </w:tcPr>
          <w:p w14:paraId="7D49C80D" w14:textId="262922CC" w:rsidR="00E15F62" w:rsidRPr="008D3DFD" w:rsidRDefault="00E15F62" w:rsidP="00E15F62">
            <w:pPr>
              <w:autoSpaceDE w:val="0"/>
              <w:autoSpaceDN w:val="0"/>
              <w:adjustRightInd w:val="0"/>
              <w:jc w:val="center"/>
              <w:rPr>
                <w:rFonts w:ascii="Arial" w:hAnsi="Arial" w:cs="Arial"/>
                <w:b/>
                <w:bCs/>
              </w:rPr>
            </w:pPr>
            <w:r w:rsidRPr="008D3DFD">
              <w:rPr>
                <w:rFonts w:ascii="Arial" w:hAnsi="Arial" w:cs="Arial"/>
                <w:b/>
                <w:bCs/>
              </w:rPr>
              <w:t>Incidence of Healthcare Associated Infection (HCAI)</w:t>
            </w:r>
          </w:p>
          <w:p w14:paraId="48F93E14" w14:textId="1A7EB826" w:rsidR="00E15F62" w:rsidRPr="008D3DFD" w:rsidRDefault="00E15F62" w:rsidP="00E15F62">
            <w:pPr>
              <w:autoSpaceDE w:val="0"/>
              <w:autoSpaceDN w:val="0"/>
              <w:adjustRightInd w:val="0"/>
              <w:jc w:val="center"/>
              <w:rPr>
                <w:rFonts w:ascii="Arial" w:hAnsi="Arial" w:cs="Arial"/>
              </w:rPr>
            </w:pPr>
            <w:r w:rsidRPr="008D3DFD">
              <w:rPr>
                <w:rFonts w:ascii="Arial" w:hAnsi="Arial" w:cs="Arial"/>
                <w:b/>
                <w:bCs/>
              </w:rPr>
              <w:lastRenderedPageBreak/>
              <w:t>- C. difficile infection</w:t>
            </w:r>
          </w:p>
        </w:tc>
      </w:tr>
      <w:tr w:rsidR="008D3DFD" w:rsidRPr="008D3DFD" w14:paraId="764290CA" w14:textId="77777777" w:rsidTr="008D3DFD">
        <w:trPr>
          <w:trHeight w:val="144"/>
        </w:trPr>
        <w:tc>
          <w:tcPr>
            <w:tcW w:w="9475" w:type="dxa"/>
          </w:tcPr>
          <w:p w14:paraId="2CA698D4" w14:textId="32EF196F" w:rsidR="00E15F62" w:rsidRPr="008D3DFD" w:rsidRDefault="00E15F62" w:rsidP="00E15F62">
            <w:pPr>
              <w:autoSpaceDE w:val="0"/>
              <w:autoSpaceDN w:val="0"/>
              <w:adjustRightInd w:val="0"/>
              <w:jc w:val="center"/>
              <w:rPr>
                <w:rFonts w:ascii="Arial" w:hAnsi="Arial" w:cs="Arial"/>
                <w:b/>
                <w:bCs/>
              </w:rPr>
            </w:pPr>
            <w:r w:rsidRPr="008D3DFD">
              <w:rPr>
                <w:rFonts w:ascii="Arial" w:hAnsi="Arial" w:cs="Arial"/>
              </w:rPr>
              <w:lastRenderedPageBreak/>
              <w:br w:type="page"/>
            </w:r>
            <w:r w:rsidR="004E7B0D" w:rsidRPr="008D3DFD">
              <w:rPr>
                <w:rFonts w:ascii="Arial" w:hAnsi="Arial" w:cs="Arial"/>
                <w:b/>
                <w:bCs/>
              </w:rPr>
              <w:t>IAP00141</w:t>
            </w:r>
          </w:p>
          <w:p w14:paraId="5AD69C99" w14:textId="574F6F05" w:rsidR="00E15F62" w:rsidRPr="008D3DFD" w:rsidRDefault="00E15F62" w:rsidP="00E15F62">
            <w:pPr>
              <w:autoSpaceDE w:val="0"/>
              <w:autoSpaceDN w:val="0"/>
              <w:adjustRightInd w:val="0"/>
              <w:jc w:val="center"/>
              <w:rPr>
                <w:rFonts w:ascii="Arial" w:hAnsi="Arial" w:cs="Arial"/>
              </w:rPr>
            </w:pPr>
          </w:p>
        </w:tc>
      </w:tr>
    </w:tbl>
    <w:p w14:paraId="06254892" w14:textId="77777777" w:rsidR="00F76FBC" w:rsidRPr="008D3DFD" w:rsidRDefault="00F76FBC" w:rsidP="00E15F62">
      <w:pPr>
        <w:autoSpaceDE w:val="0"/>
        <w:autoSpaceDN w:val="0"/>
        <w:adjustRightInd w:val="0"/>
        <w:spacing w:after="0" w:line="240" w:lineRule="auto"/>
        <w:rPr>
          <w:rFonts w:ascii="Arial" w:hAnsi="Arial" w:cs="Arial"/>
          <w:b/>
          <w:bCs/>
        </w:rPr>
      </w:pPr>
    </w:p>
    <w:p w14:paraId="08BCE6A5" w14:textId="1F302180" w:rsidR="005F0BB3" w:rsidRPr="008D3DFD" w:rsidRDefault="00E15F62" w:rsidP="00E15F62">
      <w:pPr>
        <w:autoSpaceDE w:val="0"/>
        <w:autoSpaceDN w:val="0"/>
        <w:adjustRightInd w:val="0"/>
        <w:spacing w:after="0" w:line="240" w:lineRule="auto"/>
        <w:rPr>
          <w:rFonts w:ascii="Arial" w:hAnsi="Arial" w:cs="Arial"/>
          <w:b/>
          <w:bCs/>
        </w:rPr>
      </w:pPr>
      <w:r w:rsidRPr="008D3DFD">
        <w:rPr>
          <w:rFonts w:ascii="Arial" w:hAnsi="Arial" w:cs="Arial"/>
          <w:b/>
          <w:bCs/>
        </w:rPr>
        <w:t xml:space="preserve">Assurance Record IAP00141 </w:t>
      </w:r>
    </w:p>
    <w:p w14:paraId="703EBDD8" w14:textId="707A5ADC" w:rsidR="005F0BB3" w:rsidRPr="008D3DFD" w:rsidRDefault="005F0BB3" w:rsidP="00E15F62">
      <w:pPr>
        <w:autoSpaceDE w:val="0"/>
        <w:autoSpaceDN w:val="0"/>
        <w:adjustRightInd w:val="0"/>
        <w:spacing w:after="0" w:line="240" w:lineRule="auto"/>
        <w:rPr>
          <w:rFonts w:ascii="Arial" w:hAnsi="Arial" w:cs="Arial"/>
          <w:b/>
          <w:bCs/>
        </w:rPr>
      </w:pPr>
    </w:p>
    <w:p w14:paraId="18428F09" w14:textId="212E52D9" w:rsidR="00E15F62" w:rsidRPr="008D3DFD" w:rsidRDefault="00F76FBC" w:rsidP="00E15F62">
      <w:pPr>
        <w:autoSpaceDE w:val="0"/>
        <w:autoSpaceDN w:val="0"/>
        <w:adjustRightInd w:val="0"/>
        <w:spacing w:after="0" w:line="240" w:lineRule="auto"/>
        <w:rPr>
          <w:rFonts w:ascii="Arial" w:hAnsi="Arial" w:cs="Arial"/>
        </w:rPr>
      </w:pPr>
      <w:r w:rsidRPr="008D3DFD">
        <w:rPr>
          <w:rFonts w:ascii="Arial" w:hAnsi="Arial" w:cs="Arial"/>
          <w:b/>
          <w:bCs/>
        </w:rPr>
        <w:t>I</w:t>
      </w:r>
      <w:r w:rsidR="00E15F62" w:rsidRPr="008D3DFD">
        <w:rPr>
          <w:rFonts w:ascii="Arial" w:hAnsi="Arial" w:cs="Arial"/>
          <w:b/>
          <w:bCs/>
        </w:rPr>
        <w:t xml:space="preserve">ncidence of Healthcare Associated Infection (HCAI) - C. difficile infection </w:t>
      </w:r>
    </w:p>
    <w:p w14:paraId="4C76019E" w14:textId="6ACDE506" w:rsidR="00E15F62" w:rsidRPr="008D3DFD" w:rsidRDefault="00E15F62" w:rsidP="00E15F62">
      <w:pPr>
        <w:autoSpaceDE w:val="0"/>
        <w:autoSpaceDN w:val="0"/>
        <w:adjustRightInd w:val="0"/>
        <w:spacing w:after="0" w:line="240" w:lineRule="auto"/>
        <w:rPr>
          <w:rFonts w:ascii="Arial" w:hAnsi="Arial" w:cs="Arial"/>
        </w:rPr>
      </w:pPr>
    </w:p>
    <w:tbl>
      <w:tblPr>
        <w:tblStyle w:val="TableGrid"/>
        <w:tblW w:w="11380" w:type="dxa"/>
        <w:tblLayout w:type="fixed"/>
        <w:tblLook w:val="0020" w:firstRow="1" w:lastRow="0" w:firstColumn="0" w:lastColumn="0" w:noHBand="0" w:noVBand="0"/>
      </w:tblPr>
      <w:tblGrid>
        <w:gridCol w:w="5690"/>
        <w:gridCol w:w="5690"/>
      </w:tblGrid>
      <w:tr w:rsidR="008D3DFD" w:rsidRPr="008D3DFD" w14:paraId="15294767" w14:textId="77777777" w:rsidTr="008D3DFD">
        <w:trPr>
          <w:trHeight w:val="159"/>
        </w:trPr>
        <w:tc>
          <w:tcPr>
            <w:tcW w:w="5690" w:type="dxa"/>
          </w:tcPr>
          <w:p w14:paraId="5A841D7D" w14:textId="3B9E5A7F" w:rsidR="005F0BB3" w:rsidRPr="008D3DFD" w:rsidRDefault="00E15F62" w:rsidP="00E15F62">
            <w:pPr>
              <w:autoSpaceDE w:val="0"/>
              <w:autoSpaceDN w:val="0"/>
              <w:adjustRightInd w:val="0"/>
              <w:rPr>
                <w:rFonts w:ascii="Arial" w:hAnsi="Arial" w:cs="Arial"/>
                <w:b/>
                <w:bCs/>
              </w:rPr>
            </w:pPr>
            <w:r w:rsidRPr="008D3DFD">
              <w:rPr>
                <w:rFonts w:ascii="Arial" w:hAnsi="Arial" w:cs="Arial"/>
                <w:b/>
                <w:bCs/>
              </w:rPr>
              <w:t>Final Assurance Rating</w:t>
            </w:r>
            <w:r w:rsidR="005F0BB3" w:rsidRPr="008D3DFD">
              <w:rPr>
                <w:rFonts w:ascii="Arial" w:hAnsi="Arial" w:cs="Arial"/>
                <w:b/>
                <w:bCs/>
              </w:rPr>
              <w:t xml:space="preserve"> </w:t>
            </w:r>
            <w:r w:rsidRPr="008D3DFD">
              <w:rPr>
                <w:rFonts w:ascii="Arial" w:hAnsi="Arial" w:cs="Arial"/>
                <w:b/>
                <w:bCs/>
              </w:rPr>
              <w:t xml:space="preserve">from the Indicator Governance Board </w:t>
            </w:r>
          </w:p>
          <w:p w14:paraId="64E54281" w14:textId="77777777" w:rsidR="005F0BB3" w:rsidRPr="008D3DFD" w:rsidRDefault="005F0BB3" w:rsidP="00E15F62">
            <w:pPr>
              <w:autoSpaceDE w:val="0"/>
              <w:autoSpaceDN w:val="0"/>
              <w:adjustRightInd w:val="0"/>
              <w:rPr>
                <w:rFonts w:ascii="Arial" w:hAnsi="Arial" w:cs="Arial"/>
                <w:b/>
                <w:bCs/>
              </w:rPr>
            </w:pPr>
          </w:p>
          <w:p w14:paraId="6628F0D3" w14:textId="196C2572" w:rsidR="00E15F62" w:rsidRPr="008D3DFD" w:rsidRDefault="00E15F62" w:rsidP="00E15F62">
            <w:pPr>
              <w:autoSpaceDE w:val="0"/>
              <w:autoSpaceDN w:val="0"/>
              <w:adjustRightInd w:val="0"/>
              <w:rPr>
                <w:rFonts w:ascii="Arial" w:hAnsi="Arial" w:cs="Arial"/>
              </w:rPr>
            </w:pPr>
            <w:r w:rsidRPr="008D3DFD">
              <w:rPr>
                <w:rFonts w:ascii="Arial" w:hAnsi="Arial" w:cs="Arial"/>
                <w:b/>
                <w:bCs/>
              </w:rPr>
              <w:t xml:space="preserve">Reason for assessment </w:t>
            </w:r>
          </w:p>
        </w:tc>
        <w:tc>
          <w:tcPr>
            <w:tcW w:w="5690" w:type="dxa"/>
          </w:tcPr>
          <w:p w14:paraId="2B898CDB" w14:textId="77777777" w:rsidR="005F0BB3" w:rsidRPr="008D3DFD" w:rsidRDefault="005F0BB3" w:rsidP="00E15F62">
            <w:pPr>
              <w:autoSpaceDE w:val="0"/>
              <w:autoSpaceDN w:val="0"/>
              <w:adjustRightInd w:val="0"/>
              <w:rPr>
                <w:rFonts w:ascii="Arial" w:hAnsi="Arial" w:cs="Arial"/>
              </w:rPr>
            </w:pPr>
          </w:p>
          <w:p w14:paraId="71B242C0" w14:textId="77777777" w:rsidR="005F0BB3" w:rsidRPr="008D3DFD" w:rsidRDefault="005F0BB3" w:rsidP="00E15F62">
            <w:pPr>
              <w:autoSpaceDE w:val="0"/>
              <w:autoSpaceDN w:val="0"/>
              <w:adjustRightInd w:val="0"/>
              <w:rPr>
                <w:rFonts w:ascii="Arial" w:hAnsi="Arial" w:cs="Arial"/>
              </w:rPr>
            </w:pPr>
          </w:p>
          <w:p w14:paraId="4785C541" w14:textId="77777777" w:rsidR="005F0BB3" w:rsidRPr="008D3DFD" w:rsidRDefault="005F0BB3" w:rsidP="00E15F62">
            <w:pPr>
              <w:autoSpaceDE w:val="0"/>
              <w:autoSpaceDN w:val="0"/>
              <w:adjustRightInd w:val="0"/>
              <w:rPr>
                <w:rFonts w:ascii="Arial" w:hAnsi="Arial" w:cs="Arial"/>
              </w:rPr>
            </w:pPr>
          </w:p>
          <w:p w14:paraId="35353949" w14:textId="77777777" w:rsidR="005F0BB3" w:rsidRPr="008D3DFD" w:rsidRDefault="005F0BB3" w:rsidP="00E15F62">
            <w:pPr>
              <w:autoSpaceDE w:val="0"/>
              <w:autoSpaceDN w:val="0"/>
              <w:adjustRightInd w:val="0"/>
              <w:rPr>
                <w:rFonts w:ascii="Arial" w:hAnsi="Arial" w:cs="Arial"/>
              </w:rPr>
            </w:pPr>
          </w:p>
          <w:p w14:paraId="0FA02BE1" w14:textId="77777777" w:rsidR="005F0BB3" w:rsidRPr="008D3DFD" w:rsidRDefault="005F0BB3" w:rsidP="00E15F62">
            <w:pPr>
              <w:autoSpaceDE w:val="0"/>
              <w:autoSpaceDN w:val="0"/>
              <w:adjustRightInd w:val="0"/>
              <w:rPr>
                <w:rFonts w:ascii="Arial" w:hAnsi="Arial" w:cs="Arial"/>
              </w:rPr>
            </w:pPr>
          </w:p>
          <w:p w14:paraId="42840D59" w14:textId="77777777" w:rsidR="00E15F62" w:rsidRPr="008D3DFD" w:rsidRDefault="00E15F62" w:rsidP="00E15F62">
            <w:pPr>
              <w:autoSpaceDE w:val="0"/>
              <w:autoSpaceDN w:val="0"/>
              <w:adjustRightInd w:val="0"/>
              <w:rPr>
                <w:rFonts w:ascii="Arial" w:hAnsi="Arial" w:cs="Arial"/>
              </w:rPr>
            </w:pPr>
            <w:r w:rsidRPr="008D3DFD">
              <w:rPr>
                <w:rFonts w:ascii="Arial" w:hAnsi="Arial" w:cs="Arial"/>
              </w:rPr>
              <w:t xml:space="preserve">Scheduled review (review date reached) </w:t>
            </w:r>
          </w:p>
          <w:p w14:paraId="4BABB41B" w14:textId="4615845F" w:rsidR="005F0BB3" w:rsidRPr="008D3DFD" w:rsidRDefault="005F0BB3" w:rsidP="00E15F62">
            <w:pPr>
              <w:autoSpaceDE w:val="0"/>
              <w:autoSpaceDN w:val="0"/>
              <w:adjustRightInd w:val="0"/>
              <w:rPr>
                <w:rFonts w:ascii="Arial" w:hAnsi="Arial" w:cs="Arial"/>
              </w:rPr>
            </w:pPr>
          </w:p>
        </w:tc>
      </w:tr>
      <w:tr w:rsidR="008D3DFD" w:rsidRPr="008D3DFD" w14:paraId="1A65F5D6" w14:textId="77777777" w:rsidTr="008D3DFD">
        <w:trPr>
          <w:trHeight w:val="159"/>
        </w:trPr>
        <w:tc>
          <w:tcPr>
            <w:tcW w:w="5690" w:type="dxa"/>
          </w:tcPr>
          <w:p w14:paraId="6BA4FADB" w14:textId="77777777" w:rsidR="00E15F62" w:rsidRPr="008D3DFD" w:rsidRDefault="00E15F62" w:rsidP="00E15F62">
            <w:pPr>
              <w:autoSpaceDE w:val="0"/>
              <w:autoSpaceDN w:val="0"/>
              <w:adjustRightInd w:val="0"/>
              <w:rPr>
                <w:rFonts w:ascii="Arial" w:hAnsi="Arial" w:cs="Arial"/>
              </w:rPr>
            </w:pPr>
            <w:r w:rsidRPr="008D3DFD">
              <w:rPr>
                <w:rFonts w:ascii="Arial" w:hAnsi="Arial" w:cs="Arial"/>
                <w:b/>
                <w:bCs/>
              </w:rPr>
              <w:t xml:space="preserve">Iteration </w:t>
            </w:r>
          </w:p>
        </w:tc>
        <w:tc>
          <w:tcPr>
            <w:tcW w:w="5690" w:type="dxa"/>
          </w:tcPr>
          <w:p w14:paraId="3338857E" w14:textId="77777777" w:rsidR="00E15F62" w:rsidRPr="008D3DFD" w:rsidRDefault="00E15F62" w:rsidP="00E15F62">
            <w:pPr>
              <w:autoSpaceDE w:val="0"/>
              <w:autoSpaceDN w:val="0"/>
              <w:adjustRightInd w:val="0"/>
              <w:rPr>
                <w:rFonts w:ascii="Arial" w:hAnsi="Arial" w:cs="Arial"/>
              </w:rPr>
            </w:pPr>
            <w:r w:rsidRPr="008D3DFD">
              <w:rPr>
                <w:rFonts w:ascii="Arial" w:hAnsi="Arial" w:cs="Arial"/>
              </w:rPr>
              <w:t xml:space="preserve">1st IGB meeting </w:t>
            </w:r>
          </w:p>
        </w:tc>
      </w:tr>
    </w:tbl>
    <w:p w14:paraId="5A75BB60" w14:textId="3286ADF8" w:rsidR="00E03F3B" w:rsidRPr="008D3DFD" w:rsidRDefault="00E03F3B">
      <w:pPr>
        <w:pStyle w:val="Default"/>
        <w:rPr>
          <w:color w:val="auto"/>
          <w:sz w:val="22"/>
          <w:szCs w:val="22"/>
        </w:rPr>
      </w:pPr>
    </w:p>
    <w:p w14:paraId="73CCCB19" w14:textId="1E254E3A" w:rsidR="003743BC" w:rsidRPr="008D3DFD" w:rsidRDefault="00D16B4F">
      <w:pPr>
        <w:pStyle w:val="Default"/>
        <w:rPr>
          <w:b/>
          <w:bCs/>
          <w:color w:val="auto"/>
          <w:sz w:val="22"/>
          <w:szCs w:val="22"/>
        </w:rPr>
      </w:pPr>
      <w:bookmarkStart w:id="5" w:name="_Hlk35433511"/>
      <w:r w:rsidRPr="008D3DFD">
        <w:rPr>
          <w:b/>
          <w:bCs/>
          <w:color w:val="auto"/>
          <w:sz w:val="22"/>
          <w:szCs w:val="22"/>
        </w:rPr>
        <w:t>Rating Against Assessment Criteria</w:t>
      </w:r>
    </w:p>
    <w:p w14:paraId="1836BC6C" w14:textId="77777777" w:rsidR="00D16B4F" w:rsidRPr="008D3DFD" w:rsidRDefault="00D16B4F">
      <w:pPr>
        <w:pStyle w:val="Default"/>
        <w:rPr>
          <w:color w:val="auto"/>
          <w:sz w:val="22"/>
          <w:szCs w:val="22"/>
        </w:rPr>
      </w:pPr>
    </w:p>
    <w:p w14:paraId="7B92A60E" w14:textId="43F9656A" w:rsidR="003743BC" w:rsidRPr="008D3DFD" w:rsidRDefault="003743BC" w:rsidP="003743BC">
      <w:pPr>
        <w:rPr>
          <w:rFonts w:ascii="Arial" w:hAnsi="Arial" w:cs="Arial"/>
        </w:rPr>
      </w:pPr>
      <w:r w:rsidRPr="008D3DFD">
        <w:rPr>
          <w:rFonts w:ascii="Arial" w:hAnsi="Arial" w:cs="Arial"/>
          <w:b/>
          <w:bCs/>
        </w:rPr>
        <w:t>Clarity</w:t>
      </w:r>
      <w:r w:rsidRPr="008D3DFD">
        <w:rPr>
          <w:rFonts w:ascii="Arial" w:hAnsi="Arial" w:cs="Arial"/>
        </w:rPr>
        <w:t xml:space="preserve"> - Fit for use with caveats</w:t>
      </w:r>
    </w:p>
    <w:p w14:paraId="3656D181" w14:textId="38E39416" w:rsidR="003743BC" w:rsidRPr="008D3DFD" w:rsidRDefault="003743BC" w:rsidP="004E7B0D">
      <w:pPr>
        <w:rPr>
          <w:rFonts w:ascii="Arial" w:hAnsi="Arial" w:cs="Arial"/>
        </w:rPr>
      </w:pPr>
      <w:r w:rsidRPr="008D3DFD">
        <w:rPr>
          <w:rFonts w:ascii="Arial" w:hAnsi="Arial" w:cs="Arial"/>
          <w:b/>
          <w:bCs/>
        </w:rPr>
        <w:t>Rationale</w:t>
      </w:r>
      <w:r w:rsidRPr="008D3DFD">
        <w:rPr>
          <w:rFonts w:ascii="Arial" w:hAnsi="Arial" w:cs="Arial"/>
        </w:rPr>
        <w:t xml:space="preserve"> - Fit for use with caveats</w:t>
      </w:r>
    </w:p>
    <w:p w14:paraId="0DB4F573" w14:textId="479F1A50" w:rsidR="003743BC" w:rsidRPr="008D3DFD" w:rsidRDefault="003743BC" w:rsidP="004E7B0D">
      <w:pPr>
        <w:rPr>
          <w:rFonts w:ascii="Arial" w:hAnsi="Arial" w:cs="Arial"/>
        </w:rPr>
      </w:pPr>
      <w:r w:rsidRPr="008D3DFD">
        <w:rPr>
          <w:rFonts w:ascii="Arial" w:hAnsi="Arial" w:cs="Arial"/>
          <w:b/>
          <w:bCs/>
        </w:rPr>
        <w:t>Data</w:t>
      </w:r>
      <w:r w:rsidRPr="008D3DFD">
        <w:rPr>
          <w:rFonts w:ascii="Arial" w:hAnsi="Arial" w:cs="Arial"/>
        </w:rPr>
        <w:t xml:space="preserve"> - Fit for use with caveats</w:t>
      </w:r>
    </w:p>
    <w:p w14:paraId="3DC1483A" w14:textId="709D9D7F" w:rsidR="003743BC" w:rsidRPr="008D3DFD" w:rsidRDefault="003743BC" w:rsidP="004E7B0D">
      <w:pPr>
        <w:rPr>
          <w:rFonts w:ascii="Arial" w:hAnsi="Arial" w:cs="Arial"/>
        </w:rPr>
      </w:pPr>
      <w:r w:rsidRPr="008D3DFD">
        <w:rPr>
          <w:rFonts w:ascii="Arial" w:hAnsi="Arial" w:cs="Arial"/>
          <w:b/>
          <w:bCs/>
        </w:rPr>
        <w:t>Construction</w:t>
      </w:r>
      <w:r w:rsidRPr="008D3DFD">
        <w:rPr>
          <w:rFonts w:ascii="Arial" w:hAnsi="Arial" w:cs="Arial"/>
        </w:rPr>
        <w:t xml:space="preserve"> - Fit for use</w:t>
      </w:r>
    </w:p>
    <w:p w14:paraId="69AFFE3B" w14:textId="74835C57" w:rsidR="003743BC" w:rsidRPr="008D3DFD" w:rsidRDefault="003743BC" w:rsidP="004E7B0D">
      <w:pPr>
        <w:rPr>
          <w:rFonts w:ascii="Arial" w:hAnsi="Arial" w:cs="Arial"/>
        </w:rPr>
      </w:pPr>
      <w:r w:rsidRPr="008D3DFD">
        <w:rPr>
          <w:rFonts w:ascii="Arial" w:hAnsi="Arial" w:cs="Arial"/>
          <w:b/>
          <w:bCs/>
        </w:rPr>
        <w:t>Presentation and Interpretation</w:t>
      </w:r>
      <w:r w:rsidRPr="008D3DFD">
        <w:rPr>
          <w:rFonts w:ascii="Arial" w:hAnsi="Arial" w:cs="Arial"/>
        </w:rPr>
        <w:t xml:space="preserve"> - Fit for use with caveats</w:t>
      </w:r>
    </w:p>
    <w:p w14:paraId="6E7A6A7E" w14:textId="08C42729" w:rsidR="003743BC" w:rsidRPr="008D3DFD" w:rsidRDefault="003743BC" w:rsidP="004E7B0D">
      <w:pPr>
        <w:rPr>
          <w:rFonts w:ascii="Arial" w:hAnsi="Arial" w:cs="Arial"/>
          <w:b/>
          <w:bCs/>
        </w:rPr>
      </w:pPr>
      <w:r w:rsidRPr="008D3DFD">
        <w:rPr>
          <w:rFonts w:ascii="Arial" w:hAnsi="Arial" w:cs="Arial"/>
          <w:b/>
          <w:bCs/>
        </w:rPr>
        <w:t xml:space="preserve">Risks and Usefulness </w:t>
      </w:r>
      <w:r w:rsidRPr="008D3DFD">
        <w:rPr>
          <w:rFonts w:ascii="Arial" w:hAnsi="Arial" w:cs="Arial"/>
        </w:rPr>
        <w:t>- Fit for use</w:t>
      </w:r>
      <w:r w:rsidRPr="008D3DFD">
        <w:rPr>
          <w:rFonts w:ascii="Arial" w:hAnsi="Arial" w:cs="Arial"/>
          <w:b/>
          <w:bCs/>
        </w:rPr>
        <w:t xml:space="preserve"> </w:t>
      </w:r>
    </w:p>
    <w:bookmarkEnd w:id="5"/>
    <w:p w14:paraId="681F187F" w14:textId="77777777" w:rsidR="00D16B4F" w:rsidRPr="008D3DFD" w:rsidRDefault="00D16B4F" w:rsidP="004E7B0D">
      <w:pPr>
        <w:rPr>
          <w:rFonts w:ascii="Arial" w:hAnsi="Arial" w:cs="Arial"/>
          <w:b/>
          <w:bCs/>
        </w:rPr>
      </w:pPr>
    </w:p>
    <w:p w14:paraId="6FDAB80F" w14:textId="354D6C7D" w:rsidR="00D16B4F" w:rsidRPr="008D3DFD" w:rsidRDefault="00D16B4F" w:rsidP="004E7B0D">
      <w:pPr>
        <w:rPr>
          <w:rFonts w:ascii="Arial" w:hAnsi="Arial" w:cs="Arial"/>
          <w:b/>
          <w:bCs/>
        </w:rPr>
      </w:pPr>
      <w:r w:rsidRPr="008D3DFD">
        <w:rPr>
          <w:rFonts w:ascii="Arial" w:hAnsi="Arial" w:cs="Arial"/>
          <w:b/>
          <w:bCs/>
        </w:rPr>
        <w:t>Overall Rating</w:t>
      </w:r>
    </w:p>
    <w:p w14:paraId="7647C76E" w14:textId="76C7DDA2" w:rsidR="00D16B4F" w:rsidRPr="008D3DFD" w:rsidRDefault="00D16B4F" w:rsidP="004E7B0D">
      <w:pPr>
        <w:rPr>
          <w:rFonts w:ascii="Arial" w:hAnsi="Arial" w:cs="Arial"/>
          <w:b/>
          <w:bCs/>
        </w:rPr>
      </w:pPr>
      <w:r w:rsidRPr="008D3DFD">
        <w:rPr>
          <w:rFonts w:ascii="Arial" w:hAnsi="Arial" w:cs="Arial"/>
        </w:rPr>
        <w:t>Fit for use with caveats</w:t>
      </w:r>
    </w:p>
    <w:p w14:paraId="1677787C" w14:textId="293CFD06" w:rsidR="00335B4B" w:rsidRPr="008D3DFD" w:rsidRDefault="00335B4B" w:rsidP="00335B4B">
      <w:pPr>
        <w:rPr>
          <w:rFonts w:ascii="Arial" w:hAnsi="Arial" w:cs="Arial"/>
          <w:b/>
          <w:bCs/>
        </w:rPr>
      </w:pPr>
      <w:r w:rsidRPr="008D3DFD">
        <w:rPr>
          <w:rFonts w:ascii="Arial" w:hAnsi="Arial" w:cs="Arial"/>
          <w:b/>
          <w:bCs/>
        </w:rPr>
        <w:t>Outcome</w:t>
      </w:r>
    </w:p>
    <w:p w14:paraId="2A3866DC" w14:textId="0055F9ED" w:rsidR="00C64AFE" w:rsidRPr="008D3DFD" w:rsidRDefault="00335B4B" w:rsidP="00335B4B">
      <w:pPr>
        <w:rPr>
          <w:rFonts w:ascii="Arial" w:hAnsi="Arial" w:cs="Arial"/>
          <w:b/>
          <w:bCs/>
        </w:rPr>
      </w:pPr>
      <w:r w:rsidRPr="008D3DFD">
        <w:rPr>
          <w:rFonts w:ascii="Arial" w:hAnsi="Arial" w:cs="Arial"/>
          <w:b/>
          <w:bCs/>
        </w:rPr>
        <w:lastRenderedPageBreak/>
        <w:t>This indicator has been approved for inclusion in the National Library of Quality Assured Indicators</w:t>
      </w:r>
    </w:p>
    <w:tbl>
      <w:tblPr>
        <w:tblStyle w:val="TableGrid"/>
        <w:tblW w:w="12791" w:type="dxa"/>
        <w:tblLayout w:type="fixed"/>
        <w:tblLook w:val="0020" w:firstRow="1" w:lastRow="0" w:firstColumn="0" w:lastColumn="0" w:noHBand="0" w:noVBand="0"/>
      </w:tblPr>
      <w:tblGrid>
        <w:gridCol w:w="12791"/>
      </w:tblGrid>
      <w:tr w:rsidR="008D3DFD" w:rsidRPr="008D3DFD" w14:paraId="3ED55CDE" w14:textId="77777777" w:rsidTr="008D3DFD">
        <w:trPr>
          <w:trHeight w:val="290"/>
        </w:trPr>
        <w:tc>
          <w:tcPr>
            <w:tcW w:w="12791" w:type="dxa"/>
          </w:tcPr>
          <w:p w14:paraId="5C837449" w14:textId="77777777" w:rsidR="003434E5" w:rsidRPr="008D3DFD" w:rsidRDefault="00D16B4F" w:rsidP="00335B4B">
            <w:pPr>
              <w:autoSpaceDE w:val="0"/>
              <w:autoSpaceDN w:val="0"/>
              <w:adjustRightInd w:val="0"/>
              <w:rPr>
                <w:rFonts w:ascii="Arial" w:hAnsi="Arial" w:cs="Arial"/>
              </w:rPr>
            </w:pPr>
            <w:r w:rsidRPr="008D3DFD">
              <w:rPr>
                <w:rFonts w:ascii="Arial" w:hAnsi="Arial" w:cs="Arial"/>
              </w:rPr>
              <w:br w:type="page"/>
            </w:r>
          </w:p>
          <w:p w14:paraId="3A102901" w14:textId="77777777" w:rsidR="003434E5" w:rsidRPr="008D3DFD" w:rsidRDefault="003434E5" w:rsidP="00335B4B">
            <w:pPr>
              <w:autoSpaceDE w:val="0"/>
              <w:autoSpaceDN w:val="0"/>
              <w:adjustRightInd w:val="0"/>
              <w:rPr>
                <w:rFonts w:ascii="Arial" w:hAnsi="Arial" w:cs="Arial"/>
              </w:rPr>
            </w:pPr>
          </w:p>
          <w:p w14:paraId="6246526F" w14:textId="3A110596" w:rsidR="00335B4B" w:rsidRPr="008D3DFD" w:rsidRDefault="00335B4B" w:rsidP="00335B4B">
            <w:pPr>
              <w:autoSpaceDE w:val="0"/>
              <w:autoSpaceDN w:val="0"/>
              <w:adjustRightInd w:val="0"/>
              <w:rPr>
                <w:rFonts w:ascii="Arial" w:hAnsi="Arial" w:cs="Arial"/>
              </w:rPr>
            </w:pPr>
            <w:r w:rsidRPr="008D3DFD">
              <w:rPr>
                <w:rFonts w:ascii="Arial" w:hAnsi="Arial" w:cs="Arial"/>
                <w:b/>
                <w:bCs/>
              </w:rPr>
              <w:t xml:space="preserve">Key findings from Assurance </w:t>
            </w:r>
          </w:p>
        </w:tc>
      </w:tr>
      <w:tr w:rsidR="008D3DFD" w:rsidRPr="008D3DFD" w14:paraId="310A7126" w14:textId="77777777" w:rsidTr="008D3DFD">
        <w:trPr>
          <w:trHeight w:val="1808"/>
        </w:trPr>
        <w:tc>
          <w:tcPr>
            <w:tcW w:w="12791" w:type="dxa"/>
          </w:tcPr>
          <w:p w14:paraId="1A5883BF" w14:textId="77777777" w:rsidR="00335B4B" w:rsidRPr="008D3DFD" w:rsidRDefault="00335B4B" w:rsidP="00335B4B">
            <w:pPr>
              <w:autoSpaceDE w:val="0"/>
              <w:autoSpaceDN w:val="0"/>
              <w:adjustRightInd w:val="0"/>
              <w:rPr>
                <w:rFonts w:ascii="Arial" w:hAnsi="Arial" w:cs="Arial"/>
              </w:rPr>
            </w:pPr>
          </w:p>
          <w:p w14:paraId="50C2FAB8" w14:textId="77777777" w:rsidR="00335B4B" w:rsidRPr="008D3DFD" w:rsidRDefault="00335B4B" w:rsidP="00335B4B">
            <w:pPr>
              <w:autoSpaceDE w:val="0"/>
              <w:autoSpaceDN w:val="0"/>
              <w:adjustRightInd w:val="0"/>
              <w:rPr>
                <w:rFonts w:ascii="Arial" w:hAnsi="Arial" w:cs="Arial"/>
              </w:rPr>
            </w:pPr>
            <w:r w:rsidRPr="008D3DFD">
              <w:rPr>
                <w:rFonts w:ascii="Arial" w:hAnsi="Arial" w:cs="Arial"/>
              </w:rPr>
              <w:t xml:space="preserve">• Make clear in the presentation of the indicator output and specification that the indicator value is a count </w:t>
            </w:r>
          </w:p>
          <w:p w14:paraId="631957DB" w14:textId="77777777" w:rsidR="00335B4B" w:rsidRPr="008D3DFD" w:rsidRDefault="00335B4B" w:rsidP="00335B4B">
            <w:pPr>
              <w:autoSpaceDE w:val="0"/>
              <w:autoSpaceDN w:val="0"/>
              <w:adjustRightInd w:val="0"/>
              <w:rPr>
                <w:rFonts w:ascii="Arial" w:hAnsi="Arial" w:cs="Arial"/>
              </w:rPr>
            </w:pPr>
            <w:r w:rsidRPr="008D3DFD">
              <w:rPr>
                <w:rFonts w:ascii="Arial" w:hAnsi="Arial" w:cs="Arial"/>
              </w:rPr>
              <w:t xml:space="preserve">• Reference that the definition of the indicator is shortly expected to be amended </w:t>
            </w:r>
          </w:p>
          <w:p w14:paraId="5E4C65CB" w14:textId="77777777" w:rsidR="00335B4B" w:rsidRPr="008D3DFD" w:rsidRDefault="00335B4B" w:rsidP="00335B4B">
            <w:pPr>
              <w:autoSpaceDE w:val="0"/>
              <w:autoSpaceDN w:val="0"/>
              <w:adjustRightInd w:val="0"/>
              <w:rPr>
                <w:rFonts w:ascii="Arial" w:hAnsi="Arial" w:cs="Arial"/>
              </w:rPr>
            </w:pPr>
            <w:r w:rsidRPr="008D3DFD">
              <w:rPr>
                <w:rFonts w:ascii="Arial" w:hAnsi="Arial" w:cs="Arial"/>
              </w:rPr>
              <w:t xml:space="preserve">• The section of Data Quality needs to be reinforced to clarify that the data for someone attending an out of area trust will have his / her data tracked back to his / her home Clinical Commissioning Group (CCG) </w:t>
            </w:r>
          </w:p>
          <w:p w14:paraId="33E9F28A" w14:textId="77777777" w:rsidR="00335B4B" w:rsidRPr="008D3DFD" w:rsidRDefault="00335B4B" w:rsidP="00335B4B">
            <w:pPr>
              <w:autoSpaceDE w:val="0"/>
              <w:autoSpaceDN w:val="0"/>
              <w:adjustRightInd w:val="0"/>
              <w:rPr>
                <w:rFonts w:ascii="Arial" w:hAnsi="Arial" w:cs="Arial"/>
              </w:rPr>
            </w:pPr>
          </w:p>
        </w:tc>
      </w:tr>
    </w:tbl>
    <w:p w14:paraId="27CC0686" w14:textId="2E05B15F" w:rsidR="00F76FBC" w:rsidRPr="008D3DFD" w:rsidRDefault="00F76FBC" w:rsidP="00F76FBC">
      <w:pPr>
        <w:rPr>
          <w:rFonts w:ascii="Arial" w:hAnsi="Arial" w:cs="Arial"/>
          <w:b/>
          <w:bCs/>
        </w:rPr>
      </w:pPr>
      <w:r w:rsidRPr="008D3DFD">
        <w:rPr>
          <w:rFonts w:ascii="Arial" w:hAnsi="Arial" w:cs="Arial"/>
          <w:b/>
          <w:bCs/>
        </w:rPr>
        <w:t xml:space="preserve">Approval date - 18/01/2018 </w:t>
      </w:r>
    </w:p>
    <w:p w14:paraId="0952E841" w14:textId="77777777" w:rsidR="00D16B4F" w:rsidRPr="008D3DFD" w:rsidRDefault="00F76FBC" w:rsidP="00F76FBC">
      <w:pPr>
        <w:rPr>
          <w:rFonts w:ascii="Arial" w:hAnsi="Arial" w:cs="Arial"/>
          <w:b/>
          <w:bCs/>
        </w:rPr>
      </w:pPr>
      <w:r w:rsidRPr="008D3DFD">
        <w:rPr>
          <w:rFonts w:ascii="Arial" w:hAnsi="Arial" w:cs="Arial"/>
          <w:b/>
          <w:bCs/>
        </w:rPr>
        <w:t>Review date - 18/01/2021</w:t>
      </w:r>
    </w:p>
    <w:p w14:paraId="6890DFAD" w14:textId="1E8A0408" w:rsidR="00D16B4F" w:rsidRPr="008D3DFD" w:rsidRDefault="00D16B4F">
      <w:pPr>
        <w:rPr>
          <w:rFonts w:ascii="Arial" w:hAnsi="Arial" w:cs="Arial"/>
          <w:b/>
          <w:bCs/>
        </w:rPr>
      </w:pPr>
      <w:r w:rsidRPr="008D3DFD">
        <w:rPr>
          <w:rFonts w:ascii="Arial" w:hAnsi="Arial" w:cs="Arial"/>
          <w:b/>
          <w:bCs/>
        </w:rPr>
        <w:br w:type="page"/>
      </w:r>
    </w:p>
    <w:p w14:paraId="2FC9621A" w14:textId="77777777" w:rsidR="00D16B4F" w:rsidRPr="008D3DFD" w:rsidRDefault="00D16B4F" w:rsidP="00F76FBC">
      <w:pPr>
        <w:rPr>
          <w:rFonts w:ascii="Arial" w:hAnsi="Arial" w:cs="Arial"/>
          <w:b/>
          <w:bCs/>
        </w:rPr>
      </w:pPr>
    </w:p>
    <w:p w14:paraId="7F8F7671" w14:textId="77777777" w:rsidR="00D16B4F" w:rsidRPr="008D3DFD" w:rsidRDefault="00D16B4F" w:rsidP="00D16B4F">
      <w:pPr>
        <w:pStyle w:val="Default"/>
        <w:rPr>
          <w:color w:val="auto"/>
          <w:sz w:val="22"/>
          <w:szCs w:val="22"/>
        </w:rPr>
      </w:pPr>
      <w:r w:rsidRPr="008D3DFD">
        <w:rPr>
          <w:b/>
          <w:bCs/>
          <w:color w:val="auto"/>
          <w:sz w:val="22"/>
          <w:szCs w:val="22"/>
        </w:rPr>
        <w:t xml:space="preserve">Incidence of Healthcare Associated Infection (HCAI) - C. difficile infection </w:t>
      </w:r>
    </w:p>
    <w:p w14:paraId="3DBFCE87" w14:textId="77504687" w:rsidR="00D16B4F" w:rsidRPr="008D3DFD" w:rsidRDefault="00D16B4F" w:rsidP="00D16B4F">
      <w:pPr>
        <w:pStyle w:val="Default"/>
        <w:rPr>
          <w:color w:val="auto"/>
          <w:sz w:val="22"/>
          <w:szCs w:val="22"/>
        </w:rPr>
      </w:pPr>
    </w:p>
    <w:tbl>
      <w:tblPr>
        <w:tblStyle w:val="TableGrid"/>
        <w:tblW w:w="0" w:type="auto"/>
        <w:tblLayout w:type="fixed"/>
        <w:tblLook w:val="0020" w:firstRow="1" w:lastRow="0" w:firstColumn="0" w:lastColumn="0" w:noHBand="0" w:noVBand="0"/>
      </w:tblPr>
      <w:tblGrid>
        <w:gridCol w:w="4256"/>
        <w:gridCol w:w="4256"/>
      </w:tblGrid>
      <w:tr w:rsidR="008D3DFD" w:rsidRPr="008D3DFD" w14:paraId="53EB5951" w14:textId="77777777" w:rsidTr="008D3DFD">
        <w:trPr>
          <w:trHeight w:val="111"/>
        </w:trPr>
        <w:tc>
          <w:tcPr>
            <w:tcW w:w="4256" w:type="dxa"/>
          </w:tcPr>
          <w:p w14:paraId="698D3235" w14:textId="0649833F" w:rsidR="00D16B4F" w:rsidRPr="008D3DFD" w:rsidRDefault="00D16B4F">
            <w:pPr>
              <w:pStyle w:val="Default"/>
              <w:rPr>
                <w:b/>
                <w:bCs/>
                <w:color w:val="auto"/>
                <w:sz w:val="22"/>
                <w:szCs w:val="22"/>
              </w:rPr>
            </w:pPr>
            <w:r w:rsidRPr="008D3DFD">
              <w:rPr>
                <w:b/>
                <w:bCs/>
                <w:color w:val="auto"/>
                <w:sz w:val="22"/>
                <w:szCs w:val="22"/>
              </w:rPr>
              <w:t xml:space="preserve">Details of Methodology Appraisal – 02/11/2017 </w:t>
            </w:r>
          </w:p>
          <w:p w14:paraId="311C54A4" w14:textId="77777777" w:rsidR="00D16B4F" w:rsidRPr="008D3DFD" w:rsidRDefault="00D16B4F">
            <w:pPr>
              <w:pStyle w:val="Default"/>
              <w:rPr>
                <w:b/>
                <w:bCs/>
                <w:color w:val="auto"/>
                <w:sz w:val="22"/>
                <w:szCs w:val="22"/>
              </w:rPr>
            </w:pPr>
          </w:p>
          <w:p w14:paraId="272055D8" w14:textId="77777777" w:rsidR="00D16B4F" w:rsidRPr="008D3DFD" w:rsidRDefault="00D16B4F">
            <w:pPr>
              <w:pStyle w:val="Default"/>
              <w:rPr>
                <w:b/>
                <w:bCs/>
                <w:color w:val="auto"/>
                <w:sz w:val="22"/>
                <w:szCs w:val="22"/>
              </w:rPr>
            </w:pPr>
            <w:r w:rsidRPr="008D3DFD">
              <w:rPr>
                <w:b/>
                <w:bCs/>
                <w:color w:val="auto"/>
                <w:sz w:val="22"/>
                <w:szCs w:val="22"/>
              </w:rPr>
              <w:t xml:space="preserve">Methodology appraisal body </w:t>
            </w:r>
          </w:p>
          <w:p w14:paraId="0262E617" w14:textId="26E7D698" w:rsidR="00D16B4F" w:rsidRPr="008D3DFD" w:rsidRDefault="00D16B4F">
            <w:pPr>
              <w:pStyle w:val="Default"/>
              <w:rPr>
                <w:color w:val="auto"/>
                <w:sz w:val="22"/>
                <w:szCs w:val="22"/>
              </w:rPr>
            </w:pPr>
          </w:p>
        </w:tc>
        <w:tc>
          <w:tcPr>
            <w:tcW w:w="4256" w:type="dxa"/>
          </w:tcPr>
          <w:p w14:paraId="10FBA380" w14:textId="68CC1024" w:rsidR="00D16B4F" w:rsidRPr="008D3DFD" w:rsidRDefault="00D16B4F">
            <w:pPr>
              <w:pStyle w:val="Default"/>
              <w:rPr>
                <w:color w:val="auto"/>
                <w:sz w:val="22"/>
                <w:szCs w:val="22"/>
              </w:rPr>
            </w:pPr>
            <w:r w:rsidRPr="008D3DFD">
              <w:rPr>
                <w:color w:val="auto"/>
                <w:sz w:val="22"/>
                <w:szCs w:val="22"/>
              </w:rPr>
              <w:t xml:space="preserve">NHS Digital Indicator Methodology and Assurance Service </w:t>
            </w:r>
          </w:p>
          <w:p w14:paraId="77941CB3" w14:textId="081E0740" w:rsidR="00D16B4F" w:rsidRPr="008D3DFD" w:rsidRDefault="00D16B4F">
            <w:pPr>
              <w:pStyle w:val="Default"/>
              <w:rPr>
                <w:color w:val="auto"/>
                <w:sz w:val="22"/>
                <w:szCs w:val="22"/>
              </w:rPr>
            </w:pPr>
          </w:p>
          <w:p w14:paraId="0308DE6C" w14:textId="77777777" w:rsidR="00D16B4F" w:rsidRPr="008D3DFD" w:rsidRDefault="00D16B4F">
            <w:pPr>
              <w:pStyle w:val="Default"/>
              <w:rPr>
                <w:color w:val="auto"/>
                <w:sz w:val="22"/>
                <w:szCs w:val="22"/>
              </w:rPr>
            </w:pPr>
          </w:p>
          <w:p w14:paraId="2721BA0D" w14:textId="5DAEABA4" w:rsidR="00D16B4F" w:rsidRPr="008D3DFD" w:rsidRDefault="00D16B4F">
            <w:pPr>
              <w:pStyle w:val="Default"/>
              <w:rPr>
                <w:color w:val="auto"/>
                <w:sz w:val="22"/>
                <w:szCs w:val="22"/>
              </w:rPr>
            </w:pPr>
          </w:p>
        </w:tc>
      </w:tr>
      <w:tr w:rsidR="008D3DFD" w:rsidRPr="008D3DFD" w14:paraId="63E9A2A7" w14:textId="77777777" w:rsidTr="008D3DFD">
        <w:trPr>
          <w:trHeight w:val="111"/>
        </w:trPr>
        <w:tc>
          <w:tcPr>
            <w:tcW w:w="4256" w:type="dxa"/>
          </w:tcPr>
          <w:p w14:paraId="06CE6C0B" w14:textId="77777777" w:rsidR="00D16B4F" w:rsidRPr="008D3DFD" w:rsidRDefault="00D16B4F">
            <w:pPr>
              <w:pStyle w:val="Default"/>
              <w:rPr>
                <w:color w:val="auto"/>
                <w:sz w:val="22"/>
                <w:szCs w:val="22"/>
              </w:rPr>
            </w:pPr>
            <w:r w:rsidRPr="008D3DFD">
              <w:rPr>
                <w:b/>
                <w:bCs/>
                <w:color w:val="auto"/>
                <w:sz w:val="22"/>
                <w:szCs w:val="22"/>
              </w:rPr>
              <w:t xml:space="preserve">Reason for assessment </w:t>
            </w:r>
          </w:p>
        </w:tc>
        <w:tc>
          <w:tcPr>
            <w:tcW w:w="4256" w:type="dxa"/>
          </w:tcPr>
          <w:p w14:paraId="38139FE3" w14:textId="77777777" w:rsidR="00D16B4F" w:rsidRPr="008D3DFD" w:rsidRDefault="00D16B4F">
            <w:pPr>
              <w:pStyle w:val="Default"/>
              <w:rPr>
                <w:color w:val="auto"/>
                <w:sz w:val="22"/>
                <w:szCs w:val="22"/>
              </w:rPr>
            </w:pPr>
            <w:r w:rsidRPr="008D3DFD">
              <w:rPr>
                <w:color w:val="auto"/>
                <w:sz w:val="22"/>
                <w:szCs w:val="22"/>
              </w:rPr>
              <w:t xml:space="preserve">Scheduled review (review date reached) </w:t>
            </w:r>
          </w:p>
        </w:tc>
      </w:tr>
      <w:tr w:rsidR="008D3DFD" w:rsidRPr="008D3DFD" w14:paraId="2669F5C6" w14:textId="77777777" w:rsidTr="008D3DFD">
        <w:trPr>
          <w:trHeight w:val="111"/>
        </w:trPr>
        <w:tc>
          <w:tcPr>
            <w:tcW w:w="4256" w:type="dxa"/>
          </w:tcPr>
          <w:p w14:paraId="1511BCAF" w14:textId="77777777" w:rsidR="00D16B4F" w:rsidRPr="008D3DFD" w:rsidRDefault="00D16B4F">
            <w:pPr>
              <w:pStyle w:val="Default"/>
              <w:rPr>
                <w:color w:val="auto"/>
                <w:sz w:val="22"/>
                <w:szCs w:val="22"/>
              </w:rPr>
            </w:pPr>
            <w:r w:rsidRPr="008D3DFD">
              <w:rPr>
                <w:b/>
                <w:bCs/>
                <w:color w:val="auto"/>
                <w:sz w:val="22"/>
                <w:szCs w:val="22"/>
              </w:rPr>
              <w:t xml:space="preserve">Iteration </w:t>
            </w:r>
          </w:p>
        </w:tc>
        <w:tc>
          <w:tcPr>
            <w:tcW w:w="4256" w:type="dxa"/>
          </w:tcPr>
          <w:p w14:paraId="64803B25" w14:textId="77777777" w:rsidR="00D16B4F" w:rsidRPr="008D3DFD" w:rsidRDefault="00D16B4F">
            <w:pPr>
              <w:pStyle w:val="Default"/>
              <w:rPr>
                <w:color w:val="auto"/>
                <w:sz w:val="22"/>
                <w:szCs w:val="22"/>
              </w:rPr>
            </w:pPr>
            <w:r w:rsidRPr="008D3DFD">
              <w:rPr>
                <w:color w:val="auto"/>
                <w:sz w:val="22"/>
                <w:szCs w:val="22"/>
              </w:rPr>
              <w:t xml:space="preserve">1st MRG meeting </w:t>
            </w:r>
          </w:p>
        </w:tc>
      </w:tr>
    </w:tbl>
    <w:p w14:paraId="02358B8C" w14:textId="77777777" w:rsidR="00D16B4F" w:rsidRPr="008D3DFD" w:rsidRDefault="00D16B4F" w:rsidP="00F76FBC">
      <w:pPr>
        <w:rPr>
          <w:rFonts w:ascii="Arial" w:hAnsi="Arial" w:cs="Arial"/>
          <w:b/>
          <w:bCs/>
        </w:rPr>
      </w:pPr>
      <w:r w:rsidRPr="008D3DFD">
        <w:rPr>
          <w:rFonts w:ascii="Arial" w:hAnsi="Arial" w:cs="Arial"/>
          <w:b/>
          <w:bCs/>
        </w:rPr>
        <w:t xml:space="preserve"> </w:t>
      </w:r>
    </w:p>
    <w:p w14:paraId="6F0287C0" w14:textId="77777777" w:rsidR="00D16B4F" w:rsidRPr="008D3DFD" w:rsidRDefault="00D16B4F" w:rsidP="00D16B4F">
      <w:pPr>
        <w:pStyle w:val="Default"/>
        <w:rPr>
          <w:b/>
          <w:bCs/>
          <w:color w:val="auto"/>
          <w:sz w:val="22"/>
          <w:szCs w:val="22"/>
        </w:rPr>
      </w:pPr>
      <w:r w:rsidRPr="008D3DFD">
        <w:rPr>
          <w:b/>
          <w:bCs/>
          <w:color w:val="auto"/>
          <w:sz w:val="22"/>
          <w:szCs w:val="22"/>
        </w:rPr>
        <w:t>Rating Against Assessment Criteria</w:t>
      </w:r>
    </w:p>
    <w:p w14:paraId="4F1ECDBB" w14:textId="77777777" w:rsidR="00D16B4F" w:rsidRPr="008D3DFD" w:rsidRDefault="00D16B4F" w:rsidP="00D16B4F">
      <w:pPr>
        <w:pStyle w:val="Default"/>
        <w:rPr>
          <w:color w:val="auto"/>
          <w:sz w:val="22"/>
          <w:szCs w:val="22"/>
        </w:rPr>
      </w:pPr>
    </w:p>
    <w:p w14:paraId="6BC757DF" w14:textId="77777777" w:rsidR="00D16B4F" w:rsidRPr="008D3DFD" w:rsidRDefault="00D16B4F" w:rsidP="00D16B4F">
      <w:pPr>
        <w:rPr>
          <w:rFonts w:ascii="Arial" w:hAnsi="Arial" w:cs="Arial"/>
        </w:rPr>
      </w:pPr>
      <w:r w:rsidRPr="008D3DFD">
        <w:rPr>
          <w:rFonts w:ascii="Arial" w:hAnsi="Arial" w:cs="Arial"/>
          <w:b/>
          <w:bCs/>
        </w:rPr>
        <w:t>Clarity</w:t>
      </w:r>
      <w:r w:rsidRPr="008D3DFD">
        <w:rPr>
          <w:rFonts w:ascii="Arial" w:hAnsi="Arial" w:cs="Arial"/>
        </w:rPr>
        <w:t xml:space="preserve"> - Fit for use with caveats</w:t>
      </w:r>
    </w:p>
    <w:p w14:paraId="5982F727" w14:textId="77777777" w:rsidR="00D16B4F" w:rsidRPr="008D3DFD" w:rsidRDefault="00D16B4F" w:rsidP="00D16B4F">
      <w:pPr>
        <w:rPr>
          <w:rFonts w:ascii="Arial" w:hAnsi="Arial" w:cs="Arial"/>
        </w:rPr>
      </w:pPr>
      <w:r w:rsidRPr="008D3DFD">
        <w:rPr>
          <w:rFonts w:ascii="Arial" w:hAnsi="Arial" w:cs="Arial"/>
          <w:b/>
          <w:bCs/>
        </w:rPr>
        <w:t>Rationale</w:t>
      </w:r>
      <w:r w:rsidRPr="008D3DFD">
        <w:rPr>
          <w:rFonts w:ascii="Arial" w:hAnsi="Arial" w:cs="Arial"/>
        </w:rPr>
        <w:t xml:space="preserve"> - Fit for use with caveats</w:t>
      </w:r>
    </w:p>
    <w:p w14:paraId="105077CD" w14:textId="77777777" w:rsidR="00D16B4F" w:rsidRPr="008D3DFD" w:rsidRDefault="00D16B4F" w:rsidP="00D16B4F">
      <w:pPr>
        <w:rPr>
          <w:rFonts w:ascii="Arial" w:hAnsi="Arial" w:cs="Arial"/>
        </w:rPr>
      </w:pPr>
      <w:r w:rsidRPr="008D3DFD">
        <w:rPr>
          <w:rFonts w:ascii="Arial" w:hAnsi="Arial" w:cs="Arial"/>
          <w:b/>
          <w:bCs/>
        </w:rPr>
        <w:t>Data</w:t>
      </w:r>
      <w:r w:rsidRPr="008D3DFD">
        <w:rPr>
          <w:rFonts w:ascii="Arial" w:hAnsi="Arial" w:cs="Arial"/>
        </w:rPr>
        <w:t xml:space="preserve"> - Fit for use with caveats</w:t>
      </w:r>
    </w:p>
    <w:p w14:paraId="7A10A4C6" w14:textId="77777777" w:rsidR="00D16B4F" w:rsidRPr="008D3DFD" w:rsidRDefault="00D16B4F" w:rsidP="00D16B4F">
      <w:pPr>
        <w:rPr>
          <w:rFonts w:ascii="Arial" w:hAnsi="Arial" w:cs="Arial"/>
        </w:rPr>
      </w:pPr>
      <w:r w:rsidRPr="008D3DFD">
        <w:rPr>
          <w:rFonts w:ascii="Arial" w:hAnsi="Arial" w:cs="Arial"/>
          <w:b/>
          <w:bCs/>
        </w:rPr>
        <w:t>Construction</w:t>
      </w:r>
      <w:r w:rsidRPr="008D3DFD">
        <w:rPr>
          <w:rFonts w:ascii="Arial" w:hAnsi="Arial" w:cs="Arial"/>
        </w:rPr>
        <w:t xml:space="preserve"> - Fit for use</w:t>
      </w:r>
    </w:p>
    <w:p w14:paraId="6B8E2DB3" w14:textId="77777777" w:rsidR="00D16B4F" w:rsidRPr="008D3DFD" w:rsidRDefault="00D16B4F" w:rsidP="00D16B4F">
      <w:pPr>
        <w:rPr>
          <w:rFonts w:ascii="Arial" w:hAnsi="Arial" w:cs="Arial"/>
        </w:rPr>
      </w:pPr>
      <w:r w:rsidRPr="008D3DFD">
        <w:rPr>
          <w:rFonts w:ascii="Arial" w:hAnsi="Arial" w:cs="Arial"/>
          <w:b/>
          <w:bCs/>
        </w:rPr>
        <w:t>Presentation and Interpretation</w:t>
      </w:r>
      <w:r w:rsidRPr="008D3DFD">
        <w:rPr>
          <w:rFonts w:ascii="Arial" w:hAnsi="Arial" w:cs="Arial"/>
        </w:rPr>
        <w:t xml:space="preserve"> - Fit for use with caveats</w:t>
      </w:r>
    </w:p>
    <w:p w14:paraId="487C09EA" w14:textId="77777777" w:rsidR="00D16B4F" w:rsidRPr="008D3DFD" w:rsidRDefault="00D16B4F" w:rsidP="00D16B4F">
      <w:pPr>
        <w:rPr>
          <w:rFonts w:ascii="Arial" w:hAnsi="Arial" w:cs="Arial"/>
          <w:b/>
          <w:bCs/>
        </w:rPr>
      </w:pPr>
      <w:r w:rsidRPr="008D3DFD">
        <w:rPr>
          <w:rFonts w:ascii="Arial" w:hAnsi="Arial" w:cs="Arial"/>
          <w:b/>
          <w:bCs/>
        </w:rPr>
        <w:t xml:space="preserve">Risks and Usefulness </w:t>
      </w:r>
      <w:r w:rsidRPr="008D3DFD">
        <w:rPr>
          <w:rFonts w:ascii="Arial" w:hAnsi="Arial" w:cs="Arial"/>
        </w:rPr>
        <w:t>- Fit for use</w:t>
      </w:r>
      <w:r w:rsidRPr="008D3DFD">
        <w:rPr>
          <w:rFonts w:ascii="Arial" w:hAnsi="Arial" w:cs="Arial"/>
          <w:b/>
          <w:bCs/>
        </w:rPr>
        <w:t xml:space="preserve"> </w:t>
      </w:r>
    </w:p>
    <w:p w14:paraId="51B4001C" w14:textId="35853AF1" w:rsidR="00D16B4F" w:rsidRPr="008D3DFD" w:rsidRDefault="00D16B4F" w:rsidP="00D16B4F">
      <w:pPr>
        <w:autoSpaceDE w:val="0"/>
        <w:autoSpaceDN w:val="0"/>
        <w:adjustRightInd w:val="0"/>
        <w:spacing w:after="0" w:line="240" w:lineRule="auto"/>
        <w:rPr>
          <w:rFonts w:ascii="Arial" w:hAnsi="Arial" w:cs="Arial"/>
          <w:b/>
          <w:bCs/>
        </w:rPr>
      </w:pPr>
      <w:r w:rsidRPr="008D3DFD">
        <w:rPr>
          <w:rFonts w:ascii="Arial" w:hAnsi="Arial" w:cs="Arial"/>
          <w:b/>
          <w:bCs/>
        </w:rPr>
        <w:t xml:space="preserve">Please find a detailed description of recommendations and actions in the appraisal log at the end of the document. </w:t>
      </w:r>
    </w:p>
    <w:p w14:paraId="5332EE31" w14:textId="77777777" w:rsidR="00D16B4F" w:rsidRPr="008D3DFD" w:rsidRDefault="00D16B4F" w:rsidP="00D16B4F">
      <w:pPr>
        <w:autoSpaceDE w:val="0"/>
        <w:autoSpaceDN w:val="0"/>
        <w:adjustRightInd w:val="0"/>
        <w:spacing w:after="0" w:line="240" w:lineRule="auto"/>
        <w:rPr>
          <w:rFonts w:ascii="Arial" w:hAnsi="Arial" w:cs="Arial"/>
        </w:rPr>
      </w:pPr>
    </w:p>
    <w:p w14:paraId="01751921" w14:textId="77777777" w:rsidR="00D16B4F" w:rsidRPr="008D3DFD" w:rsidRDefault="00D16B4F" w:rsidP="00D16B4F">
      <w:pPr>
        <w:autoSpaceDE w:val="0"/>
        <w:autoSpaceDN w:val="0"/>
        <w:adjustRightInd w:val="0"/>
        <w:spacing w:after="0" w:line="240" w:lineRule="auto"/>
        <w:rPr>
          <w:rFonts w:ascii="Arial" w:hAnsi="Arial" w:cs="Arial"/>
        </w:rPr>
      </w:pPr>
      <w:r w:rsidRPr="008D3DFD">
        <w:rPr>
          <w:rFonts w:ascii="Arial" w:hAnsi="Arial" w:cs="Arial"/>
          <w:b/>
          <w:bCs/>
        </w:rPr>
        <w:t xml:space="preserve">Summary Recommendation to Applicant: </w:t>
      </w:r>
    </w:p>
    <w:p w14:paraId="0451AA22" w14:textId="63E8A1F2" w:rsidR="00D16B4F" w:rsidRPr="008D3DFD" w:rsidRDefault="00D16B4F" w:rsidP="00D16B4F">
      <w:pPr>
        <w:autoSpaceDE w:val="0"/>
        <w:autoSpaceDN w:val="0"/>
        <w:adjustRightInd w:val="0"/>
        <w:spacing w:after="0" w:line="240" w:lineRule="auto"/>
        <w:rPr>
          <w:rFonts w:ascii="Arial" w:hAnsi="Arial" w:cs="Arial"/>
        </w:rPr>
      </w:pPr>
      <w:r w:rsidRPr="008D3DFD">
        <w:rPr>
          <w:rFonts w:ascii="Arial" w:hAnsi="Arial" w:cs="Arial"/>
        </w:rPr>
        <w:t xml:space="preserve">MRG would like to thank the applicant for presenting this indicator. Members agreed that the application had much merit. The group agreed a number of proposed changes to the documentation, details of which are outlined in the appraisal log below. The group agreed that there were no significant queries to resolve and their assessment was therefore “Fit for use with caveats” and the application could continue to Indicator Governance Board (IGB) on the basis that the recommendations in the appraisal log are acted upon. </w:t>
      </w:r>
    </w:p>
    <w:p w14:paraId="6E999A14" w14:textId="77777777" w:rsidR="00D16B4F" w:rsidRPr="008D3DFD" w:rsidRDefault="00D16B4F" w:rsidP="00D16B4F">
      <w:pPr>
        <w:autoSpaceDE w:val="0"/>
        <w:autoSpaceDN w:val="0"/>
        <w:adjustRightInd w:val="0"/>
        <w:spacing w:after="0" w:line="240" w:lineRule="auto"/>
        <w:rPr>
          <w:rFonts w:ascii="Arial" w:hAnsi="Arial" w:cs="Arial"/>
        </w:rPr>
      </w:pPr>
    </w:p>
    <w:p w14:paraId="4BF89519" w14:textId="270D5C1D" w:rsidR="00D16B4F" w:rsidRPr="008D3DFD" w:rsidRDefault="00D16B4F" w:rsidP="00D16B4F">
      <w:pPr>
        <w:autoSpaceDE w:val="0"/>
        <w:autoSpaceDN w:val="0"/>
        <w:adjustRightInd w:val="0"/>
        <w:spacing w:after="0" w:line="240" w:lineRule="auto"/>
        <w:rPr>
          <w:rFonts w:ascii="Arial" w:hAnsi="Arial" w:cs="Arial"/>
          <w:b/>
          <w:bCs/>
        </w:rPr>
      </w:pPr>
      <w:r w:rsidRPr="008D3DFD">
        <w:rPr>
          <w:rFonts w:ascii="Arial" w:hAnsi="Arial" w:cs="Arial"/>
          <w:b/>
          <w:bCs/>
        </w:rPr>
        <w:t xml:space="preserve">Summary Recommendation to IGB: </w:t>
      </w:r>
    </w:p>
    <w:p w14:paraId="46939D40" w14:textId="7F3EE7D3" w:rsidR="008D3DFD" w:rsidRPr="008D3DFD" w:rsidRDefault="008D3DFD" w:rsidP="00D16B4F">
      <w:pPr>
        <w:autoSpaceDE w:val="0"/>
        <w:autoSpaceDN w:val="0"/>
        <w:adjustRightInd w:val="0"/>
        <w:spacing w:after="0" w:line="240" w:lineRule="auto"/>
        <w:rPr>
          <w:rFonts w:ascii="Arial" w:hAnsi="Arial" w:cs="Arial"/>
        </w:rPr>
      </w:pPr>
      <w:r w:rsidRPr="008D3DFD">
        <w:rPr>
          <w:rFonts w:ascii="Arial" w:hAnsi="Arial" w:cs="Arial"/>
          <w:b/>
          <w:bCs/>
        </w:rPr>
        <w:t>Key findings</w:t>
      </w:r>
    </w:p>
    <w:p w14:paraId="3C4499E7" w14:textId="666DEBFA" w:rsidR="00D16B4F" w:rsidRPr="008D3DFD" w:rsidRDefault="00D16B4F" w:rsidP="00D16B4F">
      <w:pPr>
        <w:autoSpaceDE w:val="0"/>
        <w:autoSpaceDN w:val="0"/>
        <w:adjustRightInd w:val="0"/>
        <w:spacing w:after="0" w:line="240" w:lineRule="auto"/>
        <w:rPr>
          <w:rFonts w:ascii="Arial" w:hAnsi="Arial" w:cs="Arial"/>
        </w:rPr>
      </w:pPr>
      <w:r w:rsidRPr="008D3DFD">
        <w:rPr>
          <w:rFonts w:ascii="Arial" w:hAnsi="Arial" w:cs="Arial"/>
        </w:rPr>
        <w:t xml:space="preserve"> </w:t>
      </w:r>
    </w:p>
    <w:p w14:paraId="318985AC" w14:textId="77777777" w:rsidR="00D16B4F" w:rsidRPr="008D3DFD" w:rsidRDefault="00D16B4F" w:rsidP="00D16B4F">
      <w:pPr>
        <w:autoSpaceDE w:val="0"/>
        <w:autoSpaceDN w:val="0"/>
        <w:adjustRightInd w:val="0"/>
        <w:spacing w:after="18" w:line="240" w:lineRule="auto"/>
        <w:rPr>
          <w:rFonts w:ascii="Arial" w:hAnsi="Arial" w:cs="Arial"/>
        </w:rPr>
      </w:pPr>
      <w:r w:rsidRPr="008D3DFD">
        <w:rPr>
          <w:rFonts w:ascii="Arial" w:hAnsi="Arial" w:cs="Arial"/>
        </w:rPr>
        <w:lastRenderedPageBreak/>
        <w:t xml:space="preserve">Make clear in the presentation of the indicator output and specification that the indicator value is a count </w:t>
      </w:r>
    </w:p>
    <w:p w14:paraId="03D9E723" w14:textId="77777777" w:rsidR="00D16B4F" w:rsidRPr="008D3DFD" w:rsidRDefault="00D16B4F" w:rsidP="00D16B4F">
      <w:pPr>
        <w:autoSpaceDE w:val="0"/>
        <w:autoSpaceDN w:val="0"/>
        <w:adjustRightInd w:val="0"/>
        <w:spacing w:after="18" w:line="240" w:lineRule="auto"/>
        <w:rPr>
          <w:rFonts w:ascii="Arial" w:hAnsi="Arial" w:cs="Arial"/>
        </w:rPr>
      </w:pPr>
      <w:r w:rsidRPr="008D3DFD">
        <w:rPr>
          <w:rFonts w:ascii="Arial" w:hAnsi="Arial" w:cs="Arial"/>
        </w:rPr>
        <w:t xml:space="preserve">• Reference that the definition of the indicator is shortly expected to be amended </w:t>
      </w:r>
    </w:p>
    <w:p w14:paraId="5984E069" w14:textId="2DC5A8A2" w:rsidR="00D16B4F" w:rsidRPr="008D3DFD" w:rsidRDefault="00D16B4F" w:rsidP="00D16B4F">
      <w:pPr>
        <w:autoSpaceDE w:val="0"/>
        <w:autoSpaceDN w:val="0"/>
        <w:adjustRightInd w:val="0"/>
        <w:spacing w:after="0" w:line="240" w:lineRule="auto"/>
        <w:rPr>
          <w:rFonts w:ascii="Arial" w:hAnsi="Arial" w:cs="Arial"/>
        </w:rPr>
      </w:pPr>
      <w:r w:rsidRPr="008D3DFD">
        <w:rPr>
          <w:rFonts w:ascii="Arial" w:hAnsi="Arial" w:cs="Arial"/>
        </w:rPr>
        <w:t xml:space="preserve">• The section of Data Quality needs to be reinforced to clarify that the data for someone attending an out of area trust will have his / her data tracked back to his / her home Clinical Commissioning Group (CCG) </w:t>
      </w:r>
    </w:p>
    <w:p w14:paraId="4E9FC080" w14:textId="77777777" w:rsidR="00DB0AEB" w:rsidRPr="008D3DFD" w:rsidRDefault="00DB0AEB" w:rsidP="00DB0AEB">
      <w:pPr>
        <w:autoSpaceDE w:val="0"/>
        <w:autoSpaceDN w:val="0"/>
        <w:adjustRightInd w:val="0"/>
        <w:spacing w:after="0" w:line="240" w:lineRule="auto"/>
        <w:rPr>
          <w:rFonts w:ascii="Arial" w:hAnsi="Arial" w:cs="Arial"/>
          <w:b/>
          <w:bCs/>
        </w:rPr>
      </w:pPr>
      <w:r w:rsidRPr="008D3DFD">
        <w:rPr>
          <w:rFonts w:ascii="Arial" w:hAnsi="Arial" w:cs="Arial"/>
          <w:b/>
          <w:bCs/>
        </w:rPr>
        <w:t>Assurance Record</w:t>
      </w:r>
    </w:p>
    <w:p w14:paraId="473E2EF3" w14:textId="77777777" w:rsidR="00DB0AEB" w:rsidRPr="008D3DFD" w:rsidRDefault="00DB0AEB" w:rsidP="00DB0AEB">
      <w:pPr>
        <w:autoSpaceDE w:val="0"/>
        <w:autoSpaceDN w:val="0"/>
        <w:adjustRightInd w:val="0"/>
        <w:spacing w:after="0" w:line="240" w:lineRule="auto"/>
        <w:rPr>
          <w:rFonts w:ascii="Arial" w:hAnsi="Arial" w:cs="Arial"/>
          <w:b/>
          <w:bCs/>
        </w:rPr>
      </w:pPr>
      <w:r w:rsidRPr="008D3DFD">
        <w:rPr>
          <w:rFonts w:ascii="Arial" w:hAnsi="Arial" w:cs="Arial"/>
          <w:b/>
          <w:bCs/>
        </w:rPr>
        <w:t xml:space="preserve">IAP00141 </w:t>
      </w:r>
    </w:p>
    <w:p w14:paraId="75FDD76C" w14:textId="2306642F" w:rsidR="00DB0AEB" w:rsidRPr="008D3DFD" w:rsidRDefault="00DB0AEB" w:rsidP="00DB0AEB">
      <w:pPr>
        <w:autoSpaceDE w:val="0"/>
        <w:autoSpaceDN w:val="0"/>
        <w:adjustRightInd w:val="0"/>
        <w:spacing w:after="0" w:line="240" w:lineRule="auto"/>
        <w:rPr>
          <w:rFonts w:ascii="Arial" w:hAnsi="Arial" w:cs="Arial"/>
        </w:rPr>
      </w:pPr>
      <w:r w:rsidRPr="008D3DFD">
        <w:rPr>
          <w:rFonts w:ascii="Arial" w:hAnsi="Arial" w:cs="Arial"/>
        </w:rPr>
        <w:t xml:space="preserve">Incidence of Healthcare Associated Infection (HCAI) - C. difficile infection </w:t>
      </w:r>
    </w:p>
    <w:p w14:paraId="263E47BE" w14:textId="46E83E44" w:rsidR="00DB0AEB" w:rsidRPr="008D3DFD" w:rsidRDefault="008D3DFD" w:rsidP="00DB0AEB">
      <w:pPr>
        <w:autoSpaceDE w:val="0"/>
        <w:autoSpaceDN w:val="0"/>
        <w:adjustRightInd w:val="0"/>
        <w:spacing w:after="0" w:line="240" w:lineRule="auto"/>
        <w:rPr>
          <w:rFonts w:ascii="Arial" w:hAnsi="Arial" w:cs="Arial"/>
        </w:rPr>
      </w:pPr>
      <w:r w:rsidRPr="008D3DFD">
        <w:rPr>
          <w:rFonts w:ascii="Arial" w:hAnsi="Arial" w:cs="Arial"/>
          <w:b/>
          <w:bCs/>
        </w:rPr>
        <w:t>Appraisal Log Clarity</w:t>
      </w:r>
    </w:p>
    <w:tbl>
      <w:tblPr>
        <w:tblStyle w:val="TableGrid"/>
        <w:tblW w:w="0" w:type="auto"/>
        <w:tblLayout w:type="fixed"/>
        <w:tblLook w:val="0020" w:firstRow="1" w:lastRow="0" w:firstColumn="0" w:lastColumn="0" w:noHBand="0" w:noVBand="0"/>
      </w:tblPr>
      <w:tblGrid>
        <w:gridCol w:w="1526"/>
        <w:gridCol w:w="3260"/>
        <w:gridCol w:w="1370"/>
        <w:gridCol w:w="3591"/>
        <w:gridCol w:w="993"/>
        <w:gridCol w:w="1572"/>
        <w:gridCol w:w="2054"/>
      </w:tblGrid>
      <w:tr w:rsidR="008D3DFD" w:rsidRPr="008D3DFD" w14:paraId="0FFB6B08" w14:textId="77777777" w:rsidTr="008D3DFD">
        <w:trPr>
          <w:trHeight w:val="248"/>
        </w:trPr>
        <w:tc>
          <w:tcPr>
            <w:tcW w:w="1526" w:type="dxa"/>
          </w:tcPr>
          <w:p w14:paraId="51675261" w14:textId="77777777" w:rsidR="00DB0AEB" w:rsidRPr="008D3DFD" w:rsidRDefault="00DB0AEB" w:rsidP="00DB0AEB">
            <w:pPr>
              <w:autoSpaceDE w:val="0"/>
              <w:autoSpaceDN w:val="0"/>
              <w:adjustRightInd w:val="0"/>
              <w:rPr>
                <w:rFonts w:ascii="Arial" w:hAnsi="Arial" w:cs="Arial"/>
              </w:rPr>
            </w:pPr>
            <w:r w:rsidRPr="008D3DFD">
              <w:rPr>
                <w:rFonts w:ascii="Arial" w:hAnsi="Arial" w:cs="Arial"/>
                <w:b/>
                <w:bCs/>
              </w:rPr>
              <w:t xml:space="preserve">Rec. no </w:t>
            </w:r>
          </w:p>
        </w:tc>
        <w:tc>
          <w:tcPr>
            <w:tcW w:w="3260" w:type="dxa"/>
          </w:tcPr>
          <w:p w14:paraId="03D02B0F" w14:textId="77777777" w:rsidR="00DB0AEB" w:rsidRPr="008D3DFD" w:rsidRDefault="00DB0AEB" w:rsidP="00DB0AEB">
            <w:pPr>
              <w:autoSpaceDE w:val="0"/>
              <w:autoSpaceDN w:val="0"/>
              <w:adjustRightInd w:val="0"/>
              <w:rPr>
                <w:rFonts w:ascii="Arial" w:hAnsi="Arial" w:cs="Arial"/>
              </w:rPr>
            </w:pPr>
            <w:r w:rsidRPr="008D3DFD">
              <w:rPr>
                <w:rFonts w:ascii="Arial" w:hAnsi="Arial" w:cs="Arial"/>
                <w:b/>
                <w:bCs/>
              </w:rPr>
              <w:t xml:space="preserve">Issue or recommendation </w:t>
            </w:r>
          </w:p>
        </w:tc>
        <w:tc>
          <w:tcPr>
            <w:tcW w:w="1370" w:type="dxa"/>
          </w:tcPr>
          <w:p w14:paraId="64108D6D" w14:textId="77777777" w:rsidR="00DB0AEB" w:rsidRPr="008D3DFD" w:rsidRDefault="00DB0AEB" w:rsidP="00DB0AEB">
            <w:pPr>
              <w:autoSpaceDE w:val="0"/>
              <w:autoSpaceDN w:val="0"/>
              <w:adjustRightInd w:val="0"/>
              <w:rPr>
                <w:rFonts w:ascii="Arial" w:hAnsi="Arial" w:cs="Arial"/>
              </w:rPr>
            </w:pPr>
            <w:r w:rsidRPr="008D3DFD">
              <w:rPr>
                <w:rFonts w:ascii="Arial" w:hAnsi="Arial" w:cs="Arial"/>
                <w:b/>
                <w:bCs/>
              </w:rPr>
              <w:t xml:space="preserve">Raised by / Date </w:t>
            </w:r>
          </w:p>
        </w:tc>
        <w:tc>
          <w:tcPr>
            <w:tcW w:w="3591" w:type="dxa"/>
          </w:tcPr>
          <w:p w14:paraId="6A0E8A87" w14:textId="77777777" w:rsidR="00DB0AEB" w:rsidRPr="008D3DFD" w:rsidRDefault="00DB0AEB" w:rsidP="00DB0AEB">
            <w:pPr>
              <w:autoSpaceDE w:val="0"/>
              <w:autoSpaceDN w:val="0"/>
              <w:adjustRightInd w:val="0"/>
              <w:rPr>
                <w:rFonts w:ascii="Arial" w:hAnsi="Arial" w:cs="Arial"/>
              </w:rPr>
            </w:pPr>
            <w:r w:rsidRPr="008D3DFD">
              <w:rPr>
                <w:rFonts w:ascii="Arial" w:hAnsi="Arial" w:cs="Arial"/>
                <w:b/>
                <w:bCs/>
              </w:rPr>
              <w:t xml:space="preserve">Response or Action taken by applicant </w:t>
            </w:r>
          </w:p>
        </w:tc>
        <w:tc>
          <w:tcPr>
            <w:tcW w:w="993" w:type="dxa"/>
          </w:tcPr>
          <w:p w14:paraId="4AE54784" w14:textId="77777777" w:rsidR="00DB0AEB" w:rsidRPr="008D3DFD" w:rsidRDefault="00DB0AEB" w:rsidP="00DB0AEB">
            <w:pPr>
              <w:autoSpaceDE w:val="0"/>
              <w:autoSpaceDN w:val="0"/>
              <w:adjustRightInd w:val="0"/>
              <w:rPr>
                <w:rFonts w:ascii="Arial" w:hAnsi="Arial" w:cs="Arial"/>
              </w:rPr>
            </w:pPr>
            <w:r w:rsidRPr="008D3DFD">
              <w:rPr>
                <w:rFonts w:ascii="Arial" w:hAnsi="Arial" w:cs="Arial"/>
                <w:b/>
                <w:bCs/>
              </w:rPr>
              <w:t xml:space="preserve">Response date </w:t>
            </w:r>
          </w:p>
        </w:tc>
        <w:tc>
          <w:tcPr>
            <w:tcW w:w="1572" w:type="dxa"/>
          </w:tcPr>
          <w:p w14:paraId="58F57110" w14:textId="77777777" w:rsidR="00DB0AEB" w:rsidRPr="008D3DFD" w:rsidRDefault="00DB0AEB" w:rsidP="00DB0AEB">
            <w:pPr>
              <w:autoSpaceDE w:val="0"/>
              <w:autoSpaceDN w:val="0"/>
              <w:adjustRightInd w:val="0"/>
              <w:rPr>
                <w:rFonts w:ascii="Arial" w:hAnsi="Arial" w:cs="Arial"/>
              </w:rPr>
            </w:pPr>
            <w:r w:rsidRPr="008D3DFD">
              <w:rPr>
                <w:rFonts w:ascii="Arial" w:hAnsi="Arial" w:cs="Arial"/>
                <w:b/>
                <w:bCs/>
              </w:rPr>
              <w:t xml:space="preserve">Resolved </w:t>
            </w:r>
          </w:p>
        </w:tc>
        <w:tc>
          <w:tcPr>
            <w:tcW w:w="2054" w:type="dxa"/>
          </w:tcPr>
          <w:p w14:paraId="5AFF520C" w14:textId="77777777" w:rsidR="00DB0AEB" w:rsidRPr="008D3DFD" w:rsidRDefault="00DB0AEB" w:rsidP="00DB0AEB">
            <w:pPr>
              <w:autoSpaceDE w:val="0"/>
              <w:autoSpaceDN w:val="0"/>
              <w:adjustRightInd w:val="0"/>
              <w:rPr>
                <w:rFonts w:ascii="Arial" w:hAnsi="Arial" w:cs="Arial"/>
              </w:rPr>
            </w:pPr>
            <w:r w:rsidRPr="008D3DFD">
              <w:rPr>
                <w:rFonts w:ascii="Arial" w:hAnsi="Arial" w:cs="Arial"/>
                <w:b/>
                <w:bCs/>
              </w:rPr>
              <w:t xml:space="preserve">Sign off by / Date </w:t>
            </w:r>
          </w:p>
        </w:tc>
      </w:tr>
      <w:tr w:rsidR="008D3DFD" w:rsidRPr="008D3DFD" w14:paraId="3D0BD7C1" w14:textId="77777777" w:rsidTr="008D3DFD">
        <w:trPr>
          <w:trHeight w:val="1057"/>
        </w:trPr>
        <w:tc>
          <w:tcPr>
            <w:tcW w:w="1526" w:type="dxa"/>
          </w:tcPr>
          <w:p w14:paraId="3B45CF20"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1a </w:t>
            </w:r>
          </w:p>
        </w:tc>
        <w:tc>
          <w:tcPr>
            <w:tcW w:w="3260" w:type="dxa"/>
          </w:tcPr>
          <w:p w14:paraId="0027C177"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The title of the indicator should be clarified. The use of “incidence” suggests the indicator could be a rate. The applicant should considerer changing the title to “Count of” rather than “Incidence of” </w:t>
            </w:r>
          </w:p>
          <w:p w14:paraId="0E560B3B"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It is also suggested that the title reference that this is data recorded in trusts </w:t>
            </w:r>
          </w:p>
          <w:p w14:paraId="2151DFA3" w14:textId="77777777" w:rsidR="00DB0AEB" w:rsidRPr="008D3DFD" w:rsidRDefault="00DB0AEB" w:rsidP="00DB0AEB">
            <w:pPr>
              <w:autoSpaceDE w:val="0"/>
              <w:autoSpaceDN w:val="0"/>
              <w:adjustRightInd w:val="0"/>
              <w:rPr>
                <w:rFonts w:ascii="Arial" w:hAnsi="Arial" w:cs="Arial"/>
              </w:rPr>
            </w:pPr>
          </w:p>
          <w:p w14:paraId="79B607C9" w14:textId="77777777" w:rsidR="00DB0AEB" w:rsidRPr="008D3DFD" w:rsidRDefault="00DB0AEB" w:rsidP="00DB0AEB">
            <w:pPr>
              <w:autoSpaceDE w:val="0"/>
              <w:autoSpaceDN w:val="0"/>
              <w:adjustRightInd w:val="0"/>
              <w:rPr>
                <w:rFonts w:ascii="Arial" w:hAnsi="Arial" w:cs="Arial"/>
              </w:rPr>
            </w:pPr>
          </w:p>
          <w:p w14:paraId="1035A69C" w14:textId="53AEC62E" w:rsidR="00DB0AEB" w:rsidRPr="008D3DFD" w:rsidRDefault="00DB0AEB" w:rsidP="00DB0AEB">
            <w:pPr>
              <w:autoSpaceDE w:val="0"/>
              <w:autoSpaceDN w:val="0"/>
              <w:adjustRightInd w:val="0"/>
              <w:rPr>
                <w:rFonts w:ascii="Arial" w:hAnsi="Arial" w:cs="Arial"/>
              </w:rPr>
            </w:pPr>
          </w:p>
        </w:tc>
        <w:tc>
          <w:tcPr>
            <w:tcW w:w="1370" w:type="dxa"/>
          </w:tcPr>
          <w:p w14:paraId="754560DF"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02/11/2017 </w:t>
            </w:r>
          </w:p>
        </w:tc>
        <w:tc>
          <w:tcPr>
            <w:tcW w:w="3591" w:type="dxa"/>
          </w:tcPr>
          <w:p w14:paraId="2A62277B" w14:textId="151241F0"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The indicator titles are defined by NHS England and the Department of </w:t>
            </w:r>
            <w:r w:rsidR="00A44141" w:rsidRPr="008D3DFD">
              <w:rPr>
                <w:rFonts w:ascii="Arial" w:hAnsi="Arial" w:cs="Arial"/>
              </w:rPr>
              <w:t>Health and</w:t>
            </w:r>
            <w:r w:rsidRPr="008D3DFD">
              <w:rPr>
                <w:rFonts w:ascii="Arial" w:hAnsi="Arial" w:cs="Arial"/>
              </w:rPr>
              <w:t xml:space="preserve"> are consistent across the CCG Outcomes Indicator Set and NHS Outcomes Framework. Therefore, whilst the title cannot be changed, it will be made clear in the presentation of the indicator output and specification that the indicator value is a count. </w:t>
            </w:r>
          </w:p>
          <w:p w14:paraId="713A8B26" w14:textId="77777777" w:rsidR="00DB0AEB" w:rsidRPr="008D3DFD" w:rsidRDefault="00DB0AEB" w:rsidP="00DB0AEB">
            <w:pPr>
              <w:autoSpaceDE w:val="0"/>
              <w:autoSpaceDN w:val="0"/>
              <w:adjustRightInd w:val="0"/>
              <w:rPr>
                <w:rFonts w:ascii="Arial" w:hAnsi="Arial" w:cs="Arial"/>
              </w:rPr>
            </w:pPr>
          </w:p>
          <w:p w14:paraId="0CC880D1" w14:textId="77777777" w:rsidR="00DB0AEB" w:rsidRPr="008D3DFD" w:rsidRDefault="00DB0AEB" w:rsidP="00DB0AEB">
            <w:pPr>
              <w:autoSpaceDE w:val="0"/>
              <w:autoSpaceDN w:val="0"/>
              <w:adjustRightInd w:val="0"/>
              <w:rPr>
                <w:rFonts w:ascii="Arial" w:hAnsi="Arial" w:cs="Arial"/>
              </w:rPr>
            </w:pPr>
          </w:p>
          <w:p w14:paraId="15487520" w14:textId="77777777" w:rsidR="00DB0AEB" w:rsidRPr="008D3DFD" w:rsidRDefault="00DB0AEB" w:rsidP="00DB0AEB">
            <w:pPr>
              <w:autoSpaceDE w:val="0"/>
              <w:autoSpaceDN w:val="0"/>
              <w:adjustRightInd w:val="0"/>
              <w:rPr>
                <w:rFonts w:ascii="Arial" w:hAnsi="Arial" w:cs="Arial"/>
              </w:rPr>
            </w:pPr>
          </w:p>
          <w:p w14:paraId="081D930A" w14:textId="77777777" w:rsidR="00DB0AEB" w:rsidRPr="008D3DFD" w:rsidRDefault="00DB0AEB" w:rsidP="00DB0AEB">
            <w:pPr>
              <w:autoSpaceDE w:val="0"/>
              <w:autoSpaceDN w:val="0"/>
              <w:adjustRightInd w:val="0"/>
              <w:rPr>
                <w:rFonts w:ascii="Arial" w:hAnsi="Arial" w:cs="Arial"/>
              </w:rPr>
            </w:pPr>
          </w:p>
          <w:p w14:paraId="6B96A0D6" w14:textId="77777777" w:rsidR="00DB0AEB" w:rsidRPr="008D3DFD" w:rsidRDefault="00DB0AEB" w:rsidP="00DB0AEB">
            <w:pPr>
              <w:autoSpaceDE w:val="0"/>
              <w:autoSpaceDN w:val="0"/>
              <w:adjustRightInd w:val="0"/>
              <w:rPr>
                <w:rFonts w:ascii="Arial" w:hAnsi="Arial" w:cs="Arial"/>
              </w:rPr>
            </w:pPr>
          </w:p>
          <w:p w14:paraId="336C5CDC" w14:textId="77777777" w:rsidR="00DB0AEB" w:rsidRPr="008D3DFD" w:rsidRDefault="00DB0AEB" w:rsidP="00DB0AEB">
            <w:pPr>
              <w:autoSpaceDE w:val="0"/>
              <w:autoSpaceDN w:val="0"/>
              <w:adjustRightInd w:val="0"/>
              <w:rPr>
                <w:rFonts w:ascii="Arial" w:hAnsi="Arial" w:cs="Arial"/>
              </w:rPr>
            </w:pPr>
          </w:p>
          <w:p w14:paraId="4903B3F9" w14:textId="77777777" w:rsidR="00DB0AEB" w:rsidRPr="008D3DFD" w:rsidRDefault="00DB0AEB" w:rsidP="00DB0AEB">
            <w:pPr>
              <w:autoSpaceDE w:val="0"/>
              <w:autoSpaceDN w:val="0"/>
              <w:adjustRightInd w:val="0"/>
              <w:rPr>
                <w:rFonts w:ascii="Arial" w:hAnsi="Arial" w:cs="Arial"/>
              </w:rPr>
            </w:pPr>
          </w:p>
          <w:p w14:paraId="0A542585" w14:textId="77777777" w:rsidR="00DB0AEB" w:rsidRPr="008D3DFD" w:rsidRDefault="00DB0AEB" w:rsidP="00DB0AEB">
            <w:pPr>
              <w:autoSpaceDE w:val="0"/>
              <w:autoSpaceDN w:val="0"/>
              <w:adjustRightInd w:val="0"/>
              <w:rPr>
                <w:rFonts w:ascii="Arial" w:hAnsi="Arial" w:cs="Arial"/>
              </w:rPr>
            </w:pPr>
          </w:p>
          <w:p w14:paraId="226DBD04" w14:textId="77777777" w:rsidR="00DB0AEB" w:rsidRPr="008D3DFD" w:rsidRDefault="00DB0AEB" w:rsidP="00DB0AEB">
            <w:pPr>
              <w:autoSpaceDE w:val="0"/>
              <w:autoSpaceDN w:val="0"/>
              <w:adjustRightInd w:val="0"/>
              <w:rPr>
                <w:rFonts w:ascii="Arial" w:hAnsi="Arial" w:cs="Arial"/>
              </w:rPr>
            </w:pPr>
          </w:p>
          <w:p w14:paraId="7D54DFB3" w14:textId="77777777" w:rsidR="00DB0AEB" w:rsidRPr="008D3DFD" w:rsidRDefault="00DB0AEB" w:rsidP="00DB0AEB">
            <w:pPr>
              <w:autoSpaceDE w:val="0"/>
              <w:autoSpaceDN w:val="0"/>
              <w:adjustRightInd w:val="0"/>
              <w:rPr>
                <w:rFonts w:ascii="Arial" w:hAnsi="Arial" w:cs="Arial"/>
              </w:rPr>
            </w:pPr>
          </w:p>
          <w:p w14:paraId="52EEC990" w14:textId="77777777" w:rsidR="00DB0AEB" w:rsidRPr="008D3DFD" w:rsidRDefault="00DB0AEB" w:rsidP="00DB0AEB">
            <w:pPr>
              <w:autoSpaceDE w:val="0"/>
              <w:autoSpaceDN w:val="0"/>
              <w:adjustRightInd w:val="0"/>
              <w:rPr>
                <w:rFonts w:ascii="Arial" w:hAnsi="Arial" w:cs="Arial"/>
              </w:rPr>
            </w:pPr>
          </w:p>
          <w:p w14:paraId="71F48EE6" w14:textId="77777777" w:rsidR="00DB0AEB" w:rsidRPr="008D3DFD" w:rsidRDefault="00DB0AEB" w:rsidP="00DB0AEB">
            <w:pPr>
              <w:autoSpaceDE w:val="0"/>
              <w:autoSpaceDN w:val="0"/>
              <w:adjustRightInd w:val="0"/>
              <w:rPr>
                <w:rFonts w:ascii="Arial" w:hAnsi="Arial" w:cs="Arial"/>
              </w:rPr>
            </w:pPr>
          </w:p>
          <w:p w14:paraId="7B56A666" w14:textId="77777777" w:rsidR="00DB0AEB" w:rsidRPr="008D3DFD" w:rsidRDefault="00DB0AEB" w:rsidP="00DB0AEB">
            <w:pPr>
              <w:autoSpaceDE w:val="0"/>
              <w:autoSpaceDN w:val="0"/>
              <w:adjustRightInd w:val="0"/>
              <w:rPr>
                <w:rFonts w:ascii="Arial" w:hAnsi="Arial" w:cs="Arial"/>
              </w:rPr>
            </w:pPr>
          </w:p>
          <w:p w14:paraId="52421FDB" w14:textId="77777777" w:rsidR="00DB0AEB" w:rsidRPr="008D3DFD" w:rsidRDefault="00DB0AEB" w:rsidP="00DB0AEB">
            <w:pPr>
              <w:autoSpaceDE w:val="0"/>
              <w:autoSpaceDN w:val="0"/>
              <w:adjustRightInd w:val="0"/>
              <w:rPr>
                <w:rFonts w:ascii="Arial" w:hAnsi="Arial" w:cs="Arial"/>
              </w:rPr>
            </w:pPr>
          </w:p>
          <w:p w14:paraId="4B7D9E3C" w14:textId="77777777" w:rsidR="00DB0AEB" w:rsidRPr="008D3DFD" w:rsidRDefault="00DB0AEB" w:rsidP="00DB0AEB">
            <w:pPr>
              <w:autoSpaceDE w:val="0"/>
              <w:autoSpaceDN w:val="0"/>
              <w:adjustRightInd w:val="0"/>
              <w:rPr>
                <w:rFonts w:ascii="Arial" w:hAnsi="Arial" w:cs="Arial"/>
              </w:rPr>
            </w:pPr>
          </w:p>
          <w:p w14:paraId="13206097" w14:textId="77777777" w:rsidR="00DB0AEB" w:rsidRPr="008D3DFD" w:rsidRDefault="00DB0AEB" w:rsidP="00DB0AEB">
            <w:pPr>
              <w:autoSpaceDE w:val="0"/>
              <w:autoSpaceDN w:val="0"/>
              <w:adjustRightInd w:val="0"/>
              <w:rPr>
                <w:rFonts w:ascii="Arial" w:hAnsi="Arial" w:cs="Arial"/>
              </w:rPr>
            </w:pPr>
          </w:p>
          <w:p w14:paraId="439AF10E" w14:textId="77777777" w:rsidR="00DB0AEB" w:rsidRPr="008D3DFD" w:rsidRDefault="00DB0AEB" w:rsidP="00DB0AEB">
            <w:pPr>
              <w:autoSpaceDE w:val="0"/>
              <w:autoSpaceDN w:val="0"/>
              <w:adjustRightInd w:val="0"/>
              <w:rPr>
                <w:rFonts w:ascii="Arial" w:hAnsi="Arial" w:cs="Arial"/>
              </w:rPr>
            </w:pPr>
          </w:p>
          <w:p w14:paraId="7012CDC6" w14:textId="77777777" w:rsidR="00DB0AEB" w:rsidRPr="008D3DFD" w:rsidRDefault="00DB0AEB" w:rsidP="00DB0AEB">
            <w:pPr>
              <w:autoSpaceDE w:val="0"/>
              <w:autoSpaceDN w:val="0"/>
              <w:adjustRightInd w:val="0"/>
              <w:rPr>
                <w:rFonts w:ascii="Arial" w:hAnsi="Arial" w:cs="Arial"/>
              </w:rPr>
            </w:pPr>
          </w:p>
          <w:p w14:paraId="2164849E" w14:textId="77777777" w:rsidR="00DB0AEB" w:rsidRPr="008D3DFD" w:rsidRDefault="00DB0AEB" w:rsidP="00DB0AEB">
            <w:pPr>
              <w:autoSpaceDE w:val="0"/>
              <w:autoSpaceDN w:val="0"/>
              <w:adjustRightInd w:val="0"/>
              <w:rPr>
                <w:rFonts w:ascii="Arial" w:hAnsi="Arial" w:cs="Arial"/>
              </w:rPr>
            </w:pPr>
          </w:p>
          <w:p w14:paraId="48217A3E" w14:textId="77777777" w:rsidR="00DB0AEB" w:rsidRPr="008D3DFD" w:rsidRDefault="00DB0AEB" w:rsidP="00DB0AEB">
            <w:pPr>
              <w:autoSpaceDE w:val="0"/>
              <w:autoSpaceDN w:val="0"/>
              <w:adjustRightInd w:val="0"/>
              <w:rPr>
                <w:rFonts w:ascii="Arial" w:hAnsi="Arial" w:cs="Arial"/>
              </w:rPr>
            </w:pPr>
          </w:p>
          <w:p w14:paraId="01A24E0C" w14:textId="28405C4B" w:rsidR="00DB0AEB" w:rsidRPr="008D3DFD" w:rsidRDefault="00DB0AEB" w:rsidP="00DB0AEB">
            <w:pPr>
              <w:autoSpaceDE w:val="0"/>
              <w:autoSpaceDN w:val="0"/>
              <w:adjustRightInd w:val="0"/>
              <w:rPr>
                <w:rFonts w:ascii="Arial" w:hAnsi="Arial" w:cs="Arial"/>
              </w:rPr>
            </w:pPr>
          </w:p>
        </w:tc>
        <w:tc>
          <w:tcPr>
            <w:tcW w:w="993" w:type="dxa"/>
          </w:tcPr>
          <w:p w14:paraId="4A98D1CA"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lastRenderedPageBreak/>
              <w:t xml:space="preserve">03/01/2018 </w:t>
            </w:r>
          </w:p>
        </w:tc>
        <w:tc>
          <w:tcPr>
            <w:tcW w:w="1572" w:type="dxa"/>
          </w:tcPr>
          <w:p w14:paraId="63B50B66" w14:textId="77777777" w:rsidR="00DB0AEB" w:rsidRPr="008D3DFD" w:rsidRDefault="00DB0AEB" w:rsidP="00DB0AEB">
            <w:pPr>
              <w:autoSpaceDE w:val="0"/>
              <w:autoSpaceDN w:val="0"/>
              <w:adjustRightInd w:val="0"/>
              <w:rPr>
                <w:rFonts w:ascii="Arial" w:hAnsi="Arial" w:cs="Arial"/>
              </w:rPr>
            </w:pPr>
            <w:r w:rsidRPr="008D3DFD">
              <w:rPr>
                <w:rFonts w:ascii="Segoe UI Symbol" w:hAnsi="Segoe UI Symbol" w:cs="Segoe UI Symbol"/>
              </w:rPr>
              <w:t>☒</w:t>
            </w:r>
            <w:r w:rsidRPr="008D3DFD">
              <w:rPr>
                <w:rFonts w:ascii="Arial" w:hAnsi="Arial" w:cs="Arial"/>
              </w:rPr>
              <w:t xml:space="preserve"> </w:t>
            </w:r>
          </w:p>
        </w:tc>
        <w:tc>
          <w:tcPr>
            <w:tcW w:w="2054" w:type="dxa"/>
          </w:tcPr>
          <w:p w14:paraId="33832544"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MRG Chair </w:t>
            </w:r>
          </w:p>
          <w:p w14:paraId="49397A0B"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10/01/2018 </w:t>
            </w:r>
          </w:p>
        </w:tc>
      </w:tr>
      <w:tr w:rsidR="008D3DFD" w:rsidRPr="008D3DFD" w14:paraId="758A868F" w14:textId="77777777" w:rsidTr="008D3DFD">
        <w:trPr>
          <w:trHeight w:val="248"/>
        </w:trPr>
        <w:tc>
          <w:tcPr>
            <w:tcW w:w="1526" w:type="dxa"/>
          </w:tcPr>
          <w:p w14:paraId="3493697B" w14:textId="77777777" w:rsidR="00DB0AEB" w:rsidRPr="008D3DFD" w:rsidRDefault="00DB0AEB" w:rsidP="00850809">
            <w:pPr>
              <w:autoSpaceDE w:val="0"/>
              <w:autoSpaceDN w:val="0"/>
              <w:adjustRightInd w:val="0"/>
              <w:rPr>
                <w:rFonts w:ascii="Arial" w:hAnsi="Arial" w:cs="Arial"/>
              </w:rPr>
            </w:pPr>
            <w:r w:rsidRPr="008D3DFD">
              <w:rPr>
                <w:rFonts w:ascii="Arial" w:hAnsi="Arial" w:cs="Arial"/>
                <w:b/>
                <w:bCs/>
              </w:rPr>
              <w:t xml:space="preserve">Rec. no </w:t>
            </w:r>
          </w:p>
        </w:tc>
        <w:tc>
          <w:tcPr>
            <w:tcW w:w="3260" w:type="dxa"/>
          </w:tcPr>
          <w:p w14:paraId="164263EF" w14:textId="77777777" w:rsidR="00DB0AEB" w:rsidRPr="008D3DFD" w:rsidRDefault="00DB0AEB" w:rsidP="00850809">
            <w:pPr>
              <w:autoSpaceDE w:val="0"/>
              <w:autoSpaceDN w:val="0"/>
              <w:adjustRightInd w:val="0"/>
              <w:rPr>
                <w:rFonts w:ascii="Arial" w:hAnsi="Arial" w:cs="Arial"/>
              </w:rPr>
            </w:pPr>
            <w:r w:rsidRPr="008D3DFD">
              <w:rPr>
                <w:rFonts w:ascii="Arial" w:hAnsi="Arial" w:cs="Arial"/>
                <w:b/>
                <w:bCs/>
              </w:rPr>
              <w:t xml:space="preserve">Issue or recommendation </w:t>
            </w:r>
          </w:p>
        </w:tc>
        <w:tc>
          <w:tcPr>
            <w:tcW w:w="1370" w:type="dxa"/>
          </w:tcPr>
          <w:p w14:paraId="0C008FE9" w14:textId="77777777" w:rsidR="00DB0AEB" w:rsidRPr="008D3DFD" w:rsidRDefault="00DB0AEB" w:rsidP="00850809">
            <w:pPr>
              <w:autoSpaceDE w:val="0"/>
              <w:autoSpaceDN w:val="0"/>
              <w:adjustRightInd w:val="0"/>
              <w:rPr>
                <w:rFonts w:ascii="Arial" w:hAnsi="Arial" w:cs="Arial"/>
              </w:rPr>
            </w:pPr>
            <w:r w:rsidRPr="008D3DFD">
              <w:rPr>
                <w:rFonts w:ascii="Arial" w:hAnsi="Arial" w:cs="Arial"/>
                <w:b/>
                <w:bCs/>
              </w:rPr>
              <w:t xml:space="preserve">Raised by / Date </w:t>
            </w:r>
          </w:p>
        </w:tc>
        <w:tc>
          <w:tcPr>
            <w:tcW w:w="3591" w:type="dxa"/>
          </w:tcPr>
          <w:p w14:paraId="0C9D8715" w14:textId="5E590D3D" w:rsidR="00DB0AEB" w:rsidRPr="008D3DFD" w:rsidRDefault="00DB0AEB" w:rsidP="00850809">
            <w:pPr>
              <w:autoSpaceDE w:val="0"/>
              <w:autoSpaceDN w:val="0"/>
              <w:adjustRightInd w:val="0"/>
              <w:rPr>
                <w:rFonts w:ascii="Arial" w:hAnsi="Arial" w:cs="Arial"/>
              </w:rPr>
            </w:pPr>
            <w:r w:rsidRPr="008D3DFD">
              <w:rPr>
                <w:rFonts w:ascii="Arial" w:hAnsi="Arial" w:cs="Arial"/>
                <w:b/>
                <w:bCs/>
              </w:rPr>
              <w:t xml:space="preserve">Response or Action  taken by applicant </w:t>
            </w:r>
          </w:p>
        </w:tc>
        <w:tc>
          <w:tcPr>
            <w:tcW w:w="993" w:type="dxa"/>
          </w:tcPr>
          <w:p w14:paraId="1253F544" w14:textId="77777777" w:rsidR="00DB0AEB" w:rsidRPr="008D3DFD" w:rsidRDefault="00DB0AEB" w:rsidP="00850809">
            <w:pPr>
              <w:autoSpaceDE w:val="0"/>
              <w:autoSpaceDN w:val="0"/>
              <w:adjustRightInd w:val="0"/>
              <w:rPr>
                <w:rFonts w:ascii="Arial" w:hAnsi="Arial" w:cs="Arial"/>
              </w:rPr>
            </w:pPr>
            <w:r w:rsidRPr="008D3DFD">
              <w:rPr>
                <w:rFonts w:ascii="Arial" w:hAnsi="Arial" w:cs="Arial"/>
                <w:b/>
                <w:bCs/>
              </w:rPr>
              <w:t xml:space="preserve">Response date </w:t>
            </w:r>
          </w:p>
        </w:tc>
        <w:tc>
          <w:tcPr>
            <w:tcW w:w="1572" w:type="dxa"/>
          </w:tcPr>
          <w:p w14:paraId="39F4F3DE" w14:textId="77777777" w:rsidR="00DB0AEB" w:rsidRPr="008D3DFD" w:rsidRDefault="00DB0AEB" w:rsidP="00850809">
            <w:pPr>
              <w:autoSpaceDE w:val="0"/>
              <w:autoSpaceDN w:val="0"/>
              <w:adjustRightInd w:val="0"/>
              <w:rPr>
                <w:rFonts w:ascii="Arial" w:hAnsi="Arial" w:cs="Arial"/>
              </w:rPr>
            </w:pPr>
            <w:r w:rsidRPr="008D3DFD">
              <w:rPr>
                <w:rFonts w:ascii="Arial" w:hAnsi="Arial" w:cs="Arial"/>
                <w:b/>
                <w:bCs/>
              </w:rPr>
              <w:t xml:space="preserve">Resolved </w:t>
            </w:r>
          </w:p>
        </w:tc>
        <w:tc>
          <w:tcPr>
            <w:tcW w:w="2054" w:type="dxa"/>
          </w:tcPr>
          <w:p w14:paraId="053C4E0A" w14:textId="77777777" w:rsidR="00DB0AEB" w:rsidRPr="008D3DFD" w:rsidRDefault="00DB0AEB" w:rsidP="00850809">
            <w:pPr>
              <w:autoSpaceDE w:val="0"/>
              <w:autoSpaceDN w:val="0"/>
              <w:adjustRightInd w:val="0"/>
              <w:rPr>
                <w:rFonts w:ascii="Arial" w:hAnsi="Arial" w:cs="Arial"/>
              </w:rPr>
            </w:pPr>
            <w:r w:rsidRPr="008D3DFD">
              <w:rPr>
                <w:rFonts w:ascii="Arial" w:hAnsi="Arial" w:cs="Arial"/>
                <w:b/>
                <w:bCs/>
              </w:rPr>
              <w:t xml:space="preserve">Sign off by / Date </w:t>
            </w:r>
          </w:p>
        </w:tc>
      </w:tr>
      <w:tr w:rsidR="008D3DFD" w:rsidRPr="008D3DFD" w14:paraId="2370AEFB" w14:textId="77777777" w:rsidTr="008D3DFD">
        <w:trPr>
          <w:trHeight w:val="2531"/>
        </w:trPr>
        <w:tc>
          <w:tcPr>
            <w:tcW w:w="1526" w:type="dxa"/>
          </w:tcPr>
          <w:p w14:paraId="0A60E633"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1b </w:t>
            </w:r>
          </w:p>
        </w:tc>
        <w:tc>
          <w:tcPr>
            <w:tcW w:w="3260" w:type="dxa"/>
          </w:tcPr>
          <w:p w14:paraId="426BF943"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It is understood by the group that the definition of this indicator is to be amended by PHE shortly (potentially within 6 months). </w:t>
            </w:r>
          </w:p>
          <w:p w14:paraId="434644CC"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Can the applicant clarify whether this is the case and if so make reference to the potential change within “Definition” </w:t>
            </w:r>
          </w:p>
        </w:tc>
        <w:tc>
          <w:tcPr>
            <w:tcW w:w="1370" w:type="dxa"/>
          </w:tcPr>
          <w:p w14:paraId="79CA2E8E"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02/11/2017 </w:t>
            </w:r>
          </w:p>
        </w:tc>
        <w:tc>
          <w:tcPr>
            <w:tcW w:w="3591" w:type="dxa"/>
          </w:tcPr>
          <w:p w14:paraId="5C6905BB"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An email has been sent to both the relevant shared PHE mailbox (Mandatory.Surveillance@phe.gov.uk) and to a PHE contact in order to seek clarification. A response was received on 05/01/2018 indicating the following: </w:t>
            </w:r>
          </w:p>
          <w:p w14:paraId="440DB26C" w14:textId="3DA3856A"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We can confirm that there are no imminent changes to be made to the definition of MRSA and CDI reporting by CCG and that we will notify you if and when any changes are implemented. Please can you provide us with a timescale of how soon you would </w:t>
            </w:r>
            <w:r w:rsidR="00A44141" w:rsidRPr="008D3DFD">
              <w:rPr>
                <w:rFonts w:ascii="Arial" w:hAnsi="Arial" w:cs="Arial"/>
              </w:rPr>
              <w:t>need</w:t>
            </w:r>
            <w:r w:rsidRPr="008D3DFD">
              <w:rPr>
                <w:rFonts w:ascii="Arial" w:hAnsi="Arial" w:cs="Arial"/>
              </w:rPr>
              <w:t xml:space="preserve"> to be notified of any changes. </w:t>
            </w:r>
          </w:p>
          <w:p w14:paraId="5C82AAC1" w14:textId="5801793A"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We propose to respond requesting 6 </w:t>
            </w:r>
            <w:r w:rsidR="00A44141" w:rsidRPr="008D3DFD">
              <w:rPr>
                <w:rFonts w:ascii="Arial" w:hAnsi="Arial" w:cs="Arial"/>
              </w:rPr>
              <w:t>months’ notice</w:t>
            </w:r>
            <w:r w:rsidRPr="008D3DFD">
              <w:rPr>
                <w:rFonts w:ascii="Arial" w:hAnsi="Arial" w:cs="Arial"/>
              </w:rPr>
              <w:t xml:space="preserve"> should PHE propose to make any changes to definitions in the future if the group agree this is a reasonable timescale. </w:t>
            </w:r>
          </w:p>
        </w:tc>
        <w:tc>
          <w:tcPr>
            <w:tcW w:w="993" w:type="dxa"/>
          </w:tcPr>
          <w:p w14:paraId="1BDD9FEF"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03/01/2018 </w:t>
            </w:r>
          </w:p>
        </w:tc>
        <w:tc>
          <w:tcPr>
            <w:tcW w:w="1572" w:type="dxa"/>
          </w:tcPr>
          <w:p w14:paraId="204D43EE" w14:textId="77777777" w:rsidR="00DB0AEB" w:rsidRPr="008D3DFD" w:rsidRDefault="00DB0AEB" w:rsidP="00DB0AEB">
            <w:pPr>
              <w:autoSpaceDE w:val="0"/>
              <w:autoSpaceDN w:val="0"/>
              <w:adjustRightInd w:val="0"/>
              <w:rPr>
                <w:rFonts w:ascii="Arial" w:hAnsi="Arial" w:cs="Arial"/>
              </w:rPr>
            </w:pPr>
            <w:r w:rsidRPr="008D3DFD">
              <w:rPr>
                <w:rFonts w:ascii="Segoe UI Symbol" w:hAnsi="Segoe UI Symbol" w:cs="Segoe UI Symbol"/>
              </w:rPr>
              <w:t>☒</w:t>
            </w:r>
            <w:r w:rsidRPr="008D3DFD">
              <w:rPr>
                <w:rFonts w:ascii="Arial" w:hAnsi="Arial" w:cs="Arial"/>
              </w:rPr>
              <w:t xml:space="preserve"> </w:t>
            </w:r>
          </w:p>
        </w:tc>
        <w:tc>
          <w:tcPr>
            <w:tcW w:w="2054" w:type="dxa"/>
          </w:tcPr>
          <w:p w14:paraId="4F33CC77"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MRG Chair </w:t>
            </w:r>
          </w:p>
          <w:p w14:paraId="1137C441" w14:textId="77777777" w:rsidR="00DB0AEB" w:rsidRPr="008D3DFD" w:rsidRDefault="00DB0AEB" w:rsidP="00DB0AEB">
            <w:pPr>
              <w:autoSpaceDE w:val="0"/>
              <w:autoSpaceDN w:val="0"/>
              <w:adjustRightInd w:val="0"/>
              <w:rPr>
                <w:rFonts w:ascii="Arial" w:hAnsi="Arial" w:cs="Arial"/>
              </w:rPr>
            </w:pPr>
            <w:r w:rsidRPr="008D3DFD">
              <w:rPr>
                <w:rFonts w:ascii="Arial" w:hAnsi="Arial" w:cs="Arial"/>
              </w:rPr>
              <w:t xml:space="preserve">10/01/2018 </w:t>
            </w:r>
          </w:p>
        </w:tc>
      </w:tr>
    </w:tbl>
    <w:p w14:paraId="4833C95C" w14:textId="4A2CFA33" w:rsidR="008D3DFD" w:rsidRPr="008D3DFD" w:rsidRDefault="008D3DFD">
      <w:pPr>
        <w:rPr>
          <w:rFonts w:ascii="Arial" w:hAnsi="Arial" w:cs="Arial"/>
        </w:rPr>
      </w:pPr>
      <w:r w:rsidRPr="008D3DFD">
        <w:rPr>
          <w:rFonts w:ascii="Arial" w:hAnsi="Arial" w:cs="Arial"/>
        </w:rPr>
        <w:t>Rationale</w:t>
      </w:r>
    </w:p>
    <w:tbl>
      <w:tblPr>
        <w:tblStyle w:val="TableGrid"/>
        <w:tblW w:w="0" w:type="auto"/>
        <w:tblLayout w:type="fixed"/>
        <w:tblLook w:val="0020" w:firstRow="1" w:lastRow="0" w:firstColumn="0" w:lastColumn="0" w:noHBand="0" w:noVBand="0"/>
      </w:tblPr>
      <w:tblGrid>
        <w:gridCol w:w="1526"/>
        <w:gridCol w:w="2693"/>
        <w:gridCol w:w="1418"/>
        <w:gridCol w:w="5528"/>
        <w:gridCol w:w="1701"/>
        <w:gridCol w:w="1134"/>
        <w:gridCol w:w="1417"/>
      </w:tblGrid>
      <w:tr w:rsidR="008D3DFD" w:rsidRPr="008D3DFD" w14:paraId="71CCA657" w14:textId="77777777" w:rsidTr="008D3DFD">
        <w:trPr>
          <w:trHeight w:val="248"/>
        </w:trPr>
        <w:tc>
          <w:tcPr>
            <w:tcW w:w="1526" w:type="dxa"/>
          </w:tcPr>
          <w:p w14:paraId="5770CFE5" w14:textId="77777777" w:rsidR="00DB0AEB" w:rsidRPr="008D3DFD" w:rsidRDefault="00DB0AEB" w:rsidP="00DB0AEB">
            <w:pPr>
              <w:autoSpaceDE w:val="0"/>
              <w:autoSpaceDN w:val="0"/>
              <w:adjustRightInd w:val="0"/>
              <w:rPr>
                <w:rFonts w:ascii="Arial" w:hAnsi="Arial" w:cs="Arial"/>
              </w:rPr>
            </w:pPr>
            <w:r w:rsidRPr="008D3DFD">
              <w:rPr>
                <w:rFonts w:ascii="Arial" w:hAnsi="Arial" w:cs="Arial"/>
                <w:b/>
                <w:bCs/>
              </w:rPr>
              <w:lastRenderedPageBreak/>
              <w:t xml:space="preserve">Rec. no </w:t>
            </w:r>
          </w:p>
        </w:tc>
        <w:tc>
          <w:tcPr>
            <w:tcW w:w="2693" w:type="dxa"/>
          </w:tcPr>
          <w:p w14:paraId="1DE46587" w14:textId="77777777" w:rsidR="00DB0AEB" w:rsidRPr="008D3DFD" w:rsidRDefault="00DB0AEB" w:rsidP="00DB0AEB">
            <w:pPr>
              <w:autoSpaceDE w:val="0"/>
              <w:autoSpaceDN w:val="0"/>
              <w:adjustRightInd w:val="0"/>
              <w:rPr>
                <w:rFonts w:ascii="Arial" w:hAnsi="Arial" w:cs="Arial"/>
              </w:rPr>
            </w:pPr>
            <w:r w:rsidRPr="008D3DFD">
              <w:rPr>
                <w:rFonts w:ascii="Arial" w:hAnsi="Arial" w:cs="Arial"/>
                <w:b/>
                <w:bCs/>
              </w:rPr>
              <w:t xml:space="preserve">Issue or recommendation </w:t>
            </w:r>
          </w:p>
        </w:tc>
        <w:tc>
          <w:tcPr>
            <w:tcW w:w="1418" w:type="dxa"/>
          </w:tcPr>
          <w:p w14:paraId="5E179DA5" w14:textId="574EAC58" w:rsidR="00DB0AEB" w:rsidRPr="008D3DFD" w:rsidRDefault="00DB0AEB" w:rsidP="00DB0AEB">
            <w:pPr>
              <w:autoSpaceDE w:val="0"/>
              <w:autoSpaceDN w:val="0"/>
              <w:adjustRightInd w:val="0"/>
              <w:rPr>
                <w:rFonts w:ascii="Arial" w:hAnsi="Arial" w:cs="Arial"/>
              </w:rPr>
            </w:pPr>
            <w:r w:rsidRPr="008D3DFD">
              <w:rPr>
                <w:rFonts w:ascii="Arial" w:hAnsi="Arial" w:cs="Arial"/>
                <w:b/>
                <w:bCs/>
              </w:rPr>
              <w:t xml:space="preserve">Raised by / Date </w:t>
            </w:r>
            <w:r w:rsidR="00E82C53" w:rsidRPr="008D3DFD">
              <w:rPr>
                <w:rFonts w:ascii="Arial" w:hAnsi="Arial" w:cs="Arial"/>
              </w:rPr>
              <w:t>02/11/2017</w:t>
            </w:r>
          </w:p>
        </w:tc>
        <w:tc>
          <w:tcPr>
            <w:tcW w:w="5528" w:type="dxa"/>
          </w:tcPr>
          <w:p w14:paraId="4B07A639" w14:textId="77777777" w:rsidR="00DB0AEB" w:rsidRPr="008D3DFD" w:rsidRDefault="00DB0AEB" w:rsidP="00DB0AEB">
            <w:pPr>
              <w:autoSpaceDE w:val="0"/>
              <w:autoSpaceDN w:val="0"/>
              <w:adjustRightInd w:val="0"/>
              <w:rPr>
                <w:rFonts w:ascii="Arial" w:hAnsi="Arial" w:cs="Arial"/>
              </w:rPr>
            </w:pPr>
            <w:r w:rsidRPr="008D3DFD">
              <w:rPr>
                <w:rFonts w:ascii="Arial" w:hAnsi="Arial" w:cs="Arial"/>
                <w:b/>
                <w:bCs/>
              </w:rPr>
              <w:t xml:space="preserve">Response or Action taken by applicant </w:t>
            </w:r>
          </w:p>
        </w:tc>
        <w:tc>
          <w:tcPr>
            <w:tcW w:w="1701" w:type="dxa"/>
          </w:tcPr>
          <w:p w14:paraId="4D9D247E" w14:textId="77777777" w:rsidR="00E82C53" w:rsidRPr="008D3DFD" w:rsidRDefault="00DB0AEB" w:rsidP="00DB0AEB">
            <w:pPr>
              <w:autoSpaceDE w:val="0"/>
              <w:autoSpaceDN w:val="0"/>
              <w:adjustRightInd w:val="0"/>
              <w:rPr>
                <w:rFonts w:ascii="Arial" w:hAnsi="Arial" w:cs="Arial"/>
                <w:b/>
                <w:bCs/>
              </w:rPr>
            </w:pPr>
            <w:r w:rsidRPr="008D3DFD">
              <w:rPr>
                <w:rFonts w:ascii="Arial" w:hAnsi="Arial" w:cs="Arial"/>
                <w:b/>
                <w:bCs/>
              </w:rPr>
              <w:t>Response date</w:t>
            </w:r>
          </w:p>
          <w:p w14:paraId="7F80A608" w14:textId="2964BCB7" w:rsidR="00DB0AEB" w:rsidRPr="008D3DFD" w:rsidRDefault="00E82C53" w:rsidP="00DB0AEB">
            <w:pPr>
              <w:autoSpaceDE w:val="0"/>
              <w:autoSpaceDN w:val="0"/>
              <w:adjustRightInd w:val="0"/>
              <w:rPr>
                <w:rFonts w:ascii="Arial" w:hAnsi="Arial" w:cs="Arial"/>
              </w:rPr>
            </w:pPr>
            <w:r w:rsidRPr="008D3DFD">
              <w:rPr>
                <w:rFonts w:ascii="Arial" w:hAnsi="Arial" w:cs="Arial"/>
              </w:rPr>
              <w:t>03/01/2018</w:t>
            </w:r>
            <w:r w:rsidR="00DB0AEB" w:rsidRPr="008D3DFD">
              <w:rPr>
                <w:rFonts w:ascii="Arial" w:hAnsi="Arial" w:cs="Arial"/>
              </w:rPr>
              <w:t xml:space="preserve"> </w:t>
            </w:r>
          </w:p>
        </w:tc>
        <w:tc>
          <w:tcPr>
            <w:tcW w:w="1134" w:type="dxa"/>
          </w:tcPr>
          <w:p w14:paraId="056E6C22" w14:textId="5F86164F" w:rsidR="00DB0AEB" w:rsidRPr="008D3DFD" w:rsidRDefault="00DB0AEB" w:rsidP="00DB0AEB">
            <w:pPr>
              <w:autoSpaceDE w:val="0"/>
              <w:autoSpaceDN w:val="0"/>
              <w:adjustRightInd w:val="0"/>
              <w:rPr>
                <w:rFonts w:ascii="Arial" w:hAnsi="Arial" w:cs="Arial"/>
              </w:rPr>
            </w:pPr>
            <w:r w:rsidRPr="008D3DFD">
              <w:rPr>
                <w:rFonts w:ascii="Arial" w:hAnsi="Arial" w:cs="Arial"/>
                <w:b/>
                <w:bCs/>
              </w:rPr>
              <w:t>Resolved</w:t>
            </w:r>
            <w:r w:rsidR="00E82C53" w:rsidRPr="008D3DFD">
              <w:rPr>
                <w:rFonts w:ascii="Segoe UI Symbol" w:hAnsi="Segoe UI Symbol" w:cs="Segoe UI Symbol"/>
              </w:rPr>
              <w:t>☒</w:t>
            </w:r>
            <w:r w:rsidRPr="008D3DFD">
              <w:rPr>
                <w:rFonts w:ascii="Arial" w:hAnsi="Arial" w:cs="Arial"/>
                <w:b/>
                <w:bCs/>
              </w:rPr>
              <w:t xml:space="preserve"> </w:t>
            </w:r>
          </w:p>
        </w:tc>
        <w:tc>
          <w:tcPr>
            <w:tcW w:w="1417" w:type="dxa"/>
          </w:tcPr>
          <w:p w14:paraId="78370520" w14:textId="5F8C4356" w:rsidR="00DB0AEB" w:rsidRPr="008D3DFD" w:rsidRDefault="00DB0AEB" w:rsidP="00DB0AEB">
            <w:pPr>
              <w:autoSpaceDE w:val="0"/>
              <w:autoSpaceDN w:val="0"/>
              <w:adjustRightInd w:val="0"/>
              <w:rPr>
                <w:rFonts w:ascii="Arial" w:hAnsi="Arial" w:cs="Arial"/>
              </w:rPr>
            </w:pPr>
            <w:r w:rsidRPr="008D3DFD">
              <w:rPr>
                <w:rFonts w:ascii="Arial" w:hAnsi="Arial" w:cs="Arial"/>
                <w:b/>
                <w:bCs/>
              </w:rPr>
              <w:t xml:space="preserve">Sign off by / </w:t>
            </w:r>
            <w:r w:rsidRPr="008D3DFD">
              <w:rPr>
                <w:rFonts w:ascii="Arial" w:hAnsi="Arial" w:cs="Arial"/>
              </w:rPr>
              <w:t xml:space="preserve">Date </w:t>
            </w:r>
            <w:r w:rsidR="00E82C53" w:rsidRPr="008D3DFD">
              <w:rPr>
                <w:rFonts w:ascii="Arial" w:hAnsi="Arial" w:cs="Arial"/>
              </w:rPr>
              <w:t>– MRG Chair 10/01/2018</w:t>
            </w:r>
          </w:p>
        </w:tc>
      </w:tr>
      <w:tr w:rsidR="008D3DFD" w:rsidRPr="008D3DFD" w14:paraId="1F6DAFC7" w14:textId="77777777" w:rsidTr="008D3DFD">
        <w:trPr>
          <w:trHeight w:val="248"/>
        </w:trPr>
        <w:tc>
          <w:tcPr>
            <w:tcW w:w="1526" w:type="dxa"/>
          </w:tcPr>
          <w:p w14:paraId="1F6BF180" w14:textId="680D88B7" w:rsidR="008D3DFD" w:rsidRPr="008D3DFD" w:rsidRDefault="008D3DFD" w:rsidP="00DB0AEB">
            <w:pPr>
              <w:autoSpaceDE w:val="0"/>
              <w:autoSpaceDN w:val="0"/>
              <w:adjustRightInd w:val="0"/>
              <w:rPr>
                <w:rFonts w:ascii="Arial" w:hAnsi="Arial" w:cs="Arial"/>
                <w:b/>
                <w:bCs/>
              </w:rPr>
            </w:pPr>
            <w:r w:rsidRPr="008D3DFD">
              <w:rPr>
                <w:rFonts w:ascii="Arial" w:hAnsi="Arial" w:cs="Arial"/>
              </w:rPr>
              <w:t>2.a</w:t>
            </w:r>
          </w:p>
        </w:tc>
        <w:tc>
          <w:tcPr>
            <w:tcW w:w="2693" w:type="dxa"/>
          </w:tcPr>
          <w:p w14:paraId="2AC302AC"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This indicator is a count rather than a rate and therefore data for Trusts cannot be directly compared against each other. MRG queried why a rate could not be produced per population. </w:t>
            </w:r>
          </w:p>
          <w:p w14:paraId="0B1C86CE" w14:textId="164A41D3" w:rsidR="008D3DFD" w:rsidRPr="008D3DFD" w:rsidRDefault="008D3DFD" w:rsidP="008D3DFD">
            <w:pPr>
              <w:autoSpaceDE w:val="0"/>
              <w:autoSpaceDN w:val="0"/>
              <w:adjustRightInd w:val="0"/>
              <w:rPr>
                <w:rFonts w:ascii="Arial" w:hAnsi="Arial" w:cs="Arial"/>
                <w:b/>
                <w:bCs/>
              </w:rPr>
            </w:pPr>
            <w:r w:rsidRPr="008D3DFD">
              <w:rPr>
                <w:rFonts w:ascii="Arial" w:hAnsi="Arial" w:cs="Arial"/>
              </w:rPr>
              <w:t>MRG ask that it be noted in the paperwork that the results of the indicator are not comparable between Trusts.</w:t>
            </w:r>
          </w:p>
        </w:tc>
        <w:tc>
          <w:tcPr>
            <w:tcW w:w="1418" w:type="dxa"/>
          </w:tcPr>
          <w:p w14:paraId="606C555D" w14:textId="77777777" w:rsidR="008D3DFD" w:rsidRPr="008D3DFD" w:rsidRDefault="008D3DFD" w:rsidP="00DB0AEB">
            <w:pPr>
              <w:autoSpaceDE w:val="0"/>
              <w:autoSpaceDN w:val="0"/>
              <w:adjustRightInd w:val="0"/>
              <w:rPr>
                <w:rFonts w:ascii="Arial" w:hAnsi="Arial" w:cs="Arial"/>
                <w:b/>
                <w:bCs/>
              </w:rPr>
            </w:pPr>
          </w:p>
        </w:tc>
        <w:tc>
          <w:tcPr>
            <w:tcW w:w="5528" w:type="dxa"/>
          </w:tcPr>
          <w:p w14:paraId="6D149D1E"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These points are hopefully already addressed in the existing application. Section 6.2 (Coherence and comparability) states the following: </w:t>
            </w:r>
          </w:p>
          <w:p w14:paraId="4ADC81E2"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This data does not provide for comparisons between CCGs either. As mentioned previously, the MRSA infection count has not been adjusted to give a standardised rate considering factors such as CCG demographics or case mix. </w:t>
            </w:r>
          </w:p>
          <w:p w14:paraId="086F89DB"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Furthermore, the following explanation appears under Section 4.5 (Justification of risk adjustment): </w:t>
            </w:r>
          </w:p>
          <w:p w14:paraId="3A08465D"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The indicator is a raw monthly count. We do not currently publish rates for this indicator (standardised or otherwise). This approach was agreed during initial assurance of the indicator where it was noted that it was not seen as desirable to give the impression that it would be more acceptable to have higher rates in particular groups, the aim of the indicator being principally to bring about improvement and not to compare trusts. There was also concern that random variation may ‘swamp’ issues related to age or gender. NHS Improvement’s objective is to drive down infection rates in all CCGs rather than compare CCGs against each other. </w:t>
            </w:r>
          </w:p>
          <w:p w14:paraId="52737784" w14:textId="77777777" w:rsidR="008D3DFD" w:rsidRPr="008D3DFD" w:rsidRDefault="008D3DFD" w:rsidP="008D3DFD">
            <w:pPr>
              <w:autoSpaceDE w:val="0"/>
              <w:autoSpaceDN w:val="0"/>
              <w:adjustRightInd w:val="0"/>
              <w:rPr>
                <w:rFonts w:ascii="Arial" w:hAnsi="Arial" w:cs="Arial"/>
              </w:rPr>
            </w:pPr>
            <w:r w:rsidRPr="008D3DFD">
              <w:rPr>
                <w:rFonts w:ascii="Arial" w:hAnsi="Arial" w:cs="Arial"/>
              </w:rPr>
              <w:t xml:space="preserve">CCG rates per 100,000 population on a financial year basis are however published by PHE. They are signposted in the Quality Statement and are available at: </w:t>
            </w:r>
          </w:p>
          <w:p w14:paraId="6A803347" w14:textId="32BCEC4E" w:rsidR="008D3DFD" w:rsidRPr="008D3DFD" w:rsidRDefault="008D3DFD" w:rsidP="008D3DFD">
            <w:pPr>
              <w:autoSpaceDE w:val="0"/>
              <w:autoSpaceDN w:val="0"/>
              <w:adjustRightInd w:val="0"/>
              <w:rPr>
                <w:rFonts w:ascii="Arial" w:hAnsi="Arial" w:cs="Arial"/>
              </w:rPr>
            </w:pPr>
            <w:r w:rsidRPr="008D3DFD">
              <w:rPr>
                <w:rFonts w:ascii="Arial" w:hAnsi="Arial" w:cs="Arial"/>
              </w:rPr>
              <w:t>https://www.gov.uk/government/statistics/clostridium-difficile-infection-annual-data</w:t>
            </w:r>
          </w:p>
          <w:p w14:paraId="3713CA65" w14:textId="77777777" w:rsidR="008D3DFD" w:rsidRPr="008D3DFD" w:rsidRDefault="008D3DFD" w:rsidP="00DB0AEB">
            <w:pPr>
              <w:autoSpaceDE w:val="0"/>
              <w:autoSpaceDN w:val="0"/>
              <w:adjustRightInd w:val="0"/>
              <w:rPr>
                <w:rFonts w:ascii="Arial" w:hAnsi="Arial" w:cs="Arial"/>
                <w:b/>
                <w:bCs/>
              </w:rPr>
            </w:pPr>
          </w:p>
        </w:tc>
        <w:tc>
          <w:tcPr>
            <w:tcW w:w="1701" w:type="dxa"/>
          </w:tcPr>
          <w:p w14:paraId="0D4856F7" w14:textId="77777777" w:rsidR="008D3DFD" w:rsidRPr="008D3DFD" w:rsidRDefault="008D3DFD" w:rsidP="00DB0AEB">
            <w:pPr>
              <w:autoSpaceDE w:val="0"/>
              <w:autoSpaceDN w:val="0"/>
              <w:adjustRightInd w:val="0"/>
              <w:rPr>
                <w:rFonts w:ascii="Arial" w:hAnsi="Arial" w:cs="Arial"/>
                <w:b/>
                <w:bCs/>
              </w:rPr>
            </w:pPr>
          </w:p>
        </w:tc>
        <w:tc>
          <w:tcPr>
            <w:tcW w:w="1134" w:type="dxa"/>
          </w:tcPr>
          <w:p w14:paraId="2B3D0624" w14:textId="77777777" w:rsidR="008D3DFD" w:rsidRPr="008D3DFD" w:rsidRDefault="008D3DFD" w:rsidP="00DB0AEB">
            <w:pPr>
              <w:autoSpaceDE w:val="0"/>
              <w:autoSpaceDN w:val="0"/>
              <w:adjustRightInd w:val="0"/>
              <w:rPr>
                <w:rFonts w:ascii="Arial" w:hAnsi="Arial" w:cs="Arial"/>
                <w:b/>
                <w:bCs/>
              </w:rPr>
            </w:pPr>
          </w:p>
        </w:tc>
        <w:tc>
          <w:tcPr>
            <w:tcW w:w="1417" w:type="dxa"/>
          </w:tcPr>
          <w:p w14:paraId="5F2166B2" w14:textId="77777777" w:rsidR="008D3DFD" w:rsidRPr="008D3DFD" w:rsidRDefault="008D3DFD" w:rsidP="00DB0AEB">
            <w:pPr>
              <w:autoSpaceDE w:val="0"/>
              <w:autoSpaceDN w:val="0"/>
              <w:adjustRightInd w:val="0"/>
              <w:rPr>
                <w:rFonts w:ascii="Arial" w:hAnsi="Arial" w:cs="Arial"/>
                <w:b/>
                <w:bCs/>
              </w:rPr>
            </w:pPr>
          </w:p>
        </w:tc>
      </w:tr>
    </w:tbl>
    <w:p w14:paraId="27C7B76A" w14:textId="18A88D60" w:rsidR="00DB0AEB" w:rsidRPr="008D3DFD" w:rsidRDefault="00E82C53">
      <w:pPr>
        <w:rPr>
          <w:rFonts w:ascii="Arial" w:hAnsi="Arial" w:cs="Arial"/>
          <w:b/>
          <w:bCs/>
        </w:rPr>
      </w:pPr>
      <w:r w:rsidRPr="008D3DFD">
        <w:rPr>
          <w:rFonts w:ascii="Arial" w:hAnsi="Arial" w:cs="Arial"/>
          <w:b/>
          <w:bCs/>
        </w:rPr>
        <w:t xml:space="preserve"> </w:t>
      </w:r>
    </w:p>
    <w:p w14:paraId="1CE0E80D" w14:textId="77777777" w:rsidR="00C64AFE" w:rsidRPr="008D3DFD" w:rsidRDefault="00C64AFE" w:rsidP="00F76FBC">
      <w:pPr>
        <w:rPr>
          <w:rFonts w:ascii="Arial" w:hAnsi="Arial" w:cs="Arial"/>
          <w:b/>
          <w:bCs/>
        </w:rPr>
      </w:pPr>
    </w:p>
    <w:p w14:paraId="47276911" w14:textId="1F09965D" w:rsidR="00D16B4F" w:rsidRPr="008D3DFD" w:rsidRDefault="008D3DFD" w:rsidP="00F76FBC">
      <w:pPr>
        <w:rPr>
          <w:rFonts w:ascii="Arial" w:hAnsi="Arial" w:cs="Arial"/>
          <w:b/>
          <w:bCs/>
        </w:rPr>
      </w:pPr>
      <w:r w:rsidRPr="008D3DFD">
        <w:rPr>
          <w:rFonts w:ascii="Arial" w:hAnsi="Arial" w:cs="Arial"/>
          <w:b/>
          <w:bCs/>
        </w:rPr>
        <w:t>Data</w:t>
      </w:r>
    </w:p>
    <w:tbl>
      <w:tblPr>
        <w:tblStyle w:val="TableGrid"/>
        <w:tblW w:w="0" w:type="auto"/>
        <w:tblLayout w:type="fixed"/>
        <w:tblLook w:val="0020" w:firstRow="1" w:lastRow="0" w:firstColumn="0" w:lastColumn="0" w:noHBand="0" w:noVBand="0"/>
      </w:tblPr>
      <w:tblGrid>
        <w:gridCol w:w="2052"/>
        <w:gridCol w:w="2052"/>
        <w:gridCol w:w="1391"/>
        <w:gridCol w:w="4111"/>
        <w:gridCol w:w="1417"/>
        <w:gridCol w:w="1289"/>
        <w:gridCol w:w="2054"/>
      </w:tblGrid>
      <w:tr w:rsidR="008D3DFD" w:rsidRPr="008D3DFD" w14:paraId="1DE523BE" w14:textId="77777777" w:rsidTr="008D3DFD">
        <w:trPr>
          <w:trHeight w:val="248"/>
        </w:trPr>
        <w:tc>
          <w:tcPr>
            <w:tcW w:w="2052" w:type="dxa"/>
          </w:tcPr>
          <w:p w14:paraId="08531DEC" w14:textId="77777777" w:rsidR="00E82C53" w:rsidRPr="008D3DFD" w:rsidRDefault="00E82C53" w:rsidP="00E82C53">
            <w:pPr>
              <w:autoSpaceDE w:val="0"/>
              <w:autoSpaceDN w:val="0"/>
              <w:adjustRightInd w:val="0"/>
              <w:rPr>
                <w:rFonts w:ascii="Arial" w:hAnsi="Arial" w:cs="Arial"/>
              </w:rPr>
            </w:pPr>
            <w:bookmarkStart w:id="6" w:name="_Hlk35435523"/>
            <w:r w:rsidRPr="008D3DFD">
              <w:rPr>
                <w:rFonts w:ascii="Arial" w:hAnsi="Arial" w:cs="Arial"/>
                <w:b/>
                <w:bCs/>
              </w:rPr>
              <w:t xml:space="preserve">Rec. no </w:t>
            </w:r>
          </w:p>
        </w:tc>
        <w:tc>
          <w:tcPr>
            <w:tcW w:w="2052" w:type="dxa"/>
          </w:tcPr>
          <w:p w14:paraId="77AFA453" w14:textId="77777777" w:rsidR="00E82C53" w:rsidRPr="008D3DFD" w:rsidRDefault="00E82C53" w:rsidP="00E82C53">
            <w:pPr>
              <w:autoSpaceDE w:val="0"/>
              <w:autoSpaceDN w:val="0"/>
              <w:adjustRightInd w:val="0"/>
              <w:rPr>
                <w:rFonts w:ascii="Arial" w:hAnsi="Arial" w:cs="Arial"/>
              </w:rPr>
            </w:pPr>
            <w:r w:rsidRPr="008D3DFD">
              <w:rPr>
                <w:rFonts w:ascii="Arial" w:hAnsi="Arial" w:cs="Arial"/>
                <w:b/>
                <w:bCs/>
              </w:rPr>
              <w:t xml:space="preserve">Issue or recommendation </w:t>
            </w:r>
          </w:p>
        </w:tc>
        <w:tc>
          <w:tcPr>
            <w:tcW w:w="1391" w:type="dxa"/>
          </w:tcPr>
          <w:p w14:paraId="283FE9D5" w14:textId="77777777" w:rsidR="00E82C53" w:rsidRPr="008D3DFD" w:rsidRDefault="00E82C53" w:rsidP="00E82C53">
            <w:pPr>
              <w:autoSpaceDE w:val="0"/>
              <w:autoSpaceDN w:val="0"/>
              <w:adjustRightInd w:val="0"/>
              <w:rPr>
                <w:rFonts w:ascii="Arial" w:hAnsi="Arial" w:cs="Arial"/>
              </w:rPr>
            </w:pPr>
            <w:r w:rsidRPr="008D3DFD">
              <w:rPr>
                <w:rFonts w:ascii="Arial" w:hAnsi="Arial" w:cs="Arial"/>
                <w:b/>
                <w:bCs/>
              </w:rPr>
              <w:t xml:space="preserve">Raised by / Date </w:t>
            </w:r>
          </w:p>
        </w:tc>
        <w:tc>
          <w:tcPr>
            <w:tcW w:w="4111" w:type="dxa"/>
          </w:tcPr>
          <w:p w14:paraId="36FA5696" w14:textId="77777777" w:rsidR="00E82C53" w:rsidRPr="008D3DFD" w:rsidRDefault="00E82C53" w:rsidP="00E82C53">
            <w:pPr>
              <w:autoSpaceDE w:val="0"/>
              <w:autoSpaceDN w:val="0"/>
              <w:adjustRightInd w:val="0"/>
              <w:rPr>
                <w:rFonts w:ascii="Arial" w:hAnsi="Arial" w:cs="Arial"/>
              </w:rPr>
            </w:pPr>
            <w:r w:rsidRPr="008D3DFD">
              <w:rPr>
                <w:rFonts w:ascii="Arial" w:hAnsi="Arial" w:cs="Arial"/>
                <w:b/>
                <w:bCs/>
              </w:rPr>
              <w:t xml:space="preserve">Response or Action taken by applicant </w:t>
            </w:r>
          </w:p>
        </w:tc>
        <w:tc>
          <w:tcPr>
            <w:tcW w:w="1417" w:type="dxa"/>
          </w:tcPr>
          <w:p w14:paraId="3CD899E6" w14:textId="77777777" w:rsidR="00E82C53" w:rsidRPr="008D3DFD" w:rsidRDefault="00E82C53" w:rsidP="00E82C53">
            <w:pPr>
              <w:autoSpaceDE w:val="0"/>
              <w:autoSpaceDN w:val="0"/>
              <w:adjustRightInd w:val="0"/>
              <w:rPr>
                <w:rFonts w:ascii="Arial" w:hAnsi="Arial" w:cs="Arial"/>
              </w:rPr>
            </w:pPr>
            <w:r w:rsidRPr="008D3DFD">
              <w:rPr>
                <w:rFonts w:ascii="Arial" w:hAnsi="Arial" w:cs="Arial"/>
                <w:b/>
                <w:bCs/>
              </w:rPr>
              <w:t xml:space="preserve">Response date </w:t>
            </w:r>
          </w:p>
        </w:tc>
        <w:tc>
          <w:tcPr>
            <w:tcW w:w="1289" w:type="dxa"/>
          </w:tcPr>
          <w:p w14:paraId="5C94EB7D" w14:textId="77777777" w:rsidR="00E82C53" w:rsidRPr="008D3DFD" w:rsidRDefault="00E82C53" w:rsidP="00E82C53">
            <w:pPr>
              <w:autoSpaceDE w:val="0"/>
              <w:autoSpaceDN w:val="0"/>
              <w:adjustRightInd w:val="0"/>
              <w:rPr>
                <w:rFonts w:ascii="Arial" w:hAnsi="Arial" w:cs="Arial"/>
              </w:rPr>
            </w:pPr>
            <w:r w:rsidRPr="008D3DFD">
              <w:rPr>
                <w:rFonts w:ascii="Arial" w:hAnsi="Arial" w:cs="Arial"/>
                <w:b/>
                <w:bCs/>
              </w:rPr>
              <w:t xml:space="preserve">Resolved </w:t>
            </w:r>
          </w:p>
        </w:tc>
        <w:tc>
          <w:tcPr>
            <w:tcW w:w="2054" w:type="dxa"/>
          </w:tcPr>
          <w:p w14:paraId="581AF991" w14:textId="77777777" w:rsidR="00E82C53" w:rsidRPr="008D3DFD" w:rsidRDefault="00E82C53" w:rsidP="00E82C53">
            <w:pPr>
              <w:autoSpaceDE w:val="0"/>
              <w:autoSpaceDN w:val="0"/>
              <w:adjustRightInd w:val="0"/>
              <w:rPr>
                <w:rFonts w:ascii="Arial" w:hAnsi="Arial" w:cs="Arial"/>
              </w:rPr>
            </w:pPr>
            <w:r w:rsidRPr="008D3DFD">
              <w:rPr>
                <w:rFonts w:ascii="Arial" w:hAnsi="Arial" w:cs="Arial"/>
                <w:b/>
                <w:bCs/>
              </w:rPr>
              <w:t xml:space="preserve">Sign off by / Date </w:t>
            </w:r>
          </w:p>
        </w:tc>
      </w:tr>
      <w:bookmarkEnd w:id="6"/>
      <w:tr w:rsidR="008D3DFD" w:rsidRPr="008D3DFD" w14:paraId="6D3FDB0C" w14:textId="77777777" w:rsidTr="008D3DFD">
        <w:trPr>
          <w:trHeight w:val="1185"/>
        </w:trPr>
        <w:tc>
          <w:tcPr>
            <w:tcW w:w="2052" w:type="dxa"/>
          </w:tcPr>
          <w:p w14:paraId="7A98F15C" w14:textId="77777777" w:rsidR="00E82C53" w:rsidRPr="008D3DFD" w:rsidRDefault="00E82C53" w:rsidP="00E82C53">
            <w:pPr>
              <w:autoSpaceDE w:val="0"/>
              <w:autoSpaceDN w:val="0"/>
              <w:adjustRightInd w:val="0"/>
              <w:rPr>
                <w:rFonts w:ascii="Arial" w:hAnsi="Arial" w:cs="Arial"/>
              </w:rPr>
            </w:pPr>
            <w:r w:rsidRPr="008D3DFD">
              <w:rPr>
                <w:rFonts w:ascii="Arial" w:hAnsi="Arial" w:cs="Arial"/>
              </w:rPr>
              <w:t xml:space="preserve">3a </w:t>
            </w:r>
          </w:p>
        </w:tc>
        <w:tc>
          <w:tcPr>
            <w:tcW w:w="2052" w:type="dxa"/>
          </w:tcPr>
          <w:p w14:paraId="58703F3F" w14:textId="77777777" w:rsidR="00E82C53" w:rsidRPr="008D3DFD" w:rsidRDefault="00E82C53" w:rsidP="00E82C53">
            <w:pPr>
              <w:autoSpaceDE w:val="0"/>
              <w:autoSpaceDN w:val="0"/>
              <w:adjustRightInd w:val="0"/>
              <w:rPr>
                <w:rFonts w:ascii="Arial" w:hAnsi="Arial" w:cs="Arial"/>
              </w:rPr>
            </w:pPr>
            <w:r w:rsidRPr="008D3DFD">
              <w:rPr>
                <w:rFonts w:ascii="Arial" w:hAnsi="Arial" w:cs="Arial"/>
              </w:rPr>
              <w:t xml:space="preserve">The section on data quality does not currently reference how a patient’s data is recorded if they attend at a Trust out of area. MRG understand that in such cases then the data is tracked backed to the patient’s home CCG. MRG ask that this point be clarified to check this is correct. This then needs to be detailed in the paperwork. </w:t>
            </w:r>
          </w:p>
        </w:tc>
        <w:tc>
          <w:tcPr>
            <w:tcW w:w="1391" w:type="dxa"/>
          </w:tcPr>
          <w:p w14:paraId="65373238" w14:textId="77777777" w:rsidR="00E82C53" w:rsidRPr="008D3DFD" w:rsidRDefault="00E82C53" w:rsidP="00E82C53">
            <w:pPr>
              <w:autoSpaceDE w:val="0"/>
              <w:autoSpaceDN w:val="0"/>
              <w:adjustRightInd w:val="0"/>
              <w:rPr>
                <w:rFonts w:ascii="Arial" w:hAnsi="Arial" w:cs="Arial"/>
              </w:rPr>
            </w:pPr>
            <w:r w:rsidRPr="008D3DFD">
              <w:rPr>
                <w:rFonts w:ascii="Arial" w:hAnsi="Arial" w:cs="Arial"/>
              </w:rPr>
              <w:t xml:space="preserve">02/11/2017 </w:t>
            </w:r>
          </w:p>
        </w:tc>
        <w:tc>
          <w:tcPr>
            <w:tcW w:w="4111" w:type="dxa"/>
          </w:tcPr>
          <w:p w14:paraId="118E827C" w14:textId="77777777" w:rsidR="00E82C53" w:rsidRPr="008D3DFD" w:rsidRDefault="00E82C53" w:rsidP="00E82C53">
            <w:pPr>
              <w:autoSpaceDE w:val="0"/>
              <w:autoSpaceDN w:val="0"/>
              <w:adjustRightInd w:val="0"/>
              <w:rPr>
                <w:rFonts w:ascii="Arial" w:hAnsi="Arial" w:cs="Arial"/>
              </w:rPr>
            </w:pPr>
            <w:r w:rsidRPr="008D3DFD">
              <w:rPr>
                <w:rFonts w:ascii="Arial" w:hAnsi="Arial" w:cs="Arial"/>
              </w:rPr>
              <w:t xml:space="preserve">A paragraph to this effect has been added to section 3.11 (Data Processing). It reads as follows: </w:t>
            </w:r>
          </w:p>
          <w:p w14:paraId="107D2D94" w14:textId="5186C91D" w:rsidR="00E82C53" w:rsidRPr="008D3DFD" w:rsidRDefault="00E82C53" w:rsidP="00E82C53">
            <w:pPr>
              <w:autoSpaceDE w:val="0"/>
              <w:autoSpaceDN w:val="0"/>
              <w:adjustRightInd w:val="0"/>
              <w:rPr>
                <w:rFonts w:ascii="Arial" w:hAnsi="Arial" w:cs="Arial"/>
              </w:rPr>
            </w:pPr>
            <w:r w:rsidRPr="008D3DFD">
              <w:rPr>
                <w:rFonts w:ascii="Arial" w:hAnsi="Arial" w:cs="Arial"/>
              </w:rPr>
              <w:t>It should be noted that the allocation method described above will lead to a patient attending an out of area Trust having their data tracked back to their ‘home’ CCG (</w:t>
            </w:r>
            <w:r w:rsidR="00A44141" w:rsidRPr="008D3DFD">
              <w:rPr>
                <w:rFonts w:ascii="Arial" w:hAnsi="Arial" w:cs="Arial"/>
              </w:rPr>
              <w:t>i.e.</w:t>
            </w:r>
            <w:r w:rsidRPr="008D3DFD">
              <w:rPr>
                <w:rFonts w:ascii="Arial" w:hAnsi="Arial" w:cs="Arial"/>
              </w:rPr>
              <w:t xml:space="preserve"> CCG of residence) for reporting purposes. CCGs make continuous improvement in Clostridium difficile infection care.</w:t>
            </w:r>
          </w:p>
          <w:p w14:paraId="2D4A36DF" w14:textId="77777777" w:rsidR="00E82C53" w:rsidRPr="008D3DFD" w:rsidRDefault="00E82C53" w:rsidP="00E82C53">
            <w:pPr>
              <w:autoSpaceDE w:val="0"/>
              <w:autoSpaceDN w:val="0"/>
              <w:adjustRightInd w:val="0"/>
              <w:rPr>
                <w:rFonts w:ascii="Arial" w:hAnsi="Arial" w:cs="Arial"/>
              </w:rPr>
            </w:pPr>
            <w:r w:rsidRPr="008D3DFD">
              <w:rPr>
                <w:rFonts w:ascii="Arial" w:hAnsi="Arial" w:cs="Arial"/>
              </w:rPr>
              <w:t>Resources for acute trusts and CCGS are available from:</w:t>
            </w:r>
          </w:p>
          <w:p w14:paraId="1327D405" w14:textId="77777777" w:rsidR="00E82C53" w:rsidRPr="008D3DFD" w:rsidRDefault="00E82C53" w:rsidP="00E82C53">
            <w:pPr>
              <w:autoSpaceDE w:val="0"/>
              <w:autoSpaceDN w:val="0"/>
              <w:adjustRightInd w:val="0"/>
              <w:rPr>
                <w:rFonts w:ascii="Arial" w:hAnsi="Arial" w:cs="Arial"/>
              </w:rPr>
            </w:pPr>
            <w:r w:rsidRPr="008D3DFD">
              <w:rPr>
                <w:rFonts w:ascii="Arial" w:hAnsi="Arial" w:cs="Arial"/>
              </w:rPr>
              <w:t>https://improvement.nhs.uk/resources/clostridium-difficile-infection-objectives/</w:t>
            </w:r>
          </w:p>
          <w:p w14:paraId="79FD7078" w14:textId="37DB3B6D" w:rsidR="00E82C53" w:rsidRPr="008D3DFD" w:rsidRDefault="00E82C53" w:rsidP="00E82C53">
            <w:pPr>
              <w:autoSpaceDE w:val="0"/>
              <w:autoSpaceDN w:val="0"/>
              <w:adjustRightInd w:val="0"/>
              <w:rPr>
                <w:rFonts w:ascii="Arial" w:hAnsi="Arial" w:cs="Arial"/>
              </w:rPr>
            </w:pPr>
            <w:r w:rsidRPr="008D3DFD">
              <w:rPr>
                <w:rFonts w:ascii="Arial" w:hAnsi="Arial" w:cs="Arial"/>
              </w:rPr>
              <w:t>This includes Clostridium difficile infection assessment tool and action plan guidance, available from here.</w:t>
            </w:r>
            <w:r w:rsidR="005E6835" w:rsidRPr="008D3DFD">
              <w:rPr>
                <w:rFonts w:ascii="Arial" w:hAnsi="Arial" w:cs="Arial"/>
              </w:rPr>
              <w:t xml:space="preserve"> Document available on request by email to </w:t>
            </w:r>
            <w:hyperlink r:id="rId8" w:history="1">
              <w:r w:rsidR="005E6835" w:rsidRPr="008D3DFD">
                <w:rPr>
                  <w:rStyle w:val="Hyperlink"/>
                  <w:rFonts w:ascii="Arial" w:hAnsi="Arial" w:cs="Arial"/>
                  <w:color w:val="auto"/>
                </w:rPr>
                <w:t>indicators@nice.org.uk</w:t>
              </w:r>
            </w:hyperlink>
            <w:r w:rsidR="005E6835" w:rsidRPr="008D3DFD">
              <w:rPr>
                <w:rFonts w:ascii="Arial" w:hAnsi="Arial" w:cs="Arial"/>
              </w:rPr>
              <w:t xml:space="preserve"> </w:t>
            </w:r>
          </w:p>
          <w:p w14:paraId="0AD0B5B1" w14:textId="77777777" w:rsidR="00E82C53" w:rsidRPr="008D3DFD" w:rsidRDefault="00E82C53" w:rsidP="00E82C53">
            <w:pPr>
              <w:autoSpaceDE w:val="0"/>
              <w:autoSpaceDN w:val="0"/>
              <w:adjustRightInd w:val="0"/>
              <w:rPr>
                <w:rFonts w:ascii="Arial" w:hAnsi="Arial" w:cs="Arial"/>
              </w:rPr>
            </w:pPr>
            <w:r w:rsidRPr="008D3DFD">
              <w:rPr>
                <w:rFonts w:ascii="Arial" w:hAnsi="Arial" w:cs="Arial"/>
              </w:rPr>
              <w:t>Organisations are able to use this assessment tool to identify risk factors and good practice in CDI prevention and control, as well as to monitor progress against objectives, in order to reduce infections locally. Mandatory surveillance outputs are routinely used to appraise local/regional NHS management of infection levels within their area.</w:t>
            </w:r>
          </w:p>
          <w:p w14:paraId="2330975B" w14:textId="02EAC2A1" w:rsidR="00E82C53" w:rsidRPr="008D3DFD" w:rsidRDefault="00E82C53" w:rsidP="00E82C53">
            <w:pPr>
              <w:autoSpaceDE w:val="0"/>
              <w:autoSpaceDN w:val="0"/>
              <w:adjustRightInd w:val="0"/>
              <w:rPr>
                <w:rFonts w:ascii="Arial" w:hAnsi="Arial" w:cs="Arial"/>
              </w:rPr>
            </w:pPr>
            <w:r w:rsidRPr="008D3DFD">
              <w:rPr>
                <w:rFonts w:ascii="Arial" w:hAnsi="Arial" w:cs="Arial"/>
              </w:rPr>
              <w:lastRenderedPageBreak/>
              <w:t>A further document titled Clostridium difficile infection objectives 2017/18 and guidance on sanction implementation is available from here.</w:t>
            </w:r>
            <w:r w:rsidR="005E6835" w:rsidRPr="008D3DFD">
              <w:rPr>
                <w:rFonts w:ascii="Arial" w:hAnsi="Arial" w:cs="Arial"/>
              </w:rPr>
              <w:t xml:space="preserve"> Document available on request by email to </w:t>
            </w:r>
            <w:hyperlink r:id="rId9" w:history="1">
              <w:r w:rsidR="005E6835" w:rsidRPr="008D3DFD">
                <w:rPr>
                  <w:rStyle w:val="Hyperlink"/>
                  <w:rFonts w:ascii="Arial" w:hAnsi="Arial" w:cs="Arial"/>
                  <w:color w:val="auto"/>
                </w:rPr>
                <w:t>indicators@nice.org.uk</w:t>
              </w:r>
            </w:hyperlink>
            <w:r w:rsidR="005E6835" w:rsidRPr="008D3DFD">
              <w:rPr>
                <w:rFonts w:ascii="Arial" w:hAnsi="Arial" w:cs="Arial"/>
              </w:rPr>
              <w:t xml:space="preserve"> </w:t>
            </w:r>
          </w:p>
        </w:tc>
        <w:tc>
          <w:tcPr>
            <w:tcW w:w="1417" w:type="dxa"/>
          </w:tcPr>
          <w:p w14:paraId="1A2B3C67" w14:textId="77777777" w:rsidR="00E82C53" w:rsidRPr="008D3DFD" w:rsidRDefault="00E82C53" w:rsidP="00E82C53">
            <w:pPr>
              <w:autoSpaceDE w:val="0"/>
              <w:autoSpaceDN w:val="0"/>
              <w:adjustRightInd w:val="0"/>
              <w:rPr>
                <w:rFonts w:ascii="Arial" w:hAnsi="Arial" w:cs="Arial"/>
              </w:rPr>
            </w:pPr>
            <w:r w:rsidRPr="008D3DFD">
              <w:rPr>
                <w:rFonts w:ascii="Arial" w:hAnsi="Arial" w:cs="Arial"/>
              </w:rPr>
              <w:lastRenderedPageBreak/>
              <w:t xml:space="preserve">03/01/2018 </w:t>
            </w:r>
          </w:p>
        </w:tc>
        <w:tc>
          <w:tcPr>
            <w:tcW w:w="1289" w:type="dxa"/>
          </w:tcPr>
          <w:p w14:paraId="07B8F3B1" w14:textId="77777777" w:rsidR="00E82C53" w:rsidRPr="008D3DFD" w:rsidRDefault="00E82C53" w:rsidP="00E82C53">
            <w:pPr>
              <w:autoSpaceDE w:val="0"/>
              <w:autoSpaceDN w:val="0"/>
              <w:adjustRightInd w:val="0"/>
              <w:rPr>
                <w:rFonts w:ascii="Arial" w:hAnsi="Arial" w:cs="Arial"/>
              </w:rPr>
            </w:pPr>
            <w:r w:rsidRPr="008D3DFD">
              <w:rPr>
                <w:rFonts w:ascii="Segoe UI Symbol" w:hAnsi="Segoe UI Symbol" w:cs="Segoe UI Symbol"/>
              </w:rPr>
              <w:t>☒</w:t>
            </w:r>
            <w:r w:rsidRPr="008D3DFD">
              <w:rPr>
                <w:rFonts w:ascii="Arial" w:hAnsi="Arial" w:cs="Arial"/>
              </w:rPr>
              <w:t xml:space="preserve"> </w:t>
            </w:r>
          </w:p>
        </w:tc>
        <w:tc>
          <w:tcPr>
            <w:tcW w:w="2054" w:type="dxa"/>
          </w:tcPr>
          <w:p w14:paraId="5D699096" w14:textId="77777777" w:rsidR="00E82C53" w:rsidRPr="008D3DFD" w:rsidRDefault="00E82C53" w:rsidP="00E82C53">
            <w:pPr>
              <w:autoSpaceDE w:val="0"/>
              <w:autoSpaceDN w:val="0"/>
              <w:adjustRightInd w:val="0"/>
              <w:rPr>
                <w:rFonts w:ascii="Arial" w:hAnsi="Arial" w:cs="Arial"/>
              </w:rPr>
            </w:pPr>
            <w:r w:rsidRPr="008D3DFD">
              <w:rPr>
                <w:rFonts w:ascii="Arial" w:hAnsi="Arial" w:cs="Arial"/>
              </w:rPr>
              <w:t xml:space="preserve">MRG Chair </w:t>
            </w:r>
          </w:p>
          <w:p w14:paraId="35DCA8AE" w14:textId="77777777" w:rsidR="00E82C53" w:rsidRPr="008D3DFD" w:rsidRDefault="00E82C53" w:rsidP="00E82C53">
            <w:pPr>
              <w:autoSpaceDE w:val="0"/>
              <w:autoSpaceDN w:val="0"/>
              <w:adjustRightInd w:val="0"/>
              <w:rPr>
                <w:rFonts w:ascii="Arial" w:hAnsi="Arial" w:cs="Arial"/>
              </w:rPr>
            </w:pPr>
            <w:r w:rsidRPr="008D3DFD">
              <w:rPr>
                <w:rFonts w:ascii="Arial" w:hAnsi="Arial" w:cs="Arial"/>
              </w:rPr>
              <w:t xml:space="preserve">10/01/2018 </w:t>
            </w:r>
          </w:p>
        </w:tc>
      </w:tr>
    </w:tbl>
    <w:p w14:paraId="6E2B70B6" w14:textId="77777777" w:rsidR="00C64AFE" w:rsidRPr="008D3DFD" w:rsidRDefault="00C64AFE" w:rsidP="004E7B0D">
      <w:pPr>
        <w:pStyle w:val="Default"/>
        <w:rPr>
          <w:b/>
          <w:bCs/>
          <w:color w:val="auto"/>
          <w:sz w:val="22"/>
          <w:szCs w:val="22"/>
        </w:rPr>
      </w:pPr>
    </w:p>
    <w:p w14:paraId="0EC613B6" w14:textId="245C14E1" w:rsidR="005E6835" w:rsidRPr="008D3DFD" w:rsidRDefault="005E6835">
      <w:pPr>
        <w:rPr>
          <w:rFonts w:ascii="Arial" w:hAnsi="Arial" w:cs="Arial"/>
          <w:b/>
          <w:bCs/>
        </w:rPr>
      </w:pPr>
    </w:p>
    <w:tbl>
      <w:tblPr>
        <w:tblStyle w:val="TableGrid"/>
        <w:tblW w:w="0" w:type="auto"/>
        <w:tblLayout w:type="fixed"/>
        <w:tblLook w:val="0020" w:firstRow="1" w:lastRow="0" w:firstColumn="0" w:lastColumn="0" w:noHBand="0" w:noVBand="0"/>
      </w:tblPr>
      <w:tblGrid>
        <w:gridCol w:w="1101"/>
        <w:gridCol w:w="2976"/>
        <w:gridCol w:w="1276"/>
        <w:gridCol w:w="5670"/>
        <w:gridCol w:w="947"/>
        <w:gridCol w:w="2394"/>
      </w:tblGrid>
      <w:tr w:rsidR="008D3DFD" w:rsidRPr="008D3DFD" w14:paraId="12CD4E45" w14:textId="77777777" w:rsidTr="008D3DFD">
        <w:trPr>
          <w:trHeight w:val="1305"/>
        </w:trPr>
        <w:tc>
          <w:tcPr>
            <w:tcW w:w="1101" w:type="dxa"/>
          </w:tcPr>
          <w:p w14:paraId="423F7369" w14:textId="0DF999B4" w:rsidR="008D3DFD" w:rsidRPr="008D3DFD" w:rsidRDefault="008D3DFD" w:rsidP="005E6835">
            <w:pPr>
              <w:autoSpaceDE w:val="0"/>
              <w:autoSpaceDN w:val="0"/>
              <w:adjustRightInd w:val="0"/>
              <w:rPr>
                <w:rFonts w:ascii="Arial" w:hAnsi="Arial" w:cs="Arial"/>
              </w:rPr>
            </w:pPr>
            <w:r w:rsidRPr="008D3DFD">
              <w:rPr>
                <w:rFonts w:ascii="Arial" w:hAnsi="Arial" w:cs="Arial"/>
                <w:b/>
                <w:bCs/>
              </w:rPr>
              <w:t>Rec. no</w:t>
            </w:r>
          </w:p>
        </w:tc>
        <w:tc>
          <w:tcPr>
            <w:tcW w:w="2976" w:type="dxa"/>
          </w:tcPr>
          <w:p w14:paraId="173B683A" w14:textId="3A5033B9" w:rsidR="008D3DFD" w:rsidRPr="008D3DFD" w:rsidRDefault="008D3DFD" w:rsidP="005E6835">
            <w:pPr>
              <w:autoSpaceDE w:val="0"/>
              <w:autoSpaceDN w:val="0"/>
              <w:adjustRightInd w:val="0"/>
              <w:rPr>
                <w:rFonts w:ascii="Arial" w:hAnsi="Arial" w:cs="Arial"/>
              </w:rPr>
            </w:pPr>
            <w:r w:rsidRPr="008D3DFD">
              <w:rPr>
                <w:rFonts w:ascii="Arial" w:hAnsi="Arial" w:cs="Arial"/>
                <w:b/>
                <w:bCs/>
              </w:rPr>
              <w:t>Is</w:t>
            </w:r>
            <w:r w:rsidRPr="008D3DFD">
              <w:rPr>
                <w:rFonts w:ascii="Arial" w:hAnsi="Arial" w:cs="Arial"/>
                <w:b/>
                <w:bCs/>
              </w:rPr>
              <w:t>sue or recommendation</w:t>
            </w:r>
          </w:p>
        </w:tc>
        <w:tc>
          <w:tcPr>
            <w:tcW w:w="1276" w:type="dxa"/>
          </w:tcPr>
          <w:p w14:paraId="5D1A2DD2" w14:textId="105A69B1" w:rsidR="008D3DFD" w:rsidRPr="008D3DFD" w:rsidRDefault="008D3DFD" w:rsidP="005E6835">
            <w:pPr>
              <w:autoSpaceDE w:val="0"/>
              <w:autoSpaceDN w:val="0"/>
              <w:adjustRightInd w:val="0"/>
              <w:rPr>
                <w:rFonts w:ascii="Arial" w:hAnsi="Arial" w:cs="Arial"/>
              </w:rPr>
            </w:pPr>
            <w:r w:rsidRPr="008D3DFD">
              <w:rPr>
                <w:rFonts w:ascii="Arial" w:hAnsi="Arial" w:cs="Arial"/>
                <w:b/>
                <w:bCs/>
              </w:rPr>
              <w:t>Raised by / Date</w:t>
            </w:r>
          </w:p>
        </w:tc>
        <w:tc>
          <w:tcPr>
            <w:tcW w:w="5670" w:type="dxa"/>
          </w:tcPr>
          <w:p w14:paraId="505CA655" w14:textId="343130EB" w:rsidR="008D3DFD" w:rsidRPr="008D3DFD" w:rsidRDefault="008D3DFD" w:rsidP="005E6835">
            <w:pPr>
              <w:autoSpaceDE w:val="0"/>
              <w:autoSpaceDN w:val="0"/>
              <w:adjustRightInd w:val="0"/>
              <w:rPr>
                <w:rFonts w:ascii="Arial" w:hAnsi="Arial" w:cs="Arial"/>
              </w:rPr>
            </w:pPr>
            <w:r w:rsidRPr="008D3DFD">
              <w:rPr>
                <w:rFonts w:ascii="Arial" w:hAnsi="Arial" w:cs="Arial"/>
                <w:b/>
                <w:bCs/>
              </w:rPr>
              <w:t>Response or Action taken by applicant</w:t>
            </w:r>
          </w:p>
        </w:tc>
        <w:tc>
          <w:tcPr>
            <w:tcW w:w="947" w:type="dxa"/>
          </w:tcPr>
          <w:p w14:paraId="0D65EAF1" w14:textId="076C4CFE" w:rsidR="008D3DFD" w:rsidRPr="008D3DFD" w:rsidRDefault="008D3DFD" w:rsidP="005E6835">
            <w:pPr>
              <w:autoSpaceDE w:val="0"/>
              <w:autoSpaceDN w:val="0"/>
              <w:adjustRightInd w:val="0"/>
              <w:rPr>
                <w:rFonts w:ascii="Arial" w:hAnsi="Arial" w:cs="Arial"/>
              </w:rPr>
            </w:pPr>
            <w:r w:rsidRPr="008D3DFD">
              <w:rPr>
                <w:rFonts w:ascii="Arial" w:hAnsi="Arial" w:cs="Arial"/>
                <w:b/>
                <w:bCs/>
              </w:rPr>
              <w:t>Response date</w:t>
            </w:r>
            <w:r w:rsidRPr="008D3DFD">
              <w:rPr>
                <w:rFonts w:ascii="Arial" w:hAnsi="Arial" w:cs="Arial"/>
                <w:b/>
                <w:bCs/>
              </w:rPr>
              <w:t xml:space="preserve"> </w:t>
            </w:r>
            <w:r w:rsidRPr="008D3DFD">
              <w:rPr>
                <w:rFonts w:ascii="Arial" w:hAnsi="Arial" w:cs="Arial"/>
                <w:b/>
                <w:bCs/>
              </w:rPr>
              <w:t>Resolved</w:t>
            </w:r>
          </w:p>
        </w:tc>
        <w:tc>
          <w:tcPr>
            <w:tcW w:w="2394" w:type="dxa"/>
          </w:tcPr>
          <w:p w14:paraId="19F2CDC9" w14:textId="4CECB6D4" w:rsidR="008D3DFD" w:rsidRPr="008D3DFD" w:rsidRDefault="008D3DFD" w:rsidP="005E6835">
            <w:pPr>
              <w:autoSpaceDE w:val="0"/>
              <w:autoSpaceDN w:val="0"/>
              <w:adjustRightInd w:val="0"/>
              <w:rPr>
                <w:rFonts w:ascii="Arial" w:hAnsi="Arial" w:cs="Arial"/>
              </w:rPr>
            </w:pPr>
            <w:r w:rsidRPr="008D3DFD">
              <w:rPr>
                <w:rFonts w:ascii="Arial" w:hAnsi="Arial" w:cs="Arial"/>
                <w:b/>
                <w:bCs/>
              </w:rPr>
              <w:t>Sign off by / Date</w:t>
            </w:r>
          </w:p>
        </w:tc>
      </w:tr>
      <w:tr w:rsidR="008D3DFD" w:rsidRPr="008D3DFD" w14:paraId="70F8EEEF" w14:textId="77777777" w:rsidTr="008D3DFD">
        <w:trPr>
          <w:trHeight w:val="1305"/>
        </w:trPr>
        <w:tc>
          <w:tcPr>
            <w:tcW w:w="1101" w:type="dxa"/>
          </w:tcPr>
          <w:p w14:paraId="2932F778" w14:textId="77777777" w:rsidR="005E6835" w:rsidRPr="008D3DFD" w:rsidRDefault="005E6835" w:rsidP="005E6835">
            <w:pPr>
              <w:autoSpaceDE w:val="0"/>
              <w:autoSpaceDN w:val="0"/>
              <w:adjustRightInd w:val="0"/>
              <w:rPr>
                <w:rFonts w:ascii="Arial" w:hAnsi="Arial" w:cs="Arial"/>
              </w:rPr>
            </w:pPr>
            <w:r w:rsidRPr="008D3DFD">
              <w:rPr>
                <w:rFonts w:ascii="Arial" w:hAnsi="Arial" w:cs="Arial"/>
              </w:rPr>
              <w:t xml:space="preserve">5.b </w:t>
            </w:r>
          </w:p>
        </w:tc>
        <w:tc>
          <w:tcPr>
            <w:tcW w:w="2976" w:type="dxa"/>
          </w:tcPr>
          <w:p w14:paraId="234C8725" w14:textId="77777777" w:rsidR="005E6835" w:rsidRPr="008D3DFD" w:rsidRDefault="005E6835" w:rsidP="005E6835">
            <w:pPr>
              <w:autoSpaceDE w:val="0"/>
              <w:autoSpaceDN w:val="0"/>
              <w:adjustRightInd w:val="0"/>
              <w:rPr>
                <w:rFonts w:ascii="Arial" w:hAnsi="Arial" w:cs="Arial"/>
              </w:rPr>
            </w:pPr>
            <w:r w:rsidRPr="008D3DFD">
              <w:rPr>
                <w:rFonts w:ascii="Arial" w:hAnsi="Arial" w:cs="Arial"/>
              </w:rPr>
              <w:t xml:space="preserve">The section on Improvement actions references “data are used nationally for benchmarking purposes”. MRG ask that additional clarity be provided to explain in what context data is used for benchmarking </w:t>
            </w:r>
          </w:p>
        </w:tc>
        <w:tc>
          <w:tcPr>
            <w:tcW w:w="1276" w:type="dxa"/>
          </w:tcPr>
          <w:p w14:paraId="49E95408" w14:textId="77777777" w:rsidR="005E6835" w:rsidRPr="008D3DFD" w:rsidRDefault="005E6835" w:rsidP="005E6835">
            <w:pPr>
              <w:autoSpaceDE w:val="0"/>
              <w:autoSpaceDN w:val="0"/>
              <w:adjustRightInd w:val="0"/>
              <w:rPr>
                <w:rFonts w:ascii="Arial" w:hAnsi="Arial" w:cs="Arial"/>
              </w:rPr>
            </w:pPr>
            <w:r w:rsidRPr="008D3DFD">
              <w:rPr>
                <w:rFonts w:ascii="Arial" w:hAnsi="Arial" w:cs="Arial"/>
              </w:rPr>
              <w:t xml:space="preserve">02/11/2017 </w:t>
            </w:r>
          </w:p>
        </w:tc>
        <w:tc>
          <w:tcPr>
            <w:tcW w:w="5670" w:type="dxa"/>
          </w:tcPr>
          <w:p w14:paraId="17499C96" w14:textId="5CE21321" w:rsidR="005E6835" w:rsidRPr="008D3DFD" w:rsidRDefault="005E6835" w:rsidP="005E6835">
            <w:pPr>
              <w:autoSpaceDE w:val="0"/>
              <w:autoSpaceDN w:val="0"/>
              <w:adjustRightInd w:val="0"/>
              <w:rPr>
                <w:rFonts w:ascii="Arial" w:hAnsi="Arial" w:cs="Arial"/>
              </w:rPr>
            </w:pPr>
            <w:r w:rsidRPr="008D3DFD">
              <w:rPr>
                <w:rFonts w:ascii="Arial" w:hAnsi="Arial" w:cs="Arial"/>
              </w:rPr>
              <w:t xml:space="preserve">The relevant paragraph within section 5.8 (Improvement Actions) has been amended and now reads as follows: </w:t>
            </w:r>
            <w:r w:rsidR="008D3DFD" w:rsidRPr="008D3DFD">
              <w:rPr>
                <w:rFonts w:ascii="Arial" w:hAnsi="Arial" w:cs="Arial"/>
              </w:rPr>
              <w:t xml:space="preserve">Data are used for various benchmarking purposes. Hospital infection control teams use the data to prepare benchmarking information for providers within their area. PHE also run and maintain a centralised benchmarking dashboard which allows users to compare a specific organisation (for example an NHS acute Trust) against a selection of other user-specified Trusts. This report can display both counts and rates for the selected time period and is available. Further details on the benchmarking dashboard are available from here. Document available on request by email to </w:t>
            </w:r>
            <w:hyperlink r:id="rId10" w:history="1">
              <w:r w:rsidR="008D3DFD" w:rsidRPr="008D3DFD">
                <w:rPr>
                  <w:rStyle w:val="Hyperlink"/>
                  <w:rFonts w:ascii="Arial" w:hAnsi="Arial" w:cs="Arial"/>
                  <w:color w:val="auto"/>
                </w:rPr>
                <w:t>indicators@nice.org.uk</w:t>
              </w:r>
            </w:hyperlink>
          </w:p>
          <w:p w14:paraId="7E08EC9F" w14:textId="518A18FE" w:rsidR="005E6835" w:rsidRPr="008D3DFD" w:rsidRDefault="005E6835" w:rsidP="005E6835">
            <w:pPr>
              <w:autoSpaceDE w:val="0"/>
              <w:autoSpaceDN w:val="0"/>
              <w:adjustRightInd w:val="0"/>
              <w:rPr>
                <w:rFonts w:ascii="Arial" w:hAnsi="Arial" w:cs="Arial"/>
              </w:rPr>
            </w:pPr>
          </w:p>
        </w:tc>
        <w:tc>
          <w:tcPr>
            <w:tcW w:w="947" w:type="dxa"/>
          </w:tcPr>
          <w:p w14:paraId="376A9090" w14:textId="77777777" w:rsidR="005E6835" w:rsidRPr="008D3DFD" w:rsidRDefault="005E6835" w:rsidP="005E6835">
            <w:pPr>
              <w:autoSpaceDE w:val="0"/>
              <w:autoSpaceDN w:val="0"/>
              <w:adjustRightInd w:val="0"/>
              <w:rPr>
                <w:rFonts w:ascii="Arial" w:hAnsi="Arial" w:cs="Arial"/>
              </w:rPr>
            </w:pPr>
            <w:r w:rsidRPr="008D3DFD">
              <w:rPr>
                <w:rFonts w:ascii="Segoe UI Symbol" w:hAnsi="Segoe UI Symbol" w:cs="Segoe UI Symbol"/>
              </w:rPr>
              <w:t>☒</w:t>
            </w:r>
            <w:r w:rsidRPr="008D3DFD">
              <w:rPr>
                <w:rFonts w:ascii="Arial" w:hAnsi="Arial" w:cs="Arial"/>
              </w:rPr>
              <w:t xml:space="preserve"> </w:t>
            </w:r>
          </w:p>
        </w:tc>
        <w:tc>
          <w:tcPr>
            <w:tcW w:w="2394" w:type="dxa"/>
          </w:tcPr>
          <w:p w14:paraId="0E38C772" w14:textId="77777777" w:rsidR="005E6835" w:rsidRPr="008D3DFD" w:rsidRDefault="005E6835" w:rsidP="005E6835">
            <w:pPr>
              <w:autoSpaceDE w:val="0"/>
              <w:autoSpaceDN w:val="0"/>
              <w:adjustRightInd w:val="0"/>
              <w:rPr>
                <w:rFonts w:ascii="Arial" w:hAnsi="Arial" w:cs="Arial"/>
              </w:rPr>
            </w:pPr>
            <w:r w:rsidRPr="008D3DFD">
              <w:rPr>
                <w:rFonts w:ascii="Arial" w:hAnsi="Arial" w:cs="Arial"/>
              </w:rPr>
              <w:t xml:space="preserve">MRG Chair </w:t>
            </w:r>
          </w:p>
          <w:p w14:paraId="33481FCE" w14:textId="77777777" w:rsidR="005E6835" w:rsidRPr="008D3DFD" w:rsidRDefault="005E6835" w:rsidP="005E6835">
            <w:pPr>
              <w:autoSpaceDE w:val="0"/>
              <w:autoSpaceDN w:val="0"/>
              <w:adjustRightInd w:val="0"/>
              <w:rPr>
                <w:rFonts w:ascii="Arial" w:hAnsi="Arial" w:cs="Arial"/>
              </w:rPr>
            </w:pPr>
            <w:r w:rsidRPr="008D3DFD">
              <w:rPr>
                <w:rFonts w:ascii="Arial" w:hAnsi="Arial" w:cs="Arial"/>
              </w:rPr>
              <w:t xml:space="preserve">10/01/2018 </w:t>
            </w:r>
          </w:p>
        </w:tc>
      </w:tr>
    </w:tbl>
    <w:p w14:paraId="1151A2EC" w14:textId="1A7869AC" w:rsidR="00C64AFE" w:rsidRPr="008D3DFD" w:rsidRDefault="00C64AFE">
      <w:pPr>
        <w:rPr>
          <w:rFonts w:ascii="Arial" w:hAnsi="Arial" w:cs="Arial"/>
          <w:b/>
          <w:bCs/>
        </w:rPr>
      </w:pPr>
      <w:r w:rsidRPr="008D3DFD">
        <w:rPr>
          <w:rFonts w:ascii="Arial" w:hAnsi="Arial" w:cs="Arial"/>
          <w:b/>
          <w:bCs/>
        </w:rPr>
        <w:br w:type="page"/>
      </w:r>
    </w:p>
    <w:p w14:paraId="187AAAA7" w14:textId="34F180DD" w:rsidR="003434E5" w:rsidRPr="008D3DFD" w:rsidRDefault="003434E5">
      <w:pPr>
        <w:rPr>
          <w:rFonts w:ascii="Arial" w:hAnsi="Arial" w:cs="Arial"/>
          <w:b/>
          <w:bCs/>
        </w:rPr>
      </w:pPr>
    </w:p>
    <w:p w14:paraId="2FE980F8" w14:textId="2C05660A" w:rsidR="003434E5" w:rsidRPr="008D3DFD" w:rsidRDefault="003434E5">
      <w:pPr>
        <w:rPr>
          <w:rFonts w:ascii="Arial" w:hAnsi="Arial" w:cs="Arial"/>
          <w:b/>
          <w:bCs/>
        </w:rPr>
      </w:pPr>
    </w:p>
    <w:p w14:paraId="6804C94E" w14:textId="3802383A" w:rsidR="008D3DFD" w:rsidRPr="008D3DFD" w:rsidRDefault="008D3DFD">
      <w:pPr>
        <w:rPr>
          <w:rFonts w:ascii="Arial" w:hAnsi="Arial" w:cs="Arial"/>
        </w:rPr>
      </w:pPr>
      <w:r w:rsidRPr="008D3DFD">
        <w:rPr>
          <w:rFonts w:ascii="Arial" w:hAnsi="Arial" w:cs="Arial"/>
          <w:b/>
          <w:bCs/>
        </w:rPr>
        <w:t>Risks and Usefulness</w:t>
      </w:r>
    </w:p>
    <w:tbl>
      <w:tblPr>
        <w:tblStyle w:val="TableGrid"/>
        <w:tblW w:w="0" w:type="auto"/>
        <w:tblLayout w:type="fixed"/>
        <w:tblLook w:val="0020" w:firstRow="1" w:lastRow="0" w:firstColumn="0" w:lastColumn="0" w:noHBand="0" w:noVBand="0"/>
      </w:tblPr>
      <w:tblGrid>
        <w:gridCol w:w="2052"/>
        <w:gridCol w:w="2052"/>
        <w:gridCol w:w="2052"/>
        <w:gridCol w:w="2052"/>
        <w:gridCol w:w="2052"/>
        <w:gridCol w:w="2052"/>
        <w:gridCol w:w="2054"/>
      </w:tblGrid>
      <w:tr w:rsidR="008D3DFD" w:rsidRPr="008D3DFD" w14:paraId="51FC1486" w14:textId="77777777" w:rsidTr="008D3DFD">
        <w:trPr>
          <w:trHeight w:val="248"/>
        </w:trPr>
        <w:tc>
          <w:tcPr>
            <w:tcW w:w="2052" w:type="dxa"/>
          </w:tcPr>
          <w:p w14:paraId="4131B516" w14:textId="77777777" w:rsidR="003434E5" w:rsidRPr="008D3DFD" w:rsidRDefault="003434E5" w:rsidP="003434E5">
            <w:pPr>
              <w:autoSpaceDE w:val="0"/>
              <w:autoSpaceDN w:val="0"/>
              <w:adjustRightInd w:val="0"/>
              <w:rPr>
                <w:rFonts w:ascii="Arial" w:hAnsi="Arial" w:cs="Arial"/>
              </w:rPr>
            </w:pPr>
            <w:r w:rsidRPr="008D3DFD">
              <w:rPr>
                <w:rFonts w:ascii="Arial" w:hAnsi="Arial" w:cs="Arial"/>
                <w:b/>
                <w:bCs/>
              </w:rPr>
              <w:t xml:space="preserve">Rec. no </w:t>
            </w:r>
          </w:p>
        </w:tc>
        <w:tc>
          <w:tcPr>
            <w:tcW w:w="2052" w:type="dxa"/>
          </w:tcPr>
          <w:p w14:paraId="2AFCEF60" w14:textId="77777777" w:rsidR="003434E5" w:rsidRPr="008D3DFD" w:rsidRDefault="003434E5" w:rsidP="003434E5">
            <w:pPr>
              <w:autoSpaceDE w:val="0"/>
              <w:autoSpaceDN w:val="0"/>
              <w:adjustRightInd w:val="0"/>
              <w:rPr>
                <w:rFonts w:ascii="Arial" w:hAnsi="Arial" w:cs="Arial"/>
              </w:rPr>
            </w:pPr>
            <w:r w:rsidRPr="008D3DFD">
              <w:rPr>
                <w:rFonts w:ascii="Arial" w:hAnsi="Arial" w:cs="Arial"/>
                <w:b/>
                <w:bCs/>
              </w:rPr>
              <w:t xml:space="preserve">Issue or recommendation </w:t>
            </w:r>
          </w:p>
        </w:tc>
        <w:tc>
          <w:tcPr>
            <w:tcW w:w="2052" w:type="dxa"/>
          </w:tcPr>
          <w:p w14:paraId="4477FC4F" w14:textId="77777777" w:rsidR="003434E5" w:rsidRPr="008D3DFD" w:rsidRDefault="003434E5" w:rsidP="003434E5">
            <w:pPr>
              <w:autoSpaceDE w:val="0"/>
              <w:autoSpaceDN w:val="0"/>
              <w:adjustRightInd w:val="0"/>
              <w:rPr>
                <w:rFonts w:ascii="Arial" w:hAnsi="Arial" w:cs="Arial"/>
              </w:rPr>
            </w:pPr>
            <w:r w:rsidRPr="008D3DFD">
              <w:rPr>
                <w:rFonts w:ascii="Arial" w:hAnsi="Arial" w:cs="Arial"/>
                <w:b/>
                <w:bCs/>
              </w:rPr>
              <w:t xml:space="preserve">Raised by / Date </w:t>
            </w:r>
          </w:p>
        </w:tc>
        <w:tc>
          <w:tcPr>
            <w:tcW w:w="2052" w:type="dxa"/>
          </w:tcPr>
          <w:p w14:paraId="4A1732A6" w14:textId="77777777" w:rsidR="003434E5" w:rsidRPr="008D3DFD" w:rsidRDefault="003434E5" w:rsidP="003434E5">
            <w:pPr>
              <w:autoSpaceDE w:val="0"/>
              <w:autoSpaceDN w:val="0"/>
              <w:adjustRightInd w:val="0"/>
              <w:rPr>
                <w:rFonts w:ascii="Arial" w:hAnsi="Arial" w:cs="Arial"/>
              </w:rPr>
            </w:pPr>
            <w:r w:rsidRPr="008D3DFD">
              <w:rPr>
                <w:rFonts w:ascii="Arial" w:hAnsi="Arial" w:cs="Arial"/>
                <w:b/>
                <w:bCs/>
              </w:rPr>
              <w:t xml:space="preserve">Response or Action taken by applicant </w:t>
            </w:r>
          </w:p>
        </w:tc>
        <w:tc>
          <w:tcPr>
            <w:tcW w:w="2052" w:type="dxa"/>
          </w:tcPr>
          <w:p w14:paraId="76FEDCDF" w14:textId="77777777" w:rsidR="003434E5" w:rsidRPr="008D3DFD" w:rsidRDefault="003434E5" w:rsidP="003434E5">
            <w:pPr>
              <w:autoSpaceDE w:val="0"/>
              <w:autoSpaceDN w:val="0"/>
              <w:adjustRightInd w:val="0"/>
              <w:rPr>
                <w:rFonts w:ascii="Arial" w:hAnsi="Arial" w:cs="Arial"/>
              </w:rPr>
            </w:pPr>
            <w:r w:rsidRPr="008D3DFD">
              <w:rPr>
                <w:rFonts w:ascii="Arial" w:hAnsi="Arial" w:cs="Arial"/>
                <w:b/>
                <w:bCs/>
              </w:rPr>
              <w:t xml:space="preserve">Response date </w:t>
            </w:r>
          </w:p>
        </w:tc>
        <w:tc>
          <w:tcPr>
            <w:tcW w:w="2052" w:type="dxa"/>
          </w:tcPr>
          <w:p w14:paraId="2A6C5DA9" w14:textId="77777777" w:rsidR="003434E5" w:rsidRPr="008D3DFD" w:rsidRDefault="003434E5" w:rsidP="003434E5">
            <w:pPr>
              <w:autoSpaceDE w:val="0"/>
              <w:autoSpaceDN w:val="0"/>
              <w:adjustRightInd w:val="0"/>
              <w:rPr>
                <w:rFonts w:ascii="Arial" w:hAnsi="Arial" w:cs="Arial"/>
              </w:rPr>
            </w:pPr>
            <w:r w:rsidRPr="008D3DFD">
              <w:rPr>
                <w:rFonts w:ascii="Arial" w:hAnsi="Arial" w:cs="Arial"/>
                <w:b/>
                <w:bCs/>
              </w:rPr>
              <w:t xml:space="preserve">Resolved </w:t>
            </w:r>
          </w:p>
        </w:tc>
        <w:tc>
          <w:tcPr>
            <w:tcW w:w="2054" w:type="dxa"/>
          </w:tcPr>
          <w:p w14:paraId="1A51DF9C" w14:textId="77777777" w:rsidR="003434E5" w:rsidRPr="008D3DFD" w:rsidRDefault="003434E5" w:rsidP="003434E5">
            <w:pPr>
              <w:autoSpaceDE w:val="0"/>
              <w:autoSpaceDN w:val="0"/>
              <w:adjustRightInd w:val="0"/>
              <w:rPr>
                <w:rFonts w:ascii="Arial" w:hAnsi="Arial" w:cs="Arial"/>
              </w:rPr>
            </w:pPr>
            <w:r w:rsidRPr="008D3DFD">
              <w:rPr>
                <w:rFonts w:ascii="Arial" w:hAnsi="Arial" w:cs="Arial"/>
                <w:b/>
                <w:bCs/>
              </w:rPr>
              <w:t xml:space="preserve">Sign off by / Date </w:t>
            </w:r>
          </w:p>
        </w:tc>
      </w:tr>
      <w:tr w:rsidR="008D3DFD" w:rsidRPr="008D3DFD" w14:paraId="4E0C1D76" w14:textId="77777777" w:rsidTr="008D3DFD">
        <w:trPr>
          <w:trHeight w:val="785"/>
        </w:trPr>
        <w:tc>
          <w:tcPr>
            <w:tcW w:w="2052" w:type="dxa"/>
          </w:tcPr>
          <w:p w14:paraId="4EAC4301" w14:textId="77777777" w:rsidR="003434E5" w:rsidRPr="008D3DFD" w:rsidRDefault="003434E5" w:rsidP="003434E5">
            <w:pPr>
              <w:autoSpaceDE w:val="0"/>
              <w:autoSpaceDN w:val="0"/>
              <w:adjustRightInd w:val="0"/>
              <w:rPr>
                <w:rFonts w:ascii="Arial" w:hAnsi="Arial" w:cs="Arial"/>
              </w:rPr>
            </w:pPr>
            <w:r w:rsidRPr="008D3DFD">
              <w:rPr>
                <w:rFonts w:ascii="Arial" w:hAnsi="Arial" w:cs="Arial"/>
              </w:rPr>
              <w:t xml:space="preserve">6a </w:t>
            </w:r>
          </w:p>
        </w:tc>
        <w:tc>
          <w:tcPr>
            <w:tcW w:w="2052" w:type="dxa"/>
          </w:tcPr>
          <w:p w14:paraId="41934D89" w14:textId="77777777" w:rsidR="003434E5" w:rsidRPr="008D3DFD" w:rsidRDefault="003434E5" w:rsidP="003434E5">
            <w:pPr>
              <w:autoSpaceDE w:val="0"/>
              <w:autoSpaceDN w:val="0"/>
              <w:adjustRightInd w:val="0"/>
              <w:rPr>
                <w:rFonts w:ascii="Arial" w:hAnsi="Arial" w:cs="Arial"/>
              </w:rPr>
            </w:pPr>
            <w:r w:rsidRPr="008D3DFD">
              <w:rPr>
                <w:rFonts w:ascii="Arial" w:hAnsi="Arial" w:cs="Arial"/>
              </w:rPr>
              <w:t xml:space="preserve">Within “Similar Existing indicators” MRG recommend that appropriate hyperlinks be added to the paperwork to reference where to find the information published by PHE in the NHS Outcomes Framework and also a link to the Indicator Portal. </w:t>
            </w:r>
          </w:p>
        </w:tc>
        <w:tc>
          <w:tcPr>
            <w:tcW w:w="2052" w:type="dxa"/>
          </w:tcPr>
          <w:p w14:paraId="4B12683F" w14:textId="77777777" w:rsidR="003434E5" w:rsidRPr="008D3DFD" w:rsidRDefault="003434E5" w:rsidP="003434E5">
            <w:pPr>
              <w:autoSpaceDE w:val="0"/>
              <w:autoSpaceDN w:val="0"/>
              <w:adjustRightInd w:val="0"/>
              <w:rPr>
                <w:rFonts w:ascii="Arial" w:hAnsi="Arial" w:cs="Arial"/>
              </w:rPr>
            </w:pPr>
            <w:r w:rsidRPr="008D3DFD">
              <w:rPr>
                <w:rFonts w:ascii="Arial" w:hAnsi="Arial" w:cs="Arial"/>
              </w:rPr>
              <w:t xml:space="preserve">02/11/2017 </w:t>
            </w:r>
          </w:p>
        </w:tc>
        <w:tc>
          <w:tcPr>
            <w:tcW w:w="2052" w:type="dxa"/>
          </w:tcPr>
          <w:p w14:paraId="1C360CCF" w14:textId="77777777" w:rsidR="003434E5" w:rsidRPr="008D3DFD" w:rsidRDefault="003434E5" w:rsidP="003434E5">
            <w:pPr>
              <w:autoSpaceDE w:val="0"/>
              <w:autoSpaceDN w:val="0"/>
              <w:adjustRightInd w:val="0"/>
              <w:rPr>
                <w:rFonts w:ascii="Arial" w:hAnsi="Arial" w:cs="Arial"/>
              </w:rPr>
            </w:pPr>
            <w:r w:rsidRPr="008D3DFD">
              <w:rPr>
                <w:rFonts w:ascii="Arial" w:hAnsi="Arial" w:cs="Arial"/>
              </w:rPr>
              <w:t xml:space="preserve">Section 6.1 (Similar existing indicators) has now been updated with the relevant hyperlinks. </w:t>
            </w:r>
          </w:p>
        </w:tc>
        <w:tc>
          <w:tcPr>
            <w:tcW w:w="2052" w:type="dxa"/>
          </w:tcPr>
          <w:p w14:paraId="60962575" w14:textId="77777777" w:rsidR="003434E5" w:rsidRPr="008D3DFD" w:rsidRDefault="003434E5" w:rsidP="003434E5">
            <w:pPr>
              <w:autoSpaceDE w:val="0"/>
              <w:autoSpaceDN w:val="0"/>
              <w:adjustRightInd w:val="0"/>
              <w:rPr>
                <w:rFonts w:ascii="Arial" w:hAnsi="Arial" w:cs="Arial"/>
              </w:rPr>
            </w:pPr>
            <w:r w:rsidRPr="008D3DFD">
              <w:rPr>
                <w:rFonts w:ascii="Arial" w:hAnsi="Arial" w:cs="Arial"/>
              </w:rPr>
              <w:t xml:space="preserve">04/01/2018 </w:t>
            </w:r>
          </w:p>
        </w:tc>
        <w:tc>
          <w:tcPr>
            <w:tcW w:w="2052" w:type="dxa"/>
          </w:tcPr>
          <w:p w14:paraId="7B27E58C" w14:textId="77777777" w:rsidR="003434E5" w:rsidRPr="008D3DFD" w:rsidRDefault="003434E5" w:rsidP="003434E5">
            <w:pPr>
              <w:autoSpaceDE w:val="0"/>
              <w:autoSpaceDN w:val="0"/>
              <w:adjustRightInd w:val="0"/>
              <w:rPr>
                <w:rFonts w:ascii="Arial" w:hAnsi="Arial" w:cs="Arial"/>
              </w:rPr>
            </w:pPr>
            <w:r w:rsidRPr="008D3DFD">
              <w:rPr>
                <w:rFonts w:ascii="Segoe UI Symbol" w:hAnsi="Segoe UI Symbol" w:cs="Segoe UI Symbol"/>
              </w:rPr>
              <w:t>☒</w:t>
            </w:r>
            <w:r w:rsidRPr="008D3DFD">
              <w:rPr>
                <w:rFonts w:ascii="Arial" w:hAnsi="Arial" w:cs="Arial"/>
              </w:rPr>
              <w:t xml:space="preserve"> </w:t>
            </w:r>
          </w:p>
        </w:tc>
        <w:tc>
          <w:tcPr>
            <w:tcW w:w="2054" w:type="dxa"/>
          </w:tcPr>
          <w:p w14:paraId="449E2937" w14:textId="77777777" w:rsidR="003434E5" w:rsidRPr="008D3DFD" w:rsidRDefault="003434E5" w:rsidP="003434E5">
            <w:pPr>
              <w:autoSpaceDE w:val="0"/>
              <w:autoSpaceDN w:val="0"/>
              <w:adjustRightInd w:val="0"/>
              <w:rPr>
                <w:rFonts w:ascii="Arial" w:hAnsi="Arial" w:cs="Arial"/>
              </w:rPr>
            </w:pPr>
            <w:r w:rsidRPr="008D3DFD">
              <w:rPr>
                <w:rFonts w:ascii="Arial" w:hAnsi="Arial" w:cs="Arial"/>
              </w:rPr>
              <w:t xml:space="preserve">MRG Chair </w:t>
            </w:r>
          </w:p>
          <w:p w14:paraId="029FF87A" w14:textId="77777777" w:rsidR="003434E5" w:rsidRPr="008D3DFD" w:rsidRDefault="003434E5" w:rsidP="003434E5">
            <w:pPr>
              <w:autoSpaceDE w:val="0"/>
              <w:autoSpaceDN w:val="0"/>
              <w:adjustRightInd w:val="0"/>
              <w:rPr>
                <w:rFonts w:ascii="Arial" w:hAnsi="Arial" w:cs="Arial"/>
              </w:rPr>
            </w:pPr>
            <w:r w:rsidRPr="008D3DFD">
              <w:rPr>
                <w:rFonts w:ascii="Arial" w:hAnsi="Arial" w:cs="Arial"/>
              </w:rPr>
              <w:t xml:space="preserve">10/01/2018 </w:t>
            </w:r>
          </w:p>
        </w:tc>
      </w:tr>
    </w:tbl>
    <w:p w14:paraId="66284D18" w14:textId="77777777" w:rsidR="003434E5" w:rsidRPr="008D3DFD" w:rsidRDefault="003434E5">
      <w:pPr>
        <w:rPr>
          <w:rFonts w:ascii="Arial" w:hAnsi="Arial" w:cs="Arial"/>
          <w:b/>
          <w:bCs/>
        </w:rPr>
      </w:pPr>
    </w:p>
    <w:p w14:paraId="62767FC4" w14:textId="77777777" w:rsidR="00C64AFE" w:rsidRPr="008D3DFD" w:rsidRDefault="00C64AFE" w:rsidP="004E7B0D">
      <w:pPr>
        <w:pStyle w:val="Default"/>
        <w:rPr>
          <w:b/>
          <w:bCs/>
          <w:color w:val="auto"/>
          <w:sz w:val="22"/>
          <w:szCs w:val="22"/>
        </w:rPr>
      </w:pPr>
      <w:r w:rsidRPr="008D3DFD">
        <w:rPr>
          <w:b/>
          <w:bCs/>
          <w:color w:val="auto"/>
          <w:sz w:val="22"/>
          <w:szCs w:val="22"/>
        </w:rPr>
        <w:br/>
      </w:r>
    </w:p>
    <w:p w14:paraId="4C14C7BC" w14:textId="77777777" w:rsidR="00C64AFE" w:rsidRPr="008D3DFD" w:rsidRDefault="00C64AFE">
      <w:pPr>
        <w:rPr>
          <w:rFonts w:ascii="Arial" w:hAnsi="Arial" w:cs="Arial"/>
          <w:b/>
          <w:bCs/>
        </w:rPr>
      </w:pPr>
      <w:r w:rsidRPr="008D3DFD">
        <w:rPr>
          <w:rFonts w:ascii="Arial" w:hAnsi="Arial" w:cs="Arial"/>
          <w:b/>
          <w:bCs/>
        </w:rPr>
        <w:br w:type="page"/>
      </w:r>
      <w:bookmarkStart w:id="7" w:name="_GoBack"/>
      <w:bookmarkEnd w:id="7"/>
    </w:p>
    <w:p w14:paraId="09D0B083" w14:textId="77777777" w:rsidR="003434E5" w:rsidRPr="008D3DFD" w:rsidRDefault="003434E5" w:rsidP="003434E5">
      <w:pPr>
        <w:pStyle w:val="Default"/>
        <w:rPr>
          <w:b/>
          <w:bCs/>
          <w:color w:val="auto"/>
          <w:sz w:val="22"/>
          <w:szCs w:val="22"/>
        </w:rPr>
      </w:pPr>
    </w:p>
    <w:p w14:paraId="5705E811" w14:textId="77777777" w:rsidR="003434E5" w:rsidRPr="008D3DFD" w:rsidRDefault="003434E5" w:rsidP="003434E5">
      <w:pPr>
        <w:rPr>
          <w:rFonts w:ascii="Arial" w:hAnsi="Arial" w:cs="Arial"/>
        </w:rPr>
      </w:pPr>
    </w:p>
    <w:p w14:paraId="0055C566" w14:textId="77777777" w:rsidR="003434E5" w:rsidRPr="008D3DFD" w:rsidRDefault="003434E5" w:rsidP="003434E5">
      <w:pPr>
        <w:pStyle w:val="Default"/>
        <w:rPr>
          <w:b/>
          <w:bCs/>
          <w:color w:val="auto"/>
          <w:sz w:val="22"/>
          <w:szCs w:val="22"/>
        </w:rPr>
      </w:pPr>
    </w:p>
    <w:p w14:paraId="4FA64FCB" w14:textId="7AABA7C9" w:rsidR="003434E5" w:rsidRPr="008D3DFD" w:rsidRDefault="003434E5" w:rsidP="003434E5">
      <w:pPr>
        <w:pStyle w:val="Default"/>
        <w:tabs>
          <w:tab w:val="left" w:pos="1421"/>
        </w:tabs>
        <w:rPr>
          <w:color w:val="auto"/>
          <w:sz w:val="22"/>
          <w:szCs w:val="22"/>
        </w:rPr>
      </w:pPr>
      <w:r w:rsidRPr="008D3DFD">
        <w:rPr>
          <w:b/>
          <w:bCs/>
          <w:color w:val="auto"/>
          <w:sz w:val="22"/>
          <w:szCs w:val="22"/>
        </w:rPr>
        <w:t xml:space="preserve">Any feedback should be made to the Indicator and Methodology Assurance Service (IMAS) Team at NHS Digital. Likewise, if you are unclear regarding any of the recommendations in this </w:t>
      </w:r>
      <w:r w:rsidR="00A44141" w:rsidRPr="008D3DFD">
        <w:rPr>
          <w:b/>
          <w:bCs/>
          <w:color w:val="auto"/>
          <w:sz w:val="22"/>
          <w:szCs w:val="22"/>
        </w:rPr>
        <w:t>report or</w:t>
      </w:r>
      <w:r w:rsidRPr="008D3DFD">
        <w:rPr>
          <w:b/>
          <w:bCs/>
          <w:color w:val="auto"/>
          <w:sz w:val="22"/>
          <w:szCs w:val="22"/>
        </w:rPr>
        <w:t xml:space="preserve"> have any queries about the assurance process in general, please contact the IMAS team. </w:t>
      </w:r>
    </w:p>
    <w:p w14:paraId="73E77542" w14:textId="77777777" w:rsidR="003434E5" w:rsidRPr="008D3DFD" w:rsidRDefault="003434E5" w:rsidP="003434E5">
      <w:pPr>
        <w:autoSpaceDE w:val="0"/>
        <w:autoSpaceDN w:val="0"/>
        <w:adjustRightInd w:val="0"/>
        <w:spacing w:after="0" w:line="240" w:lineRule="auto"/>
        <w:rPr>
          <w:rFonts w:ascii="Arial" w:hAnsi="Arial" w:cs="Arial"/>
          <w:b/>
          <w:bCs/>
        </w:rPr>
      </w:pPr>
    </w:p>
    <w:p w14:paraId="3A4FEBFF" w14:textId="32795610" w:rsidR="003434E5" w:rsidRPr="008D3DFD" w:rsidRDefault="003434E5" w:rsidP="003434E5">
      <w:pPr>
        <w:autoSpaceDE w:val="0"/>
        <w:autoSpaceDN w:val="0"/>
        <w:adjustRightInd w:val="0"/>
        <w:spacing w:after="0" w:line="240" w:lineRule="auto"/>
        <w:rPr>
          <w:rFonts w:ascii="Arial" w:hAnsi="Arial" w:cs="Arial"/>
        </w:rPr>
      </w:pPr>
      <w:r w:rsidRPr="008D3DFD">
        <w:rPr>
          <w:rFonts w:ascii="Arial" w:hAnsi="Arial" w:cs="Arial"/>
          <w:b/>
          <w:bCs/>
        </w:rPr>
        <w:t xml:space="preserve">Indicator and Methodology Assurance Service </w:t>
      </w:r>
    </w:p>
    <w:p w14:paraId="271D79E5" w14:textId="77777777" w:rsidR="003434E5" w:rsidRPr="008D3DFD" w:rsidRDefault="003434E5" w:rsidP="003434E5">
      <w:pPr>
        <w:autoSpaceDE w:val="0"/>
        <w:autoSpaceDN w:val="0"/>
        <w:adjustRightInd w:val="0"/>
        <w:spacing w:after="0" w:line="240" w:lineRule="auto"/>
        <w:rPr>
          <w:rFonts w:ascii="Arial" w:hAnsi="Arial" w:cs="Arial"/>
        </w:rPr>
      </w:pPr>
      <w:r w:rsidRPr="008D3DFD">
        <w:rPr>
          <w:rFonts w:ascii="Arial" w:hAnsi="Arial" w:cs="Arial"/>
          <w:b/>
          <w:bCs/>
        </w:rPr>
        <w:t xml:space="preserve">NHS Digital </w:t>
      </w:r>
    </w:p>
    <w:p w14:paraId="30D9FB04" w14:textId="77777777" w:rsidR="003434E5" w:rsidRPr="008D3DFD" w:rsidRDefault="003434E5" w:rsidP="003434E5">
      <w:pPr>
        <w:autoSpaceDE w:val="0"/>
        <w:autoSpaceDN w:val="0"/>
        <w:adjustRightInd w:val="0"/>
        <w:spacing w:after="0" w:line="240" w:lineRule="auto"/>
        <w:rPr>
          <w:rFonts w:ascii="Arial" w:hAnsi="Arial" w:cs="Arial"/>
        </w:rPr>
      </w:pPr>
      <w:r w:rsidRPr="008D3DFD">
        <w:rPr>
          <w:rFonts w:ascii="Arial" w:hAnsi="Arial" w:cs="Arial"/>
          <w:b/>
          <w:bCs/>
        </w:rPr>
        <w:t xml:space="preserve">1 Trevelyan Square, Boar Lane, </w:t>
      </w:r>
    </w:p>
    <w:p w14:paraId="357FA477" w14:textId="77777777" w:rsidR="003434E5" w:rsidRPr="008D3DFD" w:rsidRDefault="003434E5" w:rsidP="003434E5">
      <w:pPr>
        <w:autoSpaceDE w:val="0"/>
        <w:autoSpaceDN w:val="0"/>
        <w:adjustRightInd w:val="0"/>
        <w:spacing w:after="0" w:line="240" w:lineRule="auto"/>
        <w:rPr>
          <w:rFonts w:ascii="Arial" w:hAnsi="Arial" w:cs="Arial"/>
        </w:rPr>
      </w:pPr>
      <w:r w:rsidRPr="008D3DFD">
        <w:rPr>
          <w:rFonts w:ascii="Arial" w:hAnsi="Arial" w:cs="Arial"/>
          <w:b/>
          <w:bCs/>
        </w:rPr>
        <w:t xml:space="preserve">LEEDS </w:t>
      </w:r>
    </w:p>
    <w:p w14:paraId="7CD5452A" w14:textId="26E9134B" w:rsidR="003434E5" w:rsidRPr="008D3DFD" w:rsidRDefault="003434E5" w:rsidP="003434E5">
      <w:pPr>
        <w:autoSpaceDE w:val="0"/>
        <w:autoSpaceDN w:val="0"/>
        <w:adjustRightInd w:val="0"/>
        <w:spacing w:after="0" w:line="240" w:lineRule="auto"/>
        <w:rPr>
          <w:rFonts w:ascii="Arial" w:hAnsi="Arial" w:cs="Arial"/>
        </w:rPr>
      </w:pPr>
      <w:r w:rsidRPr="008D3DFD">
        <w:rPr>
          <w:rFonts w:ascii="Arial" w:hAnsi="Arial" w:cs="Arial"/>
          <w:b/>
          <w:bCs/>
        </w:rPr>
        <w:t>LS1 6AE</w:t>
      </w:r>
    </w:p>
    <w:p w14:paraId="02252C65" w14:textId="77777777" w:rsidR="003434E5" w:rsidRPr="008D3DFD" w:rsidRDefault="003434E5" w:rsidP="003434E5">
      <w:pPr>
        <w:autoSpaceDE w:val="0"/>
        <w:autoSpaceDN w:val="0"/>
        <w:adjustRightInd w:val="0"/>
        <w:spacing w:after="0" w:line="240" w:lineRule="auto"/>
        <w:rPr>
          <w:rFonts w:ascii="Arial" w:hAnsi="Arial" w:cs="Arial"/>
          <w:b/>
          <w:bCs/>
        </w:rPr>
      </w:pPr>
    </w:p>
    <w:p w14:paraId="1CCB5798" w14:textId="6724D0E4" w:rsidR="003434E5" w:rsidRPr="008D3DFD" w:rsidRDefault="003434E5" w:rsidP="003434E5">
      <w:pPr>
        <w:autoSpaceDE w:val="0"/>
        <w:autoSpaceDN w:val="0"/>
        <w:adjustRightInd w:val="0"/>
        <w:spacing w:after="0" w:line="240" w:lineRule="auto"/>
        <w:rPr>
          <w:rFonts w:ascii="Arial" w:hAnsi="Arial" w:cs="Arial"/>
        </w:rPr>
      </w:pPr>
      <w:r w:rsidRPr="008D3DFD">
        <w:rPr>
          <w:rFonts w:ascii="Arial" w:hAnsi="Arial" w:cs="Arial"/>
          <w:b/>
          <w:bCs/>
        </w:rPr>
        <w:t xml:space="preserve">Email: indicator.assurance@nhs.net </w:t>
      </w:r>
    </w:p>
    <w:p w14:paraId="1AE20B5B" w14:textId="3FEC1518" w:rsidR="00C64AFE" w:rsidRPr="008D3DFD" w:rsidRDefault="003434E5" w:rsidP="003434E5">
      <w:pPr>
        <w:rPr>
          <w:rFonts w:ascii="Arial" w:hAnsi="Arial" w:cs="Arial"/>
          <w:b/>
          <w:bCs/>
        </w:rPr>
      </w:pPr>
      <w:r w:rsidRPr="008D3DFD">
        <w:rPr>
          <w:rFonts w:ascii="Arial" w:hAnsi="Arial" w:cs="Arial"/>
          <w:b/>
          <w:bCs/>
        </w:rPr>
        <w:t>Website: http://www.hscic.gov.uk/article/1674/Indicator-Assurance-Service</w:t>
      </w:r>
    </w:p>
    <w:p w14:paraId="08353B9F" w14:textId="543F490B" w:rsidR="004E7B0D" w:rsidRPr="008D3DFD" w:rsidRDefault="004E7B0D" w:rsidP="004E7B0D">
      <w:pPr>
        <w:pStyle w:val="Default"/>
        <w:rPr>
          <w:b/>
          <w:bCs/>
          <w:color w:val="auto"/>
          <w:sz w:val="22"/>
          <w:szCs w:val="22"/>
        </w:rPr>
      </w:pPr>
      <w:r w:rsidRPr="008D3DFD">
        <w:rPr>
          <w:b/>
          <w:bCs/>
          <w:color w:val="auto"/>
          <w:sz w:val="22"/>
          <w:szCs w:val="22"/>
        </w:rPr>
        <w:t>Assurance Record</w:t>
      </w:r>
    </w:p>
    <w:p w14:paraId="2B03BE82" w14:textId="77777777" w:rsidR="004E7B0D" w:rsidRPr="008D3DFD" w:rsidRDefault="004E7B0D" w:rsidP="004E7B0D">
      <w:pPr>
        <w:pStyle w:val="Default"/>
        <w:rPr>
          <w:b/>
          <w:bCs/>
          <w:color w:val="auto"/>
          <w:sz w:val="22"/>
          <w:szCs w:val="22"/>
        </w:rPr>
      </w:pPr>
      <w:r w:rsidRPr="008D3DFD">
        <w:rPr>
          <w:b/>
          <w:bCs/>
          <w:color w:val="auto"/>
          <w:sz w:val="22"/>
          <w:szCs w:val="22"/>
        </w:rPr>
        <w:t xml:space="preserve">IAP00141 </w:t>
      </w:r>
    </w:p>
    <w:p w14:paraId="69C02E72" w14:textId="24A00C47" w:rsidR="004E7B0D" w:rsidRPr="008D3DFD" w:rsidRDefault="004E7B0D" w:rsidP="004E7B0D">
      <w:pPr>
        <w:pStyle w:val="Default"/>
        <w:rPr>
          <w:color w:val="auto"/>
          <w:sz w:val="22"/>
          <w:szCs w:val="22"/>
        </w:rPr>
      </w:pPr>
      <w:r w:rsidRPr="008D3DFD">
        <w:rPr>
          <w:color w:val="auto"/>
          <w:sz w:val="22"/>
          <w:szCs w:val="22"/>
        </w:rPr>
        <w:t xml:space="preserve">Incidence of Healthcare Associated Infection (HCAI) - C. difficile infection </w:t>
      </w:r>
    </w:p>
    <w:p w14:paraId="1802324F" w14:textId="2FDB4BB5" w:rsidR="004E7B0D" w:rsidRPr="008D3DFD" w:rsidRDefault="004E7B0D" w:rsidP="004E7B0D">
      <w:pPr>
        <w:rPr>
          <w:rFonts w:ascii="Arial" w:hAnsi="Arial" w:cs="Arial"/>
        </w:rPr>
      </w:pPr>
      <w:r w:rsidRPr="008D3DFD">
        <w:rPr>
          <w:rFonts w:ascii="Arial" w:hAnsi="Arial" w:cs="Arial"/>
          <w:b/>
          <w:bCs/>
        </w:rPr>
        <w:t>Appraisal Log</w:t>
      </w:r>
    </w:p>
    <w:p w14:paraId="781330A2" w14:textId="77777777" w:rsidR="00C64AFE" w:rsidRPr="008D3DFD" w:rsidRDefault="00C64AFE">
      <w:pPr>
        <w:pStyle w:val="Default"/>
        <w:rPr>
          <w:color w:val="auto"/>
          <w:sz w:val="22"/>
          <w:szCs w:val="22"/>
        </w:rPr>
      </w:pPr>
    </w:p>
    <w:sectPr w:rsidR="00C64AFE" w:rsidRPr="008D3DFD" w:rsidSect="004E7B0D">
      <w:headerReference w:type="default" r:id="rId11"/>
      <w:footerReference w:type="default" r:id="rId12"/>
      <w:pgSz w:w="17331" w:h="11904" w:orient="landscape"/>
      <w:pgMar w:top="665" w:right="954" w:bottom="977" w:left="595"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647DA" w14:textId="77777777" w:rsidR="00850809" w:rsidRDefault="00850809" w:rsidP="00441BE2">
      <w:pPr>
        <w:spacing w:after="0" w:line="240" w:lineRule="auto"/>
      </w:pPr>
      <w:r>
        <w:separator/>
      </w:r>
    </w:p>
  </w:endnote>
  <w:endnote w:type="continuationSeparator" w:id="0">
    <w:p w14:paraId="11553D2E" w14:textId="77777777" w:rsidR="00850809" w:rsidRDefault="00850809" w:rsidP="0044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Calibri" w:hAnsi="Arial" w:cs="Arial"/>
        <w:sz w:val="18"/>
        <w:szCs w:val="18"/>
        <w:lang w:eastAsia="en-US"/>
      </w:rPr>
      <w:id w:val="-861506761"/>
      <w:docPartObj>
        <w:docPartGallery w:val="Page Numbers (Bottom of Page)"/>
        <w:docPartUnique/>
      </w:docPartObj>
    </w:sdtPr>
    <w:sdtEndPr>
      <w:rPr>
        <w:noProof/>
      </w:rPr>
    </w:sdtEndPr>
    <w:sdtContent>
      <w:p w14:paraId="4F1E4015" w14:textId="443E4704" w:rsidR="00850809" w:rsidRPr="00850809" w:rsidRDefault="00850809" w:rsidP="00850809">
        <w:pPr>
          <w:tabs>
            <w:tab w:val="left" w:pos="426"/>
            <w:tab w:val="center" w:pos="4513"/>
            <w:tab w:val="right" w:pos="9026"/>
          </w:tabs>
          <w:spacing w:after="0" w:line="240" w:lineRule="auto"/>
          <w:rPr>
            <w:rFonts w:ascii="Arial" w:eastAsia="Calibri" w:hAnsi="Arial" w:cs="Arial"/>
            <w:sz w:val="18"/>
            <w:szCs w:val="18"/>
            <w:lang w:eastAsia="en-US"/>
          </w:rPr>
        </w:pPr>
        <w:r w:rsidRPr="00850809">
          <w:rPr>
            <w:rFonts w:ascii="Arial" w:eastAsia="Calibri" w:hAnsi="Arial" w:cs="Arial"/>
            <w:sz w:val="18"/>
            <w:szCs w:val="18"/>
            <w:lang w:eastAsia="en-US"/>
          </w:rPr>
          <w:t>IAP00</w:t>
        </w:r>
        <w:r>
          <w:rPr>
            <w:rFonts w:ascii="Arial" w:eastAsia="Calibri" w:hAnsi="Arial" w:cs="Arial"/>
            <w:sz w:val="18"/>
            <w:szCs w:val="18"/>
            <w:lang w:eastAsia="en-US"/>
          </w:rPr>
          <w:t>141</w:t>
        </w:r>
        <w:r w:rsidRPr="00850809">
          <w:rPr>
            <w:rFonts w:ascii="Arial" w:eastAsia="Calibri" w:hAnsi="Arial" w:cs="Arial"/>
            <w:sz w:val="18"/>
            <w:szCs w:val="18"/>
            <w:lang w:eastAsia="en-US"/>
          </w:rPr>
          <w:t xml:space="preserve"> Supporting documentation</w:t>
        </w:r>
      </w:p>
      <w:p w14:paraId="568D3760" w14:textId="77777777" w:rsidR="00850809" w:rsidRPr="00850809" w:rsidRDefault="00850809" w:rsidP="00850809">
        <w:pPr>
          <w:tabs>
            <w:tab w:val="left" w:pos="426"/>
            <w:tab w:val="center" w:pos="4513"/>
            <w:tab w:val="right" w:pos="9026"/>
          </w:tabs>
          <w:spacing w:after="0" w:line="240" w:lineRule="auto"/>
          <w:rPr>
            <w:rFonts w:ascii="Arial" w:eastAsia="Calibri" w:hAnsi="Arial" w:cs="Arial"/>
            <w:sz w:val="18"/>
            <w:szCs w:val="18"/>
            <w:lang w:eastAsia="en-US"/>
          </w:rPr>
        </w:pPr>
        <w:r w:rsidRPr="00850809">
          <w:rPr>
            <w:rFonts w:ascii="Arial" w:eastAsia="Calibri" w:hAnsi="Arial" w:cs="Arial"/>
            <w:sz w:val="18"/>
            <w:szCs w:val="18"/>
            <w:lang w:eastAsia="en-US"/>
          </w:rPr>
          <w:t>Copyright © 2019 NHS Digital</w:t>
        </w:r>
        <w:r w:rsidRPr="00850809">
          <w:rPr>
            <w:rFonts w:ascii="Arial" w:eastAsia="Calibri" w:hAnsi="Arial" w:cs="Arial"/>
            <w:sz w:val="18"/>
            <w:szCs w:val="18"/>
            <w:lang w:eastAsia="en-US"/>
          </w:rPr>
          <w:tab/>
        </w:r>
        <w:r w:rsidRPr="00850809">
          <w:rPr>
            <w:rFonts w:ascii="Arial" w:eastAsia="Calibri" w:hAnsi="Arial" w:cs="Arial"/>
            <w:sz w:val="18"/>
            <w:szCs w:val="18"/>
            <w:lang w:eastAsia="en-US"/>
          </w:rPr>
          <w:tab/>
        </w:r>
        <w:r w:rsidRPr="00850809">
          <w:rPr>
            <w:rFonts w:ascii="Arial" w:eastAsia="Calibri" w:hAnsi="Arial" w:cs="Arial"/>
            <w:sz w:val="18"/>
            <w:szCs w:val="18"/>
            <w:lang w:eastAsia="en-US"/>
          </w:rPr>
          <w:tab/>
        </w:r>
        <w:r w:rsidRPr="00850809">
          <w:rPr>
            <w:rFonts w:ascii="Arial" w:eastAsia="Calibri" w:hAnsi="Arial" w:cs="Arial"/>
            <w:sz w:val="18"/>
            <w:szCs w:val="18"/>
            <w:lang w:eastAsia="en-US"/>
          </w:rPr>
          <w:tab/>
        </w:r>
        <w:r w:rsidRPr="00850809">
          <w:rPr>
            <w:rFonts w:ascii="Arial" w:eastAsia="Calibri" w:hAnsi="Arial" w:cs="Arial"/>
            <w:sz w:val="18"/>
            <w:szCs w:val="18"/>
            <w:lang w:eastAsia="en-US"/>
          </w:rPr>
          <w:tab/>
        </w:r>
        <w:r w:rsidRPr="00850809">
          <w:rPr>
            <w:rFonts w:ascii="Arial" w:eastAsia="Calibri" w:hAnsi="Arial" w:cs="Arial"/>
            <w:sz w:val="18"/>
            <w:szCs w:val="18"/>
            <w:lang w:eastAsia="en-US"/>
          </w:rPr>
          <w:tab/>
        </w:r>
        <w:r w:rsidRPr="00850809">
          <w:rPr>
            <w:rFonts w:ascii="Arial" w:eastAsia="Calibri" w:hAnsi="Arial" w:cs="Arial"/>
            <w:sz w:val="18"/>
            <w:szCs w:val="18"/>
            <w:lang w:eastAsia="en-US"/>
          </w:rPr>
          <w:tab/>
        </w:r>
        <w:r w:rsidRPr="00850809">
          <w:rPr>
            <w:rFonts w:ascii="Arial" w:eastAsia="Calibri" w:hAnsi="Arial" w:cs="Arial"/>
            <w:sz w:val="18"/>
            <w:szCs w:val="18"/>
            <w:lang w:eastAsia="en-US"/>
          </w:rPr>
          <w:tab/>
        </w:r>
        <w:r w:rsidRPr="00850809">
          <w:rPr>
            <w:rFonts w:ascii="Arial" w:eastAsia="Calibri" w:hAnsi="Arial" w:cs="Arial"/>
            <w:sz w:val="18"/>
            <w:szCs w:val="18"/>
            <w:lang w:eastAsia="en-US"/>
          </w:rPr>
          <w:tab/>
        </w:r>
        <w:r w:rsidRPr="00850809">
          <w:rPr>
            <w:rFonts w:ascii="Arial" w:eastAsia="Calibri" w:hAnsi="Arial" w:cs="Arial"/>
            <w:sz w:val="18"/>
            <w:szCs w:val="18"/>
            <w:lang w:eastAsia="en-US"/>
          </w:rPr>
          <w:fldChar w:fldCharType="begin"/>
        </w:r>
        <w:r w:rsidRPr="00850809">
          <w:rPr>
            <w:rFonts w:ascii="Arial" w:eastAsia="Calibri" w:hAnsi="Arial" w:cs="Arial"/>
            <w:sz w:val="18"/>
            <w:szCs w:val="18"/>
            <w:lang w:eastAsia="en-US"/>
          </w:rPr>
          <w:instrText xml:space="preserve"> PAGE   \* MERGEFORMAT </w:instrText>
        </w:r>
        <w:r w:rsidRPr="00850809">
          <w:rPr>
            <w:rFonts w:ascii="Arial" w:eastAsia="Calibri" w:hAnsi="Arial" w:cs="Arial"/>
            <w:sz w:val="18"/>
            <w:szCs w:val="18"/>
            <w:lang w:eastAsia="en-US"/>
          </w:rPr>
          <w:fldChar w:fldCharType="separate"/>
        </w:r>
        <w:r w:rsidRPr="00850809">
          <w:rPr>
            <w:rFonts w:ascii="Arial" w:eastAsia="Calibri" w:hAnsi="Arial" w:cs="Arial"/>
            <w:sz w:val="18"/>
            <w:szCs w:val="18"/>
            <w:lang w:eastAsia="en-US"/>
          </w:rPr>
          <w:t>1</w:t>
        </w:r>
        <w:r w:rsidRPr="00850809">
          <w:rPr>
            <w:rFonts w:ascii="Arial" w:eastAsia="Calibri" w:hAnsi="Arial" w:cs="Arial"/>
            <w:noProof/>
            <w:sz w:val="18"/>
            <w:szCs w:val="18"/>
            <w:lang w:eastAsia="en-US"/>
          </w:rPr>
          <w:fldChar w:fldCharType="end"/>
        </w:r>
      </w:p>
    </w:sdtContent>
  </w:sdt>
  <w:p w14:paraId="2D2ECC48" w14:textId="73925044" w:rsidR="00850809" w:rsidRPr="00850809" w:rsidRDefault="00850809" w:rsidP="0085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93539" w14:textId="77777777" w:rsidR="00850809" w:rsidRDefault="00850809" w:rsidP="00441BE2">
      <w:pPr>
        <w:spacing w:after="0" w:line="240" w:lineRule="auto"/>
      </w:pPr>
      <w:r>
        <w:separator/>
      </w:r>
    </w:p>
  </w:footnote>
  <w:footnote w:type="continuationSeparator" w:id="0">
    <w:p w14:paraId="334012B5" w14:textId="77777777" w:rsidR="00850809" w:rsidRDefault="00850809" w:rsidP="0044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5D5C" w14:textId="77777777" w:rsidR="00850809" w:rsidRPr="00850809" w:rsidRDefault="00850809" w:rsidP="00850809">
    <w:pPr>
      <w:tabs>
        <w:tab w:val="center" w:pos="4513"/>
        <w:tab w:val="right" w:pos="9026"/>
      </w:tabs>
      <w:spacing w:after="0" w:line="240" w:lineRule="auto"/>
      <w:jc w:val="center"/>
      <w:rPr>
        <w:rFonts w:ascii="Arial" w:eastAsia="Calibri" w:hAnsi="Arial" w:cs="Arial"/>
        <w:b/>
        <w:bCs/>
        <w:sz w:val="24"/>
        <w:szCs w:val="24"/>
        <w:lang w:eastAsia="en-US"/>
      </w:rPr>
    </w:pPr>
    <w:r w:rsidRPr="00850809">
      <w:rPr>
        <w:rFonts w:ascii="Arial" w:eastAsia="Calibri" w:hAnsi="Arial" w:cs="Arial"/>
        <w:b/>
        <w:bCs/>
        <w:sz w:val="24"/>
        <w:szCs w:val="24"/>
        <w:lang w:eastAsia="en-US"/>
      </w:rPr>
      <w:t>NICE inherited this indicator and all its supporting documentation from NHS Digital on 1 April 2020</w:t>
    </w:r>
  </w:p>
  <w:p w14:paraId="158F0B4F" w14:textId="77777777" w:rsidR="00850809" w:rsidRDefault="00850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C2D6AE"/>
    <w:multiLevelType w:val="hybridMultilevel"/>
    <w:tmpl w:val="B2F9C7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EC254C"/>
    <w:multiLevelType w:val="hybridMultilevel"/>
    <w:tmpl w:val="F55139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C6F816"/>
    <w:multiLevelType w:val="hybridMultilevel"/>
    <w:tmpl w:val="172617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0E536E"/>
    <w:multiLevelType w:val="hybridMultilevel"/>
    <w:tmpl w:val="0D46A5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0EB9EF9"/>
    <w:multiLevelType w:val="hybridMultilevel"/>
    <w:tmpl w:val="8B544E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9428FD"/>
    <w:multiLevelType w:val="hybridMultilevel"/>
    <w:tmpl w:val="0DD35B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146EC8"/>
    <w:multiLevelType w:val="hybridMultilevel"/>
    <w:tmpl w:val="10E5DA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1BE45C"/>
    <w:multiLevelType w:val="hybridMultilevel"/>
    <w:tmpl w:val="90BF9F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2DD52B7"/>
    <w:multiLevelType w:val="hybridMultilevel"/>
    <w:tmpl w:val="67123A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6303EE6"/>
    <w:multiLevelType w:val="hybridMultilevel"/>
    <w:tmpl w:val="61BF14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2980C52"/>
    <w:multiLevelType w:val="hybridMultilevel"/>
    <w:tmpl w:val="354F21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4A235B3"/>
    <w:multiLevelType w:val="hybridMultilevel"/>
    <w:tmpl w:val="5A98D9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071FF8"/>
    <w:multiLevelType w:val="hybridMultilevel"/>
    <w:tmpl w:val="1FE662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6A04DCA"/>
    <w:multiLevelType w:val="hybridMultilevel"/>
    <w:tmpl w:val="CC46A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1"/>
  </w:num>
  <w:num w:numId="3">
    <w:abstractNumId w:val="6"/>
  </w:num>
  <w:num w:numId="4">
    <w:abstractNumId w:val="8"/>
  </w:num>
  <w:num w:numId="5">
    <w:abstractNumId w:val="9"/>
  </w:num>
  <w:num w:numId="6">
    <w:abstractNumId w:val="0"/>
  </w:num>
  <w:num w:numId="7">
    <w:abstractNumId w:val="4"/>
  </w:num>
  <w:num w:numId="8">
    <w:abstractNumId w:val="7"/>
  </w:num>
  <w:num w:numId="9">
    <w:abstractNumId w:val="3"/>
  </w:num>
  <w:num w:numId="10">
    <w:abstractNumId w:val="1"/>
  </w:num>
  <w:num w:numId="11">
    <w:abstractNumId w:val="5"/>
  </w:num>
  <w:num w:numId="12">
    <w:abstractNumId w:val="10"/>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C8"/>
    <w:rsid w:val="00044E60"/>
    <w:rsid w:val="001D6F20"/>
    <w:rsid w:val="00286068"/>
    <w:rsid w:val="002F5CC8"/>
    <w:rsid w:val="00333C29"/>
    <w:rsid w:val="00335B4B"/>
    <w:rsid w:val="003434E5"/>
    <w:rsid w:val="003743BC"/>
    <w:rsid w:val="00402115"/>
    <w:rsid w:val="00441BE2"/>
    <w:rsid w:val="0044306A"/>
    <w:rsid w:val="004E7B0D"/>
    <w:rsid w:val="00544C08"/>
    <w:rsid w:val="005E6835"/>
    <w:rsid w:val="005F0BB3"/>
    <w:rsid w:val="00615085"/>
    <w:rsid w:val="0070718A"/>
    <w:rsid w:val="00850809"/>
    <w:rsid w:val="008703D8"/>
    <w:rsid w:val="008923B2"/>
    <w:rsid w:val="008D3DFD"/>
    <w:rsid w:val="00947276"/>
    <w:rsid w:val="00A44141"/>
    <w:rsid w:val="00C64AFE"/>
    <w:rsid w:val="00D16B4F"/>
    <w:rsid w:val="00D17E76"/>
    <w:rsid w:val="00D62F64"/>
    <w:rsid w:val="00DB0AEB"/>
    <w:rsid w:val="00E03F3B"/>
    <w:rsid w:val="00E15F62"/>
    <w:rsid w:val="00E31FAB"/>
    <w:rsid w:val="00E82C53"/>
    <w:rsid w:val="00F76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07323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F5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7E76"/>
    <w:rPr>
      <w:color w:val="0563C1"/>
      <w:u w:val="single"/>
    </w:rPr>
  </w:style>
  <w:style w:type="character" w:styleId="UnresolvedMention">
    <w:name w:val="Unresolved Mention"/>
    <w:basedOn w:val="DefaultParagraphFont"/>
    <w:uiPriority w:val="99"/>
    <w:semiHidden/>
    <w:unhideWhenUsed/>
    <w:rsid w:val="00E15F62"/>
    <w:rPr>
      <w:color w:val="605E5C"/>
      <w:shd w:val="clear" w:color="auto" w:fill="E1DFDD"/>
    </w:rPr>
  </w:style>
  <w:style w:type="paragraph" w:styleId="Header">
    <w:name w:val="header"/>
    <w:basedOn w:val="Normal"/>
    <w:link w:val="HeaderChar"/>
    <w:uiPriority w:val="99"/>
    <w:unhideWhenUsed/>
    <w:rsid w:val="00441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BE2"/>
  </w:style>
  <w:style w:type="paragraph" w:styleId="Footer">
    <w:name w:val="footer"/>
    <w:basedOn w:val="Normal"/>
    <w:link w:val="FooterChar"/>
    <w:uiPriority w:val="99"/>
    <w:unhideWhenUsed/>
    <w:rsid w:val="00441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BE2"/>
  </w:style>
  <w:style w:type="paragraph" w:customStyle="1" w:styleId="Footnote-hanging">
    <w:name w:val="Footnote - hanging"/>
    <w:basedOn w:val="Normal"/>
    <w:link w:val="Footnote-hangingChar"/>
    <w:qFormat/>
    <w:rsid w:val="00441BE2"/>
    <w:pPr>
      <w:tabs>
        <w:tab w:val="left" w:pos="284"/>
      </w:tabs>
      <w:autoSpaceDE w:val="0"/>
      <w:autoSpaceDN w:val="0"/>
      <w:adjustRightInd w:val="0"/>
      <w:spacing w:after="280" w:line="240" w:lineRule="auto"/>
      <w:ind w:left="284" w:hanging="284"/>
    </w:pPr>
    <w:rPr>
      <w:rFonts w:ascii="Arial" w:eastAsia="Times New Roman" w:hAnsi="Arial" w:cs="FrutigerLTStd-Light"/>
      <w:sz w:val="18"/>
      <w:szCs w:val="18"/>
      <w:lang w:eastAsia="en-US"/>
    </w:rPr>
  </w:style>
  <w:style w:type="character" w:customStyle="1" w:styleId="Footnote-hangingChar">
    <w:name w:val="Footnote - hanging Char"/>
    <w:basedOn w:val="DefaultParagraphFont"/>
    <w:link w:val="Footnote-hanging"/>
    <w:rsid w:val="00441BE2"/>
    <w:rPr>
      <w:rFonts w:ascii="Arial" w:eastAsia="Times New Roman" w:hAnsi="Arial" w:cs="FrutigerLTStd-Light"/>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cators@nic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dicators@nice.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dicators@nice.org.uk" TargetMode="External"/><Relationship Id="rId4" Type="http://schemas.openxmlformats.org/officeDocument/2006/relationships/webSettings" Target="webSettings.xml"/><Relationship Id="rId9" Type="http://schemas.openxmlformats.org/officeDocument/2006/relationships/hyperlink" Target="mailto:indicators@nic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5717</Words>
  <Characters>33952</Characters>
  <Application>Microsoft Office Word</Application>
  <DocSecurity>0</DocSecurity>
  <Lines>282</Lines>
  <Paragraphs>79</Paragraphs>
  <ScaleCrop>false</ScaleCrop>
  <Company/>
  <LinksUpToDate>false</LinksUpToDate>
  <CharactersWithSpaces>39590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2020-03-19T14:47:00Z</dcterms:created>
  <dcterms:modified xsi:type="dcterms:W3CDTF">2020-03-19T14:47:00Z</dcterms:modified>
</cp:coreProperties>
</file>