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42718" w14:textId="5738133B" w:rsidR="00D6313C" w:rsidRPr="00D6313C" w:rsidRDefault="00D6313C" w:rsidP="00D6313C">
      <w:pPr>
        <w:jc w:val="center"/>
        <w:rPr>
          <w:b/>
          <w:bCs/>
          <w:sz w:val="28"/>
          <w:szCs w:val="28"/>
        </w:rPr>
      </w:pPr>
      <w:bookmarkStart w:id="0" w:name="_GoBack"/>
      <w:bookmarkEnd w:id="0"/>
      <w:r w:rsidRPr="00D6313C">
        <w:rPr>
          <w:b/>
          <w:bCs/>
          <w:sz w:val="28"/>
          <w:szCs w:val="28"/>
        </w:rPr>
        <w:t>NHS Digital</w:t>
      </w:r>
    </w:p>
    <w:p w14:paraId="1D46A9F5" w14:textId="6AA00AFD" w:rsidR="00D6313C" w:rsidRPr="00D6313C" w:rsidRDefault="00D6313C" w:rsidP="00D6313C">
      <w:pPr>
        <w:jc w:val="center"/>
        <w:rPr>
          <w:b/>
          <w:bCs/>
          <w:sz w:val="28"/>
          <w:szCs w:val="28"/>
        </w:rPr>
      </w:pPr>
      <w:r w:rsidRPr="00D6313C">
        <w:rPr>
          <w:b/>
          <w:bCs/>
          <w:sz w:val="28"/>
          <w:szCs w:val="28"/>
        </w:rPr>
        <w:t>Indicator Supporting Documentation</w:t>
      </w:r>
    </w:p>
    <w:p w14:paraId="18D26D9F" w14:textId="12736434" w:rsidR="00D6313C" w:rsidRPr="00D6313C" w:rsidRDefault="00D6313C" w:rsidP="00D6313C">
      <w:pPr>
        <w:jc w:val="center"/>
        <w:rPr>
          <w:b/>
          <w:bCs/>
          <w:sz w:val="28"/>
          <w:szCs w:val="28"/>
        </w:rPr>
      </w:pPr>
      <w:r w:rsidRPr="00D6313C">
        <w:rPr>
          <w:b/>
          <w:bCs/>
          <w:sz w:val="28"/>
          <w:szCs w:val="28"/>
        </w:rPr>
        <w:t>IAP00145 Maternal smoking at delivery</w:t>
      </w:r>
    </w:p>
    <w:tbl>
      <w:tblPr>
        <w:tblStyle w:val="ListTable3-Accent1"/>
        <w:tblW w:w="15593" w:type="dxa"/>
        <w:tblInd w:w="-856" w:type="dxa"/>
        <w:tblLayout w:type="fixed"/>
        <w:tblLook w:val="04A0" w:firstRow="1" w:lastRow="0" w:firstColumn="1" w:lastColumn="0" w:noHBand="0" w:noVBand="1"/>
      </w:tblPr>
      <w:tblGrid>
        <w:gridCol w:w="1763"/>
        <w:gridCol w:w="13830"/>
      </w:tblGrid>
      <w:tr w:rsidR="00D6313C" w:rsidRPr="00D6313C" w14:paraId="61E7FAC6" w14:textId="77777777" w:rsidTr="002D36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63" w:type="dxa"/>
          </w:tcPr>
          <w:p w14:paraId="22A05EAB" w14:textId="62BFCDDA" w:rsidR="00BD69FE" w:rsidRPr="00D6313C" w:rsidRDefault="00BD69FE" w:rsidP="00D6313C">
            <w:pPr>
              <w:rPr>
                <w:b w:val="0"/>
                <w:color w:val="auto"/>
                <w:sz w:val="24"/>
                <w:szCs w:val="24"/>
              </w:rPr>
            </w:pPr>
            <w:r w:rsidRPr="00D6313C">
              <w:rPr>
                <w:b w:val="0"/>
                <w:color w:val="auto"/>
                <w:sz w:val="24"/>
                <w:szCs w:val="24"/>
              </w:rPr>
              <w:t>FIELD</w:t>
            </w:r>
          </w:p>
        </w:tc>
        <w:tc>
          <w:tcPr>
            <w:tcW w:w="13830" w:type="dxa"/>
            <w:tcBorders>
              <w:bottom w:val="single" w:sz="4" w:space="0" w:color="4F81BD" w:themeColor="accent1"/>
            </w:tcBorders>
          </w:tcPr>
          <w:p w14:paraId="7D5C885B" w14:textId="7C99E994" w:rsidR="00BD69FE" w:rsidRPr="00D6313C" w:rsidRDefault="00BD69FE" w:rsidP="00D6313C">
            <w:pPr>
              <w:cnfStyle w:val="100000000000" w:firstRow="1" w:lastRow="0" w:firstColumn="0" w:lastColumn="0" w:oddVBand="0" w:evenVBand="0" w:oddHBand="0" w:evenHBand="0" w:firstRowFirstColumn="0" w:firstRowLastColumn="0" w:lastRowFirstColumn="0" w:lastRowLastColumn="0"/>
              <w:rPr>
                <w:color w:val="auto"/>
                <w:sz w:val="24"/>
                <w:szCs w:val="24"/>
              </w:rPr>
            </w:pPr>
            <w:r w:rsidRPr="00D6313C">
              <w:rPr>
                <w:color w:val="auto"/>
                <w:sz w:val="24"/>
                <w:szCs w:val="24"/>
              </w:rPr>
              <w:t>CONTENTS</w:t>
            </w:r>
          </w:p>
        </w:tc>
      </w:tr>
      <w:tr w:rsidR="00D6313C" w:rsidRPr="00D6313C" w14:paraId="5489D00F"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C6EE05F" w14:textId="3079C9EF" w:rsidR="00BD69FE" w:rsidRPr="00D6313C" w:rsidRDefault="00BD69FE" w:rsidP="00D6313C">
            <w:pPr>
              <w:rPr>
                <w:b w:val="0"/>
                <w:sz w:val="24"/>
                <w:szCs w:val="24"/>
              </w:rPr>
            </w:pPr>
            <w:r w:rsidRPr="00D6313C">
              <w:rPr>
                <w:sz w:val="24"/>
                <w:szCs w:val="24"/>
              </w:rPr>
              <w:t>IAP</w:t>
            </w:r>
            <w:r w:rsidR="004C64BB" w:rsidRPr="00D6313C">
              <w:rPr>
                <w:sz w:val="24"/>
                <w:szCs w:val="24"/>
              </w:rPr>
              <w:t xml:space="preserve"> </w:t>
            </w:r>
            <w:r w:rsidRPr="00D6313C">
              <w:rPr>
                <w:sz w:val="24"/>
                <w:szCs w:val="24"/>
              </w:rPr>
              <w:t>Code</w:t>
            </w:r>
          </w:p>
        </w:tc>
        <w:tc>
          <w:tcPr>
            <w:tcW w:w="13830" w:type="dxa"/>
            <w:tcBorders>
              <w:left w:val="single" w:sz="4" w:space="0" w:color="auto"/>
            </w:tcBorders>
          </w:tcPr>
          <w:p w14:paraId="34A261AC" w14:textId="45E57920" w:rsidR="00BD69FE" w:rsidRPr="00D6313C" w:rsidRDefault="00F1531F" w:rsidP="00D6313C">
            <w:pPr>
              <w:cnfStyle w:val="000000100000" w:firstRow="0" w:lastRow="0" w:firstColumn="0" w:lastColumn="0" w:oddVBand="0" w:evenVBand="0" w:oddHBand="1" w:evenHBand="0" w:firstRowFirstColumn="0" w:firstRowLastColumn="0" w:lastRowFirstColumn="0" w:lastRowLastColumn="0"/>
              <w:rPr>
                <w:sz w:val="24"/>
                <w:szCs w:val="24"/>
              </w:rPr>
            </w:pPr>
            <w:r w:rsidRPr="00D6313C">
              <w:rPr>
                <w:sz w:val="24"/>
                <w:szCs w:val="24"/>
              </w:rPr>
              <w:t>IAP00</w:t>
            </w:r>
            <w:r w:rsidR="0002134C" w:rsidRPr="00D6313C">
              <w:rPr>
                <w:sz w:val="24"/>
                <w:szCs w:val="24"/>
              </w:rPr>
              <w:t>1</w:t>
            </w:r>
            <w:r w:rsidR="006C20DD" w:rsidRPr="00D6313C">
              <w:rPr>
                <w:sz w:val="24"/>
                <w:szCs w:val="24"/>
              </w:rPr>
              <w:t>45</w:t>
            </w:r>
          </w:p>
        </w:tc>
      </w:tr>
      <w:tr w:rsidR="00D6313C" w:rsidRPr="00D6313C" w14:paraId="6629A3E7"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3997C39" w14:textId="77777777" w:rsidR="00BD69FE" w:rsidRPr="00D6313C" w:rsidRDefault="00BD69FE" w:rsidP="00D6313C">
            <w:pPr>
              <w:rPr>
                <w:b w:val="0"/>
                <w:sz w:val="24"/>
                <w:szCs w:val="24"/>
              </w:rPr>
            </w:pPr>
            <w:r w:rsidRPr="00D6313C">
              <w:rPr>
                <w:sz w:val="24"/>
                <w:szCs w:val="24"/>
              </w:rPr>
              <w:t>Title</w:t>
            </w:r>
          </w:p>
        </w:tc>
        <w:tc>
          <w:tcPr>
            <w:tcW w:w="13830" w:type="dxa"/>
            <w:tcBorders>
              <w:left w:val="single" w:sz="4" w:space="0" w:color="auto"/>
            </w:tcBorders>
          </w:tcPr>
          <w:p w14:paraId="523F6C46" w14:textId="22F9A5F1" w:rsidR="00BD69FE" w:rsidRPr="00D6313C" w:rsidRDefault="006C20DD" w:rsidP="00D6313C">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Maternal smoking at delivery</w:t>
            </w:r>
          </w:p>
        </w:tc>
      </w:tr>
      <w:tr w:rsidR="00D6313C" w:rsidRPr="00D6313C" w14:paraId="28621C46"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052110F3" w14:textId="77777777" w:rsidR="00BD69FE" w:rsidRPr="00D6313C" w:rsidRDefault="00BD69FE" w:rsidP="00D6313C">
            <w:pPr>
              <w:rPr>
                <w:b w:val="0"/>
                <w:sz w:val="24"/>
                <w:szCs w:val="24"/>
              </w:rPr>
            </w:pPr>
            <w:r w:rsidRPr="00D6313C">
              <w:rPr>
                <w:sz w:val="24"/>
                <w:szCs w:val="24"/>
              </w:rPr>
              <w:t>Published by</w:t>
            </w:r>
          </w:p>
        </w:tc>
        <w:tc>
          <w:tcPr>
            <w:tcW w:w="13830" w:type="dxa"/>
            <w:tcBorders>
              <w:left w:val="single" w:sz="4" w:space="0" w:color="auto"/>
            </w:tcBorders>
          </w:tcPr>
          <w:p w14:paraId="6093FD1D" w14:textId="5B75D0FC" w:rsidR="00BD69FE" w:rsidRPr="00D6313C" w:rsidRDefault="00E47E82" w:rsidP="00D6313C">
            <w:pPr>
              <w:cnfStyle w:val="000000100000" w:firstRow="0" w:lastRow="0" w:firstColumn="0" w:lastColumn="0" w:oddVBand="0" w:evenVBand="0" w:oddHBand="1" w:evenHBand="0" w:firstRowFirstColumn="0" w:firstRowLastColumn="0" w:lastRowFirstColumn="0" w:lastRowLastColumn="0"/>
              <w:rPr>
                <w:sz w:val="24"/>
                <w:szCs w:val="24"/>
              </w:rPr>
            </w:pPr>
            <w:r w:rsidRPr="00D6313C">
              <w:rPr>
                <w:sz w:val="24"/>
                <w:szCs w:val="24"/>
              </w:rPr>
              <w:t xml:space="preserve">Department of Health and Social </w:t>
            </w:r>
            <w:r w:rsidR="00E7285A" w:rsidRPr="00D6313C">
              <w:rPr>
                <w:sz w:val="24"/>
                <w:szCs w:val="24"/>
              </w:rPr>
              <w:t>C</w:t>
            </w:r>
            <w:r w:rsidRPr="00D6313C">
              <w:rPr>
                <w:sz w:val="24"/>
                <w:szCs w:val="24"/>
              </w:rPr>
              <w:t>are</w:t>
            </w:r>
          </w:p>
        </w:tc>
      </w:tr>
      <w:tr w:rsidR="00D6313C" w:rsidRPr="00D6313C" w14:paraId="5181966B"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CFA607F" w14:textId="77777777" w:rsidR="00BD69FE" w:rsidRPr="00D6313C" w:rsidRDefault="00BD69FE" w:rsidP="00D6313C">
            <w:pPr>
              <w:rPr>
                <w:b w:val="0"/>
                <w:sz w:val="24"/>
                <w:szCs w:val="24"/>
              </w:rPr>
            </w:pPr>
            <w:r w:rsidRPr="00D6313C">
              <w:rPr>
                <w:sz w:val="24"/>
                <w:szCs w:val="24"/>
              </w:rPr>
              <w:t>Reporting period</w:t>
            </w:r>
          </w:p>
        </w:tc>
        <w:tc>
          <w:tcPr>
            <w:tcW w:w="13830" w:type="dxa"/>
            <w:tcBorders>
              <w:left w:val="single" w:sz="4" w:space="0" w:color="auto"/>
            </w:tcBorders>
          </w:tcPr>
          <w:p w14:paraId="2C54EFD5" w14:textId="796FC58C" w:rsidR="00BD69FE" w:rsidRPr="00D6313C" w:rsidRDefault="00117176" w:rsidP="00D6313C">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Annua</w:t>
            </w:r>
            <w:r w:rsidR="00AB5C38" w:rsidRPr="00D6313C">
              <w:rPr>
                <w:sz w:val="24"/>
                <w:szCs w:val="24"/>
              </w:rPr>
              <w:t>l</w:t>
            </w:r>
          </w:p>
        </w:tc>
      </w:tr>
      <w:tr w:rsidR="00D6313C" w:rsidRPr="00D6313C" w14:paraId="1B9AB236"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134ECB6F" w14:textId="77777777" w:rsidR="00BD69FE" w:rsidRPr="00D6313C" w:rsidRDefault="00BD69FE" w:rsidP="00D6313C">
            <w:pPr>
              <w:rPr>
                <w:b w:val="0"/>
                <w:sz w:val="24"/>
                <w:szCs w:val="24"/>
              </w:rPr>
            </w:pPr>
            <w:r w:rsidRPr="00D6313C">
              <w:rPr>
                <w:sz w:val="24"/>
                <w:szCs w:val="24"/>
              </w:rPr>
              <w:t>Geographical Coverage</w:t>
            </w:r>
          </w:p>
        </w:tc>
        <w:tc>
          <w:tcPr>
            <w:tcW w:w="13830" w:type="dxa"/>
            <w:tcBorders>
              <w:left w:val="single" w:sz="4" w:space="0" w:color="auto"/>
            </w:tcBorders>
          </w:tcPr>
          <w:p w14:paraId="50DF24FC" w14:textId="57392D02" w:rsidR="00BD69FE" w:rsidRPr="00D6313C" w:rsidRDefault="00AB5C38" w:rsidP="00D6313C">
            <w:pPr>
              <w:cnfStyle w:val="000000100000" w:firstRow="0" w:lastRow="0" w:firstColumn="0" w:lastColumn="0" w:oddVBand="0" w:evenVBand="0" w:oddHBand="1" w:evenHBand="0" w:firstRowFirstColumn="0" w:firstRowLastColumn="0" w:lastRowFirstColumn="0" w:lastRowLastColumn="0"/>
              <w:rPr>
                <w:sz w:val="24"/>
                <w:szCs w:val="24"/>
              </w:rPr>
            </w:pPr>
            <w:r w:rsidRPr="00D6313C">
              <w:rPr>
                <w:sz w:val="24"/>
                <w:szCs w:val="24"/>
              </w:rPr>
              <w:t>England</w:t>
            </w:r>
          </w:p>
        </w:tc>
      </w:tr>
      <w:tr w:rsidR="00D6313C" w:rsidRPr="00D6313C" w14:paraId="64620C9C"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55C73694" w14:textId="77777777" w:rsidR="00BD69FE" w:rsidRPr="00D6313C" w:rsidRDefault="00BD69FE" w:rsidP="00D6313C">
            <w:pPr>
              <w:rPr>
                <w:b w:val="0"/>
                <w:sz w:val="24"/>
                <w:szCs w:val="24"/>
              </w:rPr>
            </w:pPr>
            <w:r w:rsidRPr="00D6313C">
              <w:rPr>
                <w:sz w:val="24"/>
                <w:szCs w:val="24"/>
              </w:rPr>
              <w:t>Reporting level(s)</w:t>
            </w:r>
          </w:p>
        </w:tc>
        <w:tc>
          <w:tcPr>
            <w:tcW w:w="13830" w:type="dxa"/>
            <w:tcBorders>
              <w:left w:val="single" w:sz="4" w:space="0" w:color="auto"/>
            </w:tcBorders>
          </w:tcPr>
          <w:p w14:paraId="5685C1A0" w14:textId="03937D4E" w:rsidR="00BD69FE" w:rsidRPr="00D6313C" w:rsidRDefault="009A6A53" w:rsidP="00D6313C">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National</w:t>
            </w:r>
          </w:p>
        </w:tc>
      </w:tr>
      <w:tr w:rsidR="00D6313C" w:rsidRPr="00D6313C" w14:paraId="7A68395C"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C73D882" w14:textId="77777777" w:rsidR="005F36B2" w:rsidRPr="00D6313C" w:rsidRDefault="005F36B2" w:rsidP="005F36B2">
            <w:pPr>
              <w:rPr>
                <w:b w:val="0"/>
                <w:sz w:val="24"/>
                <w:szCs w:val="24"/>
              </w:rPr>
            </w:pPr>
            <w:r w:rsidRPr="00D6313C">
              <w:rPr>
                <w:sz w:val="24"/>
                <w:szCs w:val="24"/>
              </w:rPr>
              <w:t>Based on data from</w:t>
            </w:r>
          </w:p>
        </w:tc>
        <w:tc>
          <w:tcPr>
            <w:tcW w:w="13830" w:type="dxa"/>
            <w:tcBorders>
              <w:left w:val="single" w:sz="4" w:space="0" w:color="auto"/>
            </w:tcBorders>
          </w:tcPr>
          <w:p w14:paraId="1345DE27" w14:textId="47A84EE2" w:rsidR="00CD39AF" w:rsidRPr="00D6313C" w:rsidRDefault="006C20DD" w:rsidP="000242E0">
            <w:pPr>
              <w:cnfStyle w:val="000000100000" w:firstRow="0" w:lastRow="0" w:firstColumn="0" w:lastColumn="0" w:oddVBand="0" w:evenVBand="0" w:oddHBand="1" w:evenHBand="0" w:firstRowFirstColumn="0" w:firstRowLastColumn="0" w:lastRowFirstColumn="0" w:lastRowLastColumn="0"/>
              <w:rPr>
                <w:sz w:val="24"/>
                <w:szCs w:val="24"/>
              </w:rPr>
            </w:pPr>
            <w:r w:rsidRPr="00D6313C">
              <w:rPr>
                <w:sz w:val="24"/>
                <w:szCs w:val="24"/>
              </w:rPr>
              <w:t>The Smoking Status at Time of Delivery (SATOD) collection</w:t>
            </w:r>
          </w:p>
        </w:tc>
      </w:tr>
      <w:tr w:rsidR="00D6313C" w:rsidRPr="00D6313C" w14:paraId="1B0918A4"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137B4A4E" w14:textId="77777777" w:rsidR="00BD69FE" w:rsidRPr="00D6313C" w:rsidRDefault="00BD69FE" w:rsidP="00D6313C">
            <w:pPr>
              <w:rPr>
                <w:b w:val="0"/>
                <w:sz w:val="24"/>
                <w:szCs w:val="24"/>
              </w:rPr>
            </w:pPr>
            <w:r w:rsidRPr="00D6313C">
              <w:rPr>
                <w:sz w:val="24"/>
                <w:szCs w:val="24"/>
              </w:rPr>
              <w:t>Contact Author Name</w:t>
            </w:r>
          </w:p>
        </w:tc>
        <w:tc>
          <w:tcPr>
            <w:tcW w:w="13830" w:type="dxa"/>
            <w:tcBorders>
              <w:left w:val="single" w:sz="4" w:space="0" w:color="auto"/>
            </w:tcBorders>
          </w:tcPr>
          <w:p w14:paraId="7BDE5252" w14:textId="1F749A34" w:rsidR="00BD69FE" w:rsidRPr="00D6313C" w:rsidRDefault="006C20DD" w:rsidP="00D6313C">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TBC</w:t>
            </w:r>
          </w:p>
        </w:tc>
      </w:tr>
      <w:tr w:rsidR="00D6313C" w:rsidRPr="00D6313C" w14:paraId="12572889"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6C94C25" w14:textId="77777777" w:rsidR="00BD69FE" w:rsidRPr="00D6313C" w:rsidRDefault="00BD69FE" w:rsidP="00D6313C">
            <w:pPr>
              <w:rPr>
                <w:b w:val="0"/>
                <w:sz w:val="24"/>
                <w:szCs w:val="24"/>
              </w:rPr>
            </w:pPr>
            <w:r w:rsidRPr="00D6313C">
              <w:rPr>
                <w:sz w:val="24"/>
                <w:szCs w:val="24"/>
              </w:rPr>
              <w:t>Contact Author Email</w:t>
            </w:r>
          </w:p>
        </w:tc>
        <w:tc>
          <w:tcPr>
            <w:tcW w:w="13830" w:type="dxa"/>
            <w:tcBorders>
              <w:left w:val="single" w:sz="4" w:space="0" w:color="auto"/>
            </w:tcBorders>
          </w:tcPr>
          <w:p w14:paraId="337B0AB9" w14:textId="26DFCC0C" w:rsidR="00BD69FE" w:rsidRPr="00D6313C" w:rsidRDefault="006C20DD" w:rsidP="00D6313C">
            <w:pPr>
              <w:cnfStyle w:val="000000100000" w:firstRow="0" w:lastRow="0" w:firstColumn="0" w:lastColumn="0" w:oddVBand="0" w:evenVBand="0" w:oddHBand="1" w:evenHBand="0" w:firstRowFirstColumn="0" w:firstRowLastColumn="0" w:lastRowFirstColumn="0" w:lastRowLastColumn="0"/>
              <w:rPr>
                <w:sz w:val="24"/>
                <w:szCs w:val="24"/>
              </w:rPr>
            </w:pPr>
            <w:r w:rsidRPr="00D6313C">
              <w:rPr>
                <w:sz w:val="24"/>
                <w:szCs w:val="24"/>
              </w:rPr>
              <w:t>TBC</w:t>
            </w:r>
          </w:p>
        </w:tc>
      </w:tr>
      <w:tr w:rsidR="00D6313C" w:rsidRPr="00D6313C" w14:paraId="146CE663"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471F2F3" w14:textId="77777777" w:rsidR="00BD69FE" w:rsidRPr="00D6313C" w:rsidRDefault="00BD69FE" w:rsidP="00D6313C">
            <w:pPr>
              <w:rPr>
                <w:b w:val="0"/>
                <w:sz w:val="24"/>
                <w:szCs w:val="24"/>
              </w:rPr>
            </w:pPr>
            <w:r w:rsidRPr="00D6313C">
              <w:rPr>
                <w:sz w:val="24"/>
                <w:szCs w:val="24"/>
              </w:rPr>
              <w:t>Rating</w:t>
            </w:r>
          </w:p>
        </w:tc>
        <w:tc>
          <w:tcPr>
            <w:tcW w:w="13830" w:type="dxa"/>
            <w:tcBorders>
              <w:left w:val="single" w:sz="4" w:space="0" w:color="auto"/>
            </w:tcBorders>
          </w:tcPr>
          <w:p w14:paraId="42821BAF" w14:textId="2E8E2435" w:rsidR="00BD69FE" w:rsidRPr="00D6313C" w:rsidRDefault="006C20DD" w:rsidP="00D6313C">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Fit for use.</w:t>
            </w:r>
          </w:p>
        </w:tc>
      </w:tr>
      <w:tr w:rsidR="00D6313C" w:rsidRPr="00D6313C" w14:paraId="36C90CDC"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6DDE63CB" w14:textId="77777777" w:rsidR="00BD69FE" w:rsidRPr="00D6313C" w:rsidRDefault="00BD69FE" w:rsidP="00D6313C">
            <w:pPr>
              <w:rPr>
                <w:b w:val="0"/>
                <w:sz w:val="24"/>
                <w:szCs w:val="24"/>
              </w:rPr>
            </w:pPr>
            <w:r w:rsidRPr="00D6313C">
              <w:rPr>
                <w:sz w:val="24"/>
                <w:szCs w:val="24"/>
              </w:rPr>
              <w:t>Assurance date</w:t>
            </w:r>
          </w:p>
        </w:tc>
        <w:tc>
          <w:tcPr>
            <w:tcW w:w="13830" w:type="dxa"/>
            <w:tcBorders>
              <w:left w:val="single" w:sz="4" w:space="0" w:color="auto"/>
            </w:tcBorders>
          </w:tcPr>
          <w:p w14:paraId="07A7432F" w14:textId="14CB4B71" w:rsidR="006C20DD" w:rsidRPr="00D6313C" w:rsidRDefault="00455ABB" w:rsidP="00D6313C">
            <w:pPr>
              <w:cnfStyle w:val="000000100000" w:firstRow="0" w:lastRow="0" w:firstColumn="0" w:lastColumn="0" w:oddVBand="0" w:evenVBand="0" w:oddHBand="1" w:evenHBand="0" w:firstRowFirstColumn="0" w:firstRowLastColumn="0" w:lastRowFirstColumn="0" w:lastRowLastColumn="0"/>
              <w:rPr>
                <w:sz w:val="24"/>
                <w:szCs w:val="24"/>
              </w:rPr>
            </w:pPr>
            <w:r w:rsidRPr="00D6313C">
              <w:rPr>
                <w:sz w:val="24"/>
                <w:szCs w:val="24"/>
              </w:rPr>
              <w:t>14/12/201</w:t>
            </w:r>
            <w:r w:rsidR="006C20DD" w:rsidRPr="00D6313C">
              <w:rPr>
                <w:sz w:val="24"/>
                <w:szCs w:val="24"/>
              </w:rPr>
              <w:t>6</w:t>
            </w:r>
          </w:p>
        </w:tc>
      </w:tr>
      <w:tr w:rsidR="00D6313C" w:rsidRPr="00D6313C" w14:paraId="2FD2A140"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1690B01" w14:textId="77777777" w:rsidR="00BD69FE" w:rsidRPr="00D6313C" w:rsidRDefault="00BD69FE" w:rsidP="00D6313C">
            <w:pPr>
              <w:rPr>
                <w:b w:val="0"/>
                <w:sz w:val="24"/>
                <w:szCs w:val="24"/>
              </w:rPr>
            </w:pPr>
            <w:r w:rsidRPr="00D6313C">
              <w:rPr>
                <w:sz w:val="24"/>
                <w:szCs w:val="24"/>
              </w:rPr>
              <w:t>Review date</w:t>
            </w:r>
          </w:p>
        </w:tc>
        <w:tc>
          <w:tcPr>
            <w:tcW w:w="13830" w:type="dxa"/>
            <w:tcBorders>
              <w:left w:val="single" w:sz="4" w:space="0" w:color="auto"/>
            </w:tcBorders>
          </w:tcPr>
          <w:p w14:paraId="65D82364" w14:textId="13C5B736" w:rsidR="00BD69FE" w:rsidRPr="00D6313C" w:rsidRDefault="005A0891" w:rsidP="00D6313C">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14/12/201</w:t>
            </w:r>
            <w:r w:rsidR="006C20DD" w:rsidRPr="00D6313C">
              <w:rPr>
                <w:sz w:val="24"/>
                <w:szCs w:val="24"/>
              </w:rPr>
              <w:t>9</w:t>
            </w:r>
          </w:p>
        </w:tc>
      </w:tr>
      <w:tr w:rsidR="00D6313C" w:rsidRPr="00D6313C" w14:paraId="5F25EAD6"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154752B2" w14:textId="77777777" w:rsidR="00BD69FE" w:rsidRPr="00D6313C" w:rsidRDefault="00BD69FE" w:rsidP="00D6313C">
            <w:pPr>
              <w:rPr>
                <w:b w:val="0"/>
                <w:sz w:val="24"/>
                <w:szCs w:val="24"/>
              </w:rPr>
            </w:pPr>
            <w:r w:rsidRPr="00D6313C">
              <w:rPr>
                <w:sz w:val="24"/>
                <w:szCs w:val="24"/>
              </w:rPr>
              <w:t>Indicator set</w:t>
            </w:r>
          </w:p>
        </w:tc>
        <w:tc>
          <w:tcPr>
            <w:tcW w:w="13830" w:type="dxa"/>
            <w:tcBorders>
              <w:left w:val="single" w:sz="4" w:space="0" w:color="auto"/>
            </w:tcBorders>
          </w:tcPr>
          <w:p w14:paraId="6C3C44BD" w14:textId="53FBB9D5" w:rsidR="00BD69FE" w:rsidRPr="00D6313C" w:rsidRDefault="001B753E" w:rsidP="00D6313C">
            <w:pPr>
              <w:cnfStyle w:val="000000100000" w:firstRow="0" w:lastRow="0" w:firstColumn="0" w:lastColumn="0" w:oddVBand="0" w:evenVBand="0" w:oddHBand="1" w:evenHBand="0" w:firstRowFirstColumn="0" w:firstRowLastColumn="0" w:lastRowFirstColumn="0" w:lastRowLastColumn="0"/>
              <w:rPr>
                <w:sz w:val="24"/>
                <w:szCs w:val="24"/>
              </w:rPr>
            </w:pPr>
            <w:r w:rsidRPr="00D6313C">
              <w:rPr>
                <w:sz w:val="24"/>
                <w:szCs w:val="24"/>
              </w:rPr>
              <w:t xml:space="preserve">CCG Outcomes Indicator Set (OIS) </w:t>
            </w:r>
            <w:r w:rsidR="006C20DD" w:rsidRPr="00D6313C">
              <w:rPr>
                <w:sz w:val="24"/>
                <w:szCs w:val="24"/>
              </w:rPr>
              <w:t>1.14</w:t>
            </w:r>
          </w:p>
        </w:tc>
      </w:tr>
      <w:tr w:rsidR="00D6313C" w:rsidRPr="00D6313C" w14:paraId="6F4A3701"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1948065" w14:textId="765493A3" w:rsidR="00BD69FE" w:rsidRPr="00D6313C" w:rsidRDefault="00BD69FE" w:rsidP="00D6313C">
            <w:pPr>
              <w:rPr>
                <w:b w:val="0"/>
                <w:sz w:val="24"/>
                <w:szCs w:val="24"/>
              </w:rPr>
            </w:pPr>
            <w:r w:rsidRPr="00D6313C">
              <w:rPr>
                <w:sz w:val="24"/>
                <w:szCs w:val="24"/>
              </w:rPr>
              <w:t xml:space="preserve">Brief Description </w:t>
            </w:r>
          </w:p>
        </w:tc>
        <w:tc>
          <w:tcPr>
            <w:tcW w:w="13830" w:type="dxa"/>
            <w:tcBorders>
              <w:left w:val="single" w:sz="4" w:space="0" w:color="auto"/>
            </w:tcBorders>
          </w:tcPr>
          <w:p w14:paraId="690E93D5" w14:textId="385D982C" w:rsidR="006C20DD" w:rsidRPr="00D6313C" w:rsidRDefault="006C20DD" w:rsidP="00A60CBB">
            <w:pPr>
              <w:cnfStyle w:val="000000000000" w:firstRow="0" w:lastRow="0" w:firstColumn="0" w:lastColumn="0" w:oddVBand="0" w:evenVBand="0" w:oddHBand="0" w:evenHBand="0" w:firstRowFirstColumn="0" w:firstRowLastColumn="0" w:lastRowFirstColumn="0" w:lastRowLastColumn="0"/>
              <w:rPr>
                <w:sz w:val="24"/>
                <w:szCs w:val="24"/>
                <w:shd w:val="clear" w:color="auto" w:fill="F0F4F5"/>
              </w:rPr>
            </w:pPr>
            <w:r w:rsidRPr="00D6313C">
              <w:rPr>
                <w:sz w:val="24"/>
                <w:szCs w:val="24"/>
              </w:rPr>
              <w:t>This indicator is the percentage of maternities where the women were smokers at the time of delivery.</w:t>
            </w:r>
          </w:p>
        </w:tc>
      </w:tr>
      <w:tr w:rsidR="00D6313C" w:rsidRPr="00D6313C" w14:paraId="30049EB2"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DB2E955" w14:textId="77777777" w:rsidR="00BD69FE" w:rsidRPr="00D6313C" w:rsidRDefault="00BD69FE" w:rsidP="00D6313C">
            <w:pPr>
              <w:rPr>
                <w:b w:val="0"/>
                <w:sz w:val="24"/>
                <w:szCs w:val="24"/>
              </w:rPr>
            </w:pPr>
            <w:r w:rsidRPr="00D6313C">
              <w:rPr>
                <w:sz w:val="24"/>
                <w:szCs w:val="24"/>
              </w:rPr>
              <w:t>Purpose</w:t>
            </w:r>
          </w:p>
        </w:tc>
        <w:tc>
          <w:tcPr>
            <w:tcW w:w="13830" w:type="dxa"/>
            <w:tcBorders>
              <w:left w:val="single" w:sz="4" w:space="0" w:color="auto"/>
            </w:tcBorders>
          </w:tcPr>
          <w:p w14:paraId="6804F8AE" w14:textId="77777777" w:rsidR="006C20DD" w:rsidRPr="00D6313C" w:rsidRDefault="006C20DD" w:rsidP="006C20DD">
            <w:pPr>
              <w:cnfStyle w:val="000000100000" w:firstRow="0" w:lastRow="0" w:firstColumn="0" w:lastColumn="0" w:oddVBand="0" w:evenVBand="0" w:oddHBand="1" w:evenHBand="0" w:firstRowFirstColumn="0" w:firstRowLastColumn="0" w:lastRowFirstColumn="0" w:lastRowLastColumn="0"/>
              <w:rPr>
                <w:sz w:val="24"/>
                <w:szCs w:val="24"/>
              </w:rPr>
            </w:pPr>
            <w:r w:rsidRPr="00D6313C">
              <w:rPr>
                <w:sz w:val="24"/>
                <w:szCs w:val="24"/>
              </w:rPr>
              <w:t>This indicator aims to provide a measure of the prevalence of smoking among pregnant women at Clinical Commissioning Group (CCG) level.</w:t>
            </w:r>
          </w:p>
          <w:p w14:paraId="21C50773" w14:textId="77777777" w:rsidR="006C20DD" w:rsidRPr="00D6313C" w:rsidRDefault="006C20DD" w:rsidP="006C20DD">
            <w:pPr>
              <w:cnfStyle w:val="000000100000" w:firstRow="0" w:lastRow="0" w:firstColumn="0" w:lastColumn="0" w:oddVBand="0" w:evenVBand="0" w:oddHBand="1" w:evenHBand="0" w:firstRowFirstColumn="0" w:firstRowLastColumn="0" w:lastRowFirstColumn="0" w:lastRowLastColumn="0"/>
              <w:rPr>
                <w:sz w:val="24"/>
                <w:szCs w:val="24"/>
              </w:rPr>
            </w:pPr>
          </w:p>
          <w:p w14:paraId="1EBB9142" w14:textId="77777777" w:rsidR="006C20DD" w:rsidRPr="00D6313C" w:rsidRDefault="006C20DD" w:rsidP="006C20DD">
            <w:pPr>
              <w:cnfStyle w:val="000000100000" w:firstRow="0" w:lastRow="0" w:firstColumn="0" w:lastColumn="0" w:oddVBand="0" w:evenVBand="0" w:oddHBand="1" w:evenHBand="0" w:firstRowFirstColumn="0" w:firstRowLastColumn="0" w:lastRowFirstColumn="0" w:lastRowLastColumn="0"/>
              <w:rPr>
                <w:sz w:val="24"/>
                <w:szCs w:val="24"/>
              </w:rPr>
            </w:pPr>
            <w:r w:rsidRPr="00D6313C">
              <w:rPr>
                <w:sz w:val="24"/>
                <w:szCs w:val="24"/>
              </w:rPr>
              <w:lastRenderedPageBreak/>
              <w:t>Smoking in pregnancy has well known detrimental effects on the growth and development of the baby and health of the mother. The Tobacco Control Plan contained a national ambition to reduce the proportion of women smoking throughout pregnancy to 11% or less by the end of 2015 (measured at time of giving birth). The inclusion of this indicator will ensure that local tobacco control activity is appropriately focused on pregnant women, in order to try to achieve this national ambition. This ambition was achieved at national level during 2015/16 although around half of CCGs still had an indicator value above this target. A new Government Tobacco Control Plan for England was introduced in July 2017 along with a new national ambition.</w:t>
            </w:r>
          </w:p>
          <w:p w14:paraId="1CC05996" w14:textId="77777777" w:rsidR="006C20DD" w:rsidRPr="00D6313C" w:rsidRDefault="006C20DD" w:rsidP="006C20DD">
            <w:pPr>
              <w:cnfStyle w:val="000000100000" w:firstRow="0" w:lastRow="0" w:firstColumn="0" w:lastColumn="0" w:oddVBand="0" w:evenVBand="0" w:oddHBand="1" w:evenHBand="0" w:firstRowFirstColumn="0" w:firstRowLastColumn="0" w:lastRowFirstColumn="0" w:lastRowLastColumn="0"/>
              <w:rPr>
                <w:sz w:val="24"/>
                <w:szCs w:val="24"/>
              </w:rPr>
            </w:pPr>
          </w:p>
          <w:p w14:paraId="63AE47C8" w14:textId="1A398358" w:rsidR="006500CF" w:rsidRPr="00D6313C" w:rsidRDefault="006C20DD" w:rsidP="006C20DD">
            <w:pPr>
              <w:cnfStyle w:val="000000100000" w:firstRow="0" w:lastRow="0" w:firstColumn="0" w:lastColumn="0" w:oddVBand="0" w:evenVBand="0" w:oddHBand="1" w:evenHBand="0" w:firstRowFirstColumn="0" w:firstRowLastColumn="0" w:lastRowFirstColumn="0" w:lastRowLastColumn="0"/>
              <w:rPr>
                <w:sz w:val="24"/>
                <w:szCs w:val="24"/>
              </w:rPr>
            </w:pPr>
            <w:r w:rsidRPr="00D6313C">
              <w:rPr>
                <w:sz w:val="24"/>
                <w:szCs w:val="24"/>
              </w:rPr>
              <w:t xml:space="preserve">This indicator will help make sure priority is given to the reduction of smoking at delivery. Encouraging pregnant women to stop smoking during pregnancy may also help them kick the habit for </w:t>
            </w:r>
            <w:proofErr w:type="gramStart"/>
            <w:r w:rsidRPr="00D6313C">
              <w:rPr>
                <w:sz w:val="24"/>
                <w:szCs w:val="24"/>
              </w:rPr>
              <w:t>good, and</w:t>
            </w:r>
            <w:proofErr w:type="gramEnd"/>
            <w:r w:rsidRPr="00D6313C">
              <w:rPr>
                <w:sz w:val="24"/>
                <w:szCs w:val="24"/>
              </w:rPr>
              <w:t xml:space="preserve"> will result in health benefits for the child and mother, as well as cost savings to the NHS.</w:t>
            </w:r>
          </w:p>
        </w:tc>
      </w:tr>
      <w:tr w:rsidR="00D6313C" w:rsidRPr="00D6313C" w14:paraId="54849C45"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0E47248" w14:textId="77777777" w:rsidR="00BD69FE" w:rsidRPr="00D6313C" w:rsidRDefault="00BD69FE" w:rsidP="00D6313C">
            <w:pPr>
              <w:rPr>
                <w:bCs w:val="0"/>
                <w:sz w:val="24"/>
                <w:szCs w:val="24"/>
              </w:rPr>
            </w:pPr>
            <w:r w:rsidRPr="00D6313C">
              <w:rPr>
                <w:bCs w:val="0"/>
                <w:sz w:val="24"/>
                <w:szCs w:val="24"/>
              </w:rPr>
              <w:lastRenderedPageBreak/>
              <w:t>Definition</w:t>
            </w:r>
          </w:p>
        </w:tc>
        <w:tc>
          <w:tcPr>
            <w:tcW w:w="13830" w:type="dxa"/>
            <w:tcBorders>
              <w:left w:val="single" w:sz="4" w:space="0" w:color="auto"/>
            </w:tcBorders>
          </w:tcPr>
          <w:p w14:paraId="7BD2D96D" w14:textId="77777777" w:rsidR="006C20DD" w:rsidRPr="00D6313C" w:rsidRDefault="006C20DD" w:rsidP="006C20DD">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Proportion of all pregnancies where the smoking status is not ‘Unknown’, and the mother has self-reported smoking cigarettes or any other tobacco products at the time of delivery. This does not include the inhalation or consumption of non-combustible nicotine products, such as e-cigarettes or other nicotine containing products.</w:t>
            </w:r>
          </w:p>
          <w:p w14:paraId="62EC1D9C" w14:textId="77777777" w:rsidR="006C20DD" w:rsidRPr="00D6313C" w:rsidRDefault="006C20DD" w:rsidP="006C20DD">
            <w:pPr>
              <w:cnfStyle w:val="000000000000" w:firstRow="0" w:lastRow="0" w:firstColumn="0" w:lastColumn="0" w:oddVBand="0" w:evenVBand="0" w:oddHBand="0" w:evenHBand="0" w:firstRowFirstColumn="0" w:firstRowLastColumn="0" w:lastRowFirstColumn="0" w:lastRowLastColumn="0"/>
              <w:rPr>
                <w:sz w:val="24"/>
                <w:szCs w:val="24"/>
              </w:rPr>
            </w:pPr>
          </w:p>
          <w:p w14:paraId="1738E2FC" w14:textId="77777777" w:rsidR="006C20DD" w:rsidRPr="00D6313C" w:rsidRDefault="006C20DD" w:rsidP="006C20DD">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Maternities are defined as 'the number of women in the relevant population who give birth to one or more live or still born babies of at least 24 weeks gestation where the baby is delivered by either a midwife or a doctor and the place of delivery is either at home or in an NHS hospital (including GP units). It excludes all maternities that occur in either psychiatric or private beds/hospitals.' (Source: Vital Signs Monitoring Return).</w:t>
            </w:r>
          </w:p>
          <w:p w14:paraId="7C6893F1" w14:textId="77777777" w:rsidR="006C20DD" w:rsidRPr="00D6313C" w:rsidRDefault="006C20DD" w:rsidP="006C20DD">
            <w:pPr>
              <w:cnfStyle w:val="000000000000" w:firstRow="0" w:lastRow="0" w:firstColumn="0" w:lastColumn="0" w:oddVBand="0" w:evenVBand="0" w:oddHBand="0" w:evenHBand="0" w:firstRowFirstColumn="0" w:firstRowLastColumn="0" w:lastRowFirstColumn="0" w:lastRowLastColumn="0"/>
              <w:rPr>
                <w:sz w:val="24"/>
                <w:szCs w:val="24"/>
              </w:rPr>
            </w:pPr>
          </w:p>
          <w:p w14:paraId="53007FCF" w14:textId="77777777" w:rsidR="006C20DD" w:rsidRPr="00D6313C" w:rsidRDefault="006C20DD" w:rsidP="006C20DD">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The reporting period is the quarter in the financial year of the birth registration. The indicator is published quarterly from Quarter 1, 2013/14 onwards. All maternities which occurred in this period should be included.</w:t>
            </w:r>
          </w:p>
          <w:p w14:paraId="5533FA65" w14:textId="77777777" w:rsidR="006C20DD" w:rsidRPr="00D6313C" w:rsidRDefault="006C20DD" w:rsidP="006C20DD">
            <w:pPr>
              <w:cnfStyle w:val="000000000000" w:firstRow="0" w:lastRow="0" w:firstColumn="0" w:lastColumn="0" w:oddVBand="0" w:evenVBand="0" w:oddHBand="0" w:evenHBand="0" w:firstRowFirstColumn="0" w:firstRowLastColumn="0" w:lastRowFirstColumn="0" w:lastRowLastColumn="0"/>
              <w:rPr>
                <w:sz w:val="24"/>
                <w:szCs w:val="24"/>
              </w:rPr>
            </w:pPr>
          </w:p>
          <w:p w14:paraId="4619D87F" w14:textId="77777777" w:rsidR="006C20DD" w:rsidRPr="00D6313C" w:rsidRDefault="006C20DD" w:rsidP="006C20DD">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The indicator is collected from Clinical Commissioning Groups (CCGs) and published at that level. There is no demographic breakdown.</w:t>
            </w:r>
          </w:p>
          <w:p w14:paraId="689357E0" w14:textId="77777777" w:rsidR="006C20DD" w:rsidRPr="00D6313C" w:rsidRDefault="006C20DD" w:rsidP="006C20DD">
            <w:pPr>
              <w:cnfStyle w:val="000000000000" w:firstRow="0" w:lastRow="0" w:firstColumn="0" w:lastColumn="0" w:oddVBand="0" w:evenVBand="0" w:oddHBand="0" w:evenHBand="0" w:firstRowFirstColumn="0" w:firstRowLastColumn="0" w:lastRowFirstColumn="0" w:lastRowLastColumn="0"/>
              <w:rPr>
                <w:sz w:val="24"/>
                <w:szCs w:val="24"/>
              </w:rPr>
            </w:pPr>
          </w:p>
          <w:p w14:paraId="07013616" w14:textId="779F211C" w:rsidR="006500CF" w:rsidRPr="00D6313C" w:rsidRDefault="006C20DD" w:rsidP="006C20DD">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A woman is assigned to a CCG based on the postcode of their GP.</w:t>
            </w:r>
          </w:p>
        </w:tc>
      </w:tr>
      <w:tr w:rsidR="00D6313C" w:rsidRPr="00D6313C" w14:paraId="6E1036B1"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3CE98FA2" w14:textId="77777777" w:rsidR="003F156D" w:rsidRPr="00D6313C" w:rsidRDefault="003F156D" w:rsidP="003F156D">
            <w:pPr>
              <w:rPr>
                <w:b w:val="0"/>
                <w:sz w:val="24"/>
                <w:szCs w:val="24"/>
              </w:rPr>
            </w:pPr>
            <w:r w:rsidRPr="00D6313C">
              <w:rPr>
                <w:sz w:val="24"/>
                <w:szCs w:val="24"/>
              </w:rPr>
              <w:t>Data Source</w:t>
            </w:r>
          </w:p>
        </w:tc>
        <w:tc>
          <w:tcPr>
            <w:tcW w:w="13830" w:type="dxa"/>
            <w:tcBorders>
              <w:left w:val="single" w:sz="4" w:space="0" w:color="auto"/>
            </w:tcBorders>
          </w:tcPr>
          <w:p w14:paraId="6738187C" w14:textId="2793D351" w:rsidR="003F156D" w:rsidRPr="00D6313C" w:rsidRDefault="006C20DD" w:rsidP="00BC310E">
            <w:pPr>
              <w:cnfStyle w:val="000000100000" w:firstRow="0" w:lastRow="0" w:firstColumn="0" w:lastColumn="0" w:oddVBand="0" w:evenVBand="0" w:oddHBand="1" w:evenHBand="0" w:firstRowFirstColumn="0" w:firstRowLastColumn="0" w:lastRowFirstColumn="0" w:lastRowLastColumn="0"/>
              <w:rPr>
                <w:sz w:val="24"/>
                <w:szCs w:val="24"/>
              </w:rPr>
            </w:pPr>
            <w:r w:rsidRPr="00D6313C">
              <w:rPr>
                <w:sz w:val="24"/>
                <w:szCs w:val="24"/>
              </w:rPr>
              <w:t>SATOD collection.</w:t>
            </w:r>
          </w:p>
        </w:tc>
      </w:tr>
      <w:tr w:rsidR="00D6313C" w:rsidRPr="00D6313C" w14:paraId="1EF5CCA7"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5E42FA3" w14:textId="77777777" w:rsidR="003F156D" w:rsidRPr="00D6313C" w:rsidRDefault="003F156D" w:rsidP="003F156D">
            <w:pPr>
              <w:rPr>
                <w:b w:val="0"/>
                <w:sz w:val="24"/>
                <w:szCs w:val="24"/>
              </w:rPr>
            </w:pPr>
            <w:r w:rsidRPr="00D6313C">
              <w:rPr>
                <w:sz w:val="24"/>
                <w:szCs w:val="24"/>
              </w:rPr>
              <w:t>Numerator</w:t>
            </w:r>
          </w:p>
        </w:tc>
        <w:tc>
          <w:tcPr>
            <w:tcW w:w="13830" w:type="dxa"/>
            <w:tcBorders>
              <w:left w:val="single" w:sz="4" w:space="0" w:color="auto"/>
            </w:tcBorders>
          </w:tcPr>
          <w:p w14:paraId="4E048882" w14:textId="69222712" w:rsidR="003F156D" w:rsidRPr="00D6313C" w:rsidRDefault="006C20DD" w:rsidP="00F01683">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The number of women known to be smokers at the time of delivery.</w:t>
            </w:r>
          </w:p>
        </w:tc>
      </w:tr>
      <w:tr w:rsidR="00D6313C" w:rsidRPr="00D6313C" w14:paraId="22216F2F"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6B547D53" w14:textId="77777777" w:rsidR="003F156D" w:rsidRPr="00D6313C" w:rsidRDefault="003F156D" w:rsidP="003F156D">
            <w:pPr>
              <w:rPr>
                <w:b w:val="0"/>
                <w:sz w:val="24"/>
                <w:szCs w:val="24"/>
              </w:rPr>
            </w:pPr>
            <w:r w:rsidRPr="00D6313C">
              <w:rPr>
                <w:sz w:val="24"/>
                <w:szCs w:val="24"/>
              </w:rPr>
              <w:lastRenderedPageBreak/>
              <w:t>Denominator</w:t>
            </w:r>
          </w:p>
        </w:tc>
        <w:tc>
          <w:tcPr>
            <w:tcW w:w="13830" w:type="dxa"/>
            <w:tcBorders>
              <w:left w:val="single" w:sz="4" w:space="0" w:color="auto"/>
            </w:tcBorders>
          </w:tcPr>
          <w:p w14:paraId="0D2110AE" w14:textId="77777777" w:rsidR="006C20DD" w:rsidRPr="00D6313C" w:rsidRDefault="006C20DD" w:rsidP="006C20DD">
            <w:pPr>
              <w:cnfStyle w:val="000000100000" w:firstRow="0" w:lastRow="0" w:firstColumn="0" w:lastColumn="0" w:oddVBand="0" w:evenVBand="0" w:oddHBand="1" w:evenHBand="0" w:firstRowFirstColumn="0" w:firstRowLastColumn="0" w:lastRowFirstColumn="0" w:lastRowLastColumn="0"/>
              <w:rPr>
                <w:sz w:val="24"/>
                <w:szCs w:val="24"/>
              </w:rPr>
            </w:pPr>
            <w:r w:rsidRPr="00D6313C">
              <w:rPr>
                <w:sz w:val="24"/>
                <w:szCs w:val="24"/>
              </w:rPr>
              <w:t>The number of maternities, defined as the number of pregnant women who give birth to one or more live or still born babies of at least 24 weeks gestation, where the baby is delivered by either a midwife or doctor at home or in an NHS hospital (including GP units).</w:t>
            </w:r>
          </w:p>
          <w:p w14:paraId="488995DD" w14:textId="77777777" w:rsidR="006C20DD" w:rsidRPr="00D6313C" w:rsidRDefault="006C20DD" w:rsidP="006C20DD">
            <w:pPr>
              <w:cnfStyle w:val="000000100000" w:firstRow="0" w:lastRow="0" w:firstColumn="0" w:lastColumn="0" w:oddVBand="0" w:evenVBand="0" w:oddHBand="1" w:evenHBand="0" w:firstRowFirstColumn="0" w:firstRowLastColumn="0" w:lastRowFirstColumn="0" w:lastRowLastColumn="0"/>
              <w:rPr>
                <w:sz w:val="24"/>
                <w:szCs w:val="24"/>
              </w:rPr>
            </w:pPr>
          </w:p>
          <w:p w14:paraId="2358D649" w14:textId="61471108" w:rsidR="003F156D" w:rsidRPr="00D6313C" w:rsidRDefault="006C20DD" w:rsidP="006C20DD">
            <w:pPr>
              <w:cnfStyle w:val="000000100000" w:firstRow="0" w:lastRow="0" w:firstColumn="0" w:lastColumn="0" w:oddVBand="0" w:evenVBand="0" w:oddHBand="1" w:evenHBand="0" w:firstRowFirstColumn="0" w:firstRowLastColumn="0" w:lastRowFirstColumn="0" w:lastRowLastColumn="0"/>
              <w:rPr>
                <w:sz w:val="24"/>
                <w:szCs w:val="24"/>
              </w:rPr>
            </w:pPr>
            <w:r w:rsidRPr="00D6313C">
              <w:rPr>
                <w:sz w:val="24"/>
                <w:szCs w:val="24"/>
              </w:rPr>
              <w:t>This count is the number of pregnant women, not the number of babies (deliveries).</w:t>
            </w:r>
          </w:p>
        </w:tc>
      </w:tr>
      <w:tr w:rsidR="00D6313C" w:rsidRPr="00D6313C" w14:paraId="5FC03589"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1F9D9B3" w14:textId="6258CCEF" w:rsidR="003F156D" w:rsidRPr="00D6313C" w:rsidRDefault="00F01683" w:rsidP="003F156D">
            <w:pPr>
              <w:rPr>
                <w:sz w:val="24"/>
                <w:szCs w:val="24"/>
              </w:rPr>
            </w:pPr>
            <w:r w:rsidRPr="00D6313C">
              <w:rPr>
                <w:sz w:val="24"/>
                <w:szCs w:val="24"/>
              </w:rPr>
              <w:t>Calculation</w:t>
            </w:r>
          </w:p>
        </w:tc>
        <w:tc>
          <w:tcPr>
            <w:tcW w:w="13830" w:type="dxa"/>
            <w:tcBorders>
              <w:left w:val="single" w:sz="4" w:space="0" w:color="auto"/>
            </w:tcBorders>
          </w:tcPr>
          <w:p w14:paraId="09215B82" w14:textId="195FE367" w:rsidR="006500CF" w:rsidRPr="00D6313C" w:rsidRDefault="006C20DD" w:rsidP="001B753E">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The indicator is calculated by dividing the numerator by the denominator and multiplying by 100 to provide a percentage indicator value. 95% confidence intervals are then calculated using the Wilson Score method.</w:t>
            </w:r>
          </w:p>
        </w:tc>
      </w:tr>
      <w:tr w:rsidR="00D6313C" w:rsidRPr="00D6313C" w14:paraId="4E697DFD"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31E676E" w14:textId="77777777" w:rsidR="003F156D" w:rsidRPr="00D6313C" w:rsidRDefault="003F156D" w:rsidP="003F156D">
            <w:pPr>
              <w:rPr>
                <w:b w:val="0"/>
                <w:sz w:val="24"/>
                <w:szCs w:val="24"/>
              </w:rPr>
            </w:pPr>
            <w:r w:rsidRPr="00D6313C">
              <w:rPr>
                <w:sz w:val="24"/>
                <w:szCs w:val="24"/>
              </w:rPr>
              <w:t>Interpretation Guidelines</w:t>
            </w:r>
          </w:p>
        </w:tc>
        <w:tc>
          <w:tcPr>
            <w:tcW w:w="13830" w:type="dxa"/>
            <w:tcBorders>
              <w:left w:val="single" w:sz="4" w:space="0" w:color="auto"/>
            </w:tcBorders>
          </w:tcPr>
          <w:p w14:paraId="0072C7D9" w14:textId="21D9A1D9" w:rsidR="006500CF" w:rsidRPr="00D6313C" w:rsidRDefault="006C20DD" w:rsidP="006500CF">
            <w:pPr>
              <w:cnfStyle w:val="000000100000" w:firstRow="0" w:lastRow="0" w:firstColumn="0" w:lastColumn="0" w:oddVBand="0" w:evenVBand="0" w:oddHBand="1" w:evenHBand="0" w:firstRowFirstColumn="0" w:firstRowLastColumn="0" w:lastRowFirstColumn="0" w:lastRowLastColumn="0"/>
              <w:rPr>
                <w:sz w:val="24"/>
                <w:szCs w:val="24"/>
              </w:rPr>
            </w:pPr>
            <w:r w:rsidRPr="00D6313C">
              <w:rPr>
                <w:sz w:val="24"/>
                <w:szCs w:val="24"/>
              </w:rPr>
              <w:t>N/A</w:t>
            </w:r>
          </w:p>
        </w:tc>
      </w:tr>
      <w:tr w:rsidR="00D6313C" w:rsidRPr="00D6313C" w14:paraId="0E3B7774"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326D945" w14:textId="77777777" w:rsidR="003F156D" w:rsidRPr="00D6313C" w:rsidRDefault="003F156D" w:rsidP="003F156D">
            <w:pPr>
              <w:rPr>
                <w:b w:val="0"/>
                <w:sz w:val="24"/>
                <w:szCs w:val="24"/>
              </w:rPr>
            </w:pPr>
            <w:r w:rsidRPr="00D6313C">
              <w:rPr>
                <w:sz w:val="24"/>
                <w:szCs w:val="24"/>
              </w:rPr>
              <w:t>Caveats</w:t>
            </w:r>
          </w:p>
        </w:tc>
        <w:tc>
          <w:tcPr>
            <w:tcW w:w="13830" w:type="dxa"/>
            <w:tcBorders>
              <w:left w:val="single" w:sz="4" w:space="0" w:color="auto"/>
            </w:tcBorders>
          </w:tcPr>
          <w:p w14:paraId="435D7120" w14:textId="77777777" w:rsidR="006C20DD" w:rsidRPr="00D6313C" w:rsidRDefault="006C20DD" w:rsidP="006C20DD">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 xml:space="preserve">Prior to April 2017, those mothers with an unknown smoking status at delivery were included in the denominator. This should be </w:t>
            </w:r>
            <w:proofErr w:type="gramStart"/>
            <w:r w:rsidRPr="00D6313C">
              <w:rPr>
                <w:sz w:val="24"/>
                <w:szCs w:val="24"/>
              </w:rPr>
              <w:t>taken into account</w:t>
            </w:r>
            <w:proofErr w:type="gramEnd"/>
            <w:r w:rsidRPr="00D6313C">
              <w:rPr>
                <w:sz w:val="24"/>
                <w:szCs w:val="24"/>
              </w:rPr>
              <w:t xml:space="preserve"> when comparing values from different years.</w:t>
            </w:r>
          </w:p>
          <w:p w14:paraId="72C9C365" w14:textId="77777777" w:rsidR="006C20DD" w:rsidRPr="00D6313C" w:rsidRDefault="006C20DD" w:rsidP="006C20DD">
            <w:pPr>
              <w:cnfStyle w:val="000000000000" w:firstRow="0" w:lastRow="0" w:firstColumn="0" w:lastColumn="0" w:oddVBand="0" w:evenVBand="0" w:oddHBand="0" w:evenHBand="0" w:firstRowFirstColumn="0" w:firstRowLastColumn="0" w:lastRowFirstColumn="0" w:lastRowLastColumn="0"/>
              <w:rPr>
                <w:sz w:val="24"/>
                <w:szCs w:val="24"/>
              </w:rPr>
            </w:pPr>
          </w:p>
          <w:p w14:paraId="4159F3AD" w14:textId="77777777" w:rsidR="006C20DD" w:rsidRPr="00D6313C" w:rsidRDefault="006C20DD" w:rsidP="006C20DD">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On 1 April 2013, responsibility for this collection transferred from Primary Care Trusts (PCTs) to Clinical Commissioning Groups (CCGs). For transitional reasons, some organisations may not have been able to fully report their figures during the first releases of the data.</w:t>
            </w:r>
          </w:p>
          <w:p w14:paraId="32E60299" w14:textId="77777777" w:rsidR="006C20DD" w:rsidRPr="00D6313C" w:rsidRDefault="006C20DD" w:rsidP="006C20DD">
            <w:pPr>
              <w:cnfStyle w:val="000000000000" w:firstRow="0" w:lastRow="0" w:firstColumn="0" w:lastColumn="0" w:oddVBand="0" w:evenVBand="0" w:oddHBand="0" w:evenHBand="0" w:firstRowFirstColumn="0" w:firstRowLastColumn="0" w:lastRowFirstColumn="0" w:lastRowLastColumn="0"/>
              <w:rPr>
                <w:sz w:val="24"/>
                <w:szCs w:val="24"/>
              </w:rPr>
            </w:pPr>
          </w:p>
          <w:p w14:paraId="2469E9CF" w14:textId="3CFE7DC0" w:rsidR="006500CF" w:rsidRPr="00D6313C" w:rsidRDefault="006C20DD" w:rsidP="006C20DD">
            <w:pPr>
              <w:cnfStyle w:val="000000000000" w:firstRow="0" w:lastRow="0" w:firstColumn="0" w:lastColumn="0" w:oddVBand="0" w:evenVBand="0" w:oddHBand="0" w:evenHBand="0" w:firstRowFirstColumn="0" w:firstRowLastColumn="0" w:lastRowFirstColumn="0" w:lastRowLastColumn="0"/>
              <w:rPr>
                <w:sz w:val="24"/>
                <w:szCs w:val="24"/>
              </w:rPr>
            </w:pPr>
            <w:r w:rsidRPr="00D6313C">
              <w:rPr>
                <w:sz w:val="24"/>
                <w:szCs w:val="24"/>
              </w:rPr>
              <w:t>Presently, the smoking status at the time of delivery is not known for around 2% of women across England. At CCG level the percentage of women with unknown smoking status is in the range 0 to 29%.</w:t>
            </w:r>
          </w:p>
        </w:tc>
      </w:tr>
    </w:tbl>
    <w:p w14:paraId="013D5D82" w14:textId="386F923C" w:rsidR="008B5CC1" w:rsidRPr="00D6313C" w:rsidRDefault="008B5CC1" w:rsidP="00D6313C">
      <w:pPr>
        <w:pStyle w:val="Frontpagesubhead"/>
        <w:rPr>
          <w:rFonts w:cs="Arial"/>
          <w:noProof/>
          <w:color w:val="auto"/>
          <w:lang w:eastAsia="en-GB"/>
        </w:rPr>
      </w:pPr>
    </w:p>
    <w:p w14:paraId="2B49C863" w14:textId="77777777" w:rsidR="008B5CC1" w:rsidRPr="00D6313C" w:rsidRDefault="008B5CC1">
      <w:pPr>
        <w:rPr>
          <w:rFonts w:eastAsia="Times New Roman"/>
          <w:b/>
          <w:noProof/>
          <w:sz w:val="35"/>
          <w:szCs w:val="42"/>
          <w:lang w:eastAsia="en-GB"/>
        </w:rPr>
      </w:pPr>
      <w:r w:rsidRPr="00D6313C">
        <w:rPr>
          <w:noProof/>
          <w:lang w:eastAsia="en-GB"/>
        </w:rPr>
        <w:br w:type="page"/>
      </w:r>
    </w:p>
    <w:p w14:paraId="04BC8D1E" w14:textId="77777777" w:rsidR="008B5CC1" w:rsidRPr="00D6313C" w:rsidRDefault="008B5CC1" w:rsidP="00D6313C">
      <w:pPr>
        <w:pStyle w:val="Frontpagesubhead"/>
        <w:rPr>
          <w:rFonts w:cs="Arial"/>
          <w:noProof/>
          <w:color w:val="auto"/>
          <w:lang w:eastAsia="en-GB"/>
        </w:rPr>
        <w:sectPr w:rsidR="008B5CC1" w:rsidRPr="00D6313C" w:rsidSect="008B5CC1">
          <w:headerReference w:type="default" r:id="rId7"/>
          <w:footerReference w:type="default" r:id="rId8"/>
          <w:pgSz w:w="16838" w:h="11906" w:orient="landscape"/>
          <w:pgMar w:top="851" w:right="1440" w:bottom="851" w:left="1440" w:header="709" w:footer="709" w:gutter="0"/>
          <w:cols w:space="708"/>
          <w:docGrid w:linePitch="360"/>
        </w:sectPr>
      </w:pPr>
    </w:p>
    <w:p w14:paraId="571414D2" w14:textId="23A17970" w:rsidR="008B5CC1" w:rsidRPr="00D6313C" w:rsidRDefault="008B5CC1" w:rsidP="00D6313C">
      <w:pPr>
        <w:pStyle w:val="Frontpagesubhead"/>
        <w:rPr>
          <w:rFonts w:cs="Arial"/>
          <w:noProof/>
          <w:color w:val="auto"/>
          <w:lang w:eastAsia="en-GB"/>
        </w:rPr>
      </w:pPr>
    </w:p>
    <w:p w14:paraId="2A38EDBD" w14:textId="77777777" w:rsidR="008B5CC1" w:rsidRPr="00D6313C" w:rsidRDefault="008B5CC1" w:rsidP="00D6313C">
      <w:pPr>
        <w:pStyle w:val="Frontpagesubhead"/>
        <w:rPr>
          <w:rFonts w:cs="Arial"/>
          <w:noProof/>
          <w:color w:val="auto"/>
          <w:lang w:eastAsia="en-GB"/>
        </w:rPr>
      </w:pPr>
    </w:p>
    <w:p w14:paraId="65053743" w14:textId="1C8FE535" w:rsidR="008B5CC1" w:rsidRPr="00D6313C" w:rsidRDefault="008B5CC1" w:rsidP="00D6313C">
      <w:pPr>
        <w:pStyle w:val="Frontpagesubhead"/>
        <w:rPr>
          <w:rFonts w:cs="Arial"/>
          <w:color w:val="auto"/>
        </w:rPr>
      </w:pPr>
      <w:r w:rsidRPr="00D6313C">
        <w:rPr>
          <w:rFonts w:cs="Arial"/>
          <w:noProof/>
          <w:color w:val="auto"/>
          <w:lang w:eastAsia="en-GB"/>
        </w:rPr>
        <mc:AlternateContent>
          <mc:Choice Requires="wps">
            <w:drawing>
              <wp:inline distT="0" distB="0" distL="0" distR="0" wp14:anchorId="03C6C62C" wp14:editId="24660A9F">
                <wp:extent cx="6371590" cy="7053580"/>
                <wp:effectExtent l="0" t="0" r="0" b="0"/>
                <wp:docPr id="2" name="Text Box 2"/>
                <wp:cNvGraphicFramePr/>
                <a:graphic xmlns:a="http://schemas.openxmlformats.org/drawingml/2006/main">
                  <a:graphicData uri="http://schemas.microsoft.com/office/word/2010/wordprocessingShape">
                    <wps:wsp>
                      <wps:cNvSpPr txBox="1"/>
                      <wps:spPr>
                        <a:xfrm>
                          <a:off x="0" y="0"/>
                          <a:ext cx="6371590" cy="7053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026C9" w14:textId="77777777" w:rsidR="00D6313C" w:rsidRPr="0092758C" w:rsidRDefault="00D6313C" w:rsidP="00D6313C">
                            <w:pPr>
                              <w:pStyle w:val="FrontpageTitle"/>
                              <w:rPr>
                                <w:color w:val="auto"/>
                              </w:rPr>
                            </w:pPr>
                            <w:r w:rsidRPr="0092758C">
                              <w:rPr>
                                <w:color w:val="auto"/>
                              </w:rPr>
                              <w:t>Application Form</w:t>
                            </w:r>
                          </w:p>
                          <w:p w14:paraId="3BECCDFA" w14:textId="77777777" w:rsidR="00D6313C" w:rsidRPr="0092758C" w:rsidRDefault="00D6313C" w:rsidP="00D6313C"/>
                          <w:p w14:paraId="06A6CB50" w14:textId="77777777" w:rsidR="00D6313C" w:rsidRPr="0092758C" w:rsidRDefault="00D6313C" w:rsidP="00D6313C">
                            <w:pPr>
                              <w:pStyle w:val="Frontpagesubhead"/>
                              <w:rPr>
                                <w:color w:val="auto"/>
                              </w:rPr>
                            </w:pPr>
                            <w:r w:rsidRPr="0092758C">
                              <w:rPr>
                                <w:color w:val="auto"/>
                              </w:rPr>
                              <w:t>Indicator Assurance Service</w:t>
                            </w:r>
                          </w:p>
                          <w:p w14:paraId="47D26739" w14:textId="77777777" w:rsidR="00D6313C" w:rsidRPr="0092758C" w:rsidRDefault="00D6313C" w:rsidP="00D6313C">
                            <w:pPr>
                              <w:textboxTightWrap w:val="allLines"/>
                            </w:pPr>
                          </w:p>
                          <w:p w14:paraId="6DCEC128" w14:textId="77777777" w:rsidR="00D6313C" w:rsidRPr="0092758C" w:rsidRDefault="00D6313C" w:rsidP="00D6313C">
                            <w:pPr>
                              <w:textboxTightWrap w:val="allLines"/>
                            </w:pPr>
                          </w:p>
                          <w:p w14:paraId="2FD5185D" w14:textId="77777777" w:rsidR="00D6313C" w:rsidRPr="0092758C" w:rsidRDefault="00D6313C" w:rsidP="00D6313C">
                            <w:pPr>
                              <w:textboxTightWrap w:val="allLines"/>
                            </w:pPr>
                          </w:p>
                          <w:p w14:paraId="1D1472F1" w14:textId="375C94D0" w:rsidR="00D6313C" w:rsidRPr="0092758C" w:rsidRDefault="00D6313C" w:rsidP="00D6313C">
                            <w:pPr>
                              <w:spacing w:line="360" w:lineRule="auto"/>
                              <w:textboxTightWrap w:val="allLines"/>
                              <w:rPr>
                                <w:b/>
                                <w:sz w:val="36"/>
                              </w:rPr>
                            </w:pPr>
                            <w:r w:rsidRPr="0092758C">
                              <w:rPr>
                                <w:b/>
                                <w:sz w:val="36"/>
                              </w:rPr>
                              <w:t xml:space="preserve">Title: </w:t>
                            </w:r>
                            <w:r w:rsidR="0092758C" w:rsidRPr="0092758C">
                              <w:rPr>
                                <w:sz w:val="32"/>
                              </w:rPr>
                              <w:t>Maternal Smoking at delivery</w:t>
                            </w:r>
                          </w:p>
                          <w:p w14:paraId="348A4225" w14:textId="77777777" w:rsidR="00D6313C" w:rsidRPr="0092758C" w:rsidRDefault="00D6313C" w:rsidP="00D6313C">
                            <w:pPr>
                              <w:spacing w:line="360" w:lineRule="auto"/>
                              <w:textboxTightWrap w:val="allLines"/>
                              <w:rPr>
                                <w:b/>
                                <w:sz w:val="28"/>
                              </w:rPr>
                            </w:pPr>
                            <w:r w:rsidRPr="0092758C">
                              <w:rPr>
                                <w:b/>
                                <w:sz w:val="28"/>
                              </w:rPr>
                              <w:t xml:space="preserve">Set or domain: </w:t>
                            </w:r>
                            <w:r w:rsidRPr="0092758C">
                              <w:rPr>
                                <w:sz w:val="28"/>
                              </w:rPr>
                              <w:t>CCG OIS 1.14</w:t>
                            </w:r>
                          </w:p>
                          <w:p w14:paraId="371860EE" w14:textId="77777777" w:rsidR="00D6313C" w:rsidRPr="0092758C" w:rsidRDefault="00D6313C" w:rsidP="00D6313C">
                            <w:pPr>
                              <w:spacing w:line="360" w:lineRule="auto"/>
                              <w:textboxTightWrap w:val="allLines"/>
                              <w:rPr>
                                <w:b/>
                                <w:sz w:val="28"/>
                              </w:rPr>
                            </w:pPr>
                            <w:r w:rsidRPr="0092758C">
                              <w:rPr>
                                <w:b/>
                                <w:sz w:val="28"/>
                              </w:rPr>
                              <w:t xml:space="preserve">IAS Reference Code: </w:t>
                            </w:r>
                            <w:r w:rsidRPr="0092758C">
                              <w:rPr>
                                <w:sz w:val="28"/>
                              </w:rPr>
                              <w:t>IAP00145</w:t>
                            </w:r>
                          </w:p>
                          <w:p w14:paraId="3D4B5BFC" w14:textId="77777777" w:rsidR="00D6313C" w:rsidRPr="0092758C" w:rsidRDefault="00D6313C" w:rsidP="00D6313C">
                            <w:pPr>
                              <w:textboxTightWrap w:val="allLines"/>
                            </w:pPr>
                          </w:p>
                          <w:p w14:paraId="0F149E01" w14:textId="77777777" w:rsidR="00D6313C" w:rsidRPr="0092758C" w:rsidRDefault="00D6313C" w:rsidP="00D6313C">
                            <w:pPr>
                              <w:textboxTightWrap w:val="allLines"/>
                            </w:pPr>
                          </w:p>
                          <w:p w14:paraId="24FE3C78" w14:textId="77777777" w:rsidR="00D6313C" w:rsidRPr="0092758C" w:rsidRDefault="00D6313C" w:rsidP="00D6313C">
                            <w:pPr>
                              <w:textboxTightWrap w:val="allLines"/>
                            </w:pPr>
                          </w:p>
                          <w:p w14:paraId="48629299" w14:textId="77777777" w:rsidR="00D6313C" w:rsidRPr="0092758C" w:rsidRDefault="00D6313C" w:rsidP="00D6313C">
                            <w:pPr>
                              <w:textboxTightWrap w:val="allLines"/>
                            </w:pPr>
                          </w:p>
                          <w:p w14:paraId="089ECA9B" w14:textId="77777777" w:rsidR="00D6313C" w:rsidRPr="0092758C" w:rsidRDefault="00D6313C" w:rsidP="00D6313C">
                            <w:pPr>
                              <w:textboxTightWrap w:val="allLines"/>
                            </w:pPr>
                          </w:p>
                          <w:p w14:paraId="4ECF59AD" w14:textId="77777777" w:rsidR="00D6313C" w:rsidRPr="0092758C" w:rsidRDefault="00D6313C" w:rsidP="00D6313C">
                            <w:pPr>
                              <w:textboxTightWrap w:val="allLines"/>
                            </w:pPr>
                          </w:p>
                          <w:p w14:paraId="03B012A0" w14:textId="77777777" w:rsidR="00D6313C" w:rsidRPr="0092758C" w:rsidRDefault="00D6313C" w:rsidP="00D6313C">
                            <w:pPr>
                              <w:textboxTightWrap w:val="allLines"/>
                            </w:pPr>
                          </w:p>
                          <w:p w14:paraId="14C73043" w14:textId="77777777" w:rsidR="00D6313C" w:rsidRPr="0092758C" w:rsidRDefault="00D63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3C6C62C" id="_x0000_t202" coordsize="21600,21600" o:spt="202" path="m,l,21600r21600,l21600,xe">
                <v:stroke joinstyle="miter"/>
                <v:path gradientshapeok="t" o:connecttype="rect"/>
              </v:shapetype>
              <v:shape id="Text Box 2" o:spid="_x0000_s1026" type="#_x0000_t202" style="width:501.7pt;height:5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" filled="f" stroked="f" strokeweight=".5pt">
                <v:textbox>
                  <w:txbxContent>
                    <w:p w14:paraId="365026C9" w14:textId="77777777" w:rsidR="00D6313C" w:rsidRPr="0092758C" w:rsidRDefault="00D6313C" w:rsidP="00D6313C">
                      <w:pPr>
                        <w:pStyle w:val="FrontpageTitle"/>
                        <w:rPr>
                          <w:color w:val="auto"/>
                        </w:rPr>
                      </w:pPr>
                      <w:r w:rsidRPr="0092758C">
                        <w:rPr>
                          <w:color w:val="auto"/>
                        </w:rPr>
                        <w:t>Application Form</w:t>
                      </w:r>
                    </w:p>
                    <w:p w14:paraId="3BECCDFA" w14:textId="77777777" w:rsidR="00D6313C" w:rsidRPr="0092758C" w:rsidRDefault="00D6313C" w:rsidP="00D6313C"/>
                    <w:p w14:paraId="06A6CB50" w14:textId="77777777" w:rsidR="00D6313C" w:rsidRPr="0092758C" w:rsidRDefault="00D6313C" w:rsidP="00D6313C">
                      <w:pPr>
                        <w:pStyle w:val="Frontpagesubhead"/>
                        <w:rPr>
                          <w:color w:val="auto"/>
                        </w:rPr>
                      </w:pPr>
                      <w:r w:rsidRPr="0092758C">
                        <w:rPr>
                          <w:color w:val="auto"/>
                        </w:rPr>
                        <w:t>Indicator Assurance Service</w:t>
                      </w:r>
                    </w:p>
                    <w:p w14:paraId="47D26739" w14:textId="77777777" w:rsidR="00D6313C" w:rsidRPr="0092758C" w:rsidRDefault="00D6313C" w:rsidP="00D6313C">
                      <w:pPr>
                        <w:textboxTightWrap w:val="allLines"/>
                      </w:pPr>
                    </w:p>
                    <w:p w14:paraId="6DCEC128" w14:textId="77777777" w:rsidR="00D6313C" w:rsidRPr="0092758C" w:rsidRDefault="00D6313C" w:rsidP="00D6313C">
                      <w:pPr>
                        <w:textboxTightWrap w:val="allLines"/>
                      </w:pPr>
                    </w:p>
                    <w:p w14:paraId="2FD5185D" w14:textId="77777777" w:rsidR="00D6313C" w:rsidRPr="0092758C" w:rsidRDefault="00D6313C" w:rsidP="00D6313C">
                      <w:pPr>
                        <w:textboxTightWrap w:val="allLines"/>
                      </w:pPr>
                    </w:p>
                    <w:p w14:paraId="1D1472F1" w14:textId="375C94D0" w:rsidR="00D6313C" w:rsidRPr="0092758C" w:rsidRDefault="00D6313C" w:rsidP="00D6313C">
                      <w:pPr>
                        <w:spacing w:line="360" w:lineRule="auto"/>
                        <w:textboxTightWrap w:val="allLines"/>
                        <w:rPr>
                          <w:b/>
                          <w:sz w:val="36"/>
                        </w:rPr>
                      </w:pPr>
                      <w:r w:rsidRPr="0092758C">
                        <w:rPr>
                          <w:b/>
                          <w:sz w:val="36"/>
                        </w:rPr>
                        <w:t xml:space="preserve">Title: </w:t>
                      </w:r>
                      <w:r w:rsidR="0092758C" w:rsidRPr="0092758C">
                        <w:rPr>
                          <w:sz w:val="32"/>
                        </w:rPr>
                        <w:t>Maternal Smoking at delivery</w:t>
                      </w:r>
                    </w:p>
                    <w:p w14:paraId="348A4225" w14:textId="77777777" w:rsidR="00D6313C" w:rsidRPr="0092758C" w:rsidRDefault="00D6313C" w:rsidP="00D6313C">
                      <w:pPr>
                        <w:spacing w:line="360" w:lineRule="auto"/>
                        <w:textboxTightWrap w:val="allLines"/>
                        <w:rPr>
                          <w:b/>
                          <w:sz w:val="28"/>
                        </w:rPr>
                      </w:pPr>
                      <w:r w:rsidRPr="0092758C">
                        <w:rPr>
                          <w:b/>
                          <w:sz w:val="28"/>
                        </w:rPr>
                        <w:t xml:space="preserve">Set or domain: </w:t>
                      </w:r>
                      <w:r w:rsidRPr="0092758C">
                        <w:rPr>
                          <w:sz w:val="28"/>
                        </w:rPr>
                        <w:t>CCG OIS 1.14</w:t>
                      </w:r>
                    </w:p>
                    <w:p w14:paraId="371860EE" w14:textId="77777777" w:rsidR="00D6313C" w:rsidRPr="0092758C" w:rsidRDefault="00D6313C" w:rsidP="00D6313C">
                      <w:pPr>
                        <w:spacing w:line="360" w:lineRule="auto"/>
                        <w:textboxTightWrap w:val="allLines"/>
                        <w:rPr>
                          <w:b/>
                          <w:sz w:val="28"/>
                        </w:rPr>
                      </w:pPr>
                      <w:r w:rsidRPr="0092758C">
                        <w:rPr>
                          <w:b/>
                          <w:sz w:val="28"/>
                        </w:rPr>
                        <w:t xml:space="preserve">IAS Reference Code: </w:t>
                      </w:r>
                      <w:r w:rsidRPr="0092758C">
                        <w:rPr>
                          <w:sz w:val="28"/>
                        </w:rPr>
                        <w:t>IAP00145</w:t>
                      </w:r>
                    </w:p>
                    <w:p w14:paraId="3D4B5BFC" w14:textId="77777777" w:rsidR="00D6313C" w:rsidRPr="0092758C" w:rsidRDefault="00D6313C" w:rsidP="00D6313C">
                      <w:pPr>
                        <w:textboxTightWrap w:val="allLines"/>
                      </w:pPr>
                    </w:p>
                    <w:p w14:paraId="0F149E01" w14:textId="77777777" w:rsidR="00D6313C" w:rsidRPr="0092758C" w:rsidRDefault="00D6313C" w:rsidP="00D6313C">
                      <w:pPr>
                        <w:textboxTightWrap w:val="allLines"/>
                      </w:pPr>
                    </w:p>
                    <w:p w14:paraId="24FE3C78" w14:textId="77777777" w:rsidR="00D6313C" w:rsidRPr="0092758C" w:rsidRDefault="00D6313C" w:rsidP="00D6313C">
                      <w:pPr>
                        <w:textboxTightWrap w:val="allLines"/>
                      </w:pPr>
                    </w:p>
                    <w:p w14:paraId="48629299" w14:textId="77777777" w:rsidR="00D6313C" w:rsidRPr="0092758C" w:rsidRDefault="00D6313C" w:rsidP="00D6313C">
                      <w:pPr>
                        <w:textboxTightWrap w:val="allLines"/>
                      </w:pPr>
                    </w:p>
                    <w:p w14:paraId="089ECA9B" w14:textId="77777777" w:rsidR="00D6313C" w:rsidRPr="0092758C" w:rsidRDefault="00D6313C" w:rsidP="00D6313C">
                      <w:pPr>
                        <w:textboxTightWrap w:val="allLines"/>
                      </w:pPr>
                    </w:p>
                    <w:p w14:paraId="4ECF59AD" w14:textId="77777777" w:rsidR="00D6313C" w:rsidRPr="0092758C" w:rsidRDefault="00D6313C" w:rsidP="00D6313C">
                      <w:pPr>
                        <w:textboxTightWrap w:val="allLines"/>
                      </w:pPr>
                    </w:p>
                    <w:p w14:paraId="03B012A0" w14:textId="77777777" w:rsidR="00D6313C" w:rsidRPr="0092758C" w:rsidRDefault="00D6313C" w:rsidP="00D6313C">
                      <w:pPr>
                        <w:textboxTightWrap w:val="allLines"/>
                      </w:pPr>
                    </w:p>
                    <w:p w14:paraId="14C73043" w14:textId="77777777" w:rsidR="00D6313C" w:rsidRPr="0092758C" w:rsidRDefault="00D6313C"/>
                  </w:txbxContent>
                </v:textbox>
                <w10:anchorlock/>
              </v:shape>
            </w:pict>
          </mc:Fallback>
        </mc:AlternateContent>
      </w:r>
    </w:p>
    <w:p w14:paraId="1425F540" w14:textId="77777777" w:rsidR="008B5CC1" w:rsidRPr="00D6313C" w:rsidRDefault="008B5CC1" w:rsidP="00D6313C">
      <w:pPr>
        <w:pStyle w:val="Frontpagesubhead"/>
        <w:rPr>
          <w:rFonts w:cs="Arial"/>
          <w:color w:val="auto"/>
        </w:rPr>
        <w:sectPr w:rsidR="008B5CC1" w:rsidRPr="00D6313C" w:rsidSect="008B5CC1">
          <w:pgSz w:w="11906" w:h="16838"/>
          <w:pgMar w:top="1440" w:right="851" w:bottom="1440" w:left="851" w:header="709" w:footer="709" w:gutter="0"/>
          <w:cols w:space="708"/>
          <w:docGrid w:linePitch="360"/>
        </w:sectPr>
      </w:pPr>
    </w:p>
    <w:p w14:paraId="0F3E4343" w14:textId="27A26A2B" w:rsidR="008B5CC1" w:rsidRDefault="008B5CC1" w:rsidP="00D6313C">
      <w:pPr>
        <w:pStyle w:val="Heading1"/>
        <w:rPr>
          <w:rFonts w:eastAsia="MS Mincho"/>
          <w:color w:val="auto"/>
        </w:rPr>
      </w:pPr>
      <w:r w:rsidRPr="00D6313C">
        <w:rPr>
          <w:rFonts w:eastAsia="MS Mincho"/>
          <w:color w:val="auto"/>
        </w:rPr>
        <w:lastRenderedPageBreak/>
        <w:t>Application Form</w:t>
      </w:r>
    </w:p>
    <w:p w14:paraId="1CCFBD6E" w14:textId="4D2CA360" w:rsidR="00D6313C" w:rsidRPr="00D6313C" w:rsidRDefault="00D6313C" w:rsidP="00D6313C">
      <w:r>
        <w:t>Section 1. Introduction / Overview</w:t>
      </w:r>
    </w:p>
    <w:tbl>
      <w:tblPr>
        <w:tblStyle w:val="TableGrid1"/>
        <w:tblW w:w="0" w:type="auto"/>
        <w:tblLook w:val="04A0" w:firstRow="1" w:lastRow="0" w:firstColumn="1" w:lastColumn="0" w:noHBand="0" w:noVBand="1"/>
      </w:tblPr>
      <w:tblGrid>
        <w:gridCol w:w="1618"/>
        <w:gridCol w:w="8354"/>
      </w:tblGrid>
      <w:tr w:rsidR="0092758C" w:rsidRPr="00D6313C" w14:paraId="01EE7BC7" w14:textId="77777777" w:rsidTr="00D6313C">
        <w:tc>
          <w:tcPr>
            <w:tcW w:w="1618" w:type="dxa"/>
          </w:tcPr>
          <w:p w14:paraId="79E8E6DA" w14:textId="6E22C593" w:rsidR="0092758C" w:rsidRPr="00D6313C" w:rsidRDefault="0092758C" w:rsidP="00D6313C">
            <w:pPr>
              <w:spacing w:before="240"/>
              <w:rPr>
                <w:b/>
              </w:rPr>
            </w:pPr>
            <w:r>
              <w:rPr>
                <w:b/>
              </w:rPr>
              <w:t xml:space="preserve">1.1 </w:t>
            </w:r>
            <w:r w:rsidRPr="00D6313C">
              <w:rPr>
                <w:b/>
              </w:rPr>
              <w:t>Title</w:t>
            </w:r>
          </w:p>
        </w:tc>
        <w:tc>
          <w:tcPr>
            <w:tcW w:w="8354" w:type="dxa"/>
          </w:tcPr>
          <w:p w14:paraId="76ED1FEB" w14:textId="77777777" w:rsidR="0092758C" w:rsidRPr="00D6313C" w:rsidRDefault="0092758C" w:rsidP="00D6313C">
            <w:pPr>
              <w:spacing w:before="240"/>
            </w:pPr>
            <w:r w:rsidRPr="00D6313C">
              <w:t>Maternal smoking at delivery</w:t>
            </w:r>
          </w:p>
        </w:tc>
      </w:tr>
      <w:tr w:rsidR="0092758C" w:rsidRPr="00D6313C" w14:paraId="7C03C41C" w14:textId="77777777" w:rsidTr="00D6313C">
        <w:tc>
          <w:tcPr>
            <w:tcW w:w="1618" w:type="dxa"/>
          </w:tcPr>
          <w:p w14:paraId="21A7CF6B" w14:textId="1B1677A3" w:rsidR="0092758C" w:rsidRPr="00D6313C" w:rsidRDefault="0092758C" w:rsidP="00D6313C">
            <w:pPr>
              <w:spacing w:before="240"/>
              <w:rPr>
                <w:b/>
              </w:rPr>
            </w:pPr>
            <w:r>
              <w:rPr>
                <w:b/>
              </w:rPr>
              <w:t xml:space="preserve">1.2 </w:t>
            </w:r>
            <w:r w:rsidRPr="00D6313C">
              <w:rPr>
                <w:b/>
              </w:rPr>
              <w:t>Set or domain</w:t>
            </w:r>
          </w:p>
        </w:tc>
        <w:tc>
          <w:tcPr>
            <w:tcW w:w="8354" w:type="dxa"/>
          </w:tcPr>
          <w:p w14:paraId="3DCCFC9C" w14:textId="77777777" w:rsidR="0092758C" w:rsidRPr="00D6313C" w:rsidRDefault="0092758C" w:rsidP="00D6313C">
            <w:pPr>
              <w:spacing w:before="240"/>
            </w:pPr>
            <w:r w:rsidRPr="00D6313C">
              <w:t>CCG Outcomes Indicator Set (OIS) 1.14</w:t>
            </w:r>
          </w:p>
        </w:tc>
      </w:tr>
      <w:tr w:rsidR="0092758C" w:rsidRPr="00D6313C" w14:paraId="4699FC9F" w14:textId="77777777" w:rsidTr="00D6313C">
        <w:tc>
          <w:tcPr>
            <w:tcW w:w="1618" w:type="dxa"/>
          </w:tcPr>
          <w:p w14:paraId="6049E460" w14:textId="423B1FE2" w:rsidR="0092758C" w:rsidRPr="00D6313C" w:rsidRDefault="0092758C" w:rsidP="00D6313C">
            <w:pPr>
              <w:spacing w:before="240"/>
              <w:rPr>
                <w:b/>
              </w:rPr>
            </w:pPr>
            <w:r>
              <w:rPr>
                <w:b/>
              </w:rPr>
              <w:t xml:space="preserve">1.3 </w:t>
            </w:r>
            <w:r w:rsidRPr="00D6313C">
              <w:rPr>
                <w:b/>
              </w:rPr>
              <w:t>Topic area</w:t>
            </w:r>
          </w:p>
        </w:tc>
        <w:tc>
          <w:tcPr>
            <w:tcW w:w="8354" w:type="dxa"/>
          </w:tcPr>
          <w:p w14:paraId="0DCB2D6A" w14:textId="77777777" w:rsidR="0092758C" w:rsidRPr="00D6313C" w:rsidRDefault="0092758C" w:rsidP="00D6313C">
            <w:pPr>
              <w:spacing w:before="240"/>
            </w:pPr>
            <w:r w:rsidRPr="00D6313C">
              <w:t>Maternity</w:t>
            </w:r>
          </w:p>
        </w:tc>
      </w:tr>
      <w:tr w:rsidR="0092758C" w:rsidRPr="00D6313C" w14:paraId="2226101E" w14:textId="77777777" w:rsidTr="00D6313C">
        <w:tc>
          <w:tcPr>
            <w:tcW w:w="1618" w:type="dxa"/>
          </w:tcPr>
          <w:p w14:paraId="0A3484D6" w14:textId="3DF4B670" w:rsidR="0092758C" w:rsidRPr="00D6313C" w:rsidRDefault="0092758C" w:rsidP="00D6313C">
            <w:pPr>
              <w:spacing w:before="240"/>
              <w:rPr>
                <w:b/>
              </w:rPr>
            </w:pPr>
            <w:r>
              <w:rPr>
                <w:b/>
              </w:rPr>
              <w:t xml:space="preserve">1.4 </w:t>
            </w:r>
            <w:r w:rsidRPr="00D6313C">
              <w:rPr>
                <w:b/>
              </w:rPr>
              <w:t>Definition</w:t>
            </w:r>
          </w:p>
        </w:tc>
        <w:tc>
          <w:tcPr>
            <w:tcW w:w="8354" w:type="dxa"/>
          </w:tcPr>
          <w:p w14:paraId="1BD8CB6E" w14:textId="77777777" w:rsidR="0092758C" w:rsidRPr="00D6313C" w:rsidRDefault="0092758C" w:rsidP="00D6313C">
            <w:pPr>
              <w:spacing w:before="240"/>
            </w:pPr>
            <w:r w:rsidRPr="00D6313C">
              <w:t>Rate of smoking at time of delivery per 100 maternities</w:t>
            </w:r>
          </w:p>
          <w:p w14:paraId="6700EB96" w14:textId="77777777" w:rsidR="0092758C" w:rsidRPr="00D6313C" w:rsidRDefault="0092758C" w:rsidP="00D6313C">
            <w:pPr>
              <w:spacing w:before="240"/>
            </w:pPr>
            <w:r w:rsidRPr="00D6313C">
              <w:t>The indicator was recommended by MRG on 26th October 2012 and assured by IGB on 14th February 2013. It was published for the first time in March 2014, using data from Quarters 1 and 2, 2013/14 for each CCG in England.</w:t>
            </w:r>
          </w:p>
          <w:p w14:paraId="295AD547" w14:textId="77777777" w:rsidR="0092758C" w:rsidRPr="00D6313C" w:rsidRDefault="0092758C" w:rsidP="00D6313C">
            <w:pPr>
              <w:spacing w:before="240"/>
            </w:pPr>
            <w:r w:rsidRPr="00D6313C">
              <w:t>This application form is in respect of a definition review as the denominator currently includes those with unknown smoking status which regards them as non-smokers.</w:t>
            </w:r>
          </w:p>
          <w:p w14:paraId="1CB4BAF8" w14:textId="77777777" w:rsidR="0092758C" w:rsidRPr="00D6313C" w:rsidRDefault="0092758C" w:rsidP="00D6313C">
            <w:pPr>
              <w:spacing w:before="240"/>
            </w:pPr>
            <w:r w:rsidRPr="00D6313C">
              <w:t>The proposal is to exclude deliveries where smoking status is unknown from the denominator.</w:t>
            </w:r>
          </w:p>
          <w:p w14:paraId="5C757C15" w14:textId="77777777" w:rsidR="0092758C" w:rsidRPr="00D6313C" w:rsidRDefault="0092758C" w:rsidP="00D6313C">
            <w:pPr>
              <w:spacing w:before="240"/>
            </w:pPr>
            <w:r w:rsidRPr="00D6313C">
              <w:t>This will bring the definition into line with changes planned for the equivalent indicator in the Public Health Outcomes Framework (PHOF) from April 2017.</w:t>
            </w:r>
          </w:p>
        </w:tc>
      </w:tr>
      <w:tr w:rsidR="0092758C" w:rsidRPr="00D6313C" w14:paraId="3754E74C" w14:textId="77777777" w:rsidTr="00D6313C">
        <w:tc>
          <w:tcPr>
            <w:tcW w:w="1618" w:type="dxa"/>
          </w:tcPr>
          <w:p w14:paraId="57C0CB50" w14:textId="2BFD4FEF" w:rsidR="0092758C" w:rsidRPr="00D6313C" w:rsidRDefault="0092758C" w:rsidP="00D6313C">
            <w:pPr>
              <w:spacing w:before="240"/>
              <w:rPr>
                <w:b/>
              </w:rPr>
            </w:pPr>
            <w:r>
              <w:rPr>
                <w:b/>
              </w:rPr>
              <w:t xml:space="preserve">1.5 </w:t>
            </w:r>
            <w:r w:rsidRPr="00D6313C">
              <w:rPr>
                <w:b/>
              </w:rPr>
              <w:t>Indicator owner &amp; contact details</w:t>
            </w:r>
          </w:p>
        </w:tc>
        <w:tc>
          <w:tcPr>
            <w:tcW w:w="8354" w:type="dxa"/>
          </w:tcPr>
          <w:p w14:paraId="1A44A185" w14:textId="77777777" w:rsidR="0092758C" w:rsidRPr="00D6313C" w:rsidRDefault="0092758C" w:rsidP="00D6313C">
            <w:pPr>
              <w:spacing w:before="240"/>
            </w:pPr>
            <w:r w:rsidRPr="00D6313C">
              <w:t>Matt Whitston, Principal Information Analyst, HSCIC</w:t>
            </w:r>
          </w:p>
          <w:p w14:paraId="55F51C8B" w14:textId="77777777" w:rsidR="0092758C" w:rsidRPr="00D6313C" w:rsidRDefault="0092758C" w:rsidP="00D6313C">
            <w:pPr>
              <w:spacing w:before="240"/>
            </w:pPr>
            <w:r w:rsidRPr="00D6313C">
              <w:t>clinical.indicators@hscic.gov.uk</w:t>
            </w:r>
          </w:p>
        </w:tc>
      </w:tr>
      <w:tr w:rsidR="0092758C" w:rsidRPr="00D6313C" w14:paraId="70E4B3BE" w14:textId="77777777" w:rsidTr="00D6313C">
        <w:tc>
          <w:tcPr>
            <w:tcW w:w="1618" w:type="dxa"/>
          </w:tcPr>
          <w:p w14:paraId="0665077C" w14:textId="4967011E" w:rsidR="0092758C" w:rsidRPr="00D6313C" w:rsidRDefault="0092758C" w:rsidP="00D6313C">
            <w:pPr>
              <w:spacing w:before="240"/>
              <w:rPr>
                <w:b/>
              </w:rPr>
            </w:pPr>
            <w:r>
              <w:rPr>
                <w:b/>
              </w:rPr>
              <w:t xml:space="preserve">1.6 </w:t>
            </w:r>
            <w:r w:rsidRPr="00D6313C">
              <w:rPr>
                <w:b/>
              </w:rPr>
              <w:t>Publication status</w:t>
            </w:r>
          </w:p>
        </w:tc>
        <w:sdt>
          <w:sdtPr>
            <w:alias w:val="Publication status"/>
            <w:tag w:val="Publication status"/>
            <w:id w:val="-694159432"/>
            <w:placeholder>
              <w:docPart w:val="E626BF65786F40D09694B7592B8B95F3"/>
            </w:placeholder>
            <w:comboBox>
              <w:listItem w:value="Choose an item."/>
              <w:listItem w:displayText="Currently in publication" w:value="Currently in publication"/>
              <w:listItem w:displayText="Not currently in publication" w:value="Not currently in publication"/>
            </w:comboBox>
          </w:sdtPr>
          <w:sdtEndPr/>
          <w:sdtContent>
            <w:tc>
              <w:tcPr>
                <w:tcW w:w="8354" w:type="dxa"/>
              </w:tcPr>
              <w:p w14:paraId="6CDCE25B" w14:textId="77777777" w:rsidR="0092758C" w:rsidRPr="00D6313C" w:rsidRDefault="0092758C" w:rsidP="00D6313C">
                <w:pPr>
                  <w:spacing w:before="240"/>
                </w:pPr>
                <w:r w:rsidRPr="00D6313C">
                  <w:t>Currently in publication</w:t>
                </w:r>
              </w:p>
            </w:tc>
          </w:sdtContent>
        </w:sdt>
      </w:tr>
    </w:tbl>
    <w:p w14:paraId="1A36909A" w14:textId="0E2EA145" w:rsidR="00D6313C" w:rsidRDefault="0092758C">
      <w:r>
        <w:t xml:space="preserve">Section 2. Rationale </w:t>
      </w:r>
    </w:p>
    <w:tbl>
      <w:tblPr>
        <w:tblStyle w:val="TableGrid1"/>
        <w:tblW w:w="0" w:type="auto"/>
        <w:tblLook w:val="04A0" w:firstRow="1" w:lastRow="0" w:firstColumn="1" w:lastColumn="0" w:noHBand="0" w:noVBand="1"/>
      </w:tblPr>
      <w:tblGrid>
        <w:gridCol w:w="1622"/>
        <w:gridCol w:w="8374"/>
      </w:tblGrid>
      <w:tr w:rsidR="0092758C" w:rsidRPr="00D6313C" w14:paraId="1B3ADA94" w14:textId="77777777" w:rsidTr="00D6313C">
        <w:tc>
          <w:tcPr>
            <w:tcW w:w="1618" w:type="dxa"/>
          </w:tcPr>
          <w:p w14:paraId="0994596E" w14:textId="1D1702F8" w:rsidR="0092758C" w:rsidRPr="00D6313C" w:rsidRDefault="0092758C" w:rsidP="00D6313C">
            <w:pPr>
              <w:spacing w:before="240"/>
              <w:rPr>
                <w:b/>
              </w:rPr>
            </w:pPr>
            <w:r>
              <w:rPr>
                <w:b/>
              </w:rPr>
              <w:t xml:space="preserve">2.1 </w:t>
            </w:r>
            <w:r w:rsidRPr="00D6313C">
              <w:rPr>
                <w:b/>
              </w:rPr>
              <w:t>Purpose</w:t>
            </w:r>
          </w:p>
        </w:tc>
        <w:tc>
          <w:tcPr>
            <w:tcW w:w="8354" w:type="dxa"/>
          </w:tcPr>
          <w:p w14:paraId="1B377F1F" w14:textId="77777777" w:rsidR="0092758C" w:rsidRPr="00D6313C" w:rsidRDefault="0092758C" w:rsidP="00D6313C">
            <w:pPr>
              <w:spacing w:before="240"/>
            </w:pPr>
            <w:r w:rsidRPr="00D6313C">
              <w:t xml:space="preserve">This indicator aims to provide a measure of the prevalence of smoking among pregnant women at Clinical Commissioning Group (CCG) level. </w:t>
            </w:r>
          </w:p>
          <w:p w14:paraId="3B14778B" w14:textId="77777777" w:rsidR="0092758C" w:rsidRPr="00D6313C" w:rsidRDefault="0092758C" w:rsidP="00D6313C">
            <w:pPr>
              <w:spacing w:before="240"/>
            </w:pPr>
            <w:r w:rsidRPr="00D6313C">
              <w:t xml:space="preserve">Smoking during pregnancy can cause a range of serious health problems, including placental complications and perinatal mortality and an increased risk of miscarriage, stillbirth, low birth weight, premature birth. Smoking remains the main modifiable risk factor in pregnancy. Babies from deprived backgrounds are more likely to be born to mothers who smoke and to have much greater exposure to second-hand smoke in childhood. </w:t>
            </w:r>
          </w:p>
        </w:tc>
      </w:tr>
      <w:tr w:rsidR="0092758C" w:rsidRPr="00D6313C" w14:paraId="0C613D57" w14:textId="77777777" w:rsidTr="00D6313C">
        <w:tc>
          <w:tcPr>
            <w:tcW w:w="1618" w:type="dxa"/>
          </w:tcPr>
          <w:p w14:paraId="1E54C2F0" w14:textId="1F56EAC3" w:rsidR="0092758C" w:rsidRPr="00D6313C" w:rsidRDefault="0092758C" w:rsidP="00D6313C">
            <w:pPr>
              <w:spacing w:before="240"/>
              <w:rPr>
                <w:b/>
              </w:rPr>
            </w:pPr>
            <w:r>
              <w:rPr>
                <w:b/>
              </w:rPr>
              <w:t xml:space="preserve">2.2 </w:t>
            </w:r>
            <w:r w:rsidRPr="00D6313C">
              <w:rPr>
                <w:b/>
              </w:rPr>
              <w:t>Sponsor</w:t>
            </w:r>
          </w:p>
        </w:tc>
        <w:tc>
          <w:tcPr>
            <w:tcW w:w="8354" w:type="dxa"/>
          </w:tcPr>
          <w:p w14:paraId="34C74256" w14:textId="77777777" w:rsidR="0092758C" w:rsidRPr="00D6313C" w:rsidRDefault="0092758C" w:rsidP="00D6313C">
            <w:pPr>
              <w:spacing w:before="240"/>
            </w:pPr>
            <w:r w:rsidRPr="00D6313C">
              <w:t>Richard Owen, Outcomes Strategy Lead, NHS Medical Directorate, NHS England</w:t>
            </w:r>
            <w:r w:rsidRPr="00D6313C" w:rsidDel="00E803CA">
              <w:t xml:space="preserve"> </w:t>
            </w:r>
          </w:p>
          <w:p w14:paraId="5B48AC37" w14:textId="77777777" w:rsidR="0092758C" w:rsidRPr="00D6313C" w:rsidRDefault="0092758C" w:rsidP="00D6313C">
            <w:pPr>
              <w:spacing w:before="240"/>
            </w:pPr>
            <w:r w:rsidRPr="00D6313C">
              <w:lastRenderedPageBreak/>
              <w:t>Emma Wilbraham, DH, Team Leader - Tobacco Control Policy</w:t>
            </w:r>
          </w:p>
          <w:p w14:paraId="0E03A50E" w14:textId="77777777" w:rsidR="0092758C" w:rsidRPr="00D6313C" w:rsidRDefault="0092758C" w:rsidP="00D6313C">
            <w:pPr>
              <w:spacing w:before="240"/>
            </w:pPr>
            <w:r w:rsidRPr="00D6313C">
              <w:t>Jo Locker, PHE, Tobacco Control Manager</w:t>
            </w:r>
          </w:p>
          <w:p w14:paraId="3CDFD337" w14:textId="77777777" w:rsidR="0092758C" w:rsidRPr="00D6313C" w:rsidRDefault="0092758C" w:rsidP="00D6313C">
            <w:pPr>
              <w:spacing w:before="240"/>
            </w:pPr>
            <w:r w:rsidRPr="00D6313C">
              <w:t>Clare Griffiths, PHE, Deputy Head of Indicators and Risk Factors Intelligence</w:t>
            </w:r>
          </w:p>
          <w:p w14:paraId="71B6C99B" w14:textId="77777777" w:rsidR="0092758C" w:rsidRPr="00D6313C" w:rsidRDefault="0092758C" w:rsidP="00D6313C">
            <w:pPr>
              <w:spacing w:before="240"/>
            </w:pPr>
          </w:p>
        </w:tc>
      </w:tr>
      <w:tr w:rsidR="0092758C" w:rsidRPr="00D6313C" w14:paraId="676E6D5F" w14:textId="77777777" w:rsidTr="00D6313C">
        <w:tc>
          <w:tcPr>
            <w:tcW w:w="1618" w:type="dxa"/>
          </w:tcPr>
          <w:p w14:paraId="4DDBE2A4" w14:textId="1BCF8B26" w:rsidR="0092758C" w:rsidRPr="00D6313C" w:rsidRDefault="0092758C" w:rsidP="00D6313C">
            <w:pPr>
              <w:spacing w:before="240"/>
              <w:rPr>
                <w:b/>
              </w:rPr>
            </w:pPr>
            <w:r>
              <w:rPr>
                <w:b/>
              </w:rPr>
              <w:lastRenderedPageBreak/>
              <w:t xml:space="preserve">2.3 </w:t>
            </w:r>
            <w:r w:rsidRPr="00D6313C">
              <w:rPr>
                <w:b/>
              </w:rPr>
              <w:t>Endorsement</w:t>
            </w:r>
          </w:p>
        </w:tc>
        <w:tc>
          <w:tcPr>
            <w:tcW w:w="8354" w:type="dxa"/>
          </w:tcPr>
          <w:p w14:paraId="07928F10" w14:textId="77777777" w:rsidR="0092758C" w:rsidRPr="00D6313C" w:rsidRDefault="0092758C" w:rsidP="00D6313C">
            <w:pPr>
              <w:spacing w:before="240"/>
            </w:pPr>
            <w:r w:rsidRPr="00D6313C">
              <w:t xml:space="preserve">This change to definition is supported by HSCIC, DH and PHE.  </w:t>
            </w:r>
          </w:p>
          <w:p w14:paraId="1C87185B" w14:textId="77777777" w:rsidR="0092758C" w:rsidRPr="00D6313C" w:rsidRDefault="0092758C" w:rsidP="00D6313C">
            <w:pPr>
              <w:spacing w:before="240"/>
            </w:pPr>
            <w:r w:rsidRPr="00D6313C">
              <w:t xml:space="preserve">The change was also consulted on publicly as part of the PHOF consultation. See </w:t>
            </w:r>
            <w:hyperlink r:id="rId9" w:history="1">
              <w:r w:rsidRPr="00D6313C">
                <w:rPr>
                  <w:rStyle w:val="Hyperlink"/>
                  <w:color w:val="auto"/>
                </w:rPr>
                <w:t>https://www.gov.uk/government/consultations/reviewing-the-indicators-in-the-public-health-outcome-framework</w:t>
              </w:r>
            </w:hyperlink>
          </w:p>
          <w:p w14:paraId="05BE0FBD" w14:textId="77777777" w:rsidR="0092758C" w:rsidRPr="00D6313C" w:rsidRDefault="0092758C" w:rsidP="00D6313C">
            <w:pPr>
              <w:spacing w:before="240"/>
            </w:pPr>
          </w:p>
        </w:tc>
      </w:tr>
      <w:tr w:rsidR="0092758C" w:rsidRPr="00D6313C" w14:paraId="11790EA1" w14:textId="77777777" w:rsidTr="00D6313C">
        <w:tc>
          <w:tcPr>
            <w:tcW w:w="1618" w:type="dxa"/>
          </w:tcPr>
          <w:p w14:paraId="09EE8F86" w14:textId="525BD25F" w:rsidR="0092758C" w:rsidRPr="00D6313C" w:rsidRDefault="0092758C" w:rsidP="00D6313C">
            <w:pPr>
              <w:spacing w:before="240"/>
              <w:rPr>
                <w:b/>
              </w:rPr>
            </w:pPr>
            <w:r>
              <w:rPr>
                <w:b/>
              </w:rPr>
              <w:t xml:space="preserve">2.4 </w:t>
            </w:r>
            <w:r w:rsidRPr="00D6313C">
              <w:rPr>
                <w:b/>
              </w:rPr>
              <w:t>Evidence and Policy base</w:t>
            </w:r>
          </w:p>
          <w:p w14:paraId="2004C174" w14:textId="77777777" w:rsidR="0092758C" w:rsidRPr="00D6313C" w:rsidRDefault="0092758C" w:rsidP="00D6313C">
            <w:r w:rsidRPr="00D6313C">
              <w:t>Including related national incentives, critical business question, NICE quality standard and set or domain rationale, if appropriate</w:t>
            </w:r>
          </w:p>
        </w:tc>
        <w:tc>
          <w:tcPr>
            <w:tcW w:w="8354" w:type="dxa"/>
          </w:tcPr>
          <w:p w14:paraId="717E3456" w14:textId="77777777" w:rsidR="0092758C" w:rsidRPr="00D6313C" w:rsidRDefault="0092758C" w:rsidP="00D6313C">
            <w:pPr>
              <w:spacing w:before="240"/>
              <w:rPr>
                <w:vertAlign w:val="superscript"/>
              </w:rPr>
            </w:pPr>
            <w:r w:rsidRPr="00D6313C">
              <w:t>The National Institute for Clinical Excellence (NICE) Clinical Guideline (CG62) for antenatal care, smoking in pregnancy (guideline 1.3.101) states to “monitor smoking status and offer smoking cessation advice, encouragement and support throughout the pregnancy and beyond”.</w:t>
            </w:r>
            <w:r w:rsidRPr="00D6313C">
              <w:rPr>
                <w:vertAlign w:val="superscript"/>
              </w:rPr>
              <w:t>1</w:t>
            </w:r>
          </w:p>
          <w:p w14:paraId="11AAC619" w14:textId="77777777" w:rsidR="0092758C" w:rsidRPr="00D6313C" w:rsidRDefault="0092758C" w:rsidP="00D6313C">
            <w:pPr>
              <w:spacing w:before="240"/>
            </w:pPr>
            <w:r w:rsidRPr="00D6313C">
              <w:t>The Tobacco Control Plan contains a national ambition to reduce the rate of smoking throughout pregnancy to 11% or less by the end of 2015 (measured at time of giving birth). The inclusion of this indicator will ensure that the local tobacco control activity is appropriately focused on pregnant women, in order to try to achieve this national ambition.</w:t>
            </w:r>
            <w:r w:rsidRPr="00D6313C">
              <w:rPr>
                <w:vertAlign w:val="superscript"/>
              </w:rPr>
              <w:t>2</w:t>
            </w:r>
          </w:p>
          <w:p w14:paraId="5F7E747D" w14:textId="77777777" w:rsidR="0092758C" w:rsidRPr="00D6313C" w:rsidRDefault="0092758C" w:rsidP="00D6313C">
            <w:pPr>
              <w:spacing w:before="240"/>
            </w:pPr>
            <w:r w:rsidRPr="00D6313C">
              <w:t>This ambition was achieved during 2015/16 and a new Government tobacco control plan for England is expected later in 2016.</w:t>
            </w:r>
          </w:p>
          <w:p w14:paraId="1147BD39" w14:textId="77777777" w:rsidR="0092758C" w:rsidRPr="00D6313C" w:rsidRDefault="0092758C" w:rsidP="00D6313C">
            <w:pPr>
              <w:spacing w:before="240"/>
            </w:pPr>
            <w:r w:rsidRPr="00D6313C">
              <w:t>Smoking during pregnancy can cause serious pregnancy-related health problems. These include: complications during labour and an increased risk of miscarriage, premature birth, still birth, low birth-weight and sudden unexpected death in infancy (Royal College of Physicians 1992). Smoking during pregnancy also increases the risk of infant mortality by an estimated 40% (Department of Health 2007).</w:t>
            </w:r>
          </w:p>
          <w:p w14:paraId="0832F712" w14:textId="77777777" w:rsidR="0092758C" w:rsidRPr="00D6313C" w:rsidRDefault="0092758C" w:rsidP="00D6313C">
            <w:pPr>
              <w:spacing w:before="240"/>
            </w:pPr>
            <w:r w:rsidRPr="00D6313C">
              <w:t>Children exposed to tobacco smoke in the womb are more likely to experience wheezy illnesses in childhood. In addition, infants of parents who smoke are more likely to suffer from serious respiratory infections (such as bronchitis and pneumonia), symptoms of asthma and problems of the ear, nose and throat (including glue ear). Exposure to smoke in the womb is also associated with psychological problems in childhood such as attention and hyperactivity problems and disruptive and negative behaviour (Button et al. 2007). In addition, it has been suggested that smoking during pregnancy may have a detrimental effect on the child's educational performance (</w:t>
            </w:r>
            <w:proofErr w:type="spellStart"/>
            <w:r w:rsidRPr="00D6313C">
              <w:t>Batstra</w:t>
            </w:r>
            <w:proofErr w:type="spellEnd"/>
            <w:r w:rsidRPr="00D6313C">
              <w:t xml:space="preserve"> et al. 2003).</w:t>
            </w:r>
            <w:r w:rsidRPr="00D6313C">
              <w:rPr>
                <w:vertAlign w:val="superscript"/>
              </w:rPr>
              <w:t>3</w:t>
            </w:r>
          </w:p>
          <w:p w14:paraId="263D2C55" w14:textId="77777777" w:rsidR="0092758C" w:rsidRPr="00D6313C" w:rsidRDefault="0092758C" w:rsidP="00D6313C">
            <w:pPr>
              <w:spacing w:before="240"/>
            </w:pPr>
            <w:r w:rsidRPr="00D6313C">
              <w:t>In July 2011, the first ever comprehensive systematic review to establish which specific birth defects are associated with smoking was published</w:t>
            </w:r>
            <w:r w:rsidRPr="00D6313C">
              <w:rPr>
                <w:vertAlign w:val="superscript"/>
              </w:rPr>
              <w:t>4</w:t>
            </w:r>
            <w:r w:rsidRPr="00D6313C">
              <w:t xml:space="preserve">. It found significant positive associations with maternal smoking for many birth defects including cardiovascular/heart defects, musculoskeletal defects and limb reduction </w:t>
            </w:r>
            <w:r w:rsidRPr="00D6313C">
              <w:lastRenderedPageBreak/>
              <w:t>defects. It recommends that all defects positively associated with smoking during pregnancy should be mentioned in education materials during the antenatal period</w:t>
            </w:r>
            <w:r w:rsidRPr="00D6313C">
              <w:rPr>
                <w:vertAlign w:val="superscript"/>
              </w:rPr>
              <w:t>4</w:t>
            </w:r>
            <w:r w:rsidRPr="00D6313C">
              <w:t>.</w:t>
            </w:r>
          </w:p>
          <w:p w14:paraId="13DA749A" w14:textId="77777777" w:rsidR="0092758C" w:rsidRPr="00D6313C" w:rsidRDefault="0092758C" w:rsidP="00D6313C">
            <w:pPr>
              <w:spacing w:before="240"/>
              <w:rPr>
                <w:vertAlign w:val="superscript"/>
              </w:rPr>
            </w:pPr>
            <w:r w:rsidRPr="00D6313C">
              <w:t>Mothers’ smoking during pregnancy is associated with many adverse outcomes for children, such as intrauterine growth retardation, premature birth, low birth weight, stillbirth and infant mortality, as well as with negative consequences for subsequent health and development.</w:t>
            </w:r>
            <w:r w:rsidRPr="00D6313C">
              <w:rPr>
                <w:vertAlign w:val="superscript"/>
              </w:rPr>
              <w:t>5, 6</w:t>
            </w:r>
            <w:r w:rsidRPr="00D6313C">
              <w:t xml:space="preserve"> Mothers who are exposed to second-hand (i.e., environmental) smoke are also more likely to have babies with lower weights, putting them at risk for many health problems. Infants whose mothers smoke during pregnancy are three times more likely to die from Sudden Infant Death Syndrome than are babies whose mothers do not smoke during pregnancy.</w:t>
            </w:r>
            <w:r w:rsidRPr="00D6313C">
              <w:rPr>
                <w:vertAlign w:val="superscript"/>
              </w:rPr>
              <w:t>7</w:t>
            </w:r>
            <w:r w:rsidRPr="00D6313C">
              <w:t xml:space="preserve"> Children born to mothers who smoked while pregnant, and possibly children whose grandmothers smoked while pregnant, have a higher risk of developing childhood asthma.</w:t>
            </w:r>
            <w:r w:rsidRPr="00D6313C">
              <w:rPr>
                <w:vertAlign w:val="superscript"/>
              </w:rPr>
              <w:t>8, 9, 10</w:t>
            </w:r>
            <w:r w:rsidRPr="00D6313C">
              <w:t xml:space="preserve"> In addition, maternal smoking during pregnancy is a risk factor for early childhood obesity.</w:t>
            </w:r>
            <w:r w:rsidRPr="00D6313C">
              <w:rPr>
                <w:vertAlign w:val="superscript"/>
              </w:rPr>
              <w:t>11</w:t>
            </w:r>
          </w:p>
          <w:p w14:paraId="3EB7E281" w14:textId="77777777" w:rsidR="0092758C" w:rsidRPr="00D6313C" w:rsidRDefault="0092758C" w:rsidP="00D6313C">
            <w:pPr>
              <w:spacing w:before="240"/>
              <w:rPr>
                <w:vertAlign w:val="superscript"/>
              </w:rPr>
            </w:pPr>
            <w:r w:rsidRPr="00D6313C">
              <w:t>Smoking during pregnancy is also associated with later problem behaviours for the child. For example, smoking by the mother during pregnancy has been found to be associated with attention deficit hyperactivity disorder (ADHD)</w:t>
            </w:r>
            <w:r w:rsidRPr="00D6313C">
              <w:rPr>
                <w:vertAlign w:val="superscript"/>
              </w:rPr>
              <w:t xml:space="preserve"> 12</w:t>
            </w:r>
            <w:r w:rsidRPr="00D6313C">
              <w:t xml:space="preserve"> and conduct problems with substance abuse and criminal behaviour when children reach adulthood.</w:t>
            </w:r>
            <w:r w:rsidRPr="00D6313C">
              <w:rPr>
                <w:vertAlign w:val="superscript"/>
              </w:rPr>
              <w:t>13, 14</w:t>
            </w:r>
          </w:p>
          <w:p w14:paraId="2F794F4C" w14:textId="77777777" w:rsidR="0092758C" w:rsidRPr="00D6313C" w:rsidRDefault="0092758C" w:rsidP="00D6313C">
            <w:pPr>
              <w:spacing w:before="240"/>
              <w:rPr>
                <w:rStyle w:val="Hyperlink"/>
                <w:color w:val="auto"/>
              </w:rPr>
            </w:pPr>
            <w:r w:rsidRPr="00D6313C">
              <w:rPr>
                <w:sz w:val="18"/>
                <w:szCs w:val="18"/>
              </w:rPr>
              <w:t xml:space="preserve">1) Clinical Guideline for Antenatal Care (CG62), NICE, March 2008 </w:t>
            </w:r>
            <w:hyperlink r:id="rId10" w:anchor="lifestyle-considerations" w:history="1">
              <w:r w:rsidRPr="00D6313C">
                <w:rPr>
                  <w:rStyle w:val="Hyperlink"/>
                  <w:color w:val="auto"/>
                </w:rPr>
                <w:t>http://www.nice.org.uk/guidance/cg62/chapter/1-Guidance#lifestyle-considerations</w:t>
              </w:r>
            </w:hyperlink>
          </w:p>
          <w:p w14:paraId="5BE3E7AE" w14:textId="77777777" w:rsidR="0092758C" w:rsidRPr="00D6313C" w:rsidRDefault="0092758C" w:rsidP="00D6313C">
            <w:pPr>
              <w:spacing w:before="240"/>
              <w:rPr>
                <w:sz w:val="18"/>
                <w:szCs w:val="18"/>
              </w:rPr>
            </w:pPr>
            <w:r w:rsidRPr="00D6313C">
              <w:rPr>
                <w:sz w:val="18"/>
                <w:szCs w:val="18"/>
              </w:rPr>
              <w:t>2.Healthy Lives, Healthy People: a tobacco control plan for England. Department of Health, 2011</w:t>
            </w:r>
          </w:p>
          <w:p w14:paraId="513BEC94" w14:textId="77777777" w:rsidR="0092758C" w:rsidRPr="00D6313C" w:rsidRDefault="0092758C" w:rsidP="00D6313C">
            <w:pPr>
              <w:spacing w:before="240"/>
              <w:rPr>
                <w:sz w:val="18"/>
                <w:szCs w:val="18"/>
              </w:rPr>
            </w:pPr>
            <w:r w:rsidRPr="00D6313C">
              <w:rPr>
                <w:sz w:val="18"/>
                <w:szCs w:val="18"/>
              </w:rPr>
              <w:t>https://www.gov.uk/government/publications/the-tobacco-control-plan-for-england</w:t>
            </w:r>
          </w:p>
          <w:p w14:paraId="02EFD8F7" w14:textId="77777777" w:rsidR="0092758C" w:rsidRPr="00D6313C" w:rsidRDefault="0092758C" w:rsidP="00D6313C">
            <w:pPr>
              <w:spacing w:before="240"/>
              <w:rPr>
                <w:sz w:val="18"/>
                <w:szCs w:val="18"/>
              </w:rPr>
            </w:pPr>
            <w:r w:rsidRPr="00D6313C">
              <w:rPr>
                <w:sz w:val="18"/>
                <w:szCs w:val="18"/>
              </w:rPr>
              <w:t xml:space="preserve">3) National Guidance for quitting smoking in pregnancy and following childbirth, NICE, June 2010 </w:t>
            </w:r>
            <w:hyperlink r:id="rId11" w:history="1">
              <w:r w:rsidRPr="00D6313C">
                <w:rPr>
                  <w:rStyle w:val="Hyperlink"/>
                  <w:color w:val="auto"/>
                </w:rPr>
                <w:t>https://www.nice.org.uk/guidance/ph26/chapter/2-Public-health-need-and-practice</w:t>
              </w:r>
            </w:hyperlink>
          </w:p>
          <w:p w14:paraId="46631E1F" w14:textId="77777777" w:rsidR="0092758C" w:rsidRPr="00D6313C" w:rsidRDefault="0092758C" w:rsidP="00D6313C">
            <w:pPr>
              <w:spacing w:before="240"/>
              <w:rPr>
                <w:rStyle w:val="Hyperlink"/>
                <w:color w:val="auto"/>
              </w:rPr>
            </w:pPr>
            <w:r w:rsidRPr="00D6313C">
              <w:rPr>
                <w:sz w:val="18"/>
                <w:szCs w:val="18"/>
              </w:rPr>
              <w:t xml:space="preserve">4) Maternal smoking in pregnancy and birth defects: a systematic review based on 173 687 malformed cases and 11.7 million controls, Oxford Journals, July 2011 </w:t>
            </w:r>
            <w:hyperlink r:id="rId12" w:history="1">
              <w:r w:rsidRPr="00D6313C">
                <w:rPr>
                  <w:rStyle w:val="Hyperlink"/>
                  <w:color w:val="auto"/>
                </w:rPr>
                <w:t>http://humupd.oxfordjournals.org/content/early/2011/07/09/humupd.dmr022.abstract</w:t>
              </w:r>
            </w:hyperlink>
          </w:p>
          <w:p w14:paraId="6387736A" w14:textId="77777777" w:rsidR="0092758C" w:rsidRPr="00D6313C" w:rsidRDefault="0092758C" w:rsidP="00D6313C">
            <w:pPr>
              <w:spacing w:before="240"/>
              <w:rPr>
                <w:sz w:val="18"/>
                <w:szCs w:val="18"/>
              </w:rPr>
            </w:pPr>
            <w:r w:rsidRPr="00D6313C">
              <w:rPr>
                <w:sz w:val="18"/>
                <w:szCs w:val="18"/>
              </w:rPr>
              <w:t xml:space="preserve">5) Mathews, T. J. (2001). Smoking during pregnancy in the 1990s, National Vital Statistics Reports, </w:t>
            </w:r>
            <w:hyperlink r:id="rId13" w:history="1">
              <w:r w:rsidRPr="00D6313C">
                <w:rPr>
                  <w:rStyle w:val="Hyperlink"/>
                  <w:color w:val="auto"/>
                </w:rPr>
                <w:t>http://www.cdc.gov/nchs/data/nvsr/nvsr49/nvsr49_07.pdf</w:t>
              </w:r>
            </w:hyperlink>
          </w:p>
          <w:p w14:paraId="5E63866B" w14:textId="77777777" w:rsidR="0092758C" w:rsidRPr="00D6313C" w:rsidRDefault="0092758C" w:rsidP="00D6313C">
            <w:pPr>
              <w:spacing w:before="240"/>
              <w:rPr>
                <w:sz w:val="18"/>
                <w:szCs w:val="18"/>
              </w:rPr>
            </w:pPr>
            <w:r w:rsidRPr="00D6313C">
              <w:rPr>
                <w:sz w:val="18"/>
                <w:szCs w:val="18"/>
              </w:rPr>
              <w:t xml:space="preserve">6) The health consequences of smoking: What it means to you, U.S. Department of Health and Human Services, 2004 </w:t>
            </w:r>
            <w:hyperlink r:id="rId14" w:history="1">
              <w:r w:rsidRPr="00D6313C">
                <w:rPr>
                  <w:rStyle w:val="Hyperlink"/>
                  <w:color w:val="auto"/>
                </w:rPr>
                <w:t>http://www.cdc.gov/tobacco/data_statistics/sgr/2004/pdfs/whatitmeanstoyou.pdf</w:t>
              </w:r>
            </w:hyperlink>
          </w:p>
          <w:p w14:paraId="2B2899B4" w14:textId="77777777" w:rsidR="0092758C" w:rsidRPr="00D6313C" w:rsidRDefault="0092758C" w:rsidP="00D6313C">
            <w:pPr>
              <w:spacing w:before="240"/>
              <w:rPr>
                <w:sz w:val="18"/>
                <w:szCs w:val="18"/>
              </w:rPr>
            </w:pPr>
            <w:r w:rsidRPr="00D6313C">
              <w:rPr>
                <w:sz w:val="18"/>
                <w:szCs w:val="18"/>
              </w:rPr>
              <w:t>7)</w:t>
            </w:r>
            <w:r w:rsidRPr="00D6313C">
              <w:t xml:space="preserve"> </w:t>
            </w:r>
            <w:r w:rsidRPr="00D6313C">
              <w:rPr>
                <w:sz w:val="18"/>
                <w:szCs w:val="18"/>
              </w:rPr>
              <w:t xml:space="preserve">The health consequences of involuntary exposure to tobacco smoke: A report of the Surgeon General, U.S. Department of Health and Human Services, </w:t>
            </w:r>
            <w:proofErr w:type="spellStart"/>
            <w:r w:rsidRPr="00D6313C">
              <w:rPr>
                <w:sz w:val="18"/>
                <w:szCs w:val="18"/>
              </w:rPr>
              <w:t>Centers</w:t>
            </w:r>
            <w:proofErr w:type="spellEnd"/>
            <w:r w:rsidRPr="00D6313C">
              <w:rPr>
                <w:sz w:val="18"/>
                <w:szCs w:val="18"/>
              </w:rPr>
              <w:t xml:space="preserve"> for Disease Control and Prevention, 2006) </w:t>
            </w:r>
            <w:hyperlink r:id="rId15" w:history="1">
              <w:r w:rsidRPr="00D6313C">
                <w:rPr>
                  <w:rStyle w:val="Hyperlink"/>
                  <w:color w:val="auto"/>
                </w:rPr>
                <w:t>http://www.surgeongeneral.gov/library/reports/</w:t>
              </w:r>
            </w:hyperlink>
          </w:p>
          <w:p w14:paraId="4F9D5845" w14:textId="77777777" w:rsidR="0092758C" w:rsidRPr="00D6313C" w:rsidRDefault="0092758C" w:rsidP="00D6313C">
            <w:pPr>
              <w:spacing w:before="240"/>
              <w:rPr>
                <w:sz w:val="18"/>
                <w:szCs w:val="18"/>
              </w:rPr>
            </w:pPr>
            <w:r w:rsidRPr="00D6313C">
              <w:rPr>
                <w:sz w:val="18"/>
                <w:szCs w:val="18"/>
              </w:rPr>
              <w:t xml:space="preserve">8) </w:t>
            </w:r>
            <w:proofErr w:type="spellStart"/>
            <w:r w:rsidRPr="00D6313C">
              <w:rPr>
                <w:sz w:val="18"/>
                <w:szCs w:val="18"/>
              </w:rPr>
              <w:t>Jaakkola</w:t>
            </w:r>
            <w:proofErr w:type="spellEnd"/>
            <w:r w:rsidRPr="00D6313C">
              <w:rPr>
                <w:sz w:val="18"/>
                <w:szCs w:val="18"/>
              </w:rPr>
              <w:t xml:space="preserve">, J. J. K., &amp; </w:t>
            </w:r>
            <w:proofErr w:type="spellStart"/>
            <w:r w:rsidRPr="00D6313C">
              <w:rPr>
                <w:sz w:val="18"/>
                <w:szCs w:val="18"/>
              </w:rPr>
              <w:t>Gissler</w:t>
            </w:r>
            <w:proofErr w:type="spellEnd"/>
            <w:r w:rsidRPr="00D6313C">
              <w:rPr>
                <w:sz w:val="18"/>
                <w:szCs w:val="18"/>
              </w:rPr>
              <w:t xml:space="preserve">, M. (2004). Maternal smoking in pregnancy, </w:t>
            </w:r>
            <w:proofErr w:type="spellStart"/>
            <w:r w:rsidRPr="00D6313C">
              <w:rPr>
                <w:sz w:val="18"/>
                <w:szCs w:val="18"/>
              </w:rPr>
              <w:t>fetal</w:t>
            </w:r>
            <w:proofErr w:type="spellEnd"/>
            <w:r w:rsidRPr="00D6313C">
              <w:rPr>
                <w:sz w:val="18"/>
                <w:szCs w:val="18"/>
              </w:rPr>
              <w:t xml:space="preserve"> development, and childhood asthma. American Journal of Public Health, 94(1), 136-140</w:t>
            </w:r>
          </w:p>
          <w:p w14:paraId="62502CA6" w14:textId="77777777" w:rsidR="0092758C" w:rsidRPr="00D6313C" w:rsidRDefault="0092758C" w:rsidP="00D6313C">
            <w:pPr>
              <w:spacing w:before="240"/>
              <w:rPr>
                <w:sz w:val="18"/>
                <w:szCs w:val="18"/>
              </w:rPr>
            </w:pPr>
            <w:r w:rsidRPr="00D6313C">
              <w:rPr>
                <w:sz w:val="18"/>
                <w:szCs w:val="18"/>
              </w:rPr>
              <w:t xml:space="preserve">9) Lee, W., &amp; Galant, S. (2002). Effects of maternal smoking during pregnancy and environmental tobacco smoke on asthma and wheezing in children. Paediatrics, 110(2), 445-446 </w:t>
            </w:r>
          </w:p>
          <w:p w14:paraId="38CDD77D" w14:textId="77777777" w:rsidR="0092758C" w:rsidRPr="00D6313C" w:rsidRDefault="0092758C" w:rsidP="00D6313C">
            <w:pPr>
              <w:spacing w:before="240"/>
              <w:rPr>
                <w:sz w:val="18"/>
                <w:szCs w:val="18"/>
              </w:rPr>
            </w:pPr>
            <w:r w:rsidRPr="00D6313C">
              <w:rPr>
                <w:sz w:val="18"/>
                <w:szCs w:val="18"/>
              </w:rPr>
              <w:t xml:space="preserve">10) Li, Y. F., </w:t>
            </w:r>
            <w:proofErr w:type="spellStart"/>
            <w:r w:rsidRPr="00D6313C">
              <w:rPr>
                <w:sz w:val="18"/>
                <w:szCs w:val="18"/>
              </w:rPr>
              <w:t>Langholz</w:t>
            </w:r>
            <w:proofErr w:type="spellEnd"/>
            <w:r w:rsidRPr="00D6313C">
              <w:rPr>
                <w:sz w:val="18"/>
                <w:szCs w:val="18"/>
              </w:rPr>
              <w:t xml:space="preserve">, B., Salam, M. T., &amp; Gilliland, F. T. (2005). Maternal and grand-maternal smoking patterns are associated with early childhood asthma. Chest, 127(4), 1232-1241 </w:t>
            </w:r>
          </w:p>
          <w:p w14:paraId="4BD0A190" w14:textId="77777777" w:rsidR="0092758C" w:rsidRPr="00D6313C" w:rsidRDefault="0092758C" w:rsidP="00D6313C">
            <w:pPr>
              <w:spacing w:before="240"/>
              <w:rPr>
                <w:sz w:val="18"/>
                <w:szCs w:val="18"/>
              </w:rPr>
            </w:pPr>
            <w:r w:rsidRPr="00D6313C">
              <w:rPr>
                <w:sz w:val="18"/>
                <w:szCs w:val="18"/>
              </w:rPr>
              <w:lastRenderedPageBreak/>
              <w:t xml:space="preserve">11) </w:t>
            </w:r>
            <w:proofErr w:type="spellStart"/>
            <w:r w:rsidRPr="00D6313C">
              <w:rPr>
                <w:sz w:val="18"/>
                <w:szCs w:val="18"/>
              </w:rPr>
              <w:t>Salsberry</w:t>
            </w:r>
            <w:proofErr w:type="spellEnd"/>
            <w:r w:rsidRPr="00D6313C">
              <w:rPr>
                <w:sz w:val="18"/>
                <w:szCs w:val="18"/>
              </w:rPr>
              <w:t xml:space="preserve">, P. J., &amp; Reagan, P. B. (2005). Dynamics of early childhood overweight. </w:t>
            </w:r>
            <w:proofErr w:type="spellStart"/>
            <w:r w:rsidRPr="00D6313C">
              <w:rPr>
                <w:sz w:val="18"/>
                <w:szCs w:val="18"/>
              </w:rPr>
              <w:t>Pediatrics</w:t>
            </w:r>
            <w:proofErr w:type="spellEnd"/>
            <w:r w:rsidRPr="00D6313C">
              <w:rPr>
                <w:sz w:val="18"/>
                <w:szCs w:val="18"/>
              </w:rPr>
              <w:t xml:space="preserve">, 116(4), 1329-1338 </w:t>
            </w:r>
          </w:p>
          <w:p w14:paraId="1DD2F246" w14:textId="77777777" w:rsidR="0092758C" w:rsidRPr="00D6313C" w:rsidRDefault="0092758C" w:rsidP="00D6313C">
            <w:pPr>
              <w:spacing w:before="240"/>
              <w:rPr>
                <w:sz w:val="18"/>
                <w:szCs w:val="18"/>
              </w:rPr>
            </w:pPr>
            <w:r w:rsidRPr="00D6313C">
              <w:rPr>
                <w:sz w:val="18"/>
                <w:szCs w:val="18"/>
              </w:rPr>
              <w:t xml:space="preserve">12) Silva, D., Colvin, L., Hagemann, E., &amp; Bower, C. (2014).  Environmental risk factors by gender associated with attention-deficit hyperactivity disorder.  </w:t>
            </w:r>
            <w:proofErr w:type="spellStart"/>
            <w:r w:rsidRPr="00D6313C">
              <w:rPr>
                <w:sz w:val="18"/>
                <w:szCs w:val="18"/>
              </w:rPr>
              <w:t>Pediatrics</w:t>
            </w:r>
            <w:proofErr w:type="spellEnd"/>
            <w:r w:rsidRPr="00D6313C">
              <w:rPr>
                <w:sz w:val="18"/>
                <w:szCs w:val="18"/>
              </w:rPr>
              <w:t xml:space="preserve">, 133(1), e14-e22 </w:t>
            </w:r>
          </w:p>
          <w:p w14:paraId="40A51C8E" w14:textId="77777777" w:rsidR="0092758C" w:rsidRPr="00D6313C" w:rsidRDefault="0092758C" w:rsidP="00D6313C">
            <w:pPr>
              <w:spacing w:before="240"/>
              <w:rPr>
                <w:sz w:val="18"/>
                <w:szCs w:val="18"/>
              </w:rPr>
            </w:pPr>
            <w:r w:rsidRPr="00D6313C">
              <w:rPr>
                <w:sz w:val="18"/>
                <w:szCs w:val="18"/>
              </w:rPr>
              <w:t xml:space="preserve">13) </w:t>
            </w:r>
            <w:proofErr w:type="spellStart"/>
            <w:r w:rsidRPr="00D6313C">
              <w:rPr>
                <w:sz w:val="18"/>
                <w:szCs w:val="18"/>
              </w:rPr>
              <w:t>Gaysina</w:t>
            </w:r>
            <w:proofErr w:type="spellEnd"/>
            <w:r w:rsidRPr="00D6313C">
              <w:rPr>
                <w:sz w:val="18"/>
                <w:szCs w:val="18"/>
              </w:rPr>
              <w:t xml:space="preserve">, D., Fergusson, D. M., Leve, L. D., Horwood, J., Reiss, D., Shaw, D. S., Elam, K. K., </w:t>
            </w:r>
            <w:proofErr w:type="spellStart"/>
            <w:r w:rsidRPr="00D6313C">
              <w:rPr>
                <w:sz w:val="18"/>
                <w:szCs w:val="18"/>
              </w:rPr>
              <w:t>Natsuaki</w:t>
            </w:r>
            <w:proofErr w:type="spellEnd"/>
            <w:r w:rsidRPr="00D6313C">
              <w:rPr>
                <w:sz w:val="18"/>
                <w:szCs w:val="18"/>
              </w:rPr>
              <w:t xml:space="preserve">, M. N., </w:t>
            </w:r>
            <w:proofErr w:type="spellStart"/>
            <w:r w:rsidRPr="00D6313C">
              <w:rPr>
                <w:sz w:val="18"/>
                <w:szCs w:val="18"/>
              </w:rPr>
              <w:t>Neiderhiser</w:t>
            </w:r>
            <w:proofErr w:type="spellEnd"/>
            <w:r w:rsidRPr="00D6313C">
              <w:rPr>
                <w:sz w:val="18"/>
                <w:szCs w:val="18"/>
              </w:rPr>
              <w:t xml:space="preserve">, J. M., &amp; Harold, G. T. (2013). Maternal smoking during pregnancy and offspring conduct problems.  JAMA Psychiatry, published online July 24, 2013 </w:t>
            </w:r>
            <w:hyperlink r:id="rId16" w:history="1">
              <w:r w:rsidRPr="00D6313C">
                <w:rPr>
                  <w:rStyle w:val="Hyperlink"/>
                  <w:color w:val="auto"/>
                </w:rPr>
                <w:t>http://archpsyc.jamanetwork.com/article.aspx?articleid=1716166</w:t>
              </w:r>
            </w:hyperlink>
          </w:p>
          <w:p w14:paraId="1945451C" w14:textId="77777777" w:rsidR="0092758C" w:rsidRPr="00D6313C" w:rsidRDefault="0092758C" w:rsidP="00D6313C">
            <w:pPr>
              <w:spacing w:before="240"/>
              <w:rPr>
                <w:sz w:val="18"/>
                <w:szCs w:val="18"/>
              </w:rPr>
            </w:pPr>
            <w:r w:rsidRPr="00D6313C">
              <w:rPr>
                <w:sz w:val="18"/>
                <w:szCs w:val="18"/>
              </w:rPr>
              <w:t xml:space="preserve">14) Brennan, P. A., </w:t>
            </w:r>
            <w:proofErr w:type="spellStart"/>
            <w:r w:rsidRPr="00D6313C">
              <w:rPr>
                <w:sz w:val="18"/>
                <w:szCs w:val="18"/>
              </w:rPr>
              <w:t>Grekin</w:t>
            </w:r>
            <w:proofErr w:type="spellEnd"/>
            <w:r w:rsidRPr="00D6313C">
              <w:rPr>
                <w:sz w:val="18"/>
                <w:szCs w:val="18"/>
              </w:rPr>
              <w:t>, E. R., Mortensen, E. L., &amp; Mednick, S. A. (2002). Relationship of maternal smoking during pregnancy with criminal arrest and hospitalization for substance abuse in male and female adult offspring. American Journal of Psychiatry, 159(1), 48-54</w:t>
            </w:r>
          </w:p>
        </w:tc>
      </w:tr>
    </w:tbl>
    <w:p w14:paraId="6C32E697" w14:textId="77777777" w:rsidR="008B5CC1" w:rsidRPr="00D6313C" w:rsidRDefault="008B5CC1">
      <w:r w:rsidRPr="00D6313C">
        <w:lastRenderedPageBreak/>
        <w:br w:type="page"/>
      </w:r>
    </w:p>
    <w:p w14:paraId="2DD145E4" w14:textId="6E5F2C4C" w:rsidR="0092758C" w:rsidRDefault="0092758C">
      <w:r>
        <w:lastRenderedPageBreak/>
        <w:t>Section 3. Data</w:t>
      </w:r>
    </w:p>
    <w:tbl>
      <w:tblPr>
        <w:tblStyle w:val="TableGrid"/>
        <w:tblW w:w="9753" w:type="dxa"/>
        <w:tblLayout w:type="fixed"/>
        <w:tblLook w:val="04A0" w:firstRow="1" w:lastRow="0" w:firstColumn="1" w:lastColumn="0" w:noHBand="0" w:noVBand="1"/>
      </w:tblPr>
      <w:tblGrid>
        <w:gridCol w:w="1766"/>
        <w:gridCol w:w="7987"/>
      </w:tblGrid>
      <w:tr w:rsidR="0092758C" w:rsidRPr="00D6313C" w14:paraId="637EF1FC" w14:textId="77777777" w:rsidTr="0092758C">
        <w:tc>
          <w:tcPr>
            <w:tcW w:w="1766" w:type="dxa"/>
          </w:tcPr>
          <w:p w14:paraId="186B2082" w14:textId="0E1A86A1" w:rsidR="0092758C" w:rsidRPr="00D6313C" w:rsidRDefault="0092758C" w:rsidP="00D6313C">
            <w:pPr>
              <w:spacing w:before="240"/>
              <w:ind w:left="34"/>
              <w:rPr>
                <w:b/>
              </w:rPr>
            </w:pPr>
            <w:r>
              <w:rPr>
                <w:b/>
              </w:rPr>
              <w:t xml:space="preserve">3.1 </w:t>
            </w:r>
            <w:r w:rsidRPr="00D6313C">
              <w:rPr>
                <w:b/>
              </w:rPr>
              <w:t>Data source</w:t>
            </w:r>
          </w:p>
        </w:tc>
        <w:tc>
          <w:tcPr>
            <w:tcW w:w="7987" w:type="dxa"/>
          </w:tcPr>
          <w:p w14:paraId="60CAE9F9" w14:textId="77777777" w:rsidR="0092758C" w:rsidRPr="00D6313C" w:rsidRDefault="0092758C" w:rsidP="00D6313C">
            <w:pPr>
              <w:spacing w:before="240"/>
            </w:pPr>
            <w:r w:rsidRPr="00D6313C">
              <w:t xml:space="preserve">Smoking status at time of delivery (SATOD) collection sourced from Omnibus and published by the HSCIC </w:t>
            </w:r>
            <w:hyperlink r:id="rId17" w:history="1">
              <w:r w:rsidRPr="00D6313C">
                <w:rPr>
                  <w:rStyle w:val="Hyperlink"/>
                  <w:color w:val="auto"/>
                </w:rPr>
                <w:t>http://www.hscic.gov.uk/datacollections/ssatod</w:t>
              </w:r>
            </w:hyperlink>
          </w:p>
        </w:tc>
      </w:tr>
      <w:tr w:rsidR="0092758C" w:rsidRPr="00D6313C" w14:paraId="48A68E2E" w14:textId="77777777" w:rsidTr="0092758C">
        <w:tc>
          <w:tcPr>
            <w:tcW w:w="1766" w:type="dxa"/>
          </w:tcPr>
          <w:p w14:paraId="2A7DEEED" w14:textId="3B1E9AA4" w:rsidR="0092758C" w:rsidRPr="00D6313C" w:rsidRDefault="0092758C" w:rsidP="00D6313C">
            <w:pPr>
              <w:spacing w:before="240"/>
              <w:ind w:left="34"/>
              <w:rPr>
                <w:b/>
              </w:rPr>
            </w:pPr>
            <w:r>
              <w:rPr>
                <w:b/>
              </w:rPr>
              <w:t xml:space="preserve">3.2 </w:t>
            </w:r>
            <w:r w:rsidRPr="00D6313C">
              <w:rPr>
                <w:b/>
              </w:rPr>
              <w:t>Justification of source and others considered</w:t>
            </w:r>
          </w:p>
        </w:tc>
        <w:tc>
          <w:tcPr>
            <w:tcW w:w="7987" w:type="dxa"/>
          </w:tcPr>
          <w:p w14:paraId="3C43B5F7" w14:textId="77777777" w:rsidR="0092758C" w:rsidRPr="00D6313C" w:rsidRDefault="0092758C" w:rsidP="00D6313C">
            <w:pPr>
              <w:spacing w:before="240"/>
            </w:pPr>
            <w:r w:rsidRPr="00D6313C">
              <w:t xml:space="preserve">HSCIC SATOD is the single source of data for maternal smoking status at time of delivery. </w:t>
            </w:r>
          </w:p>
          <w:p w14:paraId="0CA8A398" w14:textId="77777777" w:rsidR="0092758C" w:rsidRPr="00D6313C" w:rsidRDefault="0092758C" w:rsidP="00D6313C">
            <w:pPr>
              <w:pStyle w:val="CommentText"/>
              <w:rPr>
                <w:sz w:val="22"/>
                <w:szCs w:val="22"/>
              </w:rPr>
            </w:pPr>
            <w:r w:rsidRPr="00D6313C">
              <w:rPr>
                <w:sz w:val="22"/>
                <w:szCs w:val="22"/>
              </w:rPr>
              <w:t xml:space="preserve">Public Health Outcomes Framework (PHOF) indicator 2.03 smoking status at time of delivery also uses this as its source for its 2.03 smoking status at time of delivery indicator </w:t>
            </w:r>
            <w:hyperlink r:id="rId18" w:history="1">
              <w:r w:rsidRPr="00D6313C">
                <w:rPr>
                  <w:rStyle w:val="Hyperlink"/>
                  <w:color w:val="auto"/>
                  <w:sz w:val="22"/>
                </w:rPr>
                <w:t>http://www.phoutcomes.info/</w:t>
              </w:r>
            </w:hyperlink>
            <w:r w:rsidRPr="00D6313C">
              <w:rPr>
                <w:sz w:val="22"/>
              </w:rPr>
              <w:t xml:space="preserve"> </w:t>
            </w:r>
          </w:p>
          <w:p w14:paraId="3C98B00C" w14:textId="77777777" w:rsidR="0092758C" w:rsidRPr="00D6313C" w:rsidRDefault="0092758C" w:rsidP="00D6313C">
            <w:pPr>
              <w:spacing w:before="240"/>
            </w:pPr>
            <w:r w:rsidRPr="00D6313C">
              <w:t xml:space="preserve">There are no known alternative sources of data on which to compare these results. </w:t>
            </w:r>
          </w:p>
        </w:tc>
      </w:tr>
      <w:tr w:rsidR="0092758C" w:rsidRPr="00D6313C" w14:paraId="09367CB7" w14:textId="77777777" w:rsidTr="0092758C">
        <w:tc>
          <w:tcPr>
            <w:tcW w:w="1766" w:type="dxa"/>
          </w:tcPr>
          <w:p w14:paraId="5522DF9D" w14:textId="3444B185" w:rsidR="0092758C" w:rsidRPr="00D6313C" w:rsidRDefault="0092758C" w:rsidP="00D6313C">
            <w:pPr>
              <w:spacing w:before="240"/>
              <w:ind w:left="34"/>
              <w:rPr>
                <w:b/>
              </w:rPr>
            </w:pPr>
            <w:r>
              <w:rPr>
                <w:b/>
              </w:rPr>
              <w:t xml:space="preserve">3.3 </w:t>
            </w:r>
            <w:r w:rsidRPr="00D6313C">
              <w:rPr>
                <w:b/>
              </w:rPr>
              <w:t>Data availability</w:t>
            </w:r>
          </w:p>
        </w:tc>
        <w:tc>
          <w:tcPr>
            <w:tcW w:w="7987" w:type="dxa"/>
          </w:tcPr>
          <w:p w14:paraId="35E97CE7" w14:textId="77777777" w:rsidR="0092758C" w:rsidRPr="00D6313C" w:rsidRDefault="0092758C" w:rsidP="00D6313C">
            <w:pPr>
              <w:spacing w:before="240"/>
            </w:pPr>
            <w:r w:rsidRPr="00D6313C">
              <w:t>All reports are accessible on the HSCIC website as PDF documents. All tables in the report are provided in Excel format and as csv files, as part of the government’s requirement to make public data public.</w:t>
            </w:r>
          </w:p>
          <w:p w14:paraId="59696EDA" w14:textId="77777777" w:rsidR="0092758C" w:rsidRPr="00D6313C" w:rsidRDefault="0092758C" w:rsidP="00D6313C">
            <w:pPr>
              <w:spacing w:before="240"/>
            </w:pPr>
            <w:r w:rsidRPr="00D6313C">
              <w:t>The HSCIC has produced SATOD reports since Quarter 3 2011/12. Prior to this, the Department of Health produced these reports. They are publically available on the DH national archives website at the following links:</w:t>
            </w:r>
          </w:p>
          <w:p w14:paraId="3CCE7F3B" w14:textId="77777777" w:rsidR="0092758C" w:rsidRPr="00D6313C" w:rsidRDefault="00657EF8" w:rsidP="00D6313C">
            <w:pPr>
              <w:spacing w:before="240"/>
            </w:pPr>
            <w:hyperlink r:id="rId19" w:history="1">
              <w:r w:rsidR="0092758C" w:rsidRPr="00D6313C">
                <w:rPr>
                  <w:rStyle w:val="Hyperlink"/>
                  <w:color w:val="auto"/>
                </w:rPr>
                <w:t>http://webarchive.nationalarchives.gov.uk/20130107105354/http:/www.dh.gov.uk/en/Publicationsandstatistics/Statistics/StatisticalWorkAreas/Statisticalpublichealth/DH_124185</w:t>
              </w:r>
            </w:hyperlink>
          </w:p>
          <w:p w14:paraId="58F3D2B3" w14:textId="77777777" w:rsidR="0092758C" w:rsidRPr="00D6313C" w:rsidRDefault="00657EF8" w:rsidP="00D6313C">
            <w:pPr>
              <w:spacing w:before="240"/>
            </w:pPr>
            <w:hyperlink r:id="rId20" w:history="1">
              <w:r w:rsidR="0092758C" w:rsidRPr="00D6313C">
                <w:rPr>
                  <w:rStyle w:val="Hyperlink"/>
                  <w:color w:val="auto"/>
                </w:rPr>
                <w:t>http://webarchive.nationalarchives.gov.uk/+/www.dh.gov.uk/en/Publichealth/Healthimprovement/Tobacco/Tobaccogeneralinformation/DH_4139682</w:t>
              </w:r>
            </w:hyperlink>
          </w:p>
          <w:p w14:paraId="1CE6F5D2" w14:textId="77777777" w:rsidR="0092758C" w:rsidRPr="00D6313C" w:rsidRDefault="0092758C" w:rsidP="00D6313C">
            <w:pPr>
              <w:spacing w:before="240"/>
            </w:pPr>
            <w:r w:rsidRPr="00D6313C">
              <w:t>This data is published by HSCIC around eight weeks (two months) after the end of the reporting period (or five months after the beginning of the reporting period).</w:t>
            </w:r>
          </w:p>
          <w:p w14:paraId="63713621" w14:textId="77777777" w:rsidR="0092758C" w:rsidRPr="00D6313C" w:rsidRDefault="0092758C" w:rsidP="00D6313C">
            <w:pPr>
              <w:spacing w:before="240"/>
            </w:pPr>
            <w:r w:rsidRPr="00D6313C">
              <w:t>CCG OIS indicator data are reported quarterly from Quarter 1 2013/14. The data for each quarter is available approximately 3 months before the CCG OIS publish it.</w:t>
            </w:r>
          </w:p>
        </w:tc>
      </w:tr>
      <w:tr w:rsidR="0092758C" w:rsidRPr="00D6313C" w14:paraId="52CC9C4E" w14:textId="77777777" w:rsidTr="0092758C">
        <w:tc>
          <w:tcPr>
            <w:tcW w:w="1766" w:type="dxa"/>
          </w:tcPr>
          <w:p w14:paraId="642B64C6" w14:textId="598A16CD" w:rsidR="0092758C" w:rsidRPr="00D6313C" w:rsidRDefault="0092758C" w:rsidP="00D6313C">
            <w:pPr>
              <w:spacing w:before="240"/>
              <w:ind w:left="34"/>
              <w:rPr>
                <w:b/>
              </w:rPr>
            </w:pPr>
            <w:r>
              <w:rPr>
                <w:b/>
              </w:rPr>
              <w:t xml:space="preserve">3.4 </w:t>
            </w:r>
            <w:r w:rsidRPr="00D6313C">
              <w:rPr>
                <w:b/>
              </w:rPr>
              <w:t>Data quality</w:t>
            </w:r>
          </w:p>
        </w:tc>
        <w:tc>
          <w:tcPr>
            <w:tcW w:w="7987" w:type="dxa"/>
          </w:tcPr>
          <w:p w14:paraId="6FC5DFD6" w14:textId="77777777" w:rsidR="0092758C" w:rsidRPr="00D6313C" w:rsidRDefault="0092758C" w:rsidP="00D6313C">
            <w:pPr>
              <w:spacing w:before="240"/>
              <w:rPr>
                <w:b/>
              </w:rPr>
            </w:pPr>
            <w:r w:rsidRPr="00D6313C">
              <w:rPr>
                <w:b/>
              </w:rPr>
              <w:t>Status of data</w:t>
            </w:r>
          </w:p>
          <w:p w14:paraId="152901C4" w14:textId="77777777" w:rsidR="0092758C" w:rsidRPr="00D6313C" w:rsidRDefault="0092758C" w:rsidP="00D6313C">
            <w:pPr>
              <w:spacing w:before="240"/>
            </w:pPr>
            <w:r w:rsidRPr="00D6313C">
              <w:t>From 1 April 2014, CCGs are not able to revise data within the financial year so all quarterly data from 2014/15 onwards should be considered as final. Prior to this date, the data was subject to revisions until the final data submission in quarter 4.</w:t>
            </w:r>
          </w:p>
          <w:p w14:paraId="61357AC4" w14:textId="77777777" w:rsidR="0092758C" w:rsidRPr="00D6313C" w:rsidRDefault="0092758C" w:rsidP="00D6313C">
            <w:pPr>
              <w:spacing w:before="240"/>
            </w:pPr>
            <w:r w:rsidRPr="00D6313C">
              <w:t>Accuracy</w:t>
            </w:r>
          </w:p>
          <w:p w14:paraId="5BB3A4BE" w14:textId="3701CC5B" w:rsidR="0092758C" w:rsidRPr="00D6313C" w:rsidRDefault="0092758C" w:rsidP="00D6313C">
            <w:pPr>
              <w:spacing w:before="240"/>
            </w:pPr>
            <w:r w:rsidRPr="00D6313C">
              <w:t xml:space="preserve">Currently the number of women where the smoking status is not known is included within the denominator, which will result in the under reporting of the percentages of known smokers as the unknowns are effectively treated as if they are non-smokers. </w:t>
            </w:r>
          </w:p>
          <w:p w14:paraId="15C3EA50" w14:textId="77777777" w:rsidR="0092758C" w:rsidRPr="00D6313C" w:rsidRDefault="0092758C" w:rsidP="00D6313C">
            <w:pPr>
              <w:spacing w:before="240"/>
            </w:pPr>
            <w:r w:rsidRPr="00D6313C">
              <w:lastRenderedPageBreak/>
              <w:t xml:space="preserve">A simple example follows for CCGs A and B which both have an indicator value of 20 per cent but in </w:t>
            </w:r>
            <w:proofErr w:type="gramStart"/>
            <w:r w:rsidRPr="00D6313C">
              <w:t>reality</w:t>
            </w:r>
            <w:proofErr w:type="gramEnd"/>
            <w:r w:rsidRPr="00D6313C">
              <w:t xml:space="preserve"> CCG B could have a higher indicator value if it was discovered that some of the 40 unknowns were in fact smokers.  </w:t>
            </w:r>
          </w:p>
          <w:p w14:paraId="1800B803" w14:textId="77777777" w:rsidR="0092758C" w:rsidRPr="00D6313C" w:rsidRDefault="0092758C" w:rsidP="00D6313C">
            <w:r w:rsidRPr="00D6313C">
              <w:t xml:space="preserve">In other words, 20 per cent is a </w:t>
            </w:r>
            <w:r w:rsidRPr="00D6313C">
              <w:rPr>
                <w:b/>
              </w:rPr>
              <w:t>minimum</w:t>
            </w:r>
            <w:r w:rsidRPr="00D6313C">
              <w:t xml:space="preserve"> value for CCG B and the likelihood is that some of the unknowns will be smokers so the true indicator value is probably higher.   Whereas we definitely know that CCG A has an indicator value of 20 per cent as the smoking status has been gathered for all maternities.  Therefore it seems odd to allow their performance to look the same when it is likely that CCG B is actually not performing as well as CCG A.</w:t>
            </w:r>
          </w:p>
          <w:p w14:paraId="26B397A0" w14:textId="070CB88D" w:rsidR="0092758C" w:rsidRPr="00D6313C" w:rsidRDefault="0092758C" w:rsidP="00D6313C">
            <w:pPr>
              <w:spacing w:before="240"/>
            </w:pPr>
            <w:r w:rsidRPr="00D6313C">
              <w:rPr>
                <w:rStyle w:val="CommentReference"/>
                <w:rFonts w:eastAsia="Times New Roman"/>
              </w:rPr>
              <w:t xml:space="preserve"> </w:t>
            </w:r>
          </w:p>
        </w:tc>
      </w:tr>
    </w:tbl>
    <w:p w14:paraId="269E5516" w14:textId="2332EE2F" w:rsidR="0092758C" w:rsidRDefault="0092758C"/>
    <w:tbl>
      <w:tblPr>
        <w:tblStyle w:val="TableGrid1"/>
        <w:tblW w:w="0" w:type="auto"/>
        <w:tblLayout w:type="fixed"/>
        <w:tblLook w:val="04A0" w:firstRow="1" w:lastRow="0" w:firstColumn="1" w:lastColumn="0" w:noHBand="0" w:noVBand="1"/>
      </w:tblPr>
      <w:tblGrid>
        <w:gridCol w:w="2127"/>
        <w:gridCol w:w="1275"/>
        <w:gridCol w:w="1276"/>
      </w:tblGrid>
      <w:tr w:rsidR="0092758C" w:rsidRPr="00D6313C" w14:paraId="2307BE87" w14:textId="77777777" w:rsidTr="0092758C">
        <w:tc>
          <w:tcPr>
            <w:tcW w:w="2127" w:type="dxa"/>
          </w:tcPr>
          <w:p w14:paraId="131A64CD" w14:textId="77777777" w:rsidR="0092758C" w:rsidRPr="00D6313C" w:rsidRDefault="0092758C" w:rsidP="00840BD7"/>
        </w:tc>
        <w:tc>
          <w:tcPr>
            <w:tcW w:w="1275" w:type="dxa"/>
          </w:tcPr>
          <w:p w14:paraId="7699DAC5" w14:textId="77777777" w:rsidR="0092758C" w:rsidRPr="00D6313C" w:rsidRDefault="0092758C" w:rsidP="00840BD7">
            <w:pPr>
              <w:jc w:val="right"/>
              <w:rPr>
                <w:b/>
              </w:rPr>
            </w:pPr>
            <w:r w:rsidRPr="00D6313C">
              <w:rPr>
                <w:b/>
              </w:rPr>
              <w:t>CCG A</w:t>
            </w:r>
          </w:p>
        </w:tc>
        <w:tc>
          <w:tcPr>
            <w:tcW w:w="1276" w:type="dxa"/>
          </w:tcPr>
          <w:p w14:paraId="076AB0A8" w14:textId="77777777" w:rsidR="0092758C" w:rsidRPr="00D6313C" w:rsidRDefault="0092758C" w:rsidP="00840BD7">
            <w:pPr>
              <w:jc w:val="right"/>
              <w:rPr>
                <w:b/>
              </w:rPr>
            </w:pPr>
            <w:r w:rsidRPr="00D6313C">
              <w:rPr>
                <w:b/>
              </w:rPr>
              <w:t>CCG B</w:t>
            </w:r>
          </w:p>
        </w:tc>
      </w:tr>
      <w:tr w:rsidR="0092758C" w:rsidRPr="00D6313C" w14:paraId="2912CE25" w14:textId="77777777" w:rsidTr="0092758C">
        <w:tc>
          <w:tcPr>
            <w:tcW w:w="2127" w:type="dxa"/>
          </w:tcPr>
          <w:p w14:paraId="7B24FBEF" w14:textId="77777777" w:rsidR="0092758C" w:rsidRPr="00D6313C" w:rsidRDefault="0092758C" w:rsidP="00840BD7">
            <w:pPr>
              <w:rPr>
                <w:b/>
              </w:rPr>
            </w:pPr>
            <w:r w:rsidRPr="00D6313C">
              <w:rPr>
                <w:b/>
              </w:rPr>
              <w:t>Smokers</w:t>
            </w:r>
          </w:p>
        </w:tc>
        <w:tc>
          <w:tcPr>
            <w:tcW w:w="1275" w:type="dxa"/>
          </w:tcPr>
          <w:p w14:paraId="54E1F72F" w14:textId="77777777" w:rsidR="0092758C" w:rsidRPr="00D6313C" w:rsidRDefault="0092758C" w:rsidP="00840BD7">
            <w:pPr>
              <w:jc w:val="right"/>
            </w:pPr>
            <w:r w:rsidRPr="00D6313C">
              <w:t>40</w:t>
            </w:r>
          </w:p>
        </w:tc>
        <w:tc>
          <w:tcPr>
            <w:tcW w:w="1276" w:type="dxa"/>
          </w:tcPr>
          <w:p w14:paraId="7BD4AD8C" w14:textId="77777777" w:rsidR="0092758C" w:rsidRPr="00D6313C" w:rsidRDefault="0092758C" w:rsidP="00840BD7">
            <w:pPr>
              <w:jc w:val="right"/>
            </w:pPr>
            <w:r w:rsidRPr="00D6313C">
              <w:t>40</w:t>
            </w:r>
          </w:p>
        </w:tc>
      </w:tr>
      <w:tr w:rsidR="0092758C" w:rsidRPr="00D6313C" w14:paraId="3A6369AF" w14:textId="77777777" w:rsidTr="0092758C">
        <w:tc>
          <w:tcPr>
            <w:tcW w:w="2127" w:type="dxa"/>
          </w:tcPr>
          <w:p w14:paraId="517B25B3" w14:textId="77777777" w:rsidR="0092758C" w:rsidRPr="00D6313C" w:rsidRDefault="0092758C" w:rsidP="00840BD7">
            <w:pPr>
              <w:rPr>
                <w:b/>
              </w:rPr>
            </w:pPr>
            <w:r w:rsidRPr="00D6313C">
              <w:rPr>
                <w:b/>
              </w:rPr>
              <w:t>Non-smokers</w:t>
            </w:r>
          </w:p>
        </w:tc>
        <w:tc>
          <w:tcPr>
            <w:tcW w:w="1275" w:type="dxa"/>
          </w:tcPr>
          <w:p w14:paraId="7C623012" w14:textId="77777777" w:rsidR="0092758C" w:rsidRPr="00D6313C" w:rsidRDefault="0092758C" w:rsidP="00840BD7">
            <w:pPr>
              <w:jc w:val="right"/>
            </w:pPr>
            <w:r w:rsidRPr="00D6313C">
              <w:t>160</w:t>
            </w:r>
          </w:p>
        </w:tc>
        <w:tc>
          <w:tcPr>
            <w:tcW w:w="1276" w:type="dxa"/>
          </w:tcPr>
          <w:p w14:paraId="5DDB1FE5" w14:textId="77777777" w:rsidR="0092758C" w:rsidRPr="00D6313C" w:rsidRDefault="0092758C" w:rsidP="00840BD7">
            <w:pPr>
              <w:jc w:val="right"/>
            </w:pPr>
            <w:r w:rsidRPr="00D6313C">
              <w:t>120</w:t>
            </w:r>
          </w:p>
        </w:tc>
      </w:tr>
      <w:tr w:rsidR="0092758C" w:rsidRPr="00D6313C" w14:paraId="51558FD4" w14:textId="77777777" w:rsidTr="0092758C">
        <w:tc>
          <w:tcPr>
            <w:tcW w:w="2127" w:type="dxa"/>
          </w:tcPr>
          <w:p w14:paraId="12DA4215" w14:textId="77777777" w:rsidR="0092758C" w:rsidRPr="00D6313C" w:rsidRDefault="0092758C" w:rsidP="00840BD7">
            <w:pPr>
              <w:rPr>
                <w:b/>
              </w:rPr>
            </w:pPr>
            <w:r w:rsidRPr="00D6313C">
              <w:rPr>
                <w:b/>
              </w:rPr>
              <w:t>Unknowns</w:t>
            </w:r>
          </w:p>
        </w:tc>
        <w:tc>
          <w:tcPr>
            <w:tcW w:w="1275" w:type="dxa"/>
          </w:tcPr>
          <w:p w14:paraId="5A25DB7F" w14:textId="77777777" w:rsidR="0092758C" w:rsidRPr="00D6313C" w:rsidRDefault="0092758C" w:rsidP="00840BD7">
            <w:pPr>
              <w:jc w:val="right"/>
            </w:pPr>
            <w:r w:rsidRPr="00D6313C">
              <w:t>0</w:t>
            </w:r>
          </w:p>
        </w:tc>
        <w:tc>
          <w:tcPr>
            <w:tcW w:w="1276" w:type="dxa"/>
          </w:tcPr>
          <w:p w14:paraId="796275FE" w14:textId="77777777" w:rsidR="0092758C" w:rsidRPr="00D6313C" w:rsidRDefault="0092758C" w:rsidP="00840BD7">
            <w:pPr>
              <w:jc w:val="right"/>
            </w:pPr>
            <w:r w:rsidRPr="00D6313C">
              <w:t>40</w:t>
            </w:r>
          </w:p>
        </w:tc>
      </w:tr>
      <w:tr w:rsidR="0092758C" w:rsidRPr="00D6313C" w14:paraId="4271F762" w14:textId="77777777" w:rsidTr="0092758C">
        <w:tc>
          <w:tcPr>
            <w:tcW w:w="2127" w:type="dxa"/>
          </w:tcPr>
          <w:p w14:paraId="5A7B89E9" w14:textId="77777777" w:rsidR="0092758C" w:rsidRPr="00D6313C" w:rsidRDefault="0092758C" w:rsidP="00840BD7">
            <w:pPr>
              <w:rPr>
                <w:b/>
              </w:rPr>
            </w:pPr>
            <w:r w:rsidRPr="00D6313C">
              <w:rPr>
                <w:b/>
              </w:rPr>
              <w:t>Indicator</w:t>
            </w:r>
          </w:p>
        </w:tc>
        <w:tc>
          <w:tcPr>
            <w:tcW w:w="1275" w:type="dxa"/>
          </w:tcPr>
          <w:p w14:paraId="50669DF0" w14:textId="77777777" w:rsidR="0092758C" w:rsidRPr="00D6313C" w:rsidRDefault="0092758C" w:rsidP="00840BD7">
            <w:pPr>
              <w:jc w:val="right"/>
            </w:pPr>
            <w:r w:rsidRPr="00D6313C">
              <w:t>20%</w:t>
            </w:r>
          </w:p>
        </w:tc>
        <w:tc>
          <w:tcPr>
            <w:tcW w:w="1276" w:type="dxa"/>
          </w:tcPr>
          <w:p w14:paraId="0BC5E86B" w14:textId="77777777" w:rsidR="0092758C" w:rsidRPr="00D6313C" w:rsidRDefault="0092758C" w:rsidP="00840BD7">
            <w:pPr>
              <w:jc w:val="right"/>
            </w:pPr>
            <w:r w:rsidRPr="00D6313C">
              <w:t>20%</w:t>
            </w:r>
          </w:p>
        </w:tc>
      </w:tr>
    </w:tbl>
    <w:p w14:paraId="73E83599" w14:textId="2E5D1516" w:rsidR="0092758C" w:rsidRDefault="0092758C"/>
    <w:p w14:paraId="43FEB30D" w14:textId="77777777" w:rsidR="0092758C" w:rsidRDefault="0092758C"/>
    <w:tbl>
      <w:tblPr>
        <w:tblStyle w:val="TableGrid"/>
        <w:tblW w:w="9753" w:type="dxa"/>
        <w:tblLayout w:type="fixed"/>
        <w:tblLook w:val="04A0" w:firstRow="1" w:lastRow="0" w:firstColumn="1" w:lastColumn="0" w:noHBand="0" w:noVBand="1"/>
      </w:tblPr>
      <w:tblGrid>
        <w:gridCol w:w="1766"/>
        <w:gridCol w:w="7987"/>
      </w:tblGrid>
      <w:tr w:rsidR="0092758C" w:rsidRPr="00D6313C" w14:paraId="5595CDBA" w14:textId="77777777" w:rsidTr="0092758C">
        <w:tc>
          <w:tcPr>
            <w:tcW w:w="1766" w:type="dxa"/>
          </w:tcPr>
          <w:p w14:paraId="16C46F23" w14:textId="77777777" w:rsidR="0092758C" w:rsidRDefault="0092758C" w:rsidP="00D6313C">
            <w:pPr>
              <w:spacing w:before="240"/>
              <w:ind w:left="34"/>
              <w:rPr>
                <w:b/>
              </w:rPr>
            </w:pPr>
          </w:p>
        </w:tc>
        <w:tc>
          <w:tcPr>
            <w:tcW w:w="7987" w:type="dxa"/>
          </w:tcPr>
          <w:p w14:paraId="0E109D1E" w14:textId="77777777" w:rsidR="0092758C" w:rsidRPr="00D6313C" w:rsidRDefault="0092758C" w:rsidP="0092758C">
            <w:pPr>
              <w:spacing w:before="240"/>
            </w:pPr>
            <w:r w:rsidRPr="00D6313C">
              <w:t xml:space="preserve">The proposal is that from April 2017, the definition changes to exclude the unknowns from the denominator when calculating the proportion of women smoking at the time of delivery.  Therefore the indicator will be published under both definitions during 2016/17 to allow time to work with CCGs to improve the quality of this data, and to co-ordinate the change with the publication of the new Government tobacco control plan for England which is expected later in 2016.  This will also allow CCGs to assess what the impact will be of switching to the new definition.   More information is available in the Government response to the consultation on the Public Health Outcomes Framework (PHOF).  </w:t>
            </w:r>
          </w:p>
          <w:p w14:paraId="2E683B9A" w14:textId="77777777" w:rsidR="0092758C" w:rsidRPr="00D6313C" w:rsidRDefault="0092758C" w:rsidP="0092758C">
            <w:pPr>
              <w:spacing w:before="240"/>
            </w:pPr>
            <w:r w:rsidRPr="00D6313C">
              <w:t>Presently, the smoking status at the time of delivery is not known for around 3% of women across England. This can be significantly higher for some CCG’s.  In 2014/15 for example, 5 CCGs had more than 20% unknowns and a further 10 CCGs had more than 10% unknowns.  It is possible therefore that poor data quality is masking poor performance in these CCGs and resources are not being targeted effectively to decrease the number of women smoking at the time of delivery.</w:t>
            </w:r>
          </w:p>
          <w:p w14:paraId="6FC34328" w14:textId="77777777" w:rsidR="0092758C" w:rsidRPr="00D6313C" w:rsidRDefault="0092758C" w:rsidP="0092758C">
            <w:pPr>
              <w:spacing w:before="240"/>
            </w:pPr>
            <w:r w:rsidRPr="00D6313C">
              <w:t>.</w:t>
            </w:r>
          </w:p>
          <w:p w14:paraId="08E85F1F" w14:textId="30F448EC" w:rsidR="0092758C" w:rsidRPr="00D6313C" w:rsidRDefault="0092758C" w:rsidP="0092758C">
            <w:pPr>
              <w:spacing w:before="240"/>
            </w:pPr>
            <w:r w:rsidRPr="00D6313C">
              <w:t>There may be separate SATOD data quality issues for each reporting period and these can be seen in the data quality statements which accompany each quarterly report on the HSCIC website.</w:t>
            </w:r>
          </w:p>
        </w:tc>
      </w:tr>
      <w:tr w:rsidR="0092758C" w:rsidRPr="00D6313C" w14:paraId="16071CDA" w14:textId="77777777" w:rsidTr="0092758C">
        <w:tc>
          <w:tcPr>
            <w:tcW w:w="1766" w:type="dxa"/>
          </w:tcPr>
          <w:p w14:paraId="10824909" w14:textId="2B41DA3C" w:rsidR="0092758C" w:rsidRPr="00D6313C" w:rsidRDefault="0092758C" w:rsidP="00D6313C">
            <w:pPr>
              <w:spacing w:before="240"/>
              <w:ind w:left="34"/>
              <w:rPr>
                <w:b/>
              </w:rPr>
            </w:pPr>
            <w:r>
              <w:rPr>
                <w:b/>
              </w:rPr>
              <w:t>3.5</w:t>
            </w:r>
            <w:r w:rsidRPr="00D6313C">
              <w:rPr>
                <w:b/>
              </w:rPr>
              <w:t>Quality assurance</w:t>
            </w:r>
          </w:p>
        </w:tc>
        <w:tc>
          <w:tcPr>
            <w:tcW w:w="7987" w:type="dxa"/>
          </w:tcPr>
          <w:p w14:paraId="71389BEF" w14:textId="77777777" w:rsidR="0092758C" w:rsidRPr="00D6313C" w:rsidRDefault="0092758C" w:rsidP="00D6313C">
            <w:pPr>
              <w:spacing w:before="240"/>
            </w:pPr>
            <w:r w:rsidRPr="00D6313C">
              <w:t>Validation at the point of entry checks that the sum of the number of women known to be smokers at the time of delivery; the number of women known to be non-smokers at the time of delivery and the number of women whose smoking status was not known at the time of delivery equals the number of maternities.</w:t>
            </w:r>
          </w:p>
          <w:p w14:paraId="23C30C79" w14:textId="77777777" w:rsidR="0092758C" w:rsidRPr="00D6313C" w:rsidRDefault="0092758C" w:rsidP="00D6313C">
            <w:pPr>
              <w:spacing w:before="240"/>
            </w:pPr>
            <w:r w:rsidRPr="00D6313C">
              <w:lastRenderedPageBreak/>
              <w:t>A secondary validation check is applied once the data has been collected and checks the number of maternities reported in each quarter falls within an ‘expected’ range, by comparing to the average reported for the previous four quarters.</w:t>
            </w:r>
          </w:p>
          <w:p w14:paraId="0CC2401F" w14:textId="77777777" w:rsidR="0092758C" w:rsidRPr="00D6313C" w:rsidRDefault="0092758C" w:rsidP="00D6313C">
            <w:pPr>
              <w:spacing w:before="240"/>
              <w:rPr>
                <w:b/>
                <w:u w:val="single"/>
              </w:rPr>
            </w:pPr>
            <w:r w:rsidRPr="00D6313C">
              <w:rPr>
                <w:b/>
                <w:u w:val="single"/>
              </w:rPr>
              <w:t xml:space="preserve">Validation </w:t>
            </w:r>
          </w:p>
          <w:p w14:paraId="1322A7A7" w14:textId="77777777" w:rsidR="0092758C" w:rsidRPr="00D6313C" w:rsidRDefault="0092758C" w:rsidP="00D6313C">
            <w:pPr>
              <w:spacing w:before="240"/>
            </w:pPr>
            <w:r w:rsidRPr="00D6313C">
              <w:t>For the return, CCGs are requested to submit the following data items each quarter via the HSCIC Omnibus web based system:</w:t>
            </w:r>
          </w:p>
          <w:p w14:paraId="33866299" w14:textId="77777777" w:rsidR="0092758C" w:rsidRPr="00D6313C" w:rsidRDefault="0092758C" w:rsidP="008B5CC1">
            <w:pPr>
              <w:pStyle w:val="ListParagraph"/>
              <w:numPr>
                <w:ilvl w:val="0"/>
                <w:numId w:val="9"/>
              </w:numPr>
              <w:spacing w:before="120" w:after="120" w:line="240" w:lineRule="auto"/>
              <w:ind w:left="714" w:hanging="357"/>
              <w:contextualSpacing w:val="0"/>
              <w:textboxTightWrap w:val="lastLineOnly"/>
              <w:rPr>
                <w:rFonts w:ascii="Arial" w:hAnsi="Arial" w:cs="Arial"/>
              </w:rPr>
            </w:pPr>
            <w:r w:rsidRPr="00D6313C">
              <w:rPr>
                <w:rFonts w:ascii="Arial" w:hAnsi="Arial" w:cs="Arial"/>
              </w:rPr>
              <w:t>Number of maternities is defined as the number of pregnant women who give birth to one or more live or stillborn babies of at least 24 weeks gestation, where the baby is delivered by either a midwife or doctor at home or in an NHS hospital (including GP units). This count is the number of pregnant women, not the number of babies (deliveries). It does not include maternities that occur in psychiatric hospitals or private beds / hospitals.</w:t>
            </w:r>
          </w:p>
          <w:p w14:paraId="45815283" w14:textId="77777777" w:rsidR="0092758C" w:rsidRPr="00D6313C" w:rsidRDefault="0092758C" w:rsidP="008B5CC1">
            <w:pPr>
              <w:pStyle w:val="ListParagraph"/>
              <w:numPr>
                <w:ilvl w:val="0"/>
                <w:numId w:val="9"/>
              </w:numPr>
              <w:spacing w:before="120" w:after="120" w:line="240" w:lineRule="auto"/>
              <w:ind w:left="714" w:hanging="357"/>
              <w:contextualSpacing w:val="0"/>
              <w:textboxTightWrap w:val="lastLineOnly"/>
              <w:rPr>
                <w:rFonts w:ascii="Arial" w:hAnsi="Arial" w:cs="Arial"/>
              </w:rPr>
            </w:pPr>
            <w:r w:rsidRPr="00D6313C">
              <w:rPr>
                <w:rFonts w:ascii="Arial" w:hAnsi="Arial" w:cs="Arial"/>
              </w:rPr>
              <w:t>Number of women known to be smokers at the time of delivery is defined as the number of pregnant women who reported that they were smokers at the time of giving birth.</w:t>
            </w:r>
          </w:p>
          <w:p w14:paraId="0D4737A5" w14:textId="77777777" w:rsidR="0092758C" w:rsidRPr="00D6313C" w:rsidRDefault="0092758C" w:rsidP="008B5CC1">
            <w:pPr>
              <w:pStyle w:val="ListParagraph"/>
              <w:numPr>
                <w:ilvl w:val="0"/>
                <w:numId w:val="9"/>
              </w:numPr>
              <w:spacing w:before="120" w:after="120" w:line="240" w:lineRule="auto"/>
              <w:ind w:left="714" w:hanging="357"/>
              <w:contextualSpacing w:val="0"/>
              <w:textboxTightWrap w:val="lastLineOnly"/>
              <w:rPr>
                <w:rFonts w:ascii="Arial" w:hAnsi="Arial" w:cs="Arial"/>
              </w:rPr>
            </w:pPr>
            <w:r w:rsidRPr="00D6313C">
              <w:rPr>
                <w:rFonts w:ascii="Arial" w:hAnsi="Arial" w:cs="Arial"/>
              </w:rPr>
              <w:t>Number of women known to be non-smokers at the time of delivery is defined as pregnant women who reported that they were not smokers at the time of giving birth. This count does not include women whose smoking status is not known (which is collected separately).</w:t>
            </w:r>
          </w:p>
          <w:p w14:paraId="002E766F" w14:textId="77777777" w:rsidR="0092758C" w:rsidRPr="00D6313C" w:rsidRDefault="0092758C" w:rsidP="008B5CC1">
            <w:pPr>
              <w:pStyle w:val="ListParagraph"/>
              <w:numPr>
                <w:ilvl w:val="0"/>
                <w:numId w:val="9"/>
              </w:numPr>
              <w:spacing w:before="120" w:after="120" w:line="240" w:lineRule="auto"/>
              <w:ind w:left="714" w:hanging="357"/>
              <w:contextualSpacing w:val="0"/>
              <w:textboxTightWrap w:val="lastLineOnly"/>
              <w:rPr>
                <w:rFonts w:ascii="Arial" w:hAnsi="Arial" w:cs="Arial"/>
              </w:rPr>
            </w:pPr>
            <w:r w:rsidRPr="00D6313C">
              <w:rPr>
                <w:rFonts w:ascii="Arial" w:hAnsi="Arial" w:cs="Arial"/>
              </w:rPr>
              <w:t>Number of women whose smoking status was not known at the time of delivery are defined as those whose smoking status was not determined at the time of giving birth.</w:t>
            </w:r>
          </w:p>
          <w:p w14:paraId="11822A5D" w14:textId="77777777" w:rsidR="0092758C" w:rsidRPr="00D6313C" w:rsidRDefault="0092758C" w:rsidP="00D6313C">
            <w:pPr>
              <w:spacing w:before="240"/>
            </w:pPr>
            <w:r w:rsidRPr="00D6313C">
              <w:t>All four numbers must be submitted as integers. The following validation will be undertaken by the HSCIC Omnibus system on each quarter’s submission:</w:t>
            </w:r>
          </w:p>
          <w:p w14:paraId="499FE171" w14:textId="77777777" w:rsidR="0092758C" w:rsidRPr="00D6313C" w:rsidRDefault="0092758C" w:rsidP="00D6313C">
            <w:pPr>
              <w:spacing w:before="240"/>
            </w:pPr>
            <w:r w:rsidRPr="00D6313C">
              <w:t>Number of women known to be smokers at the time of delivery + Number of women known to be non-smokers at the time of delivery + Number of women whose smoking status was not known at the time of delivery = Number of maternities</w:t>
            </w:r>
          </w:p>
          <w:p w14:paraId="159881FA" w14:textId="77777777" w:rsidR="0092758C" w:rsidRPr="00D6313C" w:rsidRDefault="0092758C" w:rsidP="00D6313C">
            <w:pPr>
              <w:spacing w:before="240"/>
            </w:pPr>
            <w:r w:rsidRPr="00D6313C">
              <w:t>The Omnibus system will not accept a submission that fails this validation. In this situation the CCG will be prompted to amend and re-submit their data until their submission passes this validation.</w:t>
            </w:r>
          </w:p>
          <w:p w14:paraId="16BF1C47" w14:textId="77777777" w:rsidR="0092758C" w:rsidRPr="00D6313C" w:rsidRDefault="0092758C" w:rsidP="00D6313C">
            <w:pPr>
              <w:spacing w:before="240"/>
            </w:pPr>
            <w:r w:rsidRPr="00D6313C">
              <w:t>A second validation will also be undertaken by the Omnibus system. The current data return will be validated and a warning will appear on submission if any of the following occur:</w:t>
            </w:r>
          </w:p>
          <w:p w14:paraId="3CAC9C12" w14:textId="77777777" w:rsidR="0092758C" w:rsidRPr="00D6313C" w:rsidRDefault="0092758C" w:rsidP="008B5CC1">
            <w:pPr>
              <w:pStyle w:val="ListParagraph"/>
              <w:numPr>
                <w:ilvl w:val="0"/>
                <w:numId w:val="8"/>
              </w:numPr>
              <w:spacing w:after="0" w:line="240" w:lineRule="auto"/>
              <w:ind w:left="714" w:hanging="357"/>
              <w:contextualSpacing w:val="0"/>
              <w:textboxTightWrap w:val="lastLineOnly"/>
              <w:rPr>
                <w:rFonts w:ascii="Arial" w:hAnsi="Arial" w:cs="Arial"/>
              </w:rPr>
            </w:pPr>
            <w:r w:rsidRPr="00D6313C">
              <w:rPr>
                <w:rFonts w:ascii="Arial" w:hAnsi="Arial" w:cs="Arial"/>
              </w:rPr>
              <w:t>number of maternities is more than +/-15% of an average of the previous 4 quarters</w:t>
            </w:r>
          </w:p>
          <w:p w14:paraId="44EC34EE" w14:textId="77777777" w:rsidR="0092758C" w:rsidRPr="00D6313C" w:rsidRDefault="0092758C" w:rsidP="008B5CC1">
            <w:pPr>
              <w:pStyle w:val="ListParagraph"/>
              <w:numPr>
                <w:ilvl w:val="0"/>
                <w:numId w:val="8"/>
              </w:numPr>
              <w:spacing w:after="0" w:line="240" w:lineRule="auto"/>
              <w:ind w:left="714" w:hanging="357"/>
              <w:contextualSpacing w:val="0"/>
              <w:textboxTightWrap w:val="lastLineOnly"/>
              <w:rPr>
                <w:rFonts w:ascii="Arial" w:hAnsi="Arial" w:cs="Arial"/>
              </w:rPr>
            </w:pPr>
            <w:r w:rsidRPr="00D6313C">
              <w:rPr>
                <w:rFonts w:ascii="Arial" w:hAnsi="Arial" w:cs="Arial"/>
              </w:rPr>
              <w:t>number of women known to be smokers at the time of delivery is more than +/-15% of an average of the previous 4 quarters</w:t>
            </w:r>
          </w:p>
          <w:p w14:paraId="34B778DC" w14:textId="77777777" w:rsidR="0092758C" w:rsidRPr="00D6313C" w:rsidRDefault="0092758C" w:rsidP="008B5CC1">
            <w:pPr>
              <w:pStyle w:val="ListParagraph"/>
              <w:numPr>
                <w:ilvl w:val="0"/>
                <w:numId w:val="8"/>
              </w:numPr>
              <w:spacing w:after="0" w:line="240" w:lineRule="auto"/>
              <w:ind w:left="714" w:hanging="357"/>
              <w:contextualSpacing w:val="0"/>
              <w:textboxTightWrap w:val="lastLineOnly"/>
              <w:rPr>
                <w:rFonts w:ascii="Arial" w:hAnsi="Arial" w:cs="Arial"/>
              </w:rPr>
            </w:pPr>
            <w:r w:rsidRPr="00D6313C">
              <w:rPr>
                <w:rFonts w:ascii="Arial" w:hAnsi="Arial" w:cs="Arial"/>
              </w:rPr>
              <w:lastRenderedPageBreak/>
              <w:t>number of women known to be non-smokers at the time of delivery is more than +/-15% of an average of the previous 4 quarters</w:t>
            </w:r>
          </w:p>
          <w:p w14:paraId="7DA4670F" w14:textId="77777777" w:rsidR="0092758C" w:rsidRPr="00D6313C" w:rsidRDefault="0092758C" w:rsidP="008B5CC1">
            <w:pPr>
              <w:pStyle w:val="ListParagraph"/>
              <w:numPr>
                <w:ilvl w:val="0"/>
                <w:numId w:val="8"/>
              </w:numPr>
              <w:spacing w:after="0" w:line="240" w:lineRule="auto"/>
              <w:ind w:left="714" w:hanging="357"/>
              <w:contextualSpacing w:val="0"/>
              <w:textboxTightWrap w:val="lastLineOnly"/>
              <w:rPr>
                <w:rFonts w:ascii="Arial" w:hAnsi="Arial" w:cs="Arial"/>
              </w:rPr>
            </w:pPr>
            <w:r w:rsidRPr="00D6313C">
              <w:rPr>
                <w:rFonts w:ascii="Arial" w:hAnsi="Arial" w:cs="Arial"/>
              </w:rPr>
              <w:t>number of women whose smoking status was not known is above or equal to 5% of number of maternities</w:t>
            </w:r>
          </w:p>
          <w:p w14:paraId="2712B42B" w14:textId="77777777" w:rsidR="0092758C" w:rsidRPr="00D6313C" w:rsidRDefault="0092758C" w:rsidP="00D6313C">
            <w:pPr>
              <w:spacing w:before="240"/>
            </w:pPr>
            <w:r w:rsidRPr="00D6313C">
              <w:t>This will either need to be confirmed as correct by selecting a drop down breach reason or amended.</w:t>
            </w:r>
          </w:p>
          <w:p w14:paraId="1396AA11" w14:textId="77777777" w:rsidR="0092758C" w:rsidRPr="00D6313C" w:rsidRDefault="0092758C" w:rsidP="00D6313C">
            <w:pPr>
              <w:spacing w:before="240"/>
              <w:rPr>
                <w:strike/>
              </w:rPr>
            </w:pPr>
          </w:p>
        </w:tc>
      </w:tr>
      <w:tr w:rsidR="0092758C" w:rsidRPr="00D6313C" w14:paraId="1691FFA7" w14:textId="77777777" w:rsidTr="0092758C">
        <w:tc>
          <w:tcPr>
            <w:tcW w:w="1766" w:type="dxa"/>
          </w:tcPr>
          <w:p w14:paraId="29FE4A4F" w14:textId="0B3B5F4A" w:rsidR="0092758C" w:rsidRPr="00D6313C" w:rsidRDefault="0092758C" w:rsidP="00D6313C">
            <w:pPr>
              <w:spacing w:before="240"/>
              <w:ind w:left="34"/>
              <w:rPr>
                <w:b/>
              </w:rPr>
            </w:pPr>
            <w:r>
              <w:rPr>
                <w:b/>
              </w:rPr>
              <w:lastRenderedPageBreak/>
              <w:t xml:space="preserve">3.6 </w:t>
            </w:r>
            <w:r w:rsidRPr="00D6313C">
              <w:rPr>
                <w:b/>
              </w:rPr>
              <w:t xml:space="preserve">Quality improvement plan </w:t>
            </w:r>
          </w:p>
          <w:p w14:paraId="1B757578" w14:textId="77777777" w:rsidR="0092758C" w:rsidRPr="00D6313C" w:rsidRDefault="0092758C" w:rsidP="00D6313C">
            <w:pPr>
              <w:ind w:left="34"/>
            </w:pPr>
            <w:r w:rsidRPr="00D6313C">
              <w:t>If appropriate</w:t>
            </w:r>
          </w:p>
        </w:tc>
        <w:tc>
          <w:tcPr>
            <w:tcW w:w="7987" w:type="dxa"/>
          </w:tcPr>
          <w:p w14:paraId="04283BFD" w14:textId="77777777" w:rsidR="0092758C" w:rsidRPr="00D6313C" w:rsidRDefault="0092758C" w:rsidP="00D6313C">
            <w:pPr>
              <w:spacing w:before="240"/>
            </w:pPr>
            <w:r w:rsidRPr="00D6313C">
              <w:t>Revising and publishing this indicator in this way is expected to reduce the number of records where the smoking status of the mother is unknown.</w:t>
            </w:r>
          </w:p>
        </w:tc>
      </w:tr>
      <w:tr w:rsidR="0092758C" w:rsidRPr="00D6313C" w14:paraId="6FA01BA9" w14:textId="77777777" w:rsidTr="0092758C">
        <w:tc>
          <w:tcPr>
            <w:tcW w:w="1766" w:type="dxa"/>
          </w:tcPr>
          <w:p w14:paraId="53C00C31" w14:textId="04206E5D" w:rsidR="0092758C" w:rsidRPr="00D6313C" w:rsidRDefault="0092758C" w:rsidP="00D6313C">
            <w:pPr>
              <w:spacing w:before="240"/>
              <w:ind w:left="34"/>
              <w:rPr>
                <w:b/>
              </w:rPr>
            </w:pPr>
            <w:r>
              <w:rPr>
                <w:b/>
              </w:rPr>
              <w:t xml:space="preserve">3.7 </w:t>
            </w:r>
            <w:r w:rsidRPr="00D6313C">
              <w:rPr>
                <w:b/>
              </w:rPr>
              <w:t>Data linkage</w:t>
            </w:r>
          </w:p>
        </w:tc>
        <w:tc>
          <w:tcPr>
            <w:tcW w:w="7987" w:type="dxa"/>
          </w:tcPr>
          <w:p w14:paraId="09A08F24" w14:textId="77777777" w:rsidR="0092758C" w:rsidRPr="00D6313C" w:rsidRDefault="0092758C" w:rsidP="00D6313C">
            <w:pPr>
              <w:spacing w:before="240"/>
            </w:pPr>
            <w:r w:rsidRPr="00D6313C">
              <w:t>N/A</w:t>
            </w:r>
          </w:p>
        </w:tc>
      </w:tr>
      <w:tr w:rsidR="0092758C" w:rsidRPr="00D6313C" w14:paraId="2EC209B9" w14:textId="77777777" w:rsidTr="0092758C">
        <w:tc>
          <w:tcPr>
            <w:tcW w:w="1766" w:type="dxa"/>
          </w:tcPr>
          <w:p w14:paraId="251A63EF" w14:textId="430EAB79" w:rsidR="0092758C" w:rsidRPr="00D6313C" w:rsidRDefault="0092758C" w:rsidP="00D6313C">
            <w:pPr>
              <w:spacing w:before="240"/>
              <w:ind w:left="34"/>
              <w:rPr>
                <w:b/>
              </w:rPr>
            </w:pPr>
            <w:r>
              <w:rPr>
                <w:b/>
              </w:rPr>
              <w:t xml:space="preserve">3.8 </w:t>
            </w:r>
            <w:r w:rsidRPr="00D6313C">
              <w:rPr>
                <w:b/>
              </w:rPr>
              <w:t>Quality of data linkage</w:t>
            </w:r>
          </w:p>
        </w:tc>
        <w:tc>
          <w:tcPr>
            <w:tcW w:w="7987" w:type="dxa"/>
          </w:tcPr>
          <w:p w14:paraId="0078A0EB" w14:textId="77777777" w:rsidR="0092758C" w:rsidRPr="00D6313C" w:rsidRDefault="0092758C" w:rsidP="00D6313C">
            <w:pPr>
              <w:spacing w:before="240"/>
            </w:pPr>
            <w:r w:rsidRPr="00D6313C">
              <w:t>N/A</w:t>
            </w:r>
          </w:p>
        </w:tc>
      </w:tr>
      <w:tr w:rsidR="0092758C" w:rsidRPr="00D6313C" w14:paraId="4BAA1408" w14:textId="77777777" w:rsidTr="0092758C">
        <w:tc>
          <w:tcPr>
            <w:tcW w:w="1766" w:type="dxa"/>
          </w:tcPr>
          <w:p w14:paraId="2CF81D65" w14:textId="252CFA7B" w:rsidR="0092758C" w:rsidRPr="00D6313C" w:rsidRDefault="0092758C" w:rsidP="00D6313C">
            <w:pPr>
              <w:spacing w:before="240"/>
              <w:ind w:left="34"/>
              <w:rPr>
                <w:b/>
              </w:rPr>
            </w:pPr>
            <w:r>
              <w:rPr>
                <w:b/>
              </w:rPr>
              <w:t>3.9</w:t>
            </w:r>
            <w:r w:rsidRPr="00D6313C">
              <w:rPr>
                <w:b/>
              </w:rPr>
              <w:t>Data fields</w:t>
            </w:r>
          </w:p>
        </w:tc>
        <w:tc>
          <w:tcPr>
            <w:tcW w:w="7987" w:type="dxa"/>
          </w:tcPr>
          <w:p w14:paraId="458C82E8" w14:textId="17BD05C4" w:rsidR="0092758C" w:rsidRPr="00D6313C" w:rsidRDefault="0092758C" w:rsidP="00D6313C">
            <w:r w:rsidRPr="00D6313C">
              <w:t>The data fields from the published data are as follows:</w:t>
            </w:r>
          </w:p>
          <w:p w14:paraId="3A86E89B" w14:textId="77777777" w:rsidR="0092758C" w:rsidRPr="00D6313C" w:rsidRDefault="0092758C" w:rsidP="008B5CC1">
            <w:pPr>
              <w:pStyle w:val="ListParagraph"/>
              <w:numPr>
                <w:ilvl w:val="0"/>
                <w:numId w:val="10"/>
              </w:numPr>
              <w:spacing w:after="0" w:line="240" w:lineRule="auto"/>
              <w:ind w:left="714" w:hanging="357"/>
              <w:contextualSpacing w:val="0"/>
              <w:textboxTightWrap w:val="lastLineOnly"/>
              <w:rPr>
                <w:rFonts w:ascii="Arial" w:hAnsi="Arial" w:cs="Arial"/>
              </w:rPr>
            </w:pPr>
            <w:r w:rsidRPr="00D6313C">
              <w:rPr>
                <w:rFonts w:ascii="Arial" w:hAnsi="Arial" w:cs="Arial"/>
              </w:rPr>
              <w:t>CCG code</w:t>
            </w:r>
          </w:p>
          <w:p w14:paraId="6496527B" w14:textId="77777777" w:rsidR="0092758C" w:rsidRPr="00D6313C" w:rsidRDefault="0092758C" w:rsidP="008B5CC1">
            <w:pPr>
              <w:pStyle w:val="ListParagraph"/>
              <w:numPr>
                <w:ilvl w:val="0"/>
                <w:numId w:val="10"/>
              </w:numPr>
              <w:spacing w:after="0" w:line="240" w:lineRule="auto"/>
              <w:ind w:left="714" w:hanging="357"/>
              <w:contextualSpacing w:val="0"/>
              <w:textboxTightWrap w:val="lastLineOnly"/>
              <w:rPr>
                <w:rFonts w:ascii="Arial" w:hAnsi="Arial" w:cs="Arial"/>
              </w:rPr>
            </w:pPr>
            <w:r w:rsidRPr="00D6313C">
              <w:rPr>
                <w:rFonts w:ascii="Arial" w:hAnsi="Arial" w:cs="Arial"/>
              </w:rPr>
              <w:t>CCG name</w:t>
            </w:r>
          </w:p>
          <w:p w14:paraId="75E72028" w14:textId="77777777" w:rsidR="0092758C" w:rsidRPr="00D6313C" w:rsidRDefault="0092758C" w:rsidP="008B5CC1">
            <w:pPr>
              <w:pStyle w:val="ListParagraph"/>
              <w:numPr>
                <w:ilvl w:val="0"/>
                <w:numId w:val="10"/>
              </w:numPr>
              <w:spacing w:after="0" w:line="240" w:lineRule="auto"/>
              <w:ind w:left="714" w:hanging="357"/>
              <w:contextualSpacing w:val="0"/>
              <w:textboxTightWrap w:val="lastLineOnly"/>
              <w:rPr>
                <w:rFonts w:ascii="Arial" w:hAnsi="Arial" w:cs="Arial"/>
              </w:rPr>
            </w:pPr>
            <w:r w:rsidRPr="00D6313C">
              <w:rPr>
                <w:rFonts w:ascii="Arial" w:hAnsi="Arial" w:cs="Arial"/>
              </w:rPr>
              <w:t>Number of maternities</w:t>
            </w:r>
          </w:p>
          <w:p w14:paraId="3EC998D1" w14:textId="77777777" w:rsidR="0092758C" w:rsidRPr="00D6313C" w:rsidRDefault="0092758C" w:rsidP="008B5CC1">
            <w:pPr>
              <w:pStyle w:val="ListParagraph"/>
              <w:numPr>
                <w:ilvl w:val="0"/>
                <w:numId w:val="10"/>
              </w:numPr>
              <w:spacing w:after="0" w:line="240" w:lineRule="auto"/>
              <w:ind w:left="714" w:hanging="357"/>
              <w:contextualSpacing w:val="0"/>
              <w:textboxTightWrap w:val="lastLineOnly"/>
              <w:rPr>
                <w:rFonts w:ascii="Arial" w:hAnsi="Arial" w:cs="Arial"/>
              </w:rPr>
            </w:pPr>
            <w:r w:rsidRPr="00D6313C">
              <w:rPr>
                <w:rFonts w:ascii="Arial" w:hAnsi="Arial" w:cs="Arial"/>
              </w:rPr>
              <w:t>Number of women smoking at time of delivery</w:t>
            </w:r>
          </w:p>
          <w:p w14:paraId="56F84E2F" w14:textId="77777777" w:rsidR="0092758C" w:rsidRPr="00D6313C" w:rsidRDefault="0092758C" w:rsidP="008B5CC1">
            <w:pPr>
              <w:pStyle w:val="ListParagraph"/>
              <w:numPr>
                <w:ilvl w:val="0"/>
                <w:numId w:val="10"/>
              </w:numPr>
              <w:spacing w:after="0" w:line="240" w:lineRule="auto"/>
              <w:ind w:left="714" w:hanging="357"/>
              <w:contextualSpacing w:val="0"/>
              <w:textboxTightWrap w:val="lastLineOnly"/>
              <w:rPr>
                <w:rFonts w:ascii="Arial" w:hAnsi="Arial" w:cs="Arial"/>
              </w:rPr>
            </w:pPr>
            <w:r w:rsidRPr="00D6313C">
              <w:rPr>
                <w:rFonts w:ascii="Arial" w:hAnsi="Arial" w:cs="Arial"/>
              </w:rPr>
              <w:t>Number of women whose smoking status at time of delivery was not known</w:t>
            </w:r>
          </w:p>
          <w:p w14:paraId="0EDC4D20" w14:textId="77777777" w:rsidR="0092758C" w:rsidRPr="00D6313C" w:rsidRDefault="0092758C" w:rsidP="008B5CC1">
            <w:pPr>
              <w:pStyle w:val="ListParagraph"/>
              <w:numPr>
                <w:ilvl w:val="0"/>
                <w:numId w:val="10"/>
              </w:numPr>
              <w:spacing w:after="0" w:line="240" w:lineRule="auto"/>
              <w:ind w:left="714" w:hanging="357"/>
              <w:contextualSpacing w:val="0"/>
              <w:textboxTightWrap w:val="lastLineOnly"/>
              <w:rPr>
                <w:rFonts w:ascii="Arial" w:hAnsi="Arial" w:cs="Arial"/>
              </w:rPr>
            </w:pPr>
            <w:r w:rsidRPr="00D6313C">
              <w:rPr>
                <w:rFonts w:ascii="Arial" w:hAnsi="Arial" w:cs="Arial"/>
              </w:rPr>
              <w:t>Percentage of women smoking at time of delivery</w:t>
            </w:r>
          </w:p>
          <w:p w14:paraId="34877541" w14:textId="77777777" w:rsidR="0092758C" w:rsidRPr="00D6313C" w:rsidRDefault="0092758C" w:rsidP="008B5CC1">
            <w:pPr>
              <w:pStyle w:val="ListParagraph"/>
              <w:numPr>
                <w:ilvl w:val="0"/>
                <w:numId w:val="10"/>
              </w:numPr>
              <w:spacing w:after="0" w:line="240" w:lineRule="auto"/>
              <w:contextualSpacing w:val="0"/>
              <w:textboxTightWrap w:val="lastLineOnly"/>
              <w:rPr>
                <w:rFonts w:ascii="Arial" w:hAnsi="Arial" w:cs="Arial"/>
                <w:sz w:val="23"/>
                <w:szCs w:val="23"/>
              </w:rPr>
            </w:pPr>
            <w:r w:rsidRPr="00D6313C">
              <w:rPr>
                <w:rFonts w:ascii="Arial" w:hAnsi="Arial" w:cs="Arial"/>
              </w:rPr>
              <w:t>95% confidence interval</w:t>
            </w:r>
          </w:p>
        </w:tc>
      </w:tr>
      <w:tr w:rsidR="0092758C" w:rsidRPr="00D6313C" w14:paraId="77774EA1" w14:textId="77777777" w:rsidTr="0092758C">
        <w:trPr>
          <w:trHeight w:val="416"/>
        </w:trPr>
        <w:tc>
          <w:tcPr>
            <w:tcW w:w="1766" w:type="dxa"/>
          </w:tcPr>
          <w:p w14:paraId="6AC0FC67" w14:textId="72730EE0" w:rsidR="0092758C" w:rsidRPr="00D6313C" w:rsidRDefault="0092758C" w:rsidP="00D6313C">
            <w:pPr>
              <w:spacing w:before="240"/>
              <w:ind w:left="34"/>
              <w:rPr>
                <w:b/>
              </w:rPr>
            </w:pPr>
            <w:r>
              <w:rPr>
                <w:b/>
              </w:rPr>
              <w:t xml:space="preserve">3.10 </w:t>
            </w:r>
            <w:r w:rsidRPr="00D6313C">
              <w:rPr>
                <w:b/>
              </w:rPr>
              <w:t>Data filters</w:t>
            </w:r>
          </w:p>
        </w:tc>
        <w:tc>
          <w:tcPr>
            <w:tcW w:w="7987" w:type="dxa"/>
          </w:tcPr>
          <w:p w14:paraId="089FD9E8" w14:textId="77777777" w:rsidR="0092758C" w:rsidRPr="00D6313C" w:rsidRDefault="0092758C" w:rsidP="00D6313C">
            <w:pPr>
              <w:spacing w:before="240"/>
            </w:pPr>
            <w:r w:rsidRPr="00D6313C">
              <w:t xml:space="preserve">Previously, data that failed a validation check (e.g. percentage of women whose smoking status was not known &gt;5 per cent) was not published. From quarter 1 of 2013/14, all data has been published along with the number of unknowns in the HSCIC Smoking at the Time of Delivery report to indicate the quality of the data. </w:t>
            </w:r>
          </w:p>
        </w:tc>
      </w:tr>
      <w:tr w:rsidR="0092758C" w:rsidRPr="00D6313C" w14:paraId="16515579" w14:textId="77777777" w:rsidTr="0092758C">
        <w:tc>
          <w:tcPr>
            <w:tcW w:w="1766" w:type="dxa"/>
          </w:tcPr>
          <w:p w14:paraId="09C9628A" w14:textId="31C59BBA" w:rsidR="0092758C" w:rsidRPr="00D6313C" w:rsidRDefault="0092758C" w:rsidP="00D6313C">
            <w:pPr>
              <w:spacing w:before="240"/>
              <w:ind w:left="34"/>
              <w:rPr>
                <w:b/>
              </w:rPr>
            </w:pPr>
            <w:r>
              <w:rPr>
                <w:b/>
              </w:rPr>
              <w:t xml:space="preserve">3.11 </w:t>
            </w:r>
            <w:r w:rsidRPr="00D6313C">
              <w:rPr>
                <w:b/>
              </w:rPr>
              <w:t xml:space="preserve">Justifications of inclusions and exclusions </w:t>
            </w:r>
          </w:p>
          <w:p w14:paraId="0DD60055" w14:textId="77777777" w:rsidR="0092758C" w:rsidRPr="00D6313C" w:rsidRDefault="0092758C" w:rsidP="00D6313C">
            <w:pPr>
              <w:ind w:left="34"/>
            </w:pPr>
            <w:r w:rsidRPr="00D6313C">
              <w:t>and how these adhere to standard definitions</w:t>
            </w:r>
          </w:p>
        </w:tc>
        <w:tc>
          <w:tcPr>
            <w:tcW w:w="7987" w:type="dxa"/>
          </w:tcPr>
          <w:p w14:paraId="65D77932" w14:textId="77777777" w:rsidR="0092758C" w:rsidRPr="00D6313C" w:rsidRDefault="0092758C" w:rsidP="00D6313C">
            <w:pPr>
              <w:spacing w:before="240"/>
            </w:pPr>
            <w:r w:rsidRPr="00D6313C">
              <w:t>N/A.</w:t>
            </w:r>
          </w:p>
        </w:tc>
      </w:tr>
      <w:tr w:rsidR="0092758C" w:rsidRPr="00D6313C" w14:paraId="344EA436" w14:textId="77777777" w:rsidTr="0092758C">
        <w:tc>
          <w:tcPr>
            <w:tcW w:w="1766" w:type="dxa"/>
          </w:tcPr>
          <w:p w14:paraId="07577D4F" w14:textId="4176BF70" w:rsidR="0092758C" w:rsidRPr="00D6313C" w:rsidRDefault="0092758C" w:rsidP="00D6313C">
            <w:pPr>
              <w:spacing w:before="240"/>
              <w:ind w:left="34"/>
              <w:rPr>
                <w:b/>
              </w:rPr>
            </w:pPr>
            <w:r>
              <w:rPr>
                <w:b/>
              </w:rPr>
              <w:t xml:space="preserve">3.12 </w:t>
            </w:r>
            <w:r w:rsidRPr="00D6313C">
              <w:rPr>
                <w:b/>
              </w:rPr>
              <w:t>Data processing</w:t>
            </w:r>
          </w:p>
        </w:tc>
        <w:tc>
          <w:tcPr>
            <w:tcW w:w="7987" w:type="dxa"/>
          </w:tcPr>
          <w:p w14:paraId="426EEB88" w14:textId="4992FEBA" w:rsidR="0092758C" w:rsidRPr="00D6313C" w:rsidRDefault="0092758C" w:rsidP="00D6313C">
            <w:pPr>
              <w:spacing w:before="240"/>
            </w:pPr>
            <w:r w:rsidRPr="00D6313C">
              <w:t xml:space="preserve">The calculated CCG level indicator is taken from the published Statistics on Smoking at the Time of </w:t>
            </w:r>
            <w:proofErr w:type="gramStart"/>
            <w:r w:rsidRPr="00D6313C">
              <w:t>Delivery  produced</w:t>
            </w:r>
            <w:proofErr w:type="gramEnd"/>
            <w:r w:rsidRPr="00D6313C">
              <w:t xml:space="preserve"> by  the Lifestyles team within NHS Digital. It includes the percentage of women smoking at time of delivery, Number of women whose smoking status at time of delivery was not known, </w:t>
            </w:r>
            <w:r w:rsidRPr="00D6313C">
              <w:lastRenderedPageBreak/>
              <w:t>numerator, denominator and 95% confidence intervals. The Clinical Indicators (CI) Team take this data and reformat it for CCG OIS publication. No suppression is applied to this indicator.</w:t>
            </w:r>
          </w:p>
        </w:tc>
      </w:tr>
    </w:tbl>
    <w:p w14:paraId="47FE835C" w14:textId="77777777" w:rsidR="008B5CC1" w:rsidRPr="00D6313C" w:rsidRDefault="008B5CC1">
      <w:r w:rsidRPr="00D6313C">
        <w:lastRenderedPageBreak/>
        <w:br w:type="page"/>
      </w:r>
    </w:p>
    <w:p w14:paraId="24D523CA" w14:textId="717B90E9" w:rsidR="0092758C" w:rsidRDefault="0092758C">
      <w:r>
        <w:lastRenderedPageBreak/>
        <w:t>Section 4. Construction</w:t>
      </w:r>
    </w:p>
    <w:tbl>
      <w:tblPr>
        <w:tblStyle w:val="TableGrid1"/>
        <w:tblW w:w="0" w:type="auto"/>
        <w:tblLook w:val="04A0" w:firstRow="1" w:lastRow="0" w:firstColumn="1" w:lastColumn="0" w:noHBand="0" w:noVBand="1"/>
      </w:tblPr>
      <w:tblGrid>
        <w:gridCol w:w="2268"/>
        <w:gridCol w:w="6853"/>
      </w:tblGrid>
      <w:tr w:rsidR="0092758C" w:rsidRPr="00D6313C" w14:paraId="1BA11C80" w14:textId="77777777" w:rsidTr="00D6313C">
        <w:tc>
          <w:tcPr>
            <w:tcW w:w="2268" w:type="dxa"/>
          </w:tcPr>
          <w:p w14:paraId="7659C7E2" w14:textId="22A996D7" w:rsidR="0092758C" w:rsidRPr="00D6313C" w:rsidRDefault="0092758C" w:rsidP="00D6313C">
            <w:pPr>
              <w:spacing w:before="240"/>
              <w:ind w:left="34"/>
              <w:rPr>
                <w:b/>
              </w:rPr>
            </w:pPr>
            <w:r>
              <w:rPr>
                <w:b/>
              </w:rPr>
              <w:t xml:space="preserve">4.1 </w:t>
            </w:r>
            <w:r w:rsidRPr="00D6313C">
              <w:rPr>
                <w:b/>
              </w:rPr>
              <w:t>Numerator</w:t>
            </w:r>
          </w:p>
        </w:tc>
        <w:tc>
          <w:tcPr>
            <w:tcW w:w="6853" w:type="dxa"/>
          </w:tcPr>
          <w:p w14:paraId="6D561CF0" w14:textId="77777777" w:rsidR="0092758C" w:rsidRPr="00D6313C" w:rsidRDefault="0092758C" w:rsidP="00D6313C">
            <w:pPr>
              <w:spacing w:before="240"/>
            </w:pPr>
            <w:r w:rsidRPr="00D6313C">
              <w:t>The number of women who were smoking at the time of delivery.</w:t>
            </w:r>
          </w:p>
        </w:tc>
      </w:tr>
      <w:tr w:rsidR="0092758C" w:rsidRPr="00D6313C" w14:paraId="3B5FF48F" w14:textId="77777777" w:rsidTr="00D6313C">
        <w:tc>
          <w:tcPr>
            <w:tcW w:w="2268" w:type="dxa"/>
          </w:tcPr>
          <w:p w14:paraId="38CAFC52" w14:textId="24AA6E05" w:rsidR="0092758C" w:rsidRPr="00D6313C" w:rsidRDefault="0092758C" w:rsidP="00D6313C">
            <w:pPr>
              <w:spacing w:before="240"/>
              <w:ind w:left="34"/>
              <w:rPr>
                <w:b/>
              </w:rPr>
            </w:pPr>
            <w:r>
              <w:rPr>
                <w:b/>
              </w:rPr>
              <w:t xml:space="preserve">4.2 </w:t>
            </w:r>
            <w:r w:rsidRPr="00D6313C">
              <w:rPr>
                <w:b/>
              </w:rPr>
              <w:t>Denominator</w:t>
            </w:r>
          </w:p>
        </w:tc>
        <w:tc>
          <w:tcPr>
            <w:tcW w:w="6853" w:type="dxa"/>
          </w:tcPr>
          <w:p w14:paraId="5E3EA3CA" w14:textId="77777777" w:rsidR="0092758C" w:rsidRPr="00D6313C" w:rsidRDefault="0092758C" w:rsidP="00D6313C">
            <w:pPr>
              <w:spacing w:before="240"/>
            </w:pPr>
            <w:r w:rsidRPr="00D6313C">
              <w:t>The number of maternities which is defined as the number of pregnant women who give birth to one or more live or stillborn babies of at least 24 weeks gestation, where the baby is delivered by either a midwife or doctor at home or in an NHS hospital (including GP units). This count is the number of pregnant women, not the number of babies (deliveries). It does not include maternities that occur in psychiatric hospitals or private beds / hospitals.</w:t>
            </w:r>
          </w:p>
          <w:p w14:paraId="241E5998" w14:textId="77777777" w:rsidR="0092758C" w:rsidRPr="00D6313C" w:rsidRDefault="0092758C" w:rsidP="00D6313C">
            <w:pPr>
              <w:spacing w:before="240"/>
            </w:pPr>
          </w:p>
        </w:tc>
      </w:tr>
      <w:tr w:rsidR="0092758C" w:rsidRPr="00D6313C" w14:paraId="48E028A5" w14:textId="77777777" w:rsidTr="00D6313C">
        <w:tc>
          <w:tcPr>
            <w:tcW w:w="2268" w:type="dxa"/>
          </w:tcPr>
          <w:p w14:paraId="0F868BD7" w14:textId="71463CE7" w:rsidR="0092758C" w:rsidRPr="00D6313C" w:rsidRDefault="0092758C" w:rsidP="00D6313C">
            <w:pPr>
              <w:spacing w:before="240"/>
              <w:ind w:left="34"/>
              <w:rPr>
                <w:b/>
              </w:rPr>
            </w:pPr>
            <w:r>
              <w:rPr>
                <w:b/>
              </w:rPr>
              <w:t xml:space="preserve">4.3 </w:t>
            </w:r>
            <w:r w:rsidRPr="00D6313C">
              <w:rPr>
                <w:b/>
              </w:rPr>
              <w:t>Computation</w:t>
            </w:r>
          </w:p>
        </w:tc>
        <w:tc>
          <w:tcPr>
            <w:tcW w:w="6853" w:type="dxa"/>
          </w:tcPr>
          <w:p w14:paraId="37AF7DEA" w14:textId="77777777" w:rsidR="0092758C" w:rsidRPr="00D6313C" w:rsidRDefault="0092758C" w:rsidP="00D6313C">
            <w:pPr>
              <w:spacing w:before="240"/>
            </w:pPr>
            <w:r w:rsidRPr="00D6313C">
              <w:t>The current indicator is calculated as a percentage.</w:t>
            </w:r>
          </w:p>
          <w:p w14:paraId="627E466F" w14:textId="77777777" w:rsidR="0092758C" w:rsidRPr="00D6313C" w:rsidRDefault="0092758C" w:rsidP="00D6313C">
            <w:pPr>
              <w:spacing w:before="240"/>
            </w:pPr>
            <w:r w:rsidRPr="00D6313C">
              <w:t>Percentage of mothers known to be smokers at the time of delivery: 100 x (Number of mothers known to be smokers at the time of delivery / Number of maternities)</w:t>
            </w:r>
          </w:p>
          <w:p w14:paraId="2160F4A8" w14:textId="77777777" w:rsidR="0092758C" w:rsidRPr="00D6313C" w:rsidRDefault="0092758C" w:rsidP="00D6313C">
            <w:pPr>
              <w:spacing w:before="240"/>
            </w:pPr>
            <w:r w:rsidRPr="00D6313C">
              <w:t>The proposed indicator is calculated as follows:</w:t>
            </w:r>
          </w:p>
          <w:p w14:paraId="1F968CD4" w14:textId="77777777" w:rsidR="0092758C" w:rsidRPr="00D6313C" w:rsidRDefault="0092758C" w:rsidP="00D6313C">
            <w:pPr>
              <w:spacing w:before="240"/>
              <w:rPr>
                <w:rFonts w:eastAsia="Times New Roman"/>
                <w:szCs w:val="18"/>
                <w:lang w:eastAsia="en-GB"/>
              </w:rPr>
            </w:pPr>
            <w:r w:rsidRPr="00D6313C">
              <w:rPr>
                <w:rFonts w:eastAsia="Times New Roman"/>
                <w:szCs w:val="18"/>
                <w:lang w:eastAsia="en-GB"/>
              </w:rPr>
              <w:t>Percentage of mothers whose smoking status was not known at the time of delivery (excluding unknowns) :</w:t>
            </w:r>
            <w:r w:rsidRPr="00D6313C" w:rsidDel="008E5C4B">
              <w:rPr>
                <w:rFonts w:eastAsia="Times New Roman"/>
                <w:szCs w:val="18"/>
                <w:lang w:eastAsia="en-GB"/>
              </w:rPr>
              <w:t xml:space="preserve"> </w:t>
            </w:r>
            <w:r w:rsidRPr="00D6313C">
              <w:rPr>
                <w:rFonts w:eastAsia="Times New Roman"/>
                <w:szCs w:val="18"/>
                <w:lang w:eastAsia="en-GB"/>
              </w:rPr>
              <w:t>100 x number of mothers recorded as smoking at time of delivery / (number of mothers recorded as smoking at time of delivery + number of mothers recorded as not smoking at time of delivery)</w:t>
            </w:r>
          </w:p>
          <w:p w14:paraId="6DA5528A" w14:textId="77777777" w:rsidR="0092758C" w:rsidRPr="00D6313C" w:rsidRDefault="0092758C" w:rsidP="00D6313C">
            <w:pPr>
              <w:spacing w:before="240"/>
            </w:pPr>
            <w:r w:rsidRPr="00D6313C">
              <w:t xml:space="preserve">From April 2017, the definition will change to exclude the unknowns from the denominator when calculating the proportion of women smoking at the time of delivery.  Therefore the indicator will be published under both definitions during 2016/17 to allow time to work with CCGs to improve the quality of this data, and to co-ordinate the change with the publication of the new Government tobacco control plan for England which is expected later in 2016.  This will also allow CCGs to assess what the impact will be of switching to the new definition.   More information is available in the Government response to the consultation on the Public Health Outcomes Framework (PHOF).  </w:t>
            </w:r>
          </w:p>
          <w:p w14:paraId="7A5C7ACE" w14:textId="77777777" w:rsidR="0092758C" w:rsidRPr="00D6313C" w:rsidRDefault="0092758C">
            <w:pPr>
              <w:spacing w:before="240"/>
            </w:pPr>
          </w:p>
        </w:tc>
      </w:tr>
      <w:tr w:rsidR="0092758C" w:rsidRPr="00D6313C" w14:paraId="064574BE" w14:textId="77777777" w:rsidTr="00D6313C">
        <w:tc>
          <w:tcPr>
            <w:tcW w:w="2268" w:type="dxa"/>
          </w:tcPr>
          <w:p w14:paraId="1BB9FBD8" w14:textId="44D2FD00" w:rsidR="0092758C" w:rsidRPr="00D6313C" w:rsidRDefault="0092758C" w:rsidP="00D6313C">
            <w:pPr>
              <w:spacing w:before="240"/>
              <w:ind w:left="34"/>
              <w:rPr>
                <w:b/>
              </w:rPr>
            </w:pPr>
            <w:r>
              <w:rPr>
                <w:b/>
              </w:rPr>
              <w:t xml:space="preserve">4.4 </w:t>
            </w:r>
            <w:r w:rsidRPr="00D6313C">
              <w:rPr>
                <w:b/>
              </w:rPr>
              <w:t>Risk adjustment or standardisation type and methodology</w:t>
            </w:r>
          </w:p>
        </w:tc>
        <w:tc>
          <w:tcPr>
            <w:tcW w:w="6853" w:type="dxa"/>
          </w:tcPr>
          <w:p w14:paraId="48FF53FA" w14:textId="77777777" w:rsidR="0092758C" w:rsidRPr="00D6313C" w:rsidRDefault="0092758C" w:rsidP="00D6313C">
            <w:pPr>
              <w:spacing w:before="240"/>
            </w:pPr>
            <w:r w:rsidRPr="00D6313C">
              <w:t>The indicator is not standardised or risk adjusted.</w:t>
            </w:r>
          </w:p>
        </w:tc>
      </w:tr>
      <w:tr w:rsidR="0092758C" w:rsidRPr="00D6313C" w14:paraId="65D5A71C" w14:textId="77777777" w:rsidTr="00D6313C">
        <w:tc>
          <w:tcPr>
            <w:tcW w:w="2268" w:type="dxa"/>
          </w:tcPr>
          <w:p w14:paraId="531423D4" w14:textId="4098DA5A" w:rsidR="0092758C" w:rsidRPr="00D6313C" w:rsidRDefault="0092758C" w:rsidP="00D6313C">
            <w:pPr>
              <w:spacing w:before="240"/>
              <w:ind w:left="34"/>
              <w:rPr>
                <w:b/>
              </w:rPr>
            </w:pPr>
            <w:r>
              <w:rPr>
                <w:b/>
              </w:rPr>
              <w:t xml:space="preserve">4.5 </w:t>
            </w:r>
            <w:r w:rsidRPr="00D6313C">
              <w:rPr>
                <w:b/>
              </w:rPr>
              <w:t>Justification of risk adjustment type and variables</w:t>
            </w:r>
          </w:p>
          <w:p w14:paraId="46AF61FE" w14:textId="77777777" w:rsidR="0092758C" w:rsidRPr="00D6313C" w:rsidRDefault="0092758C" w:rsidP="00D6313C">
            <w:pPr>
              <w:ind w:left="34"/>
            </w:pPr>
            <w:r w:rsidRPr="00D6313C">
              <w:lastRenderedPageBreak/>
              <w:t>or why risk adjustment is not used</w:t>
            </w:r>
          </w:p>
        </w:tc>
        <w:tc>
          <w:tcPr>
            <w:tcW w:w="6853" w:type="dxa"/>
          </w:tcPr>
          <w:p w14:paraId="514F2F47" w14:textId="77777777" w:rsidR="0092758C" w:rsidRPr="00D6313C" w:rsidRDefault="0092758C" w:rsidP="00D6313C">
            <w:pPr>
              <w:spacing w:before="240"/>
            </w:pPr>
            <w:r w:rsidRPr="00D6313C">
              <w:lastRenderedPageBreak/>
              <w:t>N/A</w:t>
            </w:r>
          </w:p>
        </w:tc>
      </w:tr>
      <w:tr w:rsidR="0092758C" w:rsidRPr="00D6313C" w14:paraId="65AD1494" w14:textId="77777777" w:rsidTr="00D6313C">
        <w:tc>
          <w:tcPr>
            <w:tcW w:w="2268" w:type="dxa"/>
          </w:tcPr>
          <w:p w14:paraId="43ACCD45" w14:textId="3DD4B733" w:rsidR="0092758C" w:rsidRPr="00D6313C" w:rsidRDefault="0092758C" w:rsidP="00D6313C">
            <w:pPr>
              <w:spacing w:before="240"/>
              <w:ind w:left="34"/>
              <w:rPr>
                <w:b/>
              </w:rPr>
            </w:pPr>
            <w:r>
              <w:rPr>
                <w:b/>
              </w:rPr>
              <w:t xml:space="preserve">4.6 </w:t>
            </w:r>
            <w:r w:rsidRPr="00D6313C">
              <w:rPr>
                <w:b/>
              </w:rPr>
              <w:t>Confidence interval / control limit use and methodology</w:t>
            </w:r>
          </w:p>
        </w:tc>
        <w:tc>
          <w:tcPr>
            <w:tcW w:w="6853" w:type="dxa"/>
          </w:tcPr>
          <w:sdt>
            <w:sdtPr>
              <w:alias w:val="Confidence Interval/control limit use"/>
              <w:tag w:val="Confidence Interval/control limit use"/>
              <w:id w:val="1287858884"/>
              <w:placeholder>
                <w:docPart w:val="F2752924CF0A4C758B1F179AEE7E599A"/>
              </w:placeholder>
              <w:dropDownList>
                <w:listItem w:value="Choose an item."/>
                <w:listItem w:displayText="Confidence Intervals" w:value="Confidence Intervals"/>
                <w:listItem w:displayText="Control Limits" w:value="Control Limits"/>
                <w:listItem w:displayText="None" w:value="None"/>
              </w:dropDownList>
            </w:sdtPr>
            <w:sdtEndPr/>
            <w:sdtContent>
              <w:p w14:paraId="574B9B98" w14:textId="77777777" w:rsidR="0092758C" w:rsidRPr="00D6313C" w:rsidRDefault="0092758C" w:rsidP="00D6313C">
                <w:pPr>
                  <w:spacing w:before="240"/>
                </w:pPr>
                <w:r w:rsidRPr="00D6313C">
                  <w:t>Confidence Intervals</w:t>
                </w:r>
              </w:p>
            </w:sdtContent>
          </w:sdt>
          <w:p w14:paraId="0A9CF3A8" w14:textId="77777777" w:rsidR="0092758C" w:rsidRPr="00D6313C" w:rsidRDefault="0092758C" w:rsidP="00D6313C">
            <w:pPr>
              <w:spacing w:before="240"/>
            </w:pPr>
            <w:r w:rsidRPr="00D6313C">
              <w:t xml:space="preserve">Confidence intervals are calculated using the Wilson Score method, as specified in “Commonly used public health statistics and their confidence intervals” (Public Health England (PHE), March 2008 </w:t>
            </w:r>
            <w:hyperlink r:id="rId21" w:history="1">
              <w:r w:rsidRPr="00D6313C">
                <w:rPr>
                  <w:rStyle w:val="Hyperlink"/>
                  <w:color w:val="auto"/>
                </w:rPr>
                <w:t>http://www.apho.org.uk/resource/view.aspx?RID=48617</w:t>
              </w:r>
            </w:hyperlink>
            <w:r w:rsidRPr="00D6313C">
              <w:t>).</w:t>
            </w:r>
          </w:p>
          <w:p w14:paraId="423C3AEA" w14:textId="77777777" w:rsidR="0092758C" w:rsidRPr="00D6313C" w:rsidRDefault="0092758C" w:rsidP="00D6313C">
            <w:pPr>
              <w:spacing w:before="240"/>
            </w:pPr>
            <w:r w:rsidRPr="00D6313C">
              <w:t xml:space="preserve">The formulae for the 100(1 – α)% confidence interval limits for the proportion </w:t>
            </w:r>
            <w:r w:rsidRPr="00D6313C">
              <w:rPr>
                <w:i/>
              </w:rPr>
              <w:t>p</w:t>
            </w:r>
            <w:r w:rsidRPr="00D6313C">
              <w:t xml:space="preserve"> are:</w:t>
            </w:r>
          </w:p>
          <w:p w14:paraId="1BACF668" w14:textId="77777777" w:rsidR="0092758C" w:rsidRPr="00D6313C" w:rsidRDefault="00657EF8" w:rsidP="00D6313C">
            <w:pPr>
              <w:spacing w:before="240"/>
            </w:pPr>
            <m:oMathPara>
              <m:oMath>
                <m:sSub>
                  <m:sSubPr>
                    <m:ctrlPr>
                      <w:rPr>
                        <w:rFonts w:ascii="Cambria Math" w:hAnsi="Cambria Math"/>
                        <w:i/>
                      </w:rPr>
                    </m:ctrlPr>
                  </m:sSubPr>
                  <m:e>
                    <m:r>
                      <w:rPr>
                        <w:rFonts w:ascii="Cambria Math" w:hAnsi="Cambria Math"/>
                      </w:rPr>
                      <m:t>P</m:t>
                    </m:r>
                  </m:e>
                  <m:sub>
                    <m:r>
                      <w:rPr>
                        <w:rFonts w:ascii="Cambria Math" w:hAnsi="Cambria Math"/>
                      </w:rPr>
                      <m:t>lower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4O</m:t>
                            </m:r>
                          </m:e>
                          <m:sub>
                            <m:r>
                              <w:rPr>
                                <w:rFonts w:ascii="Cambria Math" w:hAnsi="Cambria Math"/>
                              </w:rPr>
                              <m:t>q</m:t>
                            </m:r>
                          </m:sub>
                        </m:sSub>
                      </m:e>
                    </m:rad>
                  </m:num>
                  <m:den>
                    <m:r>
                      <w:rPr>
                        <w:rFonts w:ascii="Cambria Math" w:hAnsi="Cambria Math"/>
                      </w:rPr>
                      <m:t>2</m:t>
                    </m:r>
                    <m:d>
                      <m:dPr>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5575ADA0" w14:textId="77777777" w:rsidR="0092758C" w:rsidRPr="00D6313C" w:rsidRDefault="00657EF8" w:rsidP="00D6313C">
            <w:pPr>
              <w:spacing w:before="240"/>
            </w:pPr>
            <m:oMathPara>
              <m:oMath>
                <m:sSub>
                  <m:sSubPr>
                    <m:ctrlPr>
                      <w:rPr>
                        <w:rFonts w:ascii="Cambria Math" w:hAnsi="Cambria Math"/>
                        <w:i/>
                      </w:rPr>
                    </m:ctrlPr>
                  </m:sSubPr>
                  <m:e>
                    <m:r>
                      <w:rPr>
                        <w:rFonts w:ascii="Cambria Math" w:hAnsi="Cambria Math"/>
                      </w:rPr>
                      <m:t>P</m:t>
                    </m:r>
                  </m:e>
                  <m:sub>
                    <m:r>
                      <w:rPr>
                        <w:rFonts w:ascii="Cambria Math" w:hAnsi="Cambria Math"/>
                      </w:rPr>
                      <m:t>upper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4O</m:t>
                            </m:r>
                          </m:e>
                          <m:sub>
                            <m:r>
                              <w:rPr>
                                <w:rFonts w:ascii="Cambria Math" w:hAnsi="Cambria Math"/>
                              </w:rPr>
                              <m:t>q</m:t>
                            </m:r>
                          </m:sub>
                        </m:sSub>
                      </m:e>
                    </m:rad>
                  </m:num>
                  <m:den>
                    <m:r>
                      <w:rPr>
                        <w:rFonts w:ascii="Cambria Math" w:hAnsi="Cambria Math"/>
                      </w:rPr>
                      <m:t>2</m:t>
                    </m:r>
                    <m:d>
                      <m:dPr>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1E92B5A8" w14:textId="77777777" w:rsidR="0092758C" w:rsidRPr="00D6313C" w:rsidRDefault="0092758C" w:rsidP="00D6313C">
            <w:pPr>
              <w:spacing w:before="240"/>
            </w:pPr>
            <w:r w:rsidRPr="00D6313C">
              <w:t>where:</w:t>
            </w:r>
          </w:p>
          <w:p w14:paraId="7D4FC266" w14:textId="77777777" w:rsidR="0092758C" w:rsidRPr="00D6313C" w:rsidRDefault="0092758C" w:rsidP="00D6313C">
            <w:pPr>
              <w:spacing w:before="240"/>
            </w:pPr>
            <w:r w:rsidRPr="00D6313C">
              <w:rPr>
                <w:i/>
              </w:rPr>
              <w:t>O</w:t>
            </w:r>
            <w:r w:rsidRPr="00D6313C">
              <w:t xml:space="preserve"> is the observed number of individuals in the sample/population having the specified characteristic (i.e., the numerator);</w:t>
            </w:r>
          </w:p>
          <w:p w14:paraId="77E1B11F" w14:textId="77777777" w:rsidR="0092758C" w:rsidRPr="00D6313C" w:rsidRDefault="0092758C" w:rsidP="00D6313C">
            <w:pPr>
              <w:spacing w:before="240"/>
            </w:pPr>
            <w:r w:rsidRPr="00D6313C">
              <w:rPr>
                <w:i/>
              </w:rPr>
              <w:t>n</w:t>
            </w:r>
            <w:r w:rsidRPr="00D6313C">
              <w:t xml:space="preserve"> is the total number of individuals in the sample/population (i.e., the denominator);</w:t>
            </w:r>
          </w:p>
          <w:p w14:paraId="2854EC06" w14:textId="77777777" w:rsidR="0092758C" w:rsidRPr="00D6313C" w:rsidRDefault="0092758C" w:rsidP="00D6313C">
            <w:pPr>
              <w:spacing w:before="240"/>
            </w:pPr>
            <w:r w:rsidRPr="00D6313C">
              <w:rPr>
                <w:i/>
              </w:rPr>
              <w:t>q</w:t>
            </w:r>
            <w:r w:rsidRPr="00D6313C">
              <w:t xml:space="preserve"> = (1 – </w:t>
            </w:r>
            <w:r w:rsidRPr="00D6313C">
              <w:rPr>
                <w:i/>
              </w:rPr>
              <w:t>p</w:t>
            </w:r>
            <w:r w:rsidRPr="00D6313C">
              <w:t>) is the proportion without the specified characteristic;</w:t>
            </w:r>
          </w:p>
          <w:p w14:paraId="5CEF5C19" w14:textId="77777777" w:rsidR="0092758C" w:rsidRPr="00D6313C" w:rsidRDefault="0092758C" w:rsidP="00D6313C">
            <w:pPr>
              <w:spacing w:before="240"/>
            </w:pPr>
            <w:r w:rsidRPr="00D6313C">
              <w:rPr>
                <w:i/>
              </w:rPr>
              <w:t>z</w:t>
            </w:r>
            <w:r w:rsidRPr="00D6313C">
              <w:t xml:space="preserve"> is the 100(1 – α/</w:t>
            </w:r>
            <w:proofErr w:type="gramStart"/>
            <w:r w:rsidRPr="00D6313C">
              <w:t>2)</w:t>
            </w:r>
            <w:proofErr w:type="spellStart"/>
            <w:r w:rsidRPr="00D6313C">
              <w:t>th</w:t>
            </w:r>
            <w:proofErr w:type="spellEnd"/>
            <w:proofErr w:type="gramEnd"/>
            <w:r w:rsidRPr="00D6313C">
              <w:t xml:space="preserve"> percentile value from the Standard Normal distribution. For example for a 95% confidence interval, α = 0.05, and</w:t>
            </w:r>
            <w:r w:rsidRPr="00D6313C">
              <w:rPr>
                <w:i/>
              </w:rPr>
              <w:t xml:space="preserve"> z</w:t>
            </w:r>
            <w:r w:rsidRPr="00D6313C">
              <w:t xml:space="preserve"> = 1.96 (i.e. the 97.5th percentile value from the Standard Normal distribution).</w:t>
            </w:r>
          </w:p>
        </w:tc>
      </w:tr>
      <w:tr w:rsidR="0092758C" w:rsidRPr="00D6313C" w14:paraId="09EB5856" w14:textId="77777777" w:rsidTr="00D6313C">
        <w:tc>
          <w:tcPr>
            <w:tcW w:w="2268" w:type="dxa"/>
          </w:tcPr>
          <w:p w14:paraId="36E01952" w14:textId="32106043" w:rsidR="0092758C" w:rsidRPr="00D6313C" w:rsidRDefault="0092758C" w:rsidP="00D6313C">
            <w:pPr>
              <w:spacing w:before="240"/>
              <w:ind w:left="34"/>
              <w:rPr>
                <w:b/>
              </w:rPr>
            </w:pPr>
            <w:r>
              <w:rPr>
                <w:b/>
              </w:rPr>
              <w:t xml:space="preserve">4.7 </w:t>
            </w:r>
            <w:r w:rsidRPr="00D6313C">
              <w:rPr>
                <w:b/>
              </w:rPr>
              <w:t>Justification of confidence intervals / control limits used</w:t>
            </w:r>
          </w:p>
        </w:tc>
        <w:tc>
          <w:tcPr>
            <w:tcW w:w="6853" w:type="dxa"/>
          </w:tcPr>
          <w:p w14:paraId="4E382E96" w14:textId="77777777" w:rsidR="0092758C" w:rsidRPr="00D6313C" w:rsidRDefault="0092758C" w:rsidP="00D6313C">
            <w:pPr>
              <w:spacing w:before="240"/>
            </w:pPr>
            <w:r w:rsidRPr="00D6313C">
              <w:t>The preferred PHE confidence interval method for proportions is the Wilson Score method</w:t>
            </w:r>
            <w:r w:rsidRPr="00D6313C">
              <w:rPr>
                <w:vertAlign w:val="superscript"/>
              </w:rPr>
              <w:t>15</w:t>
            </w:r>
            <w:r w:rsidRPr="00D6313C">
              <w:t xml:space="preserve"> which has been evaluated and recommended by Newcombe and Altman</w:t>
            </w:r>
            <w:r w:rsidRPr="00D6313C">
              <w:rPr>
                <w:vertAlign w:val="superscript"/>
              </w:rPr>
              <w:t>16, 17</w:t>
            </w:r>
            <w:r w:rsidRPr="00D6313C">
              <w:t>. It can be used with any data values and, unlike some methods, it does not fail to give an interval when the numerator count, and therefore the proportion, is zero</w:t>
            </w:r>
            <w:r w:rsidRPr="00D6313C">
              <w:rPr>
                <w:vertAlign w:val="superscript"/>
              </w:rPr>
              <w:t>18</w:t>
            </w:r>
            <w:r w:rsidRPr="00D6313C">
              <w:t>.</w:t>
            </w:r>
          </w:p>
          <w:p w14:paraId="5C601B7D" w14:textId="77777777" w:rsidR="0092758C" w:rsidRPr="00D6313C" w:rsidRDefault="0092758C" w:rsidP="00D6313C">
            <w:pPr>
              <w:spacing w:before="240"/>
              <w:rPr>
                <w:sz w:val="18"/>
              </w:rPr>
            </w:pPr>
            <w:r w:rsidRPr="00D6313C">
              <w:rPr>
                <w:sz w:val="18"/>
              </w:rPr>
              <w:t>15. Wilson EB. Probable inference, the law of succession, and statistical inference. J Am Stat Assoc 1927.</w:t>
            </w:r>
          </w:p>
          <w:p w14:paraId="6E0B72EF" w14:textId="77777777" w:rsidR="0092758C" w:rsidRPr="00D6313C" w:rsidRDefault="0092758C" w:rsidP="00D6313C">
            <w:pPr>
              <w:spacing w:before="240"/>
              <w:rPr>
                <w:sz w:val="18"/>
              </w:rPr>
            </w:pPr>
            <w:r w:rsidRPr="00D6313C">
              <w:rPr>
                <w:sz w:val="18"/>
              </w:rPr>
              <w:t>16. Newcombe RG. Two-sided confidence intervals for the single proportion: comparison of seven methods. Stat Med 1998.</w:t>
            </w:r>
          </w:p>
          <w:p w14:paraId="48452393" w14:textId="77777777" w:rsidR="0092758C" w:rsidRPr="00D6313C" w:rsidRDefault="0092758C" w:rsidP="00D6313C">
            <w:pPr>
              <w:spacing w:before="240"/>
              <w:rPr>
                <w:sz w:val="18"/>
              </w:rPr>
            </w:pPr>
            <w:r w:rsidRPr="00D6313C">
              <w:rPr>
                <w:sz w:val="18"/>
              </w:rPr>
              <w:lastRenderedPageBreak/>
              <w:t xml:space="preserve">17. Newcombe RG, Altman DG. Proportions and their differences. In Altman DG et al. (eds). Statistics with confidence (2nd </w:t>
            </w:r>
            <w:proofErr w:type="spellStart"/>
            <w:r w:rsidRPr="00D6313C">
              <w:rPr>
                <w:sz w:val="18"/>
              </w:rPr>
              <w:t>edn</w:t>
            </w:r>
            <w:proofErr w:type="spellEnd"/>
            <w:r w:rsidRPr="00D6313C">
              <w:rPr>
                <w:sz w:val="18"/>
              </w:rPr>
              <w:t>). London: BMJ Books; 2000.</w:t>
            </w:r>
          </w:p>
          <w:p w14:paraId="1F7295D9" w14:textId="77777777" w:rsidR="0092758C" w:rsidRPr="00D6313C" w:rsidRDefault="0092758C" w:rsidP="00D6313C">
            <w:pPr>
              <w:spacing w:before="240"/>
            </w:pPr>
            <w:r w:rsidRPr="00D6313C">
              <w:rPr>
                <w:sz w:val="18"/>
              </w:rPr>
              <w:t xml:space="preserve">18. </w:t>
            </w:r>
            <w:proofErr w:type="spellStart"/>
            <w:r w:rsidRPr="00D6313C">
              <w:rPr>
                <w:sz w:val="18"/>
              </w:rPr>
              <w:t>Agresti</w:t>
            </w:r>
            <w:proofErr w:type="spellEnd"/>
            <w:r w:rsidRPr="00D6313C">
              <w:rPr>
                <w:sz w:val="18"/>
              </w:rPr>
              <w:t xml:space="preserve"> A, </w:t>
            </w:r>
            <w:proofErr w:type="spellStart"/>
            <w:r w:rsidRPr="00D6313C">
              <w:rPr>
                <w:sz w:val="18"/>
              </w:rPr>
              <w:t>Coull</w:t>
            </w:r>
            <w:proofErr w:type="spellEnd"/>
            <w:r w:rsidRPr="00D6313C">
              <w:rPr>
                <w:sz w:val="18"/>
              </w:rPr>
              <w:t xml:space="preserve"> BA. Approximate is better than ‘exact’ for interval estimation of binomial proportions. Am Stat 1998</w:t>
            </w:r>
          </w:p>
        </w:tc>
      </w:tr>
    </w:tbl>
    <w:p w14:paraId="24A89F0E" w14:textId="77777777" w:rsidR="008B5CC1" w:rsidRPr="00D6313C" w:rsidRDefault="008B5CC1">
      <w:r w:rsidRPr="00D6313C">
        <w:lastRenderedPageBreak/>
        <w:br w:type="page"/>
      </w:r>
    </w:p>
    <w:p w14:paraId="2BFBD43B" w14:textId="7695949D" w:rsidR="0092758C" w:rsidRDefault="0092758C">
      <w:r>
        <w:lastRenderedPageBreak/>
        <w:t>Section 5 Presentation and Interpretation</w:t>
      </w:r>
    </w:p>
    <w:p w14:paraId="637348C3" w14:textId="3DC34F21" w:rsidR="0092758C" w:rsidRDefault="0092758C">
      <w:r>
        <w:t>Presentation</w:t>
      </w:r>
    </w:p>
    <w:tbl>
      <w:tblPr>
        <w:tblStyle w:val="TableGrid1"/>
        <w:tblW w:w="0" w:type="auto"/>
        <w:tblLook w:val="04A0" w:firstRow="1" w:lastRow="0" w:firstColumn="1" w:lastColumn="0" w:noHBand="0" w:noVBand="1"/>
      </w:tblPr>
      <w:tblGrid>
        <w:gridCol w:w="1987"/>
        <w:gridCol w:w="7429"/>
      </w:tblGrid>
      <w:tr w:rsidR="0092758C" w:rsidRPr="00D6313C" w14:paraId="218466C3" w14:textId="77777777" w:rsidTr="00D6313C">
        <w:tc>
          <w:tcPr>
            <w:tcW w:w="1987" w:type="dxa"/>
          </w:tcPr>
          <w:p w14:paraId="4CCE6A2A" w14:textId="2210241D" w:rsidR="0092758C" w:rsidRPr="00D6313C" w:rsidRDefault="0092758C" w:rsidP="00D6313C">
            <w:pPr>
              <w:spacing w:before="240"/>
              <w:ind w:left="34"/>
              <w:rPr>
                <w:b/>
              </w:rPr>
            </w:pPr>
            <w:r>
              <w:rPr>
                <w:b/>
              </w:rPr>
              <w:t xml:space="preserve">5.1 </w:t>
            </w:r>
            <w:r w:rsidRPr="00D6313C">
              <w:rPr>
                <w:b/>
              </w:rPr>
              <w:t>Presentation of indicator</w:t>
            </w:r>
          </w:p>
        </w:tc>
        <w:tc>
          <w:tcPr>
            <w:tcW w:w="7429" w:type="dxa"/>
          </w:tcPr>
          <w:p w14:paraId="25CBA2FA" w14:textId="730EF2C3" w:rsidR="0092758C" w:rsidRPr="00D6313C" w:rsidRDefault="0092758C" w:rsidP="00D6313C">
            <w:pPr>
              <w:spacing w:before="240"/>
            </w:pPr>
            <w:r w:rsidRPr="00D6313C">
              <w:t>The indicator is presented on the NHS Digital Indicator Portal in a consistent format to other CCG OIS indicators. It is accompanied by indicator specification and quality statement documents, which provide details of indicator construction, data quality, statistical methods and interpretation considerations https://indicators.hscic.gov.uk/webview/</w:t>
            </w:r>
            <w:r w:rsidRPr="00D6313C" w:rsidDel="00806346">
              <w:t xml:space="preserve"> </w:t>
            </w:r>
            <w:r w:rsidRPr="00D6313C">
              <w:t>The data is presented with a detailed header including information on the statistic presented, the reporting period, level of coverage, publication date, data source, and any further notes to be aware of. The customer is also able to make use of drop-down filtering.</w:t>
            </w:r>
          </w:p>
          <w:p w14:paraId="706D05CC" w14:textId="77777777" w:rsidR="0092758C" w:rsidRPr="00D6313C" w:rsidRDefault="0092758C" w:rsidP="00D6313C">
            <w:pPr>
              <w:spacing w:before="240"/>
            </w:pPr>
          </w:p>
        </w:tc>
      </w:tr>
    </w:tbl>
    <w:p w14:paraId="3C95A643" w14:textId="54181F85" w:rsidR="0092758C" w:rsidRDefault="0092758C"/>
    <w:tbl>
      <w:tblPr>
        <w:tblStyle w:val="TableGrid"/>
        <w:tblW w:w="0" w:type="auto"/>
        <w:tblLook w:val="0020" w:firstRow="1" w:lastRow="0" w:firstColumn="0" w:lastColumn="0" w:noHBand="0" w:noVBand="0"/>
      </w:tblPr>
      <w:tblGrid>
        <w:gridCol w:w="3005"/>
        <w:gridCol w:w="3622"/>
      </w:tblGrid>
      <w:tr w:rsidR="0092758C" w:rsidRPr="00D6313C" w14:paraId="4B167D99" w14:textId="77777777" w:rsidTr="0092758C">
        <w:trPr>
          <w:trHeight w:val="103"/>
        </w:trPr>
        <w:tc>
          <w:tcPr>
            <w:tcW w:w="3005" w:type="dxa"/>
          </w:tcPr>
          <w:p w14:paraId="1DB42FE1" w14:textId="77777777" w:rsidR="0092758C" w:rsidRPr="00D6313C" w:rsidRDefault="0092758C" w:rsidP="00840BD7">
            <w:pPr>
              <w:spacing w:before="240"/>
              <w:rPr>
                <w:rFonts w:eastAsia="Arial"/>
              </w:rPr>
            </w:pPr>
            <w:r w:rsidRPr="00D6313C">
              <w:rPr>
                <w:rFonts w:eastAsia="Arial"/>
                <w:b/>
                <w:bCs/>
              </w:rPr>
              <w:t xml:space="preserve">Column name </w:t>
            </w:r>
          </w:p>
        </w:tc>
        <w:tc>
          <w:tcPr>
            <w:tcW w:w="3622" w:type="dxa"/>
          </w:tcPr>
          <w:p w14:paraId="249D8C27" w14:textId="77777777" w:rsidR="0092758C" w:rsidRPr="00D6313C" w:rsidRDefault="0092758C" w:rsidP="00840BD7">
            <w:pPr>
              <w:spacing w:before="240"/>
              <w:rPr>
                <w:rFonts w:eastAsia="Arial"/>
              </w:rPr>
            </w:pPr>
            <w:r w:rsidRPr="00D6313C">
              <w:rPr>
                <w:rFonts w:eastAsia="Arial"/>
                <w:b/>
                <w:bCs/>
              </w:rPr>
              <w:t xml:space="preserve">Output </w:t>
            </w:r>
          </w:p>
        </w:tc>
      </w:tr>
      <w:tr w:rsidR="0092758C" w:rsidRPr="00D6313C" w14:paraId="3DECF53C" w14:textId="77777777" w:rsidTr="0092758C">
        <w:trPr>
          <w:trHeight w:val="103"/>
        </w:trPr>
        <w:tc>
          <w:tcPr>
            <w:tcW w:w="3005" w:type="dxa"/>
          </w:tcPr>
          <w:p w14:paraId="38DD30B9" w14:textId="77777777" w:rsidR="0092758C" w:rsidRPr="00D6313C" w:rsidRDefault="0092758C" w:rsidP="00840BD7">
            <w:pPr>
              <w:spacing w:before="240"/>
              <w:rPr>
                <w:rFonts w:eastAsia="Arial"/>
              </w:rPr>
            </w:pPr>
            <w:r w:rsidRPr="00D6313C">
              <w:rPr>
                <w:rFonts w:eastAsia="Arial"/>
              </w:rPr>
              <w:t>Reporting Period</w:t>
            </w:r>
          </w:p>
        </w:tc>
        <w:tc>
          <w:tcPr>
            <w:tcW w:w="3622" w:type="dxa"/>
          </w:tcPr>
          <w:p w14:paraId="18A2F064" w14:textId="77777777" w:rsidR="0092758C" w:rsidRPr="00D6313C" w:rsidRDefault="0092758C" w:rsidP="00840BD7">
            <w:pPr>
              <w:spacing w:before="240"/>
              <w:rPr>
                <w:rFonts w:eastAsia="Arial"/>
              </w:rPr>
            </w:pPr>
            <w:r w:rsidRPr="00D6313C">
              <w:rPr>
                <w:rFonts w:eastAsia="Arial"/>
              </w:rPr>
              <w:t>Quarter in the financial year of the birth registration</w:t>
            </w:r>
          </w:p>
        </w:tc>
      </w:tr>
      <w:tr w:rsidR="0092758C" w:rsidRPr="00D6313C" w14:paraId="68B2249D" w14:textId="77777777" w:rsidTr="0092758C">
        <w:trPr>
          <w:trHeight w:val="103"/>
        </w:trPr>
        <w:tc>
          <w:tcPr>
            <w:tcW w:w="3005" w:type="dxa"/>
          </w:tcPr>
          <w:p w14:paraId="4688CE85" w14:textId="77777777" w:rsidR="0092758C" w:rsidRPr="00D6313C" w:rsidRDefault="0092758C" w:rsidP="00840BD7">
            <w:pPr>
              <w:spacing w:before="240"/>
              <w:rPr>
                <w:rFonts w:eastAsia="Arial"/>
              </w:rPr>
            </w:pPr>
            <w:r w:rsidRPr="00D6313C">
              <w:rPr>
                <w:rFonts w:eastAsia="Arial"/>
              </w:rPr>
              <w:t>Breakdown</w:t>
            </w:r>
          </w:p>
        </w:tc>
        <w:tc>
          <w:tcPr>
            <w:tcW w:w="3622" w:type="dxa"/>
          </w:tcPr>
          <w:p w14:paraId="0967A859" w14:textId="77777777" w:rsidR="0092758C" w:rsidRPr="00D6313C" w:rsidRDefault="0092758C" w:rsidP="00840BD7">
            <w:pPr>
              <w:spacing w:before="240"/>
              <w:rPr>
                <w:rFonts w:eastAsia="Arial"/>
              </w:rPr>
            </w:pPr>
            <w:r w:rsidRPr="00D6313C">
              <w:rPr>
                <w:rFonts w:eastAsia="Arial"/>
              </w:rPr>
              <w:t>CCG</w:t>
            </w:r>
          </w:p>
        </w:tc>
      </w:tr>
      <w:tr w:rsidR="0092758C" w:rsidRPr="00D6313C" w14:paraId="1D00EF8A" w14:textId="77777777" w:rsidTr="0092758C">
        <w:trPr>
          <w:trHeight w:val="103"/>
        </w:trPr>
        <w:tc>
          <w:tcPr>
            <w:tcW w:w="3005" w:type="dxa"/>
          </w:tcPr>
          <w:p w14:paraId="1533836A" w14:textId="77777777" w:rsidR="0092758C" w:rsidRPr="00D6313C" w:rsidRDefault="0092758C" w:rsidP="00840BD7">
            <w:pPr>
              <w:spacing w:before="240"/>
              <w:rPr>
                <w:rFonts w:eastAsia="Arial"/>
              </w:rPr>
            </w:pPr>
            <w:r w:rsidRPr="00D6313C">
              <w:rPr>
                <w:rFonts w:eastAsia="Arial"/>
              </w:rPr>
              <w:t>Level</w:t>
            </w:r>
          </w:p>
        </w:tc>
        <w:tc>
          <w:tcPr>
            <w:tcW w:w="3622" w:type="dxa"/>
          </w:tcPr>
          <w:p w14:paraId="74452DF4" w14:textId="77777777" w:rsidR="0092758C" w:rsidRPr="00D6313C" w:rsidRDefault="0092758C" w:rsidP="00840BD7">
            <w:pPr>
              <w:spacing w:before="240"/>
              <w:rPr>
                <w:rFonts w:eastAsia="Arial"/>
              </w:rPr>
            </w:pPr>
            <w:r w:rsidRPr="00D6313C">
              <w:rPr>
                <w:rFonts w:eastAsia="Arial"/>
              </w:rPr>
              <w:t>CCG code</w:t>
            </w:r>
          </w:p>
        </w:tc>
      </w:tr>
      <w:tr w:rsidR="0092758C" w:rsidRPr="00D6313C" w14:paraId="63D8C61E" w14:textId="77777777" w:rsidTr="0092758C">
        <w:trPr>
          <w:trHeight w:val="103"/>
        </w:trPr>
        <w:tc>
          <w:tcPr>
            <w:tcW w:w="3005" w:type="dxa"/>
          </w:tcPr>
          <w:p w14:paraId="47F24B63" w14:textId="77777777" w:rsidR="0092758C" w:rsidRPr="00D6313C" w:rsidRDefault="0092758C" w:rsidP="00840BD7">
            <w:pPr>
              <w:spacing w:before="240"/>
              <w:rPr>
                <w:rFonts w:eastAsia="Arial"/>
              </w:rPr>
            </w:pPr>
            <w:r w:rsidRPr="00D6313C">
              <w:rPr>
                <w:rFonts w:eastAsia="Arial"/>
              </w:rPr>
              <w:t>Level description</w:t>
            </w:r>
          </w:p>
        </w:tc>
        <w:tc>
          <w:tcPr>
            <w:tcW w:w="3622" w:type="dxa"/>
          </w:tcPr>
          <w:p w14:paraId="3542EF08" w14:textId="77777777" w:rsidR="0092758C" w:rsidRPr="00D6313C" w:rsidRDefault="0092758C" w:rsidP="00840BD7">
            <w:pPr>
              <w:spacing w:before="240"/>
              <w:rPr>
                <w:rFonts w:eastAsia="Arial"/>
              </w:rPr>
            </w:pPr>
            <w:r w:rsidRPr="00D6313C">
              <w:rPr>
                <w:rFonts w:eastAsia="Arial"/>
              </w:rPr>
              <w:t>CCG name</w:t>
            </w:r>
          </w:p>
        </w:tc>
      </w:tr>
      <w:tr w:rsidR="0092758C" w:rsidRPr="00D6313C" w14:paraId="2EB0ACFC" w14:textId="77777777" w:rsidTr="0092758C">
        <w:trPr>
          <w:trHeight w:val="103"/>
        </w:trPr>
        <w:tc>
          <w:tcPr>
            <w:tcW w:w="3005" w:type="dxa"/>
          </w:tcPr>
          <w:p w14:paraId="0E35604B" w14:textId="77777777" w:rsidR="0092758C" w:rsidRPr="00D6313C" w:rsidRDefault="0092758C" w:rsidP="00840BD7">
            <w:pPr>
              <w:spacing w:before="240"/>
              <w:rPr>
                <w:rFonts w:eastAsia="Arial"/>
              </w:rPr>
            </w:pPr>
            <w:r w:rsidRPr="00D6313C">
              <w:rPr>
                <w:rFonts w:eastAsia="Arial"/>
              </w:rPr>
              <w:t>Percentage</w:t>
            </w:r>
          </w:p>
        </w:tc>
        <w:tc>
          <w:tcPr>
            <w:tcW w:w="3622" w:type="dxa"/>
          </w:tcPr>
          <w:p w14:paraId="30BBC63C" w14:textId="77777777" w:rsidR="0092758C" w:rsidRPr="00D6313C" w:rsidRDefault="0092758C" w:rsidP="00840BD7">
            <w:pPr>
              <w:spacing w:before="240"/>
              <w:rPr>
                <w:rFonts w:eastAsia="Arial"/>
              </w:rPr>
            </w:pPr>
            <w:r w:rsidRPr="00D6313C">
              <w:rPr>
                <w:rFonts w:eastAsia="Arial"/>
              </w:rPr>
              <w:t>Percentage of women smoking at delivery</w:t>
            </w:r>
          </w:p>
        </w:tc>
      </w:tr>
      <w:tr w:rsidR="0092758C" w:rsidRPr="00D6313C" w14:paraId="264E5D13" w14:textId="77777777" w:rsidTr="0092758C">
        <w:trPr>
          <w:trHeight w:val="103"/>
        </w:trPr>
        <w:tc>
          <w:tcPr>
            <w:tcW w:w="3005" w:type="dxa"/>
          </w:tcPr>
          <w:p w14:paraId="4AE91A6F" w14:textId="77777777" w:rsidR="0092758C" w:rsidRPr="00D6313C" w:rsidRDefault="0092758C" w:rsidP="00840BD7">
            <w:pPr>
              <w:spacing w:before="240"/>
              <w:rPr>
                <w:rFonts w:eastAsia="Arial"/>
              </w:rPr>
            </w:pPr>
            <w:r w:rsidRPr="00D6313C">
              <w:rPr>
                <w:rFonts w:eastAsia="Arial"/>
              </w:rPr>
              <w:t>95% confidence interval</w:t>
            </w:r>
          </w:p>
        </w:tc>
        <w:tc>
          <w:tcPr>
            <w:tcW w:w="3622" w:type="dxa"/>
          </w:tcPr>
          <w:p w14:paraId="6BA7FAD3" w14:textId="77777777" w:rsidR="0092758C" w:rsidRPr="00D6313C" w:rsidRDefault="0092758C" w:rsidP="00840BD7">
            <w:pPr>
              <w:spacing w:before="240"/>
              <w:rPr>
                <w:rFonts w:eastAsia="Arial"/>
              </w:rPr>
            </w:pPr>
            <w:r w:rsidRPr="00D6313C">
              <w:rPr>
                <w:rFonts w:eastAsia="Arial"/>
              </w:rPr>
              <w:t>Confidence interval range (lower limit – upper limit)</w:t>
            </w:r>
          </w:p>
        </w:tc>
      </w:tr>
      <w:tr w:rsidR="0092758C" w:rsidRPr="00D6313C" w14:paraId="2DF53C3D" w14:textId="77777777" w:rsidTr="0092758C">
        <w:trPr>
          <w:trHeight w:val="103"/>
        </w:trPr>
        <w:tc>
          <w:tcPr>
            <w:tcW w:w="3005" w:type="dxa"/>
          </w:tcPr>
          <w:p w14:paraId="27557573" w14:textId="77777777" w:rsidR="0092758C" w:rsidRPr="00D6313C" w:rsidRDefault="0092758C" w:rsidP="00840BD7">
            <w:pPr>
              <w:spacing w:before="240"/>
              <w:rPr>
                <w:rFonts w:eastAsia="Arial"/>
              </w:rPr>
            </w:pPr>
            <w:r w:rsidRPr="00D6313C">
              <w:rPr>
                <w:rFonts w:eastAsia="Arial"/>
              </w:rPr>
              <w:t>Denominator</w:t>
            </w:r>
          </w:p>
        </w:tc>
        <w:tc>
          <w:tcPr>
            <w:tcW w:w="3622" w:type="dxa"/>
          </w:tcPr>
          <w:p w14:paraId="14878490" w14:textId="77777777" w:rsidR="0092758C" w:rsidRPr="00D6313C" w:rsidRDefault="0092758C" w:rsidP="00840BD7">
            <w:pPr>
              <w:spacing w:before="240"/>
              <w:rPr>
                <w:rFonts w:eastAsia="Arial"/>
              </w:rPr>
            </w:pPr>
            <w:r w:rsidRPr="00D6313C">
              <w:rPr>
                <w:rFonts w:eastAsia="Arial"/>
              </w:rPr>
              <w:t>Number of maternities where smoking status is known (</w:t>
            </w:r>
            <w:proofErr w:type="spellStart"/>
            <w:r w:rsidRPr="00D6313C">
              <w:rPr>
                <w:rFonts w:eastAsia="Arial"/>
              </w:rPr>
              <w:t>ie</w:t>
            </w:r>
            <w:proofErr w:type="spellEnd"/>
            <w:r w:rsidRPr="00D6313C">
              <w:rPr>
                <w:rFonts w:eastAsia="Arial"/>
              </w:rPr>
              <w:t>. excluding unknowns)</w:t>
            </w:r>
          </w:p>
        </w:tc>
      </w:tr>
      <w:tr w:rsidR="0092758C" w:rsidRPr="00D6313C" w14:paraId="25F517C4" w14:textId="77777777" w:rsidTr="0092758C">
        <w:trPr>
          <w:trHeight w:val="103"/>
        </w:trPr>
        <w:tc>
          <w:tcPr>
            <w:tcW w:w="3005" w:type="dxa"/>
          </w:tcPr>
          <w:p w14:paraId="3414C548" w14:textId="77777777" w:rsidR="0092758C" w:rsidRPr="00D6313C" w:rsidRDefault="0092758C" w:rsidP="00840BD7">
            <w:pPr>
              <w:spacing w:before="240"/>
              <w:rPr>
                <w:rFonts w:eastAsia="Arial"/>
              </w:rPr>
            </w:pPr>
            <w:r w:rsidRPr="00D6313C">
              <w:rPr>
                <w:rFonts w:eastAsia="Arial"/>
              </w:rPr>
              <w:t>Numerator</w:t>
            </w:r>
          </w:p>
        </w:tc>
        <w:tc>
          <w:tcPr>
            <w:tcW w:w="3622" w:type="dxa"/>
          </w:tcPr>
          <w:p w14:paraId="1BE11BD2" w14:textId="77777777" w:rsidR="0092758C" w:rsidRPr="00D6313C" w:rsidRDefault="0092758C" w:rsidP="00840BD7">
            <w:pPr>
              <w:spacing w:before="240"/>
              <w:rPr>
                <w:rFonts w:eastAsia="Arial"/>
              </w:rPr>
            </w:pPr>
            <w:r w:rsidRPr="00D6313C">
              <w:rPr>
                <w:rFonts w:eastAsia="Arial"/>
              </w:rPr>
              <w:t>Number of women smoking at time of delivery</w:t>
            </w:r>
          </w:p>
        </w:tc>
      </w:tr>
      <w:tr w:rsidR="0092758C" w:rsidRPr="00D6313C" w14:paraId="53C87FE6" w14:textId="77777777" w:rsidTr="0092758C">
        <w:trPr>
          <w:trHeight w:val="229"/>
        </w:trPr>
        <w:tc>
          <w:tcPr>
            <w:tcW w:w="3005" w:type="dxa"/>
          </w:tcPr>
          <w:p w14:paraId="469D70D3" w14:textId="77777777" w:rsidR="0092758C" w:rsidRPr="00D6313C" w:rsidRDefault="0092758C" w:rsidP="00840BD7">
            <w:pPr>
              <w:spacing w:before="240"/>
              <w:rPr>
                <w:rFonts w:eastAsia="Arial"/>
              </w:rPr>
            </w:pPr>
            <w:r w:rsidRPr="00D6313C">
              <w:rPr>
                <w:rFonts w:eastAsia="Arial"/>
              </w:rPr>
              <w:t>Unknowns</w:t>
            </w:r>
          </w:p>
        </w:tc>
        <w:tc>
          <w:tcPr>
            <w:tcW w:w="3622" w:type="dxa"/>
          </w:tcPr>
          <w:p w14:paraId="20FE3874" w14:textId="77777777" w:rsidR="0092758C" w:rsidRPr="00D6313C" w:rsidRDefault="0092758C" w:rsidP="00840BD7">
            <w:pPr>
              <w:spacing w:before="240"/>
              <w:rPr>
                <w:rFonts w:eastAsia="Arial"/>
              </w:rPr>
            </w:pPr>
            <w:r w:rsidRPr="00D6313C">
              <w:rPr>
                <w:rFonts w:eastAsia="Arial"/>
              </w:rPr>
              <w:t>Number of mothers whose smoking status was not known at the time of delivery</w:t>
            </w:r>
          </w:p>
        </w:tc>
      </w:tr>
      <w:tr w:rsidR="0092758C" w:rsidRPr="00D6313C" w14:paraId="4F1DA4B9" w14:textId="77777777" w:rsidTr="0092758C">
        <w:trPr>
          <w:trHeight w:val="229"/>
        </w:trPr>
        <w:tc>
          <w:tcPr>
            <w:tcW w:w="3005" w:type="dxa"/>
          </w:tcPr>
          <w:p w14:paraId="4DDF7884" w14:textId="77777777" w:rsidR="0092758C" w:rsidRPr="00D6313C" w:rsidRDefault="0092758C" w:rsidP="00840BD7">
            <w:pPr>
              <w:spacing w:before="240"/>
              <w:rPr>
                <w:rFonts w:eastAsia="Arial"/>
              </w:rPr>
            </w:pPr>
            <w:r w:rsidRPr="00D6313C">
              <w:rPr>
                <w:rFonts w:eastAsia="Arial"/>
              </w:rPr>
              <w:t>New Indicator (From April 2017)</w:t>
            </w:r>
          </w:p>
          <w:p w14:paraId="111F3141" w14:textId="77777777" w:rsidR="0092758C" w:rsidRPr="00D6313C" w:rsidRDefault="0092758C" w:rsidP="00840BD7">
            <w:pPr>
              <w:spacing w:before="240"/>
              <w:rPr>
                <w:rFonts w:eastAsia="Arial"/>
              </w:rPr>
            </w:pPr>
            <w:r w:rsidRPr="00D6313C">
              <w:rPr>
                <w:rFonts w:eastAsia="Arial"/>
              </w:rPr>
              <w:t>Percentage (excluding unknowns)</w:t>
            </w:r>
          </w:p>
        </w:tc>
        <w:tc>
          <w:tcPr>
            <w:tcW w:w="3622" w:type="dxa"/>
          </w:tcPr>
          <w:p w14:paraId="74B14128" w14:textId="77777777" w:rsidR="0092758C" w:rsidRPr="00D6313C" w:rsidRDefault="0092758C" w:rsidP="00840BD7">
            <w:pPr>
              <w:spacing w:before="240"/>
              <w:rPr>
                <w:rFonts w:eastAsia="Arial"/>
              </w:rPr>
            </w:pPr>
            <w:r w:rsidRPr="00D6313C">
              <w:t xml:space="preserve">From April 2017, the definition will change to exclude the unknowns from the denominator when calculating the proportion of women smoking at the time of delivery.  Therefore the indicator </w:t>
            </w:r>
            <w:r w:rsidRPr="00D6313C">
              <w:lastRenderedPageBreak/>
              <w:t xml:space="preserve">will be published under both definitions during 2016/17 to allow time to work with CCGs to improve the quality of this data, and to co-ordinate the change with the publication of the new Government tobacco control plan for England which is expected later in 2016.  This will also allow CCGs to assess what the impact will be of switching to the new definition.   More information is available in the Government response to the consultation on the Public Health Outcomes Framework (PHOF).  </w:t>
            </w:r>
          </w:p>
        </w:tc>
      </w:tr>
    </w:tbl>
    <w:p w14:paraId="3C7E2096" w14:textId="4DB4EA37" w:rsidR="0092758C" w:rsidRDefault="0092758C"/>
    <w:p w14:paraId="308A2403" w14:textId="3E944D5F" w:rsidR="0092758C" w:rsidRDefault="0092758C"/>
    <w:p w14:paraId="5A691DE3" w14:textId="77777777" w:rsidR="0092758C" w:rsidRDefault="0092758C"/>
    <w:tbl>
      <w:tblPr>
        <w:tblStyle w:val="TableGrid1"/>
        <w:tblW w:w="0" w:type="auto"/>
        <w:tblLook w:val="04A0" w:firstRow="1" w:lastRow="0" w:firstColumn="1" w:lastColumn="0" w:noHBand="0" w:noVBand="1"/>
      </w:tblPr>
      <w:tblGrid>
        <w:gridCol w:w="1987"/>
        <w:gridCol w:w="7429"/>
      </w:tblGrid>
      <w:tr w:rsidR="0092758C" w:rsidRPr="00D6313C" w14:paraId="773B8321" w14:textId="77777777" w:rsidTr="00D6313C">
        <w:tc>
          <w:tcPr>
            <w:tcW w:w="1987" w:type="dxa"/>
          </w:tcPr>
          <w:p w14:paraId="5D727D87" w14:textId="38F4E5F2" w:rsidR="0092758C" w:rsidRPr="00D6313C" w:rsidRDefault="0092758C" w:rsidP="00D6313C">
            <w:pPr>
              <w:spacing w:before="240"/>
              <w:ind w:left="34"/>
              <w:rPr>
                <w:b/>
              </w:rPr>
            </w:pPr>
            <w:r>
              <w:rPr>
                <w:b/>
              </w:rPr>
              <w:t xml:space="preserve">5.2 </w:t>
            </w:r>
            <w:r w:rsidRPr="00D6313C">
              <w:rPr>
                <w:b/>
              </w:rPr>
              <w:t>Contextual information provided alongside indicator</w:t>
            </w:r>
          </w:p>
          <w:p w14:paraId="0C467F62" w14:textId="77777777" w:rsidR="0092758C" w:rsidRPr="00D6313C" w:rsidRDefault="0092758C" w:rsidP="00D6313C">
            <w:pPr>
              <w:ind w:left="34"/>
            </w:pPr>
            <w:r w:rsidRPr="00D6313C">
              <w:t>with justification</w:t>
            </w:r>
          </w:p>
        </w:tc>
        <w:tc>
          <w:tcPr>
            <w:tcW w:w="7429" w:type="dxa"/>
          </w:tcPr>
          <w:p w14:paraId="07919631" w14:textId="77777777" w:rsidR="0092758C" w:rsidRPr="00D6313C" w:rsidRDefault="0092758C" w:rsidP="00D6313C">
            <w:pPr>
              <w:spacing w:before="240"/>
            </w:pPr>
            <w:r w:rsidRPr="00D6313C">
              <w:t xml:space="preserve">It is proposed to include the number of unknowns as contextual information alongside the indicator. </w:t>
            </w:r>
          </w:p>
        </w:tc>
      </w:tr>
      <w:tr w:rsidR="0092758C" w:rsidRPr="00D6313C" w14:paraId="4105F668" w14:textId="77777777" w:rsidTr="00D6313C">
        <w:tc>
          <w:tcPr>
            <w:tcW w:w="1987" w:type="dxa"/>
          </w:tcPr>
          <w:p w14:paraId="6457D595" w14:textId="761AE4E3" w:rsidR="0092758C" w:rsidRPr="00D6313C" w:rsidRDefault="0092758C" w:rsidP="00D6313C">
            <w:pPr>
              <w:spacing w:before="240"/>
              <w:ind w:left="34"/>
              <w:rPr>
                <w:b/>
              </w:rPr>
            </w:pPr>
            <w:r>
              <w:rPr>
                <w:b/>
              </w:rPr>
              <w:t xml:space="preserve">5.3 </w:t>
            </w:r>
            <w:r w:rsidRPr="00D6313C">
              <w:rPr>
                <w:b/>
              </w:rPr>
              <w:t>Calculation and data source of contextual information</w:t>
            </w:r>
          </w:p>
        </w:tc>
        <w:tc>
          <w:tcPr>
            <w:tcW w:w="7429" w:type="dxa"/>
          </w:tcPr>
          <w:p w14:paraId="18A9B15D" w14:textId="1F841435" w:rsidR="0092758C" w:rsidRPr="00D6313C" w:rsidRDefault="0092758C" w:rsidP="00D6313C">
            <w:pPr>
              <w:spacing w:before="240"/>
            </w:pPr>
            <w:r w:rsidRPr="00D6313C">
              <w:t>NHS Digital Omnibus Survey.</w:t>
            </w:r>
          </w:p>
        </w:tc>
      </w:tr>
      <w:tr w:rsidR="0092758C" w:rsidRPr="00D6313C" w14:paraId="6D98056F" w14:textId="77777777" w:rsidTr="00D6313C">
        <w:tc>
          <w:tcPr>
            <w:tcW w:w="1987" w:type="dxa"/>
          </w:tcPr>
          <w:p w14:paraId="296A9384" w14:textId="084302B7" w:rsidR="0092758C" w:rsidRPr="00D6313C" w:rsidRDefault="0092758C" w:rsidP="00D6313C">
            <w:pPr>
              <w:spacing w:before="240"/>
              <w:ind w:left="34"/>
              <w:rPr>
                <w:b/>
              </w:rPr>
            </w:pPr>
            <w:r>
              <w:rPr>
                <w:b/>
              </w:rPr>
              <w:t xml:space="preserve">5.4 </w:t>
            </w:r>
            <w:r w:rsidRPr="00D6313C">
              <w:rPr>
                <w:b/>
              </w:rPr>
              <w:t>Use of bandings, benchmarks or targets</w:t>
            </w:r>
          </w:p>
          <w:p w14:paraId="78A9F588" w14:textId="77777777" w:rsidR="0092758C" w:rsidRPr="00D6313C" w:rsidRDefault="0092758C" w:rsidP="00D6313C">
            <w:pPr>
              <w:ind w:left="34"/>
            </w:pPr>
            <w:r w:rsidRPr="00D6313C">
              <w:t>with justification</w:t>
            </w:r>
          </w:p>
        </w:tc>
        <w:tc>
          <w:tcPr>
            <w:tcW w:w="7429" w:type="dxa"/>
          </w:tcPr>
          <w:p w14:paraId="2B3D66A8" w14:textId="77777777" w:rsidR="0092758C" w:rsidRPr="00D6313C" w:rsidRDefault="0092758C" w:rsidP="00D6313C">
            <w:pPr>
              <w:spacing w:before="240"/>
            </w:pPr>
            <w:r w:rsidRPr="00D6313C">
              <w:t>N/A</w:t>
            </w:r>
          </w:p>
        </w:tc>
      </w:tr>
      <w:tr w:rsidR="0092758C" w:rsidRPr="00D6313C" w14:paraId="7D099E9D" w14:textId="77777777" w:rsidTr="00D6313C">
        <w:tc>
          <w:tcPr>
            <w:tcW w:w="1987" w:type="dxa"/>
          </w:tcPr>
          <w:p w14:paraId="5A5D5D7C" w14:textId="4646B28F" w:rsidR="0092758C" w:rsidRPr="00D6313C" w:rsidRDefault="0092758C" w:rsidP="00D6313C">
            <w:pPr>
              <w:spacing w:before="240"/>
              <w:ind w:left="34"/>
              <w:rPr>
                <w:b/>
              </w:rPr>
            </w:pPr>
            <w:r>
              <w:rPr>
                <w:b/>
              </w:rPr>
              <w:t xml:space="preserve">5.5 </w:t>
            </w:r>
            <w:r w:rsidRPr="00D6313C">
              <w:rPr>
                <w:b/>
              </w:rPr>
              <w:t>Banding, benchmark or target methodology</w:t>
            </w:r>
          </w:p>
          <w:p w14:paraId="4AD85243" w14:textId="77777777" w:rsidR="0092758C" w:rsidRPr="00D6313C" w:rsidRDefault="0092758C" w:rsidP="00D6313C">
            <w:pPr>
              <w:spacing w:before="240"/>
              <w:ind w:left="34"/>
            </w:pPr>
            <w:r w:rsidRPr="00D6313C">
              <w:t>if appropriate</w:t>
            </w:r>
          </w:p>
        </w:tc>
        <w:tc>
          <w:tcPr>
            <w:tcW w:w="7429" w:type="dxa"/>
          </w:tcPr>
          <w:p w14:paraId="67D8A39D" w14:textId="77777777" w:rsidR="0092758C" w:rsidRPr="00D6313C" w:rsidRDefault="0092758C" w:rsidP="00D6313C">
            <w:pPr>
              <w:spacing w:before="240"/>
            </w:pPr>
            <w:r w:rsidRPr="00D6313C">
              <w:t>N/A</w:t>
            </w:r>
          </w:p>
        </w:tc>
      </w:tr>
      <w:tr w:rsidR="0092758C" w:rsidRPr="00D6313C" w14:paraId="6F275502" w14:textId="77777777" w:rsidTr="00D6313C">
        <w:tc>
          <w:tcPr>
            <w:tcW w:w="1987" w:type="dxa"/>
          </w:tcPr>
          <w:p w14:paraId="51D303A7" w14:textId="724CF535" w:rsidR="0092758C" w:rsidRPr="00D6313C" w:rsidRDefault="0092758C" w:rsidP="00D6313C">
            <w:pPr>
              <w:spacing w:before="240"/>
              <w:ind w:left="34"/>
              <w:rPr>
                <w:b/>
              </w:rPr>
            </w:pPr>
            <w:r>
              <w:rPr>
                <w:b/>
              </w:rPr>
              <w:t xml:space="preserve">5.6 </w:t>
            </w:r>
            <w:r w:rsidRPr="00D6313C">
              <w:rPr>
                <w:b/>
              </w:rPr>
              <w:t>Interpretation guidelines</w:t>
            </w:r>
          </w:p>
        </w:tc>
        <w:tc>
          <w:tcPr>
            <w:tcW w:w="7429" w:type="dxa"/>
          </w:tcPr>
          <w:p w14:paraId="273FFEDA" w14:textId="77777777" w:rsidR="0092758C" w:rsidRPr="00D6313C" w:rsidRDefault="0092758C" w:rsidP="00D6313C">
            <w:pPr>
              <w:spacing w:before="240"/>
            </w:pPr>
            <w:r w:rsidRPr="00D6313C">
              <w:t>A low percentage of women who were smokers at the time of delivery is desirable.</w:t>
            </w:r>
          </w:p>
          <w:p w14:paraId="5D20BB39" w14:textId="77777777" w:rsidR="0092758C" w:rsidRPr="00D6313C" w:rsidRDefault="0092758C" w:rsidP="00D6313C">
            <w:pPr>
              <w:spacing w:before="240"/>
            </w:pPr>
            <w:r w:rsidRPr="00D6313C">
              <w:t xml:space="preserve">Currently, the percentage of women where the smoking status is not known is included within the denominator which will result in the under reporting of the percentages for known smokers and/or non-smokers. It is </w:t>
            </w:r>
            <w:r w:rsidRPr="00D6313C">
              <w:lastRenderedPageBreak/>
              <w:t>proposed to include the number of maternities with an unknown smoking status alongside the indicator as contextual information. From April 2017, it is proposed that the indicator will exclude the number of unknowns from the calculation (see section 4.3).</w:t>
            </w:r>
          </w:p>
          <w:p w14:paraId="4BBB653B" w14:textId="77777777" w:rsidR="0092758C" w:rsidRPr="00D6313C" w:rsidRDefault="0092758C" w:rsidP="00D6313C">
            <w:pPr>
              <w:spacing w:before="240"/>
            </w:pPr>
          </w:p>
        </w:tc>
      </w:tr>
      <w:tr w:rsidR="0092758C" w:rsidRPr="00D6313C" w14:paraId="37296593" w14:textId="77777777" w:rsidTr="00D6313C">
        <w:tc>
          <w:tcPr>
            <w:tcW w:w="1987" w:type="dxa"/>
          </w:tcPr>
          <w:p w14:paraId="20D92D44" w14:textId="6E85E069" w:rsidR="0092758C" w:rsidRPr="00D6313C" w:rsidRDefault="0092758C" w:rsidP="00D6313C">
            <w:pPr>
              <w:spacing w:before="240"/>
              <w:ind w:left="34"/>
              <w:rPr>
                <w:b/>
              </w:rPr>
            </w:pPr>
            <w:r>
              <w:rPr>
                <w:b/>
              </w:rPr>
              <w:lastRenderedPageBreak/>
              <w:t xml:space="preserve">5.7 </w:t>
            </w:r>
            <w:r w:rsidRPr="00D6313C">
              <w:rPr>
                <w:b/>
              </w:rPr>
              <w:t>Limitations and potential bias</w:t>
            </w:r>
          </w:p>
        </w:tc>
        <w:tc>
          <w:tcPr>
            <w:tcW w:w="7429" w:type="dxa"/>
          </w:tcPr>
          <w:p w14:paraId="46AA42F3" w14:textId="77777777" w:rsidR="0092758C" w:rsidRPr="00D6313C" w:rsidRDefault="0092758C" w:rsidP="00D6313C">
            <w:pPr>
              <w:spacing w:before="240"/>
            </w:pPr>
            <w:r w:rsidRPr="00D6313C">
              <w:t>Amending the methodology by excluding the unknowns will remove the previous limitation of the under reporting of percentages for known smokers and/ or non-smokers.</w:t>
            </w:r>
          </w:p>
          <w:p w14:paraId="0CD7356E" w14:textId="77777777" w:rsidR="0092758C" w:rsidRPr="00D6313C" w:rsidRDefault="0092758C" w:rsidP="00D6313C">
            <w:pPr>
              <w:spacing w:before="240"/>
            </w:pPr>
            <w:r w:rsidRPr="00D6313C">
              <w:t>The indicator is based on observation and is therefore susceptible to measurement bias.</w:t>
            </w:r>
          </w:p>
        </w:tc>
      </w:tr>
      <w:tr w:rsidR="0092758C" w:rsidRPr="00D6313C" w14:paraId="4E2804BE" w14:textId="77777777" w:rsidTr="00D6313C">
        <w:tc>
          <w:tcPr>
            <w:tcW w:w="1987" w:type="dxa"/>
          </w:tcPr>
          <w:p w14:paraId="5B0E8AAA" w14:textId="29601FFF" w:rsidR="0092758C" w:rsidRPr="00D6313C" w:rsidRDefault="0092758C" w:rsidP="00D6313C">
            <w:pPr>
              <w:spacing w:before="240"/>
              <w:ind w:left="34"/>
              <w:rPr>
                <w:b/>
              </w:rPr>
            </w:pPr>
            <w:r>
              <w:rPr>
                <w:b/>
              </w:rPr>
              <w:t xml:space="preserve">5.8 </w:t>
            </w:r>
            <w:r w:rsidRPr="00D6313C">
              <w:rPr>
                <w:b/>
              </w:rPr>
              <w:t>Improvement actions</w:t>
            </w:r>
          </w:p>
        </w:tc>
        <w:tc>
          <w:tcPr>
            <w:tcW w:w="7429" w:type="dxa"/>
          </w:tcPr>
          <w:p w14:paraId="57EA8063" w14:textId="77777777" w:rsidR="0092758C" w:rsidRPr="00D6313C" w:rsidRDefault="0092758C" w:rsidP="00D6313C">
            <w:pPr>
              <w:spacing w:before="240"/>
            </w:pPr>
            <w:r w:rsidRPr="00D6313C">
              <w:t>It is expected that CCGs will use this to identify where the messages about smoking in pregnancy are not being heard, so that action can be targeted. Ultimately, there should be a reduction in emergency hospital admissions associated with pregnancy, the number of babies requiring specialised care, the number of hospital admissions due to childhood illnesses caused by smoking in pregnancy and a reduction in many birth defects including cardiovascular/heart defects, musculoskeletal defects and limb reduction defects.</w:t>
            </w:r>
          </w:p>
          <w:p w14:paraId="5A4C2DA1" w14:textId="77777777" w:rsidR="0092758C" w:rsidRPr="00D6313C" w:rsidRDefault="0092758C" w:rsidP="00D6313C">
            <w:pPr>
              <w:spacing w:before="240"/>
            </w:pPr>
            <w:r w:rsidRPr="00D6313C">
              <w:t>The National Institute for Clinical Excellence (NICE) has produced national guidance on how best to support women to stop smoking in pregnancy and following childbirth; this can be found at:- http://guidance.nice.org.uk/PH26. This guidance provides advice on the use of Carbon Monoxide monitoring to systematically identify all pregnant women who smoke at booking, and on making onward referrals to local stop smoking services. It also provides guidance on opportunistic advice giving and referral (as appropriate) throughout pregnancy. The provision of intensive support, including use of pharmacotherapy and supporting others who smoke in the household to stop is also recommended.</w:t>
            </w:r>
          </w:p>
          <w:p w14:paraId="377F6742" w14:textId="77777777" w:rsidR="0092758C" w:rsidRPr="00D6313C" w:rsidRDefault="0092758C" w:rsidP="00D6313C">
            <w:pPr>
              <w:spacing w:before="240"/>
            </w:pPr>
            <w:r w:rsidRPr="00D6313C">
              <w:t>NICE have also produced guidance on smoking cessation in maternity care settings; this can be found at: https://www.nice.org.uk/guidance/ph48</w:t>
            </w:r>
          </w:p>
          <w:p w14:paraId="2DA92CCA" w14:textId="77777777" w:rsidR="0092758C" w:rsidRPr="00D6313C" w:rsidRDefault="0092758C" w:rsidP="00D6313C">
            <w:pPr>
              <w:spacing w:before="240"/>
            </w:pPr>
            <w:r w:rsidRPr="00D6313C">
              <w:t>The National Centre for Smoking Cessation and Training Community Interest Company (NCSCT CIC) were commissioned to develop and test a tiered approach to identifying pregnant smokers by the midwife as well as other health care professionals involved in the woman’s care. The pilot included an electronic referral system used across professional groups as well as follow-up in the postpartum period. Details of this project can be found at http://www.ncsct.co.uk/publication_smoking_in_pregnancy_project.php</w:t>
            </w:r>
          </w:p>
        </w:tc>
      </w:tr>
      <w:tr w:rsidR="0092758C" w:rsidRPr="00D6313C" w14:paraId="292CF468" w14:textId="77777777" w:rsidTr="00D6313C">
        <w:tc>
          <w:tcPr>
            <w:tcW w:w="1987" w:type="dxa"/>
          </w:tcPr>
          <w:p w14:paraId="016DEA6F" w14:textId="0E977849" w:rsidR="0092758C" w:rsidRPr="00D6313C" w:rsidRDefault="0092758C" w:rsidP="00D6313C">
            <w:pPr>
              <w:spacing w:before="240"/>
              <w:ind w:left="34"/>
              <w:rPr>
                <w:b/>
              </w:rPr>
            </w:pPr>
            <w:r>
              <w:rPr>
                <w:b/>
              </w:rPr>
              <w:t xml:space="preserve">5.9 </w:t>
            </w:r>
            <w:r w:rsidRPr="00D6313C">
              <w:rPr>
                <w:b/>
              </w:rPr>
              <w:t>Evidence of variability</w:t>
            </w:r>
          </w:p>
        </w:tc>
        <w:tc>
          <w:tcPr>
            <w:tcW w:w="7429" w:type="dxa"/>
          </w:tcPr>
          <w:p w14:paraId="70C74EF5" w14:textId="77777777" w:rsidR="0092758C" w:rsidRPr="00D6313C" w:rsidRDefault="0092758C" w:rsidP="00D6313C">
            <w:pPr>
              <w:spacing w:before="240"/>
            </w:pPr>
            <w:r w:rsidRPr="00D6313C">
              <w:t xml:space="preserve">See table 2 of 15/16 report at </w:t>
            </w:r>
            <w:hyperlink r:id="rId22" w:history="1">
              <w:r w:rsidRPr="00D6313C">
                <w:rPr>
                  <w:rStyle w:val="Hyperlink"/>
                  <w:color w:val="auto"/>
                </w:rPr>
                <w:t>http://www.hscic.gov.uk/catalogue/PUB20899/stat-wome-smok-time-deli-eng-q4-15-16-tab.xlsx</w:t>
              </w:r>
            </w:hyperlink>
          </w:p>
        </w:tc>
      </w:tr>
    </w:tbl>
    <w:p w14:paraId="3CA91246" w14:textId="77777777" w:rsidR="008B5CC1" w:rsidRPr="00D6313C" w:rsidRDefault="008B5CC1">
      <w:r w:rsidRPr="00D6313C">
        <w:br w:type="page"/>
      </w:r>
    </w:p>
    <w:p w14:paraId="08BF6714" w14:textId="01880020" w:rsidR="0092758C" w:rsidRDefault="0092758C">
      <w:r>
        <w:lastRenderedPageBreak/>
        <w:t>Section 6. Risks</w:t>
      </w:r>
    </w:p>
    <w:tbl>
      <w:tblPr>
        <w:tblStyle w:val="TableGrid1"/>
        <w:tblW w:w="9753" w:type="dxa"/>
        <w:tblLayout w:type="fixed"/>
        <w:tblLook w:val="04A0" w:firstRow="1" w:lastRow="0" w:firstColumn="1" w:lastColumn="0" w:noHBand="0" w:noVBand="1"/>
      </w:tblPr>
      <w:tblGrid>
        <w:gridCol w:w="1766"/>
        <w:gridCol w:w="7987"/>
      </w:tblGrid>
      <w:tr w:rsidR="0092758C" w:rsidRPr="00D6313C" w14:paraId="7EAF959D" w14:textId="77777777" w:rsidTr="0092758C">
        <w:tc>
          <w:tcPr>
            <w:tcW w:w="1766" w:type="dxa"/>
          </w:tcPr>
          <w:p w14:paraId="615327DD" w14:textId="72BC6954" w:rsidR="0092758C" w:rsidRPr="00D6313C" w:rsidRDefault="0092758C" w:rsidP="00D6313C">
            <w:pPr>
              <w:spacing w:before="240"/>
              <w:ind w:left="34"/>
              <w:rPr>
                <w:b/>
              </w:rPr>
            </w:pPr>
            <w:r>
              <w:rPr>
                <w:b/>
              </w:rPr>
              <w:t xml:space="preserve">6.1 </w:t>
            </w:r>
            <w:r w:rsidRPr="00D6313C">
              <w:rPr>
                <w:b/>
              </w:rPr>
              <w:t>Similar existing indicators</w:t>
            </w:r>
          </w:p>
        </w:tc>
        <w:tc>
          <w:tcPr>
            <w:tcW w:w="7987" w:type="dxa"/>
          </w:tcPr>
          <w:p w14:paraId="4E2D2EE3" w14:textId="77777777" w:rsidR="0092758C" w:rsidRPr="00D6313C" w:rsidRDefault="0092758C" w:rsidP="00D6313C">
            <w:pPr>
              <w:spacing w:before="240"/>
            </w:pPr>
            <w:r w:rsidRPr="00D6313C">
              <w:t>This indicator replicates both the HSCIC smoking status at time of delivery (SATOD) report and the Public Health Outcomes Framework (PHOF) 2.03 smoking status at time of delivery indicators.</w:t>
            </w:r>
          </w:p>
          <w:p w14:paraId="366CAB75" w14:textId="77777777" w:rsidR="0092758C" w:rsidRPr="00D6313C" w:rsidRDefault="0092758C" w:rsidP="00D6313C">
            <w:pPr>
              <w:spacing w:before="240"/>
            </w:pPr>
            <w:r w:rsidRPr="00D6313C">
              <w:t xml:space="preserve">The HSCIC SATOD publications use the same omnibus collection: </w:t>
            </w:r>
            <w:hyperlink r:id="rId23" w:history="1">
              <w:r w:rsidRPr="00D6313C">
                <w:rPr>
                  <w:rStyle w:val="Hyperlink"/>
                  <w:color w:val="auto"/>
                </w:rPr>
                <w:t>http://www.hscic.gov.uk/article/2021/Website-Search?q=smoking+status+at+delivery&amp;area=both</w:t>
              </w:r>
            </w:hyperlink>
          </w:p>
          <w:p w14:paraId="01FA7E0D" w14:textId="77777777" w:rsidR="0092758C" w:rsidRPr="00D6313C" w:rsidRDefault="0092758C" w:rsidP="00D6313C">
            <w:pPr>
              <w:spacing w:before="240"/>
              <w:rPr>
                <w:rStyle w:val="Hyperlink"/>
                <w:color w:val="auto"/>
              </w:rPr>
            </w:pPr>
            <w:r w:rsidRPr="00D6313C">
              <w:t xml:space="preserve">The PHOF publications for smoking status at time of delivery use the same omnibus collection but is broken down by Local Authority (LA): </w:t>
            </w:r>
            <w:hyperlink r:id="rId24" w:history="1">
              <w:r w:rsidRPr="00D6313C">
                <w:rPr>
                  <w:rStyle w:val="Hyperlink"/>
                  <w:color w:val="auto"/>
                </w:rPr>
                <w:t>http://www.phoutcomes.info/</w:t>
              </w:r>
            </w:hyperlink>
          </w:p>
          <w:p w14:paraId="01C26456" w14:textId="77777777" w:rsidR="0092758C" w:rsidRPr="00D6313C" w:rsidRDefault="0092758C" w:rsidP="00D6313C">
            <w:pPr>
              <w:spacing w:before="240"/>
            </w:pPr>
            <w:r w:rsidRPr="00D6313C">
              <w:t xml:space="preserve">From April 2017, the PHOF definition will change to exclude the unknowns from the denominator when calculating the proportion of women smoking at the time of delivery.  Therefore the indicator will be published under both definitions during 2016/17 to allow time to work with CCGs to improve the quality of this data, and to co-ordinate the change with the publication of the new Government tobacco control plan for England which is expected later in 2016.  This will also allow CCGs to assess what the impact will be of switching to the new definition.   More information is available in the Government response to the consultation on the Public Health Outcomes Framework (PHOF).  </w:t>
            </w:r>
          </w:p>
          <w:p w14:paraId="198FDFC9" w14:textId="77777777" w:rsidR="0092758C" w:rsidRPr="00D6313C" w:rsidRDefault="0092758C" w:rsidP="00D6313C">
            <w:pPr>
              <w:spacing w:before="240"/>
              <w:rPr>
                <w:rStyle w:val="Hyperlink"/>
                <w:color w:val="auto"/>
              </w:rPr>
            </w:pPr>
            <w:r w:rsidRPr="00D6313C">
              <w:t xml:space="preserve">The Opinions and Lifestyle Survey (OPN) construction differs from this indicator. It provides information on smoking rates, average number of cigarettes smoked and smoking during pregnancy at a national level during 2012. This continues the series of releases on smoking; previously provided by the General Household Survey (GHS) and the General Lifestyle Survey (GLF). </w:t>
            </w:r>
          </w:p>
          <w:p w14:paraId="3F88D065" w14:textId="77777777" w:rsidR="0092758C" w:rsidRPr="00D6313C" w:rsidRDefault="00657EF8" w:rsidP="00D6313C">
            <w:pPr>
              <w:spacing w:before="240"/>
            </w:pPr>
            <w:hyperlink r:id="rId25" w:history="1">
              <w:r w:rsidR="0092758C" w:rsidRPr="00D6313C">
                <w:rPr>
                  <w:rStyle w:val="Hyperlink"/>
                  <w:color w:val="auto"/>
                </w:rPr>
                <w:t>http://www.ons.gov.uk/peoplepopulationandcommunity/healthandsocialcare/healthandlifeexpectancies/bulletins/adultsmokinghabitsingreatbritain/2014</w:t>
              </w:r>
            </w:hyperlink>
          </w:p>
        </w:tc>
      </w:tr>
      <w:tr w:rsidR="0092758C" w:rsidRPr="00D6313C" w14:paraId="55E8A956" w14:textId="77777777" w:rsidTr="0092758C">
        <w:tc>
          <w:tcPr>
            <w:tcW w:w="1766" w:type="dxa"/>
          </w:tcPr>
          <w:p w14:paraId="24BB3B15" w14:textId="00D26758" w:rsidR="0092758C" w:rsidRPr="00D6313C" w:rsidRDefault="0092758C" w:rsidP="00D6313C">
            <w:pPr>
              <w:spacing w:before="240"/>
              <w:ind w:left="34"/>
              <w:rPr>
                <w:b/>
              </w:rPr>
            </w:pPr>
            <w:r>
              <w:rPr>
                <w:b/>
              </w:rPr>
              <w:t xml:space="preserve">6.2 </w:t>
            </w:r>
            <w:r w:rsidRPr="00D6313C">
              <w:rPr>
                <w:b/>
              </w:rPr>
              <w:t>Coherence and comparability</w:t>
            </w:r>
          </w:p>
        </w:tc>
        <w:tc>
          <w:tcPr>
            <w:tcW w:w="7987" w:type="dxa"/>
          </w:tcPr>
          <w:p w14:paraId="3DD65C1C" w14:textId="77777777" w:rsidR="0092758C" w:rsidRPr="00D6313C" w:rsidRDefault="0092758C" w:rsidP="00D6313C">
            <w:pPr>
              <w:spacing w:before="240"/>
            </w:pPr>
            <w:r w:rsidRPr="00D6313C">
              <w:t xml:space="preserve">This indicator is broken down by CCG and focuses solely on the percentage of women who are smoking </w:t>
            </w:r>
            <w:r w:rsidRPr="00D6313C">
              <w:rPr>
                <w:i/>
              </w:rPr>
              <w:t xml:space="preserve">at </w:t>
            </w:r>
            <w:r w:rsidRPr="00D6313C">
              <w:t>delivery.</w:t>
            </w:r>
          </w:p>
          <w:p w14:paraId="639882F3" w14:textId="77777777" w:rsidR="0092758C" w:rsidRPr="00D6313C" w:rsidRDefault="0092758C" w:rsidP="00D6313C">
            <w:pPr>
              <w:spacing w:before="240"/>
            </w:pPr>
            <w:r w:rsidRPr="00D6313C">
              <w:t>The methodology, results and aggregation for this indicator are consistent with that of the SATOD publication.</w:t>
            </w:r>
          </w:p>
          <w:p w14:paraId="6CE489E1" w14:textId="77777777" w:rsidR="0092758C" w:rsidRPr="00D6313C" w:rsidRDefault="0092758C" w:rsidP="00D6313C">
            <w:pPr>
              <w:spacing w:before="240"/>
            </w:pPr>
            <w:r w:rsidRPr="00D6313C">
              <w:t>The PHOF indicator is the same but is published at Local Authority (LA) level.</w:t>
            </w:r>
          </w:p>
          <w:p w14:paraId="168A6245" w14:textId="77777777" w:rsidR="0092758C" w:rsidRPr="00D6313C" w:rsidRDefault="0092758C" w:rsidP="00D6313C">
            <w:pPr>
              <w:spacing w:before="240"/>
            </w:pPr>
            <w:r w:rsidRPr="00D6313C">
              <w:t>The OPN construction differs from this indicator as provides information on smoking rates, average number of cigarettes smoked and smoking during pregnancy, not smoking specifically at delivery. The data is given at national level.</w:t>
            </w:r>
          </w:p>
        </w:tc>
      </w:tr>
      <w:tr w:rsidR="0092758C" w:rsidRPr="00D6313C" w14:paraId="648C68CB" w14:textId="77777777" w:rsidTr="0092758C">
        <w:tc>
          <w:tcPr>
            <w:tcW w:w="1766" w:type="dxa"/>
          </w:tcPr>
          <w:p w14:paraId="1747D604" w14:textId="64DE172A" w:rsidR="0092758C" w:rsidRPr="00D6313C" w:rsidRDefault="0092758C" w:rsidP="00D6313C">
            <w:pPr>
              <w:spacing w:before="240"/>
              <w:ind w:left="34"/>
              <w:rPr>
                <w:b/>
              </w:rPr>
            </w:pPr>
            <w:proofErr w:type="gramStart"/>
            <w:r>
              <w:rPr>
                <w:b/>
              </w:rPr>
              <w:t xml:space="preserve">6.3  </w:t>
            </w:r>
            <w:r w:rsidRPr="00D6313C">
              <w:rPr>
                <w:b/>
              </w:rPr>
              <w:t>Undesired</w:t>
            </w:r>
            <w:proofErr w:type="gramEnd"/>
            <w:r w:rsidRPr="00D6313C">
              <w:rPr>
                <w:b/>
              </w:rPr>
              <w:t xml:space="preserve"> behaviours and/or gaming</w:t>
            </w:r>
          </w:p>
        </w:tc>
        <w:tc>
          <w:tcPr>
            <w:tcW w:w="7987" w:type="dxa"/>
          </w:tcPr>
          <w:p w14:paraId="39EA174B" w14:textId="77777777" w:rsidR="0092758C" w:rsidRPr="00D6313C" w:rsidRDefault="0092758C" w:rsidP="00D6313C">
            <w:pPr>
              <w:spacing w:before="240"/>
            </w:pPr>
            <w:r w:rsidRPr="00D6313C">
              <w:t>Undesired behaviours have been addressed within this indicator by amending the methodology to exclude unknowns from the denominator. Previously, there may have been an incentive to record mothers who smoked as unknown to under report the figures of mothers who smoked. There is however, no evidence that this was happening.</w:t>
            </w:r>
          </w:p>
        </w:tc>
      </w:tr>
      <w:tr w:rsidR="0092758C" w:rsidRPr="00D6313C" w14:paraId="14DBBCDE" w14:textId="77777777" w:rsidTr="0092758C">
        <w:tc>
          <w:tcPr>
            <w:tcW w:w="1766" w:type="dxa"/>
          </w:tcPr>
          <w:p w14:paraId="1AA313B5" w14:textId="101411EB" w:rsidR="0092758C" w:rsidRPr="00D6313C" w:rsidRDefault="0092758C" w:rsidP="00D6313C">
            <w:pPr>
              <w:spacing w:before="240"/>
              <w:ind w:left="34"/>
              <w:rPr>
                <w:b/>
              </w:rPr>
            </w:pPr>
            <w:r>
              <w:rPr>
                <w:b/>
              </w:rPr>
              <w:lastRenderedPageBreak/>
              <w:t xml:space="preserve">6.4 </w:t>
            </w:r>
            <w:r w:rsidRPr="00D6313C">
              <w:rPr>
                <w:b/>
              </w:rPr>
              <w:t>Approach to indicator review</w:t>
            </w:r>
          </w:p>
        </w:tc>
        <w:tc>
          <w:tcPr>
            <w:tcW w:w="7987" w:type="dxa"/>
          </w:tcPr>
          <w:p w14:paraId="7D37CCF5" w14:textId="77777777" w:rsidR="0092758C" w:rsidRPr="00D6313C" w:rsidRDefault="0092758C" w:rsidP="00D6313C">
            <w:pPr>
              <w:spacing w:before="240"/>
            </w:pPr>
            <w:r w:rsidRPr="00D6313C">
              <w:t>The time period for when the indicator is to be reviewed will be set by the Indicator Governance Board (IGB).</w:t>
            </w:r>
          </w:p>
          <w:p w14:paraId="60BEDAC6" w14:textId="77777777" w:rsidR="0092758C" w:rsidRPr="00D6313C" w:rsidRDefault="0092758C" w:rsidP="00D6313C">
            <w:pPr>
              <w:spacing w:before="240"/>
            </w:pPr>
            <w:r w:rsidRPr="00D6313C">
              <w:t xml:space="preserve">User feedback and comments on this indicator are welcomed via HSCIC Enquires </w:t>
            </w:r>
            <w:hyperlink r:id="rId26" w:history="1">
              <w:r w:rsidRPr="00D6313C">
                <w:rPr>
                  <w:rStyle w:val="Hyperlink"/>
                  <w:color w:val="auto"/>
                </w:rPr>
                <w:t>enquiries@hscic.gov.uk</w:t>
              </w:r>
            </w:hyperlink>
            <w:r w:rsidRPr="00D6313C">
              <w:t xml:space="preserve">  or the CCG OIS mailbox </w:t>
            </w:r>
            <w:hyperlink r:id="rId27" w:history="1">
              <w:r w:rsidRPr="00D6313C">
                <w:rPr>
                  <w:rStyle w:val="Hyperlink"/>
                  <w:color w:val="auto"/>
                </w:rPr>
                <w:t>clinical.indicators@hscic.gov.uk</w:t>
              </w:r>
            </w:hyperlink>
          </w:p>
        </w:tc>
      </w:tr>
      <w:tr w:rsidR="0092758C" w:rsidRPr="00D6313C" w14:paraId="6176F4DB" w14:textId="77777777" w:rsidTr="0092758C">
        <w:tc>
          <w:tcPr>
            <w:tcW w:w="1766" w:type="dxa"/>
          </w:tcPr>
          <w:p w14:paraId="2CB3681E" w14:textId="1E600F15" w:rsidR="0092758C" w:rsidRPr="00D6313C" w:rsidRDefault="0092758C" w:rsidP="00D6313C">
            <w:pPr>
              <w:spacing w:before="240"/>
              <w:ind w:left="34"/>
              <w:rPr>
                <w:b/>
              </w:rPr>
            </w:pPr>
            <w:r>
              <w:rPr>
                <w:b/>
              </w:rPr>
              <w:t xml:space="preserve">6.5 </w:t>
            </w:r>
            <w:r w:rsidRPr="00D6313C">
              <w:rPr>
                <w:b/>
              </w:rPr>
              <w:t>Disclosure control</w:t>
            </w:r>
          </w:p>
        </w:tc>
        <w:tc>
          <w:tcPr>
            <w:tcW w:w="7987" w:type="dxa"/>
          </w:tcPr>
          <w:p w14:paraId="79AE083C" w14:textId="77777777" w:rsidR="0092758C" w:rsidRPr="00D6313C" w:rsidRDefault="0092758C" w:rsidP="00D6313C">
            <w:pPr>
              <w:spacing w:before="240"/>
            </w:pPr>
            <w:r w:rsidRPr="00D6313C">
              <w:t>No disclosure control is applied to the indicator. All figures have already been made publicly available by HSCIC.</w:t>
            </w:r>
          </w:p>
          <w:p w14:paraId="247ECEA0" w14:textId="77777777" w:rsidR="0092758C" w:rsidRPr="00D6313C" w:rsidRDefault="0092758C" w:rsidP="00D6313C">
            <w:pPr>
              <w:spacing w:before="240"/>
            </w:pPr>
            <w:r w:rsidRPr="00D6313C">
              <w:t>Percentages are rounded to one decimal place before publication.</w:t>
            </w:r>
          </w:p>
          <w:p w14:paraId="2FC98819" w14:textId="77777777" w:rsidR="0092758C" w:rsidRPr="00D6313C" w:rsidRDefault="0092758C" w:rsidP="00D6313C">
            <w:pPr>
              <w:spacing w:before="240"/>
            </w:pPr>
            <w:r w:rsidRPr="00D6313C">
              <w:t>Information is disseminated at a high level of aggregation and the only small numbers that occur do not require suppressing as they are not considered identifiable or disclosive. The HSCIC report from which the indicator data are taken is subject to an annual risk assessment which requires approval from the HSCIC Statistical Head of Profession.</w:t>
            </w:r>
          </w:p>
        </w:tc>
      </w:tr>
      <w:tr w:rsidR="0092758C" w:rsidRPr="00D6313C" w14:paraId="1C3390F7" w14:textId="77777777" w:rsidTr="0092758C">
        <w:tc>
          <w:tcPr>
            <w:tcW w:w="1766" w:type="dxa"/>
          </w:tcPr>
          <w:p w14:paraId="29BDE9C7" w14:textId="7E40EBAA" w:rsidR="0092758C" w:rsidRPr="00D6313C" w:rsidRDefault="0092758C" w:rsidP="00D6313C">
            <w:pPr>
              <w:spacing w:before="240"/>
              <w:ind w:left="34"/>
              <w:rPr>
                <w:b/>
              </w:rPr>
            </w:pPr>
            <w:r>
              <w:rPr>
                <w:b/>
              </w:rPr>
              <w:t xml:space="preserve">6.6 </w:t>
            </w:r>
            <w:r w:rsidRPr="00D6313C">
              <w:rPr>
                <w:b/>
              </w:rPr>
              <w:t>Copyright</w:t>
            </w:r>
          </w:p>
        </w:tc>
        <w:tc>
          <w:tcPr>
            <w:tcW w:w="7987" w:type="dxa"/>
          </w:tcPr>
          <w:p w14:paraId="75BE2F90" w14:textId="77777777" w:rsidR="0092758C" w:rsidRPr="00D6313C" w:rsidRDefault="0092758C" w:rsidP="00D6313C">
            <w:pPr>
              <w:spacing w:before="240"/>
            </w:pPr>
            <w:r w:rsidRPr="00D6313C">
              <w:t>There are no restrictions on the use of these data. Any subsequent use or publishing of these data should reference the HSCIC.</w:t>
            </w:r>
          </w:p>
        </w:tc>
      </w:tr>
    </w:tbl>
    <w:p w14:paraId="014D0BB5" w14:textId="77777777" w:rsidR="008B5CC1" w:rsidRPr="00D6313C" w:rsidRDefault="008B5CC1" w:rsidP="00D6313C"/>
    <w:sdt>
      <w:sdtPr>
        <w:rPr>
          <w:rFonts w:ascii="Arial" w:eastAsiaTheme="majorEastAsia" w:hAnsi="Arial" w:cs="Arial"/>
          <w:caps/>
          <w:lang w:val="en-GB" w:eastAsia="en-US"/>
        </w:rPr>
        <w:id w:val="-28027844"/>
        <w:docPartObj>
          <w:docPartGallery w:val="Cover Pages"/>
          <w:docPartUnique/>
        </w:docPartObj>
      </w:sdtPr>
      <w:sdtEndPr>
        <w:rPr>
          <w:rFonts w:eastAsia="+mn-ea"/>
          <w:b/>
          <w:caps w:val="0"/>
          <w:position w:val="1"/>
          <w:sz w:val="26"/>
          <w:szCs w:val="26"/>
        </w:rPr>
      </w:sdtEndPr>
      <w:sdtContent>
        <w:tbl>
          <w:tblPr>
            <w:tblStyle w:val="TableGrid"/>
            <w:tblW w:w="5000" w:type="pct"/>
            <w:tblLook w:val="04A0" w:firstRow="1" w:lastRow="0" w:firstColumn="1" w:lastColumn="0" w:noHBand="0" w:noVBand="1"/>
          </w:tblPr>
          <w:tblGrid>
            <w:gridCol w:w="10194"/>
          </w:tblGrid>
          <w:tr w:rsidR="00D6313C" w:rsidRPr="00D6313C" w14:paraId="4BF7B3BC" w14:textId="77777777" w:rsidTr="00D6313C">
            <w:trPr>
              <w:trHeight w:val="2880"/>
            </w:trPr>
            <w:tc>
              <w:tcPr>
                <w:tcW w:w="5000" w:type="pct"/>
              </w:tcPr>
              <w:p w14:paraId="58F2FF6D" w14:textId="77777777" w:rsidR="008B5CC1" w:rsidRPr="00D6313C" w:rsidRDefault="008B5CC1" w:rsidP="00D6313C">
                <w:pPr>
                  <w:pStyle w:val="NoSpacing"/>
                  <w:jc w:val="center"/>
                  <w:rPr>
                    <w:rFonts w:ascii="Arial" w:eastAsiaTheme="majorEastAsia" w:hAnsi="Arial" w:cs="Arial"/>
                    <w:caps/>
                  </w:rPr>
                </w:pPr>
              </w:p>
              <w:p w14:paraId="7D3DEE9B" w14:textId="437E6072" w:rsidR="008B5CC1" w:rsidRPr="00D6313C" w:rsidRDefault="008B5CC1" w:rsidP="00D6313C">
                <w:pPr>
                  <w:pStyle w:val="NoSpacing"/>
                  <w:jc w:val="center"/>
                  <w:rPr>
                    <w:rFonts w:ascii="Arial" w:eastAsiaTheme="majorEastAsia" w:hAnsi="Arial" w:cs="Arial"/>
                    <w:caps/>
                  </w:rPr>
                </w:pPr>
                <w:r w:rsidRPr="00D6313C">
                  <w:rPr>
                    <w:rFonts w:ascii="Arial" w:eastAsiaTheme="majorEastAsia" w:hAnsi="Arial" w:cs="Arial"/>
                    <w:caps/>
                    <w:noProof/>
                    <w:lang w:val="en-GB" w:eastAsia="en-GB"/>
                  </w:rPr>
                  <w:drawing>
                    <wp:inline distT="0" distB="0" distL="0" distR="0" wp14:anchorId="50CDCC2E" wp14:editId="35A55060">
                      <wp:extent cx="2705100" cy="1262380"/>
                      <wp:effectExtent l="0" t="0" r="0" b="0"/>
                      <wp:docPr id="7" name="Picture 7" descr="Logo of Indicator Governance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8">
                                <a:extLst>
                                  <a:ext uri="{28A0092B-C50C-407E-A947-70E740481C1C}">
                                    <a14:useLocalDpi xmlns:a14="http://schemas.microsoft.com/office/drawing/2010/main" val="0"/>
                                  </a:ext>
                                </a:extLst>
                              </a:blip>
                              <a:stretch>
                                <a:fillRect/>
                              </a:stretch>
                            </pic:blipFill>
                            <pic:spPr>
                              <a:xfrm>
                                <a:off x="0" y="0"/>
                                <a:ext cx="2705100" cy="1262380"/>
                              </a:xfrm>
                              <a:prstGeom prst="rect">
                                <a:avLst/>
                              </a:prstGeom>
                            </pic:spPr>
                          </pic:pic>
                        </a:graphicData>
                      </a:graphic>
                    </wp:inline>
                  </w:drawing>
                </w:r>
              </w:p>
            </w:tc>
          </w:tr>
          <w:tr w:rsidR="00D6313C" w:rsidRPr="00D6313C" w14:paraId="665051C7" w14:textId="77777777" w:rsidTr="00D6313C">
            <w:trPr>
              <w:trHeight w:val="1440"/>
            </w:trPr>
            <w:tc>
              <w:tcPr>
                <w:tcW w:w="5000" w:type="pct"/>
              </w:tcPr>
              <w:p w14:paraId="78B6FDD9" w14:textId="77777777" w:rsidR="008B5CC1" w:rsidRPr="00D6313C" w:rsidRDefault="008B5CC1">
                <w:pPr>
                  <w:pStyle w:val="NoSpacing"/>
                  <w:jc w:val="center"/>
                  <w:rPr>
                    <w:rFonts w:ascii="Arial" w:eastAsiaTheme="majorEastAsia" w:hAnsi="Arial" w:cs="Arial"/>
                    <w:sz w:val="72"/>
                    <w:szCs w:val="80"/>
                  </w:rPr>
                </w:pPr>
              </w:p>
              <w:p w14:paraId="1F3563C6" w14:textId="77777777" w:rsidR="008B5CC1" w:rsidRPr="00D6313C" w:rsidRDefault="008B5CC1">
                <w:pPr>
                  <w:pStyle w:val="NoSpacing"/>
                  <w:jc w:val="center"/>
                  <w:rPr>
                    <w:rFonts w:ascii="Arial" w:eastAsiaTheme="majorEastAsia" w:hAnsi="Arial" w:cs="Arial"/>
                    <w:sz w:val="72"/>
                    <w:szCs w:val="80"/>
                  </w:rPr>
                </w:pPr>
              </w:p>
              <w:p w14:paraId="5E4152CF" w14:textId="77777777" w:rsidR="008B5CC1" w:rsidRPr="00D6313C" w:rsidRDefault="008B5CC1">
                <w:pPr>
                  <w:pStyle w:val="NoSpacing"/>
                  <w:jc w:val="center"/>
                  <w:rPr>
                    <w:rFonts w:ascii="Arial" w:eastAsiaTheme="majorEastAsia" w:hAnsi="Arial" w:cs="Arial"/>
                    <w:sz w:val="72"/>
                    <w:szCs w:val="80"/>
                  </w:rPr>
                </w:pPr>
              </w:p>
              <w:p w14:paraId="0B12ABAA" w14:textId="77777777" w:rsidR="008B5CC1" w:rsidRPr="00D6313C" w:rsidRDefault="008B5CC1">
                <w:pPr>
                  <w:pStyle w:val="NoSpacing"/>
                  <w:jc w:val="center"/>
                  <w:rPr>
                    <w:rFonts w:ascii="Arial" w:eastAsiaTheme="majorEastAsia" w:hAnsi="Arial" w:cs="Arial"/>
                    <w:sz w:val="72"/>
                    <w:szCs w:val="80"/>
                  </w:rPr>
                </w:pPr>
                <w:r w:rsidRPr="00D6313C">
                  <w:rPr>
                    <w:rFonts w:ascii="Arial" w:eastAsiaTheme="majorEastAsia" w:hAnsi="Arial" w:cs="Arial"/>
                    <w:sz w:val="72"/>
                    <w:szCs w:val="80"/>
                  </w:rPr>
                  <w:t>Indicator and Methodology Assurance Report</w:t>
                </w:r>
              </w:p>
            </w:tc>
          </w:tr>
          <w:tr w:rsidR="00D6313C" w:rsidRPr="00D6313C" w14:paraId="2AD0C7C7" w14:textId="77777777" w:rsidTr="00D6313C">
            <w:trPr>
              <w:trHeight w:val="360"/>
            </w:trPr>
            <w:tc>
              <w:tcPr>
                <w:tcW w:w="5000" w:type="pct"/>
              </w:tcPr>
              <w:p w14:paraId="325E21E6" w14:textId="77777777" w:rsidR="008B5CC1" w:rsidRPr="00D6313C" w:rsidRDefault="008B5CC1" w:rsidP="00D6313C">
                <w:pPr>
                  <w:pStyle w:val="NormalWeb"/>
                  <w:spacing w:before="0" w:beforeAutospacing="0" w:after="0" w:afterAutospacing="0"/>
                  <w:jc w:val="center"/>
                  <w:rPr>
                    <w:rFonts w:ascii="Arial" w:eastAsia="+mn-ea" w:hAnsi="Arial" w:cs="Arial"/>
                    <w:b/>
                    <w:position w:val="1"/>
                    <w:sz w:val="36"/>
                    <w:szCs w:val="36"/>
                  </w:rPr>
                </w:pPr>
              </w:p>
              <w:p w14:paraId="60474FE4" w14:textId="24434739" w:rsidR="008B5CC1" w:rsidRPr="00D6313C" w:rsidRDefault="0092758C" w:rsidP="00D6313C">
                <w:pPr>
                  <w:pStyle w:val="NormalWeb"/>
                  <w:spacing w:before="0" w:beforeAutospacing="0" w:after="0" w:afterAutospacing="0"/>
                  <w:jc w:val="center"/>
                  <w:rPr>
                    <w:rFonts w:ascii="Arial" w:hAnsi="Arial" w:cs="Arial"/>
                    <w:sz w:val="36"/>
                    <w:szCs w:val="36"/>
                  </w:rPr>
                </w:pPr>
                <w:r>
                  <w:rPr>
                    <w:rFonts w:ascii="Arial" w:eastAsia="+mn-ea" w:hAnsi="Arial" w:cs="Arial"/>
                    <w:b/>
                    <w:position w:val="1"/>
                    <w:sz w:val="36"/>
                    <w:szCs w:val="36"/>
                  </w:rPr>
                  <w:t>Maternal Smoking at delivery</w:t>
                </w:r>
              </w:p>
            </w:tc>
          </w:tr>
          <w:tr w:rsidR="00D6313C" w:rsidRPr="00D6313C" w14:paraId="66C6C588" w14:textId="77777777" w:rsidTr="00D6313C">
            <w:trPr>
              <w:trHeight w:val="360"/>
            </w:trPr>
            <w:tc>
              <w:tcPr>
                <w:tcW w:w="5000" w:type="pct"/>
              </w:tcPr>
              <w:p w14:paraId="268CF0FD" w14:textId="77777777" w:rsidR="008B5CC1" w:rsidRPr="00D6313C" w:rsidRDefault="008B5CC1">
                <w:pPr>
                  <w:pStyle w:val="NoSpacing"/>
                  <w:jc w:val="center"/>
                  <w:rPr>
                    <w:rFonts w:ascii="Arial" w:hAnsi="Arial" w:cs="Arial"/>
                    <w:b/>
                    <w:bCs/>
                    <w:sz w:val="28"/>
                    <w:szCs w:val="28"/>
                  </w:rPr>
                </w:pPr>
              </w:p>
              <w:p w14:paraId="0805EFA2" w14:textId="77777777" w:rsidR="008B5CC1" w:rsidRPr="00D6313C" w:rsidRDefault="008B5CC1">
                <w:pPr>
                  <w:pStyle w:val="NoSpacing"/>
                  <w:jc w:val="center"/>
                  <w:rPr>
                    <w:rFonts w:ascii="Arial" w:hAnsi="Arial" w:cs="Arial"/>
                    <w:b/>
                    <w:bCs/>
                    <w:sz w:val="28"/>
                    <w:szCs w:val="28"/>
                  </w:rPr>
                </w:pPr>
                <w:r w:rsidRPr="00D6313C">
                  <w:rPr>
                    <w:rFonts w:ascii="Arial" w:hAnsi="Arial" w:cs="Arial"/>
                    <w:b/>
                    <w:bCs/>
                    <w:sz w:val="28"/>
                    <w:szCs w:val="28"/>
                  </w:rPr>
                  <w:t>IAP00145</w:t>
                </w:r>
              </w:p>
            </w:tc>
          </w:tr>
        </w:tbl>
        <w:p w14:paraId="7294EEA2" w14:textId="77777777" w:rsidR="008B5CC1" w:rsidRPr="00D6313C" w:rsidRDefault="008B5CC1" w:rsidP="00D6313C">
          <w:pPr>
            <w:jc w:val="center"/>
          </w:pPr>
        </w:p>
        <w:p w14:paraId="5693C332" w14:textId="77777777" w:rsidR="008B5CC1" w:rsidRPr="00D6313C" w:rsidRDefault="008B5CC1"/>
        <w:p w14:paraId="7DB44939" w14:textId="77777777" w:rsidR="008B5CC1" w:rsidRPr="00D6313C" w:rsidRDefault="008B5CC1"/>
        <w:p w14:paraId="086A1DC6" w14:textId="77777777" w:rsidR="008B5CC1" w:rsidRPr="00D6313C" w:rsidRDefault="008B5CC1">
          <w:r w:rsidRPr="00D6313C">
            <w:rPr>
              <w:rFonts w:eastAsia="+mn-ea"/>
              <w:b/>
              <w:noProof/>
              <w:position w:val="1"/>
              <w:sz w:val="26"/>
              <w:szCs w:val="26"/>
              <w:lang w:eastAsia="en-GB"/>
            </w:rPr>
            <w:drawing>
              <wp:inline distT="0" distB="0" distL="0" distR="0" wp14:anchorId="7668113C" wp14:editId="7353A5E6">
                <wp:extent cx="6389370" cy="1383665"/>
                <wp:effectExtent l="0" t="0" r="0" b="6985"/>
                <wp:docPr id="29" name="Picture 29" descr="Logos of supporting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89370" cy="1383665"/>
                        </a:xfrm>
                        <a:prstGeom prst="rect">
                          <a:avLst/>
                        </a:prstGeom>
                        <a:noFill/>
                      </pic:spPr>
                    </pic:pic>
                  </a:graphicData>
                </a:graphic>
              </wp:inline>
            </w:drawing>
          </w:r>
        </w:p>
        <w:p w14:paraId="6A04F764" w14:textId="77777777" w:rsidR="008B5CC1" w:rsidRPr="00D6313C" w:rsidRDefault="008B5CC1"/>
        <w:p w14:paraId="5B939596" w14:textId="77777777" w:rsidR="008B5CC1" w:rsidRPr="00D6313C" w:rsidRDefault="008B5CC1"/>
        <w:p w14:paraId="47DE88AA" w14:textId="77777777" w:rsidR="008B5CC1" w:rsidRPr="00D6313C" w:rsidRDefault="008B5CC1">
          <w:pPr>
            <w:rPr>
              <w:rFonts w:eastAsia="+mn-ea"/>
              <w:b/>
              <w:position w:val="1"/>
              <w:sz w:val="26"/>
              <w:szCs w:val="26"/>
              <w:lang w:eastAsia="en-GB"/>
            </w:rPr>
          </w:pPr>
          <w:r w:rsidRPr="00D6313C">
            <w:rPr>
              <w:rFonts w:eastAsia="+mn-ea"/>
              <w:b/>
              <w:position w:val="1"/>
              <w:sz w:val="26"/>
              <w:szCs w:val="26"/>
            </w:rPr>
            <w:br w:type="page"/>
          </w:r>
        </w:p>
      </w:sdtContent>
    </w:sdt>
    <w:p w14:paraId="3F2DAE2F" w14:textId="77777777" w:rsidR="008B5CC1" w:rsidRPr="00D6313C" w:rsidRDefault="008B5CC1" w:rsidP="00D6313C">
      <w:pPr>
        <w:pStyle w:val="NormalWeb"/>
        <w:spacing w:before="0" w:beforeAutospacing="0" w:after="0" w:afterAutospacing="0"/>
        <w:rPr>
          <w:rFonts w:ascii="Arial" w:eastAsia="+mn-ea" w:hAnsi="Arial" w:cs="Arial"/>
          <w:position w:val="1"/>
          <w:sz w:val="22"/>
          <w:szCs w:val="22"/>
        </w:rPr>
      </w:pPr>
    </w:p>
    <w:p w14:paraId="56802567" w14:textId="77777777" w:rsidR="008B5CC1" w:rsidRPr="00D6313C" w:rsidRDefault="008B5CC1" w:rsidP="00D6313C">
      <w:pPr>
        <w:pStyle w:val="NormalWeb"/>
        <w:spacing w:before="0" w:beforeAutospacing="0" w:after="0" w:afterAutospacing="0"/>
        <w:rPr>
          <w:rFonts w:ascii="Arial" w:eastAsia="+mn-ea" w:hAnsi="Arial" w:cs="Arial"/>
          <w:b/>
          <w:position w:val="1"/>
          <w:sz w:val="32"/>
          <w:szCs w:val="26"/>
        </w:rPr>
      </w:pPr>
      <w:r w:rsidRPr="00D6313C">
        <w:rPr>
          <w:rFonts w:ascii="Arial" w:eastAsia="+mn-ea" w:hAnsi="Arial" w:cs="Arial"/>
          <w:b/>
          <w:position w:val="1"/>
          <w:sz w:val="32"/>
          <w:szCs w:val="26"/>
        </w:rPr>
        <w:t xml:space="preserve">Final Assurance Rating from the Indicator Governance Board - </w:t>
      </w:r>
      <w:sdt>
        <w:sdtPr>
          <w:rPr>
            <w:rFonts w:ascii="Arial" w:eastAsia="+mn-ea" w:hAnsi="Arial" w:cs="Arial"/>
            <w:b/>
            <w:position w:val="1"/>
            <w:sz w:val="32"/>
            <w:szCs w:val="32"/>
          </w:rPr>
          <w:id w:val="-436680183"/>
          <w:date w:fullDate="2016-12-14T00:00:00Z">
            <w:dateFormat w:val="dd/MM/yyyy"/>
            <w:lid w:val="en-GB"/>
            <w:storeMappedDataAs w:val="dateTime"/>
            <w:calendar w:val="gregorian"/>
          </w:date>
        </w:sdtPr>
        <w:sdtEndPr/>
        <w:sdtContent>
          <w:r w:rsidRPr="00D6313C">
            <w:rPr>
              <w:rFonts w:ascii="Arial" w:eastAsia="+mn-ea" w:hAnsi="Arial" w:cs="Arial"/>
              <w:b/>
              <w:position w:val="1"/>
              <w:sz w:val="32"/>
              <w:szCs w:val="32"/>
            </w:rPr>
            <w:t>14/12/2016</w:t>
          </w:r>
        </w:sdtContent>
      </w:sdt>
    </w:p>
    <w:p w14:paraId="0D27C294" w14:textId="77777777" w:rsidR="008B5CC1" w:rsidRPr="00D6313C" w:rsidRDefault="008B5CC1" w:rsidP="00D6313C">
      <w:pPr>
        <w:pStyle w:val="NormalWeb"/>
        <w:spacing w:before="0" w:beforeAutospacing="0" w:after="0" w:afterAutospacing="0"/>
        <w:rPr>
          <w:rFonts w:ascii="Arial" w:eastAsia="+mn-ea" w:hAnsi="Arial" w:cs="Arial"/>
          <w:b/>
          <w:position w:val="1"/>
          <w:sz w:val="26"/>
          <w:szCs w:val="26"/>
        </w:rPr>
      </w:pPr>
    </w:p>
    <w:tbl>
      <w:tblPr>
        <w:tblStyle w:val="TableGrid"/>
        <w:tblW w:w="10314" w:type="dxa"/>
        <w:tblLook w:val="04A0" w:firstRow="1" w:lastRow="0" w:firstColumn="1" w:lastColumn="0" w:noHBand="0" w:noVBand="1"/>
      </w:tblPr>
      <w:tblGrid>
        <w:gridCol w:w="3369"/>
        <w:gridCol w:w="6945"/>
      </w:tblGrid>
      <w:tr w:rsidR="00D6313C" w:rsidRPr="00D6313C" w14:paraId="2BF43566" w14:textId="77777777" w:rsidTr="00D6313C">
        <w:trPr>
          <w:trHeight w:val="359"/>
        </w:trPr>
        <w:tc>
          <w:tcPr>
            <w:tcW w:w="3369" w:type="dxa"/>
            <w:tcBorders>
              <w:top w:val="nil"/>
              <w:left w:val="nil"/>
              <w:bottom w:val="nil"/>
              <w:right w:val="nil"/>
            </w:tcBorders>
            <w:shd w:val="clear" w:color="auto" w:fill="DBE5F1" w:themeFill="accent1" w:themeFillTint="33"/>
          </w:tcPr>
          <w:p w14:paraId="4960594B" w14:textId="77777777" w:rsidR="008B5CC1" w:rsidRPr="00D6313C" w:rsidRDefault="008B5CC1" w:rsidP="00D6313C">
            <w:pPr>
              <w:pStyle w:val="NormalWeb"/>
              <w:spacing w:beforeLines="60" w:before="144" w:beforeAutospacing="0" w:afterLines="60" w:after="144" w:afterAutospacing="0"/>
              <w:rPr>
                <w:rFonts w:ascii="Arial" w:eastAsia="+mn-ea" w:hAnsi="Arial" w:cs="Arial"/>
                <w:position w:val="1"/>
                <w:sz w:val="22"/>
                <w:szCs w:val="22"/>
              </w:rPr>
            </w:pPr>
            <w:r w:rsidRPr="00D6313C">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86105164"/>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104E6E90" w14:textId="77777777" w:rsidR="008B5CC1" w:rsidRPr="00D6313C" w:rsidRDefault="008B5CC1" w:rsidP="00D6313C">
                <w:pPr>
                  <w:pStyle w:val="NormalWeb"/>
                  <w:spacing w:beforeLines="60" w:before="144" w:beforeAutospacing="0" w:afterLines="60" w:after="144" w:afterAutospacing="0"/>
                  <w:rPr>
                    <w:rFonts w:ascii="Arial" w:eastAsia="+mn-ea" w:hAnsi="Arial" w:cs="Arial"/>
                    <w:position w:val="1"/>
                    <w:sz w:val="22"/>
                    <w:szCs w:val="22"/>
                  </w:rPr>
                </w:pPr>
                <w:r w:rsidRPr="00D6313C">
                  <w:rPr>
                    <w:rFonts w:ascii="Arial" w:eastAsia="+mn-ea" w:hAnsi="Arial" w:cs="Arial"/>
                    <w:position w:val="1"/>
                    <w:sz w:val="22"/>
                    <w:szCs w:val="22"/>
                  </w:rPr>
                  <w:t>Scheduled review (review date reached)</w:t>
                </w:r>
              </w:p>
            </w:tc>
          </w:sdtContent>
        </w:sdt>
      </w:tr>
      <w:tr w:rsidR="00D6313C" w:rsidRPr="00D6313C" w14:paraId="765329D5" w14:textId="77777777" w:rsidTr="00D6313C">
        <w:trPr>
          <w:trHeight w:val="557"/>
        </w:trPr>
        <w:tc>
          <w:tcPr>
            <w:tcW w:w="3369" w:type="dxa"/>
            <w:tcBorders>
              <w:top w:val="nil"/>
              <w:left w:val="nil"/>
              <w:bottom w:val="nil"/>
              <w:right w:val="nil"/>
            </w:tcBorders>
            <w:shd w:val="clear" w:color="auto" w:fill="DBE5F1" w:themeFill="accent1" w:themeFillTint="33"/>
          </w:tcPr>
          <w:p w14:paraId="52B14E8A" w14:textId="77777777" w:rsidR="008B5CC1" w:rsidRPr="00D6313C" w:rsidRDefault="008B5CC1" w:rsidP="00D6313C">
            <w:pPr>
              <w:pStyle w:val="NormalWeb"/>
              <w:spacing w:beforeLines="60" w:before="144" w:beforeAutospacing="0" w:afterLines="60" w:after="144" w:afterAutospacing="0"/>
              <w:rPr>
                <w:rFonts w:ascii="Arial" w:eastAsia="+mn-ea" w:hAnsi="Arial" w:cs="Arial"/>
                <w:position w:val="1"/>
                <w:sz w:val="22"/>
                <w:szCs w:val="22"/>
              </w:rPr>
            </w:pPr>
            <w:r w:rsidRPr="00D6313C">
              <w:rPr>
                <w:rFonts w:ascii="Arial" w:eastAsia="+mn-ea" w:hAnsi="Arial" w:cs="Arial"/>
                <w:b/>
                <w:position w:val="1"/>
                <w:sz w:val="22"/>
                <w:szCs w:val="22"/>
              </w:rPr>
              <w:t>Iteration</w:t>
            </w:r>
          </w:p>
        </w:tc>
        <w:sdt>
          <w:sdtPr>
            <w:rPr>
              <w:rFonts w:ascii="Arial" w:eastAsia="+mn-ea" w:hAnsi="Arial" w:cs="Arial"/>
              <w:position w:val="1"/>
              <w:sz w:val="22"/>
              <w:szCs w:val="22"/>
            </w:rPr>
            <w:id w:val="-859353040"/>
            <w:dropDownList>
              <w:listItem w:value="Choose an item."/>
              <w:listItem w:displayText="1st IGB meeting" w:value="1st IGB meeting"/>
              <w:listItem w:displayText="2nd IGB meeting" w:value="2nd IGB meeting"/>
              <w:listItem w:displayText="3rd IGB meeting" w:value="3rd IGB meeting"/>
              <w:listItem w:displayText="Update from IGB Chair" w:value="Update from IGB Chair"/>
            </w:dropDownList>
          </w:sdtPr>
          <w:sdtEndPr/>
          <w:sdtContent>
            <w:tc>
              <w:tcPr>
                <w:tcW w:w="6945" w:type="dxa"/>
                <w:tcBorders>
                  <w:top w:val="nil"/>
                  <w:left w:val="nil"/>
                  <w:bottom w:val="nil"/>
                  <w:right w:val="nil"/>
                </w:tcBorders>
              </w:tcPr>
              <w:p w14:paraId="771EDEB8" w14:textId="77777777" w:rsidR="008B5CC1" w:rsidRPr="00D6313C" w:rsidRDefault="008B5CC1" w:rsidP="00D6313C">
                <w:pPr>
                  <w:pStyle w:val="NormalWeb"/>
                  <w:spacing w:beforeLines="60" w:before="144" w:beforeAutospacing="0" w:afterLines="60" w:after="144" w:afterAutospacing="0"/>
                  <w:rPr>
                    <w:rFonts w:ascii="Arial" w:eastAsia="+mn-ea" w:hAnsi="Arial" w:cs="Arial"/>
                    <w:position w:val="1"/>
                    <w:sz w:val="22"/>
                    <w:szCs w:val="22"/>
                  </w:rPr>
                </w:pPr>
                <w:r w:rsidRPr="00D6313C">
                  <w:rPr>
                    <w:rFonts w:ascii="Arial" w:eastAsia="+mn-ea" w:hAnsi="Arial" w:cs="Arial"/>
                    <w:position w:val="1"/>
                    <w:sz w:val="22"/>
                    <w:szCs w:val="22"/>
                  </w:rPr>
                  <w:t>1st IGB meeting</w:t>
                </w:r>
              </w:p>
            </w:tc>
          </w:sdtContent>
        </w:sdt>
      </w:tr>
    </w:tbl>
    <w:p w14:paraId="6F78CD48" w14:textId="77777777" w:rsidR="008B5CC1" w:rsidRPr="00D6313C" w:rsidRDefault="008B5CC1" w:rsidP="00D6313C"/>
    <w:p w14:paraId="08683B92" w14:textId="77777777" w:rsidR="008B5CC1" w:rsidRPr="00D6313C" w:rsidRDefault="00657EF8" w:rsidP="00D6313C">
      <w:pPr>
        <w:jc w:val="center"/>
        <w:rPr>
          <w:rFonts w:eastAsia="+mn-ea"/>
          <w:b/>
          <w:position w:val="1"/>
          <w:sz w:val="26"/>
          <w:szCs w:val="26"/>
          <w:lang w:eastAsia="en-GB"/>
        </w:rPr>
      </w:pPr>
      <w:r>
        <w:rPr>
          <w:rFonts w:eastAsia="+mn-ea"/>
          <w:b/>
          <w:position w:val="1"/>
          <w:sz w:val="26"/>
          <w:szCs w:val="26"/>
          <w:lang w:eastAsia="en-GB"/>
        </w:rPr>
        <w:pict w14:anchorId="782BD55F">
          <v:rect id="_x0000_i1025" style="width:503.2pt;height:1.5pt" o:hralign="center" o:hrstd="t" o:hr="t" fillcolor="#a0a0a0" stroked="f"/>
        </w:pict>
      </w:r>
    </w:p>
    <w:tbl>
      <w:tblPr>
        <w:tblStyle w:val="TableGrid1"/>
        <w:tblW w:w="0" w:type="auto"/>
        <w:tblLook w:val="04A0" w:firstRow="1" w:lastRow="0" w:firstColumn="1" w:lastColumn="0" w:noHBand="0" w:noVBand="1"/>
      </w:tblPr>
      <w:tblGrid>
        <w:gridCol w:w="4040"/>
        <w:gridCol w:w="2252"/>
      </w:tblGrid>
      <w:tr w:rsidR="0092758C" w:rsidRPr="00D6313C" w14:paraId="2B4BA742" w14:textId="77777777" w:rsidTr="0092758C">
        <w:tc>
          <w:tcPr>
            <w:tcW w:w="4040" w:type="dxa"/>
          </w:tcPr>
          <w:p w14:paraId="1103DF5D" w14:textId="77777777" w:rsidR="0092758C" w:rsidRPr="00D6313C" w:rsidRDefault="0092758C" w:rsidP="0092758C">
            <w:pPr>
              <w:spacing w:before="120"/>
              <w:rPr>
                <w:rFonts w:eastAsia="+mn-ea"/>
                <w:b/>
                <w:position w:val="1"/>
                <w:sz w:val="26"/>
                <w:szCs w:val="26"/>
              </w:rPr>
            </w:pPr>
            <w:r w:rsidRPr="00D6313C">
              <w:rPr>
                <w:rFonts w:eastAsia="+mn-ea"/>
                <w:b/>
                <w:position w:val="1"/>
                <w:sz w:val="26"/>
                <w:szCs w:val="26"/>
              </w:rPr>
              <w:t>Ratings Against Assessment Criteria</w:t>
            </w:r>
          </w:p>
          <w:p w14:paraId="3E03B5D8" w14:textId="77777777" w:rsidR="0092758C" w:rsidRPr="00D6313C" w:rsidRDefault="0092758C" w:rsidP="00D6313C">
            <w:pPr>
              <w:spacing w:line="360" w:lineRule="auto"/>
              <w:rPr>
                <w:rFonts w:eastAsia="+mn-ea"/>
                <w:position w:val="1"/>
                <w:sz w:val="24"/>
                <w:szCs w:val="40"/>
              </w:rPr>
            </w:pPr>
          </w:p>
        </w:tc>
        <w:tc>
          <w:tcPr>
            <w:tcW w:w="2252" w:type="dxa"/>
          </w:tcPr>
          <w:p w14:paraId="2F64061F" w14:textId="77777777" w:rsidR="0092758C" w:rsidRPr="00D6313C" w:rsidRDefault="0092758C" w:rsidP="00D6313C">
            <w:pPr>
              <w:spacing w:line="360" w:lineRule="auto"/>
              <w:jc w:val="center"/>
              <w:rPr>
                <w:b/>
                <w:noProof/>
                <w:lang w:eastAsia="en-GB"/>
              </w:rPr>
            </w:pPr>
          </w:p>
        </w:tc>
      </w:tr>
      <w:tr w:rsidR="0092758C" w:rsidRPr="00D6313C" w14:paraId="29860DEF" w14:textId="77777777" w:rsidTr="0092758C">
        <w:tc>
          <w:tcPr>
            <w:tcW w:w="4040" w:type="dxa"/>
            <w:hideMark/>
          </w:tcPr>
          <w:p w14:paraId="130A5CFF"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Clarity</w:t>
            </w:r>
          </w:p>
        </w:tc>
        <w:tc>
          <w:tcPr>
            <w:tcW w:w="2252" w:type="dxa"/>
            <w:hideMark/>
          </w:tcPr>
          <w:p w14:paraId="0F9E670D" w14:textId="03D94507"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Fit for use</w:t>
            </w:r>
          </w:p>
        </w:tc>
      </w:tr>
      <w:tr w:rsidR="0092758C" w:rsidRPr="00D6313C" w14:paraId="59A3A3FC" w14:textId="77777777" w:rsidTr="0092758C">
        <w:tc>
          <w:tcPr>
            <w:tcW w:w="4040" w:type="dxa"/>
            <w:hideMark/>
          </w:tcPr>
          <w:p w14:paraId="16D15FFF"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Rationale</w:t>
            </w:r>
          </w:p>
        </w:tc>
        <w:tc>
          <w:tcPr>
            <w:tcW w:w="2252" w:type="dxa"/>
            <w:hideMark/>
          </w:tcPr>
          <w:p w14:paraId="795C68C3" w14:textId="4139DB36"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 xml:space="preserve"> Fit for use</w:t>
            </w:r>
          </w:p>
        </w:tc>
      </w:tr>
      <w:tr w:rsidR="0092758C" w:rsidRPr="00D6313C" w14:paraId="07E196FE" w14:textId="77777777" w:rsidTr="0092758C">
        <w:tc>
          <w:tcPr>
            <w:tcW w:w="4040" w:type="dxa"/>
            <w:hideMark/>
          </w:tcPr>
          <w:p w14:paraId="75D6D967"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Data</w:t>
            </w:r>
          </w:p>
        </w:tc>
        <w:tc>
          <w:tcPr>
            <w:tcW w:w="2252" w:type="dxa"/>
            <w:hideMark/>
          </w:tcPr>
          <w:p w14:paraId="4E5F42F9" w14:textId="639B6CE6"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Fit for use with caveats</w:t>
            </w:r>
          </w:p>
        </w:tc>
      </w:tr>
      <w:tr w:rsidR="0092758C" w:rsidRPr="00D6313C" w14:paraId="4A206B06" w14:textId="77777777" w:rsidTr="0092758C">
        <w:tc>
          <w:tcPr>
            <w:tcW w:w="4040" w:type="dxa"/>
            <w:hideMark/>
          </w:tcPr>
          <w:p w14:paraId="746A5022"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Construction</w:t>
            </w:r>
          </w:p>
        </w:tc>
        <w:tc>
          <w:tcPr>
            <w:tcW w:w="2252" w:type="dxa"/>
            <w:hideMark/>
          </w:tcPr>
          <w:p w14:paraId="2D911B98" w14:textId="5CAD9BEE"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 xml:space="preserve"> Fit for use</w:t>
            </w:r>
          </w:p>
        </w:tc>
      </w:tr>
      <w:tr w:rsidR="0092758C" w:rsidRPr="00D6313C" w14:paraId="2D800948" w14:textId="77777777" w:rsidTr="0092758C">
        <w:tc>
          <w:tcPr>
            <w:tcW w:w="4040" w:type="dxa"/>
            <w:hideMark/>
          </w:tcPr>
          <w:p w14:paraId="58B69713"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Presentation and Interpretation</w:t>
            </w:r>
          </w:p>
        </w:tc>
        <w:tc>
          <w:tcPr>
            <w:tcW w:w="2252" w:type="dxa"/>
            <w:hideMark/>
          </w:tcPr>
          <w:p w14:paraId="6FCEA232" w14:textId="0B43D447"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 xml:space="preserve"> Fit for use</w:t>
            </w:r>
          </w:p>
        </w:tc>
      </w:tr>
      <w:tr w:rsidR="0092758C" w:rsidRPr="00D6313C" w14:paraId="3DA10156" w14:textId="77777777" w:rsidTr="0092758C">
        <w:tc>
          <w:tcPr>
            <w:tcW w:w="4040" w:type="dxa"/>
            <w:hideMark/>
          </w:tcPr>
          <w:p w14:paraId="23F0D78A"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Risks and Usefulness</w:t>
            </w:r>
          </w:p>
        </w:tc>
        <w:tc>
          <w:tcPr>
            <w:tcW w:w="2252" w:type="dxa"/>
            <w:hideMark/>
          </w:tcPr>
          <w:p w14:paraId="69898E70" w14:textId="443360F7"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 xml:space="preserve"> Fit for use</w:t>
            </w:r>
          </w:p>
        </w:tc>
      </w:tr>
      <w:tr w:rsidR="0092758C" w:rsidRPr="00D6313C" w14:paraId="01BA5D83" w14:textId="77777777" w:rsidTr="0092758C">
        <w:tc>
          <w:tcPr>
            <w:tcW w:w="4040" w:type="dxa"/>
          </w:tcPr>
          <w:p w14:paraId="0CE1E78C" w14:textId="77777777" w:rsidR="0092758C" w:rsidRPr="00D6313C" w:rsidRDefault="0092758C" w:rsidP="0092758C">
            <w:pPr>
              <w:spacing w:before="120"/>
              <w:jc w:val="center"/>
              <w:rPr>
                <w:rFonts w:eastAsia="+mn-ea"/>
                <w:b/>
                <w:position w:val="1"/>
                <w:sz w:val="26"/>
                <w:szCs w:val="26"/>
              </w:rPr>
            </w:pPr>
            <w:r w:rsidRPr="00D6313C">
              <w:rPr>
                <w:rFonts w:eastAsia="+mn-ea"/>
                <w:b/>
                <w:position w:val="1"/>
                <w:sz w:val="26"/>
                <w:szCs w:val="26"/>
              </w:rPr>
              <w:t>Overall Rating</w:t>
            </w:r>
          </w:p>
          <w:p w14:paraId="2655BE68" w14:textId="77777777" w:rsidR="0092758C" w:rsidRPr="00D6313C" w:rsidRDefault="0092758C" w:rsidP="00D6313C">
            <w:pPr>
              <w:spacing w:line="360" w:lineRule="auto"/>
              <w:rPr>
                <w:rFonts w:eastAsia="+mn-ea"/>
                <w:position w:val="1"/>
                <w:sz w:val="24"/>
                <w:szCs w:val="40"/>
              </w:rPr>
            </w:pPr>
          </w:p>
        </w:tc>
        <w:tc>
          <w:tcPr>
            <w:tcW w:w="2252" w:type="dxa"/>
          </w:tcPr>
          <w:sdt>
            <w:sdtPr>
              <w:rPr>
                <w:rFonts w:eastAsia="+mn-ea"/>
                <w:b/>
                <w:position w:val="1"/>
                <w:sz w:val="26"/>
                <w:szCs w:val="26"/>
              </w:rPr>
              <w:alias w:val="IGB rating"/>
              <w:tag w:val="IGB rating"/>
              <w:id w:val="-1666158861"/>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p w14:paraId="226842C5" w14:textId="77777777" w:rsidR="0092758C" w:rsidRDefault="0092758C" w:rsidP="0092758C">
                <w:pPr>
                  <w:spacing w:line="360" w:lineRule="auto"/>
                  <w:jc w:val="center"/>
                  <w:rPr>
                    <w:rFonts w:eastAsia="+mn-ea"/>
                    <w:b/>
                    <w:position w:val="1"/>
                    <w:sz w:val="26"/>
                    <w:szCs w:val="26"/>
                  </w:rPr>
                </w:pPr>
                <w:r w:rsidRPr="00D6313C">
                  <w:rPr>
                    <w:rFonts w:eastAsia="+mn-ea"/>
                    <w:b/>
                    <w:position w:val="1"/>
                    <w:sz w:val="26"/>
                    <w:szCs w:val="26"/>
                  </w:rPr>
                  <w:t>Fit for use</w:t>
                </w:r>
              </w:p>
            </w:sdtContent>
          </w:sdt>
          <w:p w14:paraId="427671A6" w14:textId="77777777" w:rsidR="0092758C" w:rsidRPr="00D6313C" w:rsidRDefault="0092758C" w:rsidP="00D6313C">
            <w:pPr>
              <w:spacing w:line="360" w:lineRule="auto"/>
              <w:jc w:val="center"/>
              <w:rPr>
                <w:b/>
                <w:noProof/>
                <w:lang w:eastAsia="en-GB"/>
              </w:rPr>
            </w:pPr>
          </w:p>
        </w:tc>
      </w:tr>
    </w:tbl>
    <w:p w14:paraId="64BD1AE7" w14:textId="77777777" w:rsidR="008B5CC1" w:rsidRPr="00D6313C" w:rsidRDefault="008B5CC1" w:rsidP="00D6313C">
      <w:pPr>
        <w:pStyle w:val="NormalWeb"/>
        <w:spacing w:before="0" w:beforeAutospacing="0" w:after="0" w:afterAutospacing="0"/>
        <w:rPr>
          <w:rFonts w:ascii="Arial" w:eastAsia="+mn-ea" w:hAnsi="Arial" w:cs="Arial"/>
          <w:b/>
          <w:position w:val="1"/>
          <w:sz w:val="26"/>
          <w:szCs w:val="26"/>
        </w:rPr>
      </w:pPr>
    </w:p>
    <w:p w14:paraId="45BE07E1" w14:textId="77777777" w:rsidR="008B5CC1" w:rsidRPr="00D6313C" w:rsidRDefault="008B5CC1" w:rsidP="00D6313C">
      <w:pPr>
        <w:pStyle w:val="NormalWeb"/>
        <w:spacing w:before="0" w:beforeAutospacing="0" w:after="0" w:afterAutospacing="0"/>
        <w:rPr>
          <w:rFonts w:ascii="Arial" w:eastAsia="+mn-ea" w:hAnsi="Arial" w:cs="Arial"/>
          <w:b/>
          <w:position w:val="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856"/>
      </w:tblGrid>
      <w:tr w:rsidR="00D6313C" w:rsidRPr="00D6313C" w14:paraId="023E4DE8" w14:textId="77777777" w:rsidTr="00D6313C">
        <w:tc>
          <w:tcPr>
            <w:tcW w:w="3369" w:type="dxa"/>
            <w:shd w:val="clear" w:color="auto" w:fill="DBE5F1" w:themeFill="accent1" w:themeFillTint="33"/>
            <w:vAlign w:val="center"/>
          </w:tcPr>
          <w:p w14:paraId="26411529" w14:textId="77777777" w:rsidR="008B5CC1" w:rsidRPr="00D6313C" w:rsidRDefault="008B5CC1" w:rsidP="00D6313C">
            <w:pPr>
              <w:pStyle w:val="NormalWeb"/>
              <w:spacing w:before="0" w:beforeAutospacing="0" w:after="0" w:afterAutospacing="0"/>
              <w:rPr>
                <w:rFonts w:ascii="Arial" w:eastAsia="+mn-ea" w:hAnsi="Arial" w:cs="Arial"/>
                <w:b/>
                <w:position w:val="1"/>
                <w:sz w:val="22"/>
                <w:szCs w:val="22"/>
              </w:rPr>
            </w:pPr>
            <w:r w:rsidRPr="00D6313C">
              <w:rPr>
                <w:rFonts w:ascii="Arial" w:eastAsia="+mn-ea" w:hAnsi="Arial" w:cs="Arial"/>
                <w:b/>
                <w:position w:val="1"/>
                <w:sz w:val="22"/>
                <w:szCs w:val="22"/>
              </w:rPr>
              <w:t>Outcome</w:t>
            </w:r>
          </w:p>
        </w:tc>
        <w:sdt>
          <w:sdtPr>
            <w:rPr>
              <w:rFonts w:ascii="Arial" w:eastAsia="+mn-ea" w:hAnsi="Arial" w:cs="Arial"/>
              <w:b/>
              <w:position w:val="1"/>
              <w:sz w:val="22"/>
              <w:szCs w:val="22"/>
            </w:rPr>
            <w:alias w:val="Outcome"/>
            <w:tag w:val="Outcome"/>
            <w:id w:val="1075713746"/>
            <w:dropDownList>
              <w:listItem w:value="Choose an item."/>
              <w:listItem w:displayText="This indicator has been approved for inclusion in the National Library of Quality Assured Indicators" w:value="This indicator has been approved for inclusion in the National Library of Quality Assured Indicators"/>
              <w:listItem w:displayText="This indicator has not been approved for inclusion in the National Library of Quality Assured Indicators" w:value="This indicator has not been approved for inclusion in the National Library of Quality Assured Indicators"/>
              <w:listItem w:displayText="This indicator is pending sign-off from the IGB Chair" w:value="This indicator is pending sign-off from the IGB Chair"/>
              <w:listItem w:displayText="This indicator has been referred back to MRG following IGB assessment" w:value="This indicator has been referred back to MRG following IGB assessment"/>
            </w:dropDownList>
          </w:sdtPr>
          <w:sdtEndPr/>
          <w:sdtContent>
            <w:tc>
              <w:tcPr>
                <w:tcW w:w="6911" w:type="dxa"/>
              </w:tcPr>
              <w:p w14:paraId="29D5983E" w14:textId="77777777" w:rsidR="008B5CC1" w:rsidRPr="00D6313C" w:rsidRDefault="008B5CC1" w:rsidP="00D6313C">
                <w:pPr>
                  <w:pStyle w:val="NormalWeb"/>
                  <w:spacing w:before="0" w:beforeAutospacing="0" w:after="0" w:afterAutospacing="0"/>
                  <w:rPr>
                    <w:rFonts w:ascii="Arial" w:eastAsia="+mn-ea" w:hAnsi="Arial" w:cs="Arial"/>
                    <w:b/>
                    <w:position w:val="1"/>
                    <w:sz w:val="26"/>
                    <w:szCs w:val="26"/>
                  </w:rPr>
                </w:pPr>
                <w:r w:rsidRPr="00D6313C">
                  <w:rPr>
                    <w:rFonts w:ascii="Arial" w:eastAsia="+mn-ea" w:hAnsi="Arial" w:cs="Arial"/>
                    <w:b/>
                    <w:position w:val="1"/>
                    <w:sz w:val="22"/>
                    <w:szCs w:val="22"/>
                  </w:rPr>
                  <w:t>This indicator has been approved for inclusion in the National Library of Quality Assured Indicators</w:t>
                </w:r>
              </w:p>
            </w:tc>
          </w:sdtContent>
        </w:sdt>
      </w:tr>
    </w:tbl>
    <w:p w14:paraId="2B3F666B" w14:textId="77777777" w:rsidR="008B5CC1" w:rsidRPr="00D6313C" w:rsidRDefault="008B5CC1" w:rsidP="00D6313C">
      <w:pPr>
        <w:pStyle w:val="NormalWeb"/>
        <w:spacing w:before="0" w:beforeAutospacing="0" w:after="0" w:afterAutospacing="0"/>
        <w:rPr>
          <w:rFonts w:ascii="Arial" w:eastAsia="+mn-ea" w:hAnsi="Arial" w:cs="Arial"/>
          <w:b/>
          <w:position w:val="1"/>
          <w:sz w:val="26"/>
          <w:szCs w:val="26"/>
        </w:rPr>
      </w:pPr>
    </w:p>
    <w:p w14:paraId="3A48E600" w14:textId="77777777" w:rsidR="008B5CC1" w:rsidRPr="00D6313C" w:rsidRDefault="008B5CC1" w:rsidP="00D6313C">
      <w:pPr>
        <w:pStyle w:val="NormalWeb"/>
        <w:spacing w:before="0" w:beforeAutospacing="0" w:after="0" w:afterAutospacing="0"/>
        <w:rPr>
          <w:rFonts w:ascii="Arial" w:eastAsia="+mn-ea" w:hAnsi="Arial" w:cs="Arial"/>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6313C" w:rsidRPr="00D6313C" w14:paraId="02B73BB5" w14:textId="77777777" w:rsidTr="00D6313C">
        <w:tc>
          <w:tcPr>
            <w:tcW w:w="10280" w:type="dxa"/>
            <w:shd w:val="clear" w:color="auto" w:fill="DBE5F1" w:themeFill="accent1" w:themeFillTint="33"/>
          </w:tcPr>
          <w:p w14:paraId="19AC514A" w14:textId="77777777" w:rsidR="008B5CC1" w:rsidRPr="00D6313C" w:rsidRDefault="008B5CC1" w:rsidP="00D6313C">
            <w:pPr>
              <w:pStyle w:val="NormalWeb"/>
              <w:spacing w:before="0" w:beforeAutospacing="0" w:after="0" w:afterAutospacing="0"/>
              <w:rPr>
                <w:rFonts w:ascii="Arial" w:eastAsia="+mn-ea" w:hAnsi="Arial" w:cs="Arial"/>
                <w:b/>
                <w:position w:val="1"/>
                <w:sz w:val="26"/>
                <w:szCs w:val="26"/>
              </w:rPr>
            </w:pPr>
            <w:r w:rsidRPr="00D6313C">
              <w:rPr>
                <w:rFonts w:ascii="Arial" w:eastAsia="+mn-ea" w:hAnsi="Arial" w:cs="Arial"/>
                <w:b/>
                <w:position w:val="1"/>
                <w:sz w:val="26"/>
                <w:szCs w:val="26"/>
              </w:rPr>
              <w:t>Comments</w:t>
            </w:r>
          </w:p>
        </w:tc>
      </w:tr>
      <w:tr w:rsidR="008B5CC1" w:rsidRPr="00D6313C" w14:paraId="371F7329" w14:textId="77777777" w:rsidTr="00D6313C">
        <w:tc>
          <w:tcPr>
            <w:tcW w:w="10280" w:type="dxa"/>
          </w:tcPr>
          <w:p w14:paraId="4A7A4E98" w14:textId="77777777" w:rsidR="008B5CC1" w:rsidRPr="00D6313C" w:rsidRDefault="008B5CC1" w:rsidP="008B5CC1">
            <w:pPr>
              <w:pStyle w:val="NormalWeb"/>
              <w:numPr>
                <w:ilvl w:val="0"/>
                <w:numId w:val="11"/>
              </w:numPr>
              <w:spacing w:before="240" w:beforeAutospacing="0" w:after="0" w:afterAutospacing="0"/>
              <w:rPr>
                <w:rFonts w:ascii="Arial" w:eastAsia="+mn-ea" w:hAnsi="Arial" w:cs="Arial"/>
                <w:position w:val="1"/>
                <w:sz w:val="22"/>
                <w:szCs w:val="22"/>
              </w:rPr>
            </w:pPr>
            <w:r w:rsidRPr="00D6313C">
              <w:rPr>
                <w:rFonts w:ascii="Arial" w:eastAsia="+mn-ea" w:hAnsi="Arial" w:cs="Arial"/>
                <w:position w:val="1"/>
                <w:sz w:val="22"/>
                <w:szCs w:val="22"/>
              </w:rPr>
              <w:t xml:space="preserve">IGB endorse the MRG’s recommendation that the indicator is rated ‘Fit for use’ and is suitable for inclusion in the Library. </w:t>
            </w:r>
          </w:p>
          <w:p w14:paraId="5125EDC5" w14:textId="77777777" w:rsidR="008B5CC1" w:rsidRPr="00D6313C" w:rsidRDefault="008B5CC1" w:rsidP="008B5CC1">
            <w:pPr>
              <w:pStyle w:val="NormalWeb"/>
              <w:numPr>
                <w:ilvl w:val="0"/>
                <w:numId w:val="11"/>
              </w:numPr>
              <w:spacing w:before="240" w:beforeAutospacing="0" w:after="0" w:afterAutospacing="0"/>
              <w:rPr>
                <w:rFonts w:ascii="Arial" w:eastAsia="+mn-ea" w:hAnsi="Arial" w:cs="Arial"/>
                <w:position w:val="1"/>
                <w:sz w:val="22"/>
                <w:szCs w:val="22"/>
              </w:rPr>
            </w:pPr>
            <w:r w:rsidRPr="00D6313C">
              <w:rPr>
                <w:rFonts w:ascii="Arial" w:eastAsia="+mn-ea" w:hAnsi="Arial" w:cs="Arial"/>
                <w:position w:val="1"/>
                <w:sz w:val="22"/>
                <w:szCs w:val="22"/>
              </w:rPr>
              <w:t>A three year review period has been set, after which the indicator will be reconsidered by the assurance process.</w:t>
            </w:r>
          </w:p>
        </w:tc>
      </w:tr>
    </w:tbl>
    <w:p w14:paraId="4C91C881" w14:textId="77777777" w:rsidR="008B5CC1" w:rsidRPr="00D6313C" w:rsidRDefault="008B5CC1" w:rsidP="00D6313C">
      <w:pPr>
        <w:pStyle w:val="NormalWeb"/>
        <w:spacing w:before="0" w:beforeAutospacing="0" w:after="0" w:afterAutospacing="0"/>
        <w:rPr>
          <w:rFonts w:ascii="Arial" w:eastAsia="+mn-ea" w:hAnsi="Arial" w:cs="Arial"/>
          <w:position w:val="1"/>
          <w:sz w:val="22"/>
          <w:szCs w:val="22"/>
        </w:rPr>
      </w:pPr>
    </w:p>
    <w:p w14:paraId="0FC5EA30" w14:textId="77777777" w:rsidR="008B5CC1" w:rsidRPr="00D6313C" w:rsidRDefault="008B5CC1" w:rsidP="00D6313C">
      <w:pPr>
        <w:pStyle w:val="NormalWeb"/>
        <w:spacing w:before="0" w:beforeAutospacing="0" w:after="0" w:afterAutospacing="0"/>
        <w:rPr>
          <w:rFonts w:ascii="Arial" w:eastAsia="+mn-ea" w:hAnsi="Arial" w:cs="Arial"/>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D6313C" w:rsidRPr="00D6313C" w14:paraId="74A481D5" w14:textId="77777777" w:rsidTr="00D6313C">
        <w:tc>
          <w:tcPr>
            <w:tcW w:w="3369" w:type="dxa"/>
            <w:shd w:val="clear" w:color="auto" w:fill="DBE5F1" w:themeFill="accent1" w:themeFillTint="33"/>
          </w:tcPr>
          <w:p w14:paraId="36B5E770" w14:textId="77777777" w:rsidR="008B5CC1" w:rsidRPr="00D6313C" w:rsidRDefault="008B5CC1" w:rsidP="00D6313C">
            <w:pPr>
              <w:pStyle w:val="NormalWeb"/>
              <w:spacing w:before="60" w:beforeAutospacing="0" w:after="60" w:afterAutospacing="0"/>
              <w:rPr>
                <w:rFonts w:ascii="Arial" w:eastAsia="+mn-ea" w:hAnsi="Arial" w:cs="Arial"/>
                <w:b/>
                <w:position w:val="1"/>
                <w:sz w:val="22"/>
                <w:szCs w:val="22"/>
              </w:rPr>
            </w:pPr>
            <w:r w:rsidRPr="00D6313C">
              <w:rPr>
                <w:rFonts w:ascii="Arial" w:eastAsia="+mn-ea" w:hAnsi="Arial" w:cs="Arial"/>
                <w:b/>
                <w:position w:val="1"/>
                <w:sz w:val="22"/>
                <w:szCs w:val="22"/>
              </w:rPr>
              <w:t>Approval date</w:t>
            </w:r>
          </w:p>
        </w:tc>
        <w:sdt>
          <w:sdtPr>
            <w:rPr>
              <w:rFonts w:ascii="Arial" w:eastAsia="+mn-ea" w:hAnsi="Arial" w:cs="Arial"/>
              <w:position w:val="1"/>
              <w:sz w:val="22"/>
              <w:szCs w:val="22"/>
            </w:rPr>
            <w:id w:val="1802733087"/>
            <w:date w:fullDate="2016-12-14T00:00:00Z">
              <w:dateFormat w:val="dd/MM/yyyy"/>
              <w:lid w:val="en-GB"/>
              <w:storeMappedDataAs w:val="dateTime"/>
              <w:calendar w:val="gregorian"/>
            </w:date>
          </w:sdtPr>
          <w:sdtEndPr/>
          <w:sdtContent>
            <w:tc>
              <w:tcPr>
                <w:tcW w:w="6945" w:type="dxa"/>
              </w:tcPr>
              <w:p w14:paraId="7B7C8FC5" w14:textId="77777777" w:rsidR="008B5CC1" w:rsidRPr="00D6313C" w:rsidRDefault="008B5CC1" w:rsidP="00D6313C">
                <w:pPr>
                  <w:pStyle w:val="NormalWeb"/>
                  <w:spacing w:before="60" w:beforeAutospacing="0" w:after="60" w:afterAutospacing="0"/>
                  <w:rPr>
                    <w:rFonts w:ascii="Arial" w:eastAsia="+mn-ea" w:hAnsi="Arial" w:cs="Arial"/>
                    <w:position w:val="1"/>
                    <w:sz w:val="22"/>
                    <w:szCs w:val="22"/>
                  </w:rPr>
                </w:pPr>
                <w:r w:rsidRPr="00D6313C">
                  <w:rPr>
                    <w:rFonts w:ascii="Arial" w:eastAsia="+mn-ea" w:hAnsi="Arial" w:cs="Arial"/>
                    <w:position w:val="1"/>
                    <w:sz w:val="22"/>
                    <w:szCs w:val="22"/>
                  </w:rPr>
                  <w:t>14/12/2016</w:t>
                </w:r>
              </w:p>
            </w:tc>
          </w:sdtContent>
        </w:sdt>
      </w:tr>
      <w:tr w:rsidR="00D6313C" w:rsidRPr="00D6313C" w14:paraId="713147DA" w14:textId="77777777" w:rsidTr="00D6313C">
        <w:tc>
          <w:tcPr>
            <w:tcW w:w="3369" w:type="dxa"/>
            <w:shd w:val="clear" w:color="auto" w:fill="DBE5F1" w:themeFill="accent1" w:themeFillTint="33"/>
          </w:tcPr>
          <w:p w14:paraId="6615BF96" w14:textId="77777777" w:rsidR="008B5CC1" w:rsidRPr="00D6313C" w:rsidRDefault="008B5CC1" w:rsidP="00D6313C">
            <w:pPr>
              <w:pStyle w:val="NormalWeb"/>
              <w:spacing w:before="60" w:beforeAutospacing="0" w:after="60" w:afterAutospacing="0"/>
              <w:rPr>
                <w:rFonts w:ascii="Arial" w:eastAsia="+mn-ea" w:hAnsi="Arial" w:cs="Arial"/>
                <w:b/>
                <w:position w:val="1"/>
                <w:sz w:val="22"/>
                <w:szCs w:val="22"/>
              </w:rPr>
            </w:pPr>
            <w:r w:rsidRPr="00D6313C">
              <w:rPr>
                <w:rFonts w:ascii="Arial" w:eastAsia="+mn-ea" w:hAnsi="Arial" w:cs="Arial"/>
                <w:b/>
                <w:position w:val="1"/>
                <w:sz w:val="22"/>
                <w:szCs w:val="22"/>
              </w:rPr>
              <w:lastRenderedPageBreak/>
              <w:t>Review date</w:t>
            </w:r>
          </w:p>
        </w:tc>
        <w:sdt>
          <w:sdtPr>
            <w:rPr>
              <w:rFonts w:ascii="Arial" w:eastAsia="+mn-ea" w:hAnsi="Arial" w:cs="Arial"/>
              <w:position w:val="1"/>
              <w:sz w:val="22"/>
              <w:szCs w:val="22"/>
            </w:rPr>
            <w:id w:val="969868933"/>
            <w:date w:fullDate="2019-12-14T00:00:00Z">
              <w:dateFormat w:val="dd/MM/yyyy"/>
              <w:lid w:val="en-GB"/>
              <w:storeMappedDataAs w:val="dateTime"/>
              <w:calendar w:val="gregorian"/>
            </w:date>
          </w:sdtPr>
          <w:sdtEndPr/>
          <w:sdtContent>
            <w:tc>
              <w:tcPr>
                <w:tcW w:w="6945" w:type="dxa"/>
              </w:tcPr>
              <w:p w14:paraId="6B63DD64" w14:textId="77777777" w:rsidR="008B5CC1" w:rsidRPr="00D6313C" w:rsidRDefault="008B5CC1" w:rsidP="00D6313C">
                <w:pPr>
                  <w:pStyle w:val="NormalWeb"/>
                  <w:spacing w:before="60" w:beforeAutospacing="0" w:after="60" w:afterAutospacing="0"/>
                  <w:rPr>
                    <w:rFonts w:ascii="Arial" w:eastAsia="+mn-ea" w:hAnsi="Arial" w:cs="Arial"/>
                    <w:position w:val="1"/>
                    <w:sz w:val="22"/>
                    <w:szCs w:val="22"/>
                  </w:rPr>
                </w:pPr>
                <w:r w:rsidRPr="00D6313C">
                  <w:rPr>
                    <w:rFonts w:ascii="Arial" w:eastAsia="+mn-ea" w:hAnsi="Arial" w:cs="Arial"/>
                    <w:position w:val="1"/>
                    <w:sz w:val="22"/>
                    <w:szCs w:val="22"/>
                  </w:rPr>
                  <w:t>14/12/2019</w:t>
                </w:r>
              </w:p>
            </w:tc>
          </w:sdtContent>
        </w:sdt>
      </w:tr>
    </w:tbl>
    <w:p w14:paraId="0A9E6039" w14:textId="77777777" w:rsidR="008B5CC1" w:rsidRPr="00D6313C" w:rsidRDefault="008B5CC1" w:rsidP="00D6313C">
      <w:pPr>
        <w:pStyle w:val="NormalWeb"/>
        <w:spacing w:before="0" w:beforeAutospacing="0" w:after="0" w:afterAutospacing="0"/>
        <w:rPr>
          <w:rFonts w:ascii="Arial" w:eastAsia="+mn-ea" w:hAnsi="Arial" w:cs="Arial"/>
          <w:position w:val="1"/>
          <w:sz w:val="22"/>
          <w:szCs w:val="22"/>
        </w:rPr>
      </w:pPr>
    </w:p>
    <w:p w14:paraId="78DE1F14" w14:textId="77777777" w:rsidR="008B5CC1" w:rsidRPr="00D6313C" w:rsidRDefault="008B5CC1" w:rsidP="00D6313C">
      <w:pPr>
        <w:pStyle w:val="NormalWeb"/>
        <w:spacing w:before="0" w:beforeAutospacing="0" w:after="0" w:afterAutospacing="0"/>
        <w:ind w:left="142" w:hanging="142"/>
        <w:rPr>
          <w:rFonts w:ascii="Arial" w:eastAsia="+mn-ea" w:hAnsi="Arial" w:cs="Arial"/>
          <w:position w:val="1"/>
          <w:sz w:val="22"/>
          <w:szCs w:val="22"/>
        </w:rPr>
      </w:pPr>
    </w:p>
    <w:p w14:paraId="7C5B4131" w14:textId="77777777" w:rsidR="008B5CC1" w:rsidRPr="00D6313C" w:rsidRDefault="008B5CC1">
      <w:r w:rsidRPr="00D6313C">
        <w:br w:type="page"/>
      </w:r>
    </w:p>
    <w:p w14:paraId="53E0E99D" w14:textId="77777777" w:rsidR="008B5CC1" w:rsidRPr="00D6313C" w:rsidRDefault="008B5CC1" w:rsidP="00D6313C">
      <w:pPr>
        <w:pStyle w:val="NormalWeb"/>
        <w:tabs>
          <w:tab w:val="right" w:pos="10064"/>
        </w:tabs>
        <w:spacing w:before="0" w:beforeAutospacing="0" w:after="0" w:afterAutospacing="0"/>
        <w:rPr>
          <w:rFonts w:ascii="Arial" w:eastAsia="+mn-ea" w:hAnsi="Arial" w:cs="Arial"/>
          <w:b/>
          <w:position w:val="1"/>
          <w:sz w:val="32"/>
          <w:szCs w:val="32"/>
        </w:rPr>
      </w:pPr>
    </w:p>
    <w:p w14:paraId="766F0CC4" w14:textId="77777777" w:rsidR="008B5CC1" w:rsidRPr="00D6313C" w:rsidRDefault="008B5CC1" w:rsidP="00D6313C">
      <w:pPr>
        <w:pStyle w:val="NormalWeb"/>
        <w:tabs>
          <w:tab w:val="right" w:pos="10064"/>
        </w:tabs>
        <w:spacing w:before="0" w:beforeAutospacing="0" w:after="0" w:afterAutospacing="0"/>
        <w:rPr>
          <w:rFonts w:ascii="Arial" w:eastAsia="+mn-ea" w:hAnsi="Arial" w:cs="Arial"/>
          <w:b/>
          <w:position w:val="1"/>
          <w:sz w:val="32"/>
          <w:szCs w:val="32"/>
        </w:rPr>
      </w:pPr>
      <w:r w:rsidRPr="00D6313C">
        <w:rPr>
          <w:rFonts w:ascii="Arial" w:eastAsia="+mn-ea" w:hAnsi="Arial" w:cs="Arial"/>
          <w:b/>
          <w:position w:val="1"/>
          <w:sz w:val="32"/>
          <w:szCs w:val="32"/>
        </w:rPr>
        <w:t xml:space="preserve">Details of Methodology Appraisal – </w:t>
      </w:r>
      <w:sdt>
        <w:sdtPr>
          <w:rPr>
            <w:rFonts w:ascii="Arial" w:eastAsia="+mn-ea" w:hAnsi="Arial" w:cs="Arial"/>
            <w:b/>
            <w:position w:val="1"/>
            <w:sz w:val="32"/>
            <w:szCs w:val="32"/>
          </w:rPr>
          <w:id w:val="2062666500"/>
          <w:date w:fullDate="2016-11-28T00:00:00Z">
            <w:dateFormat w:val="dd/MM/yyyy"/>
            <w:lid w:val="en-GB"/>
            <w:storeMappedDataAs w:val="dateTime"/>
            <w:calendar w:val="gregorian"/>
          </w:date>
        </w:sdtPr>
        <w:sdtEndPr/>
        <w:sdtContent>
          <w:r w:rsidRPr="00D6313C">
            <w:rPr>
              <w:rFonts w:ascii="Arial" w:eastAsia="+mn-ea" w:hAnsi="Arial" w:cs="Arial"/>
              <w:b/>
              <w:position w:val="1"/>
              <w:sz w:val="32"/>
              <w:szCs w:val="32"/>
            </w:rPr>
            <w:t>28/11/2016</w:t>
          </w:r>
        </w:sdtContent>
      </w:sdt>
      <w:r w:rsidRPr="00D6313C">
        <w:rPr>
          <w:rFonts w:ascii="Arial" w:eastAsia="+mn-ea" w:hAnsi="Arial" w:cs="Arial"/>
          <w:b/>
          <w:position w:val="1"/>
          <w:sz w:val="32"/>
          <w:szCs w:val="32"/>
        </w:rPr>
        <w:tab/>
      </w:r>
    </w:p>
    <w:p w14:paraId="1D49A827" w14:textId="77777777" w:rsidR="008B5CC1" w:rsidRPr="00D6313C" w:rsidRDefault="008B5CC1" w:rsidP="00D6313C">
      <w:pPr>
        <w:pStyle w:val="NormalWeb"/>
        <w:spacing w:before="0" w:beforeAutospacing="0" w:after="0" w:afterAutospacing="0"/>
        <w:rPr>
          <w:rFonts w:ascii="Arial" w:eastAsia="+mn-ea" w:hAnsi="Arial" w:cs="Arial"/>
          <w:b/>
          <w:position w:val="1"/>
          <w:sz w:val="26"/>
          <w:szCs w:val="2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D6313C" w:rsidRPr="00D6313C" w14:paraId="66AF744D" w14:textId="77777777" w:rsidTr="00D6313C">
        <w:tc>
          <w:tcPr>
            <w:tcW w:w="3369" w:type="dxa"/>
            <w:shd w:val="clear" w:color="auto" w:fill="DBE5F1" w:themeFill="accent1" w:themeFillTint="33"/>
          </w:tcPr>
          <w:p w14:paraId="2DC497D7" w14:textId="77777777" w:rsidR="008B5CC1" w:rsidRPr="00D6313C" w:rsidRDefault="008B5CC1" w:rsidP="00D6313C">
            <w:pPr>
              <w:pStyle w:val="NormalWeb"/>
              <w:spacing w:beforeLines="60" w:before="144" w:beforeAutospacing="0" w:afterLines="60" w:after="144" w:afterAutospacing="0"/>
              <w:rPr>
                <w:rFonts w:ascii="Arial" w:eastAsia="+mn-ea" w:hAnsi="Arial" w:cs="Arial"/>
                <w:b/>
                <w:position w:val="1"/>
                <w:sz w:val="22"/>
                <w:szCs w:val="22"/>
              </w:rPr>
            </w:pPr>
            <w:r w:rsidRPr="00D6313C">
              <w:rPr>
                <w:rFonts w:ascii="Arial" w:eastAsia="+mn-ea" w:hAnsi="Arial" w:cs="Arial"/>
                <w:b/>
                <w:position w:val="1"/>
                <w:sz w:val="22"/>
                <w:szCs w:val="22"/>
              </w:rPr>
              <w:t>Methodology appraisal body</w:t>
            </w:r>
          </w:p>
        </w:tc>
        <w:tc>
          <w:tcPr>
            <w:tcW w:w="6945" w:type="dxa"/>
          </w:tcPr>
          <w:p w14:paraId="6A01EB5E" w14:textId="77777777" w:rsidR="008B5CC1" w:rsidRPr="00D6313C" w:rsidRDefault="00657EF8" w:rsidP="00D6313C">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1130173751"/>
                <w:dropDownList>
                  <w:listItem w:value="Choose an item."/>
                  <w:listItem w:displayText="Indicator &amp; Methodology Assurance Service" w:value="Indicator &amp; Methodology Assurance Service"/>
                </w:dropDownList>
              </w:sdtPr>
              <w:sdtEndPr/>
              <w:sdtContent>
                <w:r w:rsidR="008B5CC1" w:rsidRPr="00D6313C">
                  <w:rPr>
                    <w:rFonts w:ascii="Arial" w:eastAsia="+mn-ea" w:hAnsi="Arial" w:cs="Arial"/>
                    <w:position w:val="1"/>
                    <w:sz w:val="22"/>
                    <w:szCs w:val="22"/>
                  </w:rPr>
                  <w:t>Indicator &amp; Methodology Assurance Service</w:t>
                </w:r>
              </w:sdtContent>
            </w:sdt>
          </w:p>
        </w:tc>
      </w:tr>
      <w:tr w:rsidR="00D6313C" w:rsidRPr="00D6313C" w14:paraId="2E4A7398" w14:textId="77777777" w:rsidTr="00D63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740D912D" w14:textId="77777777" w:rsidR="008B5CC1" w:rsidRPr="00D6313C" w:rsidRDefault="008B5CC1" w:rsidP="00D6313C">
            <w:pPr>
              <w:pStyle w:val="NormalWeb"/>
              <w:spacing w:beforeLines="60" w:before="144" w:beforeAutospacing="0" w:afterLines="60" w:after="144" w:afterAutospacing="0"/>
              <w:rPr>
                <w:rFonts w:ascii="Arial" w:eastAsia="+mn-ea" w:hAnsi="Arial" w:cs="Arial"/>
                <w:position w:val="1"/>
                <w:sz w:val="22"/>
                <w:szCs w:val="22"/>
              </w:rPr>
            </w:pPr>
            <w:r w:rsidRPr="00D6313C">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1795369844"/>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47875812" w14:textId="77777777" w:rsidR="008B5CC1" w:rsidRPr="00D6313C" w:rsidRDefault="008B5CC1" w:rsidP="00D6313C">
                <w:pPr>
                  <w:pStyle w:val="NormalWeb"/>
                  <w:spacing w:beforeLines="60" w:before="144" w:beforeAutospacing="0" w:afterLines="60" w:after="144" w:afterAutospacing="0"/>
                  <w:rPr>
                    <w:rFonts w:ascii="Arial" w:eastAsia="+mn-ea" w:hAnsi="Arial" w:cs="Arial"/>
                    <w:position w:val="1"/>
                    <w:sz w:val="22"/>
                    <w:szCs w:val="22"/>
                  </w:rPr>
                </w:pPr>
                <w:r w:rsidRPr="00D6313C">
                  <w:rPr>
                    <w:rFonts w:ascii="Arial" w:eastAsia="+mn-ea" w:hAnsi="Arial" w:cs="Arial"/>
                    <w:position w:val="1"/>
                    <w:sz w:val="22"/>
                    <w:szCs w:val="22"/>
                  </w:rPr>
                  <w:t>Scheduled review (review date reached)</w:t>
                </w:r>
              </w:p>
            </w:tc>
          </w:sdtContent>
        </w:sdt>
      </w:tr>
      <w:tr w:rsidR="00D6313C" w:rsidRPr="00D6313C" w14:paraId="3A3A6C27" w14:textId="77777777" w:rsidTr="00D63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79416BE0" w14:textId="77777777" w:rsidR="008B5CC1" w:rsidRPr="00D6313C" w:rsidRDefault="008B5CC1" w:rsidP="00D6313C">
            <w:pPr>
              <w:pStyle w:val="NormalWeb"/>
              <w:spacing w:beforeLines="60" w:before="144" w:beforeAutospacing="0" w:afterLines="60" w:after="144" w:afterAutospacing="0"/>
              <w:rPr>
                <w:rFonts w:ascii="Arial" w:eastAsia="+mn-ea" w:hAnsi="Arial" w:cs="Arial"/>
                <w:position w:val="1"/>
                <w:sz w:val="22"/>
                <w:szCs w:val="22"/>
              </w:rPr>
            </w:pPr>
            <w:r w:rsidRPr="00D6313C">
              <w:rPr>
                <w:rFonts w:ascii="Arial" w:eastAsia="+mn-ea" w:hAnsi="Arial" w:cs="Arial"/>
                <w:b/>
                <w:position w:val="1"/>
                <w:sz w:val="22"/>
                <w:szCs w:val="22"/>
              </w:rPr>
              <w:t>Iteration</w:t>
            </w:r>
          </w:p>
        </w:tc>
        <w:sdt>
          <w:sdtPr>
            <w:rPr>
              <w:rFonts w:ascii="Arial" w:eastAsia="+mn-ea" w:hAnsi="Arial" w:cs="Arial"/>
              <w:position w:val="1"/>
              <w:sz w:val="22"/>
              <w:szCs w:val="22"/>
            </w:rPr>
            <w:id w:val="1441257934"/>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5DD47286" w14:textId="77777777" w:rsidR="008B5CC1" w:rsidRPr="00D6313C" w:rsidRDefault="008B5CC1" w:rsidP="00D6313C">
                <w:pPr>
                  <w:pStyle w:val="NormalWeb"/>
                  <w:spacing w:beforeLines="60" w:before="144" w:beforeAutospacing="0" w:afterLines="60" w:after="144" w:afterAutospacing="0"/>
                  <w:rPr>
                    <w:rFonts w:ascii="Arial" w:eastAsia="+mn-ea" w:hAnsi="Arial" w:cs="Arial"/>
                    <w:position w:val="1"/>
                    <w:sz w:val="22"/>
                    <w:szCs w:val="22"/>
                  </w:rPr>
                </w:pPr>
                <w:r w:rsidRPr="00D6313C">
                  <w:rPr>
                    <w:rFonts w:ascii="Arial" w:eastAsia="+mn-ea" w:hAnsi="Arial" w:cs="Arial"/>
                    <w:position w:val="1"/>
                    <w:sz w:val="22"/>
                    <w:szCs w:val="22"/>
                  </w:rPr>
                  <w:t>Update from MRG Chair</w:t>
                </w:r>
              </w:p>
            </w:tc>
          </w:sdtContent>
        </w:sdt>
      </w:tr>
    </w:tbl>
    <w:p w14:paraId="6E53D61A" w14:textId="77777777" w:rsidR="008B5CC1" w:rsidRPr="00D6313C" w:rsidRDefault="008B5CC1" w:rsidP="00D6313C"/>
    <w:p w14:paraId="21499DA8" w14:textId="77777777" w:rsidR="008B5CC1" w:rsidRPr="00D6313C" w:rsidRDefault="008B5CC1" w:rsidP="00D6313C">
      <w:pPr>
        <w:rPr>
          <w:rFonts w:eastAsia="+mn-ea"/>
          <w:b/>
          <w:i/>
          <w:position w:val="1"/>
          <w:sz w:val="26"/>
          <w:szCs w:val="26"/>
          <w:lang w:eastAsia="en-GB"/>
        </w:rPr>
      </w:pPr>
      <w:r w:rsidRPr="00D6313C">
        <w:rPr>
          <w:rFonts w:eastAsia="+mn-ea"/>
          <w:b/>
          <w:i/>
          <w:position w:val="1"/>
          <w:sz w:val="26"/>
          <w:szCs w:val="26"/>
          <w:lang w:eastAsia="en-GB"/>
        </w:rPr>
        <w:t>Suggested Assurance Rating by Methodology Appraisal Body</w:t>
      </w:r>
    </w:p>
    <w:p w14:paraId="2031F366" w14:textId="77777777" w:rsidR="008B5CC1" w:rsidRPr="00D6313C" w:rsidRDefault="00657EF8" w:rsidP="00D6313C">
      <w:pPr>
        <w:jc w:val="center"/>
        <w:rPr>
          <w:rFonts w:eastAsia="+mn-ea"/>
          <w:b/>
          <w:position w:val="1"/>
          <w:sz w:val="26"/>
          <w:szCs w:val="26"/>
          <w:lang w:eastAsia="en-GB"/>
        </w:rPr>
      </w:pPr>
      <w:r>
        <w:rPr>
          <w:rFonts w:eastAsia="+mn-ea"/>
          <w:b/>
          <w:position w:val="1"/>
          <w:sz w:val="26"/>
          <w:szCs w:val="26"/>
          <w:lang w:eastAsia="en-GB"/>
        </w:rPr>
        <w:pict w14:anchorId="65CC1E5F">
          <v:rect id="_x0000_i1026" style="width:503.2pt;height:1.5pt" o:hralign="center" o:hrstd="t" o:hr="t" fillcolor="#a0a0a0" stroked="f"/>
        </w:pict>
      </w:r>
    </w:p>
    <w:tbl>
      <w:tblPr>
        <w:tblStyle w:val="TableGrid1"/>
        <w:tblW w:w="0" w:type="auto"/>
        <w:tblLook w:val="04A0" w:firstRow="1" w:lastRow="0" w:firstColumn="1" w:lastColumn="0" w:noHBand="0" w:noVBand="1"/>
      </w:tblPr>
      <w:tblGrid>
        <w:gridCol w:w="4043"/>
        <w:gridCol w:w="2248"/>
      </w:tblGrid>
      <w:tr w:rsidR="0092758C" w:rsidRPr="00D6313C" w14:paraId="3A1B1A8A" w14:textId="77777777" w:rsidTr="0092758C">
        <w:tc>
          <w:tcPr>
            <w:tcW w:w="4043" w:type="dxa"/>
          </w:tcPr>
          <w:p w14:paraId="16BDF429" w14:textId="77777777" w:rsidR="0092758C" w:rsidRPr="00D6313C" w:rsidRDefault="0092758C" w:rsidP="0092758C">
            <w:pPr>
              <w:spacing w:before="120"/>
              <w:rPr>
                <w:rFonts w:eastAsia="+mn-ea"/>
                <w:b/>
                <w:position w:val="1"/>
                <w:sz w:val="26"/>
                <w:szCs w:val="26"/>
              </w:rPr>
            </w:pPr>
            <w:r w:rsidRPr="00D6313C">
              <w:rPr>
                <w:rFonts w:eastAsia="+mn-ea"/>
                <w:b/>
                <w:position w:val="1"/>
                <w:sz w:val="26"/>
                <w:szCs w:val="26"/>
              </w:rPr>
              <w:t>Ratings Against Assessment Criteria</w:t>
            </w:r>
          </w:p>
          <w:p w14:paraId="39D167DE" w14:textId="77777777" w:rsidR="0092758C" w:rsidRPr="00D6313C" w:rsidRDefault="0092758C" w:rsidP="00D6313C">
            <w:pPr>
              <w:spacing w:line="360" w:lineRule="auto"/>
              <w:rPr>
                <w:rFonts w:eastAsia="+mn-ea"/>
                <w:position w:val="1"/>
                <w:sz w:val="24"/>
                <w:szCs w:val="40"/>
              </w:rPr>
            </w:pPr>
          </w:p>
        </w:tc>
        <w:tc>
          <w:tcPr>
            <w:tcW w:w="2248" w:type="dxa"/>
          </w:tcPr>
          <w:p w14:paraId="318A7542" w14:textId="77777777" w:rsidR="0092758C" w:rsidRPr="00D6313C" w:rsidRDefault="0092758C" w:rsidP="00D6313C">
            <w:pPr>
              <w:spacing w:line="360" w:lineRule="auto"/>
              <w:jc w:val="center"/>
              <w:rPr>
                <w:b/>
                <w:noProof/>
                <w:lang w:eastAsia="en-GB"/>
              </w:rPr>
            </w:pPr>
          </w:p>
        </w:tc>
      </w:tr>
      <w:tr w:rsidR="0092758C" w:rsidRPr="00D6313C" w14:paraId="47110705" w14:textId="77777777" w:rsidTr="0092758C">
        <w:tc>
          <w:tcPr>
            <w:tcW w:w="4043" w:type="dxa"/>
            <w:hideMark/>
          </w:tcPr>
          <w:p w14:paraId="468CCC7F"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Clarity</w:t>
            </w:r>
          </w:p>
        </w:tc>
        <w:tc>
          <w:tcPr>
            <w:tcW w:w="2248" w:type="dxa"/>
            <w:hideMark/>
          </w:tcPr>
          <w:p w14:paraId="228DF7E9" w14:textId="45A9DE94"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Fit for use</w:t>
            </w:r>
          </w:p>
        </w:tc>
      </w:tr>
      <w:tr w:rsidR="0092758C" w:rsidRPr="00D6313C" w14:paraId="2362E8E4" w14:textId="77777777" w:rsidTr="0092758C">
        <w:tc>
          <w:tcPr>
            <w:tcW w:w="4043" w:type="dxa"/>
            <w:hideMark/>
          </w:tcPr>
          <w:p w14:paraId="7347210E"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Rationale</w:t>
            </w:r>
          </w:p>
        </w:tc>
        <w:tc>
          <w:tcPr>
            <w:tcW w:w="2248" w:type="dxa"/>
            <w:hideMark/>
          </w:tcPr>
          <w:p w14:paraId="0ACC18EA" w14:textId="20CCBF5D"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Fit for use</w:t>
            </w:r>
          </w:p>
        </w:tc>
      </w:tr>
      <w:tr w:rsidR="0092758C" w:rsidRPr="00D6313C" w14:paraId="7CF220B0" w14:textId="77777777" w:rsidTr="0092758C">
        <w:tc>
          <w:tcPr>
            <w:tcW w:w="4043" w:type="dxa"/>
            <w:hideMark/>
          </w:tcPr>
          <w:p w14:paraId="248D45ED"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Data</w:t>
            </w:r>
          </w:p>
        </w:tc>
        <w:tc>
          <w:tcPr>
            <w:tcW w:w="2248" w:type="dxa"/>
            <w:hideMark/>
          </w:tcPr>
          <w:p w14:paraId="5AC0596E" w14:textId="69D62654"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Fit for use with caveats</w:t>
            </w:r>
          </w:p>
        </w:tc>
      </w:tr>
      <w:tr w:rsidR="0092758C" w:rsidRPr="00D6313C" w14:paraId="3776BB1E" w14:textId="77777777" w:rsidTr="0092758C">
        <w:tc>
          <w:tcPr>
            <w:tcW w:w="4043" w:type="dxa"/>
            <w:hideMark/>
          </w:tcPr>
          <w:p w14:paraId="6FDCFC17"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Construction</w:t>
            </w:r>
          </w:p>
        </w:tc>
        <w:tc>
          <w:tcPr>
            <w:tcW w:w="2248" w:type="dxa"/>
            <w:hideMark/>
          </w:tcPr>
          <w:p w14:paraId="0BBFFDD0" w14:textId="578952A9"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 xml:space="preserve"> Fit for use</w:t>
            </w:r>
          </w:p>
        </w:tc>
      </w:tr>
      <w:tr w:rsidR="0092758C" w:rsidRPr="00D6313C" w14:paraId="7E48D592" w14:textId="77777777" w:rsidTr="0092758C">
        <w:tc>
          <w:tcPr>
            <w:tcW w:w="4043" w:type="dxa"/>
            <w:hideMark/>
          </w:tcPr>
          <w:p w14:paraId="60F53441"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Presentation and Interpretation</w:t>
            </w:r>
          </w:p>
        </w:tc>
        <w:tc>
          <w:tcPr>
            <w:tcW w:w="2248" w:type="dxa"/>
            <w:hideMark/>
          </w:tcPr>
          <w:p w14:paraId="39E290F5" w14:textId="4A34F7AF"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 xml:space="preserve"> Fit for use</w:t>
            </w:r>
          </w:p>
        </w:tc>
      </w:tr>
      <w:tr w:rsidR="0092758C" w:rsidRPr="00D6313C" w14:paraId="550D2CF1" w14:textId="77777777" w:rsidTr="0092758C">
        <w:tc>
          <w:tcPr>
            <w:tcW w:w="4043" w:type="dxa"/>
            <w:hideMark/>
          </w:tcPr>
          <w:p w14:paraId="4B362F0F"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Risks and Usefulness</w:t>
            </w:r>
          </w:p>
        </w:tc>
        <w:tc>
          <w:tcPr>
            <w:tcW w:w="2248" w:type="dxa"/>
            <w:hideMark/>
          </w:tcPr>
          <w:p w14:paraId="78B83760" w14:textId="6D0EC9B1"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Fit for use</w:t>
            </w:r>
          </w:p>
        </w:tc>
      </w:tr>
      <w:tr w:rsidR="0092758C" w:rsidRPr="00D6313C" w14:paraId="0620D359" w14:textId="77777777" w:rsidTr="0092758C">
        <w:tc>
          <w:tcPr>
            <w:tcW w:w="4043" w:type="dxa"/>
          </w:tcPr>
          <w:p w14:paraId="0D9BC516" w14:textId="77777777" w:rsidR="0092758C" w:rsidRPr="00D6313C" w:rsidRDefault="0092758C" w:rsidP="0092758C">
            <w:pPr>
              <w:spacing w:before="120"/>
              <w:jc w:val="center"/>
              <w:rPr>
                <w:rFonts w:eastAsia="+mn-ea"/>
                <w:b/>
                <w:position w:val="1"/>
                <w:sz w:val="26"/>
                <w:szCs w:val="26"/>
              </w:rPr>
            </w:pPr>
            <w:r w:rsidRPr="00D6313C">
              <w:rPr>
                <w:rFonts w:eastAsia="+mn-ea"/>
                <w:b/>
                <w:position w:val="1"/>
                <w:sz w:val="26"/>
                <w:szCs w:val="26"/>
              </w:rPr>
              <w:t>Overall Rating</w:t>
            </w:r>
          </w:p>
          <w:p w14:paraId="34D3E8D0" w14:textId="77777777" w:rsidR="0092758C" w:rsidRPr="00D6313C" w:rsidRDefault="0092758C" w:rsidP="0092758C">
            <w:pPr>
              <w:spacing w:line="360" w:lineRule="auto"/>
              <w:rPr>
                <w:rFonts w:eastAsia="+mn-ea"/>
                <w:position w:val="1"/>
                <w:sz w:val="24"/>
                <w:szCs w:val="40"/>
              </w:rPr>
            </w:pPr>
          </w:p>
        </w:tc>
        <w:tc>
          <w:tcPr>
            <w:tcW w:w="2248" w:type="dxa"/>
          </w:tcPr>
          <w:sdt>
            <w:sdtPr>
              <w:rPr>
                <w:rFonts w:eastAsia="+mn-ea"/>
                <w:b/>
                <w:position w:val="1"/>
                <w:sz w:val="26"/>
                <w:szCs w:val="26"/>
              </w:rPr>
              <w:alias w:val="MRG rating"/>
              <w:tag w:val="MRG rating"/>
              <w:id w:val="596601792"/>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p w14:paraId="409737BF" w14:textId="5B22CBE5" w:rsidR="0092758C" w:rsidRPr="00D6313C" w:rsidRDefault="0092758C" w:rsidP="0092758C">
                <w:pPr>
                  <w:spacing w:line="360" w:lineRule="auto"/>
                  <w:jc w:val="center"/>
                  <w:rPr>
                    <w:b/>
                    <w:noProof/>
                    <w:lang w:eastAsia="en-GB"/>
                  </w:rPr>
                </w:pPr>
                <w:r w:rsidRPr="00D6313C">
                  <w:rPr>
                    <w:rFonts w:eastAsia="+mn-ea"/>
                    <w:b/>
                    <w:position w:val="1"/>
                    <w:sz w:val="26"/>
                    <w:szCs w:val="26"/>
                  </w:rPr>
                  <w:t>Fit for use</w:t>
                </w:r>
              </w:p>
            </w:sdtContent>
          </w:sdt>
        </w:tc>
      </w:tr>
    </w:tbl>
    <w:p w14:paraId="758206CB" w14:textId="77777777" w:rsidR="008B5CC1" w:rsidRPr="00D6313C" w:rsidRDefault="008B5CC1" w:rsidP="00D6313C">
      <w:pPr>
        <w:pStyle w:val="NormalWeb"/>
        <w:spacing w:before="0" w:beforeAutospacing="0" w:after="0" w:afterAutospacing="0" w:line="360" w:lineRule="auto"/>
        <w:rPr>
          <w:rFonts w:ascii="Arial" w:eastAsia="+mn-ea" w:hAnsi="Arial" w:cs="Arial"/>
          <w:b/>
          <w:position w:val="1"/>
          <w:sz w:val="26"/>
          <w:szCs w:val="26"/>
        </w:rPr>
      </w:pPr>
    </w:p>
    <w:p w14:paraId="184B9382" w14:textId="77777777" w:rsidR="008B5CC1" w:rsidRPr="00D6313C" w:rsidRDefault="008B5CC1" w:rsidP="00D6313C">
      <w:pPr>
        <w:spacing w:before="240"/>
        <w:rPr>
          <w:rFonts w:eastAsia="+mn-ea"/>
          <w:b/>
          <w:position w:val="1"/>
          <w:sz w:val="24"/>
          <w:szCs w:val="40"/>
        </w:rPr>
      </w:pPr>
      <w:r w:rsidRPr="00D6313C">
        <w:rPr>
          <w:rFonts w:eastAsia="+mn-ea"/>
          <w:b/>
          <w:position w:val="1"/>
          <w:sz w:val="24"/>
          <w:szCs w:val="40"/>
        </w:rPr>
        <w:t>Update from MRG Chair:</w:t>
      </w:r>
    </w:p>
    <w:p w14:paraId="26669C26" w14:textId="77777777" w:rsidR="008B5CC1" w:rsidRPr="00D6313C" w:rsidRDefault="00657EF8" w:rsidP="00D6313C">
      <w:pPr>
        <w:spacing w:before="240"/>
        <w:rPr>
          <w:rFonts w:eastAsia="+mn-ea"/>
          <w:b/>
          <w:position w:val="1"/>
          <w:sz w:val="24"/>
          <w:szCs w:val="40"/>
        </w:rPr>
      </w:pPr>
      <w:sdt>
        <w:sdtPr>
          <w:rPr>
            <w:lang w:eastAsia="en-GB"/>
          </w:rPr>
          <w:id w:val="63765533"/>
          <w:text w:multiLine="1"/>
        </w:sdtPr>
        <w:sdtEndPr/>
        <w:sdtContent>
          <w:r w:rsidR="008B5CC1" w:rsidRPr="00D6313C">
            <w:rPr>
              <w:lang w:eastAsia="en-GB"/>
            </w:rPr>
            <w:t xml:space="preserve">Following the updates made by the </w:t>
          </w:r>
          <w:proofErr w:type="gramStart"/>
          <w:r w:rsidR="008B5CC1" w:rsidRPr="00D6313C">
            <w:rPr>
              <w:lang w:eastAsia="en-GB"/>
            </w:rPr>
            <w:t>applicants  to</w:t>
          </w:r>
          <w:proofErr w:type="gramEnd"/>
          <w:r w:rsidR="008B5CC1" w:rsidRPr="00D6313C">
            <w:rPr>
              <w:lang w:eastAsia="en-GB"/>
            </w:rPr>
            <w:t xml:space="preserve"> the paperwork post-MRG, many of the actions have now been closed and the overall rating of this indicator has been changed to ‘Fit for use’.</w:t>
          </w:r>
          <w:r w:rsidR="008B5CC1" w:rsidRPr="00D6313C">
            <w:rPr>
              <w:lang w:eastAsia="en-GB"/>
            </w:rPr>
            <w:br/>
          </w:r>
          <w:r w:rsidR="008B5CC1" w:rsidRPr="00D6313C">
            <w:rPr>
              <w:lang w:eastAsia="en-GB"/>
            </w:rPr>
            <w:br/>
          </w:r>
        </w:sdtContent>
      </w:sdt>
      <w:r w:rsidR="008B5CC1" w:rsidRPr="00D6313C">
        <w:rPr>
          <w:rFonts w:eastAsia="+mn-ea"/>
          <w:b/>
          <w:position w:val="1"/>
          <w:sz w:val="24"/>
          <w:szCs w:val="40"/>
        </w:rPr>
        <w:t>Summary Recommendation to IGB:</w:t>
      </w:r>
    </w:p>
    <w:sdt>
      <w:sdtPr>
        <w:rPr>
          <w:lang w:eastAsia="en-GB"/>
        </w:rPr>
        <w:alias w:val="Summary Recommendation to IGB"/>
        <w:tag w:val="Summary Recommendation to IGB"/>
        <w:id w:val="1278610062"/>
        <w:text w:multiLine="1"/>
      </w:sdtPr>
      <w:sdtEndPr/>
      <w:sdtContent>
        <w:p w14:paraId="498120F1" w14:textId="77777777" w:rsidR="008B5CC1" w:rsidRPr="00D6313C" w:rsidRDefault="008B5CC1" w:rsidP="00D6313C">
          <w:pPr>
            <w:spacing w:before="240"/>
            <w:rPr>
              <w:lang w:eastAsia="en-GB"/>
            </w:rPr>
          </w:pPr>
          <w:r w:rsidRPr="00D6313C">
            <w:rPr>
              <w:lang w:eastAsia="en-GB"/>
            </w:rPr>
            <w:t>The indicator was previously assured in 2013 and reached its review date this year. There has been an update to the methodology to exclude all maternal smoking statuses recorded as ‘unknown’ from the denominator, which aligns with the methodology used in the PHOF publication.</w:t>
          </w:r>
          <w:r w:rsidRPr="00D6313C">
            <w:rPr>
              <w:lang w:eastAsia="en-GB"/>
            </w:rPr>
            <w:br/>
            <w:t>The indicator is recommended to IGB as being fit for use against the assessment criteria and therefore suitable for inclusion in the Library of Quality Assured Indicators.</w:t>
          </w:r>
        </w:p>
      </w:sdtContent>
    </w:sdt>
    <w:p w14:paraId="79D98DCC" w14:textId="77777777" w:rsidR="008B5CC1" w:rsidRPr="00D6313C" w:rsidRDefault="008B5CC1">
      <w:r w:rsidRPr="00D6313C">
        <w:lastRenderedPageBreak/>
        <w:t xml:space="preserve"> </w:t>
      </w:r>
      <w:r w:rsidRPr="00D6313C">
        <w:rPr>
          <w:b/>
        </w:rPr>
        <w:t>Please find a detailed description of recommendations and actions in the appraisal log at the end of the document.</w:t>
      </w:r>
      <w:r w:rsidRPr="00D6313C">
        <w:br w:type="page"/>
      </w:r>
    </w:p>
    <w:p w14:paraId="2A21B98E" w14:textId="77777777" w:rsidR="008B5CC1" w:rsidRPr="00D6313C" w:rsidRDefault="008B5CC1" w:rsidP="00D6313C">
      <w:pPr>
        <w:pStyle w:val="NormalWeb"/>
        <w:spacing w:before="0" w:beforeAutospacing="0" w:after="0" w:afterAutospacing="0"/>
        <w:rPr>
          <w:rFonts w:ascii="Arial" w:eastAsia="+mn-ea" w:hAnsi="Arial" w:cs="Arial"/>
          <w:b/>
          <w:position w:val="1"/>
          <w:sz w:val="32"/>
          <w:szCs w:val="32"/>
        </w:rPr>
      </w:pPr>
    </w:p>
    <w:p w14:paraId="6AD84C88" w14:textId="77777777" w:rsidR="008B5CC1" w:rsidRPr="00D6313C" w:rsidRDefault="008B5CC1" w:rsidP="00D6313C">
      <w:pPr>
        <w:pStyle w:val="NormalWeb"/>
        <w:tabs>
          <w:tab w:val="right" w:pos="10064"/>
        </w:tabs>
        <w:spacing w:before="0" w:beforeAutospacing="0" w:after="0" w:afterAutospacing="0"/>
        <w:rPr>
          <w:rFonts w:ascii="Arial" w:eastAsia="+mn-ea" w:hAnsi="Arial" w:cs="Arial"/>
          <w:b/>
          <w:position w:val="1"/>
          <w:sz w:val="32"/>
          <w:szCs w:val="32"/>
        </w:rPr>
      </w:pPr>
      <w:r w:rsidRPr="00D6313C">
        <w:rPr>
          <w:rFonts w:ascii="Arial" w:eastAsia="+mn-ea" w:hAnsi="Arial" w:cs="Arial"/>
          <w:b/>
          <w:position w:val="1"/>
          <w:sz w:val="32"/>
          <w:szCs w:val="32"/>
        </w:rPr>
        <w:t xml:space="preserve">Details of Methodology Appraisal – </w:t>
      </w:r>
      <w:sdt>
        <w:sdtPr>
          <w:rPr>
            <w:rFonts w:ascii="Arial" w:eastAsia="+mn-ea" w:hAnsi="Arial" w:cs="Arial"/>
            <w:b/>
            <w:position w:val="1"/>
            <w:sz w:val="32"/>
            <w:szCs w:val="32"/>
          </w:rPr>
          <w:id w:val="1730420586"/>
          <w:date w:fullDate="2016-10-18T00:00:00Z">
            <w:dateFormat w:val="dd/MM/yyyy"/>
            <w:lid w:val="en-GB"/>
            <w:storeMappedDataAs w:val="dateTime"/>
            <w:calendar w:val="gregorian"/>
          </w:date>
        </w:sdtPr>
        <w:sdtEndPr/>
        <w:sdtContent>
          <w:r w:rsidRPr="00D6313C">
            <w:rPr>
              <w:rFonts w:ascii="Arial" w:eastAsia="+mn-ea" w:hAnsi="Arial" w:cs="Arial"/>
              <w:b/>
              <w:position w:val="1"/>
              <w:sz w:val="32"/>
              <w:szCs w:val="32"/>
            </w:rPr>
            <w:t>18/10/2016</w:t>
          </w:r>
        </w:sdtContent>
      </w:sdt>
      <w:r w:rsidRPr="00D6313C">
        <w:rPr>
          <w:rFonts w:ascii="Arial" w:eastAsia="+mn-ea" w:hAnsi="Arial" w:cs="Arial"/>
          <w:b/>
          <w:position w:val="1"/>
          <w:sz w:val="32"/>
          <w:szCs w:val="32"/>
        </w:rPr>
        <w:tab/>
      </w:r>
    </w:p>
    <w:p w14:paraId="06FCF658" w14:textId="77777777" w:rsidR="008B5CC1" w:rsidRPr="00D6313C" w:rsidRDefault="008B5CC1" w:rsidP="00D6313C">
      <w:pPr>
        <w:pStyle w:val="NormalWeb"/>
        <w:spacing w:before="0" w:beforeAutospacing="0" w:after="0" w:afterAutospacing="0"/>
        <w:rPr>
          <w:rFonts w:ascii="Arial" w:eastAsia="+mn-ea" w:hAnsi="Arial" w:cs="Arial"/>
          <w:b/>
          <w:position w:val="1"/>
          <w:sz w:val="26"/>
          <w:szCs w:val="2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D6313C" w:rsidRPr="00D6313C" w14:paraId="13767FC3" w14:textId="77777777" w:rsidTr="00D6313C">
        <w:tc>
          <w:tcPr>
            <w:tcW w:w="3369" w:type="dxa"/>
            <w:shd w:val="clear" w:color="auto" w:fill="DBE5F1" w:themeFill="accent1" w:themeFillTint="33"/>
          </w:tcPr>
          <w:p w14:paraId="3183480A" w14:textId="77777777" w:rsidR="008B5CC1" w:rsidRPr="00D6313C" w:rsidRDefault="008B5CC1" w:rsidP="00D6313C">
            <w:pPr>
              <w:pStyle w:val="NormalWeb"/>
              <w:spacing w:beforeLines="60" w:before="144" w:beforeAutospacing="0" w:afterLines="60" w:after="144" w:afterAutospacing="0"/>
              <w:rPr>
                <w:rFonts w:ascii="Arial" w:eastAsia="+mn-ea" w:hAnsi="Arial" w:cs="Arial"/>
                <w:b/>
                <w:position w:val="1"/>
                <w:sz w:val="22"/>
                <w:szCs w:val="22"/>
              </w:rPr>
            </w:pPr>
            <w:r w:rsidRPr="00D6313C">
              <w:rPr>
                <w:rFonts w:ascii="Arial" w:eastAsia="+mn-ea" w:hAnsi="Arial" w:cs="Arial"/>
                <w:b/>
                <w:position w:val="1"/>
                <w:sz w:val="22"/>
                <w:szCs w:val="22"/>
              </w:rPr>
              <w:t>Methodology appraisal body</w:t>
            </w:r>
          </w:p>
        </w:tc>
        <w:tc>
          <w:tcPr>
            <w:tcW w:w="6945" w:type="dxa"/>
          </w:tcPr>
          <w:p w14:paraId="146F78B5" w14:textId="77777777" w:rsidR="008B5CC1" w:rsidRPr="00D6313C" w:rsidRDefault="00657EF8" w:rsidP="00D6313C">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1713458190"/>
                <w:dropDownList>
                  <w:listItem w:value="Choose an item."/>
                  <w:listItem w:displayText="Indicator &amp; Methodology Assurance Service" w:value="Indicator &amp; Methodology Assurance Service"/>
                </w:dropDownList>
              </w:sdtPr>
              <w:sdtEndPr/>
              <w:sdtContent>
                <w:r w:rsidR="008B5CC1" w:rsidRPr="00D6313C">
                  <w:rPr>
                    <w:rFonts w:ascii="Arial" w:eastAsia="+mn-ea" w:hAnsi="Arial" w:cs="Arial"/>
                    <w:position w:val="1"/>
                    <w:sz w:val="22"/>
                    <w:szCs w:val="22"/>
                  </w:rPr>
                  <w:t>Indicator &amp; Methodology Assurance Service</w:t>
                </w:r>
              </w:sdtContent>
            </w:sdt>
          </w:p>
        </w:tc>
      </w:tr>
      <w:tr w:rsidR="00D6313C" w:rsidRPr="00D6313C" w14:paraId="6892434F" w14:textId="77777777" w:rsidTr="00D63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441024AC" w14:textId="77777777" w:rsidR="008B5CC1" w:rsidRPr="00D6313C" w:rsidRDefault="008B5CC1" w:rsidP="00D6313C">
            <w:pPr>
              <w:pStyle w:val="NormalWeb"/>
              <w:spacing w:beforeLines="60" w:before="144" w:beforeAutospacing="0" w:afterLines="60" w:after="144" w:afterAutospacing="0"/>
              <w:rPr>
                <w:rFonts w:ascii="Arial" w:eastAsia="+mn-ea" w:hAnsi="Arial" w:cs="Arial"/>
                <w:position w:val="1"/>
                <w:sz w:val="22"/>
                <w:szCs w:val="22"/>
              </w:rPr>
            </w:pPr>
            <w:r w:rsidRPr="00D6313C">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79438268"/>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3A5BA33E" w14:textId="77777777" w:rsidR="008B5CC1" w:rsidRPr="00D6313C" w:rsidRDefault="008B5CC1" w:rsidP="00D6313C">
                <w:pPr>
                  <w:pStyle w:val="NormalWeb"/>
                  <w:spacing w:beforeLines="60" w:before="144" w:beforeAutospacing="0" w:afterLines="60" w:after="144" w:afterAutospacing="0"/>
                  <w:rPr>
                    <w:rFonts w:ascii="Arial" w:eastAsia="+mn-ea" w:hAnsi="Arial" w:cs="Arial"/>
                    <w:position w:val="1"/>
                    <w:sz w:val="22"/>
                    <w:szCs w:val="22"/>
                  </w:rPr>
                </w:pPr>
                <w:r w:rsidRPr="00D6313C">
                  <w:rPr>
                    <w:rFonts w:ascii="Arial" w:eastAsia="+mn-ea" w:hAnsi="Arial" w:cs="Arial"/>
                    <w:position w:val="1"/>
                    <w:sz w:val="22"/>
                    <w:szCs w:val="22"/>
                  </w:rPr>
                  <w:t>Scheduled review (review date reached)</w:t>
                </w:r>
              </w:p>
            </w:tc>
          </w:sdtContent>
        </w:sdt>
      </w:tr>
      <w:tr w:rsidR="00D6313C" w:rsidRPr="00D6313C" w14:paraId="3F601B54" w14:textId="77777777" w:rsidTr="00D63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4E2D19F8" w14:textId="77777777" w:rsidR="008B5CC1" w:rsidRPr="00D6313C" w:rsidRDefault="008B5CC1" w:rsidP="00D6313C">
            <w:pPr>
              <w:pStyle w:val="NormalWeb"/>
              <w:spacing w:beforeLines="60" w:before="144" w:beforeAutospacing="0" w:afterLines="60" w:after="144" w:afterAutospacing="0"/>
              <w:rPr>
                <w:rFonts w:ascii="Arial" w:eastAsia="+mn-ea" w:hAnsi="Arial" w:cs="Arial"/>
                <w:position w:val="1"/>
                <w:sz w:val="22"/>
                <w:szCs w:val="22"/>
              </w:rPr>
            </w:pPr>
            <w:r w:rsidRPr="00D6313C">
              <w:rPr>
                <w:rFonts w:ascii="Arial" w:eastAsia="+mn-ea" w:hAnsi="Arial" w:cs="Arial"/>
                <w:b/>
                <w:position w:val="1"/>
                <w:sz w:val="22"/>
                <w:szCs w:val="22"/>
              </w:rPr>
              <w:t>Iteration</w:t>
            </w:r>
          </w:p>
        </w:tc>
        <w:sdt>
          <w:sdtPr>
            <w:rPr>
              <w:rFonts w:ascii="Arial" w:eastAsia="+mn-ea" w:hAnsi="Arial" w:cs="Arial"/>
              <w:position w:val="1"/>
              <w:sz w:val="22"/>
              <w:szCs w:val="22"/>
            </w:rPr>
            <w:id w:val="-868284579"/>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334A2AFE" w14:textId="77777777" w:rsidR="008B5CC1" w:rsidRPr="00D6313C" w:rsidRDefault="008B5CC1" w:rsidP="00D6313C">
                <w:pPr>
                  <w:pStyle w:val="NormalWeb"/>
                  <w:spacing w:beforeLines="60" w:before="144" w:beforeAutospacing="0" w:afterLines="60" w:after="144" w:afterAutospacing="0"/>
                  <w:rPr>
                    <w:rFonts w:ascii="Arial" w:eastAsia="+mn-ea" w:hAnsi="Arial" w:cs="Arial"/>
                    <w:position w:val="1"/>
                    <w:sz w:val="22"/>
                    <w:szCs w:val="22"/>
                  </w:rPr>
                </w:pPr>
                <w:r w:rsidRPr="00D6313C">
                  <w:rPr>
                    <w:rFonts w:ascii="Arial" w:eastAsia="+mn-ea" w:hAnsi="Arial" w:cs="Arial"/>
                    <w:position w:val="1"/>
                    <w:sz w:val="22"/>
                    <w:szCs w:val="22"/>
                  </w:rPr>
                  <w:t>1st MRG meeting</w:t>
                </w:r>
              </w:p>
            </w:tc>
          </w:sdtContent>
        </w:sdt>
      </w:tr>
    </w:tbl>
    <w:p w14:paraId="6505432D" w14:textId="77777777" w:rsidR="008B5CC1" w:rsidRPr="00D6313C" w:rsidRDefault="008B5CC1" w:rsidP="00D6313C"/>
    <w:p w14:paraId="15EEF123" w14:textId="77777777" w:rsidR="008B5CC1" w:rsidRPr="00D6313C" w:rsidRDefault="008B5CC1" w:rsidP="00D6313C">
      <w:pPr>
        <w:rPr>
          <w:rFonts w:eastAsia="+mn-ea"/>
          <w:b/>
          <w:i/>
          <w:position w:val="1"/>
          <w:sz w:val="26"/>
          <w:szCs w:val="26"/>
          <w:lang w:eastAsia="en-GB"/>
        </w:rPr>
      </w:pPr>
      <w:r w:rsidRPr="00D6313C">
        <w:rPr>
          <w:rFonts w:eastAsia="+mn-ea"/>
          <w:b/>
          <w:i/>
          <w:position w:val="1"/>
          <w:sz w:val="26"/>
          <w:szCs w:val="26"/>
          <w:lang w:eastAsia="en-GB"/>
        </w:rPr>
        <w:t>Suggested Assurance Rating by Methodology Appraisal Body</w:t>
      </w:r>
    </w:p>
    <w:p w14:paraId="0AA592C0" w14:textId="77777777" w:rsidR="008B5CC1" w:rsidRPr="00D6313C" w:rsidRDefault="00657EF8" w:rsidP="00D6313C">
      <w:pPr>
        <w:jc w:val="center"/>
        <w:rPr>
          <w:rFonts w:eastAsia="+mn-ea"/>
          <w:b/>
          <w:position w:val="1"/>
          <w:sz w:val="26"/>
          <w:szCs w:val="26"/>
          <w:lang w:eastAsia="en-GB"/>
        </w:rPr>
      </w:pPr>
      <w:r>
        <w:rPr>
          <w:rFonts w:eastAsia="+mn-ea"/>
          <w:b/>
          <w:position w:val="1"/>
          <w:sz w:val="26"/>
          <w:szCs w:val="26"/>
          <w:lang w:eastAsia="en-GB"/>
        </w:rPr>
        <w:pict w14:anchorId="67A54DA5">
          <v:rect id="_x0000_i1027" style="width:503.2pt;height:1.5pt" o:hralign="center" o:hrstd="t" o:hr="t" fillcolor="#a0a0a0" stroked="f"/>
        </w:pict>
      </w:r>
    </w:p>
    <w:tbl>
      <w:tblPr>
        <w:tblStyle w:val="TableGrid1"/>
        <w:tblW w:w="0" w:type="auto"/>
        <w:tblLook w:val="04A0" w:firstRow="1" w:lastRow="0" w:firstColumn="1" w:lastColumn="0" w:noHBand="0" w:noVBand="1"/>
      </w:tblPr>
      <w:tblGrid>
        <w:gridCol w:w="4043"/>
        <w:gridCol w:w="2252"/>
      </w:tblGrid>
      <w:tr w:rsidR="0092758C" w:rsidRPr="00D6313C" w14:paraId="3C96CE01" w14:textId="77777777" w:rsidTr="0092758C">
        <w:tc>
          <w:tcPr>
            <w:tcW w:w="4043" w:type="dxa"/>
          </w:tcPr>
          <w:p w14:paraId="61B5FECD" w14:textId="77777777" w:rsidR="0092758C" w:rsidRPr="00D6313C" w:rsidRDefault="0092758C" w:rsidP="0092758C">
            <w:pPr>
              <w:spacing w:before="120"/>
              <w:rPr>
                <w:rFonts w:eastAsia="+mn-ea"/>
                <w:b/>
                <w:position w:val="1"/>
                <w:sz w:val="26"/>
                <w:szCs w:val="26"/>
              </w:rPr>
            </w:pPr>
            <w:r w:rsidRPr="00D6313C">
              <w:rPr>
                <w:rFonts w:eastAsia="+mn-ea"/>
                <w:b/>
                <w:position w:val="1"/>
                <w:sz w:val="26"/>
                <w:szCs w:val="26"/>
              </w:rPr>
              <w:t>Ratings Against Assessment Criteria</w:t>
            </w:r>
          </w:p>
          <w:p w14:paraId="624822D6" w14:textId="77777777" w:rsidR="0092758C" w:rsidRPr="00D6313C" w:rsidRDefault="0092758C" w:rsidP="00D6313C">
            <w:pPr>
              <w:spacing w:line="360" w:lineRule="auto"/>
              <w:rPr>
                <w:rFonts w:eastAsia="+mn-ea"/>
                <w:position w:val="1"/>
                <w:sz w:val="24"/>
                <w:szCs w:val="40"/>
              </w:rPr>
            </w:pPr>
          </w:p>
        </w:tc>
        <w:tc>
          <w:tcPr>
            <w:tcW w:w="2252" w:type="dxa"/>
          </w:tcPr>
          <w:p w14:paraId="046D67C1" w14:textId="77777777" w:rsidR="0092758C" w:rsidRPr="00D6313C" w:rsidRDefault="0092758C" w:rsidP="00D6313C">
            <w:pPr>
              <w:spacing w:line="360" w:lineRule="auto"/>
              <w:jc w:val="center"/>
              <w:rPr>
                <w:b/>
                <w:noProof/>
                <w:lang w:eastAsia="en-GB"/>
              </w:rPr>
            </w:pPr>
          </w:p>
        </w:tc>
      </w:tr>
      <w:tr w:rsidR="0092758C" w:rsidRPr="00D6313C" w14:paraId="2B1C9EFB" w14:textId="77777777" w:rsidTr="0092758C">
        <w:tc>
          <w:tcPr>
            <w:tcW w:w="4043" w:type="dxa"/>
            <w:hideMark/>
          </w:tcPr>
          <w:p w14:paraId="41362337"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Clarity</w:t>
            </w:r>
          </w:p>
        </w:tc>
        <w:tc>
          <w:tcPr>
            <w:tcW w:w="2252" w:type="dxa"/>
            <w:hideMark/>
          </w:tcPr>
          <w:p w14:paraId="54F1D377" w14:textId="6B105054"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Fit for use with caveats</w:t>
            </w:r>
          </w:p>
        </w:tc>
      </w:tr>
      <w:tr w:rsidR="0092758C" w:rsidRPr="00D6313C" w14:paraId="099B6455" w14:textId="77777777" w:rsidTr="0092758C">
        <w:tc>
          <w:tcPr>
            <w:tcW w:w="4043" w:type="dxa"/>
            <w:hideMark/>
          </w:tcPr>
          <w:p w14:paraId="040BC247"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Rationale</w:t>
            </w:r>
          </w:p>
        </w:tc>
        <w:tc>
          <w:tcPr>
            <w:tcW w:w="2252" w:type="dxa"/>
            <w:hideMark/>
          </w:tcPr>
          <w:p w14:paraId="5228CF05" w14:textId="6BE69662"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 xml:space="preserve"> Fit for use with caveats</w:t>
            </w:r>
          </w:p>
        </w:tc>
      </w:tr>
      <w:tr w:rsidR="0092758C" w:rsidRPr="00D6313C" w14:paraId="54EA8E88" w14:textId="77777777" w:rsidTr="0092758C">
        <w:tc>
          <w:tcPr>
            <w:tcW w:w="4043" w:type="dxa"/>
            <w:hideMark/>
          </w:tcPr>
          <w:p w14:paraId="2964D3DE"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Data</w:t>
            </w:r>
          </w:p>
        </w:tc>
        <w:tc>
          <w:tcPr>
            <w:tcW w:w="2252" w:type="dxa"/>
            <w:hideMark/>
          </w:tcPr>
          <w:p w14:paraId="1C20C4F5" w14:textId="08240ECA"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 xml:space="preserve"> Fit for use with caveats</w:t>
            </w:r>
          </w:p>
        </w:tc>
      </w:tr>
      <w:tr w:rsidR="0092758C" w:rsidRPr="00D6313C" w14:paraId="06629BC6" w14:textId="77777777" w:rsidTr="0092758C">
        <w:tc>
          <w:tcPr>
            <w:tcW w:w="4043" w:type="dxa"/>
            <w:hideMark/>
          </w:tcPr>
          <w:p w14:paraId="456AD0D5"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Construction</w:t>
            </w:r>
          </w:p>
        </w:tc>
        <w:tc>
          <w:tcPr>
            <w:tcW w:w="2252" w:type="dxa"/>
            <w:hideMark/>
          </w:tcPr>
          <w:p w14:paraId="2DDA603C" w14:textId="6A57FF1F"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 xml:space="preserve"> Fit for use with caveats</w:t>
            </w:r>
          </w:p>
        </w:tc>
      </w:tr>
      <w:tr w:rsidR="0092758C" w:rsidRPr="00D6313C" w14:paraId="1E65316C" w14:textId="77777777" w:rsidTr="0092758C">
        <w:tc>
          <w:tcPr>
            <w:tcW w:w="4043" w:type="dxa"/>
            <w:hideMark/>
          </w:tcPr>
          <w:p w14:paraId="0FFEB381"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Presentation and Interpretation</w:t>
            </w:r>
          </w:p>
        </w:tc>
        <w:tc>
          <w:tcPr>
            <w:tcW w:w="2252" w:type="dxa"/>
            <w:hideMark/>
          </w:tcPr>
          <w:p w14:paraId="393914A9" w14:textId="4CE33AC0"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 xml:space="preserve"> Fit for use with caveats</w:t>
            </w:r>
          </w:p>
        </w:tc>
      </w:tr>
      <w:tr w:rsidR="0092758C" w:rsidRPr="00D6313C" w14:paraId="0DD082B6" w14:textId="77777777" w:rsidTr="0092758C">
        <w:tc>
          <w:tcPr>
            <w:tcW w:w="4043" w:type="dxa"/>
            <w:hideMark/>
          </w:tcPr>
          <w:p w14:paraId="2B25BEB3" w14:textId="77777777" w:rsidR="0092758C" w:rsidRPr="00D6313C" w:rsidRDefault="0092758C" w:rsidP="00D6313C">
            <w:pPr>
              <w:spacing w:line="360" w:lineRule="auto"/>
              <w:rPr>
                <w:rFonts w:eastAsia="+mn-ea"/>
                <w:position w:val="1"/>
                <w:sz w:val="26"/>
                <w:szCs w:val="26"/>
              </w:rPr>
            </w:pPr>
            <w:r w:rsidRPr="00D6313C">
              <w:rPr>
                <w:rFonts w:eastAsia="+mn-ea"/>
                <w:position w:val="1"/>
                <w:sz w:val="24"/>
                <w:szCs w:val="40"/>
              </w:rPr>
              <w:t>Risks and Usefulness</w:t>
            </w:r>
          </w:p>
        </w:tc>
        <w:tc>
          <w:tcPr>
            <w:tcW w:w="2252" w:type="dxa"/>
            <w:hideMark/>
          </w:tcPr>
          <w:p w14:paraId="621190EC" w14:textId="4451C692" w:rsidR="0092758C" w:rsidRPr="00D6313C" w:rsidRDefault="0092758C" w:rsidP="00D6313C">
            <w:pPr>
              <w:spacing w:line="360" w:lineRule="auto"/>
              <w:jc w:val="center"/>
              <w:rPr>
                <w:rFonts w:eastAsia="+mn-ea"/>
                <w:b/>
                <w:position w:val="1"/>
                <w:sz w:val="26"/>
                <w:szCs w:val="26"/>
              </w:rPr>
            </w:pPr>
            <w:r>
              <w:rPr>
                <w:rFonts w:eastAsia="+mn-ea"/>
                <w:b/>
                <w:position w:val="1"/>
                <w:sz w:val="26"/>
                <w:szCs w:val="26"/>
              </w:rPr>
              <w:t xml:space="preserve"> Fit for use with caveats</w:t>
            </w:r>
          </w:p>
        </w:tc>
      </w:tr>
      <w:tr w:rsidR="0092758C" w:rsidRPr="00D6313C" w14:paraId="062E08CE" w14:textId="77777777" w:rsidTr="0092758C">
        <w:tc>
          <w:tcPr>
            <w:tcW w:w="4043" w:type="dxa"/>
          </w:tcPr>
          <w:p w14:paraId="745BFCBB" w14:textId="77777777" w:rsidR="0092758C" w:rsidRPr="00D6313C" w:rsidRDefault="0092758C" w:rsidP="0092758C">
            <w:pPr>
              <w:spacing w:before="120"/>
              <w:jc w:val="center"/>
              <w:rPr>
                <w:rFonts w:eastAsia="+mn-ea"/>
                <w:b/>
                <w:position w:val="1"/>
                <w:sz w:val="26"/>
                <w:szCs w:val="26"/>
              </w:rPr>
            </w:pPr>
            <w:r w:rsidRPr="00D6313C">
              <w:rPr>
                <w:rFonts w:eastAsia="+mn-ea"/>
                <w:b/>
                <w:position w:val="1"/>
                <w:sz w:val="26"/>
                <w:szCs w:val="26"/>
              </w:rPr>
              <w:t>Overall Rating</w:t>
            </w:r>
          </w:p>
          <w:p w14:paraId="5AE87528" w14:textId="77777777" w:rsidR="0092758C" w:rsidRPr="00D6313C" w:rsidRDefault="0092758C" w:rsidP="00D6313C">
            <w:pPr>
              <w:spacing w:line="360" w:lineRule="auto"/>
              <w:rPr>
                <w:rFonts w:eastAsia="+mn-ea"/>
                <w:position w:val="1"/>
                <w:sz w:val="24"/>
                <w:szCs w:val="40"/>
              </w:rPr>
            </w:pPr>
          </w:p>
        </w:tc>
        <w:tc>
          <w:tcPr>
            <w:tcW w:w="2252" w:type="dxa"/>
          </w:tcPr>
          <w:sdt>
            <w:sdtPr>
              <w:rPr>
                <w:rFonts w:eastAsia="+mn-ea"/>
                <w:b/>
                <w:position w:val="1"/>
                <w:sz w:val="26"/>
                <w:szCs w:val="26"/>
              </w:rPr>
              <w:alias w:val="MRG rating"/>
              <w:tag w:val="MRG rating"/>
              <w:id w:val="-768004364"/>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p w14:paraId="12F854D9" w14:textId="77777777" w:rsidR="0092758C" w:rsidRDefault="0092758C" w:rsidP="0092758C">
                <w:pPr>
                  <w:spacing w:line="360" w:lineRule="auto"/>
                  <w:jc w:val="center"/>
                  <w:rPr>
                    <w:rFonts w:eastAsia="+mn-ea"/>
                    <w:b/>
                    <w:position w:val="1"/>
                    <w:sz w:val="26"/>
                    <w:szCs w:val="26"/>
                  </w:rPr>
                </w:pPr>
                <w:r w:rsidRPr="00D6313C">
                  <w:rPr>
                    <w:rFonts w:eastAsia="+mn-ea"/>
                    <w:b/>
                    <w:position w:val="1"/>
                    <w:sz w:val="26"/>
                    <w:szCs w:val="26"/>
                  </w:rPr>
                  <w:t>Fit for use with caveats</w:t>
                </w:r>
              </w:p>
            </w:sdtContent>
          </w:sdt>
          <w:p w14:paraId="22E36789" w14:textId="77777777" w:rsidR="0092758C" w:rsidRPr="00D6313C" w:rsidRDefault="0092758C" w:rsidP="00D6313C">
            <w:pPr>
              <w:spacing w:line="360" w:lineRule="auto"/>
              <w:jc w:val="center"/>
              <w:rPr>
                <w:b/>
                <w:noProof/>
                <w:lang w:eastAsia="en-GB"/>
              </w:rPr>
            </w:pPr>
          </w:p>
        </w:tc>
      </w:tr>
    </w:tbl>
    <w:p w14:paraId="13333E16" w14:textId="77777777" w:rsidR="008B5CC1" w:rsidRPr="00D6313C" w:rsidRDefault="008B5CC1" w:rsidP="00D6313C">
      <w:pPr>
        <w:pStyle w:val="NormalWeb"/>
        <w:spacing w:before="0" w:beforeAutospacing="0" w:after="0" w:afterAutospacing="0" w:line="360" w:lineRule="auto"/>
        <w:rPr>
          <w:rFonts w:ascii="Arial" w:eastAsia="+mn-ea" w:hAnsi="Arial" w:cs="Arial"/>
          <w:b/>
          <w:position w:val="1"/>
          <w:sz w:val="26"/>
          <w:szCs w:val="26"/>
        </w:rPr>
      </w:pPr>
    </w:p>
    <w:p w14:paraId="2FE18DC9" w14:textId="77777777" w:rsidR="008B5CC1" w:rsidRPr="00D6313C" w:rsidRDefault="008B5CC1" w:rsidP="00D6313C">
      <w:pPr>
        <w:spacing w:before="240"/>
        <w:rPr>
          <w:rFonts w:eastAsia="+mn-ea"/>
          <w:b/>
          <w:position w:val="1"/>
          <w:sz w:val="24"/>
          <w:szCs w:val="40"/>
        </w:rPr>
      </w:pPr>
      <w:r w:rsidRPr="00D6313C">
        <w:rPr>
          <w:rFonts w:eastAsia="+mn-ea"/>
          <w:b/>
          <w:position w:val="1"/>
          <w:sz w:val="24"/>
          <w:szCs w:val="40"/>
        </w:rPr>
        <w:t>Summary Recommendation to Applicant:</w:t>
      </w:r>
    </w:p>
    <w:p w14:paraId="7B092FE8" w14:textId="77777777" w:rsidR="008B5CC1" w:rsidRPr="00D6313C" w:rsidRDefault="00657EF8" w:rsidP="00D6313C">
      <w:pPr>
        <w:spacing w:before="240"/>
        <w:rPr>
          <w:rFonts w:eastAsia="+mn-ea"/>
          <w:b/>
          <w:position w:val="1"/>
          <w:sz w:val="24"/>
          <w:szCs w:val="40"/>
        </w:rPr>
      </w:pPr>
      <w:sdt>
        <w:sdtPr>
          <w:rPr>
            <w:lang w:eastAsia="en-GB"/>
          </w:rPr>
          <w:id w:val="692660743"/>
          <w:text w:multiLine="1"/>
        </w:sdtPr>
        <w:sdtEndPr/>
        <w:sdtContent>
          <w:r w:rsidR="008B5CC1" w:rsidRPr="00D6313C">
            <w:rPr>
              <w:lang w:eastAsia="en-GB"/>
            </w:rPr>
            <w:t xml:space="preserve">The indicator is recommended to IGB as being fit for use with caveats against pending a response to points of clarification discussed in the MRG meeting. </w:t>
          </w:r>
          <w:r w:rsidR="008B5CC1" w:rsidRPr="00D6313C">
            <w:rPr>
              <w:lang w:eastAsia="en-GB"/>
            </w:rPr>
            <w:br/>
          </w:r>
          <w:r w:rsidR="008B5CC1" w:rsidRPr="00D6313C">
            <w:rPr>
              <w:lang w:eastAsia="en-GB"/>
            </w:rPr>
            <w:br/>
          </w:r>
        </w:sdtContent>
      </w:sdt>
      <w:r w:rsidR="008B5CC1" w:rsidRPr="00D6313C">
        <w:rPr>
          <w:rFonts w:eastAsia="+mn-ea"/>
          <w:b/>
          <w:position w:val="1"/>
          <w:sz w:val="24"/>
          <w:szCs w:val="40"/>
        </w:rPr>
        <w:t>Summary Recommendation to IGB:</w:t>
      </w:r>
    </w:p>
    <w:sdt>
      <w:sdtPr>
        <w:rPr>
          <w:lang w:eastAsia="en-GB"/>
        </w:rPr>
        <w:alias w:val="Summary Recommendation to IGB"/>
        <w:tag w:val="Summary Recommendation to IGB"/>
        <w:id w:val="2031983090"/>
        <w:text w:multiLine="1"/>
      </w:sdtPr>
      <w:sdtEndPr/>
      <w:sdtContent>
        <w:p w14:paraId="2A7FD9F5" w14:textId="77777777" w:rsidR="008B5CC1" w:rsidRPr="00D6313C" w:rsidRDefault="008B5CC1" w:rsidP="00D6313C">
          <w:pPr>
            <w:spacing w:before="240"/>
            <w:rPr>
              <w:lang w:eastAsia="en-GB"/>
            </w:rPr>
          </w:pPr>
          <w:r w:rsidRPr="00D6313C">
            <w:rPr>
              <w:lang w:eastAsia="en-GB"/>
            </w:rPr>
            <w:t>The indicator was previously assured in 2013 and reached its review date this year. There has been an update to the methodology to exclude all maternal smoking statuses recorded as ‘unknown’ from the denominator, which aligns with the methodology used in the PHOF publication.</w:t>
          </w:r>
          <w:r w:rsidRPr="00D6313C">
            <w:rPr>
              <w:lang w:eastAsia="en-GB"/>
            </w:rPr>
            <w:br/>
            <w:t>The indicator is recommended to IGB as being fit for use with caveats against the assessment criteria and therefore suitable for inclusion in the Library of Quality Assured Indicators.</w:t>
          </w:r>
        </w:p>
      </w:sdtContent>
    </w:sdt>
    <w:p w14:paraId="05D95D74" w14:textId="77777777" w:rsidR="008B5CC1" w:rsidRPr="00D6313C" w:rsidRDefault="008B5CC1" w:rsidP="00D6313C">
      <w:r w:rsidRPr="00D6313C">
        <w:t xml:space="preserve"> </w:t>
      </w:r>
      <w:r w:rsidRPr="00D6313C">
        <w:rPr>
          <w:b/>
        </w:rPr>
        <w:t>Please find a detailed description of recommendations and actions in the appraisal log at the end of the document.</w:t>
      </w:r>
    </w:p>
    <w:p w14:paraId="7EE2EF9F" w14:textId="77777777" w:rsidR="008B5CC1" w:rsidRPr="00D6313C" w:rsidRDefault="008B5CC1" w:rsidP="00D6313C">
      <w:pPr>
        <w:spacing w:before="240"/>
        <w:rPr>
          <w:rFonts w:eastAsia="+mn-ea"/>
          <w:sz w:val="40"/>
        </w:rPr>
      </w:pPr>
      <w:r w:rsidRPr="00D6313C">
        <w:rPr>
          <w:rFonts w:eastAsia="+mn-ea"/>
          <w:sz w:val="40"/>
        </w:rPr>
        <w:br w:type="page"/>
      </w:r>
      <w:r w:rsidRPr="00D6313C">
        <w:rPr>
          <w:rFonts w:eastAsia="+mn-ea"/>
          <w:b/>
          <w:position w:val="1"/>
          <w:sz w:val="32"/>
          <w:szCs w:val="32"/>
        </w:rPr>
        <w:lastRenderedPageBreak/>
        <w:t>What do the Assurance Ratings mean?</w:t>
      </w:r>
    </w:p>
    <w:p w14:paraId="630FA7B6" w14:textId="77777777" w:rsidR="008B5CC1" w:rsidRPr="00D6313C" w:rsidRDefault="008B5CC1" w:rsidP="00D6313C"/>
    <w:tbl>
      <w:tblPr>
        <w:tblStyle w:val="TableGrid1"/>
        <w:tblW w:w="0" w:type="auto"/>
        <w:tblLook w:val="04A0" w:firstRow="1" w:lastRow="0" w:firstColumn="1" w:lastColumn="0" w:noHBand="0" w:noVBand="1"/>
      </w:tblPr>
      <w:tblGrid>
        <w:gridCol w:w="2693"/>
        <w:gridCol w:w="6095"/>
      </w:tblGrid>
      <w:tr w:rsidR="0092758C" w:rsidRPr="00D6313C" w14:paraId="0E03A867" w14:textId="77777777" w:rsidTr="0092758C">
        <w:tc>
          <w:tcPr>
            <w:tcW w:w="2693" w:type="dxa"/>
          </w:tcPr>
          <w:p w14:paraId="61694A0C" w14:textId="53BD8DC6" w:rsidR="0092758C" w:rsidRPr="00D6313C" w:rsidRDefault="0092758C" w:rsidP="00D6313C">
            <w:pPr>
              <w:spacing w:before="120" w:after="120"/>
              <w:rPr>
                <w:b/>
              </w:rPr>
            </w:pPr>
            <w:r w:rsidRPr="00D6313C">
              <w:rPr>
                <w:b/>
                <w:sz w:val="28"/>
                <w:szCs w:val="28"/>
              </w:rPr>
              <w:t>Rating</w:t>
            </w:r>
          </w:p>
        </w:tc>
        <w:tc>
          <w:tcPr>
            <w:tcW w:w="6095" w:type="dxa"/>
          </w:tcPr>
          <w:p w14:paraId="1F4AA75F" w14:textId="6D65204E" w:rsidR="0092758C" w:rsidRPr="00D6313C" w:rsidRDefault="0092758C" w:rsidP="00D6313C">
            <w:pPr>
              <w:spacing w:before="120" w:after="120"/>
            </w:pPr>
            <w:r w:rsidRPr="00D6313C">
              <w:rPr>
                <w:b/>
                <w:sz w:val="28"/>
                <w:szCs w:val="28"/>
              </w:rPr>
              <w:t>Description</w:t>
            </w:r>
          </w:p>
        </w:tc>
      </w:tr>
      <w:tr w:rsidR="0092758C" w:rsidRPr="00D6313C" w14:paraId="42F09A0E" w14:textId="77777777" w:rsidTr="0092758C">
        <w:tc>
          <w:tcPr>
            <w:tcW w:w="2693" w:type="dxa"/>
          </w:tcPr>
          <w:p w14:paraId="1EF8601C" w14:textId="77777777" w:rsidR="0092758C" w:rsidRPr="00D6313C" w:rsidRDefault="0092758C" w:rsidP="00D6313C">
            <w:pPr>
              <w:spacing w:before="120" w:after="120"/>
              <w:rPr>
                <w:b/>
              </w:rPr>
            </w:pPr>
            <w:r w:rsidRPr="00D6313C">
              <w:rPr>
                <w:b/>
              </w:rPr>
              <w:t>Fit for use</w:t>
            </w:r>
          </w:p>
        </w:tc>
        <w:tc>
          <w:tcPr>
            <w:tcW w:w="6095" w:type="dxa"/>
          </w:tcPr>
          <w:p w14:paraId="398BCAD2" w14:textId="77777777" w:rsidR="0092758C" w:rsidRPr="00D6313C" w:rsidRDefault="0092758C" w:rsidP="00D6313C">
            <w:pPr>
              <w:spacing w:before="120" w:after="120"/>
            </w:pPr>
            <w:r w:rsidRPr="00D6313C">
              <w:t>This indicator can be used with confidence that it is constructed in a sound manner that is fit for purpose.</w:t>
            </w:r>
          </w:p>
        </w:tc>
      </w:tr>
      <w:tr w:rsidR="0092758C" w:rsidRPr="00D6313C" w14:paraId="494BE03A" w14:textId="77777777" w:rsidTr="0092758C">
        <w:tc>
          <w:tcPr>
            <w:tcW w:w="2693" w:type="dxa"/>
          </w:tcPr>
          <w:p w14:paraId="3BB565D5" w14:textId="77777777" w:rsidR="0092758C" w:rsidRPr="00D6313C" w:rsidRDefault="0092758C" w:rsidP="00D6313C">
            <w:pPr>
              <w:spacing w:before="120" w:after="120"/>
              <w:rPr>
                <w:b/>
              </w:rPr>
            </w:pPr>
            <w:r w:rsidRPr="00D6313C">
              <w:rPr>
                <w:b/>
              </w:rPr>
              <w:t>Fit for use with caveats</w:t>
            </w:r>
          </w:p>
        </w:tc>
        <w:tc>
          <w:tcPr>
            <w:tcW w:w="6095" w:type="dxa"/>
          </w:tcPr>
          <w:p w14:paraId="391081AF" w14:textId="77777777" w:rsidR="0092758C" w:rsidRPr="00D6313C" w:rsidRDefault="0092758C" w:rsidP="00D6313C">
            <w:pPr>
              <w:spacing w:before="120" w:after="120"/>
            </w:pPr>
            <w:r w:rsidRPr="00D6313C">
              <w:t xml:space="preserve">The indicator is fit for </w:t>
            </w:r>
            <w:proofErr w:type="gramStart"/>
            <w:r w:rsidRPr="00D6313C">
              <w:t>use,</w:t>
            </w:r>
            <w:proofErr w:type="gramEnd"/>
            <w:r w:rsidRPr="00D6313C">
              <w:t xml:space="preserve"> however users should be aware of caveats and/or recommendations for improvement that have been identified during the assurance process.</w:t>
            </w:r>
          </w:p>
        </w:tc>
      </w:tr>
      <w:tr w:rsidR="0092758C" w:rsidRPr="00D6313C" w14:paraId="1F9B6368" w14:textId="77777777" w:rsidTr="0092758C">
        <w:tc>
          <w:tcPr>
            <w:tcW w:w="2693" w:type="dxa"/>
          </w:tcPr>
          <w:p w14:paraId="589F39B7" w14:textId="77777777" w:rsidR="0092758C" w:rsidRPr="00D6313C" w:rsidRDefault="0092758C" w:rsidP="00D6313C">
            <w:pPr>
              <w:spacing w:before="120" w:after="120"/>
              <w:rPr>
                <w:b/>
              </w:rPr>
            </w:pPr>
            <w:r w:rsidRPr="00D6313C">
              <w:rPr>
                <w:b/>
              </w:rPr>
              <w:t>Use with caution – data quality issue</w:t>
            </w:r>
          </w:p>
        </w:tc>
        <w:tc>
          <w:tcPr>
            <w:tcW w:w="6095" w:type="dxa"/>
          </w:tcPr>
          <w:p w14:paraId="6F7611F2" w14:textId="77777777" w:rsidR="0092758C" w:rsidRPr="00D6313C" w:rsidRDefault="0092758C" w:rsidP="00D6313C">
            <w:pPr>
              <w:spacing w:before="120" w:after="120"/>
            </w:pPr>
            <w:r w:rsidRPr="00D6313C">
              <w:t>The indicator is based on a sound methodology for which the assurance process endorse the use, however issues have been identified with the national data source which have implications for its use as an indicator.</w:t>
            </w:r>
          </w:p>
        </w:tc>
      </w:tr>
      <w:tr w:rsidR="0092758C" w:rsidRPr="00D6313C" w14:paraId="3E84C5AA" w14:textId="77777777" w:rsidTr="0092758C">
        <w:tc>
          <w:tcPr>
            <w:tcW w:w="2693" w:type="dxa"/>
          </w:tcPr>
          <w:p w14:paraId="106FD171" w14:textId="77777777" w:rsidR="0092758C" w:rsidRPr="00D6313C" w:rsidRDefault="0092758C" w:rsidP="00D6313C">
            <w:pPr>
              <w:spacing w:before="120" w:after="120"/>
              <w:rPr>
                <w:b/>
              </w:rPr>
            </w:pPr>
            <w:r w:rsidRPr="00D6313C">
              <w:rPr>
                <w:b/>
              </w:rPr>
              <w:t>Not fit for use</w:t>
            </w:r>
          </w:p>
        </w:tc>
        <w:tc>
          <w:tcPr>
            <w:tcW w:w="6095" w:type="dxa"/>
          </w:tcPr>
          <w:p w14:paraId="2CC28C15" w14:textId="77777777" w:rsidR="0092758C" w:rsidRPr="00D6313C" w:rsidRDefault="0092758C" w:rsidP="00D6313C">
            <w:pPr>
              <w:spacing w:before="120" w:after="120"/>
            </w:pPr>
            <w:r w:rsidRPr="00D6313C">
              <w:t>Issues have been identified with the indicator which have resulted in the assurance process currently not endorsing its use as a quality indicator.</w:t>
            </w:r>
          </w:p>
        </w:tc>
      </w:tr>
      <w:tr w:rsidR="0092758C" w:rsidRPr="00D6313C" w14:paraId="0143F34B" w14:textId="77777777" w:rsidTr="0092758C">
        <w:tc>
          <w:tcPr>
            <w:tcW w:w="2693" w:type="dxa"/>
          </w:tcPr>
          <w:p w14:paraId="3EAA17E9" w14:textId="77777777" w:rsidR="0092758C" w:rsidRPr="00D6313C" w:rsidRDefault="0092758C" w:rsidP="00D6313C">
            <w:pPr>
              <w:spacing w:before="120" w:after="120"/>
              <w:rPr>
                <w:b/>
              </w:rPr>
            </w:pPr>
            <w:r w:rsidRPr="00D6313C">
              <w:rPr>
                <w:b/>
              </w:rPr>
              <w:t>Not enough information provided</w:t>
            </w:r>
          </w:p>
        </w:tc>
        <w:tc>
          <w:tcPr>
            <w:tcW w:w="6095" w:type="dxa"/>
          </w:tcPr>
          <w:p w14:paraId="1E6419F1" w14:textId="77777777" w:rsidR="0092758C" w:rsidRPr="00D6313C" w:rsidRDefault="0092758C" w:rsidP="00D6313C">
            <w:pPr>
              <w:spacing w:before="120" w:after="120"/>
            </w:pPr>
            <w:r w:rsidRPr="00D6313C">
              <w:t>There has not been enough information supplied to the assurance process to be able to accurately give the indicator a level of assurance.</w:t>
            </w:r>
          </w:p>
        </w:tc>
      </w:tr>
    </w:tbl>
    <w:p w14:paraId="26D93553" w14:textId="77777777" w:rsidR="008B5CC1" w:rsidRPr="00D6313C" w:rsidRDefault="008B5CC1" w:rsidP="00D6313C">
      <w:pPr>
        <w:pStyle w:val="NormalWeb"/>
        <w:spacing w:before="0" w:beforeAutospacing="0" w:after="0" w:afterAutospacing="0"/>
        <w:rPr>
          <w:rFonts w:ascii="Arial" w:eastAsia="+mn-ea" w:hAnsi="Arial" w:cs="Arial"/>
          <w:sz w:val="40"/>
        </w:rPr>
      </w:pPr>
      <w:r w:rsidRPr="00D6313C">
        <w:rPr>
          <w:rFonts w:ascii="Arial" w:eastAsia="+mn-ea" w:hAnsi="Arial" w:cs="Arial"/>
          <w:sz w:val="40"/>
        </w:rPr>
        <w:br w:type="page"/>
      </w:r>
    </w:p>
    <w:p w14:paraId="75DF8A04" w14:textId="77777777" w:rsidR="008B5CC1" w:rsidRPr="00D6313C" w:rsidRDefault="008B5CC1" w:rsidP="00D6313C">
      <w:pPr>
        <w:spacing w:before="240"/>
        <w:rPr>
          <w:rFonts w:eastAsia="+mn-ea"/>
          <w:b/>
          <w:position w:val="1"/>
          <w:sz w:val="32"/>
          <w:szCs w:val="40"/>
          <w:lang w:eastAsia="en-GB"/>
        </w:rPr>
        <w:sectPr w:rsidR="008B5CC1" w:rsidRPr="00D6313C" w:rsidSect="00D6313C">
          <w:headerReference w:type="default" r:id="rId30"/>
          <w:headerReference w:type="first" r:id="rId31"/>
          <w:footerReference w:type="first" r:id="rId32"/>
          <w:pgSz w:w="11906" w:h="16838"/>
          <w:pgMar w:top="1440" w:right="851" w:bottom="1440" w:left="851" w:header="709" w:footer="709" w:gutter="0"/>
          <w:cols w:space="708"/>
          <w:docGrid w:linePitch="360"/>
        </w:sectPr>
      </w:pPr>
    </w:p>
    <w:p w14:paraId="1BBEB121" w14:textId="77777777" w:rsidR="008B5CC1" w:rsidRPr="00D6313C" w:rsidRDefault="008B5CC1" w:rsidP="00D6313C">
      <w:pPr>
        <w:pStyle w:val="NormalWeb"/>
        <w:spacing w:before="0" w:beforeAutospacing="0" w:after="0" w:afterAutospacing="0"/>
        <w:rPr>
          <w:rFonts w:ascii="Arial" w:eastAsia="+mn-ea" w:hAnsi="Arial" w:cs="Arial"/>
          <w:b/>
          <w:position w:val="1"/>
          <w:sz w:val="32"/>
          <w:szCs w:val="26"/>
        </w:rPr>
      </w:pPr>
      <w:r w:rsidRPr="00D6313C">
        <w:rPr>
          <w:rFonts w:ascii="Arial" w:eastAsia="+mn-ea" w:hAnsi="Arial" w:cs="Arial"/>
          <w:b/>
          <w:position w:val="1"/>
          <w:sz w:val="32"/>
          <w:szCs w:val="26"/>
        </w:rPr>
        <w:lastRenderedPageBreak/>
        <w:t xml:space="preserve">Appraisal Log </w:t>
      </w:r>
    </w:p>
    <w:p w14:paraId="7D9E0FFB" w14:textId="4664EAC4" w:rsidR="008B5CC1" w:rsidRPr="0092758C" w:rsidRDefault="0092758C" w:rsidP="00D6313C">
      <w:pPr>
        <w:pStyle w:val="NormalWeb"/>
        <w:spacing w:before="0" w:beforeAutospacing="0" w:after="0" w:afterAutospacing="0"/>
        <w:rPr>
          <w:rFonts w:ascii="Arial" w:eastAsia="+mn-ea" w:hAnsi="Arial" w:cs="Arial"/>
          <w:b/>
          <w:position w:val="1"/>
          <w:sz w:val="32"/>
          <w:szCs w:val="26"/>
        </w:rPr>
      </w:pPr>
      <w:r w:rsidRPr="0092758C">
        <w:rPr>
          <w:rFonts w:ascii="Arial" w:hAnsi="Arial" w:cs="Arial"/>
          <w:b/>
          <w:sz w:val="28"/>
          <w:szCs w:val="28"/>
        </w:rPr>
        <w:t>Clarity</w:t>
      </w:r>
    </w:p>
    <w:tbl>
      <w:tblPr>
        <w:tblStyle w:val="TableGrid1"/>
        <w:tblW w:w="5000" w:type="pct"/>
        <w:tblLook w:val="04A0" w:firstRow="1" w:lastRow="0" w:firstColumn="1" w:lastColumn="0" w:noHBand="0" w:noVBand="1"/>
      </w:tblPr>
      <w:tblGrid>
        <w:gridCol w:w="867"/>
        <w:gridCol w:w="4254"/>
        <w:gridCol w:w="1183"/>
        <w:gridCol w:w="4531"/>
        <w:gridCol w:w="1268"/>
        <w:gridCol w:w="1195"/>
        <w:gridCol w:w="1270"/>
      </w:tblGrid>
      <w:tr w:rsidR="00D6313C" w:rsidRPr="00D6313C" w14:paraId="08CE82DA" w14:textId="77777777" w:rsidTr="0092758C">
        <w:tc>
          <w:tcPr>
            <w:tcW w:w="298" w:type="pct"/>
          </w:tcPr>
          <w:p w14:paraId="2F385FD1" w14:textId="77777777" w:rsidR="008B5CC1" w:rsidRPr="00D6313C" w:rsidRDefault="008B5CC1" w:rsidP="00D6313C">
            <w:pPr>
              <w:rPr>
                <w:b/>
                <w:i/>
              </w:rPr>
            </w:pPr>
            <w:r w:rsidRPr="00D6313C">
              <w:rPr>
                <w:b/>
                <w:i/>
              </w:rPr>
              <w:t>Rec. no</w:t>
            </w:r>
          </w:p>
        </w:tc>
        <w:tc>
          <w:tcPr>
            <w:tcW w:w="1460" w:type="pct"/>
          </w:tcPr>
          <w:p w14:paraId="20C09A3D" w14:textId="77777777" w:rsidR="008B5CC1" w:rsidRPr="00D6313C" w:rsidRDefault="008B5CC1" w:rsidP="00D6313C">
            <w:pPr>
              <w:rPr>
                <w:b/>
                <w:i/>
              </w:rPr>
            </w:pPr>
            <w:r w:rsidRPr="00D6313C">
              <w:rPr>
                <w:b/>
                <w:i/>
              </w:rPr>
              <w:t>Issue or recommendation</w:t>
            </w:r>
          </w:p>
        </w:tc>
        <w:tc>
          <w:tcPr>
            <w:tcW w:w="406" w:type="pct"/>
          </w:tcPr>
          <w:p w14:paraId="17E9CA50" w14:textId="77777777" w:rsidR="008B5CC1" w:rsidRPr="00D6313C" w:rsidRDefault="008B5CC1" w:rsidP="00D6313C">
            <w:pPr>
              <w:rPr>
                <w:b/>
                <w:i/>
              </w:rPr>
            </w:pPr>
            <w:r w:rsidRPr="00D6313C">
              <w:rPr>
                <w:b/>
                <w:i/>
              </w:rPr>
              <w:t>Raised by / Date</w:t>
            </w:r>
          </w:p>
        </w:tc>
        <w:tc>
          <w:tcPr>
            <w:tcW w:w="1555" w:type="pct"/>
          </w:tcPr>
          <w:p w14:paraId="7F0322B8" w14:textId="77777777" w:rsidR="008B5CC1" w:rsidRPr="00D6313C" w:rsidRDefault="008B5CC1" w:rsidP="00D6313C">
            <w:pPr>
              <w:rPr>
                <w:b/>
                <w:i/>
              </w:rPr>
            </w:pPr>
            <w:r w:rsidRPr="00D6313C">
              <w:rPr>
                <w:b/>
                <w:i/>
              </w:rPr>
              <w:t>Response or Action taken by applicant</w:t>
            </w:r>
          </w:p>
        </w:tc>
        <w:tc>
          <w:tcPr>
            <w:tcW w:w="435" w:type="pct"/>
          </w:tcPr>
          <w:p w14:paraId="3657EDDF" w14:textId="77777777" w:rsidR="008B5CC1" w:rsidRPr="00D6313C" w:rsidRDefault="008B5CC1" w:rsidP="00D6313C">
            <w:pPr>
              <w:rPr>
                <w:b/>
                <w:i/>
              </w:rPr>
            </w:pPr>
            <w:r w:rsidRPr="00D6313C">
              <w:rPr>
                <w:b/>
                <w:i/>
              </w:rPr>
              <w:t>Response date</w:t>
            </w:r>
          </w:p>
        </w:tc>
        <w:tc>
          <w:tcPr>
            <w:tcW w:w="410" w:type="pct"/>
          </w:tcPr>
          <w:p w14:paraId="664D55C2" w14:textId="77777777" w:rsidR="008B5CC1" w:rsidRPr="00D6313C" w:rsidRDefault="008B5CC1" w:rsidP="00D6313C">
            <w:pPr>
              <w:rPr>
                <w:b/>
                <w:i/>
              </w:rPr>
            </w:pPr>
            <w:r w:rsidRPr="00D6313C">
              <w:rPr>
                <w:b/>
                <w:i/>
              </w:rPr>
              <w:t>Resolved</w:t>
            </w:r>
          </w:p>
        </w:tc>
        <w:tc>
          <w:tcPr>
            <w:tcW w:w="436" w:type="pct"/>
          </w:tcPr>
          <w:p w14:paraId="3FDFD3D6" w14:textId="77777777" w:rsidR="008B5CC1" w:rsidRPr="00D6313C" w:rsidRDefault="008B5CC1" w:rsidP="00D6313C">
            <w:pPr>
              <w:rPr>
                <w:b/>
                <w:i/>
              </w:rPr>
            </w:pPr>
            <w:r w:rsidRPr="00D6313C">
              <w:rPr>
                <w:b/>
                <w:i/>
              </w:rPr>
              <w:t>Sign off by / Date</w:t>
            </w:r>
          </w:p>
        </w:tc>
      </w:tr>
      <w:tr w:rsidR="00D6313C" w:rsidRPr="00D6313C" w14:paraId="173A0DE7" w14:textId="77777777" w:rsidTr="0092758C">
        <w:tc>
          <w:tcPr>
            <w:tcW w:w="298" w:type="pct"/>
          </w:tcPr>
          <w:p w14:paraId="757E8AF5" w14:textId="77777777" w:rsidR="008B5CC1" w:rsidRPr="00D6313C" w:rsidRDefault="008B5CC1" w:rsidP="00D6313C">
            <w:r w:rsidRPr="00D6313C">
              <w:t>1a</w:t>
            </w:r>
          </w:p>
        </w:tc>
        <w:tc>
          <w:tcPr>
            <w:tcW w:w="1460" w:type="pct"/>
          </w:tcPr>
          <w:p w14:paraId="12A5C7D3" w14:textId="77777777" w:rsidR="008B5CC1" w:rsidRPr="00D6313C" w:rsidRDefault="008B5CC1" w:rsidP="00D6313C">
            <w:r w:rsidRPr="00D6313C">
              <w:t xml:space="preserve">MRG suggested to applicants to reconsider the title of the indicator to reflect that it is measuring the smoking </w:t>
            </w:r>
            <w:r w:rsidRPr="00D6313C">
              <w:rPr>
                <w:b/>
              </w:rPr>
              <w:t>status</w:t>
            </w:r>
            <w:r w:rsidRPr="00D6313C">
              <w:t xml:space="preserve"> at time of delivery.</w:t>
            </w:r>
          </w:p>
        </w:tc>
        <w:tc>
          <w:tcPr>
            <w:tcW w:w="406" w:type="pct"/>
          </w:tcPr>
          <w:p w14:paraId="7CEFB600" w14:textId="77777777" w:rsidR="008B5CC1" w:rsidRPr="00D6313C" w:rsidRDefault="008B5CC1" w:rsidP="00D6313C">
            <w:r w:rsidRPr="00D6313C">
              <w:t>MRG 18/10/16</w:t>
            </w:r>
          </w:p>
        </w:tc>
        <w:tc>
          <w:tcPr>
            <w:tcW w:w="1555" w:type="pct"/>
          </w:tcPr>
          <w:p w14:paraId="132621BA" w14:textId="77777777" w:rsidR="008B5CC1" w:rsidRPr="00D6313C" w:rsidRDefault="008B5CC1" w:rsidP="00D6313C">
            <w:r w:rsidRPr="00D6313C">
              <w:t>Title changed to refer to smoking status</w:t>
            </w:r>
          </w:p>
        </w:tc>
        <w:tc>
          <w:tcPr>
            <w:tcW w:w="435" w:type="pct"/>
          </w:tcPr>
          <w:p w14:paraId="38E89CA2" w14:textId="77777777" w:rsidR="008B5CC1" w:rsidRPr="00D6313C" w:rsidRDefault="008B5CC1" w:rsidP="00D6313C">
            <w:r w:rsidRPr="00D6313C">
              <w:t>10/11/16</w:t>
            </w:r>
          </w:p>
        </w:tc>
        <w:sdt>
          <w:sdtPr>
            <w:id w:val="692496695"/>
            <w14:checkbox>
              <w14:checked w14:val="1"/>
              <w14:checkedState w14:val="2612" w14:font="MS Gothic"/>
              <w14:uncheckedState w14:val="2610" w14:font="MS Gothic"/>
            </w14:checkbox>
          </w:sdtPr>
          <w:sdtEndPr/>
          <w:sdtContent>
            <w:tc>
              <w:tcPr>
                <w:tcW w:w="410" w:type="pct"/>
              </w:tcPr>
              <w:p w14:paraId="4ECDD84E"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49EFFFED" w14:textId="77777777" w:rsidR="008B5CC1" w:rsidRPr="00D6313C" w:rsidRDefault="008B5CC1" w:rsidP="00D6313C">
            <w:r w:rsidRPr="00D6313C">
              <w:t>MRG Chair – 28/11/16</w:t>
            </w:r>
          </w:p>
        </w:tc>
      </w:tr>
      <w:tr w:rsidR="00D6313C" w:rsidRPr="00D6313C" w14:paraId="42D07039" w14:textId="77777777" w:rsidTr="0092758C">
        <w:tc>
          <w:tcPr>
            <w:tcW w:w="298" w:type="pct"/>
          </w:tcPr>
          <w:p w14:paraId="2934127D" w14:textId="77777777" w:rsidR="008B5CC1" w:rsidRPr="00D6313C" w:rsidRDefault="008B5CC1" w:rsidP="00D6313C">
            <w:r w:rsidRPr="00D6313C">
              <w:t>1b</w:t>
            </w:r>
          </w:p>
        </w:tc>
        <w:tc>
          <w:tcPr>
            <w:tcW w:w="1460" w:type="pct"/>
          </w:tcPr>
          <w:p w14:paraId="4DB60865" w14:textId="77777777" w:rsidR="008B5CC1" w:rsidRPr="00D6313C" w:rsidRDefault="008B5CC1" w:rsidP="00D6313C">
            <w:r w:rsidRPr="00D6313C">
              <w:t>Section 1.4 refers to the indicator as a rate but the measure generates a proportion – could the applicant update the paperwork to reflect the reporting of proportions.</w:t>
            </w:r>
          </w:p>
        </w:tc>
        <w:tc>
          <w:tcPr>
            <w:tcW w:w="406" w:type="pct"/>
          </w:tcPr>
          <w:p w14:paraId="5B6CF35D" w14:textId="77777777" w:rsidR="008B5CC1" w:rsidRPr="00D6313C" w:rsidRDefault="008B5CC1" w:rsidP="00D6313C">
            <w:r w:rsidRPr="00D6313C">
              <w:t>MRG 18/10/16</w:t>
            </w:r>
          </w:p>
        </w:tc>
        <w:tc>
          <w:tcPr>
            <w:tcW w:w="1555" w:type="pct"/>
          </w:tcPr>
          <w:p w14:paraId="7DC12D78" w14:textId="77777777" w:rsidR="008B5CC1" w:rsidRPr="00D6313C" w:rsidRDefault="008B5CC1" w:rsidP="00D6313C">
            <w:r w:rsidRPr="00D6313C">
              <w:t>References to “rate” changed to “proportion”</w:t>
            </w:r>
          </w:p>
        </w:tc>
        <w:tc>
          <w:tcPr>
            <w:tcW w:w="435" w:type="pct"/>
          </w:tcPr>
          <w:p w14:paraId="76FA4A01" w14:textId="77777777" w:rsidR="008B5CC1" w:rsidRPr="00D6313C" w:rsidRDefault="008B5CC1" w:rsidP="00D6313C">
            <w:r w:rsidRPr="00D6313C">
              <w:t>10/11/16</w:t>
            </w:r>
          </w:p>
        </w:tc>
        <w:sdt>
          <w:sdtPr>
            <w:id w:val="1753932346"/>
            <w14:checkbox>
              <w14:checked w14:val="1"/>
              <w14:checkedState w14:val="2612" w14:font="MS Gothic"/>
              <w14:uncheckedState w14:val="2610" w14:font="MS Gothic"/>
            </w14:checkbox>
          </w:sdtPr>
          <w:sdtEndPr/>
          <w:sdtContent>
            <w:tc>
              <w:tcPr>
                <w:tcW w:w="410" w:type="pct"/>
              </w:tcPr>
              <w:p w14:paraId="7AF5FA7A"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49970CBC" w14:textId="77777777" w:rsidR="008B5CC1" w:rsidRPr="00D6313C" w:rsidRDefault="008B5CC1" w:rsidP="00D6313C">
            <w:r w:rsidRPr="00D6313C">
              <w:t>MRG Chair – 28/11/16</w:t>
            </w:r>
          </w:p>
        </w:tc>
      </w:tr>
      <w:tr w:rsidR="00D6313C" w:rsidRPr="00D6313C" w14:paraId="61D6B136" w14:textId="77777777" w:rsidTr="0092758C">
        <w:tc>
          <w:tcPr>
            <w:tcW w:w="298" w:type="pct"/>
          </w:tcPr>
          <w:p w14:paraId="516E1213" w14:textId="77777777" w:rsidR="008B5CC1" w:rsidRPr="00D6313C" w:rsidRDefault="008B5CC1" w:rsidP="00D6313C">
            <w:r w:rsidRPr="00D6313C">
              <w:t>1c</w:t>
            </w:r>
          </w:p>
        </w:tc>
        <w:tc>
          <w:tcPr>
            <w:tcW w:w="1460" w:type="pct"/>
          </w:tcPr>
          <w:p w14:paraId="06B834CE" w14:textId="77777777" w:rsidR="008B5CC1" w:rsidRPr="00D6313C" w:rsidRDefault="008B5CC1" w:rsidP="00D6313C">
            <w:r w:rsidRPr="00D6313C">
              <w:t>Please can the definition include how smoking is defined in terms of this indicator.</w:t>
            </w:r>
          </w:p>
        </w:tc>
        <w:tc>
          <w:tcPr>
            <w:tcW w:w="406" w:type="pct"/>
          </w:tcPr>
          <w:p w14:paraId="63CE6467" w14:textId="77777777" w:rsidR="008B5CC1" w:rsidRPr="00D6313C" w:rsidRDefault="008B5CC1" w:rsidP="00D6313C">
            <w:r w:rsidRPr="00D6313C">
              <w:t>MRG 18/10/16</w:t>
            </w:r>
          </w:p>
        </w:tc>
        <w:tc>
          <w:tcPr>
            <w:tcW w:w="1555" w:type="pct"/>
          </w:tcPr>
          <w:p w14:paraId="7FEEABA4" w14:textId="77777777" w:rsidR="008B5CC1" w:rsidRPr="00D6313C" w:rsidRDefault="008B5CC1" w:rsidP="00D6313C">
            <w:r w:rsidRPr="00D6313C">
              <w:t>Text added to section 1.4 in tracked changes.</w:t>
            </w:r>
          </w:p>
        </w:tc>
        <w:tc>
          <w:tcPr>
            <w:tcW w:w="435" w:type="pct"/>
          </w:tcPr>
          <w:p w14:paraId="023BA5D2" w14:textId="77777777" w:rsidR="008B5CC1" w:rsidRPr="00D6313C" w:rsidRDefault="008B5CC1" w:rsidP="00D6313C">
            <w:r w:rsidRPr="00D6313C">
              <w:t>10/11/16</w:t>
            </w:r>
          </w:p>
        </w:tc>
        <w:sdt>
          <w:sdtPr>
            <w:id w:val="-2072650767"/>
            <w14:checkbox>
              <w14:checked w14:val="1"/>
              <w14:checkedState w14:val="2612" w14:font="MS Gothic"/>
              <w14:uncheckedState w14:val="2610" w14:font="MS Gothic"/>
            </w14:checkbox>
          </w:sdtPr>
          <w:sdtEndPr/>
          <w:sdtContent>
            <w:tc>
              <w:tcPr>
                <w:tcW w:w="410" w:type="pct"/>
              </w:tcPr>
              <w:p w14:paraId="45552ADA"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6F59C490" w14:textId="77777777" w:rsidR="008B5CC1" w:rsidRPr="00D6313C" w:rsidRDefault="008B5CC1" w:rsidP="00D6313C">
            <w:r w:rsidRPr="00D6313C">
              <w:t>MRG Chair – 28/11/16</w:t>
            </w:r>
          </w:p>
        </w:tc>
      </w:tr>
      <w:tr w:rsidR="008B5CC1" w:rsidRPr="00D6313C" w14:paraId="52443BE3" w14:textId="77777777" w:rsidTr="0092758C">
        <w:tc>
          <w:tcPr>
            <w:tcW w:w="298" w:type="pct"/>
          </w:tcPr>
          <w:p w14:paraId="045949D9" w14:textId="77777777" w:rsidR="008B5CC1" w:rsidRPr="00D6313C" w:rsidRDefault="008B5CC1" w:rsidP="00D6313C">
            <w:r w:rsidRPr="00D6313C">
              <w:t>1d</w:t>
            </w:r>
          </w:p>
        </w:tc>
        <w:tc>
          <w:tcPr>
            <w:tcW w:w="1460" w:type="pct"/>
          </w:tcPr>
          <w:p w14:paraId="7072CC84" w14:textId="77777777" w:rsidR="008B5CC1" w:rsidRPr="00D6313C" w:rsidRDefault="008B5CC1" w:rsidP="00D6313C">
            <w:r w:rsidRPr="00D6313C">
              <w:t>Please can the applicant improve the wording of the paragraph in the definition which explains the reporting periods of the indicator.</w:t>
            </w:r>
          </w:p>
        </w:tc>
        <w:tc>
          <w:tcPr>
            <w:tcW w:w="406" w:type="pct"/>
          </w:tcPr>
          <w:p w14:paraId="7F1CD71D" w14:textId="77777777" w:rsidR="008B5CC1" w:rsidRPr="00D6313C" w:rsidRDefault="008B5CC1" w:rsidP="00D6313C">
            <w:r w:rsidRPr="00D6313C">
              <w:t>MRG 18/10/16</w:t>
            </w:r>
          </w:p>
        </w:tc>
        <w:tc>
          <w:tcPr>
            <w:tcW w:w="1555" w:type="pct"/>
          </w:tcPr>
          <w:p w14:paraId="10757AC9" w14:textId="77777777" w:rsidR="008B5CC1" w:rsidRPr="00D6313C" w:rsidRDefault="008B5CC1" w:rsidP="00D6313C">
            <w:r w:rsidRPr="00D6313C">
              <w:t>Text added to section 1.4 in tracked changes.</w:t>
            </w:r>
          </w:p>
        </w:tc>
        <w:tc>
          <w:tcPr>
            <w:tcW w:w="435" w:type="pct"/>
          </w:tcPr>
          <w:p w14:paraId="05F41F41" w14:textId="77777777" w:rsidR="008B5CC1" w:rsidRPr="00D6313C" w:rsidRDefault="008B5CC1" w:rsidP="00D6313C">
            <w:r w:rsidRPr="00D6313C">
              <w:t>10/11/16</w:t>
            </w:r>
          </w:p>
        </w:tc>
        <w:sdt>
          <w:sdtPr>
            <w:id w:val="430938219"/>
            <w14:checkbox>
              <w14:checked w14:val="1"/>
              <w14:checkedState w14:val="2612" w14:font="MS Gothic"/>
              <w14:uncheckedState w14:val="2610" w14:font="MS Gothic"/>
            </w14:checkbox>
          </w:sdtPr>
          <w:sdtEndPr/>
          <w:sdtContent>
            <w:tc>
              <w:tcPr>
                <w:tcW w:w="410" w:type="pct"/>
              </w:tcPr>
              <w:p w14:paraId="015FB6DE"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4FF7033E" w14:textId="77777777" w:rsidR="008B5CC1" w:rsidRPr="00D6313C" w:rsidRDefault="008B5CC1" w:rsidP="00D6313C">
            <w:r w:rsidRPr="00D6313C">
              <w:t>MRG Chair – 28/11/16</w:t>
            </w:r>
          </w:p>
        </w:tc>
      </w:tr>
    </w:tbl>
    <w:p w14:paraId="1EBA5B05" w14:textId="6DD2CE7E" w:rsidR="008B5CC1" w:rsidRDefault="008B5CC1" w:rsidP="00D6313C"/>
    <w:p w14:paraId="4B48A0AC" w14:textId="7F83E091" w:rsidR="0092758C" w:rsidRPr="00D6313C" w:rsidRDefault="0092758C" w:rsidP="00D6313C">
      <w:r w:rsidRPr="00D6313C">
        <w:rPr>
          <w:b/>
          <w:sz w:val="28"/>
          <w:szCs w:val="28"/>
        </w:rPr>
        <w:t>Rationale</w:t>
      </w:r>
    </w:p>
    <w:tbl>
      <w:tblPr>
        <w:tblStyle w:val="TableGrid1"/>
        <w:tblW w:w="5000" w:type="pct"/>
        <w:tblLook w:val="04A0" w:firstRow="1" w:lastRow="0" w:firstColumn="1" w:lastColumn="0" w:noHBand="0" w:noVBand="1"/>
      </w:tblPr>
      <w:tblGrid>
        <w:gridCol w:w="867"/>
        <w:gridCol w:w="4254"/>
        <w:gridCol w:w="1183"/>
        <w:gridCol w:w="4531"/>
        <w:gridCol w:w="1268"/>
        <w:gridCol w:w="1195"/>
        <w:gridCol w:w="1270"/>
      </w:tblGrid>
      <w:tr w:rsidR="00D6313C" w:rsidRPr="00D6313C" w14:paraId="7C72A9F3" w14:textId="77777777" w:rsidTr="0092758C">
        <w:tc>
          <w:tcPr>
            <w:tcW w:w="298" w:type="pct"/>
          </w:tcPr>
          <w:p w14:paraId="370D033B" w14:textId="77777777" w:rsidR="008B5CC1" w:rsidRPr="00D6313C" w:rsidRDefault="008B5CC1" w:rsidP="00D6313C">
            <w:pPr>
              <w:rPr>
                <w:b/>
                <w:i/>
              </w:rPr>
            </w:pPr>
            <w:r w:rsidRPr="00D6313C">
              <w:rPr>
                <w:b/>
                <w:i/>
              </w:rPr>
              <w:t>Rec. no</w:t>
            </w:r>
          </w:p>
        </w:tc>
        <w:tc>
          <w:tcPr>
            <w:tcW w:w="1460" w:type="pct"/>
          </w:tcPr>
          <w:p w14:paraId="0941C1E8" w14:textId="77777777" w:rsidR="008B5CC1" w:rsidRPr="00D6313C" w:rsidRDefault="008B5CC1" w:rsidP="00D6313C">
            <w:pPr>
              <w:rPr>
                <w:b/>
                <w:i/>
              </w:rPr>
            </w:pPr>
            <w:r w:rsidRPr="00D6313C">
              <w:rPr>
                <w:b/>
                <w:i/>
              </w:rPr>
              <w:t>Issue or recommendation</w:t>
            </w:r>
          </w:p>
        </w:tc>
        <w:tc>
          <w:tcPr>
            <w:tcW w:w="406" w:type="pct"/>
          </w:tcPr>
          <w:p w14:paraId="3AB8A218" w14:textId="77777777" w:rsidR="008B5CC1" w:rsidRPr="00D6313C" w:rsidRDefault="008B5CC1" w:rsidP="00D6313C">
            <w:pPr>
              <w:rPr>
                <w:b/>
                <w:i/>
              </w:rPr>
            </w:pPr>
            <w:r w:rsidRPr="00D6313C">
              <w:rPr>
                <w:b/>
                <w:i/>
              </w:rPr>
              <w:t>Raised by / Date</w:t>
            </w:r>
          </w:p>
        </w:tc>
        <w:tc>
          <w:tcPr>
            <w:tcW w:w="1555" w:type="pct"/>
          </w:tcPr>
          <w:p w14:paraId="582F5121" w14:textId="77777777" w:rsidR="008B5CC1" w:rsidRPr="00D6313C" w:rsidRDefault="008B5CC1" w:rsidP="00D6313C">
            <w:pPr>
              <w:rPr>
                <w:b/>
                <w:i/>
              </w:rPr>
            </w:pPr>
            <w:r w:rsidRPr="00D6313C">
              <w:rPr>
                <w:b/>
                <w:i/>
              </w:rPr>
              <w:t>Response or Action taken by applicant</w:t>
            </w:r>
          </w:p>
        </w:tc>
        <w:tc>
          <w:tcPr>
            <w:tcW w:w="435" w:type="pct"/>
          </w:tcPr>
          <w:p w14:paraId="2A4833BC" w14:textId="77777777" w:rsidR="008B5CC1" w:rsidRPr="00D6313C" w:rsidRDefault="008B5CC1" w:rsidP="00D6313C">
            <w:pPr>
              <w:rPr>
                <w:b/>
                <w:i/>
              </w:rPr>
            </w:pPr>
            <w:r w:rsidRPr="00D6313C">
              <w:rPr>
                <w:b/>
                <w:i/>
              </w:rPr>
              <w:t>Response date</w:t>
            </w:r>
          </w:p>
        </w:tc>
        <w:tc>
          <w:tcPr>
            <w:tcW w:w="410" w:type="pct"/>
          </w:tcPr>
          <w:p w14:paraId="2EF5777C" w14:textId="77777777" w:rsidR="008B5CC1" w:rsidRPr="00D6313C" w:rsidRDefault="008B5CC1" w:rsidP="00D6313C">
            <w:pPr>
              <w:rPr>
                <w:b/>
                <w:i/>
              </w:rPr>
            </w:pPr>
            <w:r w:rsidRPr="00D6313C">
              <w:rPr>
                <w:b/>
                <w:i/>
              </w:rPr>
              <w:t>Resolved</w:t>
            </w:r>
          </w:p>
        </w:tc>
        <w:tc>
          <w:tcPr>
            <w:tcW w:w="436" w:type="pct"/>
          </w:tcPr>
          <w:p w14:paraId="19F58EC4" w14:textId="77777777" w:rsidR="008B5CC1" w:rsidRPr="00D6313C" w:rsidRDefault="008B5CC1" w:rsidP="00D6313C">
            <w:pPr>
              <w:rPr>
                <w:b/>
                <w:i/>
              </w:rPr>
            </w:pPr>
            <w:r w:rsidRPr="00D6313C">
              <w:rPr>
                <w:b/>
                <w:i/>
              </w:rPr>
              <w:t>Sign off by / Date</w:t>
            </w:r>
          </w:p>
        </w:tc>
      </w:tr>
      <w:tr w:rsidR="00D6313C" w:rsidRPr="00D6313C" w14:paraId="403A8C84" w14:textId="77777777" w:rsidTr="0092758C">
        <w:tc>
          <w:tcPr>
            <w:tcW w:w="298" w:type="pct"/>
          </w:tcPr>
          <w:p w14:paraId="55EECAAF" w14:textId="77777777" w:rsidR="008B5CC1" w:rsidRPr="00D6313C" w:rsidRDefault="008B5CC1" w:rsidP="00D6313C">
            <w:r w:rsidRPr="00D6313C">
              <w:t>2a</w:t>
            </w:r>
          </w:p>
        </w:tc>
        <w:tc>
          <w:tcPr>
            <w:tcW w:w="1460" w:type="pct"/>
          </w:tcPr>
          <w:p w14:paraId="44E27BB5" w14:textId="77777777" w:rsidR="008B5CC1" w:rsidRPr="00D6313C" w:rsidRDefault="008B5CC1" w:rsidP="00D6313C">
            <w:r w:rsidRPr="00D6313C">
              <w:t>In section 2.1, could the applicant clarify that a new national ambition will be introduced following the publication of the new Government Tobacco Control Plan.</w:t>
            </w:r>
          </w:p>
        </w:tc>
        <w:tc>
          <w:tcPr>
            <w:tcW w:w="406" w:type="pct"/>
          </w:tcPr>
          <w:p w14:paraId="3FB0AA51" w14:textId="77777777" w:rsidR="008B5CC1" w:rsidRPr="00D6313C" w:rsidRDefault="008B5CC1" w:rsidP="00D6313C">
            <w:r w:rsidRPr="00D6313C">
              <w:t>MRG 18/10/16</w:t>
            </w:r>
          </w:p>
        </w:tc>
        <w:tc>
          <w:tcPr>
            <w:tcW w:w="1555" w:type="pct"/>
          </w:tcPr>
          <w:p w14:paraId="7782BDEA" w14:textId="77777777" w:rsidR="008B5CC1" w:rsidRPr="00D6313C" w:rsidRDefault="008B5CC1" w:rsidP="00D6313C">
            <w:r w:rsidRPr="00D6313C">
              <w:t>Text added in section 2.1 in tracked changes</w:t>
            </w:r>
          </w:p>
        </w:tc>
        <w:tc>
          <w:tcPr>
            <w:tcW w:w="435" w:type="pct"/>
          </w:tcPr>
          <w:p w14:paraId="6DBCA7B3" w14:textId="77777777" w:rsidR="008B5CC1" w:rsidRPr="00D6313C" w:rsidRDefault="008B5CC1" w:rsidP="00D6313C"/>
        </w:tc>
        <w:sdt>
          <w:sdtPr>
            <w:id w:val="1733420856"/>
            <w14:checkbox>
              <w14:checked w14:val="1"/>
              <w14:checkedState w14:val="2612" w14:font="MS Gothic"/>
              <w14:uncheckedState w14:val="2610" w14:font="MS Gothic"/>
            </w14:checkbox>
          </w:sdtPr>
          <w:sdtEndPr/>
          <w:sdtContent>
            <w:tc>
              <w:tcPr>
                <w:tcW w:w="410" w:type="pct"/>
              </w:tcPr>
              <w:p w14:paraId="797A7B3B"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6AD6745A" w14:textId="77777777" w:rsidR="008B5CC1" w:rsidRPr="00D6313C" w:rsidRDefault="008B5CC1" w:rsidP="00D6313C">
            <w:r w:rsidRPr="00D6313C">
              <w:t>MRG Chair – 28/11/16</w:t>
            </w:r>
          </w:p>
        </w:tc>
      </w:tr>
      <w:tr w:rsidR="00D6313C" w:rsidRPr="00D6313C" w14:paraId="039E605C" w14:textId="77777777" w:rsidTr="0092758C">
        <w:tc>
          <w:tcPr>
            <w:tcW w:w="298" w:type="pct"/>
          </w:tcPr>
          <w:p w14:paraId="212D8C7B" w14:textId="77777777" w:rsidR="008B5CC1" w:rsidRPr="00D6313C" w:rsidRDefault="008B5CC1" w:rsidP="00D6313C">
            <w:r w:rsidRPr="00D6313C">
              <w:t>2b</w:t>
            </w:r>
          </w:p>
        </w:tc>
        <w:tc>
          <w:tcPr>
            <w:tcW w:w="1460" w:type="pct"/>
          </w:tcPr>
          <w:p w14:paraId="6B730D11" w14:textId="77777777" w:rsidR="008B5CC1" w:rsidRPr="00D6313C" w:rsidRDefault="008B5CC1" w:rsidP="00D6313C">
            <w:r w:rsidRPr="00D6313C">
              <w:t>It would be worth mentioning in section 2.3 that this indicator was approved through the NICE indicator committee.</w:t>
            </w:r>
          </w:p>
        </w:tc>
        <w:tc>
          <w:tcPr>
            <w:tcW w:w="406" w:type="pct"/>
          </w:tcPr>
          <w:p w14:paraId="37C942D5" w14:textId="77777777" w:rsidR="008B5CC1" w:rsidRPr="00D6313C" w:rsidRDefault="008B5CC1" w:rsidP="00D6313C">
            <w:r w:rsidRPr="00D6313C">
              <w:t>MRG 18/10/16</w:t>
            </w:r>
          </w:p>
        </w:tc>
        <w:tc>
          <w:tcPr>
            <w:tcW w:w="1555" w:type="pct"/>
          </w:tcPr>
          <w:p w14:paraId="3F15B062" w14:textId="77777777" w:rsidR="008B5CC1" w:rsidRPr="00D6313C" w:rsidRDefault="008B5CC1" w:rsidP="00D6313C">
            <w:r w:rsidRPr="00D6313C">
              <w:t>Text added in section 2.3 in tracked changes</w:t>
            </w:r>
          </w:p>
        </w:tc>
        <w:tc>
          <w:tcPr>
            <w:tcW w:w="435" w:type="pct"/>
          </w:tcPr>
          <w:p w14:paraId="3E1C729F" w14:textId="77777777" w:rsidR="008B5CC1" w:rsidRPr="00D6313C" w:rsidRDefault="008B5CC1" w:rsidP="00D6313C">
            <w:r w:rsidRPr="00D6313C">
              <w:t>10/11/16</w:t>
            </w:r>
          </w:p>
        </w:tc>
        <w:sdt>
          <w:sdtPr>
            <w:id w:val="-1225981876"/>
            <w14:checkbox>
              <w14:checked w14:val="1"/>
              <w14:checkedState w14:val="2612" w14:font="MS Gothic"/>
              <w14:uncheckedState w14:val="2610" w14:font="MS Gothic"/>
            </w14:checkbox>
          </w:sdtPr>
          <w:sdtEndPr/>
          <w:sdtContent>
            <w:tc>
              <w:tcPr>
                <w:tcW w:w="410" w:type="pct"/>
              </w:tcPr>
              <w:p w14:paraId="6466217D"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3D1FAF8C" w14:textId="77777777" w:rsidR="008B5CC1" w:rsidRPr="00D6313C" w:rsidRDefault="008B5CC1" w:rsidP="00D6313C">
            <w:r w:rsidRPr="00D6313C">
              <w:t>MRG Chair – 28/11/16</w:t>
            </w:r>
          </w:p>
        </w:tc>
      </w:tr>
      <w:tr w:rsidR="00D6313C" w:rsidRPr="00D6313C" w14:paraId="0B3A4EB9" w14:textId="77777777" w:rsidTr="0092758C">
        <w:tc>
          <w:tcPr>
            <w:tcW w:w="298" w:type="pct"/>
          </w:tcPr>
          <w:p w14:paraId="6DE35C5F" w14:textId="77777777" w:rsidR="008B5CC1" w:rsidRPr="00D6313C" w:rsidRDefault="008B5CC1" w:rsidP="00D6313C">
            <w:r w:rsidRPr="00D6313C">
              <w:t>2c</w:t>
            </w:r>
          </w:p>
        </w:tc>
        <w:tc>
          <w:tcPr>
            <w:tcW w:w="1460" w:type="pct"/>
          </w:tcPr>
          <w:p w14:paraId="465B9622" w14:textId="77777777" w:rsidR="008B5CC1" w:rsidRPr="00D6313C" w:rsidRDefault="008B5CC1" w:rsidP="00D6313C">
            <w:r w:rsidRPr="00D6313C">
              <w:t>NICE have recently published two quality standards relating to this indicator, therefore the applicants are encouraged to consider and reference them in section 2.4 Evidence and Policy Base.</w:t>
            </w:r>
          </w:p>
        </w:tc>
        <w:tc>
          <w:tcPr>
            <w:tcW w:w="406" w:type="pct"/>
          </w:tcPr>
          <w:p w14:paraId="429B664D" w14:textId="77777777" w:rsidR="008B5CC1" w:rsidRPr="00D6313C" w:rsidRDefault="008B5CC1" w:rsidP="00D6313C">
            <w:r w:rsidRPr="00D6313C">
              <w:t>MRG 18/10/16</w:t>
            </w:r>
          </w:p>
        </w:tc>
        <w:tc>
          <w:tcPr>
            <w:tcW w:w="1555" w:type="pct"/>
          </w:tcPr>
          <w:p w14:paraId="5EB06A8B" w14:textId="77777777" w:rsidR="008B5CC1" w:rsidRPr="00D6313C" w:rsidRDefault="008B5CC1" w:rsidP="00D6313C">
            <w:r w:rsidRPr="00D6313C">
              <w:t>Text added in section 2.4 in tracked changes</w:t>
            </w:r>
          </w:p>
        </w:tc>
        <w:tc>
          <w:tcPr>
            <w:tcW w:w="435" w:type="pct"/>
          </w:tcPr>
          <w:p w14:paraId="30F436C8" w14:textId="77777777" w:rsidR="008B5CC1" w:rsidRPr="00D6313C" w:rsidRDefault="008B5CC1" w:rsidP="00D6313C">
            <w:r w:rsidRPr="00D6313C">
              <w:t>10/11/16</w:t>
            </w:r>
          </w:p>
        </w:tc>
        <w:sdt>
          <w:sdtPr>
            <w:id w:val="1037317200"/>
            <w14:checkbox>
              <w14:checked w14:val="1"/>
              <w14:checkedState w14:val="2612" w14:font="MS Gothic"/>
              <w14:uncheckedState w14:val="2610" w14:font="MS Gothic"/>
            </w14:checkbox>
          </w:sdtPr>
          <w:sdtEndPr/>
          <w:sdtContent>
            <w:tc>
              <w:tcPr>
                <w:tcW w:w="410" w:type="pct"/>
              </w:tcPr>
              <w:p w14:paraId="23E659CB"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570F90FE" w14:textId="77777777" w:rsidR="008B5CC1" w:rsidRPr="00D6313C" w:rsidRDefault="008B5CC1" w:rsidP="00D6313C">
            <w:r w:rsidRPr="00D6313C">
              <w:t>MRG Chair – 28/11/16</w:t>
            </w:r>
          </w:p>
        </w:tc>
      </w:tr>
      <w:tr w:rsidR="008B5CC1" w:rsidRPr="00D6313C" w14:paraId="0191A312" w14:textId="77777777" w:rsidTr="0092758C">
        <w:tc>
          <w:tcPr>
            <w:tcW w:w="298" w:type="pct"/>
          </w:tcPr>
          <w:p w14:paraId="56EAB8A4" w14:textId="77777777" w:rsidR="008B5CC1" w:rsidRPr="00D6313C" w:rsidRDefault="008B5CC1" w:rsidP="00D6313C">
            <w:r w:rsidRPr="00D6313C">
              <w:lastRenderedPageBreak/>
              <w:t>2d</w:t>
            </w:r>
          </w:p>
        </w:tc>
        <w:tc>
          <w:tcPr>
            <w:tcW w:w="1460" w:type="pct"/>
          </w:tcPr>
          <w:p w14:paraId="05BA5694" w14:textId="77777777" w:rsidR="008B5CC1" w:rsidRPr="00D6313C" w:rsidRDefault="008B5CC1" w:rsidP="00D6313C">
            <w:r w:rsidRPr="00D6313C">
              <w:t>Please can the applicants consider reducing the number of sponsors in the application form to one. The sponsor should be a senior role in the organisation which has commissioned the development of the indicator. The sponsor will have committed the resources necessary to support the development and ongoing maintenance of the indicator.</w:t>
            </w:r>
          </w:p>
        </w:tc>
        <w:tc>
          <w:tcPr>
            <w:tcW w:w="406" w:type="pct"/>
          </w:tcPr>
          <w:p w14:paraId="58982DED" w14:textId="77777777" w:rsidR="008B5CC1" w:rsidRPr="00D6313C" w:rsidRDefault="008B5CC1" w:rsidP="00D6313C">
            <w:r w:rsidRPr="00D6313C">
              <w:t>MRG 18/10/16</w:t>
            </w:r>
          </w:p>
        </w:tc>
        <w:tc>
          <w:tcPr>
            <w:tcW w:w="1555" w:type="pct"/>
          </w:tcPr>
          <w:p w14:paraId="6126C5D9" w14:textId="77777777" w:rsidR="008B5CC1" w:rsidRPr="00D6313C" w:rsidRDefault="008B5CC1" w:rsidP="00D6313C">
            <w:r w:rsidRPr="00D6313C">
              <w:t>Text added in section 2.2 in tracked changes</w:t>
            </w:r>
          </w:p>
        </w:tc>
        <w:tc>
          <w:tcPr>
            <w:tcW w:w="435" w:type="pct"/>
          </w:tcPr>
          <w:p w14:paraId="2780ED20" w14:textId="77777777" w:rsidR="008B5CC1" w:rsidRPr="00D6313C" w:rsidRDefault="008B5CC1" w:rsidP="00D6313C">
            <w:r w:rsidRPr="00D6313C">
              <w:t>10/11/16</w:t>
            </w:r>
          </w:p>
        </w:tc>
        <w:sdt>
          <w:sdtPr>
            <w:id w:val="1527448604"/>
            <w14:checkbox>
              <w14:checked w14:val="1"/>
              <w14:checkedState w14:val="2612" w14:font="MS Gothic"/>
              <w14:uncheckedState w14:val="2610" w14:font="MS Gothic"/>
            </w14:checkbox>
          </w:sdtPr>
          <w:sdtEndPr/>
          <w:sdtContent>
            <w:tc>
              <w:tcPr>
                <w:tcW w:w="410" w:type="pct"/>
              </w:tcPr>
              <w:p w14:paraId="1815AF8E"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12FCA6A4" w14:textId="77777777" w:rsidR="008B5CC1" w:rsidRPr="00D6313C" w:rsidRDefault="008B5CC1" w:rsidP="00D6313C">
            <w:r w:rsidRPr="00D6313C">
              <w:t>MRG Chair – 28/11/16</w:t>
            </w:r>
          </w:p>
        </w:tc>
      </w:tr>
    </w:tbl>
    <w:p w14:paraId="4B299393" w14:textId="77777777" w:rsidR="008B5CC1" w:rsidRPr="00D6313C" w:rsidRDefault="008B5CC1" w:rsidP="00D6313C"/>
    <w:p w14:paraId="150F446D" w14:textId="0B2259A1" w:rsidR="008B5CC1" w:rsidRPr="00D6313C" w:rsidRDefault="0092758C" w:rsidP="00D6313C">
      <w:r w:rsidRPr="00D6313C">
        <w:rPr>
          <w:b/>
          <w:sz w:val="28"/>
          <w:szCs w:val="28"/>
        </w:rPr>
        <w:t>Data</w:t>
      </w:r>
    </w:p>
    <w:tbl>
      <w:tblPr>
        <w:tblStyle w:val="TableGrid1"/>
        <w:tblW w:w="5000" w:type="pct"/>
        <w:tblLook w:val="04A0" w:firstRow="1" w:lastRow="0" w:firstColumn="1" w:lastColumn="0" w:noHBand="0" w:noVBand="1"/>
      </w:tblPr>
      <w:tblGrid>
        <w:gridCol w:w="867"/>
        <w:gridCol w:w="4254"/>
        <w:gridCol w:w="1183"/>
        <w:gridCol w:w="4531"/>
        <w:gridCol w:w="1268"/>
        <w:gridCol w:w="1195"/>
        <w:gridCol w:w="1270"/>
      </w:tblGrid>
      <w:tr w:rsidR="00D6313C" w:rsidRPr="00D6313C" w14:paraId="5ABF4FA2" w14:textId="77777777" w:rsidTr="0092758C">
        <w:tc>
          <w:tcPr>
            <w:tcW w:w="298" w:type="pct"/>
          </w:tcPr>
          <w:p w14:paraId="62E563BD" w14:textId="77777777" w:rsidR="008B5CC1" w:rsidRPr="00D6313C" w:rsidRDefault="008B5CC1" w:rsidP="00D6313C">
            <w:pPr>
              <w:rPr>
                <w:b/>
                <w:i/>
              </w:rPr>
            </w:pPr>
            <w:r w:rsidRPr="00D6313C">
              <w:rPr>
                <w:b/>
                <w:i/>
              </w:rPr>
              <w:t>Rec. no</w:t>
            </w:r>
          </w:p>
        </w:tc>
        <w:tc>
          <w:tcPr>
            <w:tcW w:w="1460" w:type="pct"/>
          </w:tcPr>
          <w:p w14:paraId="15304286" w14:textId="77777777" w:rsidR="008B5CC1" w:rsidRPr="00D6313C" w:rsidRDefault="008B5CC1" w:rsidP="00D6313C">
            <w:pPr>
              <w:rPr>
                <w:b/>
                <w:i/>
              </w:rPr>
            </w:pPr>
            <w:r w:rsidRPr="00D6313C">
              <w:rPr>
                <w:b/>
                <w:i/>
              </w:rPr>
              <w:t>Issue or recommendation</w:t>
            </w:r>
          </w:p>
        </w:tc>
        <w:tc>
          <w:tcPr>
            <w:tcW w:w="406" w:type="pct"/>
          </w:tcPr>
          <w:p w14:paraId="7774C1A1" w14:textId="77777777" w:rsidR="008B5CC1" w:rsidRPr="00D6313C" w:rsidRDefault="008B5CC1" w:rsidP="00D6313C">
            <w:pPr>
              <w:rPr>
                <w:b/>
                <w:i/>
              </w:rPr>
            </w:pPr>
            <w:r w:rsidRPr="00D6313C">
              <w:rPr>
                <w:b/>
                <w:i/>
              </w:rPr>
              <w:t>Raised by / Date</w:t>
            </w:r>
          </w:p>
        </w:tc>
        <w:tc>
          <w:tcPr>
            <w:tcW w:w="1555" w:type="pct"/>
          </w:tcPr>
          <w:p w14:paraId="55352B1B" w14:textId="77777777" w:rsidR="008B5CC1" w:rsidRPr="00D6313C" w:rsidRDefault="008B5CC1" w:rsidP="00D6313C">
            <w:pPr>
              <w:rPr>
                <w:b/>
                <w:i/>
              </w:rPr>
            </w:pPr>
            <w:r w:rsidRPr="00D6313C">
              <w:rPr>
                <w:b/>
                <w:i/>
              </w:rPr>
              <w:t>Response or Action taken by applicant</w:t>
            </w:r>
          </w:p>
        </w:tc>
        <w:tc>
          <w:tcPr>
            <w:tcW w:w="435" w:type="pct"/>
          </w:tcPr>
          <w:p w14:paraId="73C3A11E" w14:textId="77777777" w:rsidR="008B5CC1" w:rsidRPr="00D6313C" w:rsidRDefault="008B5CC1" w:rsidP="00D6313C">
            <w:pPr>
              <w:rPr>
                <w:b/>
                <w:i/>
              </w:rPr>
            </w:pPr>
            <w:r w:rsidRPr="00D6313C">
              <w:rPr>
                <w:b/>
                <w:i/>
              </w:rPr>
              <w:t>Response date</w:t>
            </w:r>
          </w:p>
        </w:tc>
        <w:tc>
          <w:tcPr>
            <w:tcW w:w="410" w:type="pct"/>
          </w:tcPr>
          <w:p w14:paraId="3308F4D5" w14:textId="77777777" w:rsidR="008B5CC1" w:rsidRPr="00D6313C" w:rsidRDefault="008B5CC1" w:rsidP="00D6313C">
            <w:pPr>
              <w:rPr>
                <w:b/>
                <w:i/>
              </w:rPr>
            </w:pPr>
            <w:r w:rsidRPr="00D6313C">
              <w:rPr>
                <w:b/>
                <w:i/>
              </w:rPr>
              <w:t>Resolved</w:t>
            </w:r>
          </w:p>
        </w:tc>
        <w:tc>
          <w:tcPr>
            <w:tcW w:w="436" w:type="pct"/>
          </w:tcPr>
          <w:p w14:paraId="79A56FCF" w14:textId="77777777" w:rsidR="008B5CC1" w:rsidRPr="00D6313C" w:rsidRDefault="008B5CC1" w:rsidP="00D6313C">
            <w:pPr>
              <w:rPr>
                <w:b/>
                <w:i/>
              </w:rPr>
            </w:pPr>
            <w:r w:rsidRPr="00D6313C">
              <w:rPr>
                <w:b/>
                <w:i/>
              </w:rPr>
              <w:t>Sign off by / Date</w:t>
            </w:r>
          </w:p>
        </w:tc>
      </w:tr>
      <w:tr w:rsidR="00D6313C" w:rsidRPr="00D6313C" w14:paraId="32E1D5C1" w14:textId="77777777" w:rsidTr="0092758C">
        <w:tc>
          <w:tcPr>
            <w:tcW w:w="298" w:type="pct"/>
          </w:tcPr>
          <w:p w14:paraId="785EE85E" w14:textId="77777777" w:rsidR="008B5CC1" w:rsidRPr="00D6313C" w:rsidRDefault="008B5CC1" w:rsidP="00D6313C">
            <w:r w:rsidRPr="00D6313C">
              <w:t>3a</w:t>
            </w:r>
          </w:p>
        </w:tc>
        <w:tc>
          <w:tcPr>
            <w:tcW w:w="1460" w:type="pct"/>
          </w:tcPr>
          <w:p w14:paraId="6C055B47" w14:textId="77777777" w:rsidR="008B5CC1" w:rsidRPr="00D6313C" w:rsidRDefault="008B5CC1" w:rsidP="00D6313C">
            <w:r w:rsidRPr="00D6313C">
              <w:t>MRG requested that more information be provided around how the data is collected during the survey. This should be captured in 3.1 in particular, but self-report techniques should be more explicitly stated throughout the form.</w:t>
            </w:r>
          </w:p>
        </w:tc>
        <w:tc>
          <w:tcPr>
            <w:tcW w:w="406" w:type="pct"/>
          </w:tcPr>
          <w:p w14:paraId="248B99D2" w14:textId="77777777" w:rsidR="008B5CC1" w:rsidRPr="00D6313C" w:rsidRDefault="008B5CC1" w:rsidP="00D6313C">
            <w:r w:rsidRPr="00D6313C">
              <w:t>MRG 18/10/16</w:t>
            </w:r>
          </w:p>
        </w:tc>
        <w:tc>
          <w:tcPr>
            <w:tcW w:w="1555" w:type="pct"/>
          </w:tcPr>
          <w:p w14:paraId="1A98DDD7" w14:textId="77777777" w:rsidR="008B5CC1" w:rsidRPr="00D6313C" w:rsidRDefault="008B5CC1" w:rsidP="00D6313C">
            <w:r w:rsidRPr="00D6313C">
              <w:t>Text added to section 3.1 and 1.4 in tracked changes</w:t>
            </w:r>
          </w:p>
        </w:tc>
        <w:tc>
          <w:tcPr>
            <w:tcW w:w="435" w:type="pct"/>
          </w:tcPr>
          <w:p w14:paraId="75833EB2" w14:textId="77777777" w:rsidR="008B5CC1" w:rsidRPr="00D6313C" w:rsidRDefault="008B5CC1" w:rsidP="00D6313C">
            <w:r w:rsidRPr="00D6313C">
              <w:t>10/11/16</w:t>
            </w:r>
          </w:p>
        </w:tc>
        <w:sdt>
          <w:sdtPr>
            <w:id w:val="-1023932915"/>
            <w14:checkbox>
              <w14:checked w14:val="0"/>
              <w14:checkedState w14:val="2612" w14:font="MS Gothic"/>
              <w14:uncheckedState w14:val="2610" w14:font="MS Gothic"/>
            </w14:checkbox>
          </w:sdtPr>
          <w:sdtEndPr/>
          <w:sdtContent>
            <w:tc>
              <w:tcPr>
                <w:tcW w:w="410" w:type="pct"/>
              </w:tcPr>
              <w:p w14:paraId="47091857"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42F7AE2D" w14:textId="77777777" w:rsidR="008B5CC1" w:rsidRPr="00D6313C" w:rsidRDefault="008B5CC1" w:rsidP="00D6313C"/>
        </w:tc>
      </w:tr>
      <w:tr w:rsidR="00D6313C" w:rsidRPr="00D6313C" w14:paraId="1167C2A9" w14:textId="77777777" w:rsidTr="0092758C">
        <w:tc>
          <w:tcPr>
            <w:tcW w:w="298" w:type="pct"/>
          </w:tcPr>
          <w:p w14:paraId="1CD22C0D" w14:textId="77777777" w:rsidR="008B5CC1" w:rsidRPr="00D6313C" w:rsidRDefault="008B5CC1" w:rsidP="00D6313C">
            <w:r w:rsidRPr="00D6313C">
              <w:t>3b</w:t>
            </w:r>
          </w:p>
        </w:tc>
        <w:tc>
          <w:tcPr>
            <w:tcW w:w="1460" w:type="pct"/>
          </w:tcPr>
          <w:p w14:paraId="45F0A785" w14:textId="77777777" w:rsidR="008B5CC1" w:rsidRPr="00D6313C" w:rsidRDefault="008B5CC1" w:rsidP="00D6313C">
            <w:r w:rsidRPr="00D6313C">
              <w:t>MRG noted that the subsection in 3.4 titled ‘Accuracy’ was referencing validity.</w:t>
            </w:r>
          </w:p>
        </w:tc>
        <w:tc>
          <w:tcPr>
            <w:tcW w:w="406" w:type="pct"/>
          </w:tcPr>
          <w:p w14:paraId="3C576705" w14:textId="77777777" w:rsidR="008B5CC1" w:rsidRPr="00D6313C" w:rsidRDefault="008B5CC1" w:rsidP="00D6313C">
            <w:r w:rsidRPr="00D6313C">
              <w:t>MRG 18/10/16</w:t>
            </w:r>
          </w:p>
        </w:tc>
        <w:tc>
          <w:tcPr>
            <w:tcW w:w="1555" w:type="pct"/>
          </w:tcPr>
          <w:p w14:paraId="0017EC28" w14:textId="77777777" w:rsidR="008B5CC1" w:rsidRPr="00D6313C" w:rsidRDefault="008B5CC1" w:rsidP="00D6313C">
            <w:r w:rsidRPr="00D6313C">
              <w:t>Changed in tracked changes.</w:t>
            </w:r>
          </w:p>
        </w:tc>
        <w:tc>
          <w:tcPr>
            <w:tcW w:w="435" w:type="pct"/>
          </w:tcPr>
          <w:p w14:paraId="30CB7CFE" w14:textId="77777777" w:rsidR="008B5CC1" w:rsidRPr="00D6313C" w:rsidRDefault="008B5CC1" w:rsidP="00D6313C">
            <w:r w:rsidRPr="00D6313C">
              <w:t>10/11/16</w:t>
            </w:r>
          </w:p>
        </w:tc>
        <w:sdt>
          <w:sdtPr>
            <w:id w:val="-2090373202"/>
            <w14:checkbox>
              <w14:checked w14:val="1"/>
              <w14:checkedState w14:val="2612" w14:font="MS Gothic"/>
              <w14:uncheckedState w14:val="2610" w14:font="MS Gothic"/>
            </w14:checkbox>
          </w:sdtPr>
          <w:sdtEndPr/>
          <w:sdtContent>
            <w:tc>
              <w:tcPr>
                <w:tcW w:w="410" w:type="pct"/>
              </w:tcPr>
              <w:p w14:paraId="0986FA8A"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1A462E37" w14:textId="77777777" w:rsidR="008B5CC1" w:rsidRPr="00D6313C" w:rsidRDefault="008B5CC1" w:rsidP="00D6313C">
            <w:r w:rsidRPr="00D6313C">
              <w:t>MRG Chair – 28/11/16</w:t>
            </w:r>
          </w:p>
        </w:tc>
      </w:tr>
      <w:tr w:rsidR="00D6313C" w:rsidRPr="00D6313C" w14:paraId="43ECA59E" w14:textId="77777777" w:rsidTr="0092758C">
        <w:tc>
          <w:tcPr>
            <w:tcW w:w="298" w:type="pct"/>
          </w:tcPr>
          <w:p w14:paraId="54A3763B" w14:textId="77777777" w:rsidR="008B5CC1" w:rsidRPr="00D6313C" w:rsidRDefault="008B5CC1" w:rsidP="00D6313C">
            <w:r w:rsidRPr="00D6313C">
              <w:t>3c</w:t>
            </w:r>
          </w:p>
        </w:tc>
        <w:tc>
          <w:tcPr>
            <w:tcW w:w="1460" w:type="pct"/>
          </w:tcPr>
          <w:p w14:paraId="1DFB8F0D" w14:textId="77777777" w:rsidR="008B5CC1" w:rsidRPr="00D6313C" w:rsidRDefault="008B5CC1" w:rsidP="00D6313C">
            <w:r w:rsidRPr="00D6313C">
              <w:t>In section 3.6, the board’s name should be changed to read ‘the NHS Digital Data Quality Assurance Steering Group’.</w:t>
            </w:r>
          </w:p>
        </w:tc>
        <w:tc>
          <w:tcPr>
            <w:tcW w:w="406" w:type="pct"/>
          </w:tcPr>
          <w:p w14:paraId="56ABA27D" w14:textId="77777777" w:rsidR="008B5CC1" w:rsidRPr="00D6313C" w:rsidRDefault="008B5CC1" w:rsidP="00D6313C">
            <w:r w:rsidRPr="00D6313C">
              <w:t>MRG 18/10/16</w:t>
            </w:r>
          </w:p>
        </w:tc>
        <w:tc>
          <w:tcPr>
            <w:tcW w:w="1555" w:type="pct"/>
          </w:tcPr>
          <w:p w14:paraId="11857B2A" w14:textId="77777777" w:rsidR="008B5CC1" w:rsidRPr="00D6313C" w:rsidRDefault="008B5CC1" w:rsidP="00D6313C">
            <w:r w:rsidRPr="00D6313C">
              <w:t>Changed in tracked changes.</w:t>
            </w:r>
          </w:p>
        </w:tc>
        <w:tc>
          <w:tcPr>
            <w:tcW w:w="435" w:type="pct"/>
          </w:tcPr>
          <w:p w14:paraId="48D2C75C" w14:textId="77777777" w:rsidR="008B5CC1" w:rsidRPr="00D6313C" w:rsidRDefault="008B5CC1" w:rsidP="00D6313C">
            <w:r w:rsidRPr="00D6313C">
              <w:t>10/11/16</w:t>
            </w:r>
          </w:p>
        </w:tc>
        <w:sdt>
          <w:sdtPr>
            <w:id w:val="1094047004"/>
            <w14:checkbox>
              <w14:checked w14:val="1"/>
              <w14:checkedState w14:val="2612" w14:font="MS Gothic"/>
              <w14:uncheckedState w14:val="2610" w14:font="MS Gothic"/>
            </w14:checkbox>
          </w:sdtPr>
          <w:sdtEndPr/>
          <w:sdtContent>
            <w:tc>
              <w:tcPr>
                <w:tcW w:w="410" w:type="pct"/>
              </w:tcPr>
              <w:p w14:paraId="5936EABD"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2AD83817" w14:textId="77777777" w:rsidR="008B5CC1" w:rsidRPr="00D6313C" w:rsidRDefault="008B5CC1" w:rsidP="00D6313C">
            <w:r w:rsidRPr="00D6313C">
              <w:t>MRG Chair – 28/11/16</w:t>
            </w:r>
          </w:p>
        </w:tc>
      </w:tr>
      <w:tr w:rsidR="00D6313C" w:rsidRPr="00D6313C" w14:paraId="66600CDC" w14:textId="77777777" w:rsidTr="0092758C">
        <w:tc>
          <w:tcPr>
            <w:tcW w:w="298" w:type="pct"/>
          </w:tcPr>
          <w:p w14:paraId="689A8160" w14:textId="77777777" w:rsidR="008B5CC1" w:rsidRPr="00D6313C" w:rsidRDefault="008B5CC1" w:rsidP="00D6313C">
            <w:r w:rsidRPr="00D6313C">
              <w:t>3d</w:t>
            </w:r>
          </w:p>
        </w:tc>
        <w:tc>
          <w:tcPr>
            <w:tcW w:w="1460" w:type="pct"/>
          </w:tcPr>
          <w:p w14:paraId="0A623E0F" w14:textId="77777777" w:rsidR="008B5CC1" w:rsidRPr="00D6313C" w:rsidRDefault="008B5CC1" w:rsidP="00D6313C">
            <w:r w:rsidRPr="00D6313C">
              <w:t>The application form should make clear that the registered GP population is being used, rather than the resident population.</w:t>
            </w:r>
          </w:p>
        </w:tc>
        <w:tc>
          <w:tcPr>
            <w:tcW w:w="406" w:type="pct"/>
          </w:tcPr>
          <w:p w14:paraId="75F3746D" w14:textId="77777777" w:rsidR="008B5CC1" w:rsidRPr="00D6313C" w:rsidRDefault="008B5CC1" w:rsidP="00D6313C">
            <w:r w:rsidRPr="00D6313C">
              <w:t>MRG</w:t>
            </w:r>
          </w:p>
          <w:p w14:paraId="17C67588" w14:textId="77777777" w:rsidR="008B5CC1" w:rsidRPr="00D6313C" w:rsidRDefault="008B5CC1" w:rsidP="00D6313C">
            <w:r w:rsidRPr="00D6313C">
              <w:t>18/10/16</w:t>
            </w:r>
          </w:p>
        </w:tc>
        <w:tc>
          <w:tcPr>
            <w:tcW w:w="1555" w:type="pct"/>
          </w:tcPr>
          <w:p w14:paraId="3397A6AB" w14:textId="77777777" w:rsidR="008B5CC1" w:rsidRPr="00D6313C" w:rsidRDefault="008B5CC1" w:rsidP="00D6313C">
            <w:r w:rsidRPr="00D6313C">
              <w:t>Text added to section 1.4 in tracked changes</w:t>
            </w:r>
          </w:p>
        </w:tc>
        <w:tc>
          <w:tcPr>
            <w:tcW w:w="435" w:type="pct"/>
          </w:tcPr>
          <w:p w14:paraId="5BE1B3CE" w14:textId="77777777" w:rsidR="008B5CC1" w:rsidRPr="00D6313C" w:rsidRDefault="008B5CC1" w:rsidP="00D6313C">
            <w:r w:rsidRPr="00D6313C">
              <w:t>10/11/16</w:t>
            </w:r>
          </w:p>
        </w:tc>
        <w:sdt>
          <w:sdtPr>
            <w:id w:val="-1238470752"/>
            <w14:checkbox>
              <w14:checked w14:val="1"/>
              <w14:checkedState w14:val="2612" w14:font="MS Gothic"/>
              <w14:uncheckedState w14:val="2610" w14:font="MS Gothic"/>
            </w14:checkbox>
          </w:sdtPr>
          <w:sdtEndPr/>
          <w:sdtContent>
            <w:tc>
              <w:tcPr>
                <w:tcW w:w="410" w:type="pct"/>
              </w:tcPr>
              <w:p w14:paraId="7CBBBCD3"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4947E66F" w14:textId="77777777" w:rsidR="008B5CC1" w:rsidRPr="00D6313C" w:rsidRDefault="008B5CC1" w:rsidP="00D6313C">
            <w:r w:rsidRPr="00D6313C">
              <w:t>MRG Chair – 28/11/16</w:t>
            </w:r>
          </w:p>
        </w:tc>
      </w:tr>
      <w:tr w:rsidR="008B5CC1" w:rsidRPr="00D6313C" w14:paraId="13896631" w14:textId="77777777" w:rsidTr="0092758C">
        <w:tc>
          <w:tcPr>
            <w:tcW w:w="298" w:type="pct"/>
          </w:tcPr>
          <w:p w14:paraId="0DDA3A47" w14:textId="77777777" w:rsidR="008B5CC1" w:rsidRPr="00D6313C" w:rsidRDefault="008B5CC1" w:rsidP="00D6313C">
            <w:r w:rsidRPr="00D6313C">
              <w:t>3e</w:t>
            </w:r>
          </w:p>
        </w:tc>
        <w:tc>
          <w:tcPr>
            <w:tcW w:w="1460" w:type="pct"/>
          </w:tcPr>
          <w:p w14:paraId="07FA6DEB" w14:textId="77777777" w:rsidR="008B5CC1" w:rsidRPr="00D6313C" w:rsidRDefault="008B5CC1" w:rsidP="00D6313C">
            <w:r w:rsidRPr="00D6313C">
              <w:t xml:space="preserve">In section 3.6, the application states that “CCGs who have a large number of unknowns will be asked to explain why and if the problem persists, this will be escalated…”. Please can the applicants state who will be responsible for </w:t>
            </w:r>
            <w:r w:rsidRPr="00D6313C">
              <w:lastRenderedPageBreak/>
              <w:t>undertaking this action and at what threshold will this be done.</w:t>
            </w:r>
          </w:p>
        </w:tc>
        <w:tc>
          <w:tcPr>
            <w:tcW w:w="406" w:type="pct"/>
          </w:tcPr>
          <w:p w14:paraId="2D5785B9" w14:textId="77777777" w:rsidR="008B5CC1" w:rsidRPr="00D6313C" w:rsidRDefault="008B5CC1" w:rsidP="00D6313C">
            <w:r w:rsidRPr="00D6313C">
              <w:lastRenderedPageBreak/>
              <w:t>MRG</w:t>
            </w:r>
          </w:p>
          <w:p w14:paraId="11B1CA46" w14:textId="77777777" w:rsidR="008B5CC1" w:rsidRPr="00D6313C" w:rsidRDefault="008B5CC1" w:rsidP="00D6313C">
            <w:r w:rsidRPr="00D6313C">
              <w:t>18/10/16</w:t>
            </w:r>
          </w:p>
        </w:tc>
        <w:tc>
          <w:tcPr>
            <w:tcW w:w="1555" w:type="pct"/>
          </w:tcPr>
          <w:p w14:paraId="6CA99E84" w14:textId="77777777" w:rsidR="008B5CC1" w:rsidRPr="00D6313C" w:rsidRDefault="008B5CC1" w:rsidP="00D6313C">
            <w:r w:rsidRPr="00D6313C">
              <w:t>Text added to section 3.6 in tracked changes</w:t>
            </w:r>
          </w:p>
        </w:tc>
        <w:tc>
          <w:tcPr>
            <w:tcW w:w="435" w:type="pct"/>
          </w:tcPr>
          <w:p w14:paraId="42332BE8" w14:textId="77777777" w:rsidR="008B5CC1" w:rsidRPr="00D6313C" w:rsidRDefault="008B5CC1" w:rsidP="00D6313C">
            <w:r w:rsidRPr="00D6313C">
              <w:t>10/11/16</w:t>
            </w:r>
          </w:p>
        </w:tc>
        <w:sdt>
          <w:sdtPr>
            <w:id w:val="1813674973"/>
            <w14:checkbox>
              <w14:checked w14:val="1"/>
              <w14:checkedState w14:val="2612" w14:font="MS Gothic"/>
              <w14:uncheckedState w14:val="2610" w14:font="MS Gothic"/>
            </w14:checkbox>
          </w:sdtPr>
          <w:sdtEndPr/>
          <w:sdtContent>
            <w:tc>
              <w:tcPr>
                <w:tcW w:w="410" w:type="pct"/>
              </w:tcPr>
              <w:p w14:paraId="40284A28"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64B1C96E" w14:textId="77777777" w:rsidR="008B5CC1" w:rsidRPr="00D6313C" w:rsidRDefault="008B5CC1" w:rsidP="00D6313C">
            <w:r w:rsidRPr="00D6313C">
              <w:t>MRG Chair – 28/11/16</w:t>
            </w:r>
          </w:p>
        </w:tc>
      </w:tr>
    </w:tbl>
    <w:p w14:paraId="1922287D" w14:textId="64803AD3" w:rsidR="008B5CC1" w:rsidRDefault="008B5CC1" w:rsidP="00D6313C"/>
    <w:p w14:paraId="265D8FAA" w14:textId="2855983F" w:rsidR="0092758C" w:rsidRPr="00D6313C" w:rsidRDefault="0092758C" w:rsidP="00D6313C">
      <w:r w:rsidRPr="00D6313C">
        <w:rPr>
          <w:b/>
          <w:sz w:val="28"/>
          <w:szCs w:val="28"/>
        </w:rPr>
        <w:t>Construction</w:t>
      </w:r>
    </w:p>
    <w:tbl>
      <w:tblPr>
        <w:tblStyle w:val="TableGrid1"/>
        <w:tblW w:w="5000" w:type="pct"/>
        <w:tblLook w:val="04A0" w:firstRow="1" w:lastRow="0" w:firstColumn="1" w:lastColumn="0" w:noHBand="0" w:noVBand="1"/>
      </w:tblPr>
      <w:tblGrid>
        <w:gridCol w:w="867"/>
        <w:gridCol w:w="4254"/>
        <w:gridCol w:w="1183"/>
        <w:gridCol w:w="4531"/>
        <w:gridCol w:w="1268"/>
        <w:gridCol w:w="1195"/>
        <w:gridCol w:w="1270"/>
      </w:tblGrid>
      <w:tr w:rsidR="00D6313C" w:rsidRPr="00D6313C" w14:paraId="5D95423A" w14:textId="77777777" w:rsidTr="0092758C">
        <w:tc>
          <w:tcPr>
            <w:tcW w:w="298" w:type="pct"/>
          </w:tcPr>
          <w:p w14:paraId="3E9FCB26" w14:textId="77777777" w:rsidR="008B5CC1" w:rsidRPr="00D6313C" w:rsidRDefault="008B5CC1" w:rsidP="00D6313C">
            <w:pPr>
              <w:rPr>
                <w:b/>
                <w:i/>
              </w:rPr>
            </w:pPr>
            <w:r w:rsidRPr="00D6313C">
              <w:rPr>
                <w:b/>
                <w:i/>
              </w:rPr>
              <w:t>Rec. no</w:t>
            </w:r>
          </w:p>
        </w:tc>
        <w:tc>
          <w:tcPr>
            <w:tcW w:w="1460" w:type="pct"/>
          </w:tcPr>
          <w:p w14:paraId="13414AA6" w14:textId="77777777" w:rsidR="008B5CC1" w:rsidRPr="00D6313C" w:rsidRDefault="008B5CC1" w:rsidP="00D6313C">
            <w:pPr>
              <w:rPr>
                <w:b/>
                <w:i/>
              </w:rPr>
            </w:pPr>
            <w:r w:rsidRPr="00D6313C">
              <w:rPr>
                <w:b/>
                <w:i/>
              </w:rPr>
              <w:t>Issue or recommendation</w:t>
            </w:r>
          </w:p>
        </w:tc>
        <w:tc>
          <w:tcPr>
            <w:tcW w:w="406" w:type="pct"/>
          </w:tcPr>
          <w:p w14:paraId="4AD96D9D" w14:textId="77777777" w:rsidR="008B5CC1" w:rsidRPr="00D6313C" w:rsidRDefault="008B5CC1" w:rsidP="00D6313C">
            <w:pPr>
              <w:rPr>
                <w:b/>
                <w:i/>
              </w:rPr>
            </w:pPr>
            <w:r w:rsidRPr="00D6313C">
              <w:rPr>
                <w:b/>
                <w:i/>
              </w:rPr>
              <w:t>Raised by / Date</w:t>
            </w:r>
          </w:p>
        </w:tc>
        <w:tc>
          <w:tcPr>
            <w:tcW w:w="1555" w:type="pct"/>
          </w:tcPr>
          <w:p w14:paraId="124EF96D" w14:textId="77777777" w:rsidR="008B5CC1" w:rsidRPr="00D6313C" w:rsidRDefault="008B5CC1" w:rsidP="00D6313C">
            <w:pPr>
              <w:rPr>
                <w:b/>
                <w:i/>
              </w:rPr>
            </w:pPr>
            <w:r w:rsidRPr="00D6313C">
              <w:rPr>
                <w:b/>
                <w:i/>
              </w:rPr>
              <w:t>Response or Action taken by applicant</w:t>
            </w:r>
          </w:p>
        </w:tc>
        <w:tc>
          <w:tcPr>
            <w:tcW w:w="435" w:type="pct"/>
          </w:tcPr>
          <w:p w14:paraId="7AC398D2" w14:textId="77777777" w:rsidR="008B5CC1" w:rsidRPr="00D6313C" w:rsidRDefault="008B5CC1" w:rsidP="00D6313C">
            <w:pPr>
              <w:rPr>
                <w:b/>
                <w:i/>
              </w:rPr>
            </w:pPr>
            <w:r w:rsidRPr="00D6313C">
              <w:rPr>
                <w:b/>
                <w:i/>
              </w:rPr>
              <w:t>Response date</w:t>
            </w:r>
          </w:p>
        </w:tc>
        <w:tc>
          <w:tcPr>
            <w:tcW w:w="410" w:type="pct"/>
          </w:tcPr>
          <w:p w14:paraId="3CCAA268" w14:textId="77777777" w:rsidR="008B5CC1" w:rsidRPr="00D6313C" w:rsidRDefault="008B5CC1" w:rsidP="00D6313C">
            <w:pPr>
              <w:rPr>
                <w:b/>
                <w:i/>
              </w:rPr>
            </w:pPr>
            <w:r w:rsidRPr="00D6313C">
              <w:rPr>
                <w:b/>
                <w:i/>
              </w:rPr>
              <w:t>Resolved</w:t>
            </w:r>
          </w:p>
        </w:tc>
        <w:tc>
          <w:tcPr>
            <w:tcW w:w="436" w:type="pct"/>
          </w:tcPr>
          <w:p w14:paraId="44C53BD5" w14:textId="77777777" w:rsidR="008B5CC1" w:rsidRPr="00D6313C" w:rsidRDefault="008B5CC1" w:rsidP="00D6313C">
            <w:pPr>
              <w:rPr>
                <w:b/>
                <w:i/>
              </w:rPr>
            </w:pPr>
            <w:r w:rsidRPr="00D6313C">
              <w:rPr>
                <w:b/>
                <w:i/>
              </w:rPr>
              <w:t>Sign off by / Date</w:t>
            </w:r>
          </w:p>
        </w:tc>
      </w:tr>
      <w:tr w:rsidR="008B5CC1" w:rsidRPr="00D6313C" w14:paraId="08F07113" w14:textId="77777777" w:rsidTr="0092758C">
        <w:tc>
          <w:tcPr>
            <w:tcW w:w="298" w:type="pct"/>
          </w:tcPr>
          <w:p w14:paraId="421AA1D5" w14:textId="77777777" w:rsidR="008B5CC1" w:rsidRPr="00D6313C" w:rsidRDefault="008B5CC1" w:rsidP="00D6313C">
            <w:r w:rsidRPr="00D6313C">
              <w:t>4a</w:t>
            </w:r>
          </w:p>
        </w:tc>
        <w:tc>
          <w:tcPr>
            <w:tcW w:w="1460" w:type="pct"/>
          </w:tcPr>
          <w:p w14:paraId="12BF3E66" w14:textId="77777777" w:rsidR="008B5CC1" w:rsidRPr="00D6313C" w:rsidRDefault="008B5CC1" w:rsidP="00D6313C">
            <w:r w:rsidRPr="00D6313C">
              <w:t xml:space="preserve">MRG requested that more information be provided regarding the choice to not risk adjust by addressing other factors such as deprivation and </w:t>
            </w:r>
            <w:proofErr w:type="gramStart"/>
            <w:r w:rsidRPr="00D6313C">
              <w:t>ethnicity, and</w:t>
            </w:r>
            <w:proofErr w:type="gramEnd"/>
            <w:r w:rsidRPr="00D6313C">
              <w:t xml:space="preserve"> justifying why adjustment is not appropriate or not done.</w:t>
            </w:r>
          </w:p>
        </w:tc>
        <w:tc>
          <w:tcPr>
            <w:tcW w:w="406" w:type="pct"/>
          </w:tcPr>
          <w:p w14:paraId="4DC9969C" w14:textId="77777777" w:rsidR="008B5CC1" w:rsidRPr="00D6313C" w:rsidRDefault="008B5CC1" w:rsidP="00D6313C">
            <w:r w:rsidRPr="00D6313C">
              <w:t>MRG</w:t>
            </w:r>
          </w:p>
          <w:p w14:paraId="49A3CA6B" w14:textId="77777777" w:rsidR="008B5CC1" w:rsidRPr="00D6313C" w:rsidRDefault="008B5CC1" w:rsidP="00D6313C">
            <w:r w:rsidRPr="00D6313C">
              <w:t>18/10/16</w:t>
            </w:r>
          </w:p>
        </w:tc>
        <w:tc>
          <w:tcPr>
            <w:tcW w:w="1555" w:type="pct"/>
          </w:tcPr>
          <w:p w14:paraId="2B994C5B" w14:textId="77777777" w:rsidR="008B5CC1" w:rsidRPr="00D6313C" w:rsidRDefault="008B5CC1" w:rsidP="00D6313C">
            <w:r w:rsidRPr="00D6313C">
              <w:t xml:space="preserve">Text added to section 4.5 in tracked changes.  On reflection risk adjustment is not possible as data is collected at aggregated CCG level and not </w:t>
            </w:r>
            <w:proofErr w:type="spellStart"/>
            <w:r w:rsidRPr="00D6313C">
              <w:t>indiviudaly</w:t>
            </w:r>
            <w:proofErr w:type="spellEnd"/>
            <w:r w:rsidRPr="00D6313C">
              <w:t xml:space="preserve"> level.</w:t>
            </w:r>
          </w:p>
        </w:tc>
        <w:tc>
          <w:tcPr>
            <w:tcW w:w="435" w:type="pct"/>
          </w:tcPr>
          <w:p w14:paraId="3312FE99" w14:textId="77777777" w:rsidR="008B5CC1" w:rsidRPr="00D6313C" w:rsidRDefault="008B5CC1" w:rsidP="00D6313C">
            <w:r w:rsidRPr="00D6313C">
              <w:t>10/11/16</w:t>
            </w:r>
          </w:p>
        </w:tc>
        <w:sdt>
          <w:sdtPr>
            <w:id w:val="-83388565"/>
            <w14:checkbox>
              <w14:checked w14:val="1"/>
              <w14:checkedState w14:val="2612" w14:font="MS Gothic"/>
              <w14:uncheckedState w14:val="2610" w14:font="MS Gothic"/>
            </w14:checkbox>
          </w:sdtPr>
          <w:sdtEndPr/>
          <w:sdtContent>
            <w:tc>
              <w:tcPr>
                <w:tcW w:w="410" w:type="pct"/>
              </w:tcPr>
              <w:p w14:paraId="7ABE0E9E"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6843B7D6" w14:textId="77777777" w:rsidR="008B5CC1" w:rsidRPr="00D6313C" w:rsidRDefault="008B5CC1" w:rsidP="00D6313C">
            <w:r w:rsidRPr="00D6313C">
              <w:t>MRG Chair – 28/11/16</w:t>
            </w:r>
          </w:p>
        </w:tc>
      </w:tr>
    </w:tbl>
    <w:p w14:paraId="0B2EA1B3" w14:textId="700D6874" w:rsidR="008B5CC1" w:rsidRDefault="008B5CC1" w:rsidP="00D6313C"/>
    <w:p w14:paraId="4D6D1896" w14:textId="05E9D86F" w:rsidR="0092758C" w:rsidRPr="00D6313C" w:rsidRDefault="0092758C" w:rsidP="00D6313C">
      <w:r w:rsidRPr="00D6313C">
        <w:rPr>
          <w:b/>
          <w:sz w:val="28"/>
          <w:szCs w:val="28"/>
        </w:rPr>
        <w:t>Presentation and Interpretation</w:t>
      </w:r>
    </w:p>
    <w:tbl>
      <w:tblPr>
        <w:tblStyle w:val="TableGrid1"/>
        <w:tblW w:w="5000" w:type="pct"/>
        <w:tblLook w:val="04A0" w:firstRow="1" w:lastRow="0" w:firstColumn="1" w:lastColumn="0" w:noHBand="0" w:noVBand="1"/>
      </w:tblPr>
      <w:tblGrid>
        <w:gridCol w:w="867"/>
        <w:gridCol w:w="4254"/>
        <w:gridCol w:w="1183"/>
        <w:gridCol w:w="4531"/>
        <w:gridCol w:w="1268"/>
        <w:gridCol w:w="1195"/>
        <w:gridCol w:w="1270"/>
      </w:tblGrid>
      <w:tr w:rsidR="00D6313C" w:rsidRPr="00D6313C" w14:paraId="047C2812" w14:textId="77777777" w:rsidTr="0092758C">
        <w:tc>
          <w:tcPr>
            <w:tcW w:w="298" w:type="pct"/>
          </w:tcPr>
          <w:p w14:paraId="5AF3C900" w14:textId="77777777" w:rsidR="008B5CC1" w:rsidRPr="00D6313C" w:rsidRDefault="008B5CC1" w:rsidP="00D6313C">
            <w:pPr>
              <w:rPr>
                <w:b/>
                <w:i/>
              </w:rPr>
            </w:pPr>
            <w:r w:rsidRPr="00D6313C">
              <w:rPr>
                <w:b/>
                <w:i/>
              </w:rPr>
              <w:t>Rec. no</w:t>
            </w:r>
          </w:p>
        </w:tc>
        <w:tc>
          <w:tcPr>
            <w:tcW w:w="1460" w:type="pct"/>
          </w:tcPr>
          <w:p w14:paraId="5572EFD9" w14:textId="77777777" w:rsidR="008B5CC1" w:rsidRPr="00D6313C" w:rsidRDefault="008B5CC1" w:rsidP="00D6313C">
            <w:pPr>
              <w:rPr>
                <w:b/>
                <w:i/>
              </w:rPr>
            </w:pPr>
            <w:r w:rsidRPr="00D6313C">
              <w:rPr>
                <w:b/>
                <w:i/>
              </w:rPr>
              <w:t>Issue or recommendation</w:t>
            </w:r>
          </w:p>
        </w:tc>
        <w:tc>
          <w:tcPr>
            <w:tcW w:w="406" w:type="pct"/>
          </w:tcPr>
          <w:p w14:paraId="3568326C" w14:textId="77777777" w:rsidR="008B5CC1" w:rsidRPr="00D6313C" w:rsidRDefault="008B5CC1" w:rsidP="00D6313C">
            <w:pPr>
              <w:rPr>
                <w:b/>
                <w:i/>
              </w:rPr>
            </w:pPr>
            <w:r w:rsidRPr="00D6313C">
              <w:rPr>
                <w:b/>
                <w:i/>
              </w:rPr>
              <w:t>Raised by / Date</w:t>
            </w:r>
          </w:p>
        </w:tc>
        <w:tc>
          <w:tcPr>
            <w:tcW w:w="1555" w:type="pct"/>
          </w:tcPr>
          <w:p w14:paraId="796323DC" w14:textId="77777777" w:rsidR="008B5CC1" w:rsidRPr="00D6313C" w:rsidRDefault="008B5CC1" w:rsidP="00D6313C">
            <w:pPr>
              <w:rPr>
                <w:b/>
                <w:i/>
              </w:rPr>
            </w:pPr>
            <w:r w:rsidRPr="00D6313C">
              <w:rPr>
                <w:b/>
                <w:i/>
              </w:rPr>
              <w:t>Response or Action taken by applicant</w:t>
            </w:r>
          </w:p>
        </w:tc>
        <w:tc>
          <w:tcPr>
            <w:tcW w:w="435" w:type="pct"/>
          </w:tcPr>
          <w:p w14:paraId="6B63ABD3" w14:textId="77777777" w:rsidR="008B5CC1" w:rsidRPr="00D6313C" w:rsidRDefault="008B5CC1" w:rsidP="00D6313C">
            <w:pPr>
              <w:rPr>
                <w:b/>
                <w:i/>
              </w:rPr>
            </w:pPr>
            <w:r w:rsidRPr="00D6313C">
              <w:rPr>
                <w:b/>
                <w:i/>
              </w:rPr>
              <w:t>Response date</w:t>
            </w:r>
          </w:p>
        </w:tc>
        <w:tc>
          <w:tcPr>
            <w:tcW w:w="410" w:type="pct"/>
          </w:tcPr>
          <w:p w14:paraId="69C3B60F" w14:textId="77777777" w:rsidR="008B5CC1" w:rsidRPr="00D6313C" w:rsidRDefault="008B5CC1" w:rsidP="00D6313C">
            <w:pPr>
              <w:rPr>
                <w:b/>
                <w:i/>
              </w:rPr>
            </w:pPr>
            <w:r w:rsidRPr="00D6313C">
              <w:rPr>
                <w:b/>
                <w:i/>
              </w:rPr>
              <w:t>Resolved</w:t>
            </w:r>
          </w:p>
        </w:tc>
        <w:tc>
          <w:tcPr>
            <w:tcW w:w="436" w:type="pct"/>
          </w:tcPr>
          <w:p w14:paraId="142C59C2" w14:textId="77777777" w:rsidR="008B5CC1" w:rsidRPr="00D6313C" w:rsidRDefault="008B5CC1" w:rsidP="00D6313C">
            <w:pPr>
              <w:rPr>
                <w:b/>
                <w:i/>
              </w:rPr>
            </w:pPr>
            <w:r w:rsidRPr="00D6313C">
              <w:rPr>
                <w:b/>
                <w:i/>
              </w:rPr>
              <w:t>Sign off by / Date</w:t>
            </w:r>
          </w:p>
        </w:tc>
      </w:tr>
      <w:tr w:rsidR="00D6313C" w:rsidRPr="00D6313C" w14:paraId="3707DF1C" w14:textId="77777777" w:rsidTr="0092758C">
        <w:tc>
          <w:tcPr>
            <w:tcW w:w="298" w:type="pct"/>
          </w:tcPr>
          <w:p w14:paraId="2A19DDAF" w14:textId="77777777" w:rsidR="008B5CC1" w:rsidRPr="00D6313C" w:rsidRDefault="008B5CC1" w:rsidP="00D6313C">
            <w:r w:rsidRPr="00D6313C">
              <w:t>5a</w:t>
            </w:r>
          </w:p>
        </w:tc>
        <w:tc>
          <w:tcPr>
            <w:tcW w:w="1460" w:type="pct"/>
          </w:tcPr>
          <w:p w14:paraId="3D5A3D52" w14:textId="77777777" w:rsidR="008B5CC1" w:rsidRPr="00D6313C" w:rsidRDefault="008B5CC1" w:rsidP="00D6313C">
            <w:r w:rsidRPr="00D6313C">
              <w:t xml:space="preserve"> Please can the applicants provide further information and interpretation guidelines regarding the fact that smoking status is self-reported, and that there may well be a social gradient with regards to giving the “right” answer.</w:t>
            </w:r>
          </w:p>
        </w:tc>
        <w:tc>
          <w:tcPr>
            <w:tcW w:w="406" w:type="pct"/>
          </w:tcPr>
          <w:p w14:paraId="49EF35D9" w14:textId="77777777" w:rsidR="008B5CC1" w:rsidRPr="00D6313C" w:rsidRDefault="008B5CC1" w:rsidP="00D6313C">
            <w:r w:rsidRPr="00D6313C">
              <w:t>MRG</w:t>
            </w:r>
          </w:p>
          <w:p w14:paraId="78F1B579" w14:textId="77777777" w:rsidR="008B5CC1" w:rsidRPr="00D6313C" w:rsidRDefault="008B5CC1" w:rsidP="00D6313C">
            <w:r w:rsidRPr="00D6313C">
              <w:t>18/10/16</w:t>
            </w:r>
          </w:p>
        </w:tc>
        <w:tc>
          <w:tcPr>
            <w:tcW w:w="1555" w:type="pct"/>
          </w:tcPr>
          <w:p w14:paraId="6BCBD585" w14:textId="77777777" w:rsidR="008B5CC1" w:rsidRPr="00D6313C" w:rsidRDefault="008B5CC1" w:rsidP="00D6313C">
            <w:r w:rsidRPr="00D6313C">
              <w:t>This issue does not fully capture the discussion at the meeting.  The statement about a “social gradient” was stated by a group member as if it were a statement of fact.  As explained at the meeting however there is no evidence to support there is or isn’t a social gradient.  Text has been added to section 5.7 to this effect and also to point out that if satisficing is similar across CCGs then the effect on which CCGs have the highest and lowest indicator values will be minimal.</w:t>
            </w:r>
          </w:p>
        </w:tc>
        <w:tc>
          <w:tcPr>
            <w:tcW w:w="435" w:type="pct"/>
          </w:tcPr>
          <w:p w14:paraId="05CB452F" w14:textId="77777777" w:rsidR="008B5CC1" w:rsidRPr="00D6313C" w:rsidRDefault="008B5CC1" w:rsidP="00D6313C">
            <w:r w:rsidRPr="00D6313C">
              <w:t>10/11/16</w:t>
            </w:r>
          </w:p>
        </w:tc>
        <w:sdt>
          <w:sdtPr>
            <w:id w:val="855080499"/>
            <w14:checkbox>
              <w14:checked w14:val="1"/>
              <w14:checkedState w14:val="2612" w14:font="MS Gothic"/>
              <w14:uncheckedState w14:val="2610" w14:font="MS Gothic"/>
            </w14:checkbox>
          </w:sdtPr>
          <w:sdtEndPr/>
          <w:sdtContent>
            <w:tc>
              <w:tcPr>
                <w:tcW w:w="410" w:type="pct"/>
              </w:tcPr>
              <w:p w14:paraId="6229C4E9"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7773F841" w14:textId="77777777" w:rsidR="008B5CC1" w:rsidRPr="00D6313C" w:rsidRDefault="008B5CC1" w:rsidP="00D6313C">
            <w:r w:rsidRPr="00D6313C">
              <w:t>MRG Chair – 28/11/16</w:t>
            </w:r>
          </w:p>
        </w:tc>
      </w:tr>
      <w:tr w:rsidR="00D6313C" w:rsidRPr="00D6313C" w14:paraId="4077A459" w14:textId="77777777" w:rsidTr="0092758C">
        <w:tc>
          <w:tcPr>
            <w:tcW w:w="298" w:type="pct"/>
          </w:tcPr>
          <w:p w14:paraId="4406F4A3" w14:textId="77777777" w:rsidR="008B5CC1" w:rsidRPr="00D6313C" w:rsidRDefault="008B5CC1" w:rsidP="00D6313C">
            <w:r w:rsidRPr="00D6313C">
              <w:t>5b</w:t>
            </w:r>
          </w:p>
        </w:tc>
        <w:tc>
          <w:tcPr>
            <w:tcW w:w="1460" w:type="pct"/>
          </w:tcPr>
          <w:p w14:paraId="59E3E548" w14:textId="77777777" w:rsidR="008B5CC1" w:rsidRPr="00D6313C" w:rsidDel="00140777" w:rsidRDefault="008B5CC1" w:rsidP="00D6313C">
            <w:r w:rsidRPr="00D6313C">
              <w:t>Please could applicants include in the paperwork the discussion had during the MRG meeting regarding how the 11% target relates to the new methodology and that this target is met using both the old and the new methodology.</w:t>
            </w:r>
          </w:p>
        </w:tc>
        <w:tc>
          <w:tcPr>
            <w:tcW w:w="406" w:type="pct"/>
          </w:tcPr>
          <w:p w14:paraId="16DFF3B8" w14:textId="77777777" w:rsidR="008B5CC1" w:rsidRPr="00D6313C" w:rsidRDefault="008B5CC1" w:rsidP="00D6313C">
            <w:r w:rsidRPr="00D6313C">
              <w:t>MRG</w:t>
            </w:r>
          </w:p>
          <w:p w14:paraId="28959749" w14:textId="77777777" w:rsidR="008B5CC1" w:rsidRPr="00D6313C" w:rsidRDefault="008B5CC1" w:rsidP="00D6313C">
            <w:r w:rsidRPr="00D6313C">
              <w:t>18/10/16</w:t>
            </w:r>
          </w:p>
        </w:tc>
        <w:tc>
          <w:tcPr>
            <w:tcW w:w="1555" w:type="pct"/>
          </w:tcPr>
          <w:p w14:paraId="0DD9A344" w14:textId="77777777" w:rsidR="008B5CC1" w:rsidRPr="00D6313C" w:rsidRDefault="008B5CC1" w:rsidP="00D6313C">
            <w:r w:rsidRPr="00D6313C">
              <w:t>Text added to section 5.1 in tracked changes</w:t>
            </w:r>
          </w:p>
        </w:tc>
        <w:tc>
          <w:tcPr>
            <w:tcW w:w="435" w:type="pct"/>
          </w:tcPr>
          <w:p w14:paraId="71590FB6" w14:textId="77777777" w:rsidR="008B5CC1" w:rsidRPr="00D6313C" w:rsidRDefault="008B5CC1" w:rsidP="00D6313C">
            <w:r w:rsidRPr="00D6313C">
              <w:t>10/11/16</w:t>
            </w:r>
          </w:p>
        </w:tc>
        <w:sdt>
          <w:sdtPr>
            <w:id w:val="-1949384065"/>
            <w14:checkbox>
              <w14:checked w14:val="1"/>
              <w14:checkedState w14:val="2612" w14:font="MS Gothic"/>
              <w14:uncheckedState w14:val="2610" w14:font="MS Gothic"/>
            </w14:checkbox>
          </w:sdtPr>
          <w:sdtEndPr/>
          <w:sdtContent>
            <w:tc>
              <w:tcPr>
                <w:tcW w:w="410" w:type="pct"/>
              </w:tcPr>
              <w:p w14:paraId="00BCB92D"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631890CB" w14:textId="77777777" w:rsidR="008B5CC1" w:rsidRPr="00D6313C" w:rsidRDefault="008B5CC1" w:rsidP="00D6313C">
            <w:r w:rsidRPr="00D6313C">
              <w:t>MRG Chair – 28/11/16</w:t>
            </w:r>
          </w:p>
        </w:tc>
      </w:tr>
      <w:tr w:rsidR="00D6313C" w:rsidRPr="00D6313C" w14:paraId="54EF1FA4" w14:textId="77777777" w:rsidTr="0092758C">
        <w:tc>
          <w:tcPr>
            <w:tcW w:w="298" w:type="pct"/>
          </w:tcPr>
          <w:p w14:paraId="48E8BF27" w14:textId="77777777" w:rsidR="008B5CC1" w:rsidRPr="00D6313C" w:rsidRDefault="008B5CC1" w:rsidP="00D6313C">
            <w:r w:rsidRPr="00D6313C">
              <w:lastRenderedPageBreak/>
              <w:t>5c</w:t>
            </w:r>
          </w:p>
        </w:tc>
        <w:tc>
          <w:tcPr>
            <w:tcW w:w="1460" w:type="pct"/>
          </w:tcPr>
          <w:p w14:paraId="23FA0653" w14:textId="77777777" w:rsidR="008B5CC1" w:rsidRPr="00D6313C" w:rsidRDefault="008B5CC1" w:rsidP="00D6313C">
            <w:r w:rsidRPr="00D6313C">
              <w:t>Please can the applicant provide a link to where users will be able to analyse historical data using the new methodology.</w:t>
            </w:r>
          </w:p>
        </w:tc>
        <w:tc>
          <w:tcPr>
            <w:tcW w:w="406" w:type="pct"/>
          </w:tcPr>
          <w:p w14:paraId="49D158BF" w14:textId="77777777" w:rsidR="008B5CC1" w:rsidRPr="00D6313C" w:rsidRDefault="008B5CC1" w:rsidP="00D6313C">
            <w:r w:rsidRPr="00D6313C">
              <w:t>MRG</w:t>
            </w:r>
          </w:p>
          <w:p w14:paraId="7F4672DF" w14:textId="77777777" w:rsidR="008B5CC1" w:rsidRPr="00D6313C" w:rsidRDefault="008B5CC1" w:rsidP="00D6313C">
            <w:r w:rsidRPr="00D6313C">
              <w:t>18/10/16</w:t>
            </w:r>
          </w:p>
        </w:tc>
        <w:tc>
          <w:tcPr>
            <w:tcW w:w="1555" w:type="pct"/>
          </w:tcPr>
          <w:p w14:paraId="4CB1CCE6" w14:textId="77777777" w:rsidR="008B5CC1" w:rsidRPr="00D6313C" w:rsidRDefault="008B5CC1" w:rsidP="00D6313C">
            <w:r w:rsidRPr="00D6313C">
              <w:t>Text added to section 5.1 in tracked changes</w:t>
            </w:r>
          </w:p>
        </w:tc>
        <w:tc>
          <w:tcPr>
            <w:tcW w:w="435" w:type="pct"/>
          </w:tcPr>
          <w:p w14:paraId="5C0E5F02" w14:textId="77777777" w:rsidR="008B5CC1" w:rsidRPr="00D6313C" w:rsidRDefault="008B5CC1" w:rsidP="00D6313C">
            <w:r w:rsidRPr="00D6313C">
              <w:t>10/11/16</w:t>
            </w:r>
          </w:p>
        </w:tc>
        <w:sdt>
          <w:sdtPr>
            <w:id w:val="-140961292"/>
            <w14:checkbox>
              <w14:checked w14:val="1"/>
              <w14:checkedState w14:val="2612" w14:font="MS Gothic"/>
              <w14:uncheckedState w14:val="2610" w14:font="MS Gothic"/>
            </w14:checkbox>
          </w:sdtPr>
          <w:sdtEndPr/>
          <w:sdtContent>
            <w:tc>
              <w:tcPr>
                <w:tcW w:w="410" w:type="pct"/>
              </w:tcPr>
              <w:p w14:paraId="2E5FA632"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2677972B" w14:textId="77777777" w:rsidR="008B5CC1" w:rsidRPr="00D6313C" w:rsidRDefault="008B5CC1" w:rsidP="00D6313C">
            <w:r w:rsidRPr="00D6313C">
              <w:t>MRG Chair – 28/11/16</w:t>
            </w:r>
          </w:p>
        </w:tc>
      </w:tr>
      <w:tr w:rsidR="00D6313C" w:rsidRPr="00D6313C" w14:paraId="25A04D8B" w14:textId="77777777" w:rsidTr="0092758C">
        <w:tc>
          <w:tcPr>
            <w:tcW w:w="298" w:type="pct"/>
          </w:tcPr>
          <w:p w14:paraId="749DBA4E" w14:textId="77777777" w:rsidR="008B5CC1" w:rsidRPr="00D6313C" w:rsidRDefault="008B5CC1" w:rsidP="00D6313C">
            <w:r w:rsidRPr="00D6313C">
              <w:t>5d</w:t>
            </w:r>
          </w:p>
        </w:tc>
        <w:tc>
          <w:tcPr>
            <w:tcW w:w="1460" w:type="pct"/>
          </w:tcPr>
          <w:p w14:paraId="62013978" w14:textId="77777777" w:rsidR="008B5CC1" w:rsidRPr="00D6313C" w:rsidRDefault="008B5CC1" w:rsidP="00D6313C">
            <w:r w:rsidRPr="00D6313C">
              <w:t>Please can section 5.3 be updated to accurately reflect which data source is being used.</w:t>
            </w:r>
          </w:p>
        </w:tc>
        <w:tc>
          <w:tcPr>
            <w:tcW w:w="406" w:type="pct"/>
          </w:tcPr>
          <w:p w14:paraId="6406A99A" w14:textId="77777777" w:rsidR="008B5CC1" w:rsidRPr="00D6313C" w:rsidRDefault="008B5CC1" w:rsidP="00D6313C">
            <w:r w:rsidRPr="00D6313C">
              <w:t>MRG</w:t>
            </w:r>
          </w:p>
          <w:p w14:paraId="6EA56032" w14:textId="77777777" w:rsidR="008B5CC1" w:rsidRPr="00D6313C" w:rsidRDefault="008B5CC1" w:rsidP="00D6313C">
            <w:r w:rsidRPr="00D6313C">
              <w:t>18/10/16</w:t>
            </w:r>
          </w:p>
        </w:tc>
        <w:tc>
          <w:tcPr>
            <w:tcW w:w="1555" w:type="pct"/>
          </w:tcPr>
          <w:p w14:paraId="5968438A" w14:textId="77777777" w:rsidR="008B5CC1" w:rsidRPr="00D6313C" w:rsidRDefault="008B5CC1" w:rsidP="00D6313C">
            <w:r w:rsidRPr="00D6313C">
              <w:t>Text added to section 5.3 in tracked changes</w:t>
            </w:r>
          </w:p>
        </w:tc>
        <w:tc>
          <w:tcPr>
            <w:tcW w:w="435" w:type="pct"/>
          </w:tcPr>
          <w:p w14:paraId="0FF3FC32" w14:textId="77777777" w:rsidR="008B5CC1" w:rsidRPr="00D6313C" w:rsidRDefault="008B5CC1" w:rsidP="00D6313C">
            <w:r w:rsidRPr="00D6313C">
              <w:t>10/11/16</w:t>
            </w:r>
          </w:p>
        </w:tc>
        <w:sdt>
          <w:sdtPr>
            <w:id w:val="-585462960"/>
            <w14:checkbox>
              <w14:checked w14:val="1"/>
              <w14:checkedState w14:val="2612" w14:font="MS Gothic"/>
              <w14:uncheckedState w14:val="2610" w14:font="MS Gothic"/>
            </w14:checkbox>
          </w:sdtPr>
          <w:sdtEndPr/>
          <w:sdtContent>
            <w:tc>
              <w:tcPr>
                <w:tcW w:w="410" w:type="pct"/>
              </w:tcPr>
              <w:p w14:paraId="1E1ED5B2"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1FF8C4BD" w14:textId="77777777" w:rsidR="008B5CC1" w:rsidRPr="00D6313C" w:rsidRDefault="008B5CC1" w:rsidP="00D6313C">
            <w:r w:rsidRPr="00D6313C">
              <w:t>MRG Chair – 28/11/16</w:t>
            </w:r>
          </w:p>
        </w:tc>
      </w:tr>
      <w:tr w:rsidR="00D6313C" w:rsidRPr="00D6313C" w14:paraId="5C005F0C" w14:textId="77777777" w:rsidTr="0092758C">
        <w:tc>
          <w:tcPr>
            <w:tcW w:w="298" w:type="pct"/>
          </w:tcPr>
          <w:p w14:paraId="11CBA0E5" w14:textId="77777777" w:rsidR="008B5CC1" w:rsidRPr="00D6313C" w:rsidRDefault="008B5CC1" w:rsidP="00D6313C">
            <w:r w:rsidRPr="00D6313C">
              <w:t>5e</w:t>
            </w:r>
          </w:p>
        </w:tc>
        <w:tc>
          <w:tcPr>
            <w:tcW w:w="1460" w:type="pct"/>
          </w:tcPr>
          <w:p w14:paraId="4BE82B09" w14:textId="77777777" w:rsidR="008B5CC1" w:rsidRPr="00D6313C" w:rsidRDefault="008B5CC1" w:rsidP="00D6313C">
            <w:r w:rsidRPr="00D6313C">
              <w:t>In section 5.6, could the applicant be clearer with regards to what “low” means in the context of this indicator.</w:t>
            </w:r>
          </w:p>
        </w:tc>
        <w:tc>
          <w:tcPr>
            <w:tcW w:w="406" w:type="pct"/>
          </w:tcPr>
          <w:p w14:paraId="24C7DACD" w14:textId="77777777" w:rsidR="008B5CC1" w:rsidRPr="00D6313C" w:rsidRDefault="008B5CC1" w:rsidP="00D6313C">
            <w:r w:rsidRPr="00D6313C">
              <w:t>MRG</w:t>
            </w:r>
          </w:p>
          <w:p w14:paraId="2221BED8" w14:textId="77777777" w:rsidR="008B5CC1" w:rsidRPr="00D6313C" w:rsidRDefault="008B5CC1" w:rsidP="00D6313C">
            <w:r w:rsidRPr="00D6313C">
              <w:t>18/10/16</w:t>
            </w:r>
          </w:p>
        </w:tc>
        <w:tc>
          <w:tcPr>
            <w:tcW w:w="1555" w:type="pct"/>
          </w:tcPr>
          <w:p w14:paraId="03A32C2E" w14:textId="77777777" w:rsidR="008B5CC1" w:rsidRPr="00D6313C" w:rsidRDefault="008B5CC1" w:rsidP="00D6313C">
            <w:r w:rsidRPr="00D6313C">
              <w:t>Text added to section 5.6 in tracked changes</w:t>
            </w:r>
          </w:p>
        </w:tc>
        <w:tc>
          <w:tcPr>
            <w:tcW w:w="435" w:type="pct"/>
          </w:tcPr>
          <w:p w14:paraId="25E28DAB" w14:textId="77777777" w:rsidR="008B5CC1" w:rsidRPr="00D6313C" w:rsidRDefault="008B5CC1" w:rsidP="00D6313C">
            <w:r w:rsidRPr="00D6313C">
              <w:t>10/11/16</w:t>
            </w:r>
          </w:p>
        </w:tc>
        <w:sdt>
          <w:sdtPr>
            <w:id w:val="979963508"/>
            <w14:checkbox>
              <w14:checked w14:val="1"/>
              <w14:checkedState w14:val="2612" w14:font="MS Gothic"/>
              <w14:uncheckedState w14:val="2610" w14:font="MS Gothic"/>
            </w14:checkbox>
          </w:sdtPr>
          <w:sdtEndPr/>
          <w:sdtContent>
            <w:tc>
              <w:tcPr>
                <w:tcW w:w="410" w:type="pct"/>
              </w:tcPr>
              <w:p w14:paraId="7F61B25B"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62045A12" w14:textId="77777777" w:rsidR="008B5CC1" w:rsidRPr="00D6313C" w:rsidRDefault="008B5CC1" w:rsidP="00D6313C">
            <w:r w:rsidRPr="00D6313C">
              <w:t>MRG Chair – 28/11/16</w:t>
            </w:r>
          </w:p>
        </w:tc>
      </w:tr>
      <w:tr w:rsidR="008B5CC1" w:rsidRPr="00D6313C" w14:paraId="6189A151" w14:textId="77777777" w:rsidTr="0092758C">
        <w:tc>
          <w:tcPr>
            <w:tcW w:w="298" w:type="pct"/>
          </w:tcPr>
          <w:p w14:paraId="154B2887" w14:textId="77777777" w:rsidR="008B5CC1" w:rsidRPr="00D6313C" w:rsidRDefault="008B5CC1" w:rsidP="00D6313C">
            <w:r w:rsidRPr="00D6313C">
              <w:t>5f</w:t>
            </w:r>
          </w:p>
        </w:tc>
        <w:tc>
          <w:tcPr>
            <w:tcW w:w="1460" w:type="pct"/>
          </w:tcPr>
          <w:p w14:paraId="7F5E7C5C" w14:textId="77777777" w:rsidR="008B5CC1" w:rsidRPr="00D6313C" w:rsidRDefault="008B5CC1" w:rsidP="00D6313C">
            <w:r w:rsidRPr="00D6313C">
              <w:t>Please can the application form make note of the limitation that this indicator does not take into consideration the length of time the patient has been a smoker, or the frequency at which they smoke.</w:t>
            </w:r>
          </w:p>
        </w:tc>
        <w:tc>
          <w:tcPr>
            <w:tcW w:w="406" w:type="pct"/>
          </w:tcPr>
          <w:p w14:paraId="66D5D3E6" w14:textId="77777777" w:rsidR="008B5CC1" w:rsidRPr="00D6313C" w:rsidRDefault="008B5CC1" w:rsidP="00D6313C">
            <w:r w:rsidRPr="00D6313C">
              <w:t>MRG</w:t>
            </w:r>
          </w:p>
          <w:p w14:paraId="342F0FC6" w14:textId="77777777" w:rsidR="008B5CC1" w:rsidRPr="00D6313C" w:rsidRDefault="008B5CC1" w:rsidP="00D6313C">
            <w:r w:rsidRPr="00D6313C">
              <w:t>18/10/16</w:t>
            </w:r>
          </w:p>
        </w:tc>
        <w:tc>
          <w:tcPr>
            <w:tcW w:w="1555" w:type="pct"/>
          </w:tcPr>
          <w:p w14:paraId="0C7CE404" w14:textId="77777777" w:rsidR="008B5CC1" w:rsidRPr="00D6313C" w:rsidRDefault="008B5CC1" w:rsidP="00D6313C">
            <w:r w:rsidRPr="00D6313C">
              <w:t>Text added to section 5.10 in tracked changes</w:t>
            </w:r>
          </w:p>
        </w:tc>
        <w:tc>
          <w:tcPr>
            <w:tcW w:w="435" w:type="pct"/>
          </w:tcPr>
          <w:p w14:paraId="2E443310" w14:textId="77777777" w:rsidR="008B5CC1" w:rsidRPr="00D6313C" w:rsidRDefault="008B5CC1" w:rsidP="00D6313C">
            <w:r w:rsidRPr="00D6313C">
              <w:t>10/11/16</w:t>
            </w:r>
          </w:p>
        </w:tc>
        <w:sdt>
          <w:sdtPr>
            <w:id w:val="-2091836505"/>
            <w14:checkbox>
              <w14:checked w14:val="1"/>
              <w14:checkedState w14:val="2612" w14:font="MS Gothic"/>
              <w14:uncheckedState w14:val="2610" w14:font="MS Gothic"/>
            </w14:checkbox>
          </w:sdtPr>
          <w:sdtEndPr/>
          <w:sdtContent>
            <w:tc>
              <w:tcPr>
                <w:tcW w:w="410" w:type="pct"/>
              </w:tcPr>
              <w:p w14:paraId="0967BCD7"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6BC43747" w14:textId="77777777" w:rsidR="008B5CC1" w:rsidRPr="00D6313C" w:rsidRDefault="008B5CC1" w:rsidP="00D6313C">
            <w:r w:rsidRPr="00D6313C">
              <w:t>MRG Chair – 28/11/16</w:t>
            </w:r>
          </w:p>
        </w:tc>
      </w:tr>
    </w:tbl>
    <w:p w14:paraId="77FE8A72" w14:textId="6A3C2E4D" w:rsidR="008B5CC1" w:rsidRDefault="008B5CC1"/>
    <w:p w14:paraId="21C9256D" w14:textId="31BA31D2" w:rsidR="0092758C" w:rsidRPr="00D6313C" w:rsidRDefault="0092758C">
      <w:r w:rsidRPr="00D6313C">
        <w:rPr>
          <w:b/>
          <w:sz w:val="28"/>
          <w:szCs w:val="28"/>
        </w:rPr>
        <w:t>Risks and Usefulness</w:t>
      </w:r>
    </w:p>
    <w:tbl>
      <w:tblPr>
        <w:tblStyle w:val="TableGrid1"/>
        <w:tblW w:w="5000" w:type="pct"/>
        <w:tblLook w:val="04A0" w:firstRow="1" w:lastRow="0" w:firstColumn="1" w:lastColumn="0" w:noHBand="0" w:noVBand="1"/>
      </w:tblPr>
      <w:tblGrid>
        <w:gridCol w:w="867"/>
        <w:gridCol w:w="4254"/>
        <w:gridCol w:w="1183"/>
        <w:gridCol w:w="4531"/>
        <w:gridCol w:w="1268"/>
        <w:gridCol w:w="1195"/>
        <w:gridCol w:w="1270"/>
      </w:tblGrid>
      <w:tr w:rsidR="00D6313C" w:rsidRPr="00D6313C" w14:paraId="658E8E92" w14:textId="77777777" w:rsidTr="0092758C">
        <w:tc>
          <w:tcPr>
            <w:tcW w:w="298" w:type="pct"/>
          </w:tcPr>
          <w:p w14:paraId="3C202A8B" w14:textId="77777777" w:rsidR="008B5CC1" w:rsidRPr="00D6313C" w:rsidRDefault="008B5CC1" w:rsidP="00D6313C">
            <w:pPr>
              <w:rPr>
                <w:b/>
                <w:i/>
              </w:rPr>
            </w:pPr>
            <w:r w:rsidRPr="00D6313C">
              <w:rPr>
                <w:b/>
                <w:i/>
              </w:rPr>
              <w:t>Rec. no</w:t>
            </w:r>
          </w:p>
        </w:tc>
        <w:tc>
          <w:tcPr>
            <w:tcW w:w="1460" w:type="pct"/>
          </w:tcPr>
          <w:p w14:paraId="390CE792" w14:textId="77777777" w:rsidR="008B5CC1" w:rsidRPr="00D6313C" w:rsidRDefault="008B5CC1" w:rsidP="00D6313C">
            <w:pPr>
              <w:rPr>
                <w:b/>
                <w:i/>
              </w:rPr>
            </w:pPr>
            <w:r w:rsidRPr="00D6313C">
              <w:rPr>
                <w:b/>
                <w:i/>
              </w:rPr>
              <w:t>Issue or recommendation</w:t>
            </w:r>
          </w:p>
        </w:tc>
        <w:tc>
          <w:tcPr>
            <w:tcW w:w="406" w:type="pct"/>
          </w:tcPr>
          <w:p w14:paraId="3F1C940C" w14:textId="77777777" w:rsidR="008B5CC1" w:rsidRPr="00D6313C" w:rsidRDefault="008B5CC1" w:rsidP="00D6313C">
            <w:pPr>
              <w:rPr>
                <w:b/>
                <w:i/>
              </w:rPr>
            </w:pPr>
            <w:r w:rsidRPr="00D6313C">
              <w:rPr>
                <w:b/>
                <w:i/>
              </w:rPr>
              <w:t>Raised by / Date</w:t>
            </w:r>
          </w:p>
        </w:tc>
        <w:tc>
          <w:tcPr>
            <w:tcW w:w="1555" w:type="pct"/>
          </w:tcPr>
          <w:p w14:paraId="46685931" w14:textId="77777777" w:rsidR="008B5CC1" w:rsidRPr="00D6313C" w:rsidRDefault="008B5CC1" w:rsidP="00D6313C">
            <w:pPr>
              <w:rPr>
                <w:b/>
                <w:i/>
              </w:rPr>
            </w:pPr>
            <w:r w:rsidRPr="00D6313C">
              <w:rPr>
                <w:b/>
                <w:i/>
              </w:rPr>
              <w:t>Response or Action taken by applicant</w:t>
            </w:r>
          </w:p>
        </w:tc>
        <w:tc>
          <w:tcPr>
            <w:tcW w:w="435" w:type="pct"/>
          </w:tcPr>
          <w:p w14:paraId="2C32758F" w14:textId="77777777" w:rsidR="008B5CC1" w:rsidRPr="00D6313C" w:rsidRDefault="008B5CC1" w:rsidP="00D6313C">
            <w:pPr>
              <w:rPr>
                <w:b/>
                <w:i/>
              </w:rPr>
            </w:pPr>
            <w:r w:rsidRPr="00D6313C">
              <w:rPr>
                <w:b/>
                <w:i/>
              </w:rPr>
              <w:t>Response date</w:t>
            </w:r>
          </w:p>
        </w:tc>
        <w:tc>
          <w:tcPr>
            <w:tcW w:w="410" w:type="pct"/>
          </w:tcPr>
          <w:p w14:paraId="26D4B0BD" w14:textId="77777777" w:rsidR="008B5CC1" w:rsidRPr="00D6313C" w:rsidRDefault="008B5CC1" w:rsidP="00D6313C">
            <w:pPr>
              <w:rPr>
                <w:b/>
                <w:i/>
              </w:rPr>
            </w:pPr>
            <w:r w:rsidRPr="00D6313C">
              <w:rPr>
                <w:b/>
                <w:i/>
              </w:rPr>
              <w:t>Resolved</w:t>
            </w:r>
          </w:p>
        </w:tc>
        <w:tc>
          <w:tcPr>
            <w:tcW w:w="436" w:type="pct"/>
          </w:tcPr>
          <w:p w14:paraId="488D0891" w14:textId="77777777" w:rsidR="008B5CC1" w:rsidRPr="00D6313C" w:rsidRDefault="008B5CC1" w:rsidP="00D6313C">
            <w:pPr>
              <w:rPr>
                <w:b/>
                <w:i/>
              </w:rPr>
            </w:pPr>
            <w:r w:rsidRPr="00D6313C">
              <w:rPr>
                <w:b/>
                <w:i/>
              </w:rPr>
              <w:t>Sign off by / Date</w:t>
            </w:r>
          </w:p>
        </w:tc>
      </w:tr>
      <w:tr w:rsidR="00D6313C" w:rsidRPr="00D6313C" w14:paraId="4136FFB4" w14:textId="77777777" w:rsidTr="0092758C">
        <w:tc>
          <w:tcPr>
            <w:tcW w:w="298" w:type="pct"/>
          </w:tcPr>
          <w:p w14:paraId="29006676" w14:textId="77777777" w:rsidR="008B5CC1" w:rsidRPr="00D6313C" w:rsidRDefault="008B5CC1" w:rsidP="00D6313C">
            <w:r w:rsidRPr="00D6313C">
              <w:t>6a</w:t>
            </w:r>
          </w:p>
        </w:tc>
        <w:tc>
          <w:tcPr>
            <w:tcW w:w="1460" w:type="pct"/>
          </w:tcPr>
          <w:p w14:paraId="0F67742B" w14:textId="77777777" w:rsidR="008B5CC1" w:rsidRPr="00D6313C" w:rsidRDefault="008B5CC1" w:rsidP="00D6313C">
            <w:r w:rsidRPr="00D6313C">
              <w:t>Could the applicant include a total number of patients row in the table provided in section 6.2, as well as showing a (real) example of the effect of excluding unknowns from the denominator.</w:t>
            </w:r>
          </w:p>
        </w:tc>
        <w:tc>
          <w:tcPr>
            <w:tcW w:w="406" w:type="pct"/>
          </w:tcPr>
          <w:p w14:paraId="0EE04B0C" w14:textId="77777777" w:rsidR="008B5CC1" w:rsidRPr="00D6313C" w:rsidRDefault="008B5CC1" w:rsidP="00D6313C">
            <w:r w:rsidRPr="00D6313C">
              <w:t>MRG</w:t>
            </w:r>
          </w:p>
          <w:p w14:paraId="4DABD264" w14:textId="77777777" w:rsidR="008B5CC1" w:rsidRPr="00D6313C" w:rsidRDefault="008B5CC1" w:rsidP="00D6313C">
            <w:r w:rsidRPr="00D6313C">
              <w:t>18/10/16</w:t>
            </w:r>
          </w:p>
        </w:tc>
        <w:tc>
          <w:tcPr>
            <w:tcW w:w="1555" w:type="pct"/>
          </w:tcPr>
          <w:p w14:paraId="53B327A9" w14:textId="77777777" w:rsidR="008B5CC1" w:rsidRPr="00D6313C" w:rsidRDefault="008B5CC1" w:rsidP="00D6313C">
            <w:r w:rsidRPr="00D6313C">
              <w:t>New table added to section 6.2 along with a real example.</w:t>
            </w:r>
          </w:p>
        </w:tc>
        <w:tc>
          <w:tcPr>
            <w:tcW w:w="435" w:type="pct"/>
          </w:tcPr>
          <w:p w14:paraId="1B05565D" w14:textId="77777777" w:rsidR="008B5CC1" w:rsidRPr="00D6313C" w:rsidRDefault="008B5CC1" w:rsidP="00D6313C">
            <w:r w:rsidRPr="00D6313C">
              <w:t>10/11/16</w:t>
            </w:r>
          </w:p>
        </w:tc>
        <w:sdt>
          <w:sdtPr>
            <w:id w:val="2038770715"/>
            <w14:checkbox>
              <w14:checked w14:val="1"/>
              <w14:checkedState w14:val="2612" w14:font="MS Gothic"/>
              <w14:uncheckedState w14:val="2610" w14:font="MS Gothic"/>
            </w14:checkbox>
          </w:sdtPr>
          <w:sdtEndPr/>
          <w:sdtContent>
            <w:tc>
              <w:tcPr>
                <w:tcW w:w="410" w:type="pct"/>
              </w:tcPr>
              <w:p w14:paraId="36CEEAB4" w14:textId="77777777" w:rsidR="008B5CC1" w:rsidRPr="00D6313C" w:rsidRDefault="008B5CC1" w:rsidP="00D6313C">
                <w:pPr>
                  <w:jc w:val="center"/>
                </w:pPr>
                <w:r w:rsidRPr="00D6313C">
                  <w:rPr>
                    <w:rFonts w:ascii="Segoe UI Symbol" w:eastAsia="MS Gothic" w:hAnsi="Segoe UI Symbol" w:cs="Segoe UI Symbol"/>
                  </w:rPr>
                  <w:t>☒</w:t>
                </w:r>
              </w:p>
            </w:tc>
          </w:sdtContent>
        </w:sdt>
        <w:tc>
          <w:tcPr>
            <w:tcW w:w="436" w:type="pct"/>
          </w:tcPr>
          <w:p w14:paraId="3B0EC8B8" w14:textId="77777777" w:rsidR="008B5CC1" w:rsidRPr="00D6313C" w:rsidRDefault="008B5CC1" w:rsidP="00D6313C">
            <w:r w:rsidRPr="00D6313C">
              <w:t>MRG Chair – 28/11/16</w:t>
            </w:r>
          </w:p>
        </w:tc>
      </w:tr>
    </w:tbl>
    <w:p w14:paraId="75FC7374" w14:textId="77777777" w:rsidR="008B5CC1" w:rsidRPr="00D6313C" w:rsidRDefault="008B5CC1" w:rsidP="00D6313C">
      <w:pPr>
        <w:rPr>
          <w:sz w:val="20"/>
          <w:szCs w:val="20"/>
        </w:rPr>
        <w:sectPr w:rsidR="008B5CC1" w:rsidRPr="00D6313C" w:rsidSect="00D6313C">
          <w:headerReference w:type="default" r:id="rId33"/>
          <w:pgSz w:w="16838" w:h="11906" w:orient="landscape"/>
          <w:pgMar w:top="851" w:right="820" w:bottom="426" w:left="1440" w:header="851" w:footer="709" w:gutter="0"/>
          <w:cols w:space="708"/>
          <w:docGrid w:linePitch="360"/>
        </w:sectPr>
      </w:pPr>
    </w:p>
    <w:p w14:paraId="70E62BE3" w14:textId="77777777" w:rsidR="008B5CC1" w:rsidRPr="00D6313C" w:rsidRDefault="008B5CC1" w:rsidP="00D6313C">
      <w:pPr>
        <w:rPr>
          <w:b/>
        </w:rPr>
      </w:pPr>
    </w:p>
    <w:p w14:paraId="492EA251" w14:textId="77777777" w:rsidR="008B5CC1" w:rsidRPr="00D6313C" w:rsidRDefault="008B5CC1" w:rsidP="00D6313C">
      <w:pPr>
        <w:rPr>
          <w:b/>
        </w:rPr>
      </w:pPr>
      <w:r w:rsidRPr="00D6313C">
        <w:rPr>
          <w:b/>
          <w:noProof/>
          <w:lang w:eastAsia="en-GB"/>
        </w:rPr>
        <mc:AlternateContent>
          <mc:Choice Requires="wps">
            <w:drawing>
              <wp:inline distT="0" distB="0" distL="0" distR="0" wp14:anchorId="11145381" wp14:editId="53D42C57">
                <wp:extent cx="6219825" cy="1403985"/>
                <wp:effectExtent l="0" t="0" r="9525"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03985"/>
                        </a:xfrm>
                        <a:prstGeom prst="rect">
                          <a:avLst/>
                        </a:prstGeom>
                        <a:solidFill>
                          <a:schemeClr val="accent1">
                            <a:lumMod val="20000"/>
                            <a:lumOff val="80000"/>
                          </a:schemeClr>
                        </a:solidFill>
                        <a:ln w="9525">
                          <a:noFill/>
                          <a:miter lim="800000"/>
                          <a:headEnd/>
                          <a:tailEnd/>
                        </a:ln>
                      </wps:spPr>
                      <wps:txbx>
                        <w:txbxContent>
                          <w:p w14:paraId="11918F3D" w14:textId="77777777" w:rsidR="00D6313C" w:rsidRDefault="00D6313C" w:rsidP="00D6313C">
                            <w:pPr>
                              <w:rPr>
                                <w:rFonts w:cstheme="minorHAnsi"/>
                                <w:b/>
                                <w:color w:val="1F497D" w:themeColor="text2"/>
                              </w:rPr>
                            </w:pPr>
                            <w:r>
                              <w:rPr>
                                <w:rFonts w:cstheme="minorHAnsi"/>
                                <w:b/>
                                <w:color w:val="1F497D" w:themeColor="text2"/>
                              </w:rPr>
                              <w:t>Any complaints or appeals against the decisions made during the assurance process should be made to the Indicator &amp; Methodology Assurance Service (IMAS) Team at NHS Digital. Likewise, if you are unclear regarding any of the recommendations in this report, or have any queries about the assurance process in general, please contact the IMAS team.</w:t>
                            </w:r>
                          </w:p>
                          <w:p w14:paraId="1830E0F8" w14:textId="77777777" w:rsidR="00D6313C" w:rsidRDefault="00D6313C" w:rsidP="00D6313C">
                            <w:pPr>
                              <w:rPr>
                                <w:rFonts w:cstheme="minorHAnsi"/>
                                <w:b/>
                                <w:color w:val="1F497D" w:themeColor="text2"/>
                              </w:rPr>
                            </w:pPr>
                          </w:p>
                          <w:p w14:paraId="26333A59" w14:textId="77777777" w:rsidR="00D6313C" w:rsidRDefault="00D6313C" w:rsidP="00D6313C">
                            <w:pPr>
                              <w:rPr>
                                <w:rFonts w:cstheme="minorHAnsi"/>
                                <w:b/>
                                <w:color w:val="1F497D" w:themeColor="text2"/>
                              </w:rPr>
                            </w:pPr>
                            <w:r>
                              <w:rPr>
                                <w:rFonts w:cstheme="minorHAnsi"/>
                                <w:b/>
                                <w:color w:val="1F497D" w:themeColor="text2"/>
                              </w:rPr>
                              <w:t>Indicator and Methodology Assurance Service</w:t>
                            </w:r>
                          </w:p>
                          <w:p w14:paraId="16524146" w14:textId="77777777" w:rsidR="00D6313C" w:rsidRDefault="00D6313C" w:rsidP="00D6313C">
                            <w:pPr>
                              <w:rPr>
                                <w:rFonts w:cstheme="minorHAnsi"/>
                                <w:b/>
                                <w:color w:val="1F497D" w:themeColor="text2"/>
                              </w:rPr>
                            </w:pPr>
                            <w:r>
                              <w:rPr>
                                <w:rFonts w:cstheme="minorHAnsi"/>
                                <w:b/>
                                <w:color w:val="1F497D" w:themeColor="text2"/>
                              </w:rPr>
                              <w:t>NHS Digital</w:t>
                            </w:r>
                          </w:p>
                          <w:p w14:paraId="6C9EE535" w14:textId="77777777" w:rsidR="00D6313C" w:rsidRDefault="00D6313C" w:rsidP="00D6313C">
                            <w:pPr>
                              <w:rPr>
                                <w:rFonts w:cstheme="minorHAnsi"/>
                                <w:b/>
                                <w:color w:val="1F497D" w:themeColor="text2"/>
                              </w:rPr>
                            </w:pPr>
                            <w:r>
                              <w:rPr>
                                <w:rFonts w:cstheme="minorHAnsi"/>
                                <w:b/>
                                <w:color w:val="1F497D" w:themeColor="text2"/>
                              </w:rPr>
                              <w:t>1 Trevelyan Square, Boar Lane,</w:t>
                            </w:r>
                          </w:p>
                          <w:p w14:paraId="26CC06BC" w14:textId="77777777" w:rsidR="00D6313C" w:rsidRDefault="00D6313C" w:rsidP="00D6313C">
                            <w:pPr>
                              <w:rPr>
                                <w:rFonts w:cstheme="minorHAnsi"/>
                                <w:b/>
                                <w:color w:val="1F497D" w:themeColor="text2"/>
                              </w:rPr>
                            </w:pPr>
                            <w:r>
                              <w:rPr>
                                <w:rFonts w:cstheme="minorHAnsi"/>
                                <w:b/>
                                <w:color w:val="1F497D" w:themeColor="text2"/>
                              </w:rPr>
                              <w:t xml:space="preserve">LEEDS </w:t>
                            </w:r>
                          </w:p>
                          <w:p w14:paraId="7C2B2419" w14:textId="77777777" w:rsidR="00D6313C" w:rsidRDefault="00D6313C" w:rsidP="00D6313C">
                            <w:pPr>
                              <w:rPr>
                                <w:rFonts w:cstheme="minorHAnsi"/>
                                <w:b/>
                                <w:color w:val="1F497D" w:themeColor="text2"/>
                              </w:rPr>
                            </w:pPr>
                            <w:r>
                              <w:rPr>
                                <w:rFonts w:cstheme="minorHAnsi"/>
                                <w:b/>
                                <w:color w:val="1F497D" w:themeColor="text2"/>
                              </w:rPr>
                              <w:t>LS1 6AE.</w:t>
                            </w:r>
                          </w:p>
                          <w:p w14:paraId="1E14D011" w14:textId="77777777" w:rsidR="00D6313C" w:rsidRDefault="00D6313C" w:rsidP="00D6313C">
                            <w:pPr>
                              <w:rPr>
                                <w:rFonts w:cstheme="minorHAnsi"/>
                                <w:b/>
                                <w:color w:val="1F497D" w:themeColor="text2"/>
                              </w:rPr>
                            </w:pPr>
                          </w:p>
                          <w:p w14:paraId="1F7ECEC1" w14:textId="77777777" w:rsidR="00D6313C" w:rsidRDefault="00D6313C" w:rsidP="00D6313C">
                            <w:pPr>
                              <w:rPr>
                                <w:rFonts w:cstheme="minorHAnsi"/>
                                <w:b/>
                                <w:color w:val="1F497D" w:themeColor="text2"/>
                              </w:rPr>
                            </w:pPr>
                            <w:r>
                              <w:rPr>
                                <w:rFonts w:cstheme="minorHAnsi"/>
                                <w:b/>
                                <w:color w:val="1F497D" w:themeColor="text2"/>
                              </w:rPr>
                              <w:t xml:space="preserve">Email: </w:t>
                            </w:r>
                            <w:hyperlink r:id="rId34" w:history="1">
                              <w:r w:rsidRPr="00DE688F">
                                <w:rPr>
                                  <w:rStyle w:val="Hyperlink"/>
                                  <w:rFonts w:cstheme="minorHAnsi"/>
                                  <w:b/>
                                </w:rPr>
                                <w:t>indicator.assurance@nhs.net</w:t>
                              </w:r>
                            </w:hyperlink>
                          </w:p>
                          <w:p w14:paraId="5ECE8CE4" w14:textId="77777777" w:rsidR="00D6313C" w:rsidRDefault="00D6313C" w:rsidP="00D6313C">
                            <w:pPr>
                              <w:rPr>
                                <w:rFonts w:cstheme="minorHAnsi"/>
                                <w:b/>
                                <w:color w:val="1F497D" w:themeColor="text2"/>
                              </w:rPr>
                            </w:pPr>
                            <w:r>
                              <w:rPr>
                                <w:rFonts w:cstheme="minorHAnsi"/>
                                <w:b/>
                                <w:color w:val="1F497D" w:themeColor="text2"/>
                              </w:rPr>
                              <w:t xml:space="preserve">Website: </w:t>
                            </w:r>
                            <w:hyperlink r:id="rId35" w:history="1">
                              <w:r w:rsidRPr="00195C54">
                                <w:rPr>
                                  <w:rStyle w:val="Hyperlink"/>
                                  <w:rFonts w:cstheme="minorHAnsi"/>
                                  <w:b/>
                                </w:rPr>
                                <w:t>http://www.hscic.gov.uk/article/1674/Indicator-Assurance-Service</w:t>
                              </w:r>
                            </w:hyperlink>
                          </w:p>
                        </w:txbxContent>
                      </wps:txbx>
                      <wps:bodyPr rot="0" vert="horz" wrap="square" lIns="91440" tIns="45720" rIns="91440" bIns="45720" anchor="t" anchorCtr="0">
                        <a:spAutoFit/>
                      </wps:bodyPr>
                    </wps:wsp>
                  </a:graphicData>
                </a:graphic>
              </wp:inline>
            </w:drawing>
          </mc:Choice>
          <mc:Fallback>
            <w:pict>
              <v:shape w14:anchorId="11145381" id="_x0000_s1027" type="#_x0000_t202" style="width:489.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" fillcolor="#dbe5f1 [660]" stroked="f">
                <v:textbox style="mso-fit-shape-to-text:t">
                  <w:txbxContent>
                    <w:p w14:paraId="11918F3D" w14:textId="77777777" w:rsidR="00D6313C" w:rsidRDefault="00D6313C" w:rsidP="00D6313C">
                      <w:pPr>
                        <w:rPr>
                          <w:rFonts w:cstheme="minorHAnsi"/>
                          <w:b/>
                          <w:color w:val="1F497D" w:themeColor="text2"/>
                        </w:rPr>
                      </w:pPr>
                      <w:r>
                        <w:rPr>
                          <w:rFonts w:cstheme="minorHAnsi"/>
                          <w:b/>
                          <w:color w:val="1F497D" w:themeColor="text2"/>
                        </w:rPr>
                        <w:t>Any complaints or appeals against the decisions made during the assurance process should be made to the Indicator &amp; Methodology Assurance Service (IMAS) Team at NHS Digital. Likewise, if you are unclear regarding any of the recommendations in this report, or have any queries about the assurance process in general, please contact the IMAS team.</w:t>
                      </w:r>
                    </w:p>
                    <w:p w14:paraId="1830E0F8" w14:textId="77777777" w:rsidR="00D6313C" w:rsidRDefault="00D6313C" w:rsidP="00D6313C">
                      <w:pPr>
                        <w:rPr>
                          <w:rFonts w:cstheme="minorHAnsi"/>
                          <w:b/>
                          <w:color w:val="1F497D" w:themeColor="text2"/>
                        </w:rPr>
                      </w:pPr>
                    </w:p>
                    <w:p w14:paraId="26333A59" w14:textId="77777777" w:rsidR="00D6313C" w:rsidRDefault="00D6313C" w:rsidP="00D6313C">
                      <w:pPr>
                        <w:rPr>
                          <w:rFonts w:cstheme="minorHAnsi"/>
                          <w:b/>
                          <w:color w:val="1F497D" w:themeColor="text2"/>
                        </w:rPr>
                      </w:pPr>
                      <w:r>
                        <w:rPr>
                          <w:rFonts w:cstheme="minorHAnsi"/>
                          <w:b/>
                          <w:color w:val="1F497D" w:themeColor="text2"/>
                        </w:rPr>
                        <w:t>Indicator and Methodology Assurance Service</w:t>
                      </w:r>
                    </w:p>
                    <w:p w14:paraId="16524146" w14:textId="77777777" w:rsidR="00D6313C" w:rsidRDefault="00D6313C" w:rsidP="00D6313C">
                      <w:pPr>
                        <w:rPr>
                          <w:rFonts w:cstheme="minorHAnsi"/>
                          <w:b/>
                          <w:color w:val="1F497D" w:themeColor="text2"/>
                        </w:rPr>
                      </w:pPr>
                      <w:r>
                        <w:rPr>
                          <w:rFonts w:cstheme="minorHAnsi"/>
                          <w:b/>
                          <w:color w:val="1F497D" w:themeColor="text2"/>
                        </w:rPr>
                        <w:t>NHS Digital</w:t>
                      </w:r>
                    </w:p>
                    <w:p w14:paraId="6C9EE535" w14:textId="77777777" w:rsidR="00D6313C" w:rsidRDefault="00D6313C" w:rsidP="00D6313C">
                      <w:pPr>
                        <w:rPr>
                          <w:rFonts w:cstheme="minorHAnsi"/>
                          <w:b/>
                          <w:color w:val="1F497D" w:themeColor="text2"/>
                        </w:rPr>
                      </w:pPr>
                      <w:r>
                        <w:rPr>
                          <w:rFonts w:cstheme="minorHAnsi"/>
                          <w:b/>
                          <w:color w:val="1F497D" w:themeColor="text2"/>
                        </w:rPr>
                        <w:t>1 Trevelyan Square, Boar Lane,</w:t>
                      </w:r>
                    </w:p>
                    <w:p w14:paraId="26CC06BC" w14:textId="77777777" w:rsidR="00D6313C" w:rsidRDefault="00D6313C" w:rsidP="00D6313C">
                      <w:pPr>
                        <w:rPr>
                          <w:rFonts w:cstheme="minorHAnsi"/>
                          <w:b/>
                          <w:color w:val="1F497D" w:themeColor="text2"/>
                        </w:rPr>
                      </w:pPr>
                      <w:r>
                        <w:rPr>
                          <w:rFonts w:cstheme="minorHAnsi"/>
                          <w:b/>
                          <w:color w:val="1F497D" w:themeColor="text2"/>
                        </w:rPr>
                        <w:t xml:space="preserve">LEEDS </w:t>
                      </w:r>
                    </w:p>
                    <w:p w14:paraId="7C2B2419" w14:textId="77777777" w:rsidR="00D6313C" w:rsidRDefault="00D6313C" w:rsidP="00D6313C">
                      <w:pPr>
                        <w:rPr>
                          <w:rFonts w:cstheme="minorHAnsi"/>
                          <w:b/>
                          <w:color w:val="1F497D" w:themeColor="text2"/>
                        </w:rPr>
                      </w:pPr>
                      <w:r>
                        <w:rPr>
                          <w:rFonts w:cstheme="minorHAnsi"/>
                          <w:b/>
                          <w:color w:val="1F497D" w:themeColor="text2"/>
                        </w:rPr>
                        <w:t>LS1 6AE.</w:t>
                      </w:r>
                    </w:p>
                    <w:p w14:paraId="1E14D011" w14:textId="77777777" w:rsidR="00D6313C" w:rsidRDefault="00D6313C" w:rsidP="00D6313C">
                      <w:pPr>
                        <w:rPr>
                          <w:rFonts w:cstheme="minorHAnsi"/>
                          <w:b/>
                          <w:color w:val="1F497D" w:themeColor="text2"/>
                        </w:rPr>
                      </w:pPr>
                    </w:p>
                    <w:p w14:paraId="1F7ECEC1" w14:textId="77777777" w:rsidR="00D6313C" w:rsidRDefault="00D6313C" w:rsidP="00D6313C">
                      <w:pPr>
                        <w:rPr>
                          <w:rFonts w:cstheme="minorHAnsi"/>
                          <w:b/>
                          <w:color w:val="1F497D" w:themeColor="text2"/>
                        </w:rPr>
                      </w:pPr>
                      <w:r>
                        <w:rPr>
                          <w:rFonts w:cstheme="minorHAnsi"/>
                          <w:b/>
                          <w:color w:val="1F497D" w:themeColor="text2"/>
                        </w:rPr>
                        <w:t xml:space="preserve">Email: </w:t>
                      </w:r>
                      <w:hyperlink r:id="rId36" w:history="1">
                        <w:r w:rsidRPr="00DE688F">
                          <w:rPr>
                            <w:rStyle w:val="Hyperlink"/>
                            <w:rFonts w:cstheme="minorHAnsi"/>
                            <w:b/>
                          </w:rPr>
                          <w:t>indicator.assurance@nhs.net</w:t>
                        </w:r>
                      </w:hyperlink>
                    </w:p>
                    <w:p w14:paraId="5ECE8CE4" w14:textId="77777777" w:rsidR="00D6313C" w:rsidRDefault="00D6313C" w:rsidP="00D6313C">
                      <w:pPr>
                        <w:rPr>
                          <w:rFonts w:cstheme="minorHAnsi"/>
                          <w:b/>
                          <w:color w:val="1F497D" w:themeColor="text2"/>
                        </w:rPr>
                      </w:pPr>
                      <w:r>
                        <w:rPr>
                          <w:rFonts w:cstheme="minorHAnsi"/>
                          <w:b/>
                          <w:color w:val="1F497D" w:themeColor="text2"/>
                        </w:rPr>
                        <w:t xml:space="preserve">Website: </w:t>
                      </w:r>
                      <w:hyperlink r:id="rId37" w:history="1">
                        <w:r w:rsidRPr="00195C54">
                          <w:rPr>
                            <w:rStyle w:val="Hyperlink"/>
                            <w:rFonts w:cstheme="minorHAnsi"/>
                            <w:b/>
                          </w:rPr>
                          <w:t>http://www.hscic.gov.uk/article/1674/Indicator-Assurance-Service</w:t>
                        </w:r>
                      </w:hyperlink>
                    </w:p>
                  </w:txbxContent>
                </v:textbox>
                <w10:anchorlock/>
              </v:shape>
            </w:pict>
          </mc:Fallback>
        </mc:AlternateContent>
      </w:r>
    </w:p>
    <w:p w14:paraId="1D15EB33" w14:textId="77777777" w:rsidR="008B5CC1" w:rsidRPr="00D6313C" w:rsidRDefault="008B5CC1" w:rsidP="00D6313C">
      <w:pPr>
        <w:rPr>
          <w:b/>
        </w:rPr>
      </w:pPr>
    </w:p>
    <w:p w14:paraId="6CECBAF9" w14:textId="77777777" w:rsidR="008B5CC1" w:rsidRPr="00D6313C" w:rsidRDefault="008B5CC1">
      <w:pPr>
        <w:rPr>
          <w:b/>
        </w:rPr>
      </w:pPr>
    </w:p>
    <w:p w14:paraId="0F0CA932" w14:textId="279F7C43" w:rsidR="00173180" w:rsidRPr="00D6313C" w:rsidRDefault="00173180" w:rsidP="00BD69FE">
      <w:pPr>
        <w:rPr>
          <w:b/>
          <w:sz w:val="24"/>
          <w:szCs w:val="24"/>
        </w:rPr>
      </w:pPr>
    </w:p>
    <w:sectPr w:rsidR="00173180" w:rsidRPr="00D6313C" w:rsidSect="008B5CC1">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305F2" w14:textId="77777777" w:rsidR="00D6313C" w:rsidRDefault="00D6313C" w:rsidP="00316612">
      <w:r>
        <w:separator/>
      </w:r>
    </w:p>
  </w:endnote>
  <w:endnote w:type="continuationSeparator" w:id="0">
    <w:p w14:paraId="2E9D67A1" w14:textId="77777777" w:rsidR="00D6313C" w:rsidRDefault="00D6313C" w:rsidP="0031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861506761"/>
      <w:docPartObj>
        <w:docPartGallery w:val="Page Numbers (Bottom of Page)"/>
        <w:docPartUnique/>
      </w:docPartObj>
    </w:sdtPr>
    <w:sdtEndPr>
      <w:rPr>
        <w:noProof/>
      </w:rPr>
    </w:sdtEndPr>
    <w:sdtContent>
      <w:p w14:paraId="47D438E0" w14:textId="6BD4BA2B" w:rsidR="00D6313C" w:rsidRPr="00D6313C" w:rsidRDefault="00D6313C" w:rsidP="00D6313C">
        <w:pPr>
          <w:tabs>
            <w:tab w:val="left" w:pos="426"/>
            <w:tab w:val="center" w:pos="4513"/>
            <w:tab w:val="right" w:pos="9026"/>
          </w:tabs>
          <w:rPr>
            <w:sz w:val="18"/>
            <w:szCs w:val="18"/>
          </w:rPr>
        </w:pPr>
        <w:r w:rsidRPr="00D6313C">
          <w:rPr>
            <w:sz w:val="18"/>
            <w:szCs w:val="18"/>
          </w:rPr>
          <w:t>IAP00</w:t>
        </w:r>
        <w:r>
          <w:rPr>
            <w:sz w:val="18"/>
            <w:szCs w:val="18"/>
          </w:rPr>
          <w:t>145</w:t>
        </w:r>
        <w:r w:rsidRPr="00D6313C">
          <w:rPr>
            <w:sz w:val="18"/>
            <w:szCs w:val="18"/>
          </w:rPr>
          <w:t xml:space="preserve"> Supporting documentation</w:t>
        </w:r>
      </w:p>
      <w:p w14:paraId="3396BFD8" w14:textId="77777777" w:rsidR="00D6313C" w:rsidRPr="00D6313C" w:rsidRDefault="00D6313C" w:rsidP="00D6313C">
        <w:pPr>
          <w:tabs>
            <w:tab w:val="left" w:pos="426"/>
            <w:tab w:val="center" w:pos="4513"/>
            <w:tab w:val="right" w:pos="9026"/>
          </w:tabs>
          <w:rPr>
            <w:sz w:val="18"/>
            <w:szCs w:val="18"/>
          </w:rPr>
        </w:pPr>
        <w:r w:rsidRPr="00D6313C">
          <w:rPr>
            <w:sz w:val="18"/>
            <w:szCs w:val="18"/>
          </w:rPr>
          <w:t>Copyright © 2019 NHS Digital</w:t>
        </w:r>
        <w:r w:rsidRPr="00D6313C">
          <w:rPr>
            <w:sz w:val="18"/>
            <w:szCs w:val="18"/>
          </w:rPr>
          <w:tab/>
        </w:r>
        <w:r w:rsidRPr="00D6313C">
          <w:rPr>
            <w:sz w:val="18"/>
            <w:szCs w:val="18"/>
          </w:rPr>
          <w:tab/>
        </w:r>
        <w:r w:rsidRPr="00D6313C">
          <w:rPr>
            <w:sz w:val="18"/>
            <w:szCs w:val="18"/>
          </w:rPr>
          <w:tab/>
        </w:r>
        <w:r w:rsidRPr="00D6313C">
          <w:rPr>
            <w:sz w:val="18"/>
            <w:szCs w:val="18"/>
          </w:rPr>
          <w:tab/>
        </w:r>
        <w:r w:rsidRPr="00D6313C">
          <w:rPr>
            <w:sz w:val="18"/>
            <w:szCs w:val="18"/>
          </w:rPr>
          <w:tab/>
        </w:r>
        <w:r w:rsidRPr="00D6313C">
          <w:rPr>
            <w:sz w:val="18"/>
            <w:szCs w:val="18"/>
          </w:rPr>
          <w:tab/>
        </w:r>
        <w:r w:rsidRPr="00D6313C">
          <w:rPr>
            <w:sz w:val="18"/>
            <w:szCs w:val="18"/>
          </w:rPr>
          <w:tab/>
        </w:r>
        <w:r w:rsidRPr="00D6313C">
          <w:rPr>
            <w:sz w:val="18"/>
            <w:szCs w:val="18"/>
          </w:rPr>
          <w:tab/>
        </w:r>
        <w:r w:rsidRPr="00D6313C">
          <w:rPr>
            <w:sz w:val="18"/>
            <w:szCs w:val="18"/>
          </w:rPr>
          <w:tab/>
        </w:r>
        <w:r w:rsidRPr="00D6313C">
          <w:rPr>
            <w:sz w:val="18"/>
            <w:szCs w:val="18"/>
          </w:rPr>
          <w:fldChar w:fldCharType="begin"/>
        </w:r>
        <w:r w:rsidRPr="00D6313C">
          <w:rPr>
            <w:sz w:val="18"/>
            <w:szCs w:val="18"/>
          </w:rPr>
          <w:instrText xml:space="preserve"> PAGE   \* MERGEFORMAT </w:instrText>
        </w:r>
        <w:r w:rsidRPr="00D6313C">
          <w:rPr>
            <w:sz w:val="18"/>
            <w:szCs w:val="18"/>
          </w:rPr>
          <w:fldChar w:fldCharType="separate"/>
        </w:r>
        <w:r w:rsidRPr="00D6313C">
          <w:rPr>
            <w:sz w:val="18"/>
            <w:szCs w:val="18"/>
          </w:rPr>
          <w:t>1</w:t>
        </w:r>
        <w:r w:rsidRPr="00D6313C">
          <w:rPr>
            <w:noProof/>
            <w:sz w:val="18"/>
            <w:szCs w:val="18"/>
          </w:rPr>
          <w:fldChar w:fldCharType="end"/>
        </w:r>
      </w:p>
    </w:sdtContent>
  </w:sdt>
  <w:p w14:paraId="377E1619" w14:textId="77777777" w:rsidR="00D6313C" w:rsidRPr="00D6313C" w:rsidRDefault="00D6313C" w:rsidP="00D63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105308"/>
      <w:docPartObj>
        <w:docPartGallery w:val="Page Numbers (Bottom of Page)"/>
        <w:docPartUnique/>
      </w:docPartObj>
    </w:sdtPr>
    <w:sdtEndPr>
      <w:rPr>
        <w:noProof/>
      </w:rPr>
    </w:sdtEndPr>
    <w:sdtContent>
      <w:p w14:paraId="2B92FB3C" w14:textId="77777777" w:rsidR="00D6313C" w:rsidRDefault="00657EF8">
        <w:pPr>
          <w:pStyle w:val="Footer"/>
          <w:jc w:val="right"/>
        </w:pPr>
      </w:p>
    </w:sdtContent>
  </w:sdt>
  <w:p w14:paraId="40BD048A" w14:textId="77777777" w:rsidR="00D6313C" w:rsidRDefault="00D63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50CD" w14:textId="77777777" w:rsidR="00D6313C" w:rsidRDefault="00D6313C" w:rsidP="00316612">
      <w:r>
        <w:separator/>
      </w:r>
    </w:p>
  </w:footnote>
  <w:footnote w:type="continuationSeparator" w:id="0">
    <w:p w14:paraId="426C6983" w14:textId="77777777" w:rsidR="00D6313C" w:rsidRDefault="00D6313C" w:rsidP="0031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8B44B" w14:textId="01EF3E8E" w:rsidR="00D6313C" w:rsidRDefault="00D6313C" w:rsidP="00D6313C"/>
  <w:p w14:paraId="20A986B4" w14:textId="6FD0A89C" w:rsidR="00D6313C" w:rsidRPr="00D6313C" w:rsidRDefault="00D6313C" w:rsidP="00D6313C">
    <w:pPr>
      <w:tabs>
        <w:tab w:val="center" w:pos="4513"/>
        <w:tab w:val="right" w:pos="9026"/>
      </w:tabs>
      <w:jc w:val="center"/>
      <w:rPr>
        <w:b/>
        <w:bCs/>
        <w:sz w:val="24"/>
        <w:szCs w:val="24"/>
      </w:rPr>
    </w:pPr>
    <w:r w:rsidRPr="00D6313C">
      <w:rPr>
        <w:b/>
        <w:bCs/>
        <w:sz w:val="24"/>
        <w:szCs w:val="24"/>
      </w:rPr>
      <w:t>NICE inherited this indicator and all its supporting documentation from NHS Digital on 1 April 2020</w:t>
    </w:r>
  </w:p>
  <w:p w14:paraId="22A16FA0" w14:textId="77777777" w:rsidR="00D6313C" w:rsidRDefault="00D6313C" w:rsidP="00D6313C"/>
  <w:p w14:paraId="26440480" w14:textId="77777777" w:rsidR="00D6313C" w:rsidRDefault="00D6313C" w:rsidP="00D6313C"/>
  <w:p w14:paraId="1A6D5EE5" w14:textId="77777777" w:rsidR="00D6313C" w:rsidRDefault="00D6313C" w:rsidP="00D631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5CB6E" w14:textId="77777777" w:rsidR="00D6313C" w:rsidRDefault="00D6313C" w:rsidP="00D6313C"/>
  <w:p w14:paraId="669A1AF1" w14:textId="77777777" w:rsidR="00D6313C" w:rsidRPr="00D6313C" w:rsidRDefault="00D6313C" w:rsidP="00D6313C">
    <w:pPr>
      <w:tabs>
        <w:tab w:val="center" w:pos="4513"/>
        <w:tab w:val="right" w:pos="9026"/>
      </w:tabs>
      <w:jc w:val="center"/>
      <w:rPr>
        <w:b/>
        <w:bCs/>
        <w:sz w:val="24"/>
        <w:szCs w:val="24"/>
      </w:rPr>
    </w:pPr>
    <w:r w:rsidRPr="00D6313C">
      <w:rPr>
        <w:b/>
        <w:bCs/>
        <w:sz w:val="24"/>
        <w:szCs w:val="24"/>
      </w:rPr>
      <w:t>NICE inherited this indicator and all its supporting documentation from NHS Digital on 1 April 2020</w:t>
    </w:r>
  </w:p>
  <w:p w14:paraId="4108838A" w14:textId="77777777" w:rsidR="00D6313C" w:rsidRDefault="00D6313C" w:rsidP="00D6313C"/>
  <w:p w14:paraId="7EAB25DD" w14:textId="77777777" w:rsidR="00D6313C" w:rsidRDefault="00D6313C" w:rsidP="00D6313C"/>
  <w:p w14:paraId="06D87C3C" w14:textId="77777777" w:rsidR="00D6313C" w:rsidRDefault="00D6313C" w:rsidP="00D631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2723" w14:textId="77777777" w:rsidR="00D6313C" w:rsidRPr="00574969" w:rsidRDefault="00D6313C" w:rsidP="00D6313C">
    <w:pPr>
      <w:pStyle w:val="NormalWeb"/>
      <w:spacing w:before="0" w:beforeAutospacing="0" w:after="0" w:afterAutospacing="0"/>
      <w:rPr>
        <w:rFonts w:ascii="Arial" w:eastAsia="+mn-ea" w:hAnsi="Arial" w:cs="Arial"/>
        <w:b/>
        <w:color w:val="1F497D" w:themeColor="text2"/>
        <w:position w:val="1"/>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7C88" w14:textId="77777777" w:rsidR="00D6313C" w:rsidRDefault="00D6313C" w:rsidP="00D6313C">
    <w:pPr>
      <w:pStyle w:val="Header"/>
      <w:ind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733F3"/>
    <w:multiLevelType w:val="hybridMultilevel"/>
    <w:tmpl w:val="DC1041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A55994"/>
    <w:multiLevelType w:val="hybridMultilevel"/>
    <w:tmpl w:val="A4B2C65E"/>
    <w:lvl w:ilvl="0" w:tplc="9AB0E06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455A2"/>
    <w:multiLevelType w:val="hybridMultilevel"/>
    <w:tmpl w:val="A39ACB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4C64AD"/>
    <w:multiLevelType w:val="hybridMultilevel"/>
    <w:tmpl w:val="17BC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9E4C1B"/>
    <w:multiLevelType w:val="hybridMultilevel"/>
    <w:tmpl w:val="04962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AD4E56"/>
    <w:multiLevelType w:val="hybridMultilevel"/>
    <w:tmpl w:val="EC1A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7B56E6"/>
    <w:multiLevelType w:val="hybridMultilevel"/>
    <w:tmpl w:val="151E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3A5CBE"/>
    <w:multiLevelType w:val="hybridMultilevel"/>
    <w:tmpl w:val="7998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A31755"/>
    <w:multiLevelType w:val="hybridMultilevel"/>
    <w:tmpl w:val="B09244B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73DC0FCC"/>
    <w:multiLevelType w:val="hybridMultilevel"/>
    <w:tmpl w:val="55E81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4"/>
  </w:num>
  <w:num w:numId="4">
    <w:abstractNumId w:val="7"/>
  </w:num>
  <w:num w:numId="5">
    <w:abstractNumId w:val="3"/>
  </w:num>
  <w:num w:numId="6">
    <w:abstractNumId w:val="2"/>
  </w:num>
  <w:num w:numId="7">
    <w:abstractNumId w:val="10"/>
  </w:num>
  <w:num w:numId="8">
    <w:abstractNumId w:val="5"/>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20DA2"/>
    <w:rsid w:val="0002134C"/>
    <w:rsid w:val="000242E0"/>
    <w:rsid w:val="00051764"/>
    <w:rsid w:val="00074EC7"/>
    <w:rsid w:val="00083F0D"/>
    <w:rsid w:val="00085056"/>
    <w:rsid w:val="00094CFD"/>
    <w:rsid w:val="000A08EE"/>
    <w:rsid w:val="00117176"/>
    <w:rsid w:val="001426AB"/>
    <w:rsid w:val="00161977"/>
    <w:rsid w:val="00173180"/>
    <w:rsid w:val="00196A84"/>
    <w:rsid w:val="001B753E"/>
    <w:rsid w:val="001C4E48"/>
    <w:rsid w:val="001D0544"/>
    <w:rsid w:val="00211E7E"/>
    <w:rsid w:val="0021591E"/>
    <w:rsid w:val="00230D71"/>
    <w:rsid w:val="002330DA"/>
    <w:rsid w:val="00266A7E"/>
    <w:rsid w:val="002B3D79"/>
    <w:rsid w:val="002D369C"/>
    <w:rsid w:val="00300D5B"/>
    <w:rsid w:val="00316612"/>
    <w:rsid w:val="00327C29"/>
    <w:rsid w:val="003557C2"/>
    <w:rsid w:val="003964B8"/>
    <w:rsid w:val="003A5F69"/>
    <w:rsid w:val="003E3368"/>
    <w:rsid w:val="003E5D8E"/>
    <w:rsid w:val="003F156D"/>
    <w:rsid w:val="00424AEC"/>
    <w:rsid w:val="00425414"/>
    <w:rsid w:val="00430392"/>
    <w:rsid w:val="00441A0A"/>
    <w:rsid w:val="00450AC6"/>
    <w:rsid w:val="00455ABB"/>
    <w:rsid w:val="00457A3D"/>
    <w:rsid w:val="00474130"/>
    <w:rsid w:val="004A536F"/>
    <w:rsid w:val="004C64BB"/>
    <w:rsid w:val="00503EB2"/>
    <w:rsid w:val="00522B95"/>
    <w:rsid w:val="00527810"/>
    <w:rsid w:val="0057455C"/>
    <w:rsid w:val="005A0891"/>
    <w:rsid w:val="005D7A9D"/>
    <w:rsid w:val="005E2311"/>
    <w:rsid w:val="005F36B2"/>
    <w:rsid w:val="00606204"/>
    <w:rsid w:val="00634715"/>
    <w:rsid w:val="006500CF"/>
    <w:rsid w:val="006578F7"/>
    <w:rsid w:val="00657EF8"/>
    <w:rsid w:val="006645AD"/>
    <w:rsid w:val="006668FB"/>
    <w:rsid w:val="00685CF5"/>
    <w:rsid w:val="00692944"/>
    <w:rsid w:val="006A54FE"/>
    <w:rsid w:val="006C20DD"/>
    <w:rsid w:val="006E7857"/>
    <w:rsid w:val="006F0E9F"/>
    <w:rsid w:val="006F5172"/>
    <w:rsid w:val="00715102"/>
    <w:rsid w:val="007235D1"/>
    <w:rsid w:val="00724B3F"/>
    <w:rsid w:val="00763298"/>
    <w:rsid w:val="00765861"/>
    <w:rsid w:val="007763C6"/>
    <w:rsid w:val="00791F81"/>
    <w:rsid w:val="007D0CBE"/>
    <w:rsid w:val="007D537B"/>
    <w:rsid w:val="00840994"/>
    <w:rsid w:val="0088122B"/>
    <w:rsid w:val="008A2AC8"/>
    <w:rsid w:val="008B5CC1"/>
    <w:rsid w:val="008D06F5"/>
    <w:rsid w:val="008D37A6"/>
    <w:rsid w:val="008E2BA6"/>
    <w:rsid w:val="008F61E8"/>
    <w:rsid w:val="0092758C"/>
    <w:rsid w:val="009664C8"/>
    <w:rsid w:val="009752E7"/>
    <w:rsid w:val="00984012"/>
    <w:rsid w:val="009926C2"/>
    <w:rsid w:val="009A6A53"/>
    <w:rsid w:val="009C59E2"/>
    <w:rsid w:val="009E09DA"/>
    <w:rsid w:val="00A60CBB"/>
    <w:rsid w:val="00A6110B"/>
    <w:rsid w:val="00A62818"/>
    <w:rsid w:val="00A84449"/>
    <w:rsid w:val="00A8619F"/>
    <w:rsid w:val="00AB42E7"/>
    <w:rsid w:val="00AB5C38"/>
    <w:rsid w:val="00AE3DF6"/>
    <w:rsid w:val="00B24AA7"/>
    <w:rsid w:val="00B70B75"/>
    <w:rsid w:val="00B97BEB"/>
    <w:rsid w:val="00BC310E"/>
    <w:rsid w:val="00BD69FE"/>
    <w:rsid w:val="00BF483B"/>
    <w:rsid w:val="00C3717E"/>
    <w:rsid w:val="00C405E9"/>
    <w:rsid w:val="00C54BD2"/>
    <w:rsid w:val="00CB4062"/>
    <w:rsid w:val="00CD0F59"/>
    <w:rsid w:val="00CD39AF"/>
    <w:rsid w:val="00D54ADF"/>
    <w:rsid w:val="00D6313C"/>
    <w:rsid w:val="00D706AB"/>
    <w:rsid w:val="00D70D5E"/>
    <w:rsid w:val="00DC2B30"/>
    <w:rsid w:val="00DC46F5"/>
    <w:rsid w:val="00E16A0C"/>
    <w:rsid w:val="00E31A14"/>
    <w:rsid w:val="00E3411D"/>
    <w:rsid w:val="00E34DEE"/>
    <w:rsid w:val="00E3661A"/>
    <w:rsid w:val="00E47E82"/>
    <w:rsid w:val="00E55904"/>
    <w:rsid w:val="00E7285A"/>
    <w:rsid w:val="00E849F1"/>
    <w:rsid w:val="00E87435"/>
    <w:rsid w:val="00E97F15"/>
    <w:rsid w:val="00EB20CD"/>
    <w:rsid w:val="00EF17B6"/>
    <w:rsid w:val="00F01683"/>
    <w:rsid w:val="00F1531F"/>
    <w:rsid w:val="00F236E1"/>
    <w:rsid w:val="00F34EDF"/>
    <w:rsid w:val="00F842B8"/>
    <w:rsid w:val="00FA67EF"/>
    <w:rsid w:val="00FC7AD5"/>
    <w:rsid w:val="00FE7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8B5CC1"/>
    <w:pPr>
      <w:keepNext/>
      <w:spacing w:before="140" w:after="280"/>
      <w:outlineLvl w:val="0"/>
    </w:pPr>
    <w:rPr>
      <w:rFonts w:eastAsia="Times New Roman"/>
      <w:b/>
      <w:bCs/>
      <w:color w:val="4F81BD" w:themeColor="accent1"/>
      <w:spacing w:val="-14"/>
      <w:kern w:val="28"/>
      <w:sz w:val="4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semiHidden/>
    <w:unhideWhenUsed/>
    <w:rsid w:val="00FA67EF"/>
    <w:rPr>
      <w:sz w:val="20"/>
      <w:szCs w:val="20"/>
    </w:rPr>
  </w:style>
  <w:style w:type="character" w:customStyle="1" w:styleId="CommentTextChar">
    <w:name w:val="Comment Text Char"/>
    <w:basedOn w:val="DefaultParagraphFont"/>
    <w:link w:val="CommentText"/>
    <w:uiPriority w:val="99"/>
    <w:semiHidden/>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3E3368"/>
    <w:pPr>
      <w:spacing w:after="200" w:line="276"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3E3368"/>
    <w:rPr>
      <w:rFonts w:asciiTheme="minorHAnsi" w:hAnsiTheme="minorHAnsi" w:cstheme="minorBidi"/>
    </w:rPr>
  </w:style>
  <w:style w:type="paragraph" w:customStyle="1" w:styleId="Default">
    <w:name w:val="Default"/>
    <w:rsid w:val="001426AB"/>
    <w:pPr>
      <w:autoSpaceDE w:val="0"/>
      <w:autoSpaceDN w:val="0"/>
      <w:adjustRightInd w:val="0"/>
    </w:pPr>
    <w:rPr>
      <w:color w:val="000000"/>
      <w:sz w:val="24"/>
      <w:szCs w:val="24"/>
    </w:rPr>
  </w:style>
  <w:style w:type="character" w:styleId="FootnoteReference">
    <w:name w:val="footnote reference"/>
    <w:basedOn w:val="DefaultParagraphFont"/>
    <w:uiPriority w:val="99"/>
    <w:unhideWhenUsed/>
    <w:rsid w:val="00316612"/>
    <w:rPr>
      <w:vertAlign w:val="superscript"/>
    </w:rPr>
  </w:style>
  <w:style w:type="paragraph" w:styleId="FootnoteText">
    <w:name w:val="footnote text"/>
    <w:basedOn w:val="Normal"/>
    <w:link w:val="FootnoteTextChar"/>
    <w:uiPriority w:val="99"/>
    <w:unhideWhenUsed/>
    <w:rsid w:val="00316612"/>
    <w:pPr>
      <w:textboxTightWrap w:val="lastLineOnly"/>
    </w:pPr>
    <w:rPr>
      <w:rFonts w:eastAsia="Times New Roman" w:cs="Times New Roman"/>
      <w:sz w:val="20"/>
      <w:szCs w:val="20"/>
    </w:rPr>
  </w:style>
  <w:style w:type="character" w:customStyle="1" w:styleId="FootnoteTextChar">
    <w:name w:val="Footnote Text Char"/>
    <w:basedOn w:val="DefaultParagraphFont"/>
    <w:link w:val="FootnoteText"/>
    <w:uiPriority w:val="99"/>
    <w:rsid w:val="00316612"/>
    <w:rPr>
      <w:rFonts w:eastAsia="Times New Roman" w:cs="Times New Roman"/>
      <w:sz w:val="20"/>
      <w:szCs w:val="20"/>
    </w:rPr>
  </w:style>
  <w:style w:type="character" w:styleId="PlaceholderText">
    <w:name w:val="Placeholder Text"/>
    <w:basedOn w:val="DefaultParagraphFont"/>
    <w:uiPriority w:val="99"/>
    <w:semiHidden/>
    <w:rsid w:val="001B753E"/>
    <w:rPr>
      <w:color w:val="808080"/>
    </w:rPr>
  </w:style>
  <w:style w:type="character" w:customStyle="1" w:styleId="Heading1Char">
    <w:name w:val="Heading 1 Char"/>
    <w:basedOn w:val="DefaultParagraphFont"/>
    <w:link w:val="Heading1"/>
    <w:rsid w:val="008B5CC1"/>
    <w:rPr>
      <w:rFonts w:eastAsia="Times New Roman"/>
      <w:b/>
      <w:bCs/>
      <w:color w:val="4F81BD" w:themeColor="accent1"/>
      <w:spacing w:val="-14"/>
      <w:kern w:val="28"/>
      <w:sz w:val="42"/>
      <w:szCs w:val="32"/>
      <w14:ligatures w14:val="standardContextual"/>
    </w:rPr>
  </w:style>
  <w:style w:type="paragraph" w:customStyle="1" w:styleId="FrontpageTitle">
    <w:name w:val="Frontpage_Title"/>
    <w:basedOn w:val="Normal"/>
    <w:link w:val="FrontpageTitleChar"/>
    <w:autoRedefine/>
    <w:qFormat/>
    <w:rsid w:val="008B5CC1"/>
    <w:pPr>
      <w:spacing w:after="140"/>
      <w:textboxTightWrap w:val="lastLineOnly"/>
    </w:pPr>
    <w:rPr>
      <w:rFonts w:eastAsia="Times New Roman" w:cs="Times New Roman"/>
      <w:color w:val="4F81BD" w:themeColor="accent1"/>
      <w:sz w:val="70"/>
      <w:szCs w:val="84"/>
    </w:rPr>
  </w:style>
  <w:style w:type="character" w:customStyle="1" w:styleId="FrontpageTitleChar">
    <w:name w:val="Frontpage_Title Char"/>
    <w:basedOn w:val="DefaultParagraphFont"/>
    <w:link w:val="FrontpageTitle"/>
    <w:rsid w:val="008B5CC1"/>
    <w:rPr>
      <w:rFonts w:eastAsia="Times New Roman" w:cs="Times New Roman"/>
      <w:color w:val="4F81BD" w:themeColor="accent1"/>
      <w:sz w:val="70"/>
      <w:szCs w:val="84"/>
    </w:rPr>
  </w:style>
  <w:style w:type="paragraph" w:customStyle="1" w:styleId="Frontpagesubhead">
    <w:name w:val="Frontpage_subhead"/>
    <w:basedOn w:val="Normal"/>
    <w:link w:val="FrontpagesubheadChar"/>
    <w:autoRedefine/>
    <w:qFormat/>
    <w:rsid w:val="008B5CC1"/>
    <w:pPr>
      <w:spacing w:after="140"/>
      <w:textboxTightWrap w:val="lastLineOnly"/>
    </w:pPr>
    <w:rPr>
      <w:rFonts w:eastAsia="Times New Roman" w:cs="Times New Roman"/>
      <w:b/>
      <w:color w:val="4F81BD" w:themeColor="accent1"/>
      <w:sz w:val="35"/>
      <w:szCs w:val="42"/>
    </w:rPr>
  </w:style>
  <w:style w:type="character" w:customStyle="1" w:styleId="FrontpagesubheadChar">
    <w:name w:val="Frontpage_subhead Char"/>
    <w:basedOn w:val="DefaultParagraphFont"/>
    <w:link w:val="Frontpagesubhead"/>
    <w:rsid w:val="008B5CC1"/>
    <w:rPr>
      <w:rFonts w:eastAsia="Times New Roman" w:cs="Times New Roman"/>
      <w:b/>
      <w:color w:val="4F81BD" w:themeColor="accent1"/>
      <w:sz w:val="35"/>
      <w:szCs w:val="42"/>
    </w:rPr>
  </w:style>
  <w:style w:type="paragraph" w:styleId="Footer">
    <w:name w:val="footer"/>
    <w:basedOn w:val="Normal"/>
    <w:link w:val="FooterChar"/>
    <w:autoRedefine/>
    <w:uiPriority w:val="99"/>
    <w:unhideWhenUsed/>
    <w:qFormat/>
    <w:rsid w:val="008B5CC1"/>
    <w:pPr>
      <w:tabs>
        <w:tab w:val="right" w:pos="9866"/>
      </w:tabs>
      <w:textboxTightWrap w:val="lastLineOnly"/>
    </w:pPr>
    <w:rPr>
      <w:rFonts w:eastAsia="Times New Roman" w:cs="Times New Roman"/>
      <w:color w:val="9BBB59" w:themeColor="accent3"/>
      <w:sz w:val="17"/>
      <w:szCs w:val="24"/>
    </w:rPr>
  </w:style>
  <w:style w:type="character" w:customStyle="1" w:styleId="FooterChar">
    <w:name w:val="Footer Char"/>
    <w:basedOn w:val="DefaultParagraphFont"/>
    <w:link w:val="Footer"/>
    <w:uiPriority w:val="99"/>
    <w:rsid w:val="008B5CC1"/>
    <w:rPr>
      <w:rFonts w:eastAsia="Times New Roman" w:cs="Times New Roman"/>
      <w:color w:val="9BBB59" w:themeColor="accent3"/>
      <w:sz w:val="17"/>
      <w:szCs w:val="24"/>
    </w:rPr>
  </w:style>
  <w:style w:type="table" w:customStyle="1" w:styleId="TableGrid1">
    <w:name w:val="Table Grid1"/>
    <w:basedOn w:val="TableNormal"/>
    <w:next w:val="TableGrid"/>
    <w:rsid w:val="008B5CC1"/>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B5CC1"/>
  </w:style>
  <w:style w:type="paragraph" w:styleId="Header">
    <w:name w:val="header"/>
    <w:basedOn w:val="Normal"/>
    <w:link w:val="HeaderChar"/>
    <w:uiPriority w:val="99"/>
    <w:unhideWhenUsed/>
    <w:rsid w:val="008B5CC1"/>
    <w:pPr>
      <w:tabs>
        <w:tab w:val="center" w:pos="4513"/>
        <w:tab w:val="right" w:pos="9026"/>
      </w:tabs>
    </w:pPr>
  </w:style>
  <w:style w:type="character" w:customStyle="1" w:styleId="HeaderChar">
    <w:name w:val="Header Char"/>
    <w:basedOn w:val="DefaultParagraphFont"/>
    <w:link w:val="Header"/>
    <w:uiPriority w:val="99"/>
    <w:rsid w:val="008B5CC1"/>
  </w:style>
  <w:style w:type="paragraph" w:styleId="NormalWeb">
    <w:name w:val="Normal (Web)"/>
    <w:basedOn w:val="Normal"/>
    <w:uiPriority w:val="99"/>
    <w:unhideWhenUsed/>
    <w:rsid w:val="008B5CC1"/>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8B5CC1"/>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8B5CC1"/>
    <w:rPr>
      <w:rFonts w:asciiTheme="minorHAnsi" w:eastAsiaTheme="minorEastAsia" w:hAnsiTheme="minorHAnsi" w:cstheme="minorBid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 w:id="209350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dc.gov/nchs/data/nvsr/nvsr49/nvsr49_07.pdf" TargetMode="External"/><Relationship Id="rId18" Type="http://schemas.openxmlformats.org/officeDocument/2006/relationships/hyperlink" Target="http://www.phoutcomes.info/" TargetMode="External"/><Relationship Id="rId26" Type="http://schemas.openxmlformats.org/officeDocument/2006/relationships/hyperlink" Target="mailto:enquiries@hscic.gov.uk" TargetMode="External"/><Relationship Id="rId39"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www.apho.org.uk/resource/view.aspx?RID=48617" TargetMode="External"/><Relationship Id="rId34" Type="http://schemas.openxmlformats.org/officeDocument/2006/relationships/hyperlink" Target="mailto:indicator.assurance@nhs.net" TargetMode="External"/><Relationship Id="rId7" Type="http://schemas.openxmlformats.org/officeDocument/2006/relationships/header" Target="header1.xml"/><Relationship Id="rId12" Type="http://schemas.openxmlformats.org/officeDocument/2006/relationships/hyperlink" Target="http://humupd.oxfordjournals.org/content/early/2011/07/09/humupd.dmr022.abstract" TargetMode="External"/><Relationship Id="rId17" Type="http://schemas.openxmlformats.org/officeDocument/2006/relationships/hyperlink" Target="http://www.hscic.gov.uk/datacollections/ssatod" TargetMode="External"/><Relationship Id="rId25" Type="http://schemas.openxmlformats.org/officeDocument/2006/relationships/hyperlink" Target="http://www.ons.gov.uk/peoplepopulationandcommunity/healthandsocialcare/healthandlifeexpectancies/bulletins/adultsmokinghabitsingreatbritain/2014"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rchpsyc.jamanetwork.com/article.aspx?articleid=1716166" TargetMode="External"/><Relationship Id="rId20" Type="http://schemas.openxmlformats.org/officeDocument/2006/relationships/hyperlink" Target="http://webarchive.nationalarchives.gov.uk/+/www.dh.gov.uk/en/Publichealth/Healthimprovement/Tobacco/Tobaccogeneralinformation/DH_4139682"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ph26/chapter/2-Public-health-need-and-practice" TargetMode="External"/><Relationship Id="rId24" Type="http://schemas.openxmlformats.org/officeDocument/2006/relationships/hyperlink" Target="http://www.phoutcomes.info/" TargetMode="External"/><Relationship Id="rId32" Type="http://schemas.openxmlformats.org/officeDocument/2006/relationships/footer" Target="footer2.xml"/><Relationship Id="rId37" Type="http://schemas.openxmlformats.org/officeDocument/2006/relationships/hyperlink" Target="http://www.hscic.gov.uk/article/1674/Indicator-Assurance-Service"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urgeongeneral.gov/library/reports/" TargetMode="External"/><Relationship Id="rId23" Type="http://schemas.openxmlformats.org/officeDocument/2006/relationships/hyperlink" Target="http://www.hscic.gov.uk/article/2021/Website-Search?q=smoking+status+at+delivery&amp;area=both" TargetMode="External"/><Relationship Id="rId28" Type="http://schemas.openxmlformats.org/officeDocument/2006/relationships/image" Target="media/image1.png"/><Relationship Id="rId36" Type="http://schemas.openxmlformats.org/officeDocument/2006/relationships/hyperlink" Target="mailto:indicator.assurance@nhs.net" TargetMode="External"/><Relationship Id="rId10" Type="http://schemas.openxmlformats.org/officeDocument/2006/relationships/hyperlink" Target="http://www.nice.org.uk/guidance/cg62/chapter/1-Guidance" TargetMode="External"/><Relationship Id="rId19" Type="http://schemas.openxmlformats.org/officeDocument/2006/relationships/hyperlink" Target="http://webarchive.nationalarchives.gov.uk/20130107105354/http:/www.dh.gov.uk/en/Publicationsandstatistics/Statistics/StatisticalWorkAreas/Statisticalpublichealth/DH_124185"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government/consultations/reviewing-the-indicators-in-the-public-health-outcome-framework" TargetMode="External"/><Relationship Id="rId14" Type="http://schemas.openxmlformats.org/officeDocument/2006/relationships/hyperlink" Target="http://www.cdc.gov/tobacco/data_statistics/sgr/2004/pdfs/whatitmeanstoyou.pdf" TargetMode="External"/><Relationship Id="rId22" Type="http://schemas.openxmlformats.org/officeDocument/2006/relationships/hyperlink" Target="http://www.hscic.gov.uk/catalogue/PUB20899/stat-wome-smok-time-deli-eng-q4-15-16-tab.xlsx" TargetMode="External"/><Relationship Id="rId27" Type="http://schemas.openxmlformats.org/officeDocument/2006/relationships/hyperlink" Target="mailto:ccgois@hscic.gov.uk" TargetMode="External"/><Relationship Id="rId30" Type="http://schemas.openxmlformats.org/officeDocument/2006/relationships/header" Target="header2.xml"/><Relationship Id="rId35" Type="http://schemas.openxmlformats.org/officeDocument/2006/relationships/hyperlink" Target="http://www.hscic.gov.uk/article/1674/Indicator-Assurance-Servi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26BF65786F40D09694B7592B8B95F3"/>
        <w:category>
          <w:name w:val="General"/>
          <w:gallery w:val="placeholder"/>
        </w:category>
        <w:types>
          <w:type w:val="bbPlcHdr"/>
        </w:types>
        <w:behaviors>
          <w:behavior w:val="content"/>
        </w:behaviors>
        <w:guid w:val="{3F7A70E5-5E96-4171-A2B6-813C8DF9FB35}"/>
      </w:docPartPr>
      <w:docPartBody>
        <w:p w:rsidR="004F3936" w:rsidRDefault="00764511" w:rsidP="00764511">
          <w:pPr>
            <w:pStyle w:val="E626BF65786F40D09694B7592B8B95F3"/>
          </w:pPr>
          <w:r w:rsidRPr="00BC4529">
            <w:rPr>
              <w:rStyle w:val="PlaceholderText"/>
            </w:rPr>
            <w:t>Choose an item.</w:t>
          </w:r>
        </w:p>
      </w:docPartBody>
    </w:docPart>
    <w:docPart>
      <w:docPartPr>
        <w:name w:val="F2752924CF0A4C758B1F179AEE7E599A"/>
        <w:category>
          <w:name w:val="General"/>
          <w:gallery w:val="placeholder"/>
        </w:category>
        <w:types>
          <w:type w:val="bbPlcHdr"/>
        </w:types>
        <w:behaviors>
          <w:behavior w:val="content"/>
        </w:behaviors>
        <w:guid w:val="{408521BD-AC94-4F9B-8106-93B69DC2A181}"/>
      </w:docPartPr>
      <w:docPartBody>
        <w:p w:rsidR="004F3936" w:rsidRDefault="00764511" w:rsidP="00764511">
          <w:pPr>
            <w:pStyle w:val="F2752924CF0A4C758B1F179AEE7E599A"/>
          </w:pPr>
          <w:r w:rsidRPr="00B718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A1"/>
    <w:rsid w:val="004F3936"/>
    <w:rsid w:val="005B3AA1"/>
    <w:rsid w:val="0076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4511"/>
    <w:rPr>
      <w:color w:val="808080"/>
    </w:rPr>
  </w:style>
  <w:style w:type="paragraph" w:customStyle="1" w:styleId="A4DEB4D02B2D44439FBAA8F6CF2D273D">
    <w:name w:val="A4DEB4D02B2D44439FBAA8F6CF2D273D"/>
    <w:rsid w:val="005B3AA1"/>
  </w:style>
  <w:style w:type="paragraph" w:customStyle="1" w:styleId="A1E68EED628046198C4C119A6246B800">
    <w:name w:val="A1E68EED628046198C4C119A6246B800"/>
    <w:rsid w:val="005B3AA1"/>
  </w:style>
  <w:style w:type="paragraph" w:customStyle="1" w:styleId="AADDF12103F14EAEB502F66DD647D21A">
    <w:name w:val="AADDF12103F14EAEB502F66DD647D21A"/>
    <w:rsid w:val="005B3AA1"/>
  </w:style>
  <w:style w:type="paragraph" w:customStyle="1" w:styleId="E626BF65786F40D09694B7592B8B95F3">
    <w:name w:val="E626BF65786F40D09694B7592B8B95F3"/>
    <w:rsid w:val="00764511"/>
  </w:style>
  <w:style w:type="paragraph" w:customStyle="1" w:styleId="F2752924CF0A4C758B1F179AEE7E599A">
    <w:name w:val="F2752924CF0A4C758B1F179AEE7E599A"/>
    <w:rsid w:val="00764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4CB67390</Template>
  <TotalTime>0</TotalTime>
  <Pages>34</Pages>
  <Words>7218</Words>
  <Characters>41143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2020-03-12T16:10:00Z</dcterms:created>
  <dcterms:modified xsi:type="dcterms:W3CDTF">2020-03-13T17:08:00Z</dcterms:modified>
</cp:coreProperties>
</file>