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4560011F" w14:textId="77777777" w:rsidR="00040DAF" w:rsidRPr="002921E7" w:rsidRDefault="00040DAF" w:rsidP="00040DAF">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0F17E372" w14:textId="77777777" w:rsidR="00040DAF" w:rsidRPr="00474A51" w:rsidRDefault="00040DAF" w:rsidP="00040DAF">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6D02EC2C" w14:textId="77777777" w:rsidR="00040DAF" w:rsidRDefault="009B0E59" w:rsidP="009B0E59">
      <w:pPr>
        <w:pStyle w:val="Heading1"/>
        <w:rPr>
          <w:lang w:eastAsia="en-GB"/>
        </w:rPr>
      </w:pPr>
      <w:r w:rsidRPr="009B0E59">
        <w:rPr>
          <w:lang w:eastAsia="en-GB"/>
        </w:rPr>
        <w:t xml:space="preserve">Indicator </w:t>
      </w:r>
      <w:r w:rsidR="00FF79D5">
        <w:rPr>
          <w:lang w:eastAsia="en-GB"/>
        </w:rPr>
        <w:t>IAP00</w:t>
      </w:r>
      <w:r w:rsidR="00017034">
        <w:rPr>
          <w:lang w:eastAsia="en-GB"/>
        </w:rPr>
        <w:t>145</w:t>
      </w:r>
    </w:p>
    <w:p w14:paraId="385ED702" w14:textId="61FAC921" w:rsidR="001377B8" w:rsidRPr="00040DAF" w:rsidRDefault="00017034" w:rsidP="009B0E59">
      <w:pPr>
        <w:pStyle w:val="Heading1"/>
        <w:rPr>
          <w:lang w:eastAsia="en-GB"/>
        </w:rPr>
      </w:pPr>
      <w:r>
        <w:rPr>
          <w:b w:val="0"/>
          <w:bCs w:val="0"/>
          <w:kern w:val="0"/>
          <w:sz w:val="24"/>
          <w:szCs w:val="24"/>
          <w:lang w:eastAsia="en-GB"/>
        </w:rPr>
        <w:t>Maternal smoking at delivery</w:t>
      </w:r>
    </w:p>
    <w:p w14:paraId="7C25BFBC" w14:textId="7D86D323"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609"/>
        <w:gridCol w:w="5352"/>
        <w:gridCol w:w="2056"/>
      </w:tblGrid>
      <w:tr w:rsidR="00455B14" w:rsidRPr="006E1387" w14:paraId="0815D160" w14:textId="1327D684" w:rsidTr="001F6AA3">
        <w:tc>
          <w:tcPr>
            <w:tcW w:w="1609"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535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2056"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1F6AA3">
        <w:tc>
          <w:tcPr>
            <w:tcW w:w="1609"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5352" w:type="dxa"/>
          </w:tcPr>
          <w:p w14:paraId="00803C67" w14:textId="7FAA6679" w:rsidR="00333A96" w:rsidRDefault="00333A96" w:rsidP="00333A96">
            <w:pPr>
              <w:spacing w:before="120" w:after="120"/>
              <w:rPr>
                <w:rFonts w:ascii="Arial" w:hAnsi="Arial" w:cs="Arial"/>
                <w:sz w:val="22"/>
                <w:szCs w:val="22"/>
              </w:rPr>
            </w:pPr>
            <w:r>
              <w:rPr>
                <w:rFonts w:ascii="Arial" w:hAnsi="Arial" w:cs="Arial"/>
                <w:sz w:val="22"/>
                <w:szCs w:val="22"/>
              </w:rPr>
              <w:t xml:space="preserve">Indicator is </w:t>
            </w:r>
            <w:r w:rsidR="00017034">
              <w:rPr>
                <w:rFonts w:ascii="Arial" w:hAnsi="Arial" w:cs="Arial"/>
                <w:sz w:val="22"/>
                <w:szCs w:val="22"/>
              </w:rPr>
              <w:t>no longer part of the CCG outcomes indicator set and now form</w:t>
            </w:r>
            <w:r w:rsidR="001C1870">
              <w:rPr>
                <w:rFonts w:ascii="Arial" w:hAnsi="Arial" w:cs="Arial"/>
                <w:sz w:val="22"/>
                <w:szCs w:val="22"/>
              </w:rPr>
              <w:t>s</w:t>
            </w:r>
            <w:r w:rsidR="00017034">
              <w:rPr>
                <w:rFonts w:ascii="Arial" w:hAnsi="Arial" w:cs="Arial"/>
                <w:sz w:val="22"/>
                <w:szCs w:val="22"/>
              </w:rPr>
              <w:t xml:space="preserve"> part of a separate collection ‘Statistics on Women’s Smoking Status at Time of Delivery: England’.</w:t>
            </w:r>
          </w:p>
          <w:p w14:paraId="6A0AAFD7" w14:textId="5FA3B1A7" w:rsidR="00645411" w:rsidRPr="006E1387" w:rsidRDefault="00333A96" w:rsidP="00645411">
            <w:pPr>
              <w:spacing w:before="120" w:after="120"/>
              <w:rPr>
                <w:rFonts w:ascii="Arial" w:hAnsi="Arial" w:cs="Arial"/>
                <w:sz w:val="22"/>
                <w:szCs w:val="22"/>
              </w:rPr>
            </w:pPr>
            <w:r>
              <w:rPr>
                <w:rFonts w:ascii="Arial" w:hAnsi="Arial" w:cs="Arial"/>
                <w:sz w:val="22"/>
                <w:szCs w:val="22"/>
              </w:rPr>
              <w:t xml:space="preserve">Nationally rates have been </w:t>
            </w:r>
            <w:r w:rsidR="007A19BF">
              <w:rPr>
                <w:rFonts w:ascii="Arial" w:hAnsi="Arial" w:cs="Arial"/>
                <w:sz w:val="22"/>
                <w:szCs w:val="22"/>
              </w:rPr>
              <w:t>falling</w:t>
            </w:r>
            <w:r w:rsidR="00017034">
              <w:rPr>
                <w:rFonts w:ascii="Arial" w:hAnsi="Arial" w:cs="Arial"/>
                <w:sz w:val="22"/>
                <w:szCs w:val="22"/>
              </w:rPr>
              <w:t xml:space="preserve"> over time, from 15.8% of women with a known smoking status smoking at time of delivery in 2006/07 to 10.4% in 2019/20</w:t>
            </w:r>
            <w:r w:rsidR="00F75B77">
              <w:rPr>
                <w:rFonts w:ascii="Arial" w:hAnsi="Arial" w:cs="Arial"/>
                <w:sz w:val="22"/>
                <w:szCs w:val="22"/>
              </w:rPr>
              <w:t xml:space="preserve"> </w:t>
            </w:r>
            <w:r w:rsidR="00017034">
              <w:rPr>
                <w:rFonts w:ascii="Arial" w:hAnsi="Arial" w:cs="Arial"/>
                <w:sz w:val="22"/>
                <w:szCs w:val="22"/>
              </w:rPr>
              <w:t>(provisional). Wide variation exists by region and by individual CCG</w:t>
            </w:r>
            <w:r w:rsidR="008511AE">
              <w:rPr>
                <w:rFonts w:ascii="Arial" w:hAnsi="Arial" w:cs="Arial"/>
                <w:sz w:val="22"/>
                <w:szCs w:val="22"/>
              </w:rPr>
              <w:t>,</w:t>
            </w:r>
            <w:r w:rsidR="00017034">
              <w:rPr>
                <w:rFonts w:ascii="Arial" w:hAnsi="Arial" w:cs="Arial"/>
                <w:sz w:val="22"/>
                <w:szCs w:val="22"/>
              </w:rPr>
              <w:t xml:space="preserve"> rang</w:t>
            </w:r>
            <w:r w:rsidR="008511AE">
              <w:rPr>
                <w:rFonts w:ascii="Arial" w:hAnsi="Arial" w:cs="Arial"/>
                <w:sz w:val="22"/>
                <w:szCs w:val="22"/>
              </w:rPr>
              <w:t>ing</w:t>
            </w:r>
            <w:r w:rsidR="00017034">
              <w:rPr>
                <w:rFonts w:ascii="Arial" w:hAnsi="Arial" w:cs="Arial"/>
                <w:sz w:val="22"/>
                <w:szCs w:val="22"/>
              </w:rPr>
              <w:t xml:space="preserve"> from 1.6% to 23.3%.</w:t>
            </w:r>
          </w:p>
        </w:tc>
        <w:tc>
          <w:tcPr>
            <w:tcW w:w="2056" w:type="dxa"/>
          </w:tcPr>
          <w:p w14:paraId="78280FB7" w14:textId="341BC25E" w:rsidR="00E05AB5" w:rsidRPr="006E1387" w:rsidRDefault="00017034" w:rsidP="005B620E">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Overall rates are falling though </w:t>
            </w:r>
            <w:r w:rsidR="001C1870">
              <w:rPr>
                <w:rFonts w:eastAsiaTheme="minorEastAsia" w:cs="Arial"/>
                <w:color w:val="000000" w:themeColor="dark1"/>
                <w:kern w:val="24"/>
                <w:sz w:val="22"/>
                <w:szCs w:val="22"/>
              </w:rPr>
              <w:t>substantial variation across CCGs.</w:t>
            </w:r>
          </w:p>
        </w:tc>
      </w:tr>
      <w:tr w:rsidR="00455B14" w:rsidRPr="006E1387" w14:paraId="77F6A4A2" w14:textId="33EFD485" w:rsidTr="001F6AA3">
        <w:tc>
          <w:tcPr>
            <w:tcW w:w="1609"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5352" w:type="dxa"/>
          </w:tcPr>
          <w:p w14:paraId="6E791700" w14:textId="0B86E788" w:rsidR="00873503" w:rsidRDefault="00303A11" w:rsidP="00F75B77">
            <w:pPr>
              <w:spacing w:before="120" w:after="120"/>
              <w:rPr>
                <w:rFonts w:ascii="Arial" w:hAnsi="Arial" w:cs="Arial"/>
                <w:sz w:val="22"/>
                <w:szCs w:val="22"/>
              </w:rPr>
            </w:pPr>
            <w:r>
              <w:rPr>
                <w:rFonts w:ascii="Arial" w:hAnsi="Arial" w:cs="Arial"/>
                <w:sz w:val="22"/>
                <w:szCs w:val="22"/>
              </w:rPr>
              <w:t>From IAP00145 supporting documentation</w:t>
            </w:r>
            <w:r w:rsidR="00CB68E2">
              <w:rPr>
                <w:rStyle w:val="FootnoteReference"/>
                <w:rFonts w:ascii="Arial" w:hAnsi="Arial" w:cs="Arial"/>
                <w:sz w:val="22"/>
                <w:szCs w:val="22"/>
              </w:rPr>
              <w:footnoteReference w:id="1"/>
            </w:r>
            <w:r>
              <w:rPr>
                <w:rFonts w:ascii="Arial" w:hAnsi="Arial" w:cs="Arial"/>
                <w:sz w:val="22"/>
                <w:szCs w:val="22"/>
              </w:rPr>
              <w:t>:</w:t>
            </w:r>
          </w:p>
          <w:p w14:paraId="3873DC00" w14:textId="5ACB6269" w:rsidR="00303A11" w:rsidRPr="00303A11" w:rsidRDefault="00303A11" w:rsidP="00303A11">
            <w:pPr>
              <w:spacing w:before="120" w:after="120"/>
              <w:rPr>
                <w:rFonts w:ascii="Arial" w:hAnsi="Arial" w:cs="Arial"/>
                <w:sz w:val="22"/>
                <w:szCs w:val="22"/>
              </w:rPr>
            </w:pPr>
            <w:r>
              <w:rPr>
                <w:rFonts w:ascii="Arial" w:hAnsi="Arial" w:cs="Arial"/>
                <w:sz w:val="22"/>
                <w:szCs w:val="22"/>
              </w:rPr>
              <w:t>“</w:t>
            </w:r>
            <w:r w:rsidRPr="00303A11">
              <w:rPr>
                <w:rFonts w:ascii="Arial" w:hAnsi="Arial" w:cs="Arial"/>
                <w:sz w:val="22"/>
                <w:szCs w:val="22"/>
              </w:rPr>
              <w:t>Smoking in pregnancy has well known detrimental effects on the growth and development of the baby and health of the mother. The Tobacco Control Plan contained a national ambition to reduce the proportion of women smoking throughout pregnancy to 11% or less by the end of 2015 (measured at time of giving birth). The inclusion of this indicator will ensure that local tobacco control activity is appropriately focused on pregnant women, in order to try to achieve this national ambition. This ambition was achieved at national level during 2015/16 although around half of CCGs still had an indicator value above this target. A new Government Tobacco Control Plan for England was introduced in July 2017 alo</w:t>
            </w:r>
            <w:r w:rsidR="001C1870">
              <w:rPr>
                <w:rFonts w:ascii="Arial" w:hAnsi="Arial" w:cs="Arial"/>
                <w:sz w:val="22"/>
                <w:szCs w:val="22"/>
              </w:rPr>
              <w:t xml:space="preserve">ng with a new national ambition.” </w:t>
            </w:r>
          </w:p>
          <w:p w14:paraId="24655E3C" w14:textId="77777777" w:rsidR="00303A11" w:rsidRDefault="00303A11" w:rsidP="00303A11">
            <w:pPr>
              <w:spacing w:before="120" w:after="120"/>
              <w:rPr>
                <w:rFonts w:ascii="Arial" w:hAnsi="Arial" w:cs="Arial"/>
                <w:sz w:val="22"/>
                <w:szCs w:val="22"/>
              </w:rPr>
            </w:pPr>
            <w:r w:rsidRPr="00303A11">
              <w:rPr>
                <w:rFonts w:ascii="Arial" w:hAnsi="Arial" w:cs="Arial"/>
                <w:sz w:val="22"/>
                <w:szCs w:val="22"/>
              </w:rPr>
              <w:lastRenderedPageBreak/>
              <w:t>This indicator will help make sure priority is given to the reduction of smoking at delivery. Encouraging pregnant women to stop smoking during pregnancy may also help them kick the habit for good, and will result in health benefits for the child and mother, as well as cost savings to the NHS.</w:t>
            </w:r>
            <w:r>
              <w:rPr>
                <w:rFonts w:ascii="Arial" w:hAnsi="Arial" w:cs="Arial"/>
                <w:sz w:val="22"/>
                <w:szCs w:val="22"/>
              </w:rPr>
              <w:t>”</w:t>
            </w:r>
          </w:p>
          <w:p w14:paraId="46FD2163" w14:textId="734FBE1F" w:rsidR="001C1870" w:rsidRPr="006E1387" w:rsidRDefault="001C1870" w:rsidP="00303A11">
            <w:pPr>
              <w:spacing w:before="120" w:after="120"/>
              <w:rPr>
                <w:rFonts w:ascii="Arial" w:hAnsi="Arial" w:cs="Arial"/>
                <w:sz w:val="22"/>
                <w:szCs w:val="22"/>
              </w:rPr>
            </w:pPr>
            <w:r>
              <w:rPr>
                <w:rFonts w:ascii="Arial" w:hAnsi="Arial" w:cs="Arial"/>
                <w:sz w:val="22"/>
                <w:szCs w:val="22"/>
              </w:rPr>
              <w:t>The updated national ambition is to reduce smoking in pregnancy to 6% or less by 2022</w:t>
            </w:r>
            <w:r>
              <w:rPr>
                <w:rStyle w:val="FootnoteReference"/>
                <w:rFonts w:ascii="Arial" w:hAnsi="Arial" w:cs="Arial"/>
                <w:sz w:val="22"/>
                <w:szCs w:val="22"/>
              </w:rPr>
              <w:footnoteReference w:id="2"/>
            </w:r>
            <w:r w:rsidR="005620C9">
              <w:rPr>
                <w:rFonts w:ascii="Arial" w:hAnsi="Arial" w:cs="Arial"/>
                <w:sz w:val="22"/>
                <w:szCs w:val="22"/>
              </w:rPr>
              <w:t>, currently only 28 CCG’s are exceeding this target.</w:t>
            </w:r>
          </w:p>
        </w:tc>
        <w:tc>
          <w:tcPr>
            <w:tcW w:w="2056" w:type="dxa"/>
          </w:tcPr>
          <w:p w14:paraId="12B8C1AB" w14:textId="372F44AC" w:rsidR="00E05AB5" w:rsidRPr="006E1387" w:rsidRDefault="005B620E" w:rsidP="00CB68E2">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Strong evidence base for this indicator </w:t>
            </w:r>
            <w:r w:rsidR="00CB68E2">
              <w:rPr>
                <w:rFonts w:eastAsiaTheme="minorEastAsia" w:cs="Arial"/>
                <w:color w:val="000000" w:themeColor="dark1"/>
                <w:kern w:val="24"/>
                <w:sz w:val="22"/>
                <w:szCs w:val="22"/>
              </w:rPr>
              <w:t>as a measure of mother and child health.</w:t>
            </w:r>
          </w:p>
        </w:tc>
      </w:tr>
      <w:tr w:rsidR="00455B14" w:rsidRPr="006E1387" w14:paraId="3CC8FB8C" w14:textId="54EA7E4F" w:rsidTr="001F6AA3">
        <w:tc>
          <w:tcPr>
            <w:tcW w:w="1609"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5352" w:type="dxa"/>
          </w:tcPr>
          <w:p w14:paraId="00DD9DCA" w14:textId="0C3C6105" w:rsidR="00303A11" w:rsidRDefault="00303A11"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From archived HSCIC specification:</w:t>
            </w:r>
          </w:p>
          <w:p w14:paraId="7F5AB8B1" w14:textId="3E994D60"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CB68E2">
              <w:rPr>
                <w:rFonts w:ascii="Arial" w:hAnsi="Arial" w:cs="Arial"/>
                <w:color w:val="000000"/>
                <w:kern w:val="24"/>
                <w:sz w:val="22"/>
                <w:szCs w:val="22"/>
                <w:lang w:eastAsia="en-GB"/>
              </w:rPr>
              <w:t>Number of maternities where mother is recorded as smoking at time of delivery</w:t>
            </w:r>
          </w:p>
          <w:p w14:paraId="4FC7B690" w14:textId="5DD569CD"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CB68E2">
              <w:rPr>
                <w:rFonts w:ascii="Arial" w:hAnsi="Arial" w:cs="Arial"/>
                <w:color w:val="000000"/>
                <w:kern w:val="24"/>
                <w:sz w:val="22"/>
                <w:szCs w:val="22"/>
                <w:lang w:eastAsia="en-GB"/>
              </w:rPr>
              <w:t>number of maternities in the CCG</w:t>
            </w:r>
            <w:r w:rsidR="001C1870">
              <w:rPr>
                <w:rFonts w:ascii="Arial" w:hAnsi="Arial" w:cs="Arial"/>
                <w:color w:val="000000"/>
                <w:kern w:val="24"/>
                <w:sz w:val="22"/>
                <w:szCs w:val="22"/>
                <w:lang w:eastAsia="en-GB"/>
              </w:rPr>
              <w:t xml:space="preserve"> where smoking status is known</w:t>
            </w:r>
          </w:p>
          <w:p w14:paraId="158FFEDA" w14:textId="332AD19C"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09713F">
              <w:rPr>
                <w:rFonts w:ascii="Arial" w:hAnsi="Arial" w:cs="Arial"/>
                <w:color w:val="000000"/>
                <w:kern w:val="24"/>
                <w:sz w:val="22"/>
                <w:szCs w:val="22"/>
                <w:lang w:eastAsia="en-GB"/>
              </w:rPr>
              <w:t>Deliveries taking place anywhere other than home or in an NHS hospital (including GP units)</w:t>
            </w:r>
          </w:p>
          <w:p w14:paraId="4E1F5C0E" w14:textId="5C3BC531" w:rsidR="009F3187" w:rsidRPr="006E1387"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B68E2">
              <w:rPr>
                <w:rFonts w:ascii="Arial" w:hAnsi="Arial" w:cs="Arial"/>
                <w:color w:val="000000"/>
                <w:kern w:val="24"/>
                <w:sz w:val="22"/>
                <w:szCs w:val="22"/>
                <w:lang w:eastAsia="en-GB"/>
              </w:rPr>
              <w:t>Percentage</w:t>
            </w:r>
          </w:p>
          <w:p w14:paraId="241B73C2" w14:textId="4F908E6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CB68E2">
              <w:rPr>
                <w:rFonts w:ascii="Arial" w:hAnsi="Arial" w:cs="Arial"/>
                <w:color w:val="000000"/>
                <w:kern w:val="24"/>
                <w:sz w:val="22"/>
                <w:szCs w:val="22"/>
                <w:lang w:eastAsia="en-GB"/>
              </w:rPr>
              <w:t>NHS Area Team, CCG</w:t>
            </w:r>
          </w:p>
          <w:p w14:paraId="5B155699" w14:textId="54710F0C"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B68E2">
              <w:rPr>
                <w:rFonts w:ascii="Arial" w:hAnsi="Arial" w:cs="Arial"/>
                <w:color w:val="000000"/>
                <w:kern w:val="24"/>
                <w:sz w:val="22"/>
                <w:szCs w:val="22"/>
                <w:lang w:eastAsia="en-GB"/>
              </w:rPr>
              <w:t>NHS Digital smoking at time of delivery collection</w:t>
            </w:r>
          </w:p>
          <w:p w14:paraId="134E4565" w14:textId="11E62B84" w:rsidR="00A54F81" w:rsidRPr="006E1387" w:rsidRDefault="00873503" w:rsidP="001C187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F52CF4">
              <w:rPr>
                <w:rFonts w:ascii="Arial" w:hAnsi="Arial" w:cs="Arial"/>
                <w:color w:val="000000"/>
                <w:kern w:val="24"/>
                <w:sz w:val="22"/>
                <w:szCs w:val="22"/>
                <w:lang w:eastAsia="en-GB"/>
              </w:rPr>
              <w:t>No</w:t>
            </w:r>
            <w:r w:rsidR="001C1870">
              <w:rPr>
                <w:rFonts w:ascii="Arial" w:hAnsi="Arial" w:cs="Arial"/>
                <w:color w:val="000000"/>
                <w:kern w:val="24"/>
                <w:sz w:val="22"/>
                <w:szCs w:val="22"/>
                <w:lang w:eastAsia="en-GB"/>
              </w:rPr>
              <w:t>ne</w:t>
            </w:r>
          </w:p>
        </w:tc>
        <w:tc>
          <w:tcPr>
            <w:tcW w:w="2056" w:type="dxa"/>
          </w:tcPr>
          <w:p w14:paraId="3C3529D2" w14:textId="552C0E71"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0E1965">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1F6AA3">
        <w:tc>
          <w:tcPr>
            <w:tcW w:w="1609"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5352" w:type="dxa"/>
          </w:tcPr>
          <w:p w14:paraId="6164A0BB" w14:textId="441485B2"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r w:rsidR="005620C9">
              <w:rPr>
                <w:rFonts w:ascii="Arial" w:hAnsi="Arial" w:cs="Arial"/>
                <w:sz w:val="22"/>
                <w:szCs w:val="22"/>
              </w:rPr>
              <w:t xml:space="preserve"> </w:t>
            </w:r>
            <w:r w:rsidR="005620C9" w:rsidRPr="005620C9">
              <w:rPr>
                <w:rFonts w:ascii="Arial" w:hAnsi="Arial" w:cs="Arial"/>
                <w:sz w:val="22"/>
                <w:szCs w:val="22"/>
              </w:rPr>
              <w:t>Development of similar indicators is ongoing using the Maternity Services Dataset however</w:t>
            </w:r>
            <w:r w:rsidR="005620C9">
              <w:rPr>
                <w:rFonts w:ascii="Arial" w:hAnsi="Arial" w:cs="Arial"/>
                <w:sz w:val="22"/>
                <w:szCs w:val="22"/>
              </w:rPr>
              <w:t xml:space="preserve"> this collection will continue.</w:t>
            </w:r>
          </w:p>
          <w:p w14:paraId="23202A2C" w14:textId="363ECA27" w:rsidR="002B4762" w:rsidRPr="006E1387" w:rsidRDefault="002B4762" w:rsidP="002B4762">
            <w:pPr>
              <w:spacing w:before="120" w:after="120"/>
              <w:rPr>
                <w:rFonts w:ascii="Arial" w:hAnsi="Arial" w:cs="Arial"/>
                <w:sz w:val="22"/>
                <w:szCs w:val="22"/>
              </w:rPr>
            </w:pPr>
          </w:p>
        </w:tc>
        <w:tc>
          <w:tcPr>
            <w:tcW w:w="2056" w:type="dxa"/>
          </w:tcPr>
          <w:p w14:paraId="7C614BB1" w14:textId="18171DF3" w:rsidR="00455B14" w:rsidRPr="006E1387" w:rsidRDefault="00262A3E"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p>
        </w:tc>
      </w:tr>
      <w:tr w:rsidR="00455B14" w:rsidRPr="006E1387" w14:paraId="211AFDFC" w14:textId="3BA1BF23" w:rsidTr="001F6AA3">
        <w:tc>
          <w:tcPr>
            <w:tcW w:w="1609"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5352" w:type="dxa"/>
          </w:tcPr>
          <w:p w14:paraId="3720B16B" w14:textId="633EB4C2" w:rsidR="00284F52" w:rsidRDefault="00284F52" w:rsidP="00455B14">
            <w:pPr>
              <w:spacing w:before="120" w:after="120"/>
              <w:rPr>
                <w:rFonts w:ascii="Arial" w:hAnsi="Arial" w:cs="Arial"/>
                <w:sz w:val="22"/>
                <w:szCs w:val="22"/>
              </w:rPr>
            </w:pPr>
            <w:r>
              <w:rPr>
                <w:rFonts w:ascii="Arial" w:hAnsi="Arial" w:cs="Arial"/>
                <w:sz w:val="22"/>
                <w:szCs w:val="22"/>
              </w:rPr>
              <w:t xml:space="preserve">Overall rates have </w:t>
            </w:r>
            <w:r w:rsidR="00262A3E">
              <w:rPr>
                <w:rFonts w:ascii="Arial" w:hAnsi="Arial" w:cs="Arial"/>
                <w:sz w:val="22"/>
                <w:szCs w:val="22"/>
              </w:rPr>
              <w:t xml:space="preserve">been </w:t>
            </w:r>
            <w:r w:rsidR="00F52CF4">
              <w:rPr>
                <w:rFonts w:ascii="Arial" w:hAnsi="Arial" w:cs="Arial"/>
                <w:sz w:val="22"/>
                <w:szCs w:val="22"/>
              </w:rPr>
              <w:t xml:space="preserve">decreasing over time, suggesting improvement. Variation exists across </w:t>
            </w:r>
            <w:r w:rsidR="0009713F">
              <w:rPr>
                <w:rFonts w:ascii="Arial" w:hAnsi="Arial" w:cs="Arial"/>
                <w:sz w:val="22"/>
                <w:szCs w:val="22"/>
              </w:rPr>
              <w:t>CCG’s.</w:t>
            </w:r>
          </w:p>
          <w:p w14:paraId="2117977B" w14:textId="218AFB98" w:rsidR="009F3187" w:rsidRPr="006E1387" w:rsidRDefault="009F3187" w:rsidP="00262A3E">
            <w:pPr>
              <w:spacing w:before="120" w:after="120"/>
              <w:rPr>
                <w:rFonts w:cs="Arial"/>
                <w:sz w:val="22"/>
                <w:szCs w:val="22"/>
              </w:rPr>
            </w:pPr>
          </w:p>
        </w:tc>
        <w:tc>
          <w:tcPr>
            <w:tcW w:w="2056" w:type="dxa"/>
          </w:tcPr>
          <w:p w14:paraId="29506238" w14:textId="1E3063AB"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r w:rsidR="0009713F">
              <w:rPr>
                <w:rFonts w:ascii="Arial" w:eastAsiaTheme="minorEastAsia" w:hAnsi="Arial" w:cs="Arial"/>
                <w:color w:val="000000" w:themeColor="dark1"/>
                <w:kern w:val="24"/>
                <w:sz w:val="22"/>
                <w:szCs w:val="22"/>
              </w:rPr>
              <w:t xml:space="preserve"> This will apply to clinical staff as well as wider public health and local authority services.</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1F6AA3">
        <w:tc>
          <w:tcPr>
            <w:tcW w:w="1609"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5352" w:type="dxa"/>
          </w:tcPr>
          <w:p w14:paraId="6C854FEE" w14:textId="2E2C47FD" w:rsidR="003A4CBB" w:rsidRPr="006E1387" w:rsidRDefault="0009713F" w:rsidP="00262A3E">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obvious issues</w:t>
            </w:r>
          </w:p>
        </w:tc>
        <w:tc>
          <w:tcPr>
            <w:tcW w:w="2056" w:type="dxa"/>
          </w:tcPr>
          <w:p w14:paraId="7C2C11AA" w14:textId="0C20DE14" w:rsidR="00262A3E" w:rsidRPr="006E1387" w:rsidRDefault="00A81EAD" w:rsidP="0009713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None identified</w:t>
            </w:r>
            <w:r w:rsidR="0009713F">
              <w:rPr>
                <w:rFonts w:ascii="Arial" w:hAnsi="Arial" w:cs="Arial"/>
                <w:color w:val="000000"/>
                <w:kern w:val="24"/>
                <w:sz w:val="22"/>
                <w:szCs w:val="22"/>
                <w:lang w:eastAsia="en-GB"/>
              </w:rPr>
              <w:t>.</w:t>
            </w:r>
          </w:p>
        </w:tc>
      </w:tr>
    </w:tbl>
    <w:p w14:paraId="37D9A2F5" w14:textId="084C27AB" w:rsidR="004A517E" w:rsidRDefault="004A517E">
      <w:pPr>
        <w:rPr>
          <w:rFonts w:ascii="Arial" w:hAnsi="Arial"/>
          <w:lang w:val="en-US"/>
        </w:rPr>
      </w:pPr>
    </w:p>
    <w:p w14:paraId="036D9B61" w14:textId="04E3C907" w:rsidR="00FD39AD" w:rsidRDefault="00FD39AD" w:rsidP="00FD39AD">
      <w:pPr>
        <w:pStyle w:val="Paragraphnonumbers"/>
      </w:pPr>
      <w:r w:rsidRPr="00B12039">
        <w:rPr>
          <w:b/>
        </w:rPr>
        <w:t>Summary:</w:t>
      </w:r>
      <w:r>
        <w:t xml:space="preserve"> </w:t>
      </w:r>
      <w:r w:rsidR="00040DAF" w:rsidRPr="00B60A21">
        <w:t>Indicator to be renewed.</w:t>
      </w:r>
    </w:p>
    <w:p w14:paraId="469A5C85" w14:textId="77777777" w:rsidR="00840AEC" w:rsidRDefault="00840AEC" w:rsidP="00840AEC">
      <w:pPr>
        <w:pStyle w:val="Paragraphnonumbers"/>
        <w:rPr>
          <w:b/>
        </w:rPr>
      </w:pPr>
      <w:r>
        <w:rPr>
          <w:b/>
        </w:rPr>
        <w:t xml:space="preserve">NHS Digital Indicator reference: </w:t>
      </w:r>
    </w:p>
    <w:p w14:paraId="2ADC246C" w14:textId="46E39552" w:rsidR="00840AEC" w:rsidRDefault="00840AEC" w:rsidP="00840AEC">
      <w:pPr>
        <w:pStyle w:val="Paragraphnonumbers"/>
      </w:pPr>
      <w:r>
        <w:t xml:space="preserve">CCG Outcomes Indicator Set - </w:t>
      </w:r>
      <w:r w:rsidRPr="00840AEC">
        <w:t>1.14 Maternal smoking at delivery</w:t>
      </w:r>
    </w:p>
    <w:p w14:paraId="0C502968" w14:textId="712CF84C" w:rsidR="00840AEC" w:rsidRDefault="00840AEC" w:rsidP="00840AEC">
      <w:pPr>
        <w:pStyle w:val="Paragraphnonumbers"/>
      </w:pPr>
      <w:r>
        <w:t xml:space="preserve">This indicator now signposts to a collection on </w:t>
      </w:r>
      <w:r w:rsidRPr="00840AEC">
        <w:t>Statistics on Women's Smoking Status at Time of Delivery: England</w:t>
      </w:r>
      <w:r>
        <w:t>.</w:t>
      </w:r>
    </w:p>
    <w:p w14:paraId="123085F8" w14:textId="733B578B" w:rsidR="00D73835" w:rsidRDefault="00D73835" w:rsidP="00840AEC">
      <w:pPr>
        <w:pStyle w:val="Paragraphnonumbers"/>
      </w:pP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335B56F7" w:rsidR="00BB14CA" w:rsidRPr="008C1C95" w:rsidRDefault="00840AEC" w:rsidP="008C1C95">
    <w:pPr>
      <w:pStyle w:val="Footer"/>
      <w:jc w:val="right"/>
    </w:pPr>
    <w:r>
      <w:t xml:space="preserve">IAP00145 </w:t>
    </w:r>
    <w:r w:rsidRPr="00840AEC">
      <w:t>Maternal smoking at delivery</w:t>
    </w:r>
    <w:r w:rsidR="009B0E59">
      <w:t xml:space="preserve">: Validity assessment </w:t>
    </w:r>
    <w:r w:rsidR="00040DAF">
      <w:t>March</w:t>
    </w:r>
    <w:r>
      <w:t xml:space="preserve"> 2021</w:t>
    </w:r>
    <w:r w:rsidR="009B0E59">
      <w:tab/>
    </w:r>
    <w:r w:rsidR="009B0E59">
      <w:tab/>
    </w:r>
    <w:r w:rsidR="00BB14CA">
      <w:fldChar w:fldCharType="begin"/>
    </w:r>
    <w:r w:rsidR="00BB14CA">
      <w:instrText xml:space="preserve"> PAGE </w:instrText>
    </w:r>
    <w:r w:rsidR="00BB14CA">
      <w:fldChar w:fldCharType="separate"/>
    </w:r>
    <w:r>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516CF757" w14:textId="5DE1E30B" w:rsidR="00CB68E2" w:rsidRDefault="00CB68E2">
      <w:pPr>
        <w:pStyle w:val="FootnoteText"/>
      </w:pPr>
      <w:r>
        <w:rPr>
          <w:rStyle w:val="FootnoteReference"/>
        </w:rPr>
        <w:footnoteRef/>
      </w:r>
      <w:r>
        <w:t xml:space="preserve"> NHS Digital Indicator Supporting Documentation IAP00145 Maternal smoking at delivery - </w:t>
      </w:r>
      <w:hyperlink r:id="rId1" w:history="1">
        <w:r>
          <w:rPr>
            <w:rStyle w:val="Hyperlink"/>
          </w:rPr>
          <w:t>https://www.nice.org.uk/standards-and-indicators/nlindicators/maternal-smoking-at-delivery</w:t>
        </w:r>
      </w:hyperlink>
    </w:p>
  </w:footnote>
  <w:footnote w:id="2">
    <w:p w14:paraId="465A3242" w14:textId="4E171C44" w:rsidR="001C1870" w:rsidRDefault="001C1870">
      <w:pPr>
        <w:pStyle w:val="FootnoteText"/>
      </w:pPr>
      <w:r>
        <w:rPr>
          <w:rStyle w:val="FootnoteReference"/>
        </w:rPr>
        <w:footnoteRef/>
      </w:r>
      <w:r>
        <w:t xml:space="preserve"> </w:t>
      </w:r>
      <w:hyperlink r:id="rId2" w:history="1">
        <w:r>
          <w:rPr>
            <w:rStyle w:val="Hyperlink"/>
          </w:rPr>
          <w:t>https://www.gov.uk/government/publications/towards-a-smoke-free-generation-tobacco-control-plan-for-england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0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376EA"/>
    <w:rsid w:val="00040DAF"/>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9713F"/>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77EF"/>
    <w:rsid w:val="000E0E0D"/>
    <w:rsid w:val="000E1965"/>
    <w:rsid w:val="000E24A0"/>
    <w:rsid w:val="000E4899"/>
    <w:rsid w:val="000E7E3C"/>
    <w:rsid w:val="000F1692"/>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EBC"/>
    <w:rsid w:val="001620BA"/>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8A5"/>
    <w:rsid w:val="001C0AB8"/>
    <w:rsid w:val="001C1870"/>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A3"/>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3A11"/>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405B"/>
    <w:rsid w:val="00455B14"/>
    <w:rsid w:val="00456B1D"/>
    <w:rsid w:val="004615CD"/>
    <w:rsid w:val="00461C01"/>
    <w:rsid w:val="00462AFA"/>
    <w:rsid w:val="0046325E"/>
    <w:rsid w:val="0046445C"/>
    <w:rsid w:val="0046709A"/>
    <w:rsid w:val="00472CEC"/>
    <w:rsid w:val="00474FE4"/>
    <w:rsid w:val="00475C7C"/>
    <w:rsid w:val="00475D8E"/>
    <w:rsid w:val="00476940"/>
    <w:rsid w:val="0047731B"/>
    <w:rsid w:val="004819A4"/>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20C9"/>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597"/>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AEC"/>
    <w:rsid w:val="00840FF7"/>
    <w:rsid w:val="00841169"/>
    <w:rsid w:val="00843F79"/>
    <w:rsid w:val="00844032"/>
    <w:rsid w:val="008443D8"/>
    <w:rsid w:val="008445E7"/>
    <w:rsid w:val="00844854"/>
    <w:rsid w:val="00847D3A"/>
    <w:rsid w:val="008511AE"/>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5C7"/>
    <w:rsid w:val="009C5ADA"/>
    <w:rsid w:val="009C6214"/>
    <w:rsid w:val="009C77BF"/>
    <w:rsid w:val="009D02ED"/>
    <w:rsid w:val="009D1D56"/>
    <w:rsid w:val="009D1EB8"/>
    <w:rsid w:val="009D49AA"/>
    <w:rsid w:val="009D4FBB"/>
    <w:rsid w:val="009D7602"/>
    <w:rsid w:val="009E3151"/>
    <w:rsid w:val="009E670D"/>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1EAD"/>
    <w:rsid w:val="00A8249A"/>
    <w:rsid w:val="00A85968"/>
    <w:rsid w:val="00A866E2"/>
    <w:rsid w:val="00A879B5"/>
    <w:rsid w:val="00A90FB2"/>
    <w:rsid w:val="00A922F5"/>
    <w:rsid w:val="00A9270F"/>
    <w:rsid w:val="00A96317"/>
    <w:rsid w:val="00A9690E"/>
    <w:rsid w:val="00A9779D"/>
    <w:rsid w:val="00AA246B"/>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8E2"/>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4F0E"/>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2DE"/>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2995"/>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CC1"/>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2A0A"/>
    <w:rsid w:val="00FD3934"/>
    <w:rsid w:val="00FD39AD"/>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11101266">
      <w:bodyDiv w:val="1"/>
      <w:marLeft w:val="0"/>
      <w:marRight w:val="0"/>
      <w:marTop w:val="0"/>
      <w:marBottom w:val="0"/>
      <w:divBdr>
        <w:top w:val="none" w:sz="0" w:space="0" w:color="auto"/>
        <w:left w:val="none" w:sz="0" w:space="0" w:color="auto"/>
        <w:bottom w:val="none" w:sz="0" w:space="0" w:color="auto"/>
        <w:right w:val="none" w:sz="0" w:space="0" w:color="auto"/>
      </w:divBdr>
    </w:div>
    <w:div w:id="1750271245">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10591262">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owards-a-smoke-free-generation-tobacco-control-plan-for-england" TargetMode="External"/><Relationship Id="rId1" Type="http://schemas.openxmlformats.org/officeDocument/2006/relationships/hyperlink" Target="https://www.nice.org.uk/standards-and-indicators/nlindicators/maternal-smoking-at-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33DB-ECA1-463C-8DCB-9D8B9516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2021-09-17T13:25:00Z</dcterms:created>
  <dcterms:modified xsi:type="dcterms:W3CDTF">2021-09-17T13:26:00Z</dcterms:modified>
</cp:coreProperties>
</file>