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A1C1341" w14:textId="47354BD5" w:rsidR="00482C01" w:rsidRDefault="009B0E59" w:rsidP="008D0423">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72A77B86" w14:textId="77777777" w:rsidR="008D0423" w:rsidRDefault="008D0423" w:rsidP="008D0423">
      <w:pPr>
        <w:spacing w:before="240" w:after="240" w:line="360" w:lineRule="auto"/>
        <w:rPr>
          <w:rFonts w:ascii="Arial" w:hAnsi="Arial"/>
          <w:lang w:eastAsia="en-GB"/>
        </w:rPr>
      </w:pPr>
      <w:r>
        <w:rPr>
          <w:rFonts w:ascii="Arial" w:hAnsi="Arial"/>
          <w:lang w:eastAsia="en-GB"/>
        </w:rPr>
        <w:t>Assurance date: December 2020</w:t>
      </w:r>
    </w:p>
    <w:p w14:paraId="1E3AC708" w14:textId="77777777" w:rsidR="008D0423" w:rsidRDefault="008D0423" w:rsidP="008D0423">
      <w:pPr>
        <w:spacing w:before="240" w:after="240" w:line="360" w:lineRule="auto"/>
        <w:rPr>
          <w:rFonts w:ascii="Arial" w:hAnsi="Arial"/>
          <w:lang w:eastAsia="en-GB"/>
        </w:rPr>
      </w:pPr>
      <w:r>
        <w:rPr>
          <w:rFonts w:ascii="Arial" w:hAnsi="Arial"/>
          <w:lang w:eastAsia="en-GB"/>
        </w:rPr>
        <w:t>Review date: December 2023</w:t>
      </w:r>
    </w:p>
    <w:p w14:paraId="047E7BC9" w14:textId="7F9C58A5" w:rsidR="009B0E59" w:rsidRPr="009B0E59" w:rsidRDefault="009B0E59" w:rsidP="009B0E59">
      <w:pPr>
        <w:pStyle w:val="Heading1"/>
        <w:rPr>
          <w:lang w:eastAsia="en-GB"/>
        </w:rPr>
      </w:pPr>
      <w:r w:rsidRPr="009B0E59">
        <w:rPr>
          <w:lang w:eastAsia="en-GB"/>
        </w:rPr>
        <w:t xml:space="preserve">Indicator </w:t>
      </w:r>
      <w:r w:rsidR="00A61511">
        <w:rPr>
          <w:lang w:eastAsia="en-GB"/>
        </w:rPr>
        <w:t>IAP00</w:t>
      </w:r>
      <w:r w:rsidR="005F4FB1">
        <w:rPr>
          <w:lang w:eastAsia="en-GB"/>
        </w:rPr>
        <w:t>148</w:t>
      </w:r>
    </w:p>
    <w:p w14:paraId="748260B4" w14:textId="7AC1DF0D" w:rsidR="005F4FB1" w:rsidRDefault="005F4FB1" w:rsidP="009B0E59">
      <w:pPr>
        <w:pStyle w:val="Heading1"/>
        <w:rPr>
          <w:b w:val="0"/>
          <w:bCs w:val="0"/>
          <w:kern w:val="0"/>
          <w:sz w:val="24"/>
          <w:szCs w:val="24"/>
          <w:lang w:eastAsia="en-GB"/>
        </w:rPr>
      </w:pPr>
      <w:r w:rsidRPr="005F4FB1">
        <w:rPr>
          <w:b w:val="0"/>
          <w:bCs w:val="0"/>
          <w:kern w:val="0"/>
          <w:sz w:val="24"/>
          <w:szCs w:val="24"/>
          <w:lang w:eastAsia="en-GB"/>
        </w:rPr>
        <w:t>Incidence of Healthcare Associated Infection (HCAI) – Met</w:t>
      </w:r>
      <w:r w:rsidR="00886DDD">
        <w:rPr>
          <w:b w:val="0"/>
          <w:bCs w:val="0"/>
          <w:kern w:val="0"/>
          <w:sz w:val="24"/>
          <w:szCs w:val="24"/>
          <w:lang w:eastAsia="en-GB"/>
        </w:rPr>
        <w:t>h</w:t>
      </w:r>
      <w:r w:rsidRPr="005F4FB1">
        <w:rPr>
          <w:b w:val="0"/>
          <w:bCs w:val="0"/>
          <w:kern w:val="0"/>
          <w:sz w:val="24"/>
          <w:szCs w:val="24"/>
          <w:lang w:eastAsia="en-GB"/>
        </w:rPr>
        <w:t>icillin-resistant Staphylococcus aureus (MRSA)</w:t>
      </w:r>
      <w:r w:rsidR="00766D28">
        <w:rPr>
          <w:b w:val="0"/>
          <w:bCs w:val="0"/>
          <w:kern w:val="0"/>
          <w:sz w:val="24"/>
          <w:szCs w:val="24"/>
          <w:lang w:eastAsia="en-GB"/>
        </w:rPr>
        <w:t xml:space="preserve"> </w:t>
      </w:r>
      <w:r w:rsidR="00424E35">
        <w:rPr>
          <w:b w:val="0"/>
          <w:bCs w:val="0"/>
          <w:kern w:val="0"/>
          <w:sz w:val="24"/>
          <w:szCs w:val="24"/>
          <w:lang w:eastAsia="en-GB"/>
        </w:rPr>
        <w:t xml:space="preserve">- </w:t>
      </w:r>
      <w:r w:rsidR="00766D28">
        <w:rPr>
          <w:b w:val="0"/>
          <w:bCs w:val="0"/>
          <w:kern w:val="0"/>
          <w:sz w:val="24"/>
          <w:szCs w:val="24"/>
          <w:lang w:eastAsia="en-GB"/>
        </w:rPr>
        <w:t>(</w:t>
      </w:r>
      <w:r w:rsidR="006021FF">
        <w:rPr>
          <w:b w:val="0"/>
          <w:bCs w:val="0"/>
          <w:kern w:val="0"/>
          <w:sz w:val="24"/>
          <w:szCs w:val="24"/>
          <w:lang w:eastAsia="en-GB"/>
        </w:rPr>
        <w:t>see also</w:t>
      </w:r>
      <w:r w:rsidR="00766D28">
        <w:rPr>
          <w:b w:val="0"/>
          <w:bCs w:val="0"/>
          <w:kern w:val="0"/>
          <w:sz w:val="24"/>
          <w:szCs w:val="24"/>
          <w:lang w:eastAsia="en-GB"/>
        </w:rPr>
        <w:t xml:space="preserve"> IAP00039 </w:t>
      </w:r>
      <w:r w:rsidR="00424E35">
        <w:rPr>
          <w:b w:val="0"/>
          <w:bCs w:val="0"/>
          <w:kern w:val="0"/>
          <w:sz w:val="24"/>
          <w:szCs w:val="24"/>
          <w:lang w:eastAsia="en-GB"/>
        </w:rPr>
        <w:t>(</w:t>
      </w:r>
      <w:r w:rsidR="00766D28">
        <w:rPr>
          <w:b w:val="0"/>
          <w:bCs w:val="0"/>
          <w:kern w:val="0"/>
          <w:sz w:val="24"/>
          <w:szCs w:val="24"/>
          <w:lang w:eastAsia="en-GB"/>
        </w:rPr>
        <w:t>Trust version)</w:t>
      </w:r>
      <w:r w:rsidR="00424E35">
        <w:rPr>
          <w:b w:val="0"/>
          <w:bCs w:val="0"/>
          <w:kern w:val="0"/>
          <w:sz w:val="24"/>
          <w:szCs w:val="24"/>
          <w:lang w:eastAsia="en-GB"/>
        </w:rPr>
        <w:t>)</w:t>
      </w:r>
    </w:p>
    <w:p w14:paraId="7C25BFBC" w14:textId="6AA26ED2"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6A0AAFD7" w14:textId="16C4A9D2" w:rsidR="00645411" w:rsidRPr="006E1387" w:rsidRDefault="00630A5B" w:rsidP="005F4FB1">
            <w:pPr>
              <w:spacing w:before="120" w:after="120"/>
              <w:rPr>
                <w:rFonts w:ascii="Arial" w:hAnsi="Arial" w:cs="Arial"/>
                <w:sz w:val="22"/>
                <w:szCs w:val="22"/>
              </w:rPr>
            </w:pPr>
            <w:r>
              <w:rPr>
                <w:rFonts w:ascii="Arial" w:hAnsi="Arial" w:cs="Arial"/>
                <w:sz w:val="22"/>
                <w:szCs w:val="22"/>
              </w:rPr>
              <w:t>This indicator is p</w:t>
            </w:r>
            <w:r w:rsidRPr="00630A5B">
              <w:rPr>
                <w:rFonts w:ascii="Arial" w:hAnsi="Arial" w:cs="Arial"/>
                <w:sz w:val="22"/>
                <w:szCs w:val="22"/>
              </w:rPr>
              <w:t xml:space="preserve">art of </w:t>
            </w:r>
            <w:r w:rsidR="00645411">
              <w:rPr>
                <w:rFonts w:ascii="Arial" w:hAnsi="Arial" w:cs="Arial"/>
                <w:sz w:val="22"/>
                <w:szCs w:val="22"/>
              </w:rPr>
              <w:t>the</w:t>
            </w:r>
            <w:r w:rsidR="005F4FB1">
              <w:rPr>
                <w:rFonts w:ascii="Arial" w:hAnsi="Arial" w:cs="Arial"/>
                <w:sz w:val="22"/>
                <w:szCs w:val="22"/>
              </w:rPr>
              <w:t xml:space="preserve"> CCG Outcomes Indicator Set</w:t>
            </w:r>
            <w:r w:rsidR="00841B9E">
              <w:rPr>
                <w:rFonts w:ascii="Arial" w:hAnsi="Arial" w:cs="Arial"/>
                <w:sz w:val="22"/>
                <w:szCs w:val="22"/>
              </w:rPr>
              <w:t>, d</w:t>
            </w:r>
            <w:r w:rsidR="008330FB">
              <w:rPr>
                <w:rFonts w:ascii="Arial" w:hAnsi="Arial" w:cs="Arial"/>
                <w:sz w:val="22"/>
                <w:szCs w:val="22"/>
              </w:rPr>
              <w:t xml:space="preserve">omain 5 - </w:t>
            </w:r>
            <w:r w:rsidR="008330FB" w:rsidRPr="008330FB">
              <w:rPr>
                <w:rFonts w:ascii="Arial" w:hAnsi="Arial" w:cs="Arial"/>
                <w:sz w:val="22"/>
                <w:szCs w:val="22"/>
              </w:rPr>
              <w:t>Treating and caring for people in a safe environment and protecting them from avoidable harm</w:t>
            </w:r>
            <w:r w:rsidR="008330FB">
              <w:rPr>
                <w:rFonts w:ascii="Arial" w:hAnsi="Arial" w:cs="Arial"/>
                <w:sz w:val="22"/>
                <w:szCs w:val="22"/>
              </w:rPr>
              <w:t>)</w:t>
            </w:r>
            <w:r w:rsidRPr="00630A5B">
              <w:rPr>
                <w:rFonts w:ascii="Arial" w:hAnsi="Arial" w:cs="Arial"/>
                <w:sz w:val="22"/>
                <w:szCs w:val="22"/>
              </w:rPr>
              <w:t xml:space="preserve">, </w:t>
            </w:r>
            <w:r w:rsidR="00A61511">
              <w:rPr>
                <w:rFonts w:ascii="Arial" w:hAnsi="Arial" w:cs="Arial"/>
                <w:sz w:val="22"/>
                <w:szCs w:val="22"/>
              </w:rPr>
              <w:t>though all data and associated documents have been published by Public Health England since June 2019.</w:t>
            </w:r>
          </w:p>
        </w:tc>
        <w:tc>
          <w:tcPr>
            <w:tcW w:w="3047" w:type="dxa"/>
          </w:tcPr>
          <w:p w14:paraId="78280FB7" w14:textId="54CE4A2D" w:rsidR="00455B14" w:rsidRPr="006E1387" w:rsidRDefault="008351DC" w:rsidP="00A62410">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This indicator is part of a recognized dataset.</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5547B4A5" w14:textId="5AAAFE16" w:rsidR="00873503" w:rsidRDefault="008330FB" w:rsidP="00455B14">
            <w:pPr>
              <w:spacing w:before="120" w:after="120"/>
              <w:rPr>
                <w:rFonts w:ascii="Arial" w:hAnsi="Arial" w:cs="Arial"/>
                <w:sz w:val="22"/>
                <w:szCs w:val="22"/>
              </w:rPr>
            </w:pPr>
            <w:r>
              <w:rPr>
                <w:rFonts w:ascii="Arial" w:hAnsi="Arial" w:cs="Arial"/>
                <w:sz w:val="22"/>
                <w:szCs w:val="22"/>
              </w:rPr>
              <w:t>From application form provided by NICE</w:t>
            </w:r>
            <w:r w:rsidR="005F4FB1">
              <w:rPr>
                <w:rFonts w:ascii="Arial" w:hAnsi="Arial" w:cs="Arial"/>
                <w:sz w:val="22"/>
                <w:szCs w:val="22"/>
              </w:rPr>
              <w:t xml:space="preserve"> for indicator IAP00039</w:t>
            </w:r>
            <w:r>
              <w:rPr>
                <w:rFonts w:ascii="Arial" w:hAnsi="Arial" w:cs="Arial"/>
                <w:sz w:val="22"/>
                <w:szCs w:val="22"/>
              </w:rPr>
              <w:t>:</w:t>
            </w:r>
          </w:p>
          <w:p w14:paraId="24D24CE0" w14:textId="3C011D11" w:rsidR="008330FB" w:rsidRPr="008330FB" w:rsidRDefault="008330FB" w:rsidP="008330FB">
            <w:pPr>
              <w:spacing w:before="120" w:after="120"/>
              <w:rPr>
                <w:rFonts w:ascii="Arial" w:hAnsi="Arial" w:cs="Arial"/>
                <w:sz w:val="22"/>
                <w:szCs w:val="22"/>
              </w:rPr>
            </w:pPr>
            <w:r>
              <w:rPr>
                <w:rFonts w:ascii="Arial" w:hAnsi="Arial" w:cs="Arial"/>
                <w:sz w:val="22"/>
                <w:szCs w:val="22"/>
              </w:rPr>
              <w:t>“</w:t>
            </w:r>
            <w:r w:rsidRPr="008330FB">
              <w:rPr>
                <w:rFonts w:ascii="Arial" w:hAnsi="Arial" w:cs="Arial"/>
                <w:sz w:val="22"/>
                <w:szCs w:val="22"/>
              </w:rPr>
              <w:t>A long running voluntary surveillance scheme of laboratory reported cases of bacteraemia showed increasing incidence of MRSA infections in England, Wales and Northern Ireland in the 1990s. This generated public health, media and public interest. In response, the Department of Health (DH) in England introduced a mandatory surveillance scheme for S. a</w:t>
            </w:r>
            <w:r>
              <w:rPr>
                <w:rFonts w:ascii="Arial" w:hAnsi="Arial" w:cs="Arial"/>
                <w:sz w:val="22"/>
                <w:szCs w:val="22"/>
              </w:rPr>
              <w:t>ureus bacteraemia in April 2001</w:t>
            </w:r>
            <w:r w:rsidRPr="008330FB">
              <w:rPr>
                <w:rFonts w:ascii="Arial" w:hAnsi="Arial" w:cs="Arial"/>
                <w:sz w:val="22"/>
                <w:szCs w:val="22"/>
              </w:rPr>
              <w:t>.</w:t>
            </w:r>
          </w:p>
          <w:p w14:paraId="46FD2163" w14:textId="79254B73" w:rsidR="008330FB" w:rsidRPr="006E1387" w:rsidRDefault="008330FB" w:rsidP="008330FB">
            <w:pPr>
              <w:spacing w:before="120" w:after="120"/>
              <w:rPr>
                <w:rFonts w:ascii="Arial" w:hAnsi="Arial" w:cs="Arial"/>
                <w:sz w:val="22"/>
                <w:szCs w:val="22"/>
              </w:rPr>
            </w:pPr>
            <w:r w:rsidRPr="008330FB">
              <w:rPr>
                <w:rFonts w:ascii="Arial" w:hAnsi="Arial" w:cs="Arial"/>
                <w:sz w:val="22"/>
                <w:szCs w:val="22"/>
              </w:rPr>
              <w:t>The zero-toleranc</w:t>
            </w:r>
            <w:r>
              <w:rPr>
                <w:rFonts w:ascii="Arial" w:hAnsi="Arial" w:cs="Arial"/>
                <w:sz w:val="22"/>
                <w:szCs w:val="22"/>
              </w:rPr>
              <w:t>e approach to MRSA has been re-</w:t>
            </w:r>
            <w:r w:rsidRPr="008330FB">
              <w:rPr>
                <w:rFonts w:ascii="Arial" w:hAnsi="Arial" w:cs="Arial"/>
                <w:sz w:val="22"/>
                <w:szCs w:val="22"/>
              </w:rPr>
              <w:t xml:space="preserve">iterated in Everyone </w:t>
            </w:r>
            <w:r w:rsidRPr="008330FB">
              <w:rPr>
                <w:rFonts w:ascii="Arial" w:hAnsi="Arial" w:cs="Arial"/>
                <w:sz w:val="22"/>
                <w:szCs w:val="22"/>
              </w:rPr>
              <w:lastRenderedPageBreak/>
              <w:t>Counts: Planning for Patients 2014/15 to 2018/19 http://www.england.nhs.uk/wp-content/uploads/2013</w:t>
            </w:r>
            <w:r>
              <w:rPr>
                <w:rFonts w:ascii="Arial" w:hAnsi="Arial" w:cs="Arial"/>
                <w:sz w:val="22"/>
                <w:szCs w:val="22"/>
              </w:rPr>
              <w:t>/12/5yrstrat-plann-guid-wa.pdf</w:t>
            </w:r>
            <w:r w:rsidRPr="008330FB">
              <w:rPr>
                <w:rFonts w:ascii="Arial" w:hAnsi="Arial" w:cs="Arial"/>
                <w:sz w:val="22"/>
                <w:szCs w:val="22"/>
              </w:rPr>
              <w:t>, which was published on 20th December 2013</w:t>
            </w:r>
            <w:r>
              <w:rPr>
                <w:rFonts w:ascii="Arial" w:hAnsi="Arial" w:cs="Arial"/>
                <w:sz w:val="22"/>
                <w:szCs w:val="22"/>
              </w:rPr>
              <w:t>”</w:t>
            </w:r>
          </w:p>
        </w:tc>
        <w:tc>
          <w:tcPr>
            <w:tcW w:w="3047" w:type="dxa"/>
          </w:tcPr>
          <w:p w14:paraId="12B8C1AB" w14:textId="451B7368" w:rsidR="002A23A7" w:rsidRPr="006E1387" w:rsidRDefault="008330FB" w:rsidP="00DD042E">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This indicator aligns with NICE guidance (PH36</w:t>
            </w:r>
            <w:r w:rsidR="00DD042E">
              <w:rPr>
                <w:rStyle w:val="FootnoteReference"/>
                <w:rFonts w:eastAsiaTheme="minorEastAsia" w:cs="Arial"/>
                <w:color w:val="000000" w:themeColor="dark1"/>
                <w:kern w:val="24"/>
                <w:sz w:val="22"/>
                <w:szCs w:val="22"/>
              </w:rPr>
              <w:footnoteReference w:id="1"/>
            </w:r>
            <w:r>
              <w:rPr>
                <w:rFonts w:eastAsiaTheme="minorEastAsia" w:cs="Arial"/>
                <w:color w:val="000000" w:themeColor="dark1"/>
                <w:kern w:val="24"/>
                <w:sz w:val="22"/>
                <w:szCs w:val="22"/>
              </w:rPr>
              <w:t>, CG139</w:t>
            </w:r>
            <w:r w:rsidR="00DD042E">
              <w:rPr>
                <w:rStyle w:val="FootnoteReference"/>
                <w:rFonts w:eastAsiaTheme="minorEastAsia" w:cs="Arial"/>
                <w:color w:val="000000" w:themeColor="dark1"/>
                <w:kern w:val="24"/>
                <w:sz w:val="22"/>
                <w:szCs w:val="22"/>
              </w:rPr>
              <w:footnoteReference w:id="2"/>
            </w:r>
            <w:r w:rsidR="00DD042E">
              <w:rPr>
                <w:rFonts w:eastAsiaTheme="minorEastAsia" w:cs="Arial"/>
                <w:color w:val="000000" w:themeColor="dark1"/>
                <w:kern w:val="24"/>
                <w:sz w:val="22"/>
                <w:szCs w:val="22"/>
              </w:rPr>
              <w:t>, NG125</w:t>
            </w:r>
            <w:r w:rsidR="00DD042E">
              <w:rPr>
                <w:rStyle w:val="FootnoteReference"/>
                <w:rFonts w:eastAsiaTheme="minorEastAsia" w:cs="Arial"/>
                <w:color w:val="000000" w:themeColor="dark1"/>
                <w:kern w:val="24"/>
                <w:sz w:val="22"/>
                <w:szCs w:val="22"/>
              </w:rPr>
              <w:footnoteReference w:id="3"/>
            </w:r>
            <w:r w:rsidR="00DD042E">
              <w:rPr>
                <w:rFonts w:eastAsiaTheme="minorEastAsia" w:cs="Arial"/>
                <w:color w:val="000000" w:themeColor="dark1"/>
                <w:kern w:val="24"/>
                <w:sz w:val="22"/>
                <w:szCs w:val="22"/>
              </w:rPr>
              <w:t>, QS49</w:t>
            </w:r>
            <w:r w:rsidR="00DD042E">
              <w:rPr>
                <w:rStyle w:val="FootnoteReference"/>
                <w:rFonts w:eastAsiaTheme="minorEastAsia" w:cs="Arial"/>
                <w:color w:val="000000" w:themeColor="dark1"/>
                <w:kern w:val="24"/>
                <w:sz w:val="22"/>
                <w:szCs w:val="22"/>
              </w:rPr>
              <w:footnoteReference w:id="4"/>
            </w:r>
            <w:r w:rsidR="00DD042E">
              <w:rPr>
                <w:rFonts w:eastAsiaTheme="minorEastAsia" w:cs="Arial"/>
                <w:color w:val="000000" w:themeColor="dark1"/>
                <w:kern w:val="24"/>
                <w:sz w:val="22"/>
                <w:szCs w:val="22"/>
              </w:rPr>
              <w:t>,</w:t>
            </w:r>
            <w:r>
              <w:rPr>
                <w:rFonts w:eastAsiaTheme="minorEastAsia" w:cs="Arial"/>
                <w:color w:val="000000" w:themeColor="dark1"/>
                <w:kern w:val="24"/>
                <w:sz w:val="22"/>
                <w:szCs w:val="22"/>
              </w:rPr>
              <w:t xml:space="preserve"> QS113</w:t>
            </w:r>
            <w:r w:rsidR="00DD042E">
              <w:rPr>
                <w:rStyle w:val="FootnoteReference"/>
                <w:rFonts w:eastAsiaTheme="minorEastAsia" w:cs="Arial"/>
                <w:color w:val="000000" w:themeColor="dark1"/>
                <w:kern w:val="24"/>
                <w:sz w:val="22"/>
                <w:szCs w:val="22"/>
              </w:rPr>
              <w:footnoteReference w:id="5"/>
            </w:r>
            <w:r>
              <w:rPr>
                <w:rFonts w:eastAsiaTheme="minorEastAsia" w:cs="Arial"/>
                <w:color w:val="000000" w:themeColor="dark1"/>
                <w:kern w:val="24"/>
                <w:sz w:val="22"/>
                <w:szCs w:val="22"/>
              </w:rPr>
              <w: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7F5AB8B1" w14:textId="1D457ED8"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Numerator: </w:t>
            </w:r>
            <w:r w:rsidR="0058190A">
              <w:rPr>
                <w:rFonts w:ascii="Arial" w:hAnsi="Arial" w:cs="Arial"/>
                <w:color w:val="000000"/>
                <w:kern w:val="24"/>
                <w:sz w:val="22"/>
                <w:szCs w:val="22"/>
                <w:lang w:eastAsia="en-GB"/>
              </w:rPr>
              <w:t>Count of MRSA bacteraemia by organisation</w:t>
            </w:r>
          </w:p>
          <w:p w14:paraId="4FC7B690" w14:textId="7DA22690"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58190A">
              <w:rPr>
                <w:rFonts w:ascii="Arial" w:hAnsi="Arial" w:cs="Arial"/>
                <w:color w:val="000000"/>
                <w:kern w:val="24"/>
                <w:sz w:val="22"/>
                <w:szCs w:val="22"/>
                <w:lang w:eastAsia="en-GB"/>
              </w:rPr>
              <w:t>N/A</w:t>
            </w:r>
          </w:p>
          <w:p w14:paraId="158FFEDA" w14:textId="29370A4C"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None. </w:t>
            </w:r>
          </w:p>
          <w:p w14:paraId="4E1F5C0E" w14:textId="67E1AA5E"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Methodology: </w:t>
            </w:r>
            <w:r w:rsidR="0058190A">
              <w:rPr>
                <w:rFonts w:ascii="Arial" w:hAnsi="Arial" w:cs="Arial"/>
                <w:color w:val="000000"/>
                <w:kern w:val="24"/>
                <w:sz w:val="22"/>
                <w:szCs w:val="22"/>
                <w:lang w:eastAsia="en-GB"/>
              </w:rPr>
              <w:t>Crude count</w:t>
            </w:r>
          </w:p>
          <w:p w14:paraId="241B73C2" w14:textId="0045A14B"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58190A">
              <w:rPr>
                <w:rFonts w:ascii="Arial" w:hAnsi="Arial" w:cs="Arial"/>
                <w:color w:val="000000"/>
                <w:kern w:val="24"/>
                <w:sz w:val="22"/>
                <w:szCs w:val="22"/>
                <w:lang w:eastAsia="en-GB"/>
              </w:rPr>
              <w:t>England, Trust and CCG</w:t>
            </w:r>
          </w:p>
          <w:p w14:paraId="5B155699" w14:textId="393139B9"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58190A">
              <w:rPr>
                <w:rFonts w:ascii="Arial" w:hAnsi="Arial" w:cs="Arial"/>
                <w:color w:val="000000"/>
                <w:kern w:val="24"/>
                <w:sz w:val="22"/>
                <w:szCs w:val="22"/>
                <w:lang w:eastAsia="en-GB"/>
              </w:rPr>
              <w:t>Public Health England</w:t>
            </w:r>
          </w:p>
          <w:p w14:paraId="134E4565" w14:textId="0EBBEB0F" w:rsidR="00A54F81" w:rsidRPr="006E1387" w:rsidRDefault="00873503" w:rsidP="00873503">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Disclosure control: No small number suppression</w:t>
            </w:r>
            <w:r w:rsidR="00A54F81" w:rsidRPr="006E1387">
              <w:rPr>
                <w:rFonts w:ascii="Arial" w:hAnsi="Arial" w:cs="Arial"/>
                <w:color w:val="000000"/>
                <w:kern w:val="24"/>
                <w:sz w:val="22"/>
                <w:szCs w:val="22"/>
                <w:lang w:eastAsia="en-GB"/>
              </w:rPr>
              <w:t xml:space="preserve"> </w:t>
            </w:r>
          </w:p>
        </w:tc>
        <w:tc>
          <w:tcPr>
            <w:tcW w:w="3047" w:type="dxa"/>
          </w:tcPr>
          <w:p w14:paraId="42FC7796" w14:textId="4A3EAD6E" w:rsidR="00455B14" w:rsidRPr="006E1387" w:rsidRDefault="00455B14" w:rsidP="00BA2B30">
            <w:pPr>
              <w:pStyle w:val="NormalWeb"/>
              <w:spacing w:before="120" w:beforeAutospacing="0" w:after="120" w:afterAutospacing="0"/>
              <w:rPr>
                <w:rFonts w:ascii="Arial" w:hAnsi="Arial" w:cs="Arial"/>
                <w:color w:val="000000"/>
                <w:kern w:val="24"/>
                <w:sz w:val="22"/>
                <w:szCs w:val="22"/>
              </w:rPr>
            </w:pPr>
            <w:r w:rsidRPr="006E1387">
              <w:rPr>
                <w:rFonts w:ascii="Arial" w:eastAsiaTheme="minorEastAsia" w:hAnsi="Arial" w:cs="Arial"/>
                <w:color w:val="000000" w:themeColor="dark1"/>
                <w:kern w:val="24"/>
                <w:sz w:val="22"/>
                <w:szCs w:val="22"/>
              </w:rPr>
              <w:t>The indicator has defined components neces</w:t>
            </w:r>
            <w:r w:rsidR="00BA2B30">
              <w:rPr>
                <w:rFonts w:ascii="Arial" w:eastAsiaTheme="minorEastAsia" w:hAnsi="Arial" w:cs="Arial"/>
                <w:color w:val="000000" w:themeColor="dark1"/>
                <w:kern w:val="24"/>
                <w:sz w:val="22"/>
                <w:szCs w:val="22"/>
              </w:rPr>
              <w:t>sary to construct the indicator.</w:t>
            </w:r>
            <w:r w:rsidR="00BA2B30" w:rsidRPr="006E1387">
              <w:rPr>
                <w:rFonts w:ascii="Arial" w:hAnsi="Arial" w:cs="Arial"/>
                <w:color w:val="000000"/>
                <w:kern w:val="24"/>
                <w:sz w:val="22"/>
                <w:szCs w:val="22"/>
              </w:rPr>
              <w:t xml:space="preserve"> </w:t>
            </w: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23202A2C" w14:textId="3D68A3D6" w:rsidR="002B4762" w:rsidRPr="006E1387" w:rsidRDefault="00BD16C0" w:rsidP="002B4762">
            <w:pPr>
              <w:spacing w:before="120" w:after="120"/>
              <w:rPr>
                <w:rFonts w:ascii="Arial" w:hAnsi="Arial" w:cs="Arial"/>
                <w:sz w:val="22"/>
                <w:szCs w:val="22"/>
              </w:rPr>
            </w:pPr>
            <w:r>
              <w:rPr>
                <w:rFonts w:ascii="Arial" w:hAnsi="Arial" w:cs="Arial"/>
                <w:sz w:val="22"/>
                <w:szCs w:val="22"/>
              </w:rPr>
              <w:t>The data comes from long running data sources.</w:t>
            </w:r>
          </w:p>
        </w:tc>
        <w:tc>
          <w:tcPr>
            <w:tcW w:w="3047" w:type="dxa"/>
          </w:tcPr>
          <w:p w14:paraId="7C614BB1" w14:textId="4253BD1E" w:rsidR="00455B14" w:rsidRPr="006E1387" w:rsidRDefault="00455B14" w:rsidP="00873503">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 xml:space="preserve">The indicator uses existing data fields </w:t>
            </w:r>
            <w:r w:rsidR="00AB6032" w:rsidRPr="006E1387">
              <w:rPr>
                <w:rFonts w:ascii="Arial" w:eastAsiaTheme="minorEastAsia" w:hAnsi="Arial" w:cs="Arial"/>
                <w:color w:val="000000" w:themeColor="dark1"/>
                <w:kern w:val="24"/>
                <w:sz w:val="22"/>
                <w:szCs w:val="22"/>
                <w:lang w:eastAsia="en-GB"/>
              </w:rPr>
              <w:t xml:space="preserve">within </w:t>
            </w:r>
            <w:r w:rsidR="00873503">
              <w:rPr>
                <w:rFonts w:ascii="Arial" w:eastAsiaTheme="minorEastAsia" w:hAnsi="Arial" w:cs="Arial"/>
                <w:color w:val="000000" w:themeColor="dark1"/>
                <w:kern w:val="24"/>
                <w:sz w:val="22"/>
                <w:szCs w:val="22"/>
                <w:lang w:eastAsia="en-GB"/>
              </w:rPr>
              <w:t>published data.</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7224DD18" w14:textId="5F6289BE" w:rsidR="00140D83" w:rsidRPr="006E1387" w:rsidRDefault="008330FB" w:rsidP="00455B14">
            <w:pPr>
              <w:spacing w:before="120" w:after="120"/>
              <w:rPr>
                <w:rFonts w:ascii="Arial" w:hAnsi="Arial" w:cs="Arial"/>
                <w:sz w:val="22"/>
                <w:szCs w:val="22"/>
              </w:rPr>
            </w:pPr>
            <w:r>
              <w:rPr>
                <w:rFonts w:ascii="Arial" w:hAnsi="Arial" w:cs="Arial"/>
                <w:sz w:val="22"/>
                <w:szCs w:val="22"/>
              </w:rPr>
              <w:t>The indicator</w:t>
            </w:r>
            <w:r w:rsidR="00BD16C0">
              <w:rPr>
                <w:rFonts w:ascii="Arial" w:hAnsi="Arial" w:cs="Arial"/>
                <w:sz w:val="22"/>
                <w:szCs w:val="22"/>
              </w:rPr>
              <w:t xml:space="preserve"> is reported on a monthly basis so data is very current.</w:t>
            </w:r>
          </w:p>
          <w:p w14:paraId="2117977B" w14:textId="218AFB98" w:rsidR="009F3187" w:rsidRPr="006E1387" w:rsidRDefault="009F3187" w:rsidP="00873503">
            <w:pPr>
              <w:pStyle w:val="NICEnormal"/>
              <w:spacing w:before="120" w:after="120" w:line="240" w:lineRule="auto"/>
              <w:rPr>
                <w:rFonts w:cs="Arial"/>
                <w:sz w:val="22"/>
                <w:szCs w:val="22"/>
              </w:rPr>
            </w:pPr>
          </w:p>
        </w:tc>
        <w:tc>
          <w:tcPr>
            <w:tcW w:w="3047" w:type="dxa"/>
          </w:tcPr>
          <w:p w14:paraId="29506238" w14:textId="1D02EB65"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4006EFD" w:rsidR="002223A6"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455B14" w:rsidRPr="006E1387" w14:paraId="515852F3" w14:textId="598C7331" w:rsidTr="00455B14">
        <w:tc>
          <w:tcPr>
            <w:tcW w:w="1878" w:type="dxa"/>
          </w:tcPr>
          <w:p w14:paraId="5DC1BD3A" w14:textId="17F33E7B" w:rsidR="00455B14" w:rsidRPr="006E1387" w:rsidRDefault="00455B14" w:rsidP="00455B14">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65EB49ED" w:rsidR="003A4CBB" w:rsidRPr="006E1387" w:rsidRDefault="00BD16C0" w:rsidP="003A4CBB">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None identified</w:t>
            </w:r>
          </w:p>
        </w:tc>
        <w:tc>
          <w:tcPr>
            <w:tcW w:w="3047" w:type="dxa"/>
          </w:tcPr>
          <w:p w14:paraId="7C2C11AA" w14:textId="2FBED6F8" w:rsidR="00831948" w:rsidRPr="006E1387" w:rsidRDefault="00BD16C0" w:rsidP="00831948">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t>No risks identified</w:t>
            </w:r>
          </w:p>
        </w:tc>
      </w:tr>
    </w:tbl>
    <w:p w14:paraId="37D9A2F5" w14:textId="084C27AB" w:rsidR="004A517E" w:rsidRDefault="004A517E">
      <w:pPr>
        <w:rPr>
          <w:rFonts w:ascii="Arial" w:hAnsi="Arial"/>
          <w:lang w:val="en-US"/>
        </w:rPr>
      </w:pPr>
    </w:p>
    <w:p w14:paraId="609888EC" w14:textId="392D19C3" w:rsidR="00AC5055" w:rsidRDefault="00424B4D" w:rsidP="00424B4D">
      <w:pPr>
        <w:pStyle w:val="Paragraph"/>
      </w:pPr>
      <w:r w:rsidRPr="00C01907">
        <w:rPr>
          <w:b/>
        </w:rPr>
        <w:t>Summary:</w:t>
      </w:r>
      <w:r w:rsidRPr="00424B4D">
        <w:t xml:space="preserve"> </w:t>
      </w:r>
      <w:r w:rsidR="001350CF">
        <w:t>Indicator to be renewed.</w:t>
      </w:r>
    </w:p>
    <w:p w14:paraId="433A5A52" w14:textId="56C99F46" w:rsidR="00424B4D" w:rsidRDefault="00AC5055" w:rsidP="00424B4D">
      <w:pPr>
        <w:pStyle w:val="Paragraph"/>
      </w:pPr>
      <w:r>
        <w:t>I</w:t>
      </w:r>
      <w:r w:rsidR="005F4FB1">
        <w:t xml:space="preserve">ndicator is identical to the NHS Outcomes Framework version </w:t>
      </w:r>
      <w:r w:rsidR="008D0423">
        <w:t>and</w:t>
      </w:r>
      <w:r w:rsidR="005F4FB1">
        <w:t xml:space="preserve"> link</w:t>
      </w:r>
      <w:r w:rsidR="008D0423">
        <w:t>s</w:t>
      </w:r>
      <w:r w:rsidR="005F4FB1">
        <w:t xml:space="preserve"> to the same published data.</w:t>
      </w:r>
    </w:p>
    <w:p w14:paraId="6FA97724" w14:textId="77777777" w:rsidR="00E6151C" w:rsidRDefault="00E6151C" w:rsidP="00E6151C">
      <w:pPr>
        <w:pStyle w:val="Paragraphnonumbers"/>
        <w:rPr>
          <w:b/>
        </w:rPr>
      </w:pPr>
      <w:r>
        <w:rPr>
          <w:b/>
        </w:rPr>
        <w:t xml:space="preserve">NHS Digital Indicator Reference: </w:t>
      </w:r>
    </w:p>
    <w:p w14:paraId="534C9591" w14:textId="0DCBA5F5" w:rsidR="00E6151C" w:rsidRDefault="00E6151C" w:rsidP="00E6151C">
      <w:pPr>
        <w:pStyle w:val="Paragraphnonumbers"/>
      </w:pPr>
      <w:r>
        <w:t xml:space="preserve">CCG Outcomes Indicator Set - </w:t>
      </w:r>
      <w:r w:rsidRPr="00E6151C">
        <w:t>5.3 Incidence of Healthcare Associated Infection (HCAI) – Meticillin-resistant Staphylococcus aureus (MRSA)</w:t>
      </w:r>
    </w:p>
    <w:p w14:paraId="791214BC" w14:textId="77777777" w:rsidR="00E6151C" w:rsidRDefault="00E6151C" w:rsidP="00424B4D">
      <w:pPr>
        <w:pStyle w:val="Paragraph"/>
      </w:pPr>
    </w:p>
    <w:sectPr w:rsidR="00E6151C"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16A9CAC0" w:rsidR="00BB14CA" w:rsidRPr="008C1C95" w:rsidRDefault="008C6BFD" w:rsidP="008C6BFD">
    <w:pPr>
      <w:pStyle w:val="Footer"/>
    </w:pPr>
    <w:r>
      <w:t>IAP00148 Incidence of Healthcare Associated Infection (HCAI) – Methicillin-resistant Staphylococcus aureus (MRSA): Validity assessment December 2020</w:t>
    </w:r>
    <w:r w:rsidR="009B0E59">
      <w:tab/>
    </w:r>
    <w:r w:rsidR="009B0E59">
      <w:tab/>
    </w:r>
    <w:r>
      <w:tab/>
    </w:r>
    <w:r w:rsidR="00BB14CA">
      <w:fldChar w:fldCharType="begin"/>
    </w:r>
    <w:r w:rsidR="00BB14CA">
      <w:instrText xml:space="preserve"> PAGE </w:instrText>
    </w:r>
    <w:r w:rsidR="00BB14CA">
      <w:fldChar w:fldCharType="separate"/>
    </w:r>
    <w:r w:rsidR="00E6151C">
      <w:rPr>
        <w:noProof/>
      </w:rPr>
      <w:t>2</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E6151C">
      <w:rPr>
        <w:noProof/>
      </w:rPr>
      <w:t>2</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4E53BACC" w14:textId="321CD6C7" w:rsidR="00DD042E" w:rsidRDefault="00DD042E">
      <w:pPr>
        <w:pStyle w:val="FootnoteText"/>
      </w:pPr>
      <w:r>
        <w:rPr>
          <w:rStyle w:val="FootnoteReference"/>
        </w:rPr>
        <w:footnoteRef/>
      </w:r>
      <w:r>
        <w:t xml:space="preserve"> </w:t>
      </w:r>
      <w:r w:rsidR="008C6BFD" w:rsidRPr="00DD042E">
        <w:t>Healthcare-associated infections: prevention and control</w:t>
      </w:r>
      <w:r w:rsidR="008C6BFD">
        <w:t xml:space="preserve">, Published 11 November 2011, </w:t>
      </w:r>
      <w:hyperlink r:id="rId1" w:history="1">
        <w:r w:rsidR="008C6BFD" w:rsidRPr="002E18BC">
          <w:rPr>
            <w:rStyle w:val="Hyperlink"/>
          </w:rPr>
          <w:t>https://www.nice.org.uk/guidance/ph36</w:t>
        </w:r>
      </w:hyperlink>
    </w:p>
  </w:footnote>
  <w:footnote w:id="2">
    <w:p w14:paraId="368F0B78" w14:textId="2AD55448" w:rsidR="00DD042E" w:rsidRDefault="00DD042E">
      <w:pPr>
        <w:pStyle w:val="FootnoteText"/>
      </w:pPr>
      <w:r>
        <w:rPr>
          <w:rStyle w:val="FootnoteReference"/>
        </w:rPr>
        <w:footnoteRef/>
      </w:r>
      <w:r>
        <w:t xml:space="preserve"> </w:t>
      </w:r>
      <w:r w:rsidR="008C6BFD" w:rsidRPr="00DD042E">
        <w:t>Healthcare-associated infections: prevention and control in primary and community care</w:t>
      </w:r>
      <w:r w:rsidR="008C6BFD">
        <w:t xml:space="preserve">, Published 28 March 2012, </w:t>
      </w:r>
      <w:hyperlink r:id="rId2" w:history="1">
        <w:r w:rsidR="008C6BFD" w:rsidRPr="002E18BC">
          <w:rPr>
            <w:rStyle w:val="Hyperlink"/>
          </w:rPr>
          <w:t>https://www.nice.org.uk/guidance/cg139</w:t>
        </w:r>
      </w:hyperlink>
    </w:p>
  </w:footnote>
  <w:footnote w:id="3">
    <w:p w14:paraId="3A849629" w14:textId="6A6A3B20" w:rsidR="00DD042E" w:rsidRDefault="00DD042E" w:rsidP="00DD042E">
      <w:pPr>
        <w:pStyle w:val="FootnoteText"/>
      </w:pPr>
      <w:r>
        <w:rPr>
          <w:rStyle w:val="FootnoteReference"/>
        </w:rPr>
        <w:footnoteRef/>
      </w:r>
      <w:r>
        <w:t xml:space="preserve"> </w:t>
      </w:r>
      <w:r w:rsidR="008C6BFD" w:rsidRPr="00DD042E">
        <w:t>Surgical site infections: prevention and treatment</w:t>
      </w:r>
      <w:r w:rsidR="008C6BFD">
        <w:t xml:space="preserve">, Last updated 19 August 2020, </w:t>
      </w:r>
      <w:hyperlink r:id="rId3" w:history="1">
        <w:r w:rsidR="008C6BFD" w:rsidRPr="002E18BC">
          <w:rPr>
            <w:rStyle w:val="Hyperlink"/>
          </w:rPr>
          <w:t>https://www.nice.org.uk/guidance/ng125</w:t>
        </w:r>
      </w:hyperlink>
    </w:p>
  </w:footnote>
  <w:footnote w:id="4">
    <w:p w14:paraId="0648C3BA" w14:textId="2BE05CE8" w:rsidR="00DD042E" w:rsidRDefault="00DD042E">
      <w:pPr>
        <w:pStyle w:val="FootnoteText"/>
      </w:pPr>
      <w:r>
        <w:rPr>
          <w:rStyle w:val="FootnoteReference"/>
        </w:rPr>
        <w:footnoteRef/>
      </w:r>
      <w:r>
        <w:t xml:space="preserve"> </w:t>
      </w:r>
      <w:r w:rsidR="008C6BFD" w:rsidRPr="00DD042E">
        <w:t>Surgical site infection</w:t>
      </w:r>
      <w:r w:rsidR="008C6BFD">
        <w:t xml:space="preserve">, Published 31 October 2013, </w:t>
      </w:r>
      <w:hyperlink r:id="rId4" w:history="1">
        <w:r w:rsidR="008C6BFD" w:rsidRPr="002E18BC">
          <w:rPr>
            <w:rStyle w:val="Hyperlink"/>
          </w:rPr>
          <w:t>https://www.nice.org.uk/guidance/qs49</w:t>
        </w:r>
      </w:hyperlink>
    </w:p>
  </w:footnote>
  <w:footnote w:id="5">
    <w:p w14:paraId="49272730" w14:textId="24482BC9" w:rsidR="00DD042E" w:rsidRDefault="00DD042E">
      <w:pPr>
        <w:pStyle w:val="FootnoteText"/>
      </w:pPr>
      <w:r>
        <w:rPr>
          <w:rStyle w:val="FootnoteReference"/>
        </w:rPr>
        <w:footnoteRef/>
      </w:r>
      <w:r>
        <w:t xml:space="preserve"> </w:t>
      </w:r>
      <w:r w:rsidR="008C6BFD" w:rsidRPr="00DD042E">
        <w:t>Healthcare-associated infections</w:t>
      </w:r>
      <w:r w:rsidR="008C6BFD">
        <w:t xml:space="preserve">, Published 11 February 2016, </w:t>
      </w:r>
      <w:hyperlink r:id="rId5" w:history="1">
        <w:r w:rsidR="008C6BFD" w:rsidRPr="002E18BC">
          <w:rPr>
            <w:rStyle w:val="Hyperlink"/>
          </w:rPr>
          <w:t>https://www.nice.org.uk/guidance/qs113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8C6BFD">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6"/>
  </w:num>
  <w:num w:numId="4">
    <w:abstractNumId w:val="11"/>
  </w:num>
  <w:num w:numId="5">
    <w:abstractNumId w:val="23"/>
  </w:num>
  <w:num w:numId="6">
    <w:abstractNumId w:val="1"/>
  </w:num>
  <w:num w:numId="7">
    <w:abstractNumId w:val="9"/>
  </w:num>
  <w:num w:numId="8">
    <w:abstractNumId w:val="21"/>
  </w:num>
  <w:num w:numId="9">
    <w:abstractNumId w:val="22"/>
  </w:num>
  <w:num w:numId="10">
    <w:abstractNumId w:val="4"/>
  </w:num>
  <w:num w:numId="11">
    <w:abstractNumId w:val="6"/>
  </w:num>
  <w:num w:numId="12">
    <w:abstractNumId w:val="2"/>
  </w:num>
  <w:num w:numId="13">
    <w:abstractNumId w:val="29"/>
  </w:num>
  <w:num w:numId="14">
    <w:abstractNumId w:val="13"/>
  </w:num>
  <w:num w:numId="15">
    <w:abstractNumId w:val="8"/>
  </w:num>
  <w:num w:numId="16">
    <w:abstractNumId w:val="18"/>
  </w:num>
  <w:num w:numId="17">
    <w:abstractNumId w:val="15"/>
  </w:num>
  <w:num w:numId="18">
    <w:abstractNumId w:val="20"/>
  </w:num>
  <w:num w:numId="19">
    <w:abstractNumId w:val="24"/>
  </w:num>
  <w:num w:numId="20">
    <w:abstractNumId w:val="5"/>
  </w:num>
  <w:num w:numId="21">
    <w:abstractNumId w:val="27"/>
  </w:num>
  <w:num w:numId="22">
    <w:abstractNumId w:val="0"/>
  </w:num>
  <w:num w:numId="23">
    <w:abstractNumId w:val="3"/>
  </w:num>
  <w:num w:numId="24">
    <w:abstractNumId w:val="25"/>
  </w:num>
  <w:num w:numId="25">
    <w:abstractNumId w:val="17"/>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12"/>
  </w:num>
  <w:num w:numId="31">
    <w:abstractNumId w:val="4"/>
  </w:num>
  <w:num w:numId="32">
    <w:abstractNumId w:val="4"/>
  </w:num>
  <w:num w:numId="33">
    <w:abstractNumId w:val="4"/>
  </w:num>
  <w:num w:numId="3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num>
  <w:num w:numId="38">
    <w:abstractNumId w:val="28"/>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522B"/>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0CF"/>
    <w:rsid w:val="001352C4"/>
    <w:rsid w:val="00136466"/>
    <w:rsid w:val="001368F7"/>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0C37"/>
    <w:rsid w:val="001F1315"/>
    <w:rsid w:val="001F1D2D"/>
    <w:rsid w:val="001F3C47"/>
    <w:rsid w:val="001F6AB0"/>
    <w:rsid w:val="002008EF"/>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3A6"/>
    <w:rsid w:val="002229AD"/>
    <w:rsid w:val="00224AEE"/>
    <w:rsid w:val="00225FF4"/>
    <w:rsid w:val="00230A13"/>
    <w:rsid w:val="002331C6"/>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47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8F7"/>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4B4D"/>
    <w:rsid w:val="00424E35"/>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CCC"/>
    <w:rsid w:val="00566FFF"/>
    <w:rsid w:val="0056705D"/>
    <w:rsid w:val="00571370"/>
    <w:rsid w:val="00575207"/>
    <w:rsid w:val="00577C83"/>
    <w:rsid w:val="00580FF4"/>
    <w:rsid w:val="0058190A"/>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E6E78"/>
    <w:rsid w:val="005F1165"/>
    <w:rsid w:val="005F25FD"/>
    <w:rsid w:val="005F3989"/>
    <w:rsid w:val="005F3C5C"/>
    <w:rsid w:val="005F4FB1"/>
    <w:rsid w:val="005F5AFD"/>
    <w:rsid w:val="005F6BB8"/>
    <w:rsid w:val="005F6F0A"/>
    <w:rsid w:val="005F7681"/>
    <w:rsid w:val="00601291"/>
    <w:rsid w:val="006021FF"/>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6D28"/>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0AD"/>
    <w:rsid w:val="007C4561"/>
    <w:rsid w:val="007C4814"/>
    <w:rsid w:val="007C516A"/>
    <w:rsid w:val="007C6CFD"/>
    <w:rsid w:val="007D1CD6"/>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1948"/>
    <w:rsid w:val="008330FB"/>
    <w:rsid w:val="0083313E"/>
    <w:rsid w:val="008331BB"/>
    <w:rsid w:val="008338B5"/>
    <w:rsid w:val="00833D43"/>
    <w:rsid w:val="008351DC"/>
    <w:rsid w:val="00840FF7"/>
    <w:rsid w:val="00841169"/>
    <w:rsid w:val="00841B9E"/>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86DDD"/>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C6BFD"/>
    <w:rsid w:val="008D0423"/>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5CF"/>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61511"/>
    <w:rsid w:val="00A62410"/>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5055"/>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7C"/>
    <w:rsid w:val="00B44CE2"/>
    <w:rsid w:val="00B453BB"/>
    <w:rsid w:val="00B50B39"/>
    <w:rsid w:val="00B53A23"/>
    <w:rsid w:val="00B54BE5"/>
    <w:rsid w:val="00B55D4E"/>
    <w:rsid w:val="00B570F4"/>
    <w:rsid w:val="00B57BE4"/>
    <w:rsid w:val="00B64C8C"/>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2B30"/>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16C0"/>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1907"/>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61C7"/>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1C27"/>
    <w:rsid w:val="00D13EFE"/>
    <w:rsid w:val="00D148D5"/>
    <w:rsid w:val="00D16E6A"/>
    <w:rsid w:val="00D172EA"/>
    <w:rsid w:val="00D1792B"/>
    <w:rsid w:val="00D224A1"/>
    <w:rsid w:val="00D2279D"/>
    <w:rsid w:val="00D2772A"/>
    <w:rsid w:val="00D32648"/>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008C"/>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D042E"/>
    <w:rsid w:val="00DE165D"/>
    <w:rsid w:val="00DE2FD7"/>
    <w:rsid w:val="00DE45A3"/>
    <w:rsid w:val="00DE466D"/>
    <w:rsid w:val="00DE5EE7"/>
    <w:rsid w:val="00DF1EC1"/>
    <w:rsid w:val="00DF343E"/>
    <w:rsid w:val="00DF67C3"/>
    <w:rsid w:val="00DF6CEB"/>
    <w:rsid w:val="00E0098A"/>
    <w:rsid w:val="00E009D9"/>
    <w:rsid w:val="00E027D1"/>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151C"/>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69B6"/>
    <w:rsid w:val="00F476F3"/>
    <w:rsid w:val="00F50AB9"/>
    <w:rsid w:val="00F51024"/>
    <w:rsid w:val="00F5122A"/>
    <w:rsid w:val="00F51940"/>
    <w:rsid w:val="00F51A84"/>
    <w:rsid w:val="00F523CD"/>
    <w:rsid w:val="00F53495"/>
    <w:rsid w:val="00F559F9"/>
    <w:rsid w:val="00F56168"/>
    <w:rsid w:val="00F561EE"/>
    <w:rsid w:val="00F63B09"/>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D612F"/>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title">
    <w:name w:val="product-title"/>
    <w:basedOn w:val="Normal"/>
    <w:rsid w:val="00B44C7C"/>
    <w:pPr>
      <w:spacing w:before="100" w:beforeAutospacing="1" w:after="100" w:afterAutospacing="1"/>
    </w:pPr>
    <w:rPr>
      <w:lang w:eastAsia="en-GB"/>
    </w:rPr>
  </w:style>
  <w:style w:type="character" w:customStyle="1" w:styleId="prod-title">
    <w:name w:val="prod-title"/>
    <w:basedOn w:val="DefaultParagraphFont"/>
    <w:rsid w:val="00B44C7C"/>
  </w:style>
  <w:style w:type="character" w:customStyle="1" w:styleId="published-date">
    <w:name w:val="published-date"/>
    <w:basedOn w:val="DefaultParagraphFont"/>
    <w:rsid w:val="00B44C7C"/>
  </w:style>
  <w:style w:type="paragraph" w:styleId="EndnoteText">
    <w:name w:val="endnote text"/>
    <w:basedOn w:val="Normal"/>
    <w:link w:val="EndnoteTextChar"/>
    <w:semiHidden/>
    <w:unhideWhenUsed/>
    <w:rsid w:val="00DD042E"/>
    <w:rPr>
      <w:sz w:val="20"/>
      <w:szCs w:val="20"/>
    </w:rPr>
  </w:style>
  <w:style w:type="character" w:customStyle="1" w:styleId="EndnoteTextChar">
    <w:name w:val="Endnote Text Char"/>
    <w:basedOn w:val="DefaultParagraphFont"/>
    <w:link w:val="EndnoteText"/>
    <w:semiHidden/>
    <w:rsid w:val="00DD04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768934">
      <w:bodyDiv w:val="1"/>
      <w:marLeft w:val="0"/>
      <w:marRight w:val="0"/>
      <w:marTop w:val="0"/>
      <w:marBottom w:val="0"/>
      <w:divBdr>
        <w:top w:val="none" w:sz="0" w:space="0" w:color="auto"/>
        <w:left w:val="none" w:sz="0" w:space="0" w:color="auto"/>
        <w:bottom w:val="none" w:sz="0" w:space="0" w:color="auto"/>
        <w:right w:val="none" w:sz="0" w:space="0" w:color="auto"/>
      </w:divBdr>
      <w:divsChild>
        <w:div w:id="1748114121">
          <w:marLeft w:val="0"/>
          <w:marRight w:val="0"/>
          <w:marTop w:val="0"/>
          <w:marBottom w:val="0"/>
          <w:divBdr>
            <w:top w:val="none" w:sz="0" w:space="0" w:color="auto"/>
            <w:left w:val="none" w:sz="0" w:space="0" w:color="auto"/>
            <w:bottom w:val="none" w:sz="0" w:space="0" w:color="auto"/>
            <w:right w:val="none" w:sz="0" w:space="0" w:color="auto"/>
          </w:divBdr>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35384850">
      <w:bodyDiv w:val="1"/>
      <w:marLeft w:val="0"/>
      <w:marRight w:val="0"/>
      <w:marTop w:val="0"/>
      <w:marBottom w:val="0"/>
      <w:divBdr>
        <w:top w:val="none" w:sz="0" w:space="0" w:color="auto"/>
        <w:left w:val="none" w:sz="0" w:space="0" w:color="auto"/>
        <w:bottom w:val="none" w:sz="0" w:space="0" w:color="auto"/>
        <w:right w:val="none" w:sz="0" w:space="0" w:color="auto"/>
      </w:divBdr>
      <w:divsChild>
        <w:div w:id="1370767335">
          <w:marLeft w:val="0"/>
          <w:marRight w:val="0"/>
          <w:marTop w:val="0"/>
          <w:marBottom w:val="0"/>
          <w:divBdr>
            <w:top w:val="none" w:sz="0" w:space="0" w:color="auto"/>
            <w:left w:val="none" w:sz="0" w:space="0" w:color="auto"/>
            <w:bottom w:val="none" w:sz="0" w:space="0" w:color="auto"/>
            <w:right w:val="none" w:sz="0" w:space="0" w:color="auto"/>
          </w:divBdr>
        </w:div>
      </w:divsChild>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843426466">
      <w:bodyDiv w:val="1"/>
      <w:marLeft w:val="0"/>
      <w:marRight w:val="0"/>
      <w:marTop w:val="0"/>
      <w:marBottom w:val="0"/>
      <w:divBdr>
        <w:top w:val="none" w:sz="0" w:space="0" w:color="auto"/>
        <w:left w:val="none" w:sz="0" w:space="0" w:color="auto"/>
        <w:bottom w:val="none" w:sz="0" w:space="0" w:color="auto"/>
        <w:right w:val="none" w:sz="0" w:space="0" w:color="auto"/>
      </w:divBdr>
      <w:divsChild>
        <w:div w:id="1576894052">
          <w:marLeft w:val="0"/>
          <w:marRight w:val="0"/>
          <w:marTop w:val="0"/>
          <w:marBottom w:val="0"/>
          <w:divBdr>
            <w:top w:val="none" w:sz="0" w:space="0" w:color="auto"/>
            <w:left w:val="none" w:sz="0" w:space="0" w:color="auto"/>
            <w:bottom w:val="none" w:sz="0" w:space="0" w:color="auto"/>
            <w:right w:val="none" w:sz="0" w:space="0" w:color="auto"/>
          </w:divBdr>
        </w:div>
      </w:divsChild>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guidance/ng125" TargetMode="External"/><Relationship Id="rId2" Type="http://schemas.openxmlformats.org/officeDocument/2006/relationships/hyperlink" Target="https://www.nice.org.uk/guidance/cg139" TargetMode="External"/><Relationship Id="rId1" Type="http://schemas.openxmlformats.org/officeDocument/2006/relationships/hyperlink" Target="https://www.nice.org.uk/guidance/ph36" TargetMode="External"/><Relationship Id="rId5" Type="http://schemas.openxmlformats.org/officeDocument/2006/relationships/hyperlink" Target="https://www.nice.org.uk/guidance/qs113" TargetMode="External"/><Relationship Id="rId4" Type="http://schemas.openxmlformats.org/officeDocument/2006/relationships/hyperlink" Target="https://www.nice.org.uk/guidance/qs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9E4E8-5E1B-4DC9-BB6F-6BD554A58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2020-12-04T15:55:00Z</dcterms:created>
  <dcterms:modified xsi:type="dcterms:W3CDTF">2021-05-20T06:44:00Z</dcterms:modified>
</cp:coreProperties>
</file>