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D4CF1" w14:textId="357E9590" w:rsidR="00D65FC9" w:rsidRPr="00F109A6" w:rsidRDefault="00D65FC9" w:rsidP="00D65FC9">
      <w:pPr>
        <w:jc w:val="center"/>
        <w:rPr>
          <w:b/>
          <w:bCs/>
          <w:sz w:val="28"/>
          <w:szCs w:val="28"/>
        </w:rPr>
      </w:pPr>
      <w:bookmarkStart w:id="0" w:name="_GoBack"/>
      <w:bookmarkEnd w:id="0"/>
      <w:r w:rsidRPr="00F109A6">
        <w:rPr>
          <w:b/>
          <w:bCs/>
          <w:sz w:val="28"/>
          <w:szCs w:val="28"/>
        </w:rPr>
        <w:t>NHS Digital</w:t>
      </w:r>
    </w:p>
    <w:p w14:paraId="2A1D8741" w14:textId="77777777" w:rsidR="00D65FC9" w:rsidRPr="00F109A6" w:rsidRDefault="00D65FC9" w:rsidP="00D65FC9">
      <w:pPr>
        <w:jc w:val="center"/>
        <w:rPr>
          <w:b/>
          <w:bCs/>
          <w:sz w:val="28"/>
          <w:szCs w:val="28"/>
        </w:rPr>
      </w:pPr>
      <w:r w:rsidRPr="00F109A6">
        <w:rPr>
          <w:b/>
          <w:bCs/>
          <w:sz w:val="28"/>
          <w:szCs w:val="28"/>
        </w:rPr>
        <w:t>Indicator Supporting Documentation</w:t>
      </w:r>
    </w:p>
    <w:p w14:paraId="0F46B869" w14:textId="0966AD67" w:rsidR="00D65FC9" w:rsidRDefault="00D65FC9" w:rsidP="00D65FC9">
      <w:pPr>
        <w:jc w:val="center"/>
        <w:rPr>
          <w:b/>
          <w:bCs/>
          <w:sz w:val="28"/>
          <w:szCs w:val="28"/>
        </w:rPr>
      </w:pPr>
      <w:r w:rsidRPr="00F109A6">
        <w:rPr>
          <w:b/>
          <w:bCs/>
          <w:sz w:val="28"/>
          <w:szCs w:val="28"/>
        </w:rPr>
        <w:t>IAP00</w:t>
      </w:r>
      <w:r>
        <w:rPr>
          <w:b/>
          <w:bCs/>
          <w:sz w:val="28"/>
          <w:szCs w:val="28"/>
        </w:rPr>
        <w:t xml:space="preserve">332 </w:t>
      </w:r>
      <w:r w:rsidRPr="00D65FC9">
        <w:rPr>
          <w:b/>
          <w:bCs/>
          <w:sz w:val="28"/>
          <w:szCs w:val="28"/>
        </w:rPr>
        <w:t>Alcohol-specific hospital admissions</w:t>
      </w:r>
    </w:p>
    <w:p w14:paraId="75840636" w14:textId="77777777" w:rsidR="00D65FC9" w:rsidRDefault="00D65FC9" w:rsidP="00D65FC9">
      <w:pPr>
        <w:jc w:val="center"/>
      </w:pPr>
    </w:p>
    <w:tbl>
      <w:tblPr>
        <w:tblStyle w:val="ListTable3-Accent1"/>
        <w:tblW w:w="0" w:type="auto"/>
        <w:tblLayout w:type="fixed"/>
        <w:tblLook w:val="04A0" w:firstRow="1" w:lastRow="0" w:firstColumn="1" w:lastColumn="0" w:noHBand="0" w:noVBand="1"/>
      </w:tblPr>
      <w:tblGrid>
        <w:gridCol w:w="1838"/>
        <w:gridCol w:w="6804"/>
      </w:tblGrid>
      <w:tr w:rsidR="00BD69FE" w:rsidRPr="00E70D3D" w14:paraId="61E7FAC6" w14:textId="77777777" w:rsidTr="00971E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22A05EAB" w14:textId="0A7395CE" w:rsidR="00BD69FE" w:rsidRPr="00E70D3D" w:rsidRDefault="00BD69FE" w:rsidP="00350474">
            <w:pPr>
              <w:rPr>
                <w:b w:val="0"/>
                <w:color w:val="auto"/>
              </w:rPr>
            </w:pPr>
            <w:r w:rsidRPr="00E70D3D">
              <w:rPr>
                <w:b w:val="0"/>
                <w:color w:val="auto"/>
              </w:rPr>
              <w:t>FIELD</w:t>
            </w:r>
          </w:p>
        </w:tc>
        <w:tc>
          <w:tcPr>
            <w:tcW w:w="6804" w:type="dxa"/>
            <w:tcBorders>
              <w:bottom w:val="single" w:sz="4" w:space="0" w:color="4F81BD" w:themeColor="accent1"/>
            </w:tcBorders>
          </w:tcPr>
          <w:p w14:paraId="7D5C885B" w14:textId="7C99E994" w:rsidR="00BD69FE" w:rsidRPr="00E70D3D" w:rsidRDefault="00BD69FE" w:rsidP="00350474">
            <w:pPr>
              <w:cnfStyle w:val="100000000000" w:firstRow="1" w:lastRow="0" w:firstColumn="0" w:lastColumn="0" w:oddVBand="0" w:evenVBand="0" w:oddHBand="0" w:evenHBand="0" w:firstRowFirstColumn="0" w:firstRowLastColumn="0" w:lastRowFirstColumn="0" w:lastRowLastColumn="0"/>
              <w:rPr>
                <w:color w:val="auto"/>
              </w:rPr>
            </w:pPr>
            <w:r w:rsidRPr="00E70D3D">
              <w:rPr>
                <w:color w:val="auto"/>
              </w:rPr>
              <w:t>CONTENTS</w:t>
            </w:r>
          </w:p>
        </w:tc>
      </w:tr>
      <w:tr w:rsidR="00BD69FE" w:rsidRPr="00E70D3D" w14:paraId="5489D00F"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C6EE05F" w14:textId="3079C9EF" w:rsidR="00BD69FE" w:rsidRPr="00E70D3D" w:rsidRDefault="00BD69FE" w:rsidP="00350474">
            <w:pPr>
              <w:rPr>
                <w:b w:val="0"/>
              </w:rPr>
            </w:pPr>
            <w:r w:rsidRPr="00E70D3D">
              <w:t>IAP</w:t>
            </w:r>
            <w:r w:rsidR="004C64BB" w:rsidRPr="00E70D3D">
              <w:t xml:space="preserve"> </w:t>
            </w:r>
            <w:r w:rsidRPr="00E70D3D">
              <w:t>Code</w:t>
            </w:r>
          </w:p>
        </w:tc>
        <w:tc>
          <w:tcPr>
            <w:tcW w:w="6804" w:type="dxa"/>
            <w:tcBorders>
              <w:left w:val="single" w:sz="4" w:space="0" w:color="auto"/>
            </w:tcBorders>
          </w:tcPr>
          <w:p w14:paraId="34A261AC" w14:textId="7F0C269D" w:rsidR="00BD69FE" w:rsidRPr="00E70D3D" w:rsidRDefault="00B81317" w:rsidP="00350474">
            <w:pPr>
              <w:cnfStyle w:val="000000100000" w:firstRow="0" w:lastRow="0" w:firstColumn="0" w:lastColumn="0" w:oddVBand="0" w:evenVBand="0" w:oddHBand="1" w:evenHBand="0" w:firstRowFirstColumn="0" w:firstRowLastColumn="0" w:lastRowFirstColumn="0" w:lastRowLastColumn="0"/>
            </w:pPr>
            <w:r w:rsidRPr="00E70D3D">
              <w:t>IAP00332</w:t>
            </w:r>
          </w:p>
        </w:tc>
      </w:tr>
      <w:tr w:rsidR="00BD69FE" w:rsidRPr="00E70D3D" w14:paraId="6629A3E7"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997C39" w14:textId="77777777" w:rsidR="00BD69FE" w:rsidRPr="00E70D3D" w:rsidRDefault="00BD69FE" w:rsidP="00350474">
            <w:pPr>
              <w:rPr>
                <w:b w:val="0"/>
              </w:rPr>
            </w:pPr>
            <w:r w:rsidRPr="00E70D3D">
              <w:t>Title</w:t>
            </w:r>
          </w:p>
        </w:tc>
        <w:tc>
          <w:tcPr>
            <w:tcW w:w="6804" w:type="dxa"/>
            <w:tcBorders>
              <w:left w:val="single" w:sz="4" w:space="0" w:color="auto"/>
            </w:tcBorders>
          </w:tcPr>
          <w:p w14:paraId="523F6C46" w14:textId="35C30ADE" w:rsidR="00BD69FE" w:rsidRPr="00E70D3D" w:rsidRDefault="00D40ED4" w:rsidP="007701E6">
            <w:pPr>
              <w:cnfStyle w:val="000000000000" w:firstRow="0" w:lastRow="0" w:firstColumn="0" w:lastColumn="0" w:oddVBand="0" w:evenVBand="0" w:oddHBand="0" w:evenHBand="0" w:firstRowFirstColumn="0" w:firstRowLastColumn="0" w:lastRowFirstColumn="0" w:lastRowLastColumn="0"/>
            </w:pPr>
            <w:r w:rsidRPr="00E70D3D">
              <w:t>Alcohol-specific hospital admissions</w:t>
            </w:r>
          </w:p>
        </w:tc>
      </w:tr>
      <w:tr w:rsidR="00F97ADA" w:rsidRPr="00E70D3D" w14:paraId="28621C4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052110F3" w14:textId="77777777" w:rsidR="00F97ADA" w:rsidRPr="00E70D3D" w:rsidRDefault="00F97ADA" w:rsidP="00F97ADA">
            <w:pPr>
              <w:rPr>
                <w:b w:val="0"/>
              </w:rPr>
            </w:pPr>
            <w:r w:rsidRPr="00E70D3D">
              <w:t>Published by</w:t>
            </w:r>
          </w:p>
        </w:tc>
        <w:tc>
          <w:tcPr>
            <w:tcW w:w="6804" w:type="dxa"/>
            <w:tcBorders>
              <w:left w:val="single" w:sz="4" w:space="0" w:color="auto"/>
            </w:tcBorders>
          </w:tcPr>
          <w:p w14:paraId="6093FD1D" w14:textId="6DF50DBF" w:rsidR="00F97ADA" w:rsidRPr="00E70D3D" w:rsidRDefault="00F97ADA" w:rsidP="00F97ADA">
            <w:pPr>
              <w:cnfStyle w:val="000000100000" w:firstRow="0" w:lastRow="0" w:firstColumn="0" w:lastColumn="0" w:oddVBand="0" w:evenVBand="0" w:oddHBand="1" w:evenHBand="0" w:firstRowFirstColumn="0" w:firstRowLastColumn="0" w:lastRowFirstColumn="0" w:lastRowLastColumn="0"/>
            </w:pPr>
            <w:r w:rsidRPr="00E70D3D">
              <w:t>NHS Digital</w:t>
            </w:r>
          </w:p>
        </w:tc>
      </w:tr>
      <w:tr w:rsidR="00F97ADA" w:rsidRPr="00E70D3D" w14:paraId="5181966B"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CFA607F" w14:textId="77777777" w:rsidR="00F97ADA" w:rsidRPr="00E70D3D" w:rsidRDefault="00F97ADA" w:rsidP="00F97ADA">
            <w:pPr>
              <w:rPr>
                <w:b w:val="0"/>
              </w:rPr>
            </w:pPr>
            <w:r w:rsidRPr="00E70D3D">
              <w:t>Reporting period</w:t>
            </w:r>
          </w:p>
        </w:tc>
        <w:tc>
          <w:tcPr>
            <w:tcW w:w="6804" w:type="dxa"/>
            <w:tcBorders>
              <w:left w:val="single" w:sz="4" w:space="0" w:color="auto"/>
            </w:tcBorders>
          </w:tcPr>
          <w:p w14:paraId="2C54EFD5" w14:textId="6D1D5284" w:rsidR="00F97ADA" w:rsidRPr="00E70D3D" w:rsidRDefault="00F97ADA" w:rsidP="00F97ADA">
            <w:pPr>
              <w:cnfStyle w:val="000000000000" w:firstRow="0" w:lastRow="0" w:firstColumn="0" w:lastColumn="0" w:oddVBand="0" w:evenVBand="0" w:oddHBand="0" w:evenHBand="0" w:firstRowFirstColumn="0" w:firstRowLastColumn="0" w:lastRowFirstColumn="0" w:lastRowLastColumn="0"/>
            </w:pPr>
            <w:r w:rsidRPr="00E70D3D">
              <w:t>Annual</w:t>
            </w:r>
          </w:p>
        </w:tc>
      </w:tr>
      <w:tr w:rsidR="00F97ADA" w:rsidRPr="00E70D3D" w14:paraId="1B9AB23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34ECB6F" w14:textId="77777777" w:rsidR="00F97ADA" w:rsidRPr="00E70D3D" w:rsidRDefault="00F97ADA" w:rsidP="00F97ADA">
            <w:pPr>
              <w:rPr>
                <w:b w:val="0"/>
              </w:rPr>
            </w:pPr>
            <w:r w:rsidRPr="00E70D3D">
              <w:t>Geographical Coverage</w:t>
            </w:r>
          </w:p>
        </w:tc>
        <w:tc>
          <w:tcPr>
            <w:tcW w:w="6804" w:type="dxa"/>
            <w:tcBorders>
              <w:left w:val="single" w:sz="4" w:space="0" w:color="auto"/>
            </w:tcBorders>
          </w:tcPr>
          <w:p w14:paraId="50DF24FC" w14:textId="18F39528" w:rsidR="00F97ADA" w:rsidRPr="00E70D3D" w:rsidRDefault="00F97ADA" w:rsidP="00F97ADA">
            <w:pPr>
              <w:cnfStyle w:val="000000100000" w:firstRow="0" w:lastRow="0" w:firstColumn="0" w:lastColumn="0" w:oddVBand="0" w:evenVBand="0" w:oddHBand="1" w:evenHBand="0" w:firstRowFirstColumn="0" w:firstRowLastColumn="0" w:lastRowFirstColumn="0" w:lastRowLastColumn="0"/>
            </w:pPr>
            <w:r w:rsidRPr="00E70D3D">
              <w:t>England</w:t>
            </w:r>
          </w:p>
        </w:tc>
      </w:tr>
      <w:tr w:rsidR="00F97ADA" w:rsidRPr="00E70D3D" w14:paraId="64620C9C"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55C73694" w14:textId="77777777" w:rsidR="00F97ADA" w:rsidRPr="00E70D3D" w:rsidRDefault="00F97ADA" w:rsidP="00F97ADA">
            <w:pPr>
              <w:rPr>
                <w:b w:val="0"/>
              </w:rPr>
            </w:pPr>
            <w:r w:rsidRPr="00E70D3D">
              <w:t>Reporting level(s)</w:t>
            </w:r>
          </w:p>
        </w:tc>
        <w:tc>
          <w:tcPr>
            <w:tcW w:w="6804" w:type="dxa"/>
            <w:tcBorders>
              <w:left w:val="single" w:sz="4" w:space="0" w:color="auto"/>
            </w:tcBorders>
          </w:tcPr>
          <w:p w14:paraId="5685C1A0" w14:textId="53ADD51B" w:rsidR="00F97ADA" w:rsidRPr="00E70D3D" w:rsidRDefault="00F97ADA" w:rsidP="00F97ADA">
            <w:pPr>
              <w:cnfStyle w:val="000000000000" w:firstRow="0" w:lastRow="0" w:firstColumn="0" w:lastColumn="0" w:oddVBand="0" w:evenVBand="0" w:oddHBand="0" w:evenHBand="0" w:firstRowFirstColumn="0" w:firstRowLastColumn="0" w:lastRowFirstColumn="0" w:lastRowLastColumn="0"/>
            </w:pPr>
            <w:r w:rsidRPr="00E70D3D">
              <w:t>CCG and National</w:t>
            </w:r>
          </w:p>
        </w:tc>
      </w:tr>
      <w:tr w:rsidR="00F97ADA" w:rsidRPr="00E70D3D" w14:paraId="7A68395C"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C73D882" w14:textId="77777777" w:rsidR="00F97ADA" w:rsidRPr="00E70D3D" w:rsidRDefault="00F97ADA" w:rsidP="00F97ADA">
            <w:pPr>
              <w:rPr>
                <w:b w:val="0"/>
              </w:rPr>
            </w:pPr>
            <w:r w:rsidRPr="00E70D3D">
              <w:t>Based on data from</w:t>
            </w:r>
          </w:p>
        </w:tc>
        <w:tc>
          <w:tcPr>
            <w:tcW w:w="6804" w:type="dxa"/>
            <w:tcBorders>
              <w:left w:val="single" w:sz="4" w:space="0" w:color="auto"/>
            </w:tcBorders>
          </w:tcPr>
          <w:p w14:paraId="1345DE27" w14:textId="72727560" w:rsidR="00F97ADA" w:rsidRPr="00E70D3D" w:rsidRDefault="00E42FA6" w:rsidP="00F97ADA">
            <w:pPr>
              <w:cnfStyle w:val="000000100000" w:firstRow="0" w:lastRow="0" w:firstColumn="0" w:lastColumn="0" w:oddVBand="0" w:evenVBand="0" w:oddHBand="1" w:evenHBand="0" w:firstRowFirstColumn="0" w:firstRowLastColumn="0" w:lastRowFirstColumn="0" w:lastRowLastColumn="0"/>
            </w:pPr>
            <w:r w:rsidRPr="00E70D3D">
              <w:t>Hospital Episode Statistics (HES) Admitted Patient Care (APC) Office for National Statistics (ONS) mid-year population estimates GP registered patient counts from National Health Application and Infrastructure Services (NHAIS)</w:t>
            </w:r>
          </w:p>
        </w:tc>
      </w:tr>
      <w:tr w:rsidR="00B24D06" w:rsidRPr="00E70D3D" w14:paraId="1B0918A4"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37B4A4E" w14:textId="77777777" w:rsidR="00B24D06" w:rsidRPr="00E70D3D" w:rsidRDefault="00B24D06" w:rsidP="00B24D06">
            <w:pPr>
              <w:rPr>
                <w:b w:val="0"/>
              </w:rPr>
            </w:pPr>
            <w:r w:rsidRPr="00E70D3D">
              <w:t>Contact Author Name</w:t>
            </w:r>
          </w:p>
        </w:tc>
        <w:tc>
          <w:tcPr>
            <w:tcW w:w="6804" w:type="dxa"/>
            <w:tcBorders>
              <w:left w:val="single" w:sz="4" w:space="0" w:color="auto"/>
            </w:tcBorders>
          </w:tcPr>
          <w:p w14:paraId="7BDE5252" w14:textId="087678FA" w:rsidR="00B24D06" w:rsidRPr="00E70D3D" w:rsidRDefault="00B24D06" w:rsidP="00B24D06">
            <w:pPr>
              <w:cnfStyle w:val="000000000000" w:firstRow="0" w:lastRow="0" w:firstColumn="0" w:lastColumn="0" w:oddVBand="0" w:evenVBand="0" w:oddHBand="0" w:evenHBand="0" w:firstRowFirstColumn="0" w:firstRowLastColumn="0" w:lastRowFirstColumn="0" w:lastRowLastColumn="0"/>
            </w:pPr>
            <w:r w:rsidRPr="00E70D3D">
              <w:t>The NHS Digital Clinical Indicators team</w:t>
            </w:r>
          </w:p>
        </w:tc>
      </w:tr>
      <w:tr w:rsidR="00B24D06" w:rsidRPr="00E70D3D" w14:paraId="12572889"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6C94C25" w14:textId="77777777" w:rsidR="00B24D06" w:rsidRPr="00E70D3D" w:rsidRDefault="00B24D06" w:rsidP="00B24D06">
            <w:pPr>
              <w:rPr>
                <w:b w:val="0"/>
              </w:rPr>
            </w:pPr>
            <w:r w:rsidRPr="00E70D3D">
              <w:t>Contact Author Email</w:t>
            </w:r>
          </w:p>
        </w:tc>
        <w:tc>
          <w:tcPr>
            <w:tcW w:w="6804" w:type="dxa"/>
            <w:tcBorders>
              <w:left w:val="single" w:sz="4" w:space="0" w:color="auto"/>
            </w:tcBorders>
          </w:tcPr>
          <w:p w14:paraId="337B0AB9" w14:textId="440BBD33" w:rsidR="00B24D06" w:rsidRPr="00E70D3D" w:rsidRDefault="00B24D06" w:rsidP="00B24D06">
            <w:pPr>
              <w:cnfStyle w:val="000000100000" w:firstRow="0" w:lastRow="0" w:firstColumn="0" w:lastColumn="0" w:oddVBand="0" w:evenVBand="0" w:oddHBand="1" w:evenHBand="0" w:firstRowFirstColumn="0" w:firstRowLastColumn="0" w:lastRowFirstColumn="0" w:lastRowLastColumn="0"/>
            </w:pPr>
            <w:r w:rsidRPr="00E70D3D">
              <w:t>clinical.indicators@nhs.net</w:t>
            </w:r>
          </w:p>
        </w:tc>
      </w:tr>
      <w:tr w:rsidR="00B24D06" w:rsidRPr="00E70D3D" w14:paraId="146CE663"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471F2F3" w14:textId="77777777" w:rsidR="00B24D06" w:rsidRPr="00E70D3D" w:rsidRDefault="00B24D06" w:rsidP="00B24D06">
            <w:pPr>
              <w:rPr>
                <w:b w:val="0"/>
              </w:rPr>
            </w:pPr>
            <w:r w:rsidRPr="00E70D3D">
              <w:t>Rating</w:t>
            </w:r>
          </w:p>
        </w:tc>
        <w:tc>
          <w:tcPr>
            <w:tcW w:w="6804" w:type="dxa"/>
            <w:tcBorders>
              <w:left w:val="single" w:sz="4" w:space="0" w:color="auto"/>
            </w:tcBorders>
          </w:tcPr>
          <w:p w14:paraId="42821BAF" w14:textId="16AD620B" w:rsidR="00B24D06" w:rsidRPr="00E70D3D" w:rsidRDefault="00E22AB8" w:rsidP="00B24D06">
            <w:pPr>
              <w:cnfStyle w:val="000000000000" w:firstRow="0" w:lastRow="0" w:firstColumn="0" w:lastColumn="0" w:oddVBand="0" w:evenVBand="0" w:oddHBand="0" w:evenHBand="0" w:firstRowFirstColumn="0" w:firstRowLastColumn="0" w:lastRowFirstColumn="0" w:lastRowLastColumn="0"/>
            </w:pPr>
            <w:r w:rsidRPr="00E70D3D">
              <w:t>Fit for use</w:t>
            </w:r>
          </w:p>
        </w:tc>
      </w:tr>
      <w:tr w:rsidR="00B24D06" w:rsidRPr="00E70D3D" w14:paraId="36C90CDC"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DDE63CB" w14:textId="77777777" w:rsidR="00B24D06" w:rsidRPr="00E70D3D" w:rsidRDefault="00B24D06" w:rsidP="00B24D06">
            <w:pPr>
              <w:rPr>
                <w:b w:val="0"/>
              </w:rPr>
            </w:pPr>
            <w:r w:rsidRPr="00E70D3D">
              <w:t>Assurance date</w:t>
            </w:r>
          </w:p>
        </w:tc>
        <w:tc>
          <w:tcPr>
            <w:tcW w:w="6804" w:type="dxa"/>
            <w:tcBorders>
              <w:left w:val="single" w:sz="4" w:space="0" w:color="auto"/>
            </w:tcBorders>
          </w:tcPr>
          <w:p w14:paraId="07A7432F" w14:textId="4FAE81EC" w:rsidR="00B24D06" w:rsidRPr="00E70D3D" w:rsidRDefault="000D058B" w:rsidP="00B24D06">
            <w:pPr>
              <w:cnfStyle w:val="000000100000" w:firstRow="0" w:lastRow="0" w:firstColumn="0" w:lastColumn="0" w:oddVBand="0" w:evenVBand="0" w:oddHBand="1" w:evenHBand="0" w:firstRowFirstColumn="0" w:firstRowLastColumn="0" w:lastRowFirstColumn="0" w:lastRowLastColumn="0"/>
            </w:pPr>
            <w:r w:rsidRPr="00E70D3D">
              <w:t>13/09/2018</w:t>
            </w:r>
          </w:p>
        </w:tc>
      </w:tr>
      <w:tr w:rsidR="00B24D06" w:rsidRPr="00E70D3D" w14:paraId="2FD2A140"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1690B01" w14:textId="77777777" w:rsidR="00B24D06" w:rsidRPr="00E70D3D" w:rsidRDefault="00B24D06" w:rsidP="00B24D06">
            <w:pPr>
              <w:rPr>
                <w:b w:val="0"/>
              </w:rPr>
            </w:pPr>
            <w:r w:rsidRPr="00E70D3D">
              <w:t>Review date</w:t>
            </w:r>
          </w:p>
        </w:tc>
        <w:tc>
          <w:tcPr>
            <w:tcW w:w="6804" w:type="dxa"/>
            <w:tcBorders>
              <w:left w:val="single" w:sz="4" w:space="0" w:color="auto"/>
            </w:tcBorders>
          </w:tcPr>
          <w:p w14:paraId="65D82364" w14:textId="23DA1278" w:rsidR="00B24D06" w:rsidRPr="00E70D3D" w:rsidRDefault="000D058B" w:rsidP="00B24D06">
            <w:pPr>
              <w:cnfStyle w:val="000000000000" w:firstRow="0" w:lastRow="0" w:firstColumn="0" w:lastColumn="0" w:oddVBand="0" w:evenVBand="0" w:oddHBand="0" w:evenHBand="0" w:firstRowFirstColumn="0" w:firstRowLastColumn="0" w:lastRowFirstColumn="0" w:lastRowLastColumn="0"/>
            </w:pPr>
            <w:r w:rsidRPr="00E70D3D">
              <w:t>06/12/2018</w:t>
            </w:r>
          </w:p>
        </w:tc>
      </w:tr>
      <w:tr w:rsidR="00B24D06" w:rsidRPr="00E70D3D" w14:paraId="5F25EAD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54752B2" w14:textId="77777777" w:rsidR="00B24D06" w:rsidRPr="00E70D3D" w:rsidRDefault="00B24D06" w:rsidP="00B24D06">
            <w:pPr>
              <w:rPr>
                <w:b w:val="0"/>
              </w:rPr>
            </w:pPr>
            <w:r w:rsidRPr="00E70D3D">
              <w:t>Indicator set</w:t>
            </w:r>
          </w:p>
        </w:tc>
        <w:tc>
          <w:tcPr>
            <w:tcW w:w="6804" w:type="dxa"/>
            <w:tcBorders>
              <w:left w:val="single" w:sz="4" w:space="0" w:color="auto"/>
            </w:tcBorders>
          </w:tcPr>
          <w:p w14:paraId="6C3C44BD" w14:textId="0DF13F6A" w:rsidR="00B24D06" w:rsidRPr="00E70D3D" w:rsidRDefault="00B24D06" w:rsidP="00B24D06">
            <w:pPr>
              <w:cnfStyle w:val="000000100000" w:firstRow="0" w:lastRow="0" w:firstColumn="0" w:lastColumn="0" w:oddVBand="0" w:evenVBand="0" w:oddHBand="1" w:evenHBand="0" w:firstRowFirstColumn="0" w:firstRowLastColumn="0" w:lastRowFirstColumn="0" w:lastRowLastColumn="0"/>
            </w:pPr>
            <w:r w:rsidRPr="00E70D3D">
              <w:t>Clinical Commissioning Group Outcomes Indicator Set (CCG OIS)</w:t>
            </w:r>
          </w:p>
        </w:tc>
      </w:tr>
      <w:tr w:rsidR="00B24D06" w:rsidRPr="00E70D3D" w14:paraId="6F4A3701"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2EBDFE1" w14:textId="77777777" w:rsidR="00B24D06" w:rsidRPr="00E70D3D" w:rsidRDefault="00B24D06" w:rsidP="00B24D06">
            <w:pPr>
              <w:rPr>
                <w:b w:val="0"/>
              </w:rPr>
            </w:pPr>
            <w:r w:rsidRPr="00E70D3D">
              <w:t xml:space="preserve">Brief Description </w:t>
            </w:r>
          </w:p>
          <w:p w14:paraId="71948065" w14:textId="77D609B0" w:rsidR="00B24D06" w:rsidRPr="00E70D3D" w:rsidRDefault="00B24D06" w:rsidP="00B24D06">
            <w:pPr>
              <w:rPr>
                <w:b w:val="0"/>
              </w:rPr>
            </w:pPr>
          </w:p>
        </w:tc>
        <w:tc>
          <w:tcPr>
            <w:tcW w:w="6804" w:type="dxa"/>
            <w:tcBorders>
              <w:left w:val="single" w:sz="4" w:space="0" w:color="auto"/>
            </w:tcBorders>
          </w:tcPr>
          <w:p w14:paraId="690E93D5" w14:textId="39AC1C96" w:rsidR="00B24D06" w:rsidRPr="00E70D3D" w:rsidRDefault="00B24D06" w:rsidP="00B24D06">
            <w:pPr>
              <w:cnfStyle w:val="000000000000" w:firstRow="0" w:lastRow="0" w:firstColumn="0" w:lastColumn="0" w:oddVBand="0" w:evenVBand="0" w:oddHBand="0" w:evenHBand="0" w:firstRowFirstColumn="0" w:firstRowLastColumn="0" w:lastRowFirstColumn="0" w:lastRowLastColumn="0"/>
            </w:pPr>
            <w:r w:rsidRPr="00E70D3D">
              <w:t>The indicator calculates the number of people who were admitted with a primary diagnosis of an alcohol-specific condition per 100,000 CCG population.</w:t>
            </w:r>
          </w:p>
        </w:tc>
      </w:tr>
      <w:tr w:rsidR="00B24D06" w:rsidRPr="00E70D3D" w14:paraId="30049EB2"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DB2E955" w14:textId="77777777" w:rsidR="00B24D06" w:rsidRPr="00E70D3D" w:rsidRDefault="00B24D06" w:rsidP="00B24D06">
            <w:pPr>
              <w:rPr>
                <w:b w:val="0"/>
              </w:rPr>
            </w:pPr>
            <w:r w:rsidRPr="00E70D3D">
              <w:t>Purpose</w:t>
            </w:r>
          </w:p>
        </w:tc>
        <w:tc>
          <w:tcPr>
            <w:tcW w:w="6804" w:type="dxa"/>
            <w:tcBorders>
              <w:left w:val="single" w:sz="4" w:space="0" w:color="auto"/>
            </w:tcBorders>
          </w:tcPr>
          <w:p w14:paraId="68DC923C" w14:textId="77777777" w:rsidR="00024010" w:rsidRPr="00E70D3D" w:rsidRDefault="00024010" w:rsidP="00024010">
            <w:pPr>
              <w:cnfStyle w:val="000000100000" w:firstRow="0" w:lastRow="0" w:firstColumn="0" w:lastColumn="0" w:oddVBand="0" w:evenVBand="0" w:oddHBand="1" w:evenHBand="0" w:firstRowFirstColumn="0" w:firstRowLastColumn="0" w:lastRowFirstColumn="0" w:lastRowLastColumn="0"/>
            </w:pPr>
            <w:r w:rsidRPr="00E70D3D">
              <w:t xml:space="preserve">Alcohol dependence and harmful alcohol use are associated with increased risk of physical and mental health comorbidities. These include gastrointestinal disorders, in particular liver disease, neurological and cardiovascular disease, depression and anxiety disorders and ultimately, premature death. </w:t>
            </w:r>
          </w:p>
          <w:p w14:paraId="70E303BA" w14:textId="77777777" w:rsidR="00024010" w:rsidRPr="00E70D3D" w:rsidRDefault="00024010" w:rsidP="00024010">
            <w:pPr>
              <w:cnfStyle w:val="000000100000" w:firstRow="0" w:lastRow="0" w:firstColumn="0" w:lastColumn="0" w:oddVBand="0" w:evenVBand="0" w:oddHBand="1" w:evenHBand="0" w:firstRowFirstColumn="0" w:firstRowLastColumn="0" w:lastRowFirstColumn="0" w:lastRowLastColumn="0"/>
            </w:pPr>
          </w:p>
          <w:p w14:paraId="63AE47C8" w14:textId="0A604CAA" w:rsidR="00B24D06" w:rsidRPr="00E70D3D" w:rsidRDefault="00024010" w:rsidP="00024010">
            <w:pPr>
              <w:cnfStyle w:val="000000100000" w:firstRow="0" w:lastRow="0" w:firstColumn="0" w:lastColumn="0" w:oddVBand="0" w:evenVBand="0" w:oddHBand="1" w:evenHBand="0" w:firstRowFirstColumn="0" w:firstRowLastColumn="0" w:lastRowFirstColumn="0" w:lastRowLastColumn="0"/>
            </w:pPr>
            <w:r w:rsidRPr="00E70D3D">
              <w:t xml:space="preserve">This indicator, and others in Clinical </w:t>
            </w:r>
            <w:r w:rsidR="00B9020C" w:rsidRPr="00E70D3D">
              <w:t>Commissioning</w:t>
            </w:r>
            <w:r w:rsidRPr="00E70D3D">
              <w:t xml:space="preserve"> Group Outcomes Indicator Set (CCG OIS), is intended to provide clear, comparative information for CCGs, patients and the public about the quality of health services commissioned by CCGs and the associated health outcomes.</w:t>
            </w:r>
          </w:p>
        </w:tc>
      </w:tr>
      <w:tr w:rsidR="00B24D06" w:rsidRPr="00E70D3D" w14:paraId="54849C45"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0E47248" w14:textId="77777777" w:rsidR="00B24D06" w:rsidRPr="00E70D3D" w:rsidRDefault="00B24D06" w:rsidP="00B24D06">
            <w:pPr>
              <w:rPr>
                <w:b w:val="0"/>
              </w:rPr>
            </w:pPr>
            <w:r w:rsidRPr="00E70D3D">
              <w:t>Definition</w:t>
            </w:r>
          </w:p>
        </w:tc>
        <w:tc>
          <w:tcPr>
            <w:tcW w:w="6804" w:type="dxa"/>
            <w:tcBorders>
              <w:left w:val="single" w:sz="4" w:space="0" w:color="auto"/>
            </w:tcBorders>
          </w:tcPr>
          <w:p w14:paraId="07013616" w14:textId="4166136E" w:rsidR="00B24D06" w:rsidRPr="00E70D3D" w:rsidRDefault="005C6DF0" w:rsidP="00B24D06">
            <w:pPr>
              <w:cnfStyle w:val="000000000000" w:firstRow="0" w:lastRow="0" w:firstColumn="0" w:lastColumn="0" w:oddVBand="0" w:evenVBand="0" w:oddHBand="0" w:evenHBand="0" w:firstRowFirstColumn="0" w:firstRowLastColumn="0" w:lastRowFirstColumn="0" w:lastRowLastColumn="0"/>
            </w:pPr>
            <w:r w:rsidRPr="00E70D3D">
              <w:t>This indicator reports the directly age and sex standardised rate for alcohol-specific conditions per 100,000 registered patients. A reporting period of 12 months is used to produce a rolling quarterly output.</w:t>
            </w:r>
          </w:p>
        </w:tc>
      </w:tr>
      <w:tr w:rsidR="00B24D06" w:rsidRPr="00E70D3D" w14:paraId="6E1036B1"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3CE98FA2" w14:textId="77777777" w:rsidR="00B24D06" w:rsidRPr="00E70D3D" w:rsidRDefault="00B24D06" w:rsidP="00B24D06">
            <w:pPr>
              <w:rPr>
                <w:b w:val="0"/>
              </w:rPr>
            </w:pPr>
            <w:r w:rsidRPr="00E70D3D">
              <w:t>Data Source</w:t>
            </w:r>
          </w:p>
        </w:tc>
        <w:tc>
          <w:tcPr>
            <w:tcW w:w="6804" w:type="dxa"/>
            <w:tcBorders>
              <w:left w:val="single" w:sz="4" w:space="0" w:color="auto"/>
            </w:tcBorders>
          </w:tcPr>
          <w:p w14:paraId="68C9D5DC" w14:textId="77777777" w:rsidR="00B24D06" w:rsidRPr="00E70D3D" w:rsidRDefault="00B24D06" w:rsidP="00B24D06">
            <w:pPr>
              <w:cnfStyle w:val="000000100000" w:firstRow="0" w:lastRow="0" w:firstColumn="0" w:lastColumn="0" w:oddVBand="0" w:evenVBand="0" w:oddHBand="1" w:evenHBand="0" w:firstRowFirstColumn="0" w:firstRowLastColumn="0" w:lastRowFirstColumn="0" w:lastRowLastColumn="0"/>
            </w:pPr>
            <w:r w:rsidRPr="00E70D3D">
              <w:t xml:space="preserve">Hospital Episode Statistics (HES) Continuous Inpatient Spells (CIP), constructed by the </w:t>
            </w:r>
            <w:r w:rsidR="00D20C9F" w:rsidRPr="00E70D3D">
              <w:t xml:space="preserve">NHS Digital </w:t>
            </w:r>
            <w:r w:rsidRPr="00E70D3D">
              <w:t xml:space="preserve">HES Development team, and </w:t>
            </w:r>
            <w:r w:rsidR="008C57D6" w:rsidRPr="00E70D3D">
              <w:t>National Health Application and Infrastructure Services (NHAIS, commonly known as the Exeter system), registered GP Practice population data.</w:t>
            </w:r>
          </w:p>
          <w:p w14:paraId="7DC19B29" w14:textId="77777777" w:rsidR="00BF7496" w:rsidRPr="00E70D3D" w:rsidRDefault="00BF7496" w:rsidP="00B24D06">
            <w:pPr>
              <w:cnfStyle w:val="000000100000" w:firstRow="0" w:lastRow="0" w:firstColumn="0" w:lastColumn="0" w:oddVBand="0" w:evenVBand="0" w:oddHBand="1" w:evenHBand="0" w:firstRowFirstColumn="0" w:firstRowLastColumn="0" w:lastRowFirstColumn="0" w:lastRowLastColumn="0"/>
            </w:pPr>
          </w:p>
          <w:p w14:paraId="2F7FA72B" w14:textId="77777777" w:rsidR="00BF7496" w:rsidRPr="00E70D3D" w:rsidRDefault="00BF7496" w:rsidP="00BF7496">
            <w:pPr>
              <w:cnfStyle w:val="000000100000" w:firstRow="0" w:lastRow="0" w:firstColumn="0" w:lastColumn="0" w:oddVBand="0" w:evenVBand="0" w:oddHBand="1" w:evenHBand="0" w:firstRowFirstColumn="0" w:firstRowLastColumn="0" w:lastRowFirstColumn="0" w:lastRowLastColumn="0"/>
            </w:pPr>
            <w:r w:rsidRPr="00E70D3D">
              <w:lastRenderedPageBreak/>
              <w:t>The underlying HES data is held by NHS Digital and made available to customers via several mechanisms depending on their requirements. These include:</w:t>
            </w:r>
          </w:p>
          <w:p w14:paraId="4F3CEBF8" w14:textId="4E5B7B1B" w:rsidR="00BF7496" w:rsidRPr="00E70D3D" w:rsidRDefault="00BF7496" w:rsidP="00BF7496">
            <w:pPr>
              <w:cnfStyle w:val="000000100000" w:firstRow="0" w:lastRow="0" w:firstColumn="0" w:lastColumn="0" w:oddVBand="0" w:evenVBand="0" w:oddHBand="1" w:evenHBand="0" w:firstRowFirstColumn="0" w:firstRowLastColumn="0" w:lastRowFirstColumn="0" w:lastRowLastColumn="0"/>
            </w:pPr>
            <w:r w:rsidRPr="00E70D3D">
              <w:t>•the publication of aggregated output</w:t>
            </w:r>
          </w:p>
          <w:p w14:paraId="6F3570A4" w14:textId="268E9E3E" w:rsidR="00BF7496" w:rsidRPr="00E70D3D" w:rsidRDefault="00BF7496" w:rsidP="00BF7496">
            <w:pPr>
              <w:cnfStyle w:val="000000100000" w:firstRow="0" w:lastRow="0" w:firstColumn="0" w:lastColumn="0" w:oddVBand="0" w:evenVBand="0" w:oddHBand="1" w:evenHBand="0" w:firstRowFirstColumn="0" w:firstRowLastColumn="0" w:lastRowFirstColumn="0" w:lastRowLastColumn="0"/>
            </w:pPr>
            <w:r w:rsidRPr="00E70D3D">
              <w:t>•a chargeable extract service that covers both bespoke and routine extracts</w:t>
            </w:r>
          </w:p>
          <w:p w14:paraId="702F44D4" w14:textId="267AEEC9" w:rsidR="00BF7496" w:rsidRPr="00E70D3D" w:rsidRDefault="001140B5" w:rsidP="00BF7496">
            <w:pPr>
              <w:cnfStyle w:val="000000100000" w:firstRow="0" w:lastRow="0" w:firstColumn="0" w:lastColumn="0" w:oddVBand="0" w:evenVBand="0" w:oddHBand="1" w:evenHBand="0" w:firstRowFirstColumn="0" w:firstRowLastColumn="0" w:lastRowFirstColumn="0" w:lastRowLastColumn="0"/>
            </w:pPr>
            <w:r w:rsidRPr="00E70D3D">
              <w:t>•</w:t>
            </w:r>
            <w:r w:rsidR="00BF7496" w:rsidRPr="00E70D3D">
              <w:t>direct access via an interrogation tool to the underlying data for certain customers</w:t>
            </w:r>
          </w:p>
          <w:p w14:paraId="60705F97" w14:textId="77777777" w:rsidR="00BF7496" w:rsidRPr="00E70D3D" w:rsidRDefault="00BF7496" w:rsidP="00BF7496">
            <w:pPr>
              <w:cnfStyle w:val="000000100000" w:firstRow="0" w:lastRow="0" w:firstColumn="0" w:lastColumn="0" w:oddVBand="0" w:evenVBand="0" w:oddHBand="1" w:evenHBand="0" w:firstRowFirstColumn="0" w:firstRowLastColumn="0" w:lastRowFirstColumn="0" w:lastRowLastColumn="0"/>
            </w:pPr>
          </w:p>
          <w:p w14:paraId="6738187C" w14:textId="52101752" w:rsidR="00BF7496" w:rsidRPr="00E70D3D" w:rsidRDefault="00BF7496" w:rsidP="00BF7496">
            <w:pPr>
              <w:cnfStyle w:val="000000100000" w:firstRow="0" w:lastRow="0" w:firstColumn="0" w:lastColumn="0" w:oddVBand="0" w:evenVBand="0" w:oddHBand="1" w:evenHBand="0" w:firstRowFirstColumn="0" w:firstRowLastColumn="0" w:lastRowFirstColumn="0" w:lastRowLastColumn="0"/>
            </w:pPr>
            <w:r w:rsidRPr="00E70D3D">
              <w:t>The underlying data required for the construction of the indicator is available on a monthly basis around 4 to 5 months after the start of the month in which the attendance took place. The full year annual data refresh occurs around 8 months after the financial year end.</w:t>
            </w:r>
          </w:p>
        </w:tc>
      </w:tr>
      <w:tr w:rsidR="00B24D06" w:rsidRPr="00E70D3D" w14:paraId="1EF5CCA7"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5E42FA3" w14:textId="77777777" w:rsidR="00B24D06" w:rsidRPr="00E70D3D" w:rsidRDefault="00B24D06" w:rsidP="00B24D06">
            <w:pPr>
              <w:rPr>
                <w:b w:val="0"/>
              </w:rPr>
            </w:pPr>
            <w:r w:rsidRPr="00E70D3D">
              <w:lastRenderedPageBreak/>
              <w:t>Numerator</w:t>
            </w:r>
          </w:p>
        </w:tc>
        <w:tc>
          <w:tcPr>
            <w:tcW w:w="6804" w:type="dxa"/>
            <w:tcBorders>
              <w:left w:val="single" w:sz="4" w:space="0" w:color="auto"/>
            </w:tcBorders>
          </w:tcPr>
          <w:p w14:paraId="4E048882" w14:textId="3A10469B" w:rsidR="00B24D06" w:rsidRPr="00E70D3D" w:rsidRDefault="00B24D06" w:rsidP="00B24D06">
            <w:pPr>
              <w:cnfStyle w:val="000000000000" w:firstRow="0" w:lastRow="0" w:firstColumn="0" w:lastColumn="0" w:oddVBand="0" w:evenVBand="0" w:oddHBand="0" w:evenHBand="0" w:firstRowFirstColumn="0" w:firstRowLastColumn="0" w:lastRowFirstColumn="0" w:lastRowLastColumn="0"/>
            </w:pPr>
            <w:r w:rsidRPr="00E70D3D">
              <w:t>The number of admission spell records where the first episode contains a primary diagnosis of an alcohol specific condition.</w:t>
            </w:r>
          </w:p>
        </w:tc>
      </w:tr>
      <w:tr w:rsidR="00B24D06" w:rsidRPr="00E70D3D" w14:paraId="22216F2F"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B547D53" w14:textId="77777777" w:rsidR="00B24D06" w:rsidRPr="00E70D3D" w:rsidRDefault="00B24D06" w:rsidP="00B24D06">
            <w:pPr>
              <w:rPr>
                <w:b w:val="0"/>
              </w:rPr>
            </w:pPr>
            <w:r w:rsidRPr="00E70D3D">
              <w:t>Denominator</w:t>
            </w:r>
          </w:p>
        </w:tc>
        <w:tc>
          <w:tcPr>
            <w:tcW w:w="6804" w:type="dxa"/>
            <w:tcBorders>
              <w:left w:val="single" w:sz="4" w:space="0" w:color="auto"/>
            </w:tcBorders>
          </w:tcPr>
          <w:p w14:paraId="2358D649" w14:textId="225457C2" w:rsidR="00B24D06" w:rsidRPr="00E70D3D" w:rsidRDefault="00B24D06" w:rsidP="00B24D06">
            <w:pPr>
              <w:cnfStyle w:val="000000100000" w:firstRow="0" w:lastRow="0" w:firstColumn="0" w:lastColumn="0" w:oddVBand="0" w:evenVBand="0" w:oddHBand="1" w:evenHBand="0" w:firstRowFirstColumn="0" w:firstRowLastColumn="0" w:lastRowFirstColumn="0" w:lastRowLastColumn="0"/>
            </w:pPr>
            <w:r w:rsidRPr="00E70D3D">
              <w:t>CCG level count of people registered with the constituent GP Practices</w:t>
            </w:r>
          </w:p>
        </w:tc>
      </w:tr>
      <w:tr w:rsidR="00B24D06" w:rsidRPr="00E70D3D" w14:paraId="5FC03589"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1F9D9B3" w14:textId="77777777" w:rsidR="00B24D06" w:rsidRPr="00E70D3D" w:rsidRDefault="00B24D06" w:rsidP="00B24D06">
            <w:pPr>
              <w:rPr>
                <w:b w:val="0"/>
              </w:rPr>
            </w:pPr>
            <w:r w:rsidRPr="00E70D3D">
              <w:t>Calculation</w:t>
            </w:r>
          </w:p>
        </w:tc>
        <w:tc>
          <w:tcPr>
            <w:tcW w:w="6804" w:type="dxa"/>
            <w:tcBorders>
              <w:left w:val="single" w:sz="4" w:space="0" w:color="auto"/>
            </w:tcBorders>
          </w:tcPr>
          <w:p w14:paraId="774A84FB" w14:textId="77777777" w:rsidR="00967427" w:rsidRPr="00E70D3D" w:rsidRDefault="00967427" w:rsidP="00967427">
            <w:pPr>
              <w:cnfStyle w:val="000000000000" w:firstRow="0" w:lastRow="0" w:firstColumn="0" w:lastColumn="0" w:oddVBand="0" w:evenVBand="0" w:oddHBand="0" w:evenHBand="0" w:firstRowFirstColumn="0" w:firstRowLastColumn="0" w:lastRowFirstColumn="0" w:lastRowLastColumn="0"/>
            </w:pPr>
            <w:r w:rsidRPr="00E70D3D">
              <w:t xml:space="preserve">This indicator is calculated as a rate directly standardised by age and sex per 100,000 patients. </w:t>
            </w:r>
          </w:p>
          <w:p w14:paraId="00DC7CC9" w14:textId="77777777" w:rsidR="00967427" w:rsidRPr="00E70D3D" w:rsidRDefault="00967427" w:rsidP="00967427">
            <w:pPr>
              <w:cnfStyle w:val="000000000000" w:firstRow="0" w:lastRow="0" w:firstColumn="0" w:lastColumn="0" w:oddVBand="0" w:evenVBand="0" w:oddHBand="0" w:evenHBand="0" w:firstRowFirstColumn="0" w:firstRowLastColumn="0" w:lastRowFirstColumn="0" w:lastRowLastColumn="0"/>
            </w:pPr>
          </w:p>
          <w:p w14:paraId="25ABD834" w14:textId="77777777" w:rsidR="00967427" w:rsidRPr="00E70D3D" w:rsidRDefault="00967427" w:rsidP="00967427">
            <w:pPr>
              <w:cnfStyle w:val="000000000000" w:firstRow="0" w:lastRow="0" w:firstColumn="0" w:lastColumn="0" w:oddVBand="0" w:evenVBand="0" w:oddHBand="0" w:evenHBand="0" w:firstRowFirstColumn="0" w:firstRowLastColumn="0" w:lastRowFirstColumn="0" w:lastRowLastColumn="0"/>
            </w:pPr>
            <w:r w:rsidRPr="00E70D3D">
              <w:t>The standard population used for the direct method is the England population in appropriate Office for National Statistics (ONS) mid-year population estimates. The age groups used are: 0 to 19, 20 to 24, 25 to 29, 30 to 34, 35 to 39, 40 to 44, 45 to 49, 50 to 54, 55 to 59, 60 to 64, 65 to 69, 70 to 74, 75+.</w:t>
            </w:r>
          </w:p>
          <w:p w14:paraId="4C920AAC" w14:textId="77777777" w:rsidR="00967427" w:rsidRPr="00E70D3D" w:rsidRDefault="00967427" w:rsidP="00967427">
            <w:pPr>
              <w:cnfStyle w:val="000000000000" w:firstRow="0" w:lastRow="0" w:firstColumn="0" w:lastColumn="0" w:oddVBand="0" w:evenVBand="0" w:oddHBand="0" w:evenHBand="0" w:firstRowFirstColumn="0" w:firstRowLastColumn="0" w:lastRowFirstColumn="0" w:lastRowLastColumn="0"/>
            </w:pPr>
          </w:p>
          <w:p w14:paraId="09215B82" w14:textId="19B04E47" w:rsidR="00B24D06" w:rsidRPr="00E70D3D" w:rsidRDefault="00967427" w:rsidP="00967427">
            <w:pPr>
              <w:cnfStyle w:val="000000000000" w:firstRow="0" w:lastRow="0" w:firstColumn="0" w:lastColumn="0" w:oddVBand="0" w:evenVBand="0" w:oddHBand="0" w:evenHBand="0" w:firstRowFirstColumn="0" w:firstRowLastColumn="0" w:lastRowFirstColumn="0" w:lastRowLastColumn="0"/>
            </w:pPr>
            <w:r w:rsidRPr="00E70D3D">
              <w:t>95% confidence intervals are calculated using Dobson's and Byar's methods. Byar’s method is recommended for larger counts whereas for smaller numerators (less than 389) a more exact method based on the Poisson distribution (Dobson’s method) is used.</w:t>
            </w:r>
          </w:p>
        </w:tc>
      </w:tr>
      <w:tr w:rsidR="00B24D06" w:rsidRPr="00E70D3D" w14:paraId="4E697DFD"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31E676E" w14:textId="77777777" w:rsidR="00B24D06" w:rsidRPr="00E70D3D" w:rsidRDefault="00B24D06" w:rsidP="00B24D06">
            <w:pPr>
              <w:rPr>
                <w:b w:val="0"/>
              </w:rPr>
            </w:pPr>
            <w:r w:rsidRPr="00E70D3D">
              <w:t>Interpretation Guidelines</w:t>
            </w:r>
          </w:p>
        </w:tc>
        <w:tc>
          <w:tcPr>
            <w:tcW w:w="6804" w:type="dxa"/>
            <w:tcBorders>
              <w:left w:val="single" w:sz="4" w:space="0" w:color="auto"/>
            </w:tcBorders>
          </w:tcPr>
          <w:p w14:paraId="0072C7D9" w14:textId="0BD364D6" w:rsidR="00B24D06" w:rsidRPr="00E70D3D" w:rsidRDefault="00B24D06" w:rsidP="00B24D06">
            <w:pPr>
              <w:cnfStyle w:val="000000100000" w:firstRow="0" w:lastRow="0" w:firstColumn="0" w:lastColumn="0" w:oddVBand="0" w:evenVBand="0" w:oddHBand="1" w:evenHBand="0" w:firstRowFirstColumn="0" w:firstRowLastColumn="0" w:lastRowFirstColumn="0" w:lastRowLastColumn="0"/>
            </w:pPr>
          </w:p>
        </w:tc>
      </w:tr>
      <w:tr w:rsidR="00B24D06" w:rsidRPr="00E70D3D" w14:paraId="0E3B7774"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26D945" w14:textId="77777777" w:rsidR="00B24D06" w:rsidRPr="00E70D3D" w:rsidRDefault="00B24D06" w:rsidP="00B24D06">
            <w:pPr>
              <w:rPr>
                <w:b w:val="0"/>
              </w:rPr>
            </w:pPr>
            <w:r w:rsidRPr="00E70D3D">
              <w:t>Caveats</w:t>
            </w:r>
          </w:p>
        </w:tc>
        <w:tc>
          <w:tcPr>
            <w:tcW w:w="6804" w:type="dxa"/>
            <w:tcBorders>
              <w:left w:val="single" w:sz="4" w:space="0" w:color="auto"/>
            </w:tcBorders>
          </w:tcPr>
          <w:p w14:paraId="2469E9CF" w14:textId="2A36FCB1" w:rsidR="00B24D06" w:rsidRPr="00E70D3D" w:rsidRDefault="00B24D06" w:rsidP="00B24D06">
            <w:pPr>
              <w:tabs>
                <w:tab w:val="left" w:pos="39"/>
              </w:tabs>
              <w:ind w:left="39"/>
              <w:cnfStyle w:val="000000000000" w:firstRow="0" w:lastRow="0" w:firstColumn="0" w:lastColumn="0" w:oddVBand="0" w:evenVBand="0" w:oddHBand="0" w:evenHBand="0" w:firstRowFirstColumn="0" w:firstRowLastColumn="0" w:lastRowFirstColumn="0" w:lastRowLastColumn="0"/>
            </w:pPr>
          </w:p>
        </w:tc>
      </w:tr>
    </w:tbl>
    <w:p w14:paraId="0F0CA932" w14:textId="63552787" w:rsidR="00403E03" w:rsidRPr="00E70D3D" w:rsidRDefault="00403E03" w:rsidP="00BD69FE">
      <w:pPr>
        <w:rPr>
          <w:b/>
        </w:rPr>
      </w:pPr>
    </w:p>
    <w:p w14:paraId="54DA4EB8" w14:textId="77777777" w:rsidR="00403E03" w:rsidRPr="00E70D3D" w:rsidRDefault="00403E03">
      <w:pPr>
        <w:rPr>
          <w:b/>
        </w:rPr>
      </w:pPr>
      <w:r w:rsidRPr="00E70D3D">
        <w:rPr>
          <w:b/>
        </w:rPr>
        <w:br w:type="page"/>
      </w:r>
    </w:p>
    <w:p w14:paraId="77550433" w14:textId="3D9C3EF9" w:rsidR="00403E03" w:rsidRPr="00E70D3D" w:rsidRDefault="00E70D3D" w:rsidP="00E70D3D">
      <w:pPr>
        <w:pStyle w:val="Frontpagesubhead"/>
      </w:pPr>
      <w:r w:rsidRPr="00E70D3D">
        <w:lastRenderedPageBreak/>
        <w:t>Application form</w:t>
      </w:r>
    </w:p>
    <w:tbl>
      <w:tblPr>
        <w:tblStyle w:val="TableGrid"/>
        <w:tblW w:w="0" w:type="auto"/>
        <w:tblInd w:w="-431" w:type="dxa"/>
        <w:tblLayout w:type="fixed"/>
        <w:tblLook w:val="04A0" w:firstRow="1" w:lastRow="0" w:firstColumn="1" w:lastColumn="0" w:noHBand="0" w:noVBand="1"/>
      </w:tblPr>
      <w:tblGrid>
        <w:gridCol w:w="2127"/>
        <w:gridCol w:w="7320"/>
      </w:tblGrid>
      <w:tr w:rsidR="00E70D3D" w:rsidRPr="00E70D3D" w14:paraId="4F9609D6" w14:textId="77777777" w:rsidTr="00E70D3D">
        <w:tc>
          <w:tcPr>
            <w:tcW w:w="2127" w:type="dxa"/>
          </w:tcPr>
          <w:p w14:paraId="15DAE25E" w14:textId="75A0CB29" w:rsidR="00E70D3D" w:rsidRPr="00E70D3D" w:rsidRDefault="00E70D3D" w:rsidP="00E70D3D">
            <w:pPr>
              <w:pStyle w:val="Frontpagesubhead"/>
              <w:rPr>
                <w:b w:val="0"/>
                <w:sz w:val="22"/>
                <w:szCs w:val="22"/>
              </w:rPr>
            </w:pPr>
            <w:r w:rsidRPr="00E70D3D">
              <w:rPr>
                <w:b w:val="0"/>
                <w:sz w:val="22"/>
                <w:szCs w:val="22"/>
              </w:rPr>
              <w:t>Title</w:t>
            </w:r>
          </w:p>
        </w:tc>
        <w:tc>
          <w:tcPr>
            <w:tcW w:w="7320" w:type="dxa"/>
          </w:tcPr>
          <w:p w14:paraId="092AF217" w14:textId="536731AF" w:rsidR="00E70D3D" w:rsidRPr="00E70D3D" w:rsidRDefault="00E70D3D" w:rsidP="00E70D3D">
            <w:pPr>
              <w:pStyle w:val="Frontpagesubhead"/>
              <w:rPr>
                <w:b w:val="0"/>
                <w:sz w:val="22"/>
                <w:szCs w:val="22"/>
              </w:rPr>
            </w:pPr>
          </w:p>
        </w:tc>
      </w:tr>
      <w:tr w:rsidR="00E70D3D" w:rsidRPr="00E70D3D" w14:paraId="212FE28B" w14:textId="77777777" w:rsidTr="00E70D3D">
        <w:tc>
          <w:tcPr>
            <w:tcW w:w="2127" w:type="dxa"/>
          </w:tcPr>
          <w:p w14:paraId="4A043A66" w14:textId="002A6DB2" w:rsidR="00E70D3D" w:rsidRPr="00E70D3D" w:rsidRDefault="00E70D3D" w:rsidP="00E70D3D">
            <w:pPr>
              <w:pStyle w:val="Frontpagesubhead"/>
              <w:rPr>
                <w:b w:val="0"/>
                <w:sz w:val="22"/>
                <w:szCs w:val="22"/>
              </w:rPr>
            </w:pPr>
            <w:r w:rsidRPr="00E70D3D">
              <w:rPr>
                <w:b w:val="0"/>
                <w:sz w:val="22"/>
                <w:szCs w:val="22"/>
              </w:rPr>
              <w:t>Set or domain</w:t>
            </w:r>
          </w:p>
        </w:tc>
        <w:tc>
          <w:tcPr>
            <w:tcW w:w="7320" w:type="dxa"/>
          </w:tcPr>
          <w:p w14:paraId="1F4124DD" w14:textId="76BEFA30" w:rsidR="00E70D3D" w:rsidRPr="00E70D3D" w:rsidRDefault="00E70D3D" w:rsidP="00E70D3D">
            <w:pPr>
              <w:pStyle w:val="Frontpagesubhead"/>
              <w:rPr>
                <w:b w:val="0"/>
                <w:sz w:val="22"/>
                <w:szCs w:val="22"/>
              </w:rPr>
            </w:pPr>
            <w:r w:rsidRPr="00E70D3D">
              <w:rPr>
                <w:b w:val="0"/>
                <w:sz w:val="22"/>
                <w:szCs w:val="22"/>
              </w:rPr>
              <w:t>CCG OIS 3.14</w:t>
            </w:r>
          </w:p>
        </w:tc>
      </w:tr>
      <w:tr w:rsidR="00E70D3D" w:rsidRPr="00E70D3D" w14:paraId="5D8497B0" w14:textId="77777777" w:rsidTr="00E70D3D">
        <w:tc>
          <w:tcPr>
            <w:tcW w:w="2127" w:type="dxa"/>
          </w:tcPr>
          <w:p w14:paraId="4512A113" w14:textId="1790E9F2" w:rsidR="00E70D3D" w:rsidRPr="00E70D3D" w:rsidRDefault="00E70D3D" w:rsidP="00E70D3D">
            <w:pPr>
              <w:pStyle w:val="Frontpagesubhead"/>
              <w:rPr>
                <w:b w:val="0"/>
                <w:sz w:val="22"/>
                <w:szCs w:val="22"/>
              </w:rPr>
            </w:pPr>
            <w:r w:rsidRPr="00E70D3D">
              <w:rPr>
                <w:b w:val="0"/>
                <w:sz w:val="22"/>
                <w:szCs w:val="22"/>
              </w:rPr>
              <w:t>Topic area</w:t>
            </w:r>
          </w:p>
        </w:tc>
        <w:tc>
          <w:tcPr>
            <w:tcW w:w="7320" w:type="dxa"/>
          </w:tcPr>
          <w:p w14:paraId="76BA20AE" w14:textId="77777777" w:rsidR="00E70D3D" w:rsidRPr="00E70D3D" w:rsidRDefault="00E70D3D" w:rsidP="00E70D3D">
            <w:pPr>
              <w:pStyle w:val="Frontpagesubhead"/>
              <w:rPr>
                <w:b w:val="0"/>
                <w:sz w:val="22"/>
                <w:szCs w:val="22"/>
              </w:rPr>
            </w:pPr>
          </w:p>
        </w:tc>
      </w:tr>
      <w:tr w:rsidR="00E70D3D" w:rsidRPr="00E70D3D" w14:paraId="58480B89" w14:textId="77777777" w:rsidTr="00E70D3D">
        <w:tc>
          <w:tcPr>
            <w:tcW w:w="2127" w:type="dxa"/>
          </w:tcPr>
          <w:p w14:paraId="42BC2B1B" w14:textId="2D6B96FF" w:rsidR="00E70D3D" w:rsidRPr="00E70D3D" w:rsidRDefault="00E70D3D" w:rsidP="00E70D3D">
            <w:pPr>
              <w:pStyle w:val="Frontpagesubhead"/>
              <w:rPr>
                <w:b w:val="0"/>
                <w:sz w:val="22"/>
                <w:szCs w:val="22"/>
              </w:rPr>
            </w:pPr>
            <w:r w:rsidRPr="00E70D3D">
              <w:rPr>
                <w:b w:val="0"/>
                <w:sz w:val="22"/>
                <w:szCs w:val="22"/>
              </w:rPr>
              <w:t>Definition</w:t>
            </w:r>
          </w:p>
        </w:tc>
        <w:tc>
          <w:tcPr>
            <w:tcW w:w="7320" w:type="dxa"/>
          </w:tcPr>
          <w:p w14:paraId="47CE816D" w14:textId="138C8351" w:rsidR="00E70D3D" w:rsidRPr="00E70D3D" w:rsidRDefault="00E70D3D" w:rsidP="00E70D3D">
            <w:pPr>
              <w:pStyle w:val="Frontpagesubhead"/>
              <w:rPr>
                <w:b w:val="0"/>
                <w:sz w:val="22"/>
                <w:szCs w:val="22"/>
              </w:rPr>
            </w:pPr>
            <w:r w:rsidRPr="00E70D3D">
              <w:rPr>
                <w:b w:val="0"/>
                <w:sz w:val="22"/>
                <w:szCs w:val="22"/>
              </w:rPr>
              <w:t>Directly age and sex standardised rate for alcohol-specific conditions per 100,000 registered patients, 95% confidence intervals (CI).</w:t>
            </w:r>
          </w:p>
        </w:tc>
      </w:tr>
      <w:tr w:rsidR="00E70D3D" w:rsidRPr="00E70D3D" w14:paraId="3209375B" w14:textId="77777777" w:rsidTr="00E70D3D">
        <w:tc>
          <w:tcPr>
            <w:tcW w:w="2127" w:type="dxa"/>
          </w:tcPr>
          <w:p w14:paraId="5EEF77E9" w14:textId="10966344" w:rsidR="00E70D3D" w:rsidRPr="00E70D3D" w:rsidRDefault="00E70D3D" w:rsidP="00E70D3D">
            <w:pPr>
              <w:pStyle w:val="Frontpagesubhead"/>
              <w:rPr>
                <w:b w:val="0"/>
                <w:sz w:val="22"/>
                <w:szCs w:val="22"/>
              </w:rPr>
            </w:pPr>
            <w:r w:rsidRPr="00E70D3D">
              <w:rPr>
                <w:b w:val="0"/>
                <w:sz w:val="22"/>
                <w:szCs w:val="22"/>
              </w:rPr>
              <w:t>Indicator owner &amp; contact details</w:t>
            </w:r>
          </w:p>
        </w:tc>
        <w:tc>
          <w:tcPr>
            <w:tcW w:w="7320" w:type="dxa"/>
          </w:tcPr>
          <w:p w14:paraId="23D80A20" w14:textId="77777777" w:rsidR="00E70D3D" w:rsidRPr="00E70D3D" w:rsidRDefault="00E70D3D" w:rsidP="00E70D3D">
            <w:pPr>
              <w:pStyle w:val="Frontpagesubhead"/>
              <w:rPr>
                <w:b w:val="0"/>
                <w:sz w:val="22"/>
                <w:szCs w:val="22"/>
              </w:rPr>
            </w:pPr>
          </w:p>
        </w:tc>
      </w:tr>
      <w:tr w:rsidR="00E70D3D" w:rsidRPr="00E70D3D" w14:paraId="462E3D54" w14:textId="77777777" w:rsidTr="00E70D3D">
        <w:tc>
          <w:tcPr>
            <w:tcW w:w="2127" w:type="dxa"/>
          </w:tcPr>
          <w:p w14:paraId="269D6DB6" w14:textId="746ADAF4" w:rsidR="00E70D3D" w:rsidRPr="00E70D3D" w:rsidRDefault="00E70D3D" w:rsidP="00E70D3D">
            <w:pPr>
              <w:pStyle w:val="Frontpagesubhead"/>
              <w:rPr>
                <w:b w:val="0"/>
                <w:sz w:val="22"/>
                <w:szCs w:val="22"/>
              </w:rPr>
            </w:pPr>
            <w:r w:rsidRPr="00E70D3D">
              <w:rPr>
                <w:b w:val="0"/>
                <w:sz w:val="22"/>
                <w:szCs w:val="22"/>
              </w:rPr>
              <w:t>Publication status</w:t>
            </w:r>
          </w:p>
        </w:tc>
        <w:sdt>
          <w:sdtPr>
            <w:rPr>
              <w:b w:val="0"/>
              <w:sz w:val="22"/>
              <w:szCs w:val="22"/>
            </w:rPr>
            <w:alias w:val="Publication status"/>
            <w:tag w:val="Publication status"/>
            <w:id w:val="-694159432"/>
            <w:placeholder>
              <w:docPart w:val="008197229B234829B7C4BBF4C39F26A9"/>
            </w:placeholder>
            <w:comboBox>
              <w:listItem w:value="Choose an item."/>
              <w:listItem w:displayText="Currently in publication" w:value="Currently in publication"/>
              <w:listItem w:displayText="Not currently in publication" w:value="Not currently in publication"/>
            </w:comboBox>
          </w:sdtPr>
          <w:sdtEndPr/>
          <w:sdtContent>
            <w:tc>
              <w:tcPr>
                <w:tcW w:w="7320" w:type="dxa"/>
              </w:tcPr>
              <w:p w14:paraId="008695D2" w14:textId="425EA5C5" w:rsidR="00E70D3D" w:rsidRPr="00E70D3D" w:rsidRDefault="00E70D3D" w:rsidP="00E70D3D">
                <w:pPr>
                  <w:pStyle w:val="Frontpagesubhead"/>
                  <w:rPr>
                    <w:b w:val="0"/>
                    <w:sz w:val="22"/>
                    <w:szCs w:val="22"/>
                  </w:rPr>
                </w:pPr>
                <w:r w:rsidRPr="00E70D3D">
                  <w:rPr>
                    <w:b w:val="0"/>
                    <w:sz w:val="22"/>
                    <w:szCs w:val="22"/>
                  </w:rPr>
                  <w:t>Currently in publication</w:t>
                </w:r>
              </w:p>
            </w:tc>
          </w:sdtContent>
        </w:sdt>
      </w:tr>
      <w:tr w:rsidR="00E70D3D" w:rsidRPr="00E70D3D" w14:paraId="30E91DDF" w14:textId="77777777" w:rsidTr="00E70D3D">
        <w:tc>
          <w:tcPr>
            <w:tcW w:w="2127" w:type="dxa"/>
          </w:tcPr>
          <w:p w14:paraId="76F3A784" w14:textId="5B67009A" w:rsidR="00E70D3D" w:rsidRPr="00E70D3D" w:rsidRDefault="00E70D3D" w:rsidP="00E70D3D">
            <w:pPr>
              <w:pStyle w:val="Frontpagesubhead"/>
              <w:rPr>
                <w:b w:val="0"/>
                <w:sz w:val="22"/>
                <w:szCs w:val="22"/>
              </w:rPr>
            </w:pPr>
            <w:r w:rsidRPr="00E70D3D">
              <w:rPr>
                <w:b w:val="0"/>
                <w:sz w:val="22"/>
                <w:szCs w:val="22"/>
              </w:rPr>
              <w:t>Purpose</w:t>
            </w:r>
          </w:p>
        </w:tc>
        <w:tc>
          <w:tcPr>
            <w:tcW w:w="7320" w:type="dxa"/>
          </w:tcPr>
          <w:p w14:paraId="198EE7CB" w14:textId="77777777" w:rsidR="00E70D3D" w:rsidRPr="00E70D3D" w:rsidRDefault="00E70D3D" w:rsidP="00E70D3D">
            <w:pPr>
              <w:spacing w:before="240"/>
            </w:pPr>
            <w:r w:rsidRPr="00E70D3D">
              <w:t>The intended audience for the indicator is CCGs, the Department of Health, Provider Managers, Commissioning Managers, Clinicians, Patients and the Public.</w:t>
            </w:r>
          </w:p>
          <w:p w14:paraId="7C6E5CC0" w14:textId="1A5F140A" w:rsidR="00E70D3D" w:rsidRPr="00E70D3D" w:rsidRDefault="00E70D3D" w:rsidP="00E70D3D">
            <w:pPr>
              <w:pStyle w:val="Frontpagesubhead"/>
              <w:rPr>
                <w:b w:val="0"/>
                <w:sz w:val="22"/>
                <w:szCs w:val="22"/>
              </w:rPr>
            </w:pPr>
            <w:r w:rsidRPr="00E70D3D">
              <w:rPr>
                <w:b w:val="0"/>
                <w:sz w:val="22"/>
                <w:szCs w:val="22"/>
              </w:rPr>
              <w:t>This indicator forms part of Domain 3 - Helping people to recover from episodes of ill health or following injury. Some, but not all alcohol-specific admissions are potentially avoidable by high quality management in primary care and the community. Excessive consumption of alcohol may be amenable to influence and could result in a reduction in avoidable hospital admissions, which are costly and expose patients to otherwise avoidable clinical risks such as health care acquired infections.</w:t>
            </w:r>
          </w:p>
        </w:tc>
      </w:tr>
      <w:tr w:rsidR="00E70D3D" w:rsidRPr="00E70D3D" w14:paraId="10404911" w14:textId="77777777" w:rsidTr="00E70D3D">
        <w:tc>
          <w:tcPr>
            <w:tcW w:w="2127" w:type="dxa"/>
          </w:tcPr>
          <w:p w14:paraId="7A2BD20B" w14:textId="4C908D70" w:rsidR="00E70D3D" w:rsidRPr="00E70D3D" w:rsidRDefault="00E70D3D" w:rsidP="00E70D3D">
            <w:pPr>
              <w:pStyle w:val="Frontpagesubhead"/>
              <w:rPr>
                <w:b w:val="0"/>
                <w:sz w:val="22"/>
                <w:szCs w:val="22"/>
              </w:rPr>
            </w:pPr>
            <w:r w:rsidRPr="00E70D3D">
              <w:rPr>
                <w:b w:val="0"/>
                <w:sz w:val="22"/>
                <w:szCs w:val="22"/>
              </w:rPr>
              <w:t>Sponsor</w:t>
            </w:r>
          </w:p>
        </w:tc>
        <w:tc>
          <w:tcPr>
            <w:tcW w:w="7320" w:type="dxa"/>
          </w:tcPr>
          <w:p w14:paraId="7E25EE9F" w14:textId="77777777" w:rsidR="00E70D3D" w:rsidRPr="00E70D3D" w:rsidRDefault="00E70D3D" w:rsidP="00E70D3D">
            <w:pPr>
              <w:pStyle w:val="Frontpagesubhead"/>
              <w:rPr>
                <w:b w:val="0"/>
                <w:sz w:val="22"/>
                <w:szCs w:val="22"/>
              </w:rPr>
            </w:pPr>
          </w:p>
        </w:tc>
      </w:tr>
      <w:tr w:rsidR="00E70D3D" w:rsidRPr="00E70D3D" w14:paraId="2EA4AC0C" w14:textId="77777777" w:rsidTr="00E70D3D">
        <w:tc>
          <w:tcPr>
            <w:tcW w:w="2127" w:type="dxa"/>
          </w:tcPr>
          <w:p w14:paraId="04F6CB93" w14:textId="7E691801" w:rsidR="00E70D3D" w:rsidRPr="00E70D3D" w:rsidRDefault="00E70D3D" w:rsidP="00E70D3D">
            <w:pPr>
              <w:pStyle w:val="Frontpagesubhead"/>
              <w:rPr>
                <w:b w:val="0"/>
                <w:sz w:val="22"/>
                <w:szCs w:val="22"/>
              </w:rPr>
            </w:pPr>
            <w:r w:rsidRPr="00E70D3D">
              <w:rPr>
                <w:b w:val="0"/>
                <w:sz w:val="22"/>
                <w:szCs w:val="22"/>
              </w:rPr>
              <w:t>Endorsement</w:t>
            </w:r>
          </w:p>
        </w:tc>
        <w:tc>
          <w:tcPr>
            <w:tcW w:w="7320" w:type="dxa"/>
          </w:tcPr>
          <w:p w14:paraId="0AEC8485" w14:textId="77777777" w:rsidR="00E70D3D" w:rsidRPr="00E70D3D" w:rsidRDefault="00E70D3D" w:rsidP="00E70D3D">
            <w:pPr>
              <w:pStyle w:val="Frontpagesubhead"/>
              <w:rPr>
                <w:b w:val="0"/>
                <w:sz w:val="22"/>
                <w:szCs w:val="22"/>
              </w:rPr>
            </w:pPr>
          </w:p>
        </w:tc>
      </w:tr>
      <w:tr w:rsidR="00E70D3D" w:rsidRPr="00E70D3D" w14:paraId="5BBD2759" w14:textId="77777777" w:rsidTr="00E70D3D">
        <w:tc>
          <w:tcPr>
            <w:tcW w:w="2127" w:type="dxa"/>
          </w:tcPr>
          <w:p w14:paraId="029B68F6" w14:textId="77777777" w:rsidR="00E70D3D" w:rsidRPr="00E70D3D" w:rsidRDefault="00E70D3D" w:rsidP="00E70D3D">
            <w:pPr>
              <w:spacing w:before="240"/>
            </w:pPr>
            <w:r w:rsidRPr="00E70D3D">
              <w:t>Evidence and Policy base</w:t>
            </w:r>
          </w:p>
          <w:p w14:paraId="4476E2C3" w14:textId="1F1660DD" w:rsidR="00E70D3D" w:rsidRPr="00E70D3D" w:rsidRDefault="00E70D3D" w:rsidP="00E70D3D">
            <w:pPr>
              <w:pStyle w:val="Frontpagesubhead"/>
              <w:rPr>
                <w:b w:val="0"/>
                <w:sz w:val="22"/>
                <w:szCs w:val="22"/>
              </w:rPr>
            </w:pPr>
            <w:r w:rsidRPr="00E70D3D">
              <w:rPr>
                <w:b w:val="0"/>
                <w:sz w:val="22"/>
                <w:szCs w:val="22"/>
              </w:rPr>
              <w:t>Including related national incentives, critical business question, NICE quality standard and set or domain rationale, if appropriate</w:t>
            </w:r>
          </w:p>
        </w:tc>
        <w:tc>
          <w:tcPr>
            <w:tcW w:w="7320" w:type="dxa"/>
          </w:tcPr>
          <w:p w14:paraId="388EBA4E" w14:textId="77777777" w:rsidR="00E70D3D" w:rsidRPr="00E70D3D" w:rsidRDefault="00E70D3D" w:rsidP="00E70D3D">
            <w:pPr>
              <w:spacing w:before="240"/>
            </w:pPr>
            <w:r w:rsidRPr="00E70D3D">
              <w:t>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w:t>
            </w:r>
          </w:p>
          <w:p w14:paraId="568E1FC5" w14:textId="77777777" w:rsidR="00E70D3D" w:rsidRPr="00E70D3D" w:rsidRDefault="00E70D3D" w:rsidP="00E70D3D">
            <w:pPr>
              <w:spacing w:before="240"/>
            </w:pPr>
            <w:r w:rsidRPr="00E70D3D">
              <w:t xml:space="preserve">Alcohol dependence and harmful alcohol use are associated with increased risk of physical and mental health comorbidities including gastrointestinal disorders (in particular liver disease), neurological and cardiovascular disease, depression and anxiety disorders and ultimately, premature death. </w:t>
            </w:r>
          </w:p>
          <w:p w14:paraId="2565B5D0" w14:textId="77777777" w:rsidR="00E70D3D" w:rsidRPr="00E70D3D" w:rsidRDefault="00E70D3D" w:rsidP="00E70D3D">
            <w:pPr>
              <w:spacing w:before="240"/>
            </w:pPr>
            <w:r w:rsidRPr="00E70D3D">
              <w:t>An indicator measuring alcohol-specific re-admissions has also been put forward for inclusion in the CCG Outcomes Indicator Set.</w:t>
            </w:r>
          </w:p>
          <w:p w14:paraId="49FCBFF5" w14:textId="77777777" w:rsidR="00E70D3D" w:rsidRPr="00E70D3D" w:rsidRDefault="00E70D3D" w:rsidP="00E70D3D">
            <w:pPr>
              <w:spacing w:before="240"/>
            </w:pPr>
          </w:p>
          <w:p w14:paraId="1FE628EF" w14:textId="77777777" w:rsidR="00E70D3D" w:rsidRPr="00E70D3D" w:rsidRDefault="00E70D3D" w:rsidP="00E70D3D">
            <w:pPr>
              <w:pStyle w:val="Frontpagesubhead"/>
              <w:rPr>
                <w:b w:val="0"/>
                <w:sz w:val="22"/>
                <w:szCs w:val="22"/>
              </w:rPr>
            </w:pPr>
          </w:p>
        </w:tc>
      </w:tr>
      <w:tr w:rsidR="00E70D3D" w:rsidRPr="00E70D3D" w14:paraId="344A853A" w14:textId="77777777" w:rsidTr="00E70D3D">
        <w:tc>
          <w:tcPr>
            <w:tcW w:w="2127" w:type="dxa"/>
          </w:tcPr>
          <w:p w14:paraId="0403D9DE" w14:textId="3C44C4F5" w:rsidR="00E70D3D" w:rsidRPr="00E70D3D" w:rsidRDefault="00E70D3D" w:rsidP="00E70D3D">
            <w:pPr>
              <w:spacing w:before="240"/>
            </w:pPr>
            <w:r w:rsidRPr="00E70D3D">
              <w:rPr>
                <w:b/>
              </w:rPr>
              <w:t>Data source</w:t>
            </w:r>
          </w:p>
        </w:tc>
        <w:tc>
          <w:tcPr>
            <w:tcW w:w="7320" w:type="dxa"/>
          </w:tcPr>
          <w:p w14:paraId="3544B4A9" w14:textId="77777777" w:rsidR="00E70D3D" w:rsidRPr="00E70D3D" w:rsidRDefault="00E70D3D" w:rsidP="00E70D3D">
            <w:pPr>
              <w:spacing w:before="240"/>
            </w:pPr>
            <w:r w:rsidRPr="00E70D3D">
              <w:rPr>
                <w:b/>
              </w:rPr>
              <w:t>Denominator</w:t>
            </w:r>
            <w:r w:rsidRPr="00E70D3D">
              <w:rPr>
                <w:b/>
              </w:rPr>
              <w:br/>
            </w:r>
            <w:r w:rsidRPr="00E70D3D">
              <w:t xml:space="preserve">GP registered patient counts by single year of age and sex from the NHAIS (Exeter) Systems; supplied annually on 1 April for the forthcoming financial year. </w:t>
            </w:r>
            <w:hyperlink r:id="rId7" w:history="1">
              <w:r w:rsidRPr="00E70D3D">
                <w:rPr>
                  <w:rStyle w:val="Hyperlink"/>
                  <w:color w:val="auto"/>
                </w:rPr>
                <w:t>http://systems.digital.nhs.uk/ssd/prodserv/vaprodopenexe/</w:t>
              </w:r>
            </w:hyperlink>
            <w:r w:rsidRPr="00E70D3D">
              <w:t xml:space="preserve"> </w:t>
            </w:r>
          </w:p>
          <w:p w14:paraId="27D38014" w14:textId="77777777" w:rsidR="00E70D3D" w:rsidRPr="00E70D3D" w:rsidRDefault="00E70D3D" w:rsidP="00E70D3D">
            <w:pPr>
              <w:spacing w:before="240"/>
            </w:pPr>
            <w:r w:rsidRPr="00E70D3D">
              <w:rPr>
                <w:b/>
              </w:rPr>
              <w:lastRenderedPageBreak/>
              <w:t>Numerator</w:t>
            </w:r>
            <w:r w:rsidRPr="00E70D3D">
              <w:rPr>
                <w:b/>
              </w:rPr>
              <w:br/>
            </w:r>
            <w:r w:rsidRPr="00E70D3D">
              <w:t xml:space="preserve">Hospital Episode Statistics (HES) Admitted Patient Care (APC), provided by NHS Digital. </w:t>
            </w:r>
            <w:hyperlink r:id="rId8" w:history="1">
              <w:r w:rsidRPr="00E70D3D">
                <w:rPr>
                  <w:rStyle w:val="Hyperlink"/>
                  <w:color w:val="auto"/>
                </w:rPr>
                <w:t>http://digital.nhs.uk/hes</w:t>
              </w:r>
            </w:hyperlink>
            <w:r w:rsidRPr="00E70D3D">
              <w:t xml:space="preserve"> </w:t>
            </w:r>
          </w:p>
          <w:p w14:paraId="22C9D704" w14:textId="77E53A15" w:rsidR="00E70D3D" w:rsidRPr="00E70D3D" w:rsidRDefault="00E70D3D" w:rsidP="00E70D3D">
            <w:pPr>
              <w:spacing w:before="240"/>
            </w:pPr>
            <w:r w:rsidRPr="00E70D3D">
              <w:rPr>
                <w:b/>
              </w:rPr>
              <w:t>Standard population</w:t>
            </w:r>
            <w:r w:rsidRPr="00E70D3D">
              <w:rPr>
                <w:b/>
              </w:rPr>
              <w:br/>
            </w:r>
            <w:r w:rsidRPr="00E70D3D">
              <w:t xml:space="preserve">Office for National Statistics (ONS) mid-year England population estimates for the respective calendar years. If estimates are not available for a specific calendar year, the most recently available estimates are used. </w:t>
            </w:r>
            <w:hyperlink r:id="rId9" w:history="1">
              <w:r w:rsidRPr="00E70D3D">
                <w:rPr>
                  <w:rStyle w:val="Hyperlink"/>
                  <w:color w:val="auto"/>
                </w:rPr>
                <w:t>https://www.ons.gov.uk/peoplepopulationandcommunity/populationandmigration/populationestimates</w:t>
              </w:r>
            </w:hyperlink>
            <w:r w:rsidRPr="00E70D3D">
              <w:t xml:space="preserve">  </w:t>
            </w:r>
          </w:p>
        </w:tc>
      </w:tr>
      <w:tr w:rsidR="00E70D3D" w:rsidRPr="00E70D3D" w14:paraId="201ED37A" w14:textId="77777777" w:rsidTr="00E70D3D">
        <w:tc>
          <w:tcPr>
            <w:tcW w:w="2127" w:type="dxa"/>
          </w:tcPr>
          <w:p w14:paraId="3B1C5D2F" w14:textId="59A3BFB8" w:rsidR="00E70D3D" w:rsidRPr="00E70D3D" w:rsidRDefault="00E70D3D" w:rsidP="00E70D3D">
            <w:pPr>
              <w:spacing w:before="240"/>
              <w:rPr>
                <w:b/>
              </w:rPr>
            </w:pPr>
            <w:r w:rsidRPr="00E70D3D">
              <w:rPr>
                <w:b/>
              </w:rPr>
              <w:lastRenderedPageBreak/>
              <w:t>Justification of source and others considered</w:t>
            </w:r>
          </w:p>
        </w:tc>
        <w:tc>
          <w:tcPr>
            <w:tcW w:w="7320" w:type="dxa"/>
          </w:tcPr>
          <w:p w14:paraId="4A2FA020" w14:textId="77777777" w:rsidR="00E70D3D" w:rsidRPr="00E70D3D" w:rsidRDefault="00E70D3D" w:rsidP="00E70D3D">
            <w:pPr>
              <w:spacing w:before="240"/>
              <w:rPr>
                <w:b/>
              </w:rPr>
            </w:pPr>
          </w:p>
        </w:tc>
      </w:tr>
      <w:tr w:rsidR="00E70D3D" w:rsidRPr="00E70D3D" w14:paraId="1086C7A5" w14:textId="77777777" w:rsidTr="00E70D3D">
        <w:tc>
          <w:tcPr>
            <w:tcW w:w="2127" w:type="dxa"/>
          </w:tcPr>
          <w:p w14:paraId="24C3B7EE" w14:textId="1DA5B9FE" w:rsidR="00E70D3D" w:rsidRPr="00E70D3D" w:rsidRDefault="00E70D3D" w:rsidP="00E70D3D">
            <w:pPr>
              <w:spacing w:before="240"/>
              <w:rPr>
                <w:b/>
              </w:rPr>
            </w:pPr>
            <w:r w:rsidRPr="00E70D3D">
              <w:rPr>
                <w:b/>
              </w:rPr>
              <w:t>Data availability</w:t>
            </w:r>
          </w:p>
        </w:tc>
        <w:tc>
          <w:tcPr>
            <w:tcW w:w="7320" w:type="dxa"/>
          </w:tcPr>
          <w:p w14:paraId="0373E78D" w14:textId="77777777" w:rsidR="00E70D3D" w:rsidRPr="00E70D3D" w:rsidRDefault="00E70D3D" w:rsidP="00E70D3D">
            <w:pPr>
              <w:spacing w:before="240"/>
              <w:rPr>
                <w:b/>
              </w:rPr>
            </w:pPr>
          </w:p>
        </w:tc>
      </w:tr>
      <w:tr w:rsidR="00E70D3D" w:rsidRPr="00E70D3D" w14:paraId="53E094E1" w14:textId="77777777" w:rsidTr="00E70D3D">
        <w:tc>
          <w:tcPr>
            <w:tcW w:w="2127" w:type="dxa"/>
          </w:tcPr>
          <w:p w14:paraId="2BF10219" w14:textId="69BC5E57" w:rsidR="00E70D3D" w:rsidRPr="00E70D3D" w:rsidRDefault="00E70D3D" w:rsidP="00E70D3D">
            <w:pPr>
              <w:spacing w:before="240"/>
              <w:rPr>
                <w:b/>
              </w:rPr>
            </w:pPr>
            <w:r w:rsidRPr="00E70D3D">
              <w:rPr>
                <w:b/>
              </w:rPr>
              <w:t>Data quality</w:t>
            </w:r>
          </w:p>
        </w:tc>
        <w:tc>
          <w:tcPr>
            <w:tcW w:w="7320" w:type="dxa"/>
          </w:tcPr>
          <w:p w14:paraId="7A7C314E" w14:textId="77777777" w:rsidR="00E70D3D" w:rsidRPr="00E70D3D" w:rsidRDefault="00E70D3D" w:rsidP="00E70D3D">
            <w:pPr>
              <w:spacing w:before="240"/>
              <w:rPr>
                <w:b/>
              </w:rPr>
            </w:pPr>
            <w:r w:rsidRPr="00E70D3D">
              <w:rPr>
                <w:b/>
              </w:rPr>
              <w:t xml:space="preserve"> i) What data quality checks are relevant to this indicator?</w:t>
            </w:r>
          </w:p>
          <w:p w14:paraId="097C674A" w14:textId="77777777" w:rsidR="00E70D3D" w:rsidRPr="00E70D3D" w:rsidRDefault="00E70D3D" w:rsidP="00E70D3D">
            <w:pPr>
              <w:spacing w:before="240"/>
            </w:pPr>
            <w:r w:rsidRPr="00E70D3D">
              <w:rPr>
                <w:b/>
              </w:rPr>
              <w:t>Coverage</w:t>
            </w:r>
            <w:r w:rsidRPr="00E70D3D">
              <w:t xml:space="preserve"> </w:t>
            </w:r>
            <w:sdt>
              <w:sdtPr>
                <w:id w:val="-1734614186"/>
                <w14:checkbox>
                  <w14:checked w14:val="0"/>
                  <w14:checkedState w14:val="2612" w14:font="MS Gothic"/>
                  <w14:uncheckedState w14:val="2610" w14:font="MS Gothic"/>
                </w14:checkbox>
              </w:sdtPr>
              <w:sdtEndPr/>
              <w:sdtContent>
                <w:r w:rsidRPr="00E70D3D">
                  <w:rPr>
                    <w:rFonts w:ascii="Segoe UI Symbol" w:eastAsia="MS Gothic" w:hAnsi="Segoe UI Symbol" w:cs="Segoe UI Symbol"/>
                  </w:rPr>
                  <w:t>☐</w:t>
                </w:r>
              </w:sdtContent>
            </w:sdt>
            <w:r w:rsidRPr="00E70D3D">
              <w:t xml:space="preserve"> </w:t>
            </w:r>
          </w:p>
          <w:p w14:paraId="04932F5E" w14:textId="77777777" w:rsidR="00E70D3D" w:rsidRPr="00E70D3D" w:rsidRDefault="00E70D3D" w:rsidP="00E70D3D">
            <w:pPr>
              <w:spacing w:before="240"/>
            </w:pPr>
            <w:r w:rsidRPr="00E70D3D">
              <w:rPr>
                <w:b/>
              </w:rPr>
              <w:t>Completeness</w:t>
            </w:r>
            <w:r w:rsidRPr="00E70D3D">
              <w:t xml:space="preserve"> </w:t>
            </w:r>
            <w:sdt>
              <w:sdtPr>
                <w:id w:val="-1726368152"/>
                <w14:checkbox>
                  <w14:checked w14:val="0"/>
                  <w14:checkedState w14:val="2612" w14:font="MS Gothic"/>
                  <w14:uncheckedState w14:val="2610" w14:font="MS Gothic"/>
                </w14:checkbox>
              </w:sdtPr>
              <w:sdtEndPr/>
              <w:sdtContent>
                <w:r w:rsidRPr="00E70D3D">
                  <w:rPr>
                    <w:rFonts w:ascii="Segoe UI Symbol" w:eastAsia="MS Gothic" w:hAnsi="Segoe UI Symbol" w:cs="Segoe UI Symbol"/>
                  </w:rPr>
                  <w:t>☐</w:t>
                </w:r>
              </w:sdtContent>
            </w:sdt>
            <w:r w:rsidRPr="00E70D3D">
              <w:t xml:space="preserve"> </w:t>
            </w:r>
            <w:r w:rsidRPr="00E70D3D">
              <w:rPr>
                <w:b/>
              </w:rPr>
              <w:t>Validity</w:t>
            </w:r>
            <w:r w:rsidRPr="00E70D3D">
              <w:t xml:space="preserve"> </w:t>
            </w:r>
            <w:sdt>
              <w:sdtPr>
                <w:id w:val="325330801"/>
                <w14:checkbox>
                  <w14:checked w14:val="0"/>
                  <w14:checkedState w14:val="2612" w14:font="MS Gothic"/>
                  <w14:uncheckedState w14:val="2610" w14:font="MS Gothic"/>
                </w14:checkbox>
              </w:sdtPr>
              <w:sdtEndPr/>
              <w:sdtContent>
                <w:r w:rsidRPr="00E70D3D">
                  <w:rPr>
                    <w:rFonts w:ascii="Segoe UI Symbol" w:eastAsia="MS Gothic" w:hAnsi="Segoe UI Symbol" w:cs="Segoe UI Symbol"/>
                  </w:rPr>
                  <w:t>☐</w:t>
                </w:r>
              </w:sdtContent>
            </w:sdt>
            <w:r w:rsidRPr="00E70D3D">
              <w:t xml:space="preserve"> </w:t>
            </w:r>
          </w:p>
          <w:p w14:paraId="1D8CE671" w14:textId="77777777" w:rsidR="00E70D3D" w:rsidRPr="00E70D3D" w:rsidRDefault="00E70D3D" w:rsidP="00E70D3D">
            <w:pPr>
              <w:spacing w:before="240"/>
            </w:pPr>
            <w:r w:rsidRPr="00E70D3D">
              <w:rPr>
                <w:b/>
              </w:rPr>
              <w:t>Default</w:t>
            </w:r>
            <w:r w:rsidRPr="00E70D3D">
              <w:t xml:space="preserve"> </w:t>
            </w:r>
            <w:sdt>
              <w:sdtPr>
                <w:id w:val="1614473230"/>
                <w14:checkbox>
                  <w14:checked w14:val="0"/>
                  <w14:checkedState w14:val="2612" w14:font="MS Gothic"/>
                  <w14:uncheckedState w14:val="2610" w14:font="MS Gothic"/>
                </w14:checkbox>
              </w:sdtPr>
              <w:sdtEndPr/>
              <w:sdtContent>
                <w:r w:rsidRPr="00E70D3D">
                  <w:rPr>
                    <w:rFonts w:ascii="Segoe UI Symbol" w:eastAsia="MS Gothic" w:hAnsi="Segoe UI Symbol" w:cs="Segoe UI Symbol"/>
                  </w:rPr>
                  <w:t>☐</w:t>
                </w:r>
              </w:sdtContent>
            </w:sdt>
            <w:r w:rsidRPr="00E70D3D">
              <w:t xml:space="preserve"> </w:t>
            </w:r>
          </w:p>
          <w:p w14:paraId="57EA558B" w14:textId="417146DB" w:rsidR="00E70D3D" w:rsidRPr="00E70D3D" w:rsidRDefault="00E70D3D" w:rsidP="00E70D3D">
            <w:pPr>
              <w:spacing w:before="240"/>
              <w:rPr>
                <w:b/>
              </w:rPr>
            </w:pPr>
            <w:r w:rsidRPr="00E70D3D">
              <w:rPr>
                <w:b/>
              </w:rPr>
              <w:t>Integrity</w:t>
            </w:r>
            <w:r w:rsidRPr="00E70D3D">
              <w:t xml:space="preserve"> </w:t>
            </w:r>
            <w:sdt>
              <w:sdtPr>
                <w:id w:val="-1098483664"/>
                <w14:checkbox>
                  <w14:checked w14:val="0"/>
                  <w14:checkedState w14:val="2612" w14:font="MS Gothic"/>
                  <w14:uncheckedState w14:val="2610" w14:font="MS Gothic"/>
                </w14:checkbox>
              </w:sdtPr>
              <w:sdtEndPr/>
              <w:sdtContent>
                <w:r w:rsidRPr="00E70D3D">
                  <w:rPr>
                    <w:rFonts w:ascii="Segoe UI Symbol" w:eastAsia="MS Gothic" w:hAnsi="Segoe UI Symbol" w:cs="Segoe UI Symbol"/>
                  </w:rPr>
                  <w:t>☐</w:t>
                </w:r>
              </w:sdtContent>
            </w:sdt>
            <w:r w:rsidRPr="00E70D3D">
              <w:t xml:space="preserve"> </w:t>
            </w:r>
            <w:r w:rsidRPr="00E70D3D">
              <w:rPr>
                <w:b/>
              </w:rPr>
              <w:t>Timeliness</w:t>
            </w:r>
            <w:r w:rsidRPr="00E70D3D">
              <w:t xml:space="preserve"> </w:t>
            </w:r>
            <w:sdt>
              <w:sdtPr>
                <w:id w:val="1086498859"/>
                <w14:checkbox>
                  <w14:checked w14:val="0"/>
                  <w14:checkedState w14:val="2612" w14:font="MS Gothic"/>
                  <w14:uncheckedState w14:val="2610" w14:font="MS Gothic"/>
                </w14:checkbox>
              </w:sdtPr>
              <w:sdtEndPr/>
              <w:sdtContent>
                <w:r w:rsidRPr="00E70D3D">
                  <w:rPr>
                    <w:rFonts w:ascii="Segoe UI Symbol" w:eastAsia="MS Gothic" w:hAnsi="Segoe UI Symbol" w:cs="Segoe UI Symbol"/>
                  </w:rPr>
                  <w:t>☐</w:t>
                </w:r>
              </w:sdtContent>
            </w:sdt>
            <w:r w:rsidRPr="00E70D3D">
              <w:t xml:space="preserve"> </w:t>
            </w:r>
            <w:r w:rsidRPr="00E70D3D">
              <w:rPr>
                <w:b/>
              </w:rPr>
              <w:t>Other</w:t>
            </w:r>
            <w:r w:rsidRPr="00E70D3D">
              <w:t xml:space="preserve"> </w:t>
            </w:r>
            <w:sdt>
              <w:sdtPr>
                <w:id w:val="1928450506"/>
                <w14:checkbox>
                  <w14:checked w14:val="0"/>
                  <w14:checkedState w14:val="2612" w14:font="MS Gothic"/>
                  <w14:uncheckedState w14:val="2610" w14:font="MS Gothic"/>
                </w14:checkbox>
              </w:sdtPr>
              <w:sdtEndPr/>
              <w:sdtContent>
                <w:r w:rsidRPr="00E70D3D">
                  <w:rPr>
                    <w:rFonts w:ascii="Segoe UI Symbol" w:eastAsia="MS Gothic" w:hAnsi="Segoe UI Symbol" w:cs="Segoe UI Symbol"/>
                  </w:rPr>
                  <w:t>☐</w:t>
                </w:r>
              </w:sdtContent>
            </w:sdt>
          </w:p>
        </w:tc>
      </w:tr>
      <w:tr w:rsidR="00E70D3D" w:rsidRPr="00E70D3D" w14:paraId="1C9AA7D9" w14:textId="77777777" w:rsidTr="00E70D3D">
        <w:tc>
          <w:tcPr>
            <w:tcW w:w="2127" w:type="dxa"/>
          </w:tcPr>
          <w:p w14:paraId="356702AA" w14:textId="5ED8376F" w:rsidR="00E70D3D" w:rsidRPr="00E70D3D" w:rsidRDefault="00E70D3D" w:rsidP="00E70D3D">
            <w:pPr>
              <w:spacing w:before="240"/>
              <w:rPr>
                <w:b/>
              </w:rPr>
            </w:pPr>
            <w:r w:rsidRPr="007E0711">
              <w:rPr>
                <w:b/>
              </w:rPr>
              <w:t>Data quality</w:t>
            </w:r>
          </w:p>
        </w:tc>
        <w:tc>
          <w:tcPr>
            <w:tcW w:w="7320" w:type="dxa"/>
          </w:tcPr>
          <w:p w14:paraId="7425F73C" w14:textId="77777777" w:rsidR="00E70D3D" w:rsidRPr="00E70D3D" w:rsidRDefault="00E70D3D" w:rsidP="00E70D3D">
            <w:pPr>
              <w:textboxTightWrap w:val="allLines"/>
              <w:rPr>
                <w:b/>
              </w:rPr>
            </w:pPr>
            <w:r w:rsidRPr="00E70D3D">
              <w:rPr>
                <w:b/>
              </w:rPr>
              <w:t xml:space="preserve">If you included ‘Other’ as a data quality check, please describe the check, how it will be measured, and its reason for use below: </w:t>
            </w:r>
          </w:p>
          <w:p w14:paraId="4BDDF206" w14:textId="77777777" w:rsidR="00E70D3D" w:rsidRPr="00E70D3D" w:rsidRDefault="00E70D3D" w:rsidP="00E70D3D">
            <w:pPr>
              <w:spacing w:before="240"/>
              <w:rPr>
                <w:b/>
              </w:rPr>
            </w:pPr>
          </w:p>
        </w:tc>
      </w:tr>
      <w:tr w:rsidR="00E70D3D" w:rsidRPr="00E70D3D" w14:paraId="6E975825" w14:textId="77777777" w:rsidTr="00E70D3D">
        <w:tc>
          <w:tcPr>
            <w:tcW w:w="2127" w:type="dxa"/>
          </w:tcPr>
          <w:p w14:paraId="2FE8BA28" w14:textId="27D37D3C" w:rsidR="00E70D3D" w:rsidRPr="00E70D3D" w:rsidRDefault="00E70D3D" w:rsidP="00E70D3D">
            <w:pPr>
              <w:spacing w:before="240"/>
              <w:rPr>
                <w:b/>
              </w:rPr>
            </w:pPr>
            <w:r w:rsidRPr="007E0711">
              <w:rPr>
                <w:b/>
              </w:rPr>
              <w:t>Data quality</w:t>
            </w:r>
          </w:p>
        </w:tc>
        <w:tc>
          <w:tcPr>
            <w:tcW w:w="7320" w:type="dxa"/>
          </w:tcPr>
          <w:p w14:paraId="3F1D6440" w14:textId="77777777" w:rsidR="00E70D3D" w:rsidRPr="00E70D3D" w:rsidRDefault="00E70D3D" w:rsidP="00E70D3D">
            <w:pPr>
              <w:textboxTightWrap w:val="allLines"/>
            </w:pPr>
            <w:r w:rsidRPr="00E70D3D">
              <w:rPr>
                <w:b/>
              </w:rPr>
              <w:t xml:space="preserve">ii)  What are the current values for the data quality checks selected? </w:t>
            </w:r>
            <w:r w:rsidRPr="00E70D3D">
              <w:t xml:space="preserve">The period of data the current values are calculated from should be stated. Current values should be recorded as a percentage and calculated as described below. </w:t>
            </w:r>
          </w:p>
          <w:p w14:paraId="659BB8CC" w14:textId="77777777" w:rsidR="00E70D3D" w:rsidRPr="00E70D3D" w:rsidRDefault="00E70D3D" w:rsidP="00E70D3D">
            <w:pPr>
              <w:textboxTightWrap w:val="allLines"/>
              <w:rPr>
                <w:b/>
              </w:rPr>
            </w:pPr>
            <w:r w:rsidRPr="00E70D3D">
              <w:rPr>
                <w:b/>
              </w:rPr>
              <w:t>Period of data:</w:t>
            </w:r>
          </w:p>
          <w:p w14:paraId="220D6A3D" w14:textId="77777777" w:rsidR="00E70D3D" w:rsidRPr="00E70D3D" w:rsidRDefault="00E70D3D" w:rsidP="00E70D3D">
            <w:pPr>
              <w:textboxTightWrap w:val="allLines"/>
              <w:rPr>
                <w:b/>
              </w:rPr>
            </w:pPr>
            <w:r w:rsidRPr="00E70D3D">
              <w:rPr>
                <w:b/>
              </w:rPr>
              <w:t>Coverage:</w:t>
            </w:r>
            <w:r w:rsidRPr="00E70D3D">
              <w:rPr>
                <w:b/>
              </w:rPr>
              <w:br/>
              <w:t xml:space="preserve">Calculation </w:t>
            </w:r>
          </w:p>
          <w:p w14:paraId="77B170DC" w14:textId="77777777" w:rsidR="00E70D3D" w:rsidRPr="00E70D3D" w:rsidRDefault="00E70D3D" w:rsidP="00E70D3D">
            <w:pPr>
              <w:textboxTightWrap w:val="allLines"/>
              <w:rPr>
                <w:b/>
              </w:rPr>
            </w:pPr>
            <w:r w:rsidRPr="00E70D3D">
              <w:rPr>
                <w:b/>
              </w:rPr>
              <w:t>Completeness:</w:t>
            </w:r>
            <w:r w:rsidRPr="00E70D3D">
              <w:rPr>
                <w:b/>
              </w:rPr>
              <w:br/>
              <w:t xml:space="preserve">Calculation:       </w:t>
            </w:r>
          </w:p>
          <w:p w14:paraId="6D43ABCB" w14:textId="77777777" w:rsidR="00E70D3D" w:rsidRPr="00E70D3D" w:rsidRDefault="00E70D3D" w:rsidP="00E70D3D">
            <w:pPr>
              <w:textboxTightWrap w:val="allLines"/>
              <w:rPr>
                <w:b/>
              </w:rPr>
            </w:pPr>
            <w:r w:rsidRPr="00E70D3D">
              <w:rPr>
                <w:b/>
              </w:rPr>
              <w:t>Validity:</w:t>
            </w:r>
            <w:r w:rsidRPr="00E70D3D">
              <w:rPr>
                <w:b/>
              </w:rPr>
              <w:br/>
              <w:t xml:space="preserve">Calculation:       </w:t>
            </w:r>
          </w:p>
          <w:p w14:paraId="58227EF5" w14:textId="77777777" w:rsidR="00E70D3D" w:rsidRPr="00E70D3D" w:rsidRDefault="00E70D3D" w:rsidP="00E70D3D">
            <w:pPr>
              <w:textboxTightWrap w:val="allLines"/>
              <w:rPr>
                <w:b/>
              </w:rPr>
            </w:pPr>
            <w:r w:rsidRPr="00E70D3D">
              <w:rPr>
                <w:b/>
              </w:rPr>
              <w:t>Default:</w:t>
            </w:r>
            <w:r w:rsidRPr="00E70D3D">
              <w:rPr>
                <w:b/>
              </w:rPr>
              <w:br/>
              <w:t xml:space="preserve">Calculation:       </w:t>
            </w:r>
          </w:p>
          <w:p w14:paraId="3E6D72B7" w14:textId="77777777" w:rsidR="00E70D3D" w:rsidRPr="00E70D3D" w:rsidRDefault="00E70D3D" w:rsidP="00E70D3D">
            <w:pPr>
              <w:textboxTightWrap w:val="allLines"/>
              <w:rPr>
                <w:b/>
              </w:rPr>
            </w:pPr>
            <w:r w:rsidRPr="00E70D3D">
              <w:rPr>
                <w:b/>
              </w:rPr>
              <w:t>Integrity:</w:t>
            </w:r>
            <w:r w:rsidRPr="00E70D3D">
              <w:rPr>
                <w:b/>
              </w:rPr>
              <w:br/>
              <w:t xml:space="preserve">Calculation:       </w:t>
            </w:r>
          </w:p>
          <w:p w14:paraId="07D6BE09" w14:textId="77777777" w:rsidR="00E70D3D" w:rsidRPr="00E70D3D" w:rsidRDefault="00E70D3D" w:rsidP="00E70D3D">
            <w:pPr>
              <w:textboxTightWrap w:val="allLines"/>
              <w:rPr>
                <w:b/>
              </w:rPr>
            </w:pPr>
            <w:r w:rsidRPr="00E70D3D">
              <w:rPr>
                <w:b/>
              </w:rPr>
              <w:t>Timeliness:</w:t>
            </w:r>
            <w:r w:rsidRPr="00E70D3D">
              <w:rPr>
                <w:b/>
              </w:rPr>
              <w:br/>
              <w:t xml:space="preserve">Calculation: </w:t>
            </w:r>
          </w:p>
          <w:p w14:paraId="544513CB" w14:textId="77777777" w:rsidR="00E70D3D" w:rsidRPr="00E70D3D" w:rsidRDefault="00E70D3D" w:rsidP="00E70D3D">
            <w:pPr>
              <w:textboxTightWrap w:val="allLines"/>
              <w:rPr>
                <w:b/>
              </w:rPr>
            </w:pPr>
            <w:r w:rsidRPr="00E70D3D">
              <w:rPr>
                <w:b/>
              </w:rPr>
              <w:t>Other:</w:t>
            </w:r>
            <w:r w:rsidRPr="00E70D3D">
              <w:rPr>
                <w:b/>
              </w:rPr>
              <w:br/>
              <w:t>Calculation:</w:t>
            </w:r>
          </w:p>
          <w:p w14:paraId="0E3A5339" w14:textId="77777777" w:rsidR="00E70D3D" w:rsidRPr="00E70D3D" w:rsidRDefault="00E70D3D" w:rsidP="00E70D3D">
            <w:pPr>
              <w:textboxTightWrap w:val="allLines"/>
              <w:rPr>
                <w:b/>
              </w:rPr>
            </w:pPr>
          </w:p>
        </w:tc>
      </w:tr>
      <w:tr w:rsidR="00E70D3D" w:rsidRPr="00E70D3D" w14:paraId="3BC2A669" w14:textId="77777777" w:rsidTr="00E70D3D">
        <w:tc>
          <w:tcPr>
            <w:tcW w:w="2127" w:type="dxa"/>
          </w:tcPr>
          <w:p w14:paraId="07C5343F" w14:textId="77777777" w:rsidR="00E70D3D" w:rsidRPr="00E70D3D" w:rsidRDefault="00E70D3D" w:rsidP="00E70D3D">
            <w:pPr>
              <w:spacing w:before="240"/>
              <w:rPr>
                <w:b/>
              </w:rPr>
            </w:pPr>
          </w:p>
        </w:tc>
        <w:tc>
          <w:tcPr>
            <w:tcW w:w="7320" w:type="dxa"/>
          </w:tcPr>
          <w:p w14:paraId="3576DF44" w14:textId="77777777" w:rsidR="00E70D3D" w:rsidRPr="00E70D3D" w:rsidRDefault="00E70D3D" w:rsidP="00E70D3D">
            <w:pPr>
              <w:textboxTightWrap w:val="allLines"/>
            </w:pPr>
            <w:r w:rsidRPr="00E70D3D">
              <w:rPr>
                <w:b/>
              </w:rPr>
              <w:t xml:space="preserve">iii) What are the thresholds for the data quality checks selected? </w:t>
            </w:r>
          </w:p>
          <w:p w14:paraId="2C5FF45E" w14:textId="77777777" w:rsidR="00E70D3D" w:rsidRPr="00E70D3D" w:rsidRDefault="00E70D3D" w:rsidP="00E70D3D">
            <w:pPr>
              <w:textboxTightWrap w:val="allLines"/>
              <w:rPr>
                <w:b/>
              </w:rPr>
            </w:pPr>
            <w:r w:rsidRPr="00E70D3D">
              <w:rPr>
                <w:b/>
              </w:rPr>
              <w:t xml:space="preserve">Coverage: </w:t>
            </w:r>
          </w:p>
          <w:p w14:paraId="782E8A9E" w14:textId="77777777" w:rsidR="00E70D3D" w:rsidRPr="00E70D3D" w:rsidRDefault="00E70D3D" w:rsidP="00E70D3D">
            <w:pPr>
              <w:textboxTightWrap w:val="allLines"/>
            </w:pPr>
            <w:r w:rsidRPr="00E70D3D">
              <w:rPr>
                <w:b/>
              </w:rPr>
              <w:lastRenderedPageBreak/>
              <w:t>Completeness:</w:t>
            </w:r>
            <w:r w:rsidRPr="00E70D3D">
              <w:t xml:space="preserve"> </w:t>
            </w:r>
          </w:p>
          <w:p w14:paraId="2C88D2C0" w14:textId="77777777" w:rsidR="00E70D3D" w:rsidRPr="00E70D3D" w:rsidRDefault="00E70D3D" w:rsidP="00E70D3D">
            <w:pPr>
              <w:textboxTightWrap w:val="allLines"/>
            </w:pPr>
            <w:r w:rsidRPr="00E70D3D">
              <w:rPr>
                <w:b/>
              </w:rPr>
              <w:t>Validity:</w:t>
            </w:r>
            <w:r w:rsidRPr="00E70D3D">
              <w:t xml:space="preserve"> </w:t>
            </w:r>
          </w:p>
          <w:p w14:paraId="1809D343" w14:textId="77777777" w:rsidR="00E70D3D" w:rsidRPr="00E70D3D" w:rsidRDefault="00E70D3D" w:rsidP="00E70D3D">
            <w:pPr>
              <w:textboxTightWrap w:val="allLines"/>
            </w:pPr>
            <w:r w:rsidRPr="00E70D3D">
              <w:rPr>
                <w:b/>
              </w:rPr>
              <w:t>Default:</w:t>
            </w:r>
          </w:p>
          <w:p w14:paraId="4BFA7E11" w14:textId="77777777" w:rsidR="00E70D3D" w:rsidRPr="00E70D3D" w:rsidRDefault="00E70D3D" w:rsidP="00E70D3D">
            <w:pPr>
              <w:textboxTightWrap w:val="allLines"/>
            </w:pPr>
            <w:r w:rsidRPr="00E70D3D">
              <w:rPr>
                <w:b/>
              </w:rPr>
              <w:t>Integrity:</w:t>
            </w:r>
            <w:r w:rsidRPr="00E70D3D">
              <w:t xml:space="preserve"> </w:t>
            </w:r>
          </w:p>
          <w:p w14:paraId="63C32C03" w14:textId="77777777" w:rsidR="00E70D3D" w:rsidRPr="00E70D3D" w:rsidRDefault="00E70D3D" w:rsidP="00E70D3D">
            <w:pPr>
              <w:textboxTightWrap w:val="allLines"/>
            </w:pPr>
            <w:r w:rsidRPr="00E70D3D">
              <w:rPr>
                <w:b/>
              </w:rPr>
              <w:t>Timeliness:</w:t>
            </w:r>
            <w:r w:rsidRPr="00E70D3D">
              <w:t xml:space="preserve"> </w:t>
            </w:r>
          </w:p>
          <w:p w14:paraId="33721CAB" w14:textId="517C6720" w:rsidR="00E70D3D" w:rsidRPr="00E70D3D" w:rsidRDefault="00E70D3D" w:rsidP="00E70D3D">
            <w:pPr>
              <w:textboxTightWrap w:val="allLines"/>
              <w:rPr>
                <w:b/>
              </w:rPr>
            </w:pPr>
            <w:r w:rsidRPr="00E70D3D">
              <w:rPr>
                <w:b/>
              </w:rPr>
              <w:t xml:space="preserve">Other: </w:t>
            </w:r>
          </w:p>
        </w:tc>
      </w:tr>
      <w:tr w:rsidR="00E70D3D" w:rsidRPr="00E70D3D" w14:paraId="0BB994CA" w14:textId="77777777" w:rsidTr="00E70D3D">
        <w:tc>
          <w:tcPr>
            <w:tcW w:w="2127" w:type="dxa"/>
          </w:tcPr>
          <w:p w14:paraId="7BE0D9F6" w14:textId="4D81B6B3" w:rsidR="00E70D3D" w:rsidRPr="00E70D3D" w:rsidRDefault="00E70D3D" w:rsidP="00E70D3D">
            <w:pPr>
              <w:spacing w:before="240"/>
              <w:rPr>
                <w:b/>
              </w:rPr>
            </w:pPr>
            <w:r w:rsidRPr="002A3C13">
              <w:rPr>
                <w:b/>
              </w:rPr>
              <w:lastRenderedPageBreak/>
              <w:t>Data quality</w:t>
            </w:r>
          </w:p>
        </w:tc>
        <w:tc>
          <w:tcPr>
            <w:tcW w:w="7320" w:type="dxa"/>
          </w:tcPr>
          <w:p w14:paraId="698DC58C" w14:textId="77777777" w:rsidR="00E70D3D" w:rsidRPr="00E70D3D" w:rsidRDefault="00E70D3D" w:rsidP="00E70D3D">
            <w:pPr>
              <w:textboxTightWrap w:val="allLines"/>
            </w:pPr>
            <w:r w:rsidRPr="00E70D3D">
              <w:rPr>
                <w:b/>
              </w:rPr>
              <w:t xml:space="preserve">iv) What is the rationale for the selection of the data quality checks and thresholds selected above? </w:t>
            </w:r>
          </w:p>
          <w:p w14:paraId="7C16A4B4" w14:textId="77777777" w:rsidR="00E70D3D" w:rsidRPr="00E70D3D" w:rsidRDefault="00E70D3D" w:rsidP="00E70D3D">
            <w:pPr>
              <w:textboxTightWrap w:val="allLines"/>
              <w:rPr>
                <w:b/>
              </w:rPr>
            </w:pPr>
          </w:p>
        </w:tc>
      </w:tr>
      <w:tr w:rsidR="00E70D3D" w:rsidRPr="00E70D3D" w14:paraId="226A17B7" w14:textId="77777777" w:rsidTr="00E70D3D">
        <w:tc>
          <w:tcPr>
            <w:tcW w:w="2127" w:type="dxa"/>
          </w:tcPr>
          <w:p w14:paraId="1966237F" w14:textId="044ABDD5" w:rsidR="00E70D3D" w:rsidRPr="00E70D3D" w:rsidRDefault="00E70D3D" w:rsidP="00E70D3D">
            <w:pPr>
              <w:spacing w:before="240"/>
              <w:rPr>
                <w:b/>
              </w:rPr>
            </w:pPr>
            <w:r w:rsidRPr="002A3C13">
              <w:rPr>
                <w:b/>
              </w:rPr>
              <w:t>Data quality</w:t>
            </w:r>
          </w:p>
        </w:tc>
        <w:tc>
          <w:tcPr>
            <w:tcW w:w="7320" w:type="dxa"/>
          </w:tcPr>
          <w:p w14:paraId="5B1C9BEC" w14:textId="77777777" w:rsidR="00E70D3D" w:rsidRPr="00E70D3D" w:rsidRDefault="00E70D3D" w:rsidP="00E70D3D">
            <w:pPr>
              <w:textboxTightWrap w:val="allLines"/>
            </w:pPr>
            <w:r w:rsidRPr="00E70D3D">
              <w:rPr>
                <w:b/>
              </w:rPr>
              <w:t xml:space="preserve">v) Describe how you would plan to improve data quality should it not meet, or subsequently fall below, the thresholds required for this indicator. </w:t>
            </w:r>
          </w:p>
          <w:p w14:paraId="7E6C78FA" w14:textId="77777777" w:rsidR="00E70D3D" w:rsidRPr="00E70D3D" w:rsidRDefault="00E70D3D" w:rsidP="00E70D3D">
            <w:pPr>
              <w:textboxTightWrap w:val="allLines"/>
              <w:rPr>
                <w:b/>
              </w:rPr>
            </w:pPr>
          </w:p>
        </w:tc>
      </w:tr>
      <w:tr w:rsidR="00E70D3D" w:rsidRPr="00E70D3D" w14:paraId="4697FE6B" w14:textId="77777777" w:rsidTr="00E70D3D">
        <w:tc>
          <w:tcPr>
            <w:tcW w:w="2127" w:type="dxa"/>
          </w:tcPr>
          <w:p w14:paraId="5CE3E3AD" w14:textId="42614ED3" w:rsidR="00E70D3D" w:rsidRPr="00E70D3D" w:rsidRDefault="00E70D3D" w:rsidP="00E70D3D">
            <w:pPr>
              <w:spacing w:before="240"/>
              <w:rPr>
                <w:b/>
              </w:rPr>
            </w:pPr>
            <w:r w:rsidRPr="002A3C13">
              <w:rPr>
                <w:b/>
              </w:rPr>
              <w:t>Data quality</w:t>
            </w:r>
          </w:p>
        </w:tc>
        <w:tc>
          <w:tcPr>
            <w:tcW w:w="7320" w:type="dxa"/>
          </w:tcPr>
          <w:p w14:paraId="5008183A" w14:textId="77777777" w:rsidR="00E70D3D" w:rsidRPr="00E70D3D" w:rsidRDefault="00E70D3D" w:rsidP="00E70D3D">
            <w:pPr>
              <w:textboxTightWrap w:val="allLines"/>
              <w:rPr>
                <w:b/>
              </w:rPr>
            </w:pPr>
            <w:r w:rsidRPr="00E70D3D">
              <w:rPr>
                <w:b/>
              </w:rPr>
              <w:t xml:space="preserve">vi) Who will own the data quality risks and issues for this indicator? </w:t>
            </w:r>
          </w:p>
          <w:p w14:paraId="61963C3D" w14:textId="77777777" w:rsidR="00E70D3D" w:rsidRPr="00E70D3D" w:rsidRDefault="00E70D3D" w:rsidP="00E70D3D">
            <w:pPr>
              <w:textboxTightWrap w:val="allLines"/>
            </w:pPr>
            <w:r w:rsidRPr="00E70D3D">
              <w:rPr>
                <w:b/>
              </w:rPr>
              <w:t>Name:</w:t>
            </w:r>
            <w:r w:rsidRPr="00E70D3D">
              <w:t xml:space="preserve"> </w:t>
            </w:r>
          </w:p>
          <w:p w14:paraId="5B91E1D3" w14:textId="77777777" w:rsidR="00E70D3D" w:rsidRPr="00E70D3D" w:rsidRDefault="00E70D3D" w:rsidP="00E70D3D">
            <w:pPr>
              <w:textboxTightWrap w:val="allLines"/>
            </w:pPr>
            <w:r w:rsidRPr="00E70D3D">
              <w:rPr>
                <w:b/>
              </w:rPr>
              <w:t>Job Title:</w:t>
            </w:r>
            <w:r w:rsidRPr="00E70D3D">
              <w:t xml:space="preserve"> </w:t>
            </w:r>
          </w:p>
          <w:p w14:paraId="06914A8D" w14:textId="77777777" w:rsidR="00E70D3D" w:rsidRPr="00E70D3D" w:rsidRDefault="00E70D3D" w:rsidP="00E70D3D">
            <w:pPr>
              <w:textboxTightWrap w:val="allLines"/>
            </w:pPr>
            <w:r w:rsidRPr="00E70D3D">
              <w:rPr>
                <w:b/>
              </w:rPr>
              <w:t>Role:</w:t>
            </w:r>
            <w:r w:rsidRPr="00E70D3D">
              <w:t xml:space="preserve"> </w:t>
            </w:r>
          </w:p>
          <w:p w14:paraId="0EE5B01C" w14:textId="77777777" w:rsidR="00E70D3D" w:rsidRPr="00E70D3D" w:rsidRDefault="00E70D3D" w:rsidP="00E70D3D">
            <w:pPr>
              <w:textboxTightWrap w:val="allLines"/>
            </w:pPr>
            <w:r w:rsidRPr="00E70D3D">
              <w:rPr>
                <w:b/>
              </w:rPr>
              <w:t>Email:</w:t>
            </w:r>
            <w:r w:rsidRPr="00E70D3D">
              <w:t xml:space="preserve"> </w:t>
            </w:r>
          </w:p>
          <w:p w14:paraId="2DA24E06" w14:textId="1CA1CE15" w:rsidR="00E70D3D" w:rsidRPr="00E70D3D" w:rsidRDefault="00E70D3D" w:rsidP="00E70D3D">
            <w:pPr>
              <w:textboxTightWrap w:val="allLines"/>
              <w:rPr>
                <w:b/>
              </w:rPr>
            </w:pPr>
            <w:r w:rsidRPr="00E70D3D">
              <w:rPr>
                <w:b/>
              </w:rPr>
              <w:t>Telephone:</w:t>
            </w:r>
            <w:r w:rsidRPr="00E70D3D">
              <w:t xml:space="preserve"> </w:t>
            </w:r>
          </w:p>
        </w:tc>
      </w:tr>
      <w:tr w:rsidR="00E70D3D" w:rsidRPr="00E70D3D" w14:paraId="04932202" w14:textId="77777777" w:rsidTr="00E70D3D">
        <w:tc>
          <w:tcPr>
            <w:tcW w:w="2127" w:type="dxa"/>
          </w:tcPr>
          <w:p w14:paraId="66F6735C" w14:textId="2A19C234" w:rsidR="00E70D3D" w:rsidRPr="00E70D3D" w:rsidRDefault="00E70D3D" w:rsidP="00E70D3D">
            <w:pPr>
              <w:spacing w:before="240"/>
              <w:rPr>
                <w:b/>
              </w:rPr>
            </w:pPr>
            <w:r w:rsidRPr="002A3C13">
              <w:rPr>
                <w:b/>
              </w:rPr>
              <w:t>Data quality</w:t>
            </w:r>
          </w:p>
        </w:tc>
        <w:tc>
          <w:tcPr>
            <w:tcW w:w="7320" w:type="dxa"/>
          </w:tcPr>
          <w:p w14:paraId="1B8C5FC0" w14:textId="77777777" w:rsidR="00E70D3D" w:rsidRPr="00E70D3D" w:rsidRDefault="00E70D3D" w:rsidP="00E70D3D">
            <w:pPr>
              <w:spacing w:before="240"/>
              <w:textboxTightWrap w:val="allLines"/>
            </w:pPr>
            <w:r w:rsidRPr="00E70D3D">
              <w:rPr>
                <w:b/>
              </w:rPr>
              <w:t xml:space="preserve">vii) Describe how the data quality risks and issues will be managed for this indicator, including the escalation process. </w:t>
            </w:r>
          </w:p>
          <w:p w14:paraId="17B48D08" w14:textId="77777777" w:rsidR="00E70D3D" w:rsidRPr="00E70D3D" w:rsidRDefault="00E70D3D" w:rsidP="00E70D3D">
            <w:pPr>
              <w:textboxTightWrap w:val="allLines"/>
              <w:rPr>
                <w:b/>
              </w:rPr>
            </w:pPr>
          </w:p>
        </w:tc>
      </w:tr>
      <w:tr w:rsidR="00E70D3D" w:rsidRPr="00E70D3D" w14:paraId="4FB7681D" w14:textId="77777777" w:rsidTr="00E70D3D">
        <w:tc>
          <w:tcPr>
            <w:tcW w:w="2127" w:type="dxa"/>
          </w:tcPr>
          <w:p w14:paraId="434ECDB2" w14:textId="393C1EA8" w:rsidR="00E70D3D" w:rsidRPr="00E70D3D" w:rsidRDefault="00E70D3D" w:rsidP="00E70D3D">
            <w:pPr>
              <w:spacing w:before="240"/>
              <w:rPr>
                <w:b/>
              </w:rPr>
            </w:pPr>
            <w:r w:rsidRPr="002A3C13">
              <w:rPr>
                <w:b/>
              </w:rPr>
              <w:t>Data quality</w:t>
            </w:r>
          </w:p>
        </w:tc>
        <w:tc>
          <w:tcPr>
            <w:tcW w:w="7320" w:type="dxa"/>
          </w:tcPr>
          <w:p w14:paraId="4A21F2F5" w14:textId="77777777" w:rsidR="00E70D3D" w:rsidRPr="00E70D3D" w:rsidRDefault="00E70D3D" w:rsidP="00E70D3D">
            <w:pPr>
              <w:textboxTightWrap w:val="allLines"/>
            </w:pPr>
            <w:r w:rsidRPr="00E70D3D">
              <w:rPr>
                <w:b/>
              </w:rPr>
              <w:t xml:space="preserve">viii) Describe any assumptions you have made about data quality for this indicator. </w:t>
            </w:r>
          </w:p>
          <w:p w14:paraId="41360054" w14:textId="77777777" w:rsidR="00E70D3D" w:rsidRPr="00E70D3D" w:rsidRDefault="00E70D3D" w:rsidP="00E70D3D">
            <w:pPr>
              <w:spacing w:before="240"/>
              <w:textboxTightWrap w:val="allLines"/>
              <w:rPr>
                <w:b/>
              </w:rPr>
            </w:pPr>
          </w:p>
        </w:tc>
      </w:tr>
      <w:tr w:rsidR="00E70D3D" w:rsidRPr="00E70D3D" w14:paraId="00636025" w14:textId="77777777" w:rsidTr="00E70D3D">
        <w:tc>
          <w:tcPr>
            <w:tcW w:w="2127" w:type="dxa"/>
          </w:tcPr>
          <w:p w14:paraId="6B0F1B66" w14:textId="5270DDBC" w:rsidR="00E70D3D" w:rsidRPr="00E70D3D" w:rsidRDefault="00E70D3D" w:rsidP="00E70D3D">
            <w:pPr>
              <w:spacing w:before="240"/>
              <w:rPr>
                <w:b/>
              </w:rPr>
            </w:pPr>
            <w:r w:rsidRPr="002A3C13">
              <w:rPr>
                <w:b/>
              </w:rPr>
              <w:t>Data quality</w:t>
            </w:r>
          </w:p>
        </w:tc>
        <w:tc>
          <w:tcPr>
            <w:tcW w:w="7320" w:type="dxa"/>
          </w:tcPr>
          <w:p w14:paraId="7F6C2C53" w14:textId="77777777" w:rsidR="00E70D3D" w:rsidRPr="00E70D3D" w:rsidRDefault="00E70D3D" w:rsidP="00E70D3D">
            <w:pPr>
              <w:textboxTightWrap w:val="allLines"/>
              <w:rPr>
                <w:b/>
              </w:rPr>
            </w:pPr>
            <w:r w:rsidRPr="00E70D3D">
              <w:rPr>
                <w:b/>
              </w:rPr>
              <w:t>ix) Describe any data quality constraints you are aware of for this indicator.</w:t>
            </w:r>
            <w:r w:rsidRPr="00E70D3D">
              <w:t xml:space="preserve"> </w:t>
            </w:r>
          </w:p>
          <w:p w14:paraId="3D9B0D8B" w14:textId="77777777" w:rsidR="00E70D3D" w:rsidRPr="00E70D3D" w:rsidRDefault="00E70D3D" w:rsidP="00E70D3D">
            <w:pPr>
              <w:textboxTightWrap w:val="allLines"/>
              <w:rPr>
                <w:b/>
              </w:rPr>
            </w:pPr>
          </w:p>
        </w:tc>
      </w:tr>
      <w:tr w:rsidR="00E70D3D" w:rsidRPr="00E70D3D" w14:paraId="7435B1B5" w14:textId="77777777" w:rsidTr="00E70D3D">
        <w:tc>
          <w:tcPr>
            <w:tcW w:w="2127" w:type="dxa"/>
          </w:tcPr>
          <w:p w14:paraId="1BA9499A" w14:textId="4EF752CF" w:rsidR="00E70D3D" w:rsidRPr="00E70D3D" w:rsidRDefault="00E70D3D" w:rsidP="00E70D3D">
            <w:pPr>
              <w:spacing w:before="240"/>
              <w:rPr>
                <w:b/>
              </w:rPr>
            </w:pPr>
            <w:r w:rsidRPr="00E70D3D">
              <w:rPr>
                <w:b/>
              </w:rPr>
              <w:t>Data quality</w:t>
            </w:r>
          </w:p>
        </w:tc>
        <w:tc>
          <w:tcPr>
            <w:tcW w:w="7320" w:type="dxa"/>
          </w:tcPr>
          <w:p w14:paraId="4AEF7127" w14:textId="77777777" w:rsidR="00E70D3D" w:rsidRPr="00E70D3D" w:rsidRDefault="00E70D3D" w:rsidP="00E70D3D">
            <w:pPr>
              <w:spacing w:before="240"/>
              <w:rPr>
                <w:b/>
              </w:rPr>
            </w:pPr>
            <w:r w:rsidRPr="00E70D3D">
              <w:rPr>
                <w:b/>
              </w:rPr>
              <w:t xml:space="preserve">x) Additional data quality information: </w:t>
            </w:r>
          </w:p>
          <w:p w14:paraId="5ED4BD82" w14:textId="77777777" w:rsidR="00E70D3D" w:rsidRPr="00E70D3D" w:rsidRDefault="00E70D3D" w:rsidP="00E70D3D">
            <w:pPr>
              <w:spacing w:before="240"/>
              <w:rPr>
                <w:bCs/>
              </w:rPr>
            </w:pPr>
            <w:r w:rsidRPr="00E70D3D">
              <w:rPr>
                <w:bCs/>
              </w:rPr>
              <w:t>Data will be reported quarterly, on a rolling annual basis. In order to release data in a more timely way for users, provisional HES data will be used. However, care should be taken as it is subject to changes and revisions each month and should be treated as an estimate until the final annual data is released. Provisional HES data is reported four months in arrears due to HES processing and quality controls. The final annual HES data will be reported eight months in arrears (November, following the financial year end) after the HES annual refresh. The annual refresh gives providers the opportunity to revise and update their submissions for the year. All previously reported provisional quarterly datasets will be replaced by a single annual dataset. Admitted Patient Care Data Quality notes are available via the following link for the relevant data period:</w:t>
            </w:r>
          </w:p>
          <w:p w14:paraId="227703FD" w14:textId="77777777" w:rsidR="00E70D3D" w:rsidRPr="00E70D3D" w:rsidRDefault="00946911" w:rsidP="00E70D3D">
            <w:pPr>
              <w:spacing w:before="240"/>
              <w:rPr>
                <w:bCs/>
              </w:rPr>
            </w:pPr>
            <w:hyperlink r:id="rId10" w:history="1">
              <w:r w:rsidR="00E70D3D" w:rsidRPr="00E70D3D">
                <w:rPr>
                  <w:rStyle w:val="Hyperlink"/>
                  <w:bCs/>
                  <w:color w:val="auto"/>
                </w:rPr>
                <w:t>http://content.digital.nhs.uk/searchcatalogue?q=title%3a%22Provisional+Monthly+Hospital+Episode+Statistics%22&amp;sort=Most+recent&amp;size=10&amp;page=1</w:t>
              </w:r>
            </w:hyperlink>
            <w:r w:rsidR="00E70D3D" w:rsidRPr="00E70D3D">
              <w:rPr>
                <w:bCs/>
              </w:rPr>
              <w:t xml:space="preserve"> (Please copy the link into a browser)</w:t>
            </w:r>
          </w:p>
          <w:p w14:paraId="4AE0B9A1" w14:textId="77777777" w:rsidR="00E70D3D" w:rsidRPr="00E70D3D" w:rsidRDefault="00E70D3D" w:rsidP="00E70D3D">
            <w:pPr>
              <w:pStyle w:val="ListParagraph"/>
              <w:numPr>
                <w:ilvl w:val="0"/>
                <w:numId w:val="7"/>
              </w:numPr>
              <w:spacing w:before="240" w:after="180" w:line="240" w:lineRule="auto"/>
              <w:contextualSpacing w:val="0"/>
              <w:textboxTightWrap w:val="lastLineOnly"/>
              <w:rPr>
                <w:bCs/>
              </w:rPr>
            </w:pPr>
            <w:r w:rsidRPr="00E70D3D">
              <w:rPr>
                <w:bCs/>
              </w:rPr>
              <w:t>Q1: July to June. Comprised of July to March (final) and April to June (provisional). The finalised annual figures for the previous year – April to March (final) are also released at this time.</w:t>
            </w:r>
          </w:p>
          <w:p w14:paraId="2A3E4296" w14:textId="77777777" w:rsidR="00E70D3D" w:rsidRPr="00E70D3D" w:rsidRDefault="00E70D3D" w:rsidP="00E70D3D">
            <w:pPr>
              <w:pStyle w:val="ListParagraph"/>
              <w:numPr>
                <w:ilvl w:val="0"/>
                <w:numId w:val="7"/>
              </w:numPr>
              <w:spacing w:before="240" w:after="180" w:line="240" w:lineRule="auto"/>
              <w:contextualSpacing w:val="0"/>
              <w:textboxTightWrap w:val="lastLineOnly"/>
              <w:rPr>
                <w:bCs/>
              </w:rPr>
            </w:pPr>
            <w:r w:rsidRPr="00E70D3D">
              <w:rPr>
                <w:bCs/>
              </w:rPr>
              <w:lastRenderedPageBreak/>
              <w:t>Q2: October to September. Comprised of October to March (final) and April to September (provisional)</w:t>
            </w:r>
          </w:p>
          <w:p w14:paraId="318D39F4" w14:textId="77777777" w:rsidR="00E70D3D" w:rsidRPr="00E70D3D" w:rsidRDefault="00E70D3D" w:rsidP="00E70D3D">
            <w:pPr>
              <w:pStyle w:val="ListParagraph"/>
              <w:numPr>
                <w:ilvl w:val="0"/>
                <w:numId w:val="7"/>
              </w:numPr>
              <w:spacing w:before="240" w:after="180" w:line="240" w:lineRule="auto"/>
              <w:contextualSpacing w:val="0"/>
              <w:textboxTightWrap w:val="lastLineOnly"/>
              <w:rPr>
                <w:bCs/>
              </w:rPr>
            </w:pPr>
            <w:r w:rsidRPr="00E70D3D">
              <w:rPr>
                <w:bCs/>
              </w:rPr>
              <w:t>Q3: January to December. Comprised of January to March (final) and April to December (provisional)</w:t>
            </w:r>
          </w:p>
          <w:p w14:paraId="11F507BB" w14:textId="77777777" w:rsidR="00E70D3D" w:rsidRPr="00E70D3D" w:rsidRDefault="00E70D3D" w:rsidP="00E70D3D">
            <w:pPr>
              <w:pStyle w:val="ListParagraph"/>
              <w:numPr>
                <w:ilvl w:val="0"/>
                <w:numId w:val="7"/>
              </w:numPr>
              <w:spacing w:before="240" w:after="180" w:line="240" w:lineRule="auto"/>
              <w:contextualSpacing w:val="0"/>
              <w:textboxTightWrap w:val="lastLineOnly"/>
              <w:rPr>
                <w:bCs/>
              </w:rPr>
            </w:pPr>
            <w:r w:rsidRPr="00E70D3D">
              <w:rPr>
                <w:bCs/>
              </w:rPr>
              <w:t>Q4: April to March. Comprised of April to March (provisional).</w:t>
            </w:r>
          </w:p>
          <w:p w14:paraId="00364C5B" w14:textId="77777777" w:rsidR="00E70D3D" w:rsidRPr="00E70D3D" w:rsidRDefault="00E70D3D" w:rsidP="00E70D3D">
            <w:pPr>
              <w:spacing w:before="240"/>
              <w:rPr>
                <w:bCs/>
              </w:rPr>
            </w:pPr>
            <w:r w:rsidRPr="00E70D3D">
              <w:rPr>
                <w:bCs/>
              </w:rPr>
              <w:t>Registered patient counts are extracted from the NHAIS (Exeter) System on 1 April for the forthcoming financial year:</w:t>
            </w:r>
            <w:r w:rsidRPr="00E70D3D">
              <w:rPr>
                <w:bCs/>
              </w:rPr>
              <w:br/>
            </w:r>
            <w:hyperlink r:id="rId11" w:history="1">
              <w:r w:rsidRPr="00E70D3D">
                <w:rPr>
                  <w:rStyle w:val="Hyperlink"/>
                  <w:bCs/>
                  <w:color w:val="auto"/>
                </w:rPr>
                <w:t>http://systems.digital.nhs.uk/ssd/prodserv/vaprodopenexe/</w:t>
              </w:r>
            </w:hyperlink>
            <w:r w:rsidRPr="00E70D3D">
              <w:rPr>
                <w:bCs/>
              </w:rPr>
              <w:t xml:space="preserve"> </w:t>
            </w:r>
          </w:p>
          <w:p w14:paraId="3E1BF41C" w14:textId="77777777" w:rsidR="00E70D3D" w:rsidRPr="00E70D3D" w:rsidRDefault="00E70D3D" w:rsidP="00E70D3D">
            <w:pPr>
              <w:spacing w:before="240"/>
              <w:rPr>
                <w:bCs/>
              </w:rPr>
            </w:pPr>
            <w:r w:rsidRPr="00E70D3D">
              <w:rPr>
                <w:bCs/>
              </w:rPr>
              <w:t>ONS Mid-Year Population Estimates, at national level, are released in the following summer. Census based estimates for mid-year are published in September:</w:t>
            </w:r>
            <w:r w:rsidRPr="00E70D3D">
              <w:rPr>
                <w:bCs/>
              </w:rPr>
              <w:br/>
            </w:r>
            <w:hyperlink r:id="rId12" w:history="1">
              <w:r w:rsidRPr="00E70D3D">
                <w:rPr>
                  <w:rStyle w:val="Hyperlink"/>
                  <w:bCs/>
                  <w:color w:val="auto"/>
                </w:rPr>
                <w:t>http://www.ons.gov.uk/ons/taxonomy/index.html?nscl=Population+Estimates</w:t>
              </w:r>
            </w:hyperlink>
          </w:p>
          <w:p w14:paraId="5170A0BA" w14:textId="77777777" w:rsidR="00E70D3D" w:rsidRPr="00E70D3D" w:rsidRDefault="00E70D3D" w:rsidP="00E70D3D">
            <w:pPr>
              <w:spacing w:before="240"/>
              <w:rPr>
                <w:bCs/>
              </w:rPr>
            </w:pPr>
            <w:r w:rsidRPr="00E70D3D">
              <w:rPr>
                <w:bCs/>
              </w:rPr>
              <w:t>These indicators are official statistics and the publication date is pre-announced.</w:t>
            </w:r>
          </w:p>
          <w:p w14:paraId="48796572" w14:textId="68D2DD87" w:rsidR="00E70D3D" w:rsidRPr="00E70D3D" w:rsidRDefault="00E70D3D" w:rsidP="00E70D3D">
            <w:pPr>
              <w:textboxTightWrap w:val="allLines"/>
              <w:rPr>
                <w:b/>
              </w:rPr>
            </w:pPr>
            <w:r w:rsidRPr="00E70D3D">
              <w:rPr>
                <w:bCs/>
              </w:rPr>
              <w:t>There was no gap between the planned and actual publication date.</w:t>
            </w:r>
          </w:p>
        </w:tc>
      </w:tr>
      <w:tr w:rsidR="00E70D3D" w:rsidRPr="00E70D3D" w14:paraId="3C8EB737" w14:textId="77777777" w:rsidTr="00E70D3D">
        <w:tc>
          <w:tcPr>
            <w:tcW w:w="2127" w:type="dxa"/>
          </w:tcPr>
          <w:p w14:paraId="6F15BDCD" w14:textId="4A179BBC" w:rsidR="00E70D3D" w:rsidRPr="00E70D3D" w:rsidRDefault="00E70D3D" w:rsidP="00E70D3D">
            <w:pPr>
              <w:spacing w:before="240"/>
              <w:rPr>
                <w:b/>
              </w:rPr>
            </w:pPr>
            <w:r w:rsidRPr="00E70D3D">
              <w:rPr>
                <w:b/>
              </w:rPr>
              <w:lastRenderedPageBreak/>
              <w:t>Quality assurance</w:t>
            </w:r>
          </w:p>
        </w:tc>
        <w:tc>
          <w:tcPr>
            <w:tcW w:w="7320" w:type="dxa"/>
          </w:tcPr>
          <w:p w14:paraId="301F51B7" w14:textId="77777777" w:rsidR="00E70D3D" w:rsidRPr="00E70D3D" w:rsidRDefault="00E70D3D" w:rsidP="00E70D3D">
            <w:pPr>
              <w:spacing w:before="240"/>
              <w:rPr>
                <w:b/>
              </w:rPr>
            </w:pPr>
          </w:p>
        </w:tc>
      </w:tr>
      <w:tr w:rsidR="00E70D3D" w:rsidRPr="00E70D3D" w14:paraId="0946334A" w14:textId="77777777" w:rsidTr="00E70D3D">
        <w:tc>
          <w:tcPr>
            <w:tcW w:w="2127" w:type="dxa"/>
          </w:tcPr>
          <w:p w14:paraId="16E671D5" w14:textId="652A5122" w:rsidR="00E70D3D" w:rsidRPr="00E70D3D" w:rsidRDefault="00E70D3D" w:rsidP="00E70D3D">
            <w:pPr>
              <w:spacing w:before="240"/>
              <w:rPr>
                <w:b/>
              </w:rPr>
            </w:pPr>
            <w:r w:rsidRPr="00E70D3D">
              <w:rPr>
                <w:b/>
              </w:rPr>
              <w:t>Data linkage</w:t>
            </w:r>
          </w:p>
        </w:tc>
        <w:tc>
          <w:tcPr>
            <w:tcW w:w="7320" w:type="dxa"/>
          </w:tcPr>
          <w:p w14:paraId="21A9C70E" w14:textId="77777777" w:rsidR="00E70D3D" w:rsidRPr="00E70D3D" w:rsidRDefault="00E70D3D" w:rsidP="00E70D3D">
            <w:pPr>
              <w:spacing w:before="240"/>
              <w:rPr>
                <w:b/>
              </w:rPr>
            </w:pPr>
          </w:p>
        </w:tc>
      </w:tr>
      <w:tr w:rsidR="00E70D3D" w:rsidRPr="00E70D3D" w14:paraId="689E0E74" w14:textId="77777777" w:rsidTr="00E70D3D">
        <w:tc>
          <w:tcPr>
            <w:tcW w:w="2127" w:type="dxa"/>
          </w:tcPr>
          <w:p w14:paraId="347FC1CA" w14:textId="129D79C5" w:rsidR="00E70D3D" w:rsidRPr="00E70D3D" w:rsidRDefault="00E70D3D" w:rsidP="00E70D3D">
            <w:pPr>
              <w:spacing w:before="240"/>
              <w:rPr>
                <w:b/>
              </w:rPr>
            </w:pPr>
            <w:r w:rsidRPr="00E70D3D">
              <w:rPr>
                <w:b/>
              </w:rPr>
              <w:t>Quality of data linkage</w:t>
            </w:r>
          </w:p>
        </w:tc>
        <w:tc>
          <w:tcPr>
            <w:tcW w:w="7320" w:type="dxa"/>
          </w:tcPr>
          <w:p w14:paraId="243A38B4" w14:textId="77777777" w:rsidR="00E70D3D" w:rsidRPr="00E70D3D" w:rsidRDefault="00E70D3D" w:rsidP="00E70D3D">
            <w:pPr>
              <w:spacing w:before="240"/>
              <w:rPr>
                <w:b/>
              </w:rPr>
            </w:pPr>
          </w:p>
        </w:tc>
      </w:tr>
      <w:tr w:rsidR="00E70D3D" w:rsidRPr="00E70D3D" w14:paraId="40EBF5B2" w14:textId="77777777" w:rsidTr="00E70D3D">
        <w:tc>
          <w:tcPr>
            <w:tcW w:w="2127" w:type="dxa"/>
          </w:tcPr>
          <w:p w14:paraId="4877492C" w14:textId="373D8BC6" w:rsidR="00E70D3D" w:rsidRPr="00E70D3D" w:rsidRDefault="00E70D3D" w:rsidP="00E70D3D">
            <w:pPr>
              <w:spacing w:before="240"/>
              <w:rPr>
                <w:b/>
              </w:rPr>
            </w:pPr>
            <w:r w:rsidRPr="00E70D3D">
              <w:rPr>
                <w:b/>
              </w:rPr>
              <w:t>Data fields</w:t>
            </w:r>
          </w:p>
        </w:tc>
        <w:tc>
          <w:tcPr>
            <w:tcW w:w="7320" w:type="dxa"/>
          </w:tcPr>
          <w:p w14:paraId="4F280A2A" w14:textId="77777777" w:rsidR="00E70D3D" w:rsidRPr="00E70D3D" w:rsidRDefault="00E70D3D" w:rsidP="00E70D3D">
            <w:pPr>
              <w:autoSpaceDE w:val="0"/>
              <w:autoSpaceDN w:val="0"/>
              <w:adjustRightInd w:val="0"/>
            </w:pPr>
            <w:r w:rsidRPr="00E70D3D">
              <w:t>The data fields and filters that are used are as follows. Details of HES fields and</w:t>
            </w:r>
          </w:p>
          <w:p w14:paraId="4E1AC1ED" w14:textId="77777777" w:rsidR="00E70D3D" w:rsidRPr="00E70D3D" w:rsidRDefault="00E70D3D" w:rsidP="00E70D3D">
            <w:pPr>
              <w:autoSpaceDE w:val="0"/>
              <w:autoSpaceDN w:val="0"/>
              <w:adjustRightInd w:val="0"/>
            </w:pPr>
            <w:r w:rsidRPr="00E70D3D">
              <w:t>classifications are available in the HES Data Dictionary:</w:t>
            </w:r>
          </w:p>
          <w:p w14:paraId="738E84AD" w14:textId="77777777" w:rsidR="00E70D3D" w:rsidRPr="00E70D3D" w:rsidRDefault="00946911" w:rsidP="00E70D3D">
            <w:pPr>
              <w:autoSpaceDE w:val="0"/>
              <w:autoSpaceDN w:val="0"/>
              <w:adjustRightInd w:val="0"/>
            </w:pPr>
            <w:hyperlink r:id="rId13" w:history="1">
              <w:r w:rsidR="00E70D3D" w:rsidRPr="00E70D3D">
                <w:rPr>
                  <w:rStyle w:val="Hyperlink"/>
                  <w:color w:val="auto"/>
                </w:rPr>
                <w:t>http://digital.nhs.uk/hesdatadictionary</w:t>
              </w:r>
            </w:hyperlink>
            <w:r w:rsidR="00E70D3D" w:rsidRPr="00E70D3D">
              <w:t xml:space="preserve"> </w:t>
            </w:r>
          </w:p>
          <w:p w14:paraId="3D84CA0C"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DIAG_3_01</w:t>
            </w:r>
          </w:p>
          <w:p w14:paraId="2A480919"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DIAG_4_01</w:t>
            </w:r>
          </w:p>
          <w:p w14:paraId="2891DCA6"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ADMIDATE</w:t>
            </w:r>
          </w:p>
          <w:p w14:paraId="7ECA9A9A"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ADMISORC</w:t>
            </w:r>
          </w:p>
          <w:p w14:paraId="3D99FF08"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CAUSE_3</w:t>
            </w:r>
          </w:p>
          <w:p w14:paraId="57D99DC3"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CCG_RESPONSIBILITY</w:t>
            </w:r>
          </w:p>
          <w:p w14:paraId="52862319"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CLASSPAT</w:t>
            </w:r>
          </w:p>
          <w:p w14:paraId="7EFD4713"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EPIORDER</w:t>
            </w:r>
          </w:p>
          <w:p w14:paraId="559CB1AA"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EPISTAT</w:t>
            </w:r>
          </w:p>
          <w:p w14:paraId="7758BA12"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EPITYPE</w:t>
            </w:r>
          </w:p>
          <w:p w14:paraId="21E73349" w14:textId="77777777" w:rsidR="00E70D3D" w:rsidRPr="00E70D3D" w:rsidRDefault="00E70D3D" w:rsidP="00E70D3D">
            <w:pPr>
              <w:pStyle w:val="ListParagraph"/>
              <w:numPr>
                <w:ilvl w:val="0"/>
                <w:numId w:val="4"/>
              </w:numPr>
              <w:autoSpaceDE w:val="0"/>
              <w:autoSpaceDN w:val="0"/>
              <w:adjustRightInd w:val="0"/>
              <w:spacing w:after="0" w:line="240" w:lineRule="auto"/>
              <w:contextualSpacing w:val="0"/>
            </w:pPr>
            <w:r w:rsidRPr="00E70D3D">
              <w:t>SEX</w:t>
            </w:r>
          </w:p>
          <w:p w14:paraId="233EF28E" w14:textId="3DA73CFB" w:rsidR="00E70D3D" w:rsidRPr="00E70D3D" w:rsidRDefault="00E70D3D" w:rsidP="00E70D3D">
            <w:pPr>
              <w:spacing w:before="240"/>
              <w:rPr>
                <w:b/>
              </w:rPr>
            </w:pPr>
            <w:r w:rsidRPr="00E70D3D">
              <w:t>STARTAGE</w:t>
            </w:r>
          </w:p>
        </w:tc>
      </w:tr>
      <w:tr w:rsidR="00E70D3D" w:rsidRPr="00E70D3D" w14:paraId="0CE2C0A1" w14:textId="77777777" w:rsidTr="00E70D3D">
        <w:tc>
          <w:tcPr>
            <w:tcW w:w="2127" w:type="dxa"/>
          </w:tcPr>
          <w:p w14:paraId="72049037" w14:textId="77777777" w:rsidR="00E70D3D" w:rsidRPr="00E70D3D" w:rsidRDefault="00E70D3D" w:rsidP="00E70D3D">
            <w:pPr>
              <w:spacing w:before="240"/>
              <w:ind w:left="34"/>
              <w:rPr>
                <w:b/>
              </w:rPr>
            </w:pPr>
            <w:r w:rsidRPr="00E70D3D">
              <w:rPr>
                <w:b/>
              </w:rPr>
              <w:t>Data filters</w:t>
            </w:r>
          </w:p>
          <w:p w14:paraId="1FC07B3F" w14:textId="77777777" w:rsidR="00E70D3D" w:rsidRPr="00E70D3D" w:rsidRDefault="00E70D3D" w:rsidP="00E70D3D">
            <w:pPr>
              <w:spacing w:before="240"/>
              <w:rPr>
                <w:b/>
              </w:rPr>
            </w:pPr>
          </w:p>
        </w:tc>
        <w:tc>
          <w:tcPr>
            <w:tcW w:w="7320" w:type="dxa"/>
          </w:tcPr>
          <w:p w14:paraId="6B326646" w14:textId="77777777" w:rsidR="00E70D3D" w:rsidRPr="00E70D3D" w:rsidRDefault="00E70D3D" w:rsidP="00E70D3D">
            <w:pPr>
              <w:pStyle w:val="ListParagraph"/>
              <w:numPr>
                <w:ilvl w:val="0"/>
                <w:numId w:val="5"/>
              </w:numPr>
              <w:spacing w:before="240" w:after="0" w:line="240" w:lineRule="auto"/>
              <w:contextualSpacing w:val="0"/>
              <w:textboxTightWrap w:val="lastLineOnly"/>
            </w:pPr>
            <w:r w:rsidRPr="00E70D3D">
              <w:t>Field Name: DIAG_3_01, DIAG_4_01, CAUSE_3</w:t>
            </w:r>
            <w:r w:rsidRPr="00E70D3D">
              <w:br/>
              <w:t>Conditions: DIAG_3_01 is equal to any of: F10, K70</w:t>
            </w:r>
            <w:r w:rsidRPr="00E70D3D">
              <w:br/>
              <w:t>OR</w:t>
            </w:r>
            <w:r w:rsidRPr="00E70D3D">
              <w:br/>
              <w:t xml:space="preserve">DIAG_4_01 is equal to any of: E24.4, G31.2, G62.1, G72.1, I42.6, K29.2, K85.2, K86.0, Q86.0, R78.0, T51.0, T51.1, T51.9 </w:t>
            </w:r>
            <w:r w:rsidRPr="00E70D3D">
              <w:br/>
              <w:t>OR</w:t>
            </w:r>
            <w:r w:rsidRPr="00E70D3D">
              <w:br/>
              <w:t>CAUSE_3 is equal to any of: X45, X65, Y15, Y90, Y91</w:t>
            </w:r>
            <w:r w:rsidRPr="00E70D3D">
              <w:br/>
              <w:t>Rationale: Selects alcoholic-specific conditions</w:t>
            </w:r>
          </w:p>
          <w:p w14:paraId="078A6D4A" w14:textId="77777777" w:rsidR="00E70D3D" w:rsidRPr="00E70D3D" w:rsidRDefault="00E70D3D" w:rsidP="00E70D3D">
            <w:pPr>
              <w:pStyle w:val="ListParagraph"/>
              <w:numPr>
                <w:ilvl w:val="0"/>
                <w:numId w:val="5"/>
              </w:numPr>
              <w:spacing w:before="240" w:after="0" w:line="240" w:lineRule="auto"/>
              <w:contextualSpacing w:val="0"/>
              <w:textboxTightWrap w:val="lastLineOnly"/>
            </w:pPr>
            <w:r w:rsidRPr="00E70D3D">
              <w:lastRenderedPageBreak/>
              <w:t>Field Name: ADMIDATE</w:t>
            </w:r>
            <w:r w:rsidRPr="00E70D3D">
              <w:br/>
              <w:t>Conditions: Is limited to admissions within the 12 month reporting period, the same reporting period is applied across multiple data years.</w:t>
            </w:r>
            <w:r w:rsidRPr="00E70D3D">
              <w:br/>
              <w:t>Rationale: Data is presented annually with an admission date within the year of interest</w:t>
            </w:r>
          </w:p>
          <w:p w14:paraId="648F6C0C" w14:textId="77777777" w:rsidR="00E70D3D" w:rsidRPr="00E70D3D" w:rsidRDefault="00E70D3D" w:rsidP="00E70D3D">
            <w:pPr>
              <w:pStyle w:val="ListParagraph"/>
              <w:numPr>
                <w:ilvl w:val="0"/>
                <w:numId w:val="5"/>
              </w:numPr>
              <w:spacing w:before="240" w:after="0" w:line="240" w:lineRule="auto"/>
              <w:contextualSpacing w:val="0"/>
              <w:textboxTightWrap w:val="lastLineOnly"/>
            </w:pPr>
            <w:r w:rsidRPr="00E70D3D">
              <w:t>Field Name: ADMISORC</w:t>
            </w:r>
            <w:r w:rsidRPr="00E70D3D">
              <w:br/>
              <w:t>Conditions: Is not equal to any of the following: 51, 52, 53</w:t>
            </w:r>
            <w:r w:rsidRPr="00E70D3D">
              <w:br/>
              <w:t>Rationale: Excludes provider transfers</w:t>
            </w:r>
          </w:p>
          <w:p w14:paraId="6D310317" w14:textId="77777777" w:rsidR="00E70D3D" w:rsidRPr="00E70D3D" w:rsidRDefault="00E70D3D" w:rsidP="00E70D3D">
            <w:pPr>
              <w:pStyle w:val="ListParagraph"/>
              <w:numPr>
                <w:ilvl w:val="0"/>
                <w:numId w:val="5"/>
              </w:numPr>
              <w:spacing w:before="240" w:after="0" w:line="240" w:lineRule="auto"/>
              <w:contextualSpacing w:val="0"/>
              <w:textboxTightWrap w:val="lastLineOnly"/>
            </w:pPr>
            <w:r w:rsidRPr="00E70D3D">
              <w:t>Field Name: CCG_RESPONSIBILITY</w:t>
            </w:r>
            <w:r w:rsidRPr="00E70D3D">
              <w:br/>
              <w:t>Conditions: CCGs in England only</w:t>
            </w:r>
            <w:r w:rsidRPr="00E70D3D">
              <w:br/>
              <w:t xml:space="preserve">Rationale: Excludes those registered with GPs outside of England Reference file provided at: </w:t>
            </w:r>
            <w:hyperlink r:id="rId14" w:history="1">
              <w:r w:rsidRPr="00E70D3D">
                <w:rPr>
                  <w:rStyle w:val="Hyperlink"/>
                  <w:color w:val="auto"/>
                </w:rPr>
                <w:t>http://digital.nhs.uk/ccgois</w:t>
              </w:r>
            </w:hyperlink>
            <w:r w:rsidRPr="00E70D3D">
              <w:t xml:space="preserve"> </w:t>
            </w:r>
          </w:p>
          <w:p w14:paraId="0C50776E" w14:textId="77777777" w:rsidR="00E70D3D" w:rsidRPr="00E70D3D" w:rsidRDefault="00E70D3D" w:rsidP="00E70D3D">
            <w:pPr>
              <w:pStyle w:val="ListParagraph"/>
              <w:numPr>
                <w:ilvl w:val="0"/>
                <w:numId w:val="5"/>
              </w:numPr>
              <w:spacing w:before="240" w:after="0" w:line="240" w:lineRule="auto"/>
              <w:contextualSpacing w:val="0"/>
              <w:textboxTightWrap w:val="lastLineOnly"/>
            </w:pPr>
            <w:r w:rsidRPr="00E70D3D">
              <w:t>Field Name: CLASSPAT</w:t>
            </w:r>
            <w:r w:rsidRPr="00E70D3D">
              <w:br/>
              <w:t>Conditions: Is equal to 1 or 2</w:t>
            </w:r>
            <w:r w:rsidRPr="00E70D3D">
              <w:br/>
              <w:t>Rationale: Selects ordinary and day case admissions, excluding regular day/night attenders and mothers or babies only using delivery facilities</w:t>
            </w:r>
          </w:p>
          <w:p w14:paraId="060263FF" w14:textId="77777777" w:rsidR="00E70D3D" w:rsidRPr="00E70D3D" w:rsidRDefault="00E70D3D" w:rsidP="00E70D3D">
            <w:pPr>
              <w:pStyle w:val="ListParagraph"/>
              <w:numPr>
                <w:ilvl w:val="0"/>
                <w:numId w:val="5"/>
              </w:numPr>
              <w:spacing w:before="240" w:after="0" w:line="240" w:lineRule="auto"/>
              <w:contextualSpacing w:val="0"/>
              <w:textboxTightWrap w:val="lastLineOnly"/>
            </w:pPr>
            <w:r w:rsidRPr="00E70D3D">
              <w:t>Field Name: EPIORDER</w:t>
            </w:r>
            <w:r w:rsidRPr="00E70D3D">
              <w:br/>
              <w:t>Conditions: Is equal to 1</w:t>
            </w:r>
            <w:r w:rsidRPr="00E70D3D">
              <w:br/>
              <w:t>Rationale: Selects the first episode in an admission spell</w:t>
            </w:r>
          </w:p>
          <w:p w14:paraId="24C2E77C" w14:textId="77777777" w:rsidR="00E70D3D" w:rsidRPr="00E70D3D" w:rsidRDefault="00E70D3D" w:rsidP="00E70D3D">
            <w:pPr>
              <w:pStyle w:val="ListParagraph"/>
              <w:numPr>
                <w:ilvl w:val="0"/>
                <w:numId w:val="5"/>
              </w:numPr>
              <w:spacing w:before="240" w:after="0" w:line="240" w:lineRule="auto"/>
              <w:contextualSpacing w:val="0"/>
              <w:textboxTightWrap w:val="lastLineOnly"/>
            </w:pPr>
            <w:r w:rsidRPr="00E70D3D">
              <w:t>Field Name: EPISTAT</w:t>
            </w:r>
            <w:r w:rsidRPr="00E70D3D">
              <w:br/>
              <w:t>Conditions: Is equal to 3</w:t>
            </w:r>
            <w:r w:rsidRPr="00E70D3D">
              <w:br/>
              <w:t>Rationale: Selects finished hospital episodes</w:t>
            </w:r>
          </w:p>
          <w:p w14:paraId="64373C36" w14:textId="77777777" w:rsidR="00E70D3D" w:rsidRPr="00E70D3D" w:rsidRDefault="00E70D3D" w:rsidP="00E70D3D">
            <w:pPr>
              <w:pStyle w:val="ListParagraph"/>
              <w:numPr>
                <w:ilvl w:val="0"/>
                <w:numId w:val="5"/>
              </w:numPr>
              <w:spacing w:before="240" w:after="0" w:line="240" w:lineRule="auto"/>
              <w:contextualSpacing w:val="0"/>
              <w:textboxTightWrap w:val="lastLineOnly"/>
            </w:pPr>
            <w:r w:rsidRPr="00E70D3D">
              <w:t>Field Name: EPITYPE</w:t>
            </w:r>
            <w:r w:rsidRPr="00E70D3D">
              <w:br/>
              <w:t>Conditions: Is equal to 1</w:t>
            </w:r>
            <w:r w:rsidRPr="00E70D3D">
              <w:br/>
              <w:t>Rationale: Selects general episodes only, excluding delivery and birth related episodes</w:t>
            </w:r>
          </w:p>
          <w:p w14:paraId="360DDE5A" w14:textId="77777777" w:rsidR="00E70D3D" w:rsidRPr="00E70D3D" w:rsidRDefault="00E70D3D" w:rsidP="00E70D3D">
            <w:pPr>
              <w:pStyle w:val="ListParagraph"/>
              <w:numPr>
                <w:ilvl w:val="0"/>
                <w:numId w:val="5"/>
              </w:numPr>
              <w:spacing w:before="240" w:after="0" w:line="240" w:lineRule="auto"/>
              <w:contextualSpacing w:val="0"/>
              <w:textboxTightWrap w:val="lastLineOnly"/>
            </w:pPr>
            <w:r w:rsidRPr="00E70D3D">
              <w:t>Field Name: SEX</w:t>
            </w:r>
            <w:r w:rsidRPr="00E70D3D">
              <w:br/>
              <w:t>Conditions: Is equal to 1 or 2</w:t>
            </w:r>
            <w:r w:rsidRPr="00E70D3D">
              <w:br/>
              <w:t>Rationale: Selects valid sex</w:t>
            </w:r>
          </w:p>
          <w:p w14:paraId="3644EA71" w14:textId="4D17EA67" w:rsidR="00E70D3D" w:rsidRPr="00E70D3D" w:rsidRDefault="00E70D3D" w:rsidP="00E70D3D">
            <w:pPr>
              <w:autoSpaceDE w:val="0"/>
              <w:autoSpaceDN w:val="0"/>
              <w:adjustRightInd w:val="0"/>
            </w:pPr>
            <w:r w:rsidRPr="00E70D3D">
              <w:t>Field Name: STARTAGE</w:t>
            </w:r>
            <w:r w:rsidRPr="00E70D3D">
              <w:br/>
              <w:t>Conditions: Is between 0 and 120 or between 7001 and 7007</w:t>
            </w:r>
            <w:r w:rsidRPr="00E70D3D">
              <w:br/>
              <w:t>Rationale: Selects valid ages</w:t>
            </w:r>
          </w:p>
        </w:tc>
      </w:tr>
      <w:tr w:rsidR="00E70D3D" w:rsidRPr="00E70D3D" w14:paraId="577DDC38" w14:textId="77777777" w:rsidTr="00E70D3D">
        <w:tc>
          <w:tcPr>
            <w:tcW w:w="2127" w:type="dxa"/>
          </w:tcPr>
          <w:p w14:paraId="12763008" w14:textId="77777777" w:rsidR="00E70D3D" w:rsidRPr="00E70D3D" w:rsidRDefault="00E70D3D" w:rsidP="00E70D3D">
            <w:pPr>
              <w:spacing w:before="240"/>
              <w:ind w:left="34"/>
              <w:rPr>
                <w:b/>
              </w:rPr>
            </w:pPr>
            <w:r w:rsidRPr="00E70D3D">
              <w:rPr>
                <w:b/>
              </w:rPr>
              <w:lastRenderedPageBreak/>
              <w:t xml:space="preserve">Justifications of inclusions and exclusions </w:t>
            </w:r>
          </w:p>
          <w:p w14:paraId="07B76136" w14:textId="5B1D54A8" w:rsidR="00E70D3D" w:rsidRPr="00E70D3D" w:rsidRDefault="00E70D3D" w:rsidP="00E70D3D">
            <w:pPr>
              <w:spacing w:before="240"/>
              <w:ind w:left="34"/>
              <w:rPr>
                <w:b/>
              </w:rPr>
            </w:pPr>
            <w:r w:rsidRPr="00E70D3D">
              <w:t>and how these adhere to standard definitions</w:t>
            </w:r>
          </w:p>
        </w:tc>
        <w:tc>
          <w:tcPr>
            <w:tcW w:w="7320" w:type="dxa"/>
          </w:tcPr>
          <w:p w14:paraId="21190267" w14:textId="77777777" w:rsidR="00E70D3D" w:rsidRPr="00E70D3D" w:rsidRDefault="00E70D3D" w:rsidP="00E70D3D">
            <w:pPr>
              <w:spacing w:before="240"/>
            </w:pPr>
          </w:p>
        </w:tc>
      </w:tr>
      <w:tr w:rsidR="00E70D3D" w:rsidRPr="00E70D3D" w14:paraId="5A63C2C1" w14:textId="77777777" w:rsidTr="00E70D3D">
        <w:tc>
          <w:tcPr>
            <w:tcW w:w="2127" w:type="dxa"/>
          </w:tcPr>
          <w:p w14:paraId="082746DB" w14:textId="40333E28" w:rsidR="00E70D3D" w:rsidRPr="00E70D3D" w:rsidRDefault="00E70D3D" w:rsidP="00E70D3D">
            <w:pPr>
              <w:spacing w:before="240"/>
              <w:ind w:left="34"/>
              <w:rPr>
                <w:b/>
              </w:rPr>
            </w:pPr>
            <w:r w:rsidRPr="00E70D3D">
              <w:rPr>
                <w:b/>
              </w:rPr>
              <w:t>Data processing</w:t>
            </w:r>
          </w:p>
        </w:tc>
        <w:tc>
          <w:tcPr>
            <w:tcW w:w="7320" w:type="dxa"/>
          </w:tcPr>
          <w:p w14:paraId="65D5E94B" w14:textId="77777777" w:rsidR="00E70D3D" w:rsidRPr="00E70D3D" w:rsidRDefault="00E70D3D" w:rsidP="00E70D3D">
            <w:pPr>
              <w:spacing w:before="240"/>
            </w:pPr>
          </w:p>
        </w:tc>
      </w:tr>
      <w:tr w:rsidR="00E70D3D" w:rsidRPr="00E70D3D" w14:paraId="4A834381" w14:textId="77777777" w:rsidTr="00E70D3D">
        <w:tc>
          <w:tcPr>
            <w:tcW w:w="2127" w:type="dxa"/>
          </w:tcPr>
          <w:p w14:paraId="1BBC43D2" w14:textId="2C3D3907" w:rsidR="00E70D3D" w:rsidRPr="00E70D3D" w:rsidRDefault="00E70D3D" w:rsidP="00E70D3D">
            <w:pPr>
              <w:spacing w:before="240"/>
              <w:ind w:left="34"/>
              <w:rPr>
                <w:b/>
              </w:rPr>
            </w:pPr>
            <w:r w:rsidRPr="00E70D3D">
              <w:rPr>
                <w:b/>
              </w:rPr>
              <w:lastRenderedPageBreak/>
              <w:t>Numerator</w:t>
            </w:r>
          </w:p>
        </w:tc>
        <w:tc>
          <w:tcPr>
            <w:tcW w:w="7320" w:type="dxa"/>
          </w:tcPr>
          <w:p w14:paraId="2082870A" w14:textId="43C19BAF" w:rsidR="00E70D3D" w:rsidRPr="00E70D3D" w:rsidRDefault="00E70D3D" w:rsidP="00E70D3D">
            <w:pPr>
              <w:spacing w:before="240"/>
            </w:pPr>
            <w:r w:rsidRPr="00E70D3D">
              <w:t>The number of admission episodes which contain a primary diagnosis or an external cause of an alcohol-specific condition, as detailed in Appendix 1.</w:t>
            </w:r>
          </w:p>
        </w:tc>
      </w:tr>
      <w:tr w:rsidR="00E70D3D" w:rsidRPr="00E70D3D" w14:paraId="54303C3F" w14:textId="77777777" w:rsidTr="00E70D3D">
        <w:tc>
          <w:tcPr>
            <w:tcW w:w="2127" w:type="dxa"/>
          </w:tcPr>
          <w:p w14:paraId="21511567" w14:textId="598425A3" w:rsidR="00E70D3D" w:rsidRPr="00E70D3D" w:rsidRDefault="00E70D3D" w:rsidP="00E70D3D">
            <w:pPr>
              <w:spacing w:before="240"/>
              <w:ind w:left="34"/>
              <w:rPr>
                <w:b/>
              </w:rPr>
            </w:pPr>
            <w:r w:rsidRPr="00E70D3D">
              <w:rPr>
                <w:b/>
              </w:rPr>
              <w:t>Denominator</w:t>
            </w:r>
          </w:p>
        </w:tc>
        <w:tc>
          <w:tcPr>
            <w:tcW w:w="7320" w:type="dxa"/>
          </w:tcPr>
          <w:p w14:paraId="3DA4B582" w14:textId="77777777" w:rsidR="00E70D3D" w:rsidRPr="00E70D3D" w:rsidRDefault="00E70D3D" w:rsidP="00E70D3D">
            <w:pPr>
              <w:spacing w:before="240"/>
            </w:pPr>
            <w:r w:rsidRPr="00E70D3D">
              <w:t>CCG level count of patients registered with the constituent GP Practices, provided by NHAIS (Exeter) Systems.</w:t>
            </w:r>
          </w:p>
          <w:p w14:paraId="3EAED50D" w14:textId="72D40727" w:rsidR="00E70D3D" w:rsidRPr="00E70D3D" w:rsidRDefault="00E70D3D" w:rsidP="00E70D3D">
            <w:pPr>
              <w:spacing w:before="240"/>
            </w:pPr>
            <w:r w:rsidRPr="00E70D3D">
              <w:t>Counts of registered patients are extracted on 1st April each year, and GP practices are mapped to CCGs using the mapping on this date. When calculating indicators, the count of registered patients and GP to CCG mapping are taken from the 1st April within the specific time period. For example, the 12 month period July 2013 to June 2014 would use the 1</w:t>
            </w:r>
            <w:r w:rsidRPr="00E70D3D">
              <w:rPr>
                <w:vertAlign w:val="superscript"/>
              </w:rPr>
              <w:t>st</w:t>
            </w:r>
            <w:r w:rsidRPr="00E70D3D">
              <w:t xml:space="preserve"> April 2014 registered patient counts and the GP to CCG map as it was on this date.</w:t>
            </w:r>
          </w:p>
        </w:tc>
      </w:tr>
      <w:tr w:rsidR="00E70D3D" w:rsidRPr="00E70D3D" w14:paraId="78452C90" w14:textId="77777777" w:rsidTr="00E70D3D">
        <w:tc>
          <w:tcPr>
            <w:tcW w:w="2127" w:type="dxa"/>
          </w:tcPr>
          <w:p w14:paraId="31427974" w14:textId="10CB788A" w:rsidR="00E70D3D" w:rsidRPr="00E70D3D" w:rsidRDefault="00E70D3D" w:rsidP="00E70D3D">
            <w:pPr>
              <w:spacing w:before="240"/>
              <w:ind w:left="34"/>
              <w:rPr>
                <w:b/>
              </w:rPr>
            </w:pPr>
            <w:r w:rsidRPr="00E70D3D">
              <w:rPr>
                <w:b/>
              </w:rPr>
              <w:t>Computation</w:t>
            </w:r>
          </w:p>
        </w:tc>
        <w:tc>
          <w:tcPr>
            <w:tcW w:w="7320" w:type="dxa"/>
          </w:tcPr>
          <w:p w14:paraId="5E3A2909" w14:textId="68DC1315" w:rsidR="00E70D3D" w:rsidRPr="00E70D3D" w:rsidRDefault="00E70D3D" w:rsidP="00E70D3D">
            <w:pPr>
              <w:spacing w:before="240"/>
            </w:pPr>
            <w:r w:rsidRPr="00E70D3D">
              <w:t>This indicator is calculated as a rate directly standardised by age and sex per 100,000 patients.</w:t>
            </w:r>
          </w:p>
        </w:tc>
      </w:tr>
      <w:tr w:rsidR="00E70D3D" w:rsidRPr="00E70D3D" w14:paraId="6829769D" w14:textId="77777777" w:rsidTr="00E70D3D">
        <w:tc>
          <w:tcPr>
            <w:tcW w:w="2127" w:type="dxa"/>
          </w:tcPr>
          <w:p w14:paraId="2A698097" w14:textId="19B85CFF" w:rsidR="00E70D3D" w:rsidRPr="00E70D3D" w:rsidRDefault="00E70D3D" w:rsidP="00E70D3D">
            <w:pPr>
              <w:spacing w:before="240"/>
              <w:ind w:left="34"/>
              <w:rPr>
                <w:b/>
              </w:rPr>
            </w:pPr>
            <w:r w:rsidRPr="00E70D3D">
              <w:rPr>
                <w:b/>
              </w:rPr>
              <w:t>Risk adjustment or standardisation type and methodology</w:t>
            </w:r>
          </w:p>
        </w:tc>
        <w:tc>
          <w:tcPr>
            <w:tcW w:w="7320" w:type="dxa"/>
          </w:tcPr>
          <w:sdt>
            <w:sdtPr>
              <w:rPr>
                <w:b/>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50D4750F" w14:textId="77777777" w:rsidR="00E70D3D" w:rsidRPr="00E70D3D" w:rsidRDefault="00E70D3D" w:rsidP="00E70D3D">
                <w:pPr>
                  <w:spacing w:before="240"/>
                </w:pPr>
                <w:r w:rsidRPr="00E70D3D">
                  <w:rPr>
                    <w:b/>
                  </w:rPr>
                  <w:t>Direct Standardisation</w:t>
                </w:r>
              </w:p>
            </w:sdtContent>
          </w:sdt>
          <w:p w14:paraId="019B92CD" w14:textId="77777777" w:rsidR="00E70D3D" w:rsidRPr="00E70D3D" w:rsidRDefault="00E70D3D" w:rsidP="00E70D3D">
            <w:pPr>
              <w:spacing w:before="240"/>
              <w:rPr>
                <w:i/>
              </w:rPr>
            </w:pPr>
            <w:r w:rsidRPr="00E70D3D">
              <w:rPr>
                <w:i/>
              </w:rPr>
              <w:t>Variables and methodology:</w:t>
            </w:r>
          </w:p>
          <w:p w14:paraId="485B677D" w14:textId="77777777" w:rsidR="00E70D3D" w:rsidRPr="00E70D3D" w:rsidRDefault="00E70D3D" w:rsidP="00E70D3D">
            <w:pPr>
              <w:spacing w:before="240"/>
            </w:pPr>
            <w:r w:rsidRPr="00E70D3D">
              <w:t>The directly age and sex standardised rate (DSR) is the rate of events that would occur in a standard population if that population were to experience the age and sex specific rates of the subject population. The age and specific rates of the subject population are applied to the age and sex structure of the standard population.</w:t>
            </w:r>
          </w:p>
          <w:p w14:paraId="759DF5E8" w14:textId="77777777" w:rsidR="00E70D3D" w:rsidRPr="00E70D3D" w:rsidRDefault="00E70D3D" w:rsidP="00E70D3D">
            <w:pPr>
              <w:spacing w:before="240"/>
              <w:jc w:val="center"/>
            </w:pPr>
            <w:r w:rsidRPr="00E70D3D">
              <w:rPr>
                <w:noProof/>
                <w:lang w:eastAsia="en-GB"/>
              </w:rPr>
              <w:drawing>
                <wp:inline distT="0" distB="0" distL="0" distR="0" wp14:anchorId="1C444D3D" wp14:editId="4D0F1263">
                  <wp:extent cx="1645920" cy="632460"/>
                  <wp:effectExtent l="0" t="0" r="0" b="0"/>
                  <wp:docPr id="1" name="Picture 1" descr="Formula: The directly age and sex standardised rate (DSR) is the rate of events that would occur in a standard population if that population were to experience the age and sex specific rates of the subject population. The age and specific rates of the subject population are applied to the age and sex structure of the standar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45920" cy="632460"/>
                          </a:xfrm>
                          <a:prstGeom prst="rect">
                            <a:avLst/>
                          </a:prstGeom>
                        </pic:spPr>
                      </pic:pic>
                    </a:graphicData>
                  </a:graphic>
                </wp:inline>
              </w:drawing>
            </w:r>
          </w:p>
          <w:p w14:paraId="47EFC63C" w14:textId="77777777" w:rsidR="00E70D3D" w:rsidRPr="00E70D3D" w:rsidRDefault="00E70D3D" w:rsidP="00E70D3D">
            <w:pPr>
              <w:spacing w:before="240"/>
            </w:pPr>
            <w:r w:rsidRPr="00E70D3D">
              <w:t>Where:</w:t>
            </w:r>
          </w:p>
          <w:p w14:paraId="5494B680" w14:textId="77777777" w:rsidR="00E70D3D" w:rsidRPr="00E70D3D" w:rsidRDefault="00E70D3D" w:rsidP="00E70D3D">
            <w:pPr>
              <w:spacing w:before="240"/>
            </w:pPr>
            <w:r w:rsidRPr="00E70D3D">
              <w:rPr>
                <w:rFonts w:ascii="Cambria Math" w:hAnsi="Cambria Math" w:cs="Cambria Math"/>
              </w:rPr>
              <w:t>𝑂</w:t>
            </w:r>
            <w:r w:rsidRPr="00E70D3D">
              <w:rPr>
                <w:rFonts w:ascii="Cambria Math" w:hAnsi="Cambria Math" w:cs="Cambria Math"/>
                <w:vertAlign w:val="subscript"/>
              </w:rPr>
              <w:t>𝑖</w:t>
            </w:r>
            <w:r w:rsidRPr="00E70D3D">
              <w:t xml:space="preserve"> is the observed number of events in the local or subject population in age and sex group </w:t>
            </w:r>
            <w:r w:rsidRPr="00E70D3D">
              <w:rPr>
                <w:rFonts w:ascii="Cambria Math" w:hAnsi="Cambria Math" w:cs="Cambria Math"/>
              </w:rPr>
              <w:t>𝑖</w:t>
            </w:r>
            <w:r w:rsidRPr="00E70D3D">
              <w:t>;</w:t>
            </w:r>
          </w:p>
          <w:p w14:paraId="682A2A02" w14:textId="77777777" w:rsidR="00E70D3D" w:rsidRPr="00E70D3D" w:rsidRDefault="00E70D3D" w:rsidP="00E70D3D">
            <w:pPr>
              <w:spacing w:before="240"/>
            </w:pPr>
            <w:r w:rsidRPr="00E70D3D">
              <w:rPr>
                <w:rFonts w:ascii="Cambria Math" w:hAnsi="Cambria Math" w:cs="Cambria Math"/>
              </w:rPr>
              <w:t>𝑛</w:t>
            </w:r>
            <w:r w:rsidRPr="00E70D3D">
              <w:rPr>
                <w:rFonts w:ascii="Cambria Math" w:hAnsi="Cambria Math" w:cs="Cambria Math"/>
                <w:vertAlign w:val="subscript"/>
              </w:rPr>
              <w:t>𝑖</w:t>
            </w:r>
            <w:r w:rsidRPr="00E70D3D">
              <w:rPr>
                <w:vertAlign w:val="subscript"/>
              </w:rPr>
              <w:t xml:space="preserve"> </w:t>
            </w:r>
            <w:r w:rsidRPr="00E70D3D">
              <w:t xml:space="preserve">is the number of individuals in the local or subject denominator population in age and sex group </w:t>
            </w:r>
            <w:r w:rsidRPr="00E70D3D">
              <w:rPr>
                <w:rFonts w:ascii="Cambria Math" w:hAnsi="Cambria Math" w:cs="Cambria Math"/>
              </w:rPr>
              <w:t>𝑖</w:t>
            </w:r>
            <w:r w:rsidRPr="00E70D3D">
              <w:t>, or the population * period at risk (e.g. 'person-years');</w:t>
            </w:r>
          </w:p>
          <w:p w14:paraId="349A82F1" w14:textId="77777777" w:rsidR="00E70D3D" w:rsidRPr="00E70D3D" w:rsidRDefault="00E70D3D" w:rsidP="00E70D3D">
            <w:pPr>
              <w:spacing w:before="240"/>
            </w:pPr>
            <w:r w:rsidRPr="00E70D3D">
              <w:rPr>
                <w:rFonts w:ascii="Cambria Math" w:hAnsi="Cambria Math" w:cs="Cambria Math"/>
              </w:rPr>
              <w:t>𝑤</w:t>
            </w:r>
            <w:r w:rsidRPr="00E70D3D">
              <w:rPr>
                <w:rFonts w:ascii="Cambria Math" w:hAnsi="Cambria Math" w:cs="Cambria Math"/>
                <w:vertAlign w:val="subscript"/>
              </w:rPr>
              <w:t>𝑖</w:t>
            </w:r>
            <w:r w:rsidRPr="00E70D3D">
              <w:t xml:space="preserve"> is the number (or proportion) of individuals in the reference or standard population in age and sex group </w:t>
            </w:r>
            <w:r w:rsidRPr="00E70D3D">
              <w:rPr>
                <w:rFonts w:ascii="Cambria Math" w:hAnsi="Cambria Math" w:cs="Cambria Math"/>
              </w:rPr>
              <w:t>𝑖</w:t>
            </w:r>
            <w:r w:rsidRPr="00E70D3D">
              <w:t>.</w:t>
            </w:r>
          </w:p>
          <w:p w14:paraId="2C76E484" w14:textId="269E26D4" w:rsidR="00E70D3D" w:rsidRPr="00E70D3D" w:rsidRDefault="00E70D3D" w:rsidP="00E70D3D">
            <w:pPr>
              <w:spacing w:before="240"/>
            </w:pPr>
            <w:r w:rsidRPr="00E70D3D">
              <w:t>The standard population used for the direct method is the England population in appropriate ONS mid-year population estimates. The age groups used are: 0 to 19, 20 to 24, 25 to 29, 30 to 34, 35 to 39, 40 to 44, 45 to 49, 50 to 54, 55 to 59, 60 to 64, 65 to 69, 70 to 74, 75+.</w:t>
            </w:r>
          </w:p>
        </w:tc>
      </w:tr>
      <w:tr w:rsidR="00E70D3D" w:rsidRPr="00E70D3D" w14:paraId="72F6D4E2" w14:textId="77777777" w:rsidTr="00E70D3D">
        <w:tc>
          <w:tcPr>
            <w:tcW w:w="2127" w:type="dxa"/>
          </w:tcPr>
          <w:p w14:paraId="0251D113" w14:textId="77777777" w:rsidR="00E70D3D" w:rsidRPr="00E70D3D" w:rsidRDefault="00E70D3D" w:rsidP="00E70D3D">
            <w:pPr>
              <w:spacing w:before="240"/>
              <w:ind w:left="34"/>
              <w:rPr>
                <w:b/>
              </w:rPr>
            </w:pPr>
            <w:r w:rsidRPr="00E70D3D">
              <w:rPr>
                <w:b/>
              </w:rPr>
              <w:t>Justification of risk adjustment type and variables</w:t>
            </w:r>
          </w:p>
          <w:p w14:paraId="5FBA5BC7" w14:textId="17CE79D5" w:rsidR="00E70D3D" w:rsidRPr="00E70D3D" w:rsidRDefault="00E70D3D" w:rsidP="00E70D3D">
            <w:pPr>
              <w:spacing w:before="240"/>
              <w:ind w:left="34"/>
              <w:rPr>
                <w:b/>
              </w:rPr>
            </w:pPr>
            <w:r w:rsidRPr="00E70D3D">
              <w:lastRenderedPageBreak/>
              <w:t>or why risk adjustment is not used</w:t>
            </w:r>
          </w:p>
        </w:tc>
        <w:tc>
          <w:tcPr>
            <w:tcW w:w="7320" w:type="dxa"/>
          </w:tcPr>
          <w:p w14:paraId="0B5FBD89" w14:textId="67248F22" w:rsidR="00E70D3D" w:rsidRPr="00E70D3D" w:rsidRDefault="00E70D3D" w:rsidP="00E70D3D">
            <w:pPr>
              <w:spacing w:before="240"/>
              <w:rPr>
                <w:b/>
              </w:rPr>
            </w:pPr>
            <w:r w:rsidRPr="00E70D3D">
              <w:lastRenderedPageBreak/>
              <w:t xml:space="preserve">It has become widely accepted that directly standardised rates are preferable to indirectly standardised ratios, as these provide a reliable means of comparing two areas (such as CCGs). However, while this indicator is a rate, the alcohol-specific readmissions indicator is a </w:t>
            </w:r>
            <w:r w:rsidRPr="00E70D3D">
              <w:lastRenderedPageBreak/>
              <w:t>proportion, and there is not the same level of consensus with directly standardising proportions. As such, custom and practice has been to produce indirectly standardised ratios (based around comparing observed to expected figures).</w:t>
            </w:r>
          </w:p>
        </w:tc>
      </w:tr>
      <w:tr w:rsidR="00E70D3D" w:rsidRPr="00E70D3D" w14:paraId="74174623" w14:textId="77777777" w:rsidTr="00E70D3D">
        <w:tc>
          <w:tcPr>
            <w:tcW w:w="2127" w:type="dxa"/>
          </w:tcPr>
          <w:p w14:paraId="7D917689" w14:textId="3BEAA473" w:rsidR="00E70D3D" w:rsidRPr="00E70D3D" w:rsidRDefault="00E70D3D" w:rsidP="00E70D3D">
            <w:pPr>
              <w:spacing w:before="240"/>
              <w:ind w:left="34"/>
              <w:rPr>
                <w:b/>
              </w:rPr>
            </w:pPr>
            <w:r w:rsidRPr="00E70D3D">
              <w:rPr>
                <w:b/>
              </w:rPr>
              <w:lastRenderedPageBreak/>
              <w:t>Confidence interval / control limit use and methodology</w:t>
            </w:r>
          </w:p>
        </w:tc>
        <w:tc>
          <w:tcPr>
            <w:tcW w:w="7320" w:type="dxa"/>
          </w:tcPr>
          <w:sdt>
            <w:sdt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33B3B3CF" w14:textId="77777777" w:rsidR="00E70D3D" w:rsidRPr="00E70D3D" w:rsidRDefault="00E70D3D" w:rsidP="00E70D3D">
                <w:pPr>
                  <w:spacing w:before="240"/>
                </w:pPr>
                <w:r w:rsidRPr="00E70D3D">
                  <w:t>Confidence Intervals</w:t>
                </w:r>
              </w:p>
            </w:sdtContent>
          </w:sdt>
          <w:p w14:paraId="1005D27C" w14:textId="77777777" w:rsidR="00E70D3D" w:rsidRPr="00E70D3D" w:rsidRDefault="00E70D3D" w:rsidP="00E70D3D">
            <w:pPr>
              <w:spacing w:before="240"/>
              <w:rPr>
                <w:i/>
              </w:rPr>
            </w:pPr>
            <w:r w:rsidRPr="00E70D3D">
              <w:rPr>
                <w:i/>
              </w:rPr>
              <w:t>Methodology:</w:t>
            </w:r>
          </w:p>
          <w:p w14:paraId="4A68A10F" w14:textId="77777777" w:rsidR="00E70D3D" w:rsidRPr="00E70D3D" w:rsidRDefault="00E70D3D" w:rsidP="00E70D3D">
            <w:pPr>
              <w:spacing w:before="240"/>
            </w:pPr>
            <w:r w:rsidRPr="00E70D3D">
              <w:t>95% confidence intervals are calculated using Dobson's and Byar's methods. Byar’s method is recommended for larger counts whereas for smaller numerators (less than 389) a more exact method based on the Poisson distribution (Dobson’s method) is used:</w:t>
            </w:r>
          </w:p>
          <w:p w14:paraId="2AF79744" w14:textId="77777777" w:rsidR="00E70D3D" w:rsidRPr="00E70D3D" w:rsidRDefault="00E70D3D" w:rsidP="00E70D3D">
            <w:pPr>
              <w:spacing w:before="240"/>
              <w:jc w:val="center"/>
            </w:pPr>
            <w:r w:rsidRPr="00E70D3D">
              <w:rPr>
                <w:noProof/>
                <w:lang w:eastAsia="en-GB"/>
              </w:rPr>
              <w:drawing>
                <wp:inline distT="0" distB="0" distL="0" distR="0" wp14:anchorId="3018AFA9" wp14:editId="6889DF1E">
                  <wp:extent cx="2948940" cy="1661160"/>
                  <wp:effectExtent l="0" t="0" r="3810" b="0"/>
                  <wp:docPr id="3" name="Picture 3" descr="Formula: 95% confidence intervals are calculated using Dobson's and Byar's meth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948940" cy="1661160"/>
                          </a:xfrm>
                          <a:prstGeom prst="rect">
                            <a:avLst/>
                          </a:prstGeom>
                        </pic:spPr>
                      </pic:pic>
                    </a:graphicData>
                  </a:graphic>
                </wp:inline>
              </w:drawing>
            </w:r>
          </w:p>
          <w:p w14:paraId="7772C4DF" w14:textId="77777777" w:rsidR="00E70D3D" w:rsidRPr="00E70D3D" w:rsidRDefault="00E70D3D" w:rsidP="00E70D3D">
            <w:pPr>
              <w:spacing w:before="240"/>
            </w:pPr>
          </w:p>
          <w:p w14:paraId="08F78F8F" w14:textId="77777777" w:rsidR="00E70D3D" w:rsidRPr="00E70D3D" w:rsidRDefault="00E70D3D" w:rsidP="00E70D3D">
            <w:pPr>
              <w:spacing w:before="240"/>
            </w:pPr>
            <w:r w:rsidRPr="00E70D3D">
              <w:t>Where:</w:t>
            </w:r>
          </w:p>
          <w:p w14:paraId="1C4B0DD5" w14:textId="77777777" w:rsidR="00E70D3D" w:rsidRPr="00E70D3D" w:rsidRDefault="00E70D3D" w:rsidP="00E70D3D">
            <w:pPr>
              <w:spacing w:before="240"/>
            </w:pPr>
            <w:r w:rsidRPr="00E70D3D">
              <w:rPr>
                <w:rFonts w:ascii="Cambria Math" w:hAnsi="Cambria Math" w:cs="Cambria Math"/>
              </w:rPr>
              <w:t>𝑂</w:t>
            </w:r>
            <w:r w:rsidRPr="00E70D3D">
              <w:t xml:space="preserve"> is the total number of observed admissions in the subject population</w:t>
            </w:r>
          </w:p>
          <w:p w14:paraId="065E76A7" w14:textId="77777777" w:rsidR="00E70D3D" w:rsidRPr="00E70D3D" w:rsidRDefault="00E70D3D" w:rsidP="00E70D3D">
            <w:pPr>
              <w:spacing w:before="240"/>
              <w:jc w:val="center"/>
            </w:pPr>
            <w:r w:rsidRPr="00E70D3D">
              <w:rPr>
                <w:noProof/>
                <w:lang w:eastAsia="en-GB"/>
              </w:rPr>
              <w:drawing>
                <wp:inline distT="0" distB="0" distL="0" distR="0" wp14:anchorId="2CA75877" wp14:editId="14B4861D">
                  <wp:extent cx="1531620" cy="1562100"/>
                  <wp:effectExtent l="0" t="0" r="0" b="0"/>
                  <wp:docPr id="4" name="Picture 4" descr="Formula: 𝑂 is the total number of observed admissions in the subjec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31620" cy="1562100"/>
                          </a:xfrm>
                          <a:prstGeom prst="rect">
                            <a:avLst/>
                          </a:prstGeom>
                        </pic:spPr>
                      </pic:pic>
                    </a:graphicData>
                  </a:graphic>
                </wp:inline>
              </w:drawing>
            </w:r>
          </w:p>
          <w:p w14:paraId="70FAA913" w14:textId="77777777" w:rsidR="00E70D3D" w:rsidRPr="00E70D3D" w:rsidRDefault="00E70D3D" w:rsidP="00E70D3D">
            <w:pPr>
              <w:spacing w:before="240"/>
            </w:pPr>
          </w:p>
          <w:p w14:paraId="5B3537E2" w14:textId="77777777" w:rsidR="00E70D3D" w:rsidRPr="00E70D3D" w:rsidRDefault="00E70D3D" w:rsidP="00E70D3D">
            <w:pPr>
              <w:spacing w:before="240"/>
            </w:pPr>
            <w:r w:rsidRPr="00E70D3D">
              <w:rPr>
                <w:rFonts w:ascii="Cambria Math" w:hAnsi="Cambria Math" w:cs="Cambria Math"/>
              </w:rPr>
              <w:t>𝑂</w:t>
            </w:r>
            <w:r w:rsidRPr="00E70D3D">
              <w:rPr>
                <w:i/>
                <w:vertAlign w:val="subscript"/>
              </w:rPr>
              <w:t>lower</w:t>
            </w:r>
            <w:r w:rsidRPr="00E70D3D">
              <w:t xml:space="preserve"> and </w:t>
            </w:r>
            <w:r w:rsidRPr="00E70D3D">
              <w:rPr>
                <w:i/>
              </w:rPr>
              <w:t>O</w:t>
            </w:r>
            <w:r w:rsidRPr="00E70D3D">
              <w:rPr>
                <w:i/>
                <w:vertAlign w:val="subscript"/>
              </w:rPr>
              <w:t>upper</w:t>
            </w:r>
            <w:r w:rsidRPr="00E70D3D">
              <w:t xml:space="preserve"> are the lower and upper confidence limits for the observed number of events;</w:t>
            </w:r>
          </w:p>
          <w:p w14:paraId="23ADCE37" w14:textId="77777777" w:rsidR="00E70D3D" w:rsidRPr="00E70D3D" w:rsidRDefault="00E70D3D" w:rsidP="00E70D3D">
            <w:pPr>
              <w:spacing w:before="240"/>
            </w:pPr>
            <w:r w:rsidRPr="00E70D3D">
              <w:t xml:space="preserve">When </w:t>
            </w:r>
            <w:r w:rsidRPr="00E70D3D">
              <w:rPr>
                <w:rFonts w:ascii="Cambria Math" w:hAnsi="Cambria Math" w:cs="Cambria Math"/>
              </w:rPr>
              <w:t>𝑂</w:t>
            </w:r>
            <w:r w:rsidRPr="00E70D3D">
              <w:t xml:space="preserve"> &lt; 389 then,</w:t>
            </w:r>
          </w:p>
          <w:p w14:paraId="5DCCEA26" w14:textId="77777777" w:rsidR="00E70D3D" w:rsidRPr="00E70D3D" w:rsidRDefault="00E70D3D" w:rsidP="00E70D3D">
            <w:pPr>
              <w:spacing w:before="240"/>
              <w:jc w:val="center"/>
            </w:pPr>
            <w:r w:rsidRPr="00E70D3D">
              <w:rPr>
                <w:noProof/>
                <w:lang w:eastAsia="en-GB"/>
              </w:rPr>
              <w:lastRenderedPageBreak/>
              <w:drawing>
                <wp:inline distT="0" distB="0" distL="0" distR="0" wp14:anchorId="46C78C7F" wp14:editId="28F9891D">
                  <wp:extent cx="1295400" cy="1021080"/>
                  <wp:effectExtent l="0" t="0" r="0" b="7620"/>
                  <wp:docPr id="6" name="Picture 6" descr="Formula: 𝑂lower and Oupper are the lower and upper confidence limits for the observed number of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295400" cy="1021080"/>
                          </a:xfrm>
                          <a:prstGeom prst="rect">
                            <a:avLst/>
                          </a:prstGeom>
                        </pic:spPr>
                      </pic:pic>
                    </a:graphicData>
                  </a:graphic>
                </wp:inline>
              </w:drawing>
            </w:r>
          </w:p>
          <w:p w14:paraId="193F894D" w14:textId="77777777" w:rsidR="00E70D3D" w:rsidRPr="00E70D3D" w:rsidRDefault="00E70D3D" w:rsidP="00E70D3D">
            <w:pPr>
              <w:spacing w:before="240"/>
            </w:pPr>
            <w:r w:rsidRPr="00E70D3D">
              <w:t>Where:</w:t>
            </w:r>
          </w:p>
          <w:p w14:paraId="35830C1D" w14:textId="77777777" w:rsidR="00E70D3D" w:rsidRPr="00E70D3D" w:rsidRDefault="00E70D3D" w:rsidP="00E70D3D">
            <w:pPr>
              <w:spacing w:before="240"/>
            </w:pPr>
            <w:r w:rsidRPr="00E70D3D">
              <w:rPr>
                <w:rFonts w:ascii="Cambria Math" w:hAnsi="Cambria Math" w:cs="Cambria Math"/>
              </w:rPr>
              <w:t>𝜒</w:t>
            </w:r>
            <w:r w:rsidRPr="00E70D3D">
              <w:rPr>
                <w:vertAlign w:val="superscript"/>
              </w:rPr>
              <w:t>2</w:t>
            </w:r>
            <w:r w:rsidRPr="00E70D3D">
              <w:rPr>
                <w:rFonts w:ascii="Cambria Math" w:hAnsi="Cambria Math" w:cs="Cambria Math"/>
                <w:vertAlign w:val="subscript"/>
              </w:rPr>
              <w:t>𝑙𝑜𝑤𝑒𝑟</w:t>
            </w:r>
            <w:r w:rsidRPr="00E70D3D">
              <w:t xml:space="preserve"> is the 97.5th percentile value from the </w:t>
            </w:r>
            <w:r w:rsidRPr="00E70D3D">
              <w:rPr>
                <w:rFonts w:ascii="Cambria Math" w:hAnsi="Cambria Math" w:cs="Cambria Math"/>
              </w:rPr>
              <w:t>𝜒</w:t>
            </w:r>
            <w:r w:rsidRPr="00E70D3D">
              <w:rPr>
                <w:vertAlign w:val="superscript"/>
              </w:rPr>
              <w:t>2</w:t>
            </w:r>
            <w:r w:rsidRPr="00E70D3D">
              <w:t xml:space="preserve"> distribution with 2</w:t>
            </w:r>
            <w:r w:rsidRPr="00E70D3D">
              <w:rPr>
                <w:rFonts w:ascii="Cambria Math" w:hAnsi="Cambria Math" w:cs="Cambria Math"/>
              </w:rPr>
              <w:t>𝑂</w:t>
            </w:r>
            <w:r w:rsidRPr="00E70D3D">
              <w:t xml:space="preserve"> degrees of freedom;</w:t>
            </w:r>
          </w:p>
          <w:p w14:paraId="7F7496C3" w14:textId="77777777" w:rsidR="00E70D3D" w:rsidRPr="00E70D3D" w:rsidRDefault="00E70D3D" w:rsidP="00E70D3D">
            <w:pPr>
              <w:spacing w:before="240"/>
            </w:pPr>
            <w:r w:rsidRPr="00E70D3D">
              <w:rPr>
                <w:rFonts w:ascii="Cambria Math" w:hAnsi="Cambria Math" w:cs="Cambria Math"/>
              </w:rPr>
              <w:t>𝜒</w:t>
            </w:r>
            <w:r w:rsidRPr="00E70D3D">
              <w:rPr>
                <w:vertAlign w:val="superscript"/>
              </w:rPr>
              <w:t>2</w:t>
            </w:r>
            <w:r w:rsidRPr="00E70D3D">
              <w:rPr>
                <w:i/>
                <w:vertAlign w:val="subscript"/>
              </w:rPr>
              <w:t>upper</w:t>
            </w:r>
            <w:r w:rsidRPr="00E70D3D">
              <w:t xml:space="preserve"> is the 97.5th percentile value from the </w:t>
            </w:r>
            <w:r w:rsidRPr="00E70D3D">
              <w:rPr>
                <w:rFonts w:ascii="Cambria Math" w:hAnsi="Cambria Math" w:cs="Cambria Math"/>
              </w:rPr>
              <w:t>𝜒</w:t>
            </w:r>
            <w:r w:rsidRPr="00E70D3D">
              <w:rPr>
                <w:vertAlign w:val="superscript"/>
              </w:rPr>
              <w:t>2</w:t>
            </w:r>
            <w:r w:rsidRPr="00E70D3D">
              <w:t xml:space="preserve"> distribution with 2</w:t>
            </w:r>
            <w:r w:rsidRPr="00E70D3D">
              <w:rPr>
                <w:rFonts w:ascii="Cambria Math" w:hAnsi="Cambria Math" w:cs="Cambria Math"/>
              </w:rPr>
              <w:t>𝑂</w:t>
            </w:r>
            <w:r w:rsidRPr="00E70D3D">
              <w:t>+2 degrees of freedom;</w:t>
            </w:r>
          </w:p>
          <w:p w14:paraId="36C8BC10" w14:textId="77777777" w:rsidR="00E70D3D" w:rsidRPr="00E70D3D" w:rsidRDefault="00E70D3D" w:rsidP="00E70D3D">
            <w:pPr>
              <w:spacing w:before="240"/>
            </w:pPr>
            <w:r w:rsidRPr="00E70D3D">
              <w:t>When O &gt;= 389 then,</w:t>
            </w:r>
          </w:p>
          <w:p w14:paraId="4DE38A27" w14:textId="77777777" w:rsidR="00E70D3D" w:rsidRPr="00E70D3D" w:rsidRDefault="00E70D3D" w:rsidP="00E70D3D">
            <w:pPr>
              <w:spacing w:before="240"/>
              <w:jc w:val="center"/>
            </w:pPr>
            <w:r w:rsidRPr="00E70D3D">
              <w:rPr>
                <w:noProof/>
                <w:lang w:eastAsia="en-GB"/>
              </w:rPr>
              <w:drawing>
                <wp:inline distT="0" distB="0" distL="0" distR="0" wp14:anchorId="08AC2337" wp14:editId="379D23FE">
                  <wp:extent cx="2987040" cy="1021080"/>
                  <wp:effectExtent l="0" t="0" r="3810" b="7620"/>
                  <wp:docPr id="7" name="Picture 7" descr="Formula: Where:&#10;𝜒2𝑙𝑜𝑤𝑒𝑟 is the 97.5th percentile value from the 𝜒2 distribution with 2𝑂 degrees of freedom;&#10;𝜒2upper is the 97.5th percentile value from the 𝜒2 distribution with 2𝑂+2 degrees of freedom;&#10;When O &gt;= 389 th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87040" cy="1021080"/>
                          </a:xfrm>
                          <a:prstGeom prst="rect">
                            <a:avLst/>
                          </a:prstGeom>
                        </pic:spPr>
                      </pic:pic>
                    </a:graphicData>
                  </a:graphic>
                </wp:inline>
              </w:drawing>
            </w:r>
          </w:p>
          <w:p w14:paraId="2D37D9EE" w14:textId="77777777" w:rsidR="00E70D3D" w:rsidRPr="00E70D3D" w:rsidRDefault="00E70D3D" w:rsidP="00E70D3D">
            <w:pPr>
              <w:spacing w:before="240"/>
              <w:jc w:val="center"/>
            </w:pPr>
          </w:p>
          <w:p w14:paraId="52B0382E" w14:textId="77777777" w:rsidR="00E70D3D" w:rsidRPr="00E70D3D" w:rsidRDefault="00E70D3D" w:rsidP="00E70D3D">
            <w:pPr>
              <w:spacing w:before="240"/>
            </w:pPr>
            <w:r w:rsidRPr="00E70D3D">
              <w:t>Where:</w:t>
            </w:r>
          </w:p>
          <w:p w14:paraId="507D5AF5" w14:textId="4D6829CE" w:rsidR="00E70D3D" w:rsidRPr="00E70D3D" w:rsidRDefault="00E70D3D" w:rsidP="00E70D3D">
            <w:pPr>
              <w:spacing w:before="240"/>
            </w:pPr>
            <w:r w:rsidRPr="00E70D3D">
              <w:rPr>
                <w:rFonts w:ascii="Cambria Math" w:hAnsi="Cambria Math" w:cs="Cambria Math"/>
              </w:rPr>
              <w:t>𝑧</w:t>
            </w:r>
            <w:r w:rsidRPr="00E70D3D">
              <w:t xml:space="preserve"> is the 97.5th percentile value from the Standard Normal distribution.</w:t>
            </w:r>
          </w:p>
        </w:tc>
      </w:tr>
      <w:tr w:rsidR="00E70D3D" w:rsidRPr="00E70D3D" w14:paraId="1BEBA15C" w14:textId="77777777" w:rsidTr="00E70D3D">
        <w:tc>
          <w:tcPr>
            <w:tcW w:w="2127" w:type="dxa"/>
          </w:tcPr>
          <w:p w14:paraId="018EEF79" w14:textId="3999FFF8" w:rsidR="00E70D3D" w:rsidRPr="00E70D3D" w:rsidRDefault="00E70D3D" w:rsidP="00E70D3D">
            <w:pPr>
              <w:spacing w:before="240"/>
              <w:ind w:left="34"/>
              <w:rPr>
                <w:b/>
              </w:rPr>
            </w:pPr>
            <w:r w:rsidRPr="00E70D3D">
              <w:rPr>
                <w:b/>
              </w:rPr>
              <w:lastRenderedPageBreak/>
              <w:t>Justification of confidence intervals / control limits used</w:t>
            </w:r>
          </w:p>
        </w:tc>
        <w:tc>
          <w:tcPr>
            <w:tcW w:w="7320" w:type="dxa"/>
          </w:tcPr>
          <w:p w14:paraId="6385B7DE" w14:textId="77777777" w:rsidR="00E70D3D" w:rsidRPr="00E70D3D" w:rsidRDefault="00E70D3D" w:rsidP="00E70D3D">
            <w:pPr>
              <w:spacing w:before="240"/>
            </w:pPr>
          </w:p>
        </w:tc>
      </w:tr>
      <w:tr w:rsidR="00AF24E4" w:rsidRPr="00E70D3D" w14:paraId="01E2F3D1" w14:textId="77777777" w:rsidTr="00E70D3D">
        <w:tc>
          <w:tcPr>
            <w:tcW w:w="2127" w:type="dxa"/>
          </w:tcPr>
          <w:p w14:paraId="4921FB11" w14:textId="417347C3" w:rsidR="00AF24E4" w:rsidRPr="00E70D3D" w:rsidRDefault="00AF24E4" w:rsidP="00AF24E4">
            <w:pPr>
              <w:spacing w:before="240"/>
              <w:ind w:left="34"/>
              <w:rPr>
                <w:b/>
              </w:rPr>
            </w:pPr>
            <w:r w:rsidRPr="00E70D3D">
              <w:rPr>
                <w:b/>
              </w:rPr>
              <w:t>Presentation of indicator</w:t>
            </w:r>
          </w:p>
        </w:tc>
        <w:tc>
          <w:tcPr>
            <w:tcW w:w="7320" w:type="dxa"/>
          </w:tcPr>
          <w:p w14:paraId="7E94CC5E" w14:textId="77777777" w:rsidR="00AF24E4" w:rsidRPr="00E70D3D" w:rsidRDefault="00AF24E4" w:rsidP="00AF24E4">
            <w:pPr>
              <w:spacing w:before="240"/>
            </w:pPr>
            <w:r w:rsidRPr="00E70D3D">
              <w:t>Indicator data is published in both .csv and .xlsx formats.</w:t>
            </w:r>
          </w:p>
          <w:p w14:paraId="2D712BC2" w14:textId="77777777" w:rsidR="00AF24E4" w:rsidRPr="00E70D3D" w:rsidRDefault="00AF24E4" w:rsidP="00AF24E4">
            <w:pPr>
              <w:spacing w:before="240"/>
            </w:pPr>
            <w:r w:rsidRPr="00E70D3D">
              <w:t>Data is available at CCG- and National-level for the reporting periods:</w:t>
            </w:r>
          </w:p>
          <w:p w14:paraId="69A883D2" w14:textId="77777777" w:rsidR="00AF24E4" w:rsidRPr="00E70D3D" w:rsidRDefault="00AF24E4" w:rsidP="00AF24E4">
            <w:pPr>
              <w:pStyle w:val="ListParagraph"/>
              <w:numPr>
                <w:ilvl w:val="0"/>
                <w:numId w:val="6"/>
              </w:numPr>
              <w:spacing w:after="0" w:line="240" w:lineRule="auto"/>
              <w:contextualSpacing w:val="0"/>
              <w:textboxTightWrap w:val="lastLineOnly"/>
            </w:pPr>
            <w:r w:rsidRPr="00E70D3D">
              <w:t>01/04/2016 to 31/03/2017</w:t>
            </w:r>
          </w:p>
          <w:p w14:paraId="00D60109" w14:textId="77777777" w:rsidR="00AF24E4" w:rsidRPr="00E70D3D" w:rsidRDefault="00AF24E4" w:rsidP="00AF24E4">
            <w:pPr>
              <w:pStyle w:val="ListParagraph"/>
              <w:numPr>
                <w:ilvl w:val="0"/>
                <w:numId w:val="6"/>
              </w:numPr>
              <w:spacing w:after="0" w:line="240" w:lineRule="auto"/>
              <w:contextualSpacing w:val="0"/>
              <w:textboxTightWrap w:val="lastLineOnly"/>
            </w:pPr>
            <w:r w:rsidRPr="00E70D3D">
              <w:t>01/01/2016 to 31/12/2016</w:t>
            </w:r>
          </w:p>
          <w:p w14:paraId="2CF25F68" w14:textId="77777777" w:rsidR="00AF24E4" w:rsidRPr="00E70D3D" w:rsidRDefault="00AF24E4" w:rsidP="00AF24E4">
            <w:pPr>
              <w:pStyle w:val="ListParagraph"/>
              <w:numPr>
                <w:ilvl w:val="0"/>
                <w:numId w:val="6"/>
              </w:numPr>
              <w:spacing w:after="0" w:line="240" w:lineRule="auto"/>
              <w:contextualSpacing w:val="0"/>
              <w:textboxTightWrap w:val="lastLineOnly"/>
            </w:pPr>
            <w:r w:rsidRPr="00E70D3D">
              <w:t>01/10/2015 to 30/09/2016</w:t>
            </w:r>
          </w:p>
          <w:p w14:paraId="6942E7E8" w14:textId="77777777" w:rsidR="00AF24E4" w:rsidRPr="00E70D3D" w:rsidRDefault="00AF24E4" w:rsidP="00AF24E4">
            <w:pPr>
              <w:pStyle w:val="ListParagraph"/>
              <w:numPr>
                <w:ilvl w:val="0"/>
                <w:numId w:val="6"/>
              </w:numPr>
              <w:spacing w:after="0" w:line="240" w:lineRule="auto"/>
              <w:contextualSpacing w:val="0"/>
              <w:textboxTightWrap w:val="lastLineOnly"/>
            </w:pPr>
            <w:r w:rsidRPr="00E70D3D">
              <w:t>01/07/2015 to 30/06/2016</w:t>
            </w:r>
          </w:p>
          <w:p w14:paraId="46C78D6E" w14:textId="77777777" w:rsidR="00AF24E4" w:rsidRPr="00E70D3D" w:rsidRDefault="00AF24E4" w:rsidP="00AF24E4">
            <w:pPr>
              <w:pStyle w:val="ListParagraph"/>
              <w:numPr>
                <w:ilvl w:val="0"/>
                <w:numId w:val="6"/>
              </w:numPr>
              <w:spacing w:after="0" w:line="240" w:lineRule="auto"/>
              <w:contextualSpacing w:val="0"/>
              <w:textboxTightWrap w:val="lastLineOnly"/>
            </w:pPr>
            <w:r w:rsidRPr="00E70D3D">
              <w:t>01/04/2015 to 31/03/2016</w:t>
            </w:r>
          </w:p>
          <w:p w14:paraId="70898488" w14:textId="77777777" w:rsidR="00AF24E4" w:rsidRPr="00E70D3D" w:rsidRDefault="00AF24E4" w:rsidP="00AF24E4">
            <w:pPr>
              <w:pStyle w:val="ListParagraph"/>
              <w:numPr>
                <w:ilvl w:val="0"/>
                <w:numId w:val="6"/>
              </w:numPr>
              <w:spacing w:after="0" w:line="240" w:lineRule="auto"/>
              <w:contextualSpacing w:val="0"/>
              <w:textboxTightWrap w:val="lastLineOnly"/>
            </w:pPr>
            <w:r w:rsidRPr="00E70D3D">
              <w:t>01/04/2014 to 31/03/2015</w:t>
            </w:r>
          </w:p>
          <w:p w14:paraId="66AE51DC" w14:textId="77777777" w:rsidR="00AF24E4" w:rsidRPr="00E70D3D" w:rsidRDefault="00AF24E4" w:rsidP="00AF24E4">
            <w:pPr>
              <w:numPr>
                <w:ilvl w:val="0"/>
                <w:numId w:val="6"/>
              </w:numPr>
              <w:spacing w:after="140"/>
              <w:textboxTightWrap w:val="lastLineOnly"/>
            </w:pPr>
            <w:r w:rsidRPr="00E70D3D">
              <w:t>01/04/2013 to 31/03/2014</w:t>
            </w:r>
          </w:p>
          <w:p w14:paraId="488759E2" w14:textId="77777777" w:rsidR="00AF24E4" w:rsidRPr="00E70D3D" w:rsidRDefault="00AF24E4" w:rsidP="00AF24E4">
            <w:r w:rsidRPr="00E70D3D">
              <w:t>Column headings on the output file are:</w:t>
            </w:r>
            <w:r w:rsidRPr="00E70D3D">
              <w:br/>
            </w:r>
          </w:p>
          <w:p w14:paraId="0B9021B3" w14:textId="77777777" w:rsidR="00AF24E4" w:rsidRPr="00E70D3D" w:rsidRDefault="00AF24E4" w:rsidP="00AF24E4">
            <w:pPr>
              <w:pStyle w:val="ListParagraph"/>
              <w:numPr>
                <w:ilvl w:val="0"/>
                <w:numId w:val="6"/>
              </w:numPr>
              <w:spacing w:after="0" w:line="240" w:lineRule="auto"/>
              <w:contextualSpacing w:val="0"/>
              <w:jc w:val="both"/>
              <w:textboxTightWrap w:val="lastLineOnly"/>
            </w:pPr>
            <w:r w:rsidRPr="00E70D3D">
              <w:t>Reporting period</w:t>
            </w:r>
          </w:p>
          <w:p w14:paraId="33698767" w14:textId="77777777" w:rsidR="00AF24E4" w:rsidRPr="00E70D3D" w:rsidRDefault="00AF24E4" w:rsidP="00AF24E4">
            <w:pPr>
              <w:pStyle w:val="ListParagraph"/>
              <w:numPr>
                <w:ilvl w:val="0"/>
                <w:numId w:val="6"/>
              </w:numPr>
              <w:spacing w:after="0" w:line="240" w:lineRule="auto"/>
              <w:contextualSpacing w:val="0"/>
              <w:jc w:val="both"/>
              <w:textboxTightWrap w:val="lastLineOnly"/>
            </w:pPr>
            <w:r w:rsidRPr="00E70D3D">
              <w:t>Period of coverage</w:t>
            </w:r>
          </w:p>
          <w:p w14:paraId="727C36CF" w14:textId="77777777" w:rsidR="00AF24E4" w:rsidRPr="00E70D3D" w:rsidRDefault="00AF24E4" w:rsidP="00AF24E4">
            <w:pPr>
              <w:pStyle w:val="ListParagraph"/>
              <w:numPr>
                <w:ilvl w:val="0"/>
                <w:numId w:val="6"/>
              </w:numPr>
              <w:spacing w:after="0" w:line="240" w:lineRule="auto"/>
              <w:contextualSpacing w:val="0"/>
              <w:jc w:val="both"/>
              <w:textboxTightWrap w:val="lastLineOnly"/>
            </w:pPr>
            <w:r w:rsidRPr="00E70D3D">
              <w:t>Breakdown</w:t>
            </w:r>
          </w:p>
          <w:p w14:paraId="224F8C7A" w14:textId="77777777" w:rsidR="00AF24E4" w:rsidRPr="00E70D3D" w:rsidRDefault="00AF24E4" w:rsidP="00AF24E4">
            <w:pPr>
              <w:pStyle w:val="ListParagraph"/>
              <w:numPr>
                <w:ilvl w:val="0"/>
                <w:numId w:val="6"/>
              </w:numPr>
              <w:spacing w:after="0" w:line="240" w:lineRule="auto"/>
              <w:contextualSpacing w:val="0"/>
              <w:jc w:val="both"/>
              <w:textboxTightWrap w:val="lastLineOnly"/>
            </w:pPr>
            <w:r w:rsidRPr="00E70D3D">
              <w:t>ONS code</w:t>
            </w:r>
          </w:p>
          <w:p w14:paraId="60CCDFBD" w14:textId="77777777" w:rsidR="00AF24E4" w:rsidRPr="00E70D3D" w:rsidRDefault="00AF24E4" w:rsidP="00AF24E4">
            <w:pPr>
              <w:pStyle w:val="ListParagraph"/>
              <w:numPr>
                <w:ilvl w:val="0"/>
                <w:numId w:val="6"/>
              </w:numPr>
              <w:spacing w:after="0" w:line="240" w:lineRule="auto"/>
              <w:contextualSpacing w:val="0"/>
              <w:jc w:val="both"/>
              <w:textboxTightWrap w:val="lastLineOnly"/>
            </w:pPr>
            <w:r w:rsidRPr="00E70D3D">
              <w:t>Level</w:t>
            </w:r>
          </w:p>
          <w:p w14:paraId="2EB03113" w14:textId="77777777" w:rsidR="00AF24E4" w:rsidRPr="00E70D3D" w:rsidRDefault="00AF24E4" w:rsidP="00AF24E4">
            <w:pPr>
              <w:pStyle w:val="ListParagraph"/>
              <w:numPr>
                <w:ilvl w:val="0"/>
                <w:numId w:val="6"/>
              </w:numPr>
              <w:spacing w:after="0" w:line="240" w:lineRule="auto"/>
              <w:contextualSpacing w:val="0"/>
              <w:jc w:val="both"/>
              <w:textboxTightWrap w:val="lastLineOnly"/>
            </w:pPr>
            <w:r w:rsidRPr="00E70D3D">
              <w:lastRenderedPageBreak/>
              <w:t>Level description</w:t>
            </w:r>
          </w:p>
          <w:p w14:paraId="38577075" w14:textId="77777777" w:rsidR="00AF24E4" w:rsidRPr="00E70D3D" w:rsidRDefault="00AF24E4" w:rsidP="00AF24E4">
            <w:pPr>
              <w:pStyle w:val="ListParagraph"/>
              <w:numPr>
                <w:ilvl w:val="0"/>
                <w:numId w:val="6"/>
              </w:numPr>
              <w:spacing w:after="0" w:line="240" w:lineRule="auto"/>
              <w:contextualSpacing w:val="0"/>
              <w:jc w:val="both"/>
              <w:textboxTightWrap w:val="lastLineOnly"/>
            </w:pPr>
            <w:r w:rsidRPr="00E70D3D">
              <w:t>Indicator value</w:t>
            </w:r>
          </w:p>
          <w:p w14:paraId="0D820815" w14:textId="77777777" w:rsidR="00AF24E4" w:rsidRPr="00E70D3D" w:rsidRDefault="00AF24E4" w:rsidP="00AF24E4">
            <w:pPr>
              <w:pStyle w:val="ListParagraph"/>
              <w:numPr>
                <w:ilvl w:val="0"/>
                <w:numId w:val="6"/>
              </w:numPr>
              <w:spacing w:after="0" w:line="240" w:lineRule="auto"/>
              <w:contextualSpacing w:val="0"/>
              <w:jc w:val="both"/>
              <w:textboxTightWrap w:val="lastLineOnly"/>
            </w:pPr>
            <w:r w:rsidRPr="00E70D3D">
              <w:t>CI lower</w:t>
            </w:r>
          </w:p>
          <w:p w14:paraId="507CBD5C" w14:textId="77777777" w:rsidR="00AF24E4" w:rsidRPr="00E70D3D" w:rsidRDefault="00AF24E4" w:rsidP="00AF24E4">
            <w:pPr>
              <w:pStyle w:val="ListParagraph"/>
              <w:numPr>
                <w:ilvl w:val="0"/>
                <w:numId w:val="6"/>
              </w:numPr>
              <w:spacing w:after="0" w:line="240" w:lineRule="auto"/>
              <w:contextualSpacing w:val="0"/>
              <w:jc w:val="both"/>
              <w:textboxTightWrap w:val="lastLineOnly"/>
            </w:pPr>
            <w:r w:rsidRPr="00E70D3D">
              <w:t>CI upper</w:t>
            </w:r>
          </w:p>
          <w:p w14:paraId="5C7940F2" w14:textId="77777777" w:rsidR="00AF24E4" w:rsidRPr="00E70D3D" w:rsidRDefault="00AF24E4" w:rsidP="00AF24E4">
            <w:pPr>
              <w:pStyle w:val="ListParagraph"/>
              <w:numPr>
                <w:ilvl w:val="0"/>
                <w:numId w:val="6"/>
              </w:numPr>
              <w:spacing w:after="0" w:line="240" w:lineRule="auto"/>
              <w:contextualSpacing w:val="0"/>
              <w:jc w:val="both"/>
              <w:textboxTightWrap w:val="lastLineOnly"/>
            </w:pPr>
            <w:r w:rsidRPr="00E70D3D">
              <w:t>Denominator</w:t>
            </w:r>
          </w:p>
          <w:p w14:paraId="37A9A31A" w14:textId="32BD6B8B" w:rsidR="00AF24E4" w:rsidRPr="00E70D3D" w:rsidRDefault="00AF24E4" w:rsidP="00AF24E4">
            <w:pPr>
              <w:spacing w:before="240"/>
            </w:pPr>
            <w:r w:rsidRPr="00E70D3D">
              <w:t>Numerator</w:t>
            </w:r>
          </w:p>
        </w:tc>
      </w:tr>
      <w:tr w:rsidR="00AF24E4" w:rsidRPr="00E70D3D" w14:paraId="2B33938B" w14:textId="77777777" w:rsidTr="00E70D3D">
        <w:tc>
          <w:tcPr>
            <w:tcW w:w="2127" w:type="dxa"/>
          </w:tcPr>
          <w:p w14:paraId="74AFFC62" w14:textId="77777777" w:rsidR="00AF24E4" w:rsidRPr="00E70D3D" w:rsidRDefault="00AF24E4" w:rsidP="00AF24E4">
            <w:pPr>
              <w:spacing w:before="240"/>
              <w:ind w:left="34"/>
              <w:rPr>
                <w:b/>
              </w:rPr>
            </w:pPr>
            <w:r w:rsidRPr="00E70D3D">
              <w:rPr>
                <w:b/>
              </w:rPr>
              <w:lastRenderedPageBreak/>
              <w:t>Contextual information provided alongside indicator</w:t>
            </w:r>
          </w:p>
          <w:p w14:paraId="760B7DAD" w14:textId="1E7220FB" w:rsidR="00AF24E4" w:rsidRPr="00E70D3D" w:rsidRDefault="00AF24E4" w:rsidP="00AF24E4">
            <w:pPr>
              <w:spacing w:before="240"/>
              <w:ind w:left="34"/>
              <w:rPr>
                <w:b/>
              </w:rPr>
            </w:pPr>
            <w:r w:rsidRPr="00E70D3D">
              <w:t>with justification</w:t>
            </w:r>
          </w:p>
        </w:tc>
        <w:tc>
          <w:tcPr>
            <w:tcW w:w="7320" w:type="dxa"/>
          </w:tcPr>
          <w:p w14:paraId="31E14C29" w14:textId="77777777" w:rsidR="00AF24E4" w:rsidRPr="00E70D3D" w:rsidRDefault="00AF24E4" w:rsidP="00AF24E4">
            <w:pPr>
              <w:spacing w:before="240"/>
            </w:pPr>
          </w:p>
        </w:tc>
      </w:tr>
      <w:tr w:rsidR="00AF24E4" w:rsidRPr="00E70D3D" w14:paraId="2CABF8A8" w14:textId="77777777" w:rsidTr="00E70D3D">
        <w:tc>
          <w:tcPr>
            <w:tcW w:w="2127" w:type="dxa"/>
          </w:tcPr>
          <w:p w14:paraId="717997EC" w14:textId="5C6F2324" w:rsidR="00AF24E4" w:rsidRPr="00E70D3D" w:rsidRDefault="00AF24E4" w:rsidP="00AF24E4">
            <w:pPr>
              <w:spacing w:before="240"/>
              <w:ind w:left="34"/>
              <w:rPr>
                <w:b/>
              </w:rPr>
            </w:pPr>
            <w:r w:rsidRPr="00E70D3D">
              <w:rPr>
                <w:b/>
              </w:rPr>
              <w:t>Calculation and data source of contextual information</w:t>
            </w:r>
          </w:p>
        </w:tc>
        <w:tc>
          <w:tcPr>
            <w:tcW w:w="7320" w:type="dxa"/>
          </w:tcPr>
          <w:p w14:paraId="60C625FB" w14:textId="77777777" w:rsidR="00AF24E4" w:rsidRPr="00E70D3D" w:rsidRDefault="00AF24E4" w:rsidP="00AF24E4">
            <w:pPr>
              <w:spacing w:before="240"/>
            </w:pPr>
          </w:p>
        </w:tc>
      </w:tr>
      <w:tr w:rsidR="00AF24E4" w:rsidRPr="00E70D3D" w14:paraId="443E331F" w14:textId="77777777" w:rsidTr="00E70D3D">
        <w:tc>
          <w:tcPr>
            <w:tcW w:w="2127" w:type="dxa"/>
          </w:tcPr>
          <w:p w14:paraId="213C04E7" w14:textId="77777777" w:rsidR="00AF24E4" w:rsidRPr="00E70D3D" w:rsidRDefault="00AF24E4" w:rsidP="00AF24E4">
            <w:pPr>
              <w:spacing w:before="240"/>
              <w:ind w:left="34"/>
              <w:rPr>
                <w:b/>
              </w:rPr>
            </w:pPr>
            <w:r w:rsidRPr="00E70D3D">
              <w:rPr>
                <w:b/>
              </w:rPr>
              <w:t>Use of bandings, benchmarks or targets</w:t>
            </w:r>
          </w:p>
          <w:p w14:paraId="1641E984" w14:textId="1694E730" w:rsidR="00AF24E4" w:rsidRPr="00E70D3D" w:rsidRDefault="00AF24E4" w:rsidP="00AF24E4">
            <w:pPr>
              <w:spacing w:before="240"/>
              <w:ind w:left="34"/>
              <w:rPr>
                <w:b/>
              </w:rPr>
            </w:pPr>
            <w:r w:rsidRPr="00E70D3D">
              <w:rPr>
                <w:b/>
                <w:bCs/>
              </w:rPr>
              <w:t>with justification</w:t>
            </w:r>
          </w:p>
        </w:tc>
        <w:tc>
          <w:tcPr>
            <w:tcW w:w="7320" w:type="dxa"/>
          </w:tcPr>
          <w:p w14:paraId="79A82FC9" w14:textId="77777777" w:rsidR="00AF24E4" w:rsidRPr="00E70D3D" w:rsidRDefault="00AF24E4" w:rsidP="00AF24E4">
            <w:pPr>
              <w:spacing w:before="240"/>
            </w:pPr>
          </w:p>
        </w:tc>
      </w:tr>
      <w:tr w:rsidR="00AF24E4" w:rsidRPr="00E70D3D" w14:paraId="61DD9E2F" w14:textId="77777777" w:rsidTr="00E70D3D">
        <w:tc>
          <w:tcPr>
            <w:tcW w:w="2127" w:type="dxa"/>
          </w:tcPr>
          <w:p w14:paraId="0E0A4ED0" w14:textId="77777777" w:rsidR="00AF24E4" w:rsidRPr="00E70D3D" w:rsidRDefault="00AF24E4" w:rsidP="00AF24E4">
            <w:pPr>
              <w:spacing w:before="240"/>
              <w:ind w:left="34"/>
              <w:rPr>
                <w:b/>
              </w:rPr>
            </w:pPr>
            <w:r w:rsidRPr="00E70D3D">
              <w:rPr>
                <w:b/>
              </w:rPr>
              <w:t>Banding, benchmark or target methodology</w:t>
            </w:r>
          </w:p>
          <w:p w14:paraId="3EFC4A05" w14:textId="3C7E3DF5" w:rsidR="00AF24E4" w:rsidRPr="00E70D3D" w:rsidRDefault="00AF24E4" w:rsidP="00AF24E4">
            <w:pPr>
              <w:spacing w:before="240"/>
              <w:ind w:left="34"/>
              <w:rPr>
                <w:b/>
              </w:rPr>
            </w:pPr>
            <w:r w:rsidRPr="00E70D3D">
              <w:t>if appropriate</w:t>
            </w:r>
          </w:p>
        </w:tc>
        <w:tc>
          <w:tcPr>
            <w:tcW w:w="7320" w:type="dxa"/>
          </w:tcPr>
          <w:p w14:paraId="6FB084A5" w14:textId="77777777" w:rsidR="00AF24E4" w:rsidRPr="00E70D3D" w:rsidRDefault="00AF24E4" w:rsidP="00AF24E4">
            <w:pPr>
              <w:spacing w:before="240"/>
            </w:pPr>
          </w:p>
        </w:tc>
      </w:tr>
      <w:tr w:rsidR="00AF24E4" w:rsidRPr="00E70D3D" w14:paraId="45F4DEF2" w14:textId="77777777" w:rsidTr="00E70D3D">
        <w:tc>
          <w:tcPr>
            <w:tcW w:w="2127" w:type="dxa"/>
          </w:tcPr>
          <w:p w14:paraId="4B7B8121" w14:textId="6678589F" w:rsidR="00AF24E4" w:rsidRPr="00E70D3D" w:rsidRDefault="00AF24E4" w:rsidP="00AF24E4">
            <w:pPr>
              <w:spacing w:before="240"/>
              <w:ind w:left="34"/>
              <w:rPr>
                <w:b/>
              </w:rPr>
            </w:pPr>
            <w:r w:rsidRPr="00E70D3D">
              <w:rPr>
                <w:b/>
              </w:rPr>
              <w:t>Interpretation guidelines</w:t>
            </w:r>
          </w:p>
        </w:tc>
        <w:tc>
          <w:tcPr>
            <w:tcW w:w="7320" w:type="dxa"/>
          </w:tcPr>
          <w:p w14:paraId="31ECACDF" w14:textId="77777777" w:rsidR="00AF24E4" w:rsidRPr="00E70D3D" w:rsidRDefault="00AF24E4" w:rsidP="00AF24E4">
            <w:pPr>
              <w:spacing w:before="240"/>
            </w:pPr>
            <w:r w:rsidRPr="00E70D3D">
              <w:t>Data quality for both the numerator (HES APC) and denominator (NHAIS (Exeter)) is considered to be good. Further information can be found at:</w:t>
            </w:r>
          </w:p>
          <w:p w14:paraId="5FB0AA12" w14:textId="77777777" w:rsidR="00AF24E4" w:rsidRPr="00E70D3D" w:rsidRDefault="00AF24E4" w:rsidP="00AF24E4">
            <w:pPr>
              <w:pStyle w:val="ListParagraph"/>
              <w:numPr>
                <w:ilvl w:val="0"/>
                <w:numId w:val="4"/>
              </w:numPr>
              <w:spacing w:before="240" w:after="180" w:line="240" w:lineRule="auto"/>
              <w:contextualSpacing w:val="0"/>
              <w:textboxTightWrap w:val="lastLineOnly"/>
            </w:pPr>
            <w:r w:rsidRPr="00E70D3D">
              <w:rPr>
                <w:b/>
              </w:rPr>
              <w:t>Hospital Episode Statistics:</w:t>
            </w:r>
            <w:r w:rsidRPr="00E70D3D">
              <w:rPr>
                <w:b/>
              </w:rPr>
              <w:br/>
            </w:r>
            <w:hyperlink r:id="rId20" w:history="1">
              <w:r w:rsidRPr="00E70D3D">
                <w:rPr>
                  <w:rStyle w:val="Hyperlink"/>
                  <w:color w:val="auto"/>
                </w:rPr>
                <w:t>http://content.digital.nhs.uk/searchcatalogue?q=title%3a%22Hospital+Episode+Statistics%2c+Admitted+patient+care+-+England%22&amp;sort=Most+recent&amp;size=10&amp;page=1</w:t>
              </w:r>
            </w:hyperlink>
            <w:r w:rsidRPr="00E70D3D">
              <w:t xml:space="preserve"> (Please copy the link into a browser if clicking doesn’t work)</w:t>
            </w:r>
          </w:p>
          <w:p w14:paraId="1779642F" w14:textId="77777777" w:rsidR="00AF24E4" w:rsidRPr="00E70D3D" w:rsidRDefault="00AF24E4" w:rsidP="00AF24E4">
            <w:pPr>
              <w:pStyle w:val="ListParagraph"/>
              <w:numPr>
                <w:ilvl w:val="0"/>
                <w:numId w:val="4"/>
              </w:numPr>
              <w:spacing w:before="240" w:after="180" w:line="240" w:lineRule="auto"/>
              <w:contextualSpacing w:val="0"/>
              <w:textboxTightWrap w:val="lastLineOnly"/>
            </w:pPr>
            <w:r w:rsidRPr="00E70D3D">
              <w:rPr>
                <w:b/>
              </w:rPr>
              <w:t xml:space="preserve">NHAIS (Exeter) Systems: </w:t>
            </w:r>
            <w:hyperlink r:id="rId21" w:history="1">
              <w:r w:rsidRPr="00E70D3D">
                <w:rPr>
                  <w:rStyle w:val="Hyperlink"/>
                  <w:color w:val="auto"/>
                </w:rPr>
                <w:t>http://systems.digital.nhs.uk/ssd/prodserv/vaprodopenexe/</w:t>
              </w:r>
            </w:hyperlink>
            <w:r w:rsidRPr="00E70D3D">
              <w:t xml:space="preserve"> </w:t>
            </w:r>
          </w:p>
          <w:p w14:paraId="5C15A8AD" w14:textId="27052B47" w:rsidR="00AF24E4" w:rsidRPr="00E70D3D" w:rsidRDefault="00AF24E4" w:rsidP="00AF24E4">
            <w:pPr>
              <w:spacing w:before="240"/>
            </w:pPr>
            <w:r w:rsidRPr="00E70D3D">
              <w:rPr>
                <w:b/>
              </w:rPr>
              <w:t>ONS mid-year population estimates for the England population count:</w:t>
            </w:r>
            <w:r w:rsidRPr="00E70D3D">
              <w:rPr>
                <w:b/>
              </w:rPr>
              <w:br/>
            </w:r>
            <w:hyperlink r:id="rId22" w:history="1">
              <w:r w:rsidRPr="00E70D3D">
                <w:rPr>
                  <w:rStyle w:val="Hyperlink"/>
                  <w:color w:val="auto"/>
                </w:rPr>
                <w:t>http://www.ons.gov.uk/ons/guide-method/method-quality/specific/populationand-migration/pop-ests/index.html</w:t>
              </w:r>
            </w:hyperlink>
            <w:r w:rsidRPr="00E70D3D">
              <w:t xml:space="preserve"> </w:t>
            </w:r>
          </w:p>
        </w:tc>
      </w:tr>
      <w:tr w:rsidR="00AF24E4" w:rsidRPr="00E70D3D" w14:paraId="735BAC67" w14:textId="77777777" w:rsidTr="00E70D3D">
        <w:tc>
          <w:tcPr>
            <w:tcW w:w="2127" w:type="dxa"/>
          </w:tcPr>
          <w:p w14:paraId="365B2345" w14:textId="1EF1EEC5" w:rsidR="00AF24E4" w:rsidRPr="00E70D3D" w:rsidRDefault="00AF24E4" w:rsidP="00AF24E4">
            <w:pPr>
              <w:spacing w:before="240"/>
              <w:ind w:left="34"/>
              <w:rPr>
                <w:b/>
              </w:rPr>
            </w:pPr>
            <w:r w:rsidRPr="00E70D3D">
              <w:rPr>
                <w:b/>
              </w:rPr>
              <w:t>Limitations and potential bias</w:t>
            </w:r>
          </w:p>
        </w:tc>
        <w:tc>
          <w:tcPr>
            <w:tcW w:w="7320" w:type="dxa"/>
          </w:tcPr>
          <w:p w14:paraId="4261BF14" w14:textId="77777777" w:rsidR="00AF24E4" w:rsidRPr="00E70D3D" w:rsidRDefault="00AF24E4" w:rsidP="00AF24E4">
            <w:pPr>
              <w:spacing w:before="240"/>
            </w:pPr>
          </w:p>
          <w:p w14:paraId="3AEC2EFE" w14:textId="77777777" w:rsidR="00AF24E4" w:rsidRPr="00E70D3D" w:rsidRDefault="00AF24E4" w:rsidP="00AF24E4">
            <w:pPr>
              <w:pStyle w:val="ListParagraph"/>
              <w:numPr>
                <w:ilvl w:val="0"/>
                <w:numId w:val="3"/>
              </w:numPr>
              <w:spacing w:before="240" w:after="180" w:line="240" w:lineRule="auto"/>
              <w:contextualSpacing w:val="0"/>
              <w:textboxTightWrap w:val="lastLineOnly"/>
            </w:pPr>
            <w:r w:rsidRPr="00E70D3D">
              <w:lastRenderedPageBreak/>
              <w:t>This indicator requires careful interpretation and should not be used in isolation. It should be taken in conjunction with other indicators and information from other sources that together form a holistic view of CCG outcomes and a fuller overview of how CCG processes are impacting on outcomes.</w:t>
            </w:r>
          </w:p>
          <w:p w14:paraId="11D3A01E" w14:textId="77777777" w:rsidR="00AF24E4" w:rsidRPr="00E70D3D" w:rsidRDefault="00AF24E4" w:rsidP="00AF24E4">
            <w:pPr>
              <w:pStyle w:val="ListParagraph"/>
              <w:numPr>
                <w:ilvl w:val="0"/>
                <w:numId w:val="3"/>
              </w:numPr>
              <w:spacing w:before="240" w:after="180" w:line="240" w:lineRule="auto"/>
              <w:contextualSpacing w:val="0"/>
              <w:textboxTightWrap w:val="lastLineOnly"/>
            </w:pPr>
            <w:r w:rsidRPr="00E70D3D">
              <w:t>Standardisation is by age and sex and does not encompass any other factors that could potentially influence the rate.</w:t>
            </w:r>
          </w:p>
          <w:p w14:paraId="7EB24A34" w14:textId="77777777" w:rsidR="00AF24E4" w:rsidRPr="00E70D3D" w:rsidRDefault="00AF24E4" w:rsidP="00AF24E4">
            <w:pPr>
              <w:pStyle w:val="ListParagraph"/>
              <w:numPr>
                <w:ilvl w:val="0"/>
                <w:numId w:val="3"/>
              </w:numPr>
              <w:spacing w:before="240" w:after="180" w:line="240" w:lineRule="auto"/>
              <w:contextualSpacing w:val="0"/>
              <w:textboxTightWrap w:val="lastLineOnly"/>
            </w:pPr>
            <w:r w:rsidRPr="00E70D3D">
              <w:t>Differences in casemix (beyond that accounted for by standardisation), comorbidities and other potential risk factors also contribute to the variation.</w:t>
            </w:r>
          </w:p>
          <w:p w14:paraId="18D5ACA5" w14:textId="77777777" w:rsidR="00AF24E4" w:rsidRPr="00E70D3D" w:rsidRDefault="00AF24E4" w:rsidP="00AF24E4">
            <w:pPr>
              <w:pStyle w:val="ListParagraph"/>
              <w:numPr>
                <w:ilvl w:val="0"/>
                <w:numId w:val="3"/>
              </w:numPr>
              <w:spacing w:before="240" w:after="180" w:line="240" w:lineRule="auto"/>
              <w:contextualSpacing w:val="0"/>
              <w:textboxTightWrap w:val="lastLineOnly"/>
            </w:pPr>
            <w:r w:rsidRPr="00E70D3D">
              <w:t>There may be variation in the prevalence of particular conditions due to differing levels of deprivation, for other geo-demographic reasons or between patients of different ethnic heritages.</w:t>
            </w:r>
          </w:p>
          <w:p w14:paraId="584D043E" w14:textId="77777777" w:rsidR="00AF24E4" w:rsidRPr="00E70D3D" w:rsidRDefault="00AF24E4" w:rsidP="00AF24E4">
            <w:pPr>
              <w:pStyle w:val="ListParagraph"/>
              <w:numPr>
                <w:ilvl w:val="0"/>
                <w:numId w:val="3"/>
              </w:numPr>
              <w:spacing w:before="240" w:after="180" w:line="240" w:lineRule="auto"/>
              <w:contextualSpacing w:val="0"/>
              <w:textboxTightWrap w:val="lastLineOnly"/>
            </w:pPr>
            <w:r w:rsidRPr="00E70D3D">
              <w:t>A number of factors outside the control of healthcare providers may determine whether a patient is admitted; thus, this could influence rates.</w:t>
            </w:r>
          </w:p>
          <w:p w14:paraId="1DA8913F" w14:textId="77777777" w:rsidR="00AF24E4" w:rsidRPr="00E70D3D" w:rsidRDefault="00AF24E4" w:rsidP="00AF24E4">
            <w:pPr>
              <w:pStyle w:val="ListParagraph"/>
              <w:numPr>
                <w:ilvl w:val="0"/>
                <w:numId w:val="3"/>
              </w:numPr>
              <w:spacing w:before="240" w:after="180" w:line="240" w:lineRule="auto"/>
              <w:contextualSpacing w:val="0"/>
              <w:textboxTightWrap w:val="lastLineOnly"/>
            </w:pPr>
            <w:r w:rsidRPr="00E70D3D">
              <w:t>The patterns of providing care may vary between organisations in terms of extent of treatment in primary care settings; referral policies and practices; hospital outpatient facilities/walk-in clinics; and hospital inpatient admission policies and practices.</w:t>
            </w:r>
          </w:p>
          <w:p w14:paraId="66D8E5BE" w14:textId="77777777" w:rsidR="00AF24E4" w:rsidRPr="00E70D3D" w:rsidRDefault="00AF24E4" w:rsidP="00AF24E4">
            <w:pPr>
              <w:pStyle w:val="ListParagraph"/>
              <w:numPr>
                <w:ilvl w:val="0"/>
                <w:numId w:val="3"/>
              </w:numPr>
              <w:spacing w:before="240" w:after="180" w:line="240" w:lineRule="auto"/>
              <w:contextualSpacing w:val="0"/>
              <w:textboxTightWrap w:val="lastLineOnly"/>
            </w:pPr>
            <w:r w:rsidRPr="00E70D3D">
              <w:t>There may be local variation in data quality, particularly in terms of diagnostic and procedure coding.</w:t>
            </w:r>
          </w:p>
          <w:p w14:paraId="6164CEBA" w14:textId="29F28B48" w:rsidR="00AF24E4" w:rsidRPr="00E70D3D" w:rsidRDefault="00AF24E4" w:rsidP="00AF24E4">
            <w:pPr>
              <w:spacing w:before="240"/>
            </w:pPr>
            <w:r w:rsidRPr="00E70D3D">
              <w:t>Some factors causing or exacerbating relevant conditions are outside the control and influence of the NHS and CCGs. These can vary by region, and may include environmental factors such as air quality, occupational hazards and deprivation.</w:t>
            </w:r>
          </w:p>
        </w:tc>
      </w:tr>
      <w:tr w:rsidR="00AF24E4" w:rsidRPr="00E70D3D" w14:paraId="0878347E" w14:textId="77777777" w:rsidTr="00E70D3D">
        <w:tc>
          <w:tcPr>
            <w:tcW w:w="2127" w:type="dxa"/>
          </w:tcPr>
          <w:p w14:paraId="70987AFD" w14:textId="068287DD" w:rsidR="00AF24E4" w:rsidRPr="00E70D3D" w:rsidRDefault="00AF24E4" w:rsidP="00AF24E4">
            <w:pPr>
              <w:spacing w:before="240"/>
              <w:ind w:left="34"/>
              <w:rPr>
                <w:b/>
              </w:rPr>
            </w:pPr>
            <w:r w:rsidRPr="00E70D3D">
              <w:rPr>
                <w:b/>
              </w:rPr>
              <w:lastRenderedPageBreak/>
              <w:t>Improvement actions</w:t>
            </w:r>
          </w:p>
        </w:tc>
        <w:tc>
          <w:tcPr>
            <w:tcW w:w="7320" w:type="dxa"/>
          </w:tcPr>
          <w:p w14:paraId="24B32AA8" w14:textId="58A2E4B4" w:rsidR="00AF24E4" w:rsidRPr="00E70D3D" w:rsidRDefault="00AF24E4" w:rsidP="00AF24E4">
            <w:pPr>
              <w:spacing w:before="240"/>
            </w:pPr>
            <w:r w:rsidRPr="00E70D3D">
              <w:t>It is expected that CCGs will use this indicator to identify how improvements in care and the desired reduction in alcohol-specific admissions will be delivered.</w:t>
            </w:r>
          </w:p>
        </w:tc>
      </w:tr>
      <w:tr w:rsidR="00AF24E4" w:rsidRPr="00E70D3D" w14:paraId="7E69A780" w14:textId="77777777" w:rsidTr="00E70D3D">
        <w:tc>
          <w:tcPr>
            <w:tcW w:w="2127" w:type="dxa"/>
          </w:tcPr>
          <w:p w14:paraId="442618FA" w14:textId="364BE7DD" w:rsidR="00AF24E4" w:rsidRPr="00E70D3D" w:rsidRDefault="00AF24E4" w:rsidP="00AF24E4">
            <w:pPr>
              <w:spacing w:before="240"/>
              <w:ind w:left="34"/>
              <w:rPr>
                <w:b/>
              </w:rPr>
            </w:pPr>
            <w:r w:rsidRPr="00E70D3D">
              <w:rPr>
                <w:b/>
              </w:rPr>
              <w:t>Evidence of variability</w:t>
            </w:r>
          </w:p>
        </w:tc>
        <w:tc>
          <w:tcPr>
            <w:tcW w:w="7320" w:type="dxa"/>
          </w:tcPr>
          <w:p w14:paraId="04990BE3" w14:textId="77777777" w:rsidR="00AF24E4" w:rsidRPr="00E70D3D" w:rsidRDefault="00AF24E4" w:rsidP="00AF24E4">
            <w:pPr>
              <w:spacing w:before="240"/>
            </w:pPr>
          </w:p>
        </w:tc>
      </w:tr>
      <w:tr w:rsidR="00AF24E4" w:rsidRPr="00E70D3D" w14:paraId="4EEA3FCA" w14:textId="77777777" w:rsidTr="00E70D3D">
        <w:tc>
          <w:tcPr>
            <w:tcW w:w="2127" w:type="dxa"/>
          </w:tcPr>
          <w:p w14:paraId="754C15F6" w14:textId="01FC19BC" w:rsidR="00AF24E4" w:rsidRPr="00E70D3D" w:rsidRDefault="00AF24E4" w:rsidP="00AF24E4">
            <w:pPr>
              <w:spacing w:before="240"/>
              <w:ind w:left="34"/>
              <w:rPr>
                <w:b/>
              </w:rPr>
            </w:pPr>
            <w:r w:rsidRPr="00E70D3D">
              <w:rPr>
                <w:b/>
              </w:rPr>
              <w:t>Similar existing indicators</w:t>
            </w:r>
          </w:p>
        </w:tc>
        <w:tc>
          <w:tcPr>
            <w:tcW w:w="7320" w:type="dxa"/>
          </w:tcPr>
          <w:p w14:paraId="02F36805" w14:textId="77777777" w:rsidR="00AF24E4" w:rsidRPr="00E70D3D" w:rsidRDefault="00AF24E4" w:rsidP="00AF24E4">
            <w:pPr>
              <w:spacing w:before="240"/>
            </w:pPr>
          </w:p>
        </w:tc>
      </w:tr>
      <w:tr w:rsidR="00AF24E4" w:rsidRPr="00E70D3D" w14:paraId="2952ADA0" w14:textId="77777777" w:rsidTr="00E70D3D">
        <w:tc>
          <w:tcPr>
            <w:tcW w:w="2127" w:type="dxa"/>
          </w:tcPr>
          <w:p w14:paraId="5B40B93C" w14:textId="63DB9596" w:rsidR="00AF24E4" w:rsidRPr="00E70D3D" w:rsidRDefault="00AF24E4" w:rsidP="00AF24E4">
            <w:pPr>
              <w:spacing w:before="240"/>
              <w:ind w:left="34"/>
              <w:rPr>
                <w:b/>
              </w:rPr>
            </w:pPr>
            <w:r w:rsidRPr="00E70D3D">
              <w:rPr>
                <w:b/>
              </w:rPr>
              <w:t>Coherence and comparability</w:t>
            </w:r>
          </w:p>
        </w:tc>
        <w:tc>
          <w:tcPr>
            <w:tcW w:w="7320" w:type="dxa"/>
          </w:tcPr>
          <w:p w14:paraId="7A0679C0" w14:textId="77777777" w:rsidR="00AF24E4" w:rsidRPr="00E70D3D" w:rsidRDefault="00AF24E4" w:rsidP="00AF24E4">
            <w:pPr>
              <w:spacing w:before="240"/>
            </w:pPr>
            <w:r w:rsidRPr="00E70D3D">
              <w:t>This indicator is linked to CCG OIS indicator 3.15, Emergency alcohol-specific readmission to any hospital within 30 days after the last previous discharge following an alcohol-specific admission, which is published at National and CCG level. The standardisation methodology differs between the two indicators, as the alcohol specific readmission indicator is indirectly standardised.</w:t>
            </w:r>
          </w:p>
          <w:p w14:paraId="6579A7EB" w14:textId="77777777" w:rsidR="00AF24E4" w:rsidRPr="00E70D3D" w:rsidRDefault="00AF24E4" w:rsidP="00AF24E4">
            <w:pPr>
              <w:spacing w:before="240"/>
            </w:pPr>
            <w:r w:rsidRPr="00E70D3D">
              <w:t xml:space="preserve">CCG OIS indicator 1.8, Emergency admissions for alcohol related liver disease, is a subset of this indicator and is published at national and CCG level. The Public Health Outcomes Framework includes indicator </w:t>
            </w:r>
            <w:r w:rsidRPr="00E70D3D">
              <w:lastRenderedPageBreak/>
              <w:t xml:space="preserve">2.18, Alcohol related admissions to hospital, which is published at National, Regional, County and Unitary Authority level and is based on admissions that are linked to alcohol-attributable fractions. Further information can be found at: </w:t>
            </w:r>
            <w:hyperlink r:id="rId23" w:history="1">
              <w:r w:rsidRPr="00E70D3D">
                <w:rPr>
                  <w:rStyle w:val="Hyperlink"/>
                  <w:color w:val="auto"/>
                </w:rPr>
                <w:t>http://www.phoutcomes.info/</w:t>
              </w:r>
            </w:hyperlink>
            <w:r w:rsidRPr="00E70D3D">
              <w:t>.</w:t>
            </w:r>
            <w:r w:rsidRPr="00E70D3D">
              <w:cr/>
            </w:r>
          </w:p>
          <w:p w14:paraId="5D0F26DC" w14:textId="77777777" w:rsidR="00AF24E4" w:rsidRPr="00E70D3D" w:rsidRDefault="00AF24E4" w:rsidP="00AF24E4">
            <w:pPr>
              <w:spacing w:before="240"/>
            </w:pPr>
          </w:p>
        </w:tc>
      </w:tr>
      <w:tr w:rsidR="00AF24E4" w:rsidRPr="00E70D3D" w14:paraId="6B5BAE07" w14:textId="77777777" w:rsidTr="00E70D3D">
        <w:tc>
          <w:tcPr>
            <w:tcW w:w="2127" w:type="dxa"/>
          </w:tcPr>
          <w:p w14:paraId="1B4758C2" w14:textId="373025C0" w:rsidR="00AF24E4" w:rsidRPr="00E70D3D" w:rsidRDefault="00AF24E4" w:rsidP="00AF24E4">
            <w:pPr>
              <w:spacing w:before="240"/>
              <w:ind w:left="34"/>
              <w:rPr>
                <w:b/>
              </w:rPr>
            </w:pPr>
            <w:r w:rsidRPr="00E70D3D">
              <w:rPr>
                <w:b/>
              </w:rPr>
              <w:lastRenderedPageBreak/>
              <w:t>Undesired behaviours and/or gaming</w:t>
            </w:r>
          </w:p>
        </w:tc>
        <w:tc>
          <w:tcPr>
            <w:tcW w:w="7320" w:type="dxa"/>
          </w:tcPr>
          <w:p w14:paraId="1B24BC62" w14:textId="77777777" w:rsidR="00AF24E4" w:rsidRPr="00E70D3D" w:rsidRDefault="00AF24E4" w:rsidP="00AF24E4">
            <w:pPr>
              <w:spacing w:before="240"/>
            </w:pPr>
          </w:p>
        </w:tc>
      </w:tr>
      <w:tr w:rsidR="00AF24E4" w:rsidRPr="00E70D3D" w14:paraId="5048DF09" w14:textId="77777777" w:rsidTr="00E70D3D">
        <w:tc>
          <w:tcPr>
            <w:tcW w:w="2127" w:type="dxa"/>
          </w:tcPr>
          <w:p w14:paraId="195382DD" w14:textId="16A14120" w:rsidR="00AF24E4" w:rsidRPr="00E70D3D" w:rsidRDefault="00AF24E4" w:rsidP="00AF24E4">
            <w:pPr>
              <w:spacing w:before="240"/>
              <w:ind w:left="34"/>
              <w:rPr>
                <w:b/>
              </w:rPr>
            </w:pPr>
            <w:r w:rsidRPr="00E70D3D">
              <w:rPr>
                <w:b/>
              </w:rPr>
              <w:t>Approach to indicator review</w:t>
            </w:r>
          </w:p>
        </w:tc>
        <w:tc>
          <w:tcPr>
            <w:tcW w:w="7320" w:type="dxa"/>
          </w:tcPr>
          <w:p w14:paraId="434C2ED5" w14:textId="77777777" w:rsidR="00AF24E4" w:rsidRPr="00E70D3D" w:rsidRDefault="00AF24E4" w:rsidP="00AF24E4">
            <w:pPr>
              <w:spacing w:before="240"/>
            </w:pPr>
            <w:r w:rsidRPr="00E70D3D">
              <w:t>Comments can be made through various media, including NHS Digital general enquiries by email enquiries@nhsdigital.nhs.uk or by telephone 0300 303 5678.</w:t>
            </w:r>
          </w:p>
          <w:p w14:paraId="33D011D5" w14:textId="5CAD82C9" w:rsidR="00AF24E4" w:rsidRPr="00E70D3D" w:rsidRDefault="00AF24E4" w:rsidP="00AF24E4">
            <w:pPr>
              <w:spacing w:before="240"/>
            </w:pPr>
            <w:r w:rsidRPr="00E70D3D">
              <w:t>As well as initially assuring the quality and methodology of this indicator, the NHS Digital’s Indicator Assurance Process will be used on an on-going basis to review any new indicators. User needs and feedback will be taken into consideration during this assurance process.</w:t>
            </w:r>
          </w:p>
        </w:tc>
      </w:tr>
      <w:tr w:rsidR="00AF24E4" w:rsidRPr="00E70D3D" w14:paraId="18DC8D67" w14:textId="77777777" w:rsidTr="00E70D3D">
        <w:tc>
          <w:tcPr>
            <w:tcW w:w="2127" w:type="dxa"/>
          </w:tcPr>
          <w:p w14:paraId="2A18082D" w14:textId="60296063" w:rsidR="00AF24E4" w:rsidRPr="00E70D3D" w:rsidRDefault="00AF24E4" w:rsidP="00AF24E4">
            <w:pPr>
              <w:spacing w:before="240"/>
              <w:ind w:left="34"/>
              <w:rPr>
                <w:b/>
              </w:rPr>
            </w:pPr>
            <w:r w:rsidRPr="00E70D3D">
              <w:rPr>
                <w:b/>
              </w:rPr>
              <w:t>Disclosure control</w:t>
            </w:r>
          </w:p>
        </w:tc>
        <w:tc>
          <w:tcPr>
            <w:tcW w:w="7320" w:type="dxa"/>
          </w:tcPr>
          <w:p w14:paraId="2E63AA1B" w14:textId="77777777" w:rsidR="00AF24E4" w:rsidRPr="00E70D3D" w:rsidRDefault="00AF24E4" w:rsidP="00AF24E4">
            <w:pPr>
              <w:spacing w:before="240"/>
            </w:pPr>
            <w:r w:rsidRPr="00E70D3D">
              <w:t>When publishing the data, if the indicator is calculated from a numerator of 1 to 5, the value is suppressed to ensure an individual’s identity is not at risk of being disclosed. If there is only one value suppressed in this way, the rate based upon the next lowest numerator is also suppressed; this reduces the risk of the first suppressed number being identifiable in isolation.</w:t>
            </w:r>
          </w:p>
          <w:p w14:paraId="76FE67AF" w14:textId="4081961D" w:rsidR="00AF24E4" w:rsidRPr="00E70D3D" w:rsidRDefault="00AF24E4" w:rsidP="00AF24E4">
            <w:pPr>
              <w:spacing w:before="240"/>
            </w:pPr>
            <w:r w:rsidRPr="00E70D3D">
              <w:t>Rates are rounded to one decimal place before publication.</w:t>
            </w:r>
          </w:p>
        </w:tc>
      </w:tr>
      <w:tr w:rsidR="00AF24E4" w:rsidRPr="00E70D3D" w14:paraId="37DCE994" w14:textId="77777777" w:rsidTr="00E70D3D">
        <w:tc>
          <w:tcPr>
            <w:tcW w:w="2127" w:type="dxa"/>
          </w:tcPr>
          <w:p w14:paraId="55BFE265" w14:textId="30F9A351" w:rsidR="00AF24E4" w:rsidRPr="00E70D3D" w:rsidRDefault="00AF24E4" w:rsidP="00AF24E4">
            <w:pPr>
              <w:spacing w:before="240"/>
              <w:ind w:left="34"/>
              <w:rPr>
                <w:b/>
              </w:rPr>
            </w:pPr>
            <w:r w:rsidRPr="00E70D3D">
              <w:rPr>
                <w:b/>
              </w:rPr>
              <w:t>Copyright</w:t>
            </w:r>
          </w:p>
        </w:tc>
        <w:tc>
          <w:tcPr>
            <w:tcW w:w="7320" w:type="dxa"/>
          </w:tcPr>
          <w:p w14:paraId="3D5D1AE0" w14:textId="73FB1804" w:rsidR="00AF24E4" w:rsidRPr="00E70D3D" w:rsidRDefault="00AF24E4" w:rsidP="00AF24E4">
            <w:pPr>
              <w:spacing w:before="240"/>
            </w:pPr>
            <w:r w:rsidRPr="00E70D3D">
              <w:t>This indicator makes use of an existing data collection, so there are no additional data collection cost implications or burden.</w:t>
            </w:r>
          </w:p>
        </w:tc>
      </w:tr>
    </w:tbl>
    <w:p w14:paraId="138EFDD5" w14:textId="7926FC7D" w:rsidR="00403E03" w:rsidRPr="00E70D3D" w:rsidRDefault="00403E03" w:rsidP="00E70D3D">
      <w:pPr>
        <w:pStyle w:val="Frontpagesubhead"/>
      </w:pPr>
    </w:p>
    <w:p w14:paraId="0967569D" w14:textId="00CE749B" w:rsidR="00403E03" w:rsidRPr="00E70D3D" w:rsidRDefault="00403E03" w:rsidP="00350474">
      <w:pPr>
        <w:pStyle w:val="Heading1"/>
        <w:rPr>
          <w:rFonts w:eastAsia="MS Mincho"/>
          <w:color w:val="auto"/>
          <w:sz w:val="22"/>
          <w:szCs w:val="22"/>
        </w:rPr>
      </w:pPr>
    </w:p>
    <w:p w14:paraId="1A5D0D4C" w14:textId="01309D0E" w:rsidR="00403E03" w:rsidRPr="00E70D3D" w:rsidRDefault="00403E03"/>
    <w:p w14:paraId="7EC8F288" w14:textId="77777777" w:rsidR="00403E03" w:rsidRPr="00E70D3D" w:rsidRDefault="00403E03">
      <w:r w:rsidRPr="00E70D3D">
        <w:br w:type="page"/>
      </w:r>
    </w:p>
    <w:p w14:paraId="221669A8" w14:textId="0B9DF62A" w:rsidR="00403E03" w:rsidRPr="00E70D3D" w:rsidRDefault="00403E03"/>
    <w:p w14:paraId="1A29E2DD" w14:textId="77777777" w:rsidR="00403E03" w:rsidRPr="00E70D3D" w:rsidRDefault="00403E03" w:rsidP="00350474">
      <w:pPr>
        <w:rPr>
          <w:b/>
        </w:rPr>
      </w:pPr>
      <w:r w:rsidRPr="00E70D3D">
        <w:rPr>
          <w:b/>
        </w:rPr>
        <w:t>Appendix 1 - ICD-10 codes for alcohol-specific conditions</w:t>
      </w:r>
    </w:p>
    <w:p w14:paraId="53F109A8" w14:textId="77777777" w:rsidR="00403E03" w:rsidRPr="00E70D3D" w:rsidRDefault="00403E03" w:rsidP="00350474">
      <w:pPr>
        <w:rPr>
          <w:b/>
        </w:rPr>
      </w:pPr>
      <w:r w:rsidRPr="00E70D3D">
        <w:rPr>
          <w:b/>
        </w:rPr>
        <w:t>The ICD-10 diagnosis codes for alcohol-specific admissions are aligned with the conditions defined by Public Health England as alcohol-specific i.e. wholly attributable to alcohol.</w:t>
      </w:r>
    </w:p>
    <w:p w14:paraId="610C55E9" w14:textId="77777777" w:rsidR="00403E03" w:rsidRPr="00E70D3D" w:rsidRDefault="00403E03" w:rsidP="00350474"/>
    <w:p w14:paraId="3148AA5B" w14:textId="77777777" w:rsidR="00403E03" w:rsidRPr="00E70D3D" w:rsidRDefault="00403E03" w:rsidP="00350474">
      <w:pPr>
        <w:rPr>
          <w:b/>
        </w:rPr>
      </w:pPr>
      <w:r w:rsidRPr="00E70D3D">
        <w:rPr>
          <w:b/>
        </w:rPr>
        <w:t>ICD-10 diagnosis codes for alcohol-specific admissions are as follows:</w:t>
      </w:r>
    </w:p>
    <w:p w14:paraId="4BBC2F50" w14:textId="77777777" w:rsidR="00403E03" w:rsidRPr="00E70D3D" w:rsidRDefault="00403E03" w:rsidP="00350474">
      <w:r w:rsidRPr="00E70D3D">
        <w:t>E24.4 Alcohol-induced pseudo-Cushing’s syndrome</w:t>
      </w:r>
    </w:p>
    <w:p w14:paraId="0D6FEA21" w14:textId="77777777" w:rsidR="00403E03" w:rsidRPr="00E70D3D" w:rsidRDefault="00403E03" w:rsidP="00350474">
      <w:r w:rsidRPr="00E70D3D">
        <w:t>F10.- Mental and behavioural disorder due to use of alcohol</w:t>
      </w:r>
    </w:p>
    <w:p w14:paraId="1975B434" w14:textId="77777777" w:rsidR="00403E03" w:rsidRPr="00E70D3D" w:rsidRDefault="00403E03" w:rsidP="00350474">
      <w:r w:rsidRPr="00E70D3D">
        <w:t>G31.2 Degeneration of nervous system due to alcohol</w:t>
      </w:r>
    </w:p>
    <w:p w14:paraId="538EFBEB" w14:textId="77777777" w:rsidR="00403E03" w:rsidRPr="00E70D3D" w:rsidRDefault="00403E03" w:rsidP="00350474">
      <w:r w:rsidRPr="00E70D3D">
        <w:t>G62.1 Alcoholic polyneuropathy</w:t>
      </w:r>
    </w:p>
    <w:p w14:paraId="2F6335B9" w14:textId="77777777" w:rsidR="00403E03" w:rsidRPr="00E70D3D" w:rsidRDefault="00403E03" w:rsidP="00350474">
      <w:r w:rsidRPr="00E70D3D">
        <w:t>G72.1 Alcoholic myopathy</w:t>
      </w:r>
    </w:p>
    <w:p w14:paraId="0C10BB66" w14:textId="77777777" w:rsidR="00403E03" w:rsidRPr="00E70D3D" w:rsidRDefault="00403E03" w:rsidP="00350474">
      <w:r w:rsidRPr="00E70D3D">
        <w:t>I42.6 Alcoholic cardiomyopathy</w:t>
      </w:r>
    </w:p>
    <w:p w14:paraId="78F1EC94" w14:textId="77777777" w:rsidR="00403E03" w:rsidRPr="00E70D3D" w:rsidRDefault="00403E03" w:rsidP="00350474">
      <w:r w:rsidRPr="00E70D3D">
        <w:t>K29.2 Alcoholic gastritis</w:t>
      </w:r>
    </w:p>
    <w:p w14:paraId="740DD044" w14:textId="77777777" w:rsidR="00403E03" w:rsidRPr="00E70D3D" w:rsidRDefault="00403E03" w:rsidP="00350474">
      <w:r w:rsidRPr="00E70D3D">
        <w:t>K70.- Alcoholic liver disease</w:t>
      </w:r>
    </w:p>
    <w:p w14:paraId="50FBAD20" w14:textId="77777777" w:rsidR="00403E03" w:rsidRPr="00E70D3D" w:rsidRDefault="00403E03" w:rsidP="00350474">
      <w:r w:rsidRPr="00E70D3D">
        <w:t>K85.2 Alcohol-induced acute pancreatitis</w:t>
      </w:r>
    </w:p>
    <w:p w14:paraId="622D782B" w14:textId="77777777" w:rsidR="00403E03" w:rsidRPr="00E70D3D" w:rsidRDefault="00403E03" w:rsidP="00350474">
      <w:r w:rsidRPr="00E70D3D">
        <w:t>K86.0 Alcohol-induced chronic pancreatitis</w:t>
      </w:r>
    </w:p>
    <w:p w14:paraId="0567F7C5" w14:textId="77777777" w:rsidR="00403E03" w:rsidRPr="00E70D3D" w:rsidRDefault="00403E03" w:rsidP="00350474">
      <w:r w:rsidRPr="00E70D3D">
        <w:t>Q86.0 Fetal alcohol syndrome (dysmorphic)</w:t>
      </w:r>
    </w:p>
    <w:p w14:paraId="0098F47F" w14:textId="77777777" w:rsidR="00403E03" w:rsidRPr="00E70D3D" w:rsidRDefault="00403E03" w:rsidP="00350474">
      <w:r w:rsidRPr="00E70D3D">
        <w:t>R78.0 Finding of alcohol in blood</w:t>
      </w:r>
    </w:p>
    <w:p w14:paraId="06E85AE5" w14:textId="77777777" w:rsidR="00403E03" w:rsidRPr="00E70D3D" w:rsidRDefault="00403E03" w:rsidP="00350474">
      <w:r w:rsidRPr="00E70D3D">
        <w:t>T51.0 Toxic effect of alcohol, Ethanol</w:t>
      </w:r>
    </w:p>
    <w:p w14:paraId="1AF3C3DC" w14:textId="77777777" w:rsidR="00403E03" w:rsidRPr="00E70D3D" w:rsidRDefault="00403E03" w:rsidP="00350474">
      <w:r w:rsidRPr="00E70D3D">
        <w:t>T51.1 Toxic effect of alcohol, Methanol</w:t>
      </w:r>
    </w:p>
    <w:p w14:paraId="14AD8489" w14:textId="77777777" w:rsidR="00403E03" w:rsidRPr="00E70D3D" w:rsidRDefault="00403E03" w:rsidP="00350474">
      <w:r w:rsidRPr="00E70D3D">
        <w:t>T51.9 Toxic effect of alcohol, unspecified</w:t>
      </w:r>
    </w:p>
    <w:p w14:paraId="5FC2410A" w14:textId="77777777" w:rsidR="00403E03" w:rsidRPr="00E70D3D" w:rsidRDefault="00403E03" w:rsidP="00350474"/>
    <w:p w14:paraId="3A4606D8" w14:textId="77777777" w:rsidR="00403E03" w:rsidRPr="00E70D3D" w:rsidRDefault="00403E03" w:rsidP="00350474">
      <w:pPr>
        <w:rPr>
          <w:b/>
        </w:rPr>
      </w:pPr>
      <w:r w:rsidRPr="00E70D3D">
        <w:rPr>
          <w:b/>
        </w:rPr>
        <w:t>ICD-10 external cause codes for alcohol-specific admissions are as follows:</w:t>
      </w:r>
    </w:p>
    <w:p w14:paraId="2B816556" w14:textId="77777777" w:rsidR="00403E03" w:rsidRPr="00E70D3D" w:rsidRDefault="00403E03" w:rsidP="00350474">
      <w:r w:rsidRPr="00E70D3D">
        <w:t>X45.- Accidental poisoning by and exposure to alcohol</w:t>
      </w:r>
    </w:p>
    <w:p w14:paraId="1E19580E" w14:textId="77777777" w:rsidR="00403E03" w:rsidRPr="00E70D3D" w:rsidRDefault="00403E03" w:rsidP="00350474">
      <w:r w:rsidRPr="00E70D3D">
        <w:t>X65.- Intentional self-poisoning by and exposure to alcohol</w:t>
      </w:r>
    </w:p>
    <w:p w14:paraId="4D53D352" w14:textId="77777777" w:rsidR="00403E03" w:rsidRPr="00E70D3D" w:rsidRDefault="00403E03" w:rsidP="00350474">
      <w:r w:rsidRPr="00E70D3D">
        <w:t>Y15.- Poisoning by and exposure to alcohol, undetermined intent</w:t>
      </w:r>
    </w:p>
    <w:p w14:paraId="23DEE082" w14:textId="77777777" w:rsidR="00403E03" w:rsidRPr="00E70D3D" w:rsidRDefault="00403E03" w:rsidP="00350474">
      <w:r w:rsidRPr="00E70D3D">
        <w:t>Y90.- Evidence of alcohol involvement determined by blood</w:t>
      </w:r>
    </w:p>
    <w:p w14:paraId="3857AE66" w14:textId="77777777" w:rsidR="00403E03" w:rsidRPr="00E70D3D" w:rsidRDefault="00403E03" w:rsidP="00350474">
      <w:r w:rsidRPr="00E70D3D">
        <w:t>alcohol level</w:t>
      </w:r>
    </w:p>
    <w:p w14:paraId="16CA4A5C" w14:textId="77777777" w:rsidR="00403E03" w:rsidRPr="00E70D3D" w:rsidRDefault="00403E03" w:rsidP="00350474">
      <w:r w:rsidRPr="00E70D3D">
        <w:t>Y91.- Evidence of alcohol involvement determined by level of</w:t>
      </w:r>
    </w:p>
    <w:p w14:paraId="699373F3" w14:textId="77777777" w:rsidR="00403E03" w:rsidRPr="00E70D3D" w:rsidRDefault="00403E03" w:rsidP="00350474">
      <w:r w:rsidRPr="00E70D3D">
        <w:t>intoxication</w:t>
      </w:r>
    </w:p>
    <w:p w14:paraId="1B3F3807" w14:textId="6A750D6A" w:rsidR="00403E03" w:rsidRPr="00E70D3D" w:rsidRDefault="00403E03">
      <w:pPr>
        <w:rPr>
          <w:b/>
        </w:rPr>
      </w:pPr>
      <w:r w:rsidRPr="00E70D3D">
        <w:rPr>
          <w:b/>
        </w:rPr>
        <w:br w:type="page"/>
      </w:r>
    </w:p>
    <w:p w14:paraId="7EEB5B11" w14:textId="77777777" w:rsidR="00403E03" w:rsidRPr="00E70D3D" w:rsidRDefault="00403E03" w:rsidP="00350474">
      <w:pPr>
        <w:ind w:left="-851"/>
        <w:jc w:val="center"/>
      </w:pPr>
      <w:r w:rsidRPr="00E70D3D">
        <w:rPr>
          <w:rStyle w:val="normaltextrun"/>
          <w:b/>
          <w:bCs/>
          <w:u w:val="single"/>
        </w:rPr>
        <w:lastRenderedPageBreak/>
        <w:t>Indicator Assurance Extension Cover Sheet</w:t>
      </w:r>
    </w:p>
    <w:tbl>
      <w:tblPr>
        <w:tblStyle w:val="ListTable3-Accent1"/>
        <w:tblpPr w:leftFromText="180" w:rightFromText="180" w:vertAnchor="page" w:horzAnchor="margin" w:tblpX="-289" w:tblpY="2175"/>
        <w:tblW w:w="9198" w:type="dxa"/>
        <w:tblBorders>
          <w:insideH w:val="single" w:sz="4" w:space="0" w:color="4F81BD" w:themeColor="accent1"/>
          <w:insideV w:val="single" w:sz="4" w:space="0" w:color="4F81BD" w:themeColor="accent1"/>
        </w:tblBorders>
        <w:tblLayout w:type="fixed"/>
        <w:tblLook w:val="04A0" w:firstRow="1" w:lastRow="0" w:firstColumn="1" w:lastColumn="0" w:noHBand="0" w:noVBand="1"/>
      </w:tblPr>
      <w:tblGrid>
        <w:gridCol w:w="943"/>
        <w:gridCol w:w="6673"/>
        <w:gridCol w:w="1582"/>
      </w:tblGrid>
      <w:tr w:rsidR="00AF24E4" w:rsidRPr="00E70D3D" w14:paraId="2C5CE1FE" w14:textId="77777777" w:rsidTr="00AF24E4">
        <w:trPr>
          <w:cnfStyle w:val="100000000000" w:firstRow="1" w:lastRow="0" w:firstColumn="0" w:lastColumn="0" w:oddVBand="0" w:evenVBand="0" w:oddHBand="0" w:evenHBand="0" w:firstRowFirstColumn="0" w:firstRowLastColumn="0" w:lastRowFirstColumn="0" w:lastRowLastColumn="0"/>
          <w:trHeight w:val="371"/>
        </w:trPr>
        <w:tc>
          <w:tcPr>
            <w:cnfStyle w:val="001000000100" w:firstRow="0" w:lastRow="0" w:firstColumn="1" w:lastColumn="0" w:oddVBand="0" w:evenVBand="0" w:oddHBand="0" w:evenHBand="0" w:firstRowFirstColumn="1" w:firstRowLastColumn="0" w:lastRowFirstColumn="0" w:lastRowLastColumn="0"/>
            <w:tcW w:w="943" w:type="dxa"/>
          </w:tcPr>
          <w:p w14:paraId="61558F41" w14:textId="77777777" w:rsidR="00AF24E4" w:rsidRPr="00AF24E4" w:rsidRDefault="00AF24E4" w:rsidP="00AF24E4">
            <w:pPr>
              <w:tabs>
                <w:tab w:val="right" w:pos="14580"/>
              </w:tabs>
              <w:spacing w:after="120"/>
            </w:pPr>
          </w:p>
        </w:tc>
        <w:tc>
          <w:tcPr>
            <w:tcW w:w="6673" w:type="dxa"/>
          </w:tcPr>
          <w:p w14:paraId="2A65AD55" w14:textId="39A4A00C" w:rsidR="00AF24E4" w:rsidRPr="00E70D3D" w:rsidRDefault="00AF24E4" w:rsidP="00AF24E4">
            <w:pPr>
              <w:cnfStyle w:val="100000000000" w:firstRow="1" w:lastRow="0" w:firstColumn="0" w:lastColumn="0" w:oddVBand="0" w:evenVBand="0" w:oddHBand="0" w:evenHBand="0" w:firstRowFirstColumn="0" w:firstRowLastColumn="0" w:lastRowFirstColumn="0" w:lastRowLastColumn="0"/>
            </w:pPr>
            <w:r w:rsidRPr="00E70D3D">
              <w:rPr>
                <w:color w:val="auto"/>
              </w:rPr>
              <w:t>Lapsed Date</w:t>
            </w:r>
            <w:r>
              <w:t xml:space="preserve"> </w:t>
            </w:r>
            <w:r w:rsidRPr="00E70D3D">
              <w:rPr>
                <w:rFonts w:eastAsia="MS Mincho"/>
              </w:rPr>
              <w:t xml:space="preserve"> </w:t>
            </w:r>
            <w:sdt>
              <w:sdtPr>
                <w:rPr>
                  <w:rFonts w:eastAsia="MS Mincho"/>
                </w:rPr>
                <w:id w:val="-668633877"/>
                <w:placeholder>
                  <w:docPart w:val="A3A9DAA3F31F4B638348D3EDE5F3245A"/>
                </w:placeholder>
                <w:date w:fullDate="2016-12-06T00:00:00Z">
                  <w:dateFormat w:val="dd/MM/yyyy"/>
                  <w:lid w:val="en-GB"/>
                  <w:storeMappedDataAs w:val="dateTime"/>
                  <w:calendar w:val="gregorian"/>
                </w:date>
              </w:sdtPr>
              <w:sdtEndPr/>
              <w:sdtContent>
                <w:r w:rsidRPr="00E70D3D">
                  <w:rPr>
                    <w:rFonts w:eastAsia="MS Mincho"/>
                    <w:color w:val="auto"/>
                  </w:rPr>
                  <w:t>06/12/2016</w:t>
                </w:r>
              </w:sdtContent>
            </w:sdt>
          </w:p>
        </w:tc>
        <w:tc>
          <w:tcPr>
            <w:tcW w:w="1582" w:type="dxa"/>
          </w:tcPr>
          <w:p w14:paraId="19B769A7" w14:textId="77777777" w:rsidR="00AF24E4" w:rsidRPr="00E70D3D" w:rsidRDefault="00AF24E4" w:rsidP="00AF24E4">
            <w:pPr>
              <w:cnfStyle w:val="100000000000" w:firstRow="1" w:lastRow="0" w:firstColumn="0" w:lastColumn="0" w:oddVBand="0" w:evenVBand="0" w:oddHBand="0" w:evenHBand="0" w:firstRowFirstColumn="0" w:firstRowLastColumn="0" w:lastRowFirstColumn="0" w:lastRowLastColumn="0"/>
            </w:pPr>
          </w:p>
        </w:tc>
      </w:tr>
      <w:tr w:rsidR="00AF24E4" w:rsidRPr="00E70D3D" w14:paraId="4BD0017E" w14:textId="77777777" w:rsidTr="00AF24E4">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43" w:type="dxa"/>
          </w:tcPr>
          <w:p w14:paraId="19ED6AA1" w14:textId="77777777" w:rsidR="00AF24E4" w:rsidRPr="00AF24E4" w:rsidRDefault="00AF24E4" w:rsidP="00AF24E4">
            <w:pPr>
              <w:tabs>
                <w:tab w:val="right" w:pos="14580"/>
              </w:tabs>
              <w:spacing w:after="120"/>
            </w:pPr>
          </w:p>
        </w:tc>
        <w:tc>
          <w:tcPr>
            <w:tcW w:w="6673" w:type="dxa"/>
          </w:tcPr>
          <w:p w14:paraId="44206E2A" w14:textId="71CD12F7" w:rsidR="00AF24E4" w:rsidRPr="00E70D3D" w:rsidRDefault="00AF24E4" w:rsidP="00AF24E4">
            <w:pPr>
              <w:cnfStyle w:val="000000100000" w:firstRow="0" w:lastRow="0" w:firstColumn="0" w:lastColumn="0" w:oddVBand="0" w:evenVBand="0" w:oddHBand="1" w:evenHBand="0" w:firstRowFirstColumn="0" w:firstRowLastColumn="0" w:lastRowFirstColumn="0" w:lastRowLastColumn="0"/>
            </w:pPr>
            <w:r w:rsidRPr="00E70D3D">
              <w:t>Criteria Check List</w:t>
            </w:r>
          </w:p>
        </w:tc>
        <w:tc>
          <w:tcPr>
            <w:tcW w:w="1582" w:type="dxa"/>
          </w:tcPr>
          <w:p w14:paraId="2B2F2CA2" w14:textId="77777777" w:rsidR="00AF24E4" w:rsidRPr="00E70D3D" w:rsidRDefault="00AF24E4" w:rsidP="00AF24E4">
            <w:pPr>
              <w:cnfStyle w:val="000000100000" w:firstRow="0" w:lastRow="0" w:firstColumn="0" w:lastColumn="0" w:oddVBand="0" w:evenVBand="0" w:oddHBand="1" w:evenHBand="0" w:firstRowFirstColumn="0" w:firstRowLastColumn="0" w:lastRowFirstColumn="0" w:lastRowLastColumn="0"/>
            </w:pPr>
          </w:p>
        </w:tc>
      </w:tr>
      <w:tr w:rsidR="00AF24E4" w:rsidRPr="00E70D3D" w14:paraId="55CBD124" w14:textId="77777777" w:rsidTr="00AF24E4">
        <w:trPr>
          <w:trHeight w:val="490"/>
        </w:trPr>
        <w:tc>
          <w:tcPr>
            <w:cnfStyle w:val="001000000000" w:firstRow="0" w:lastRow="0" w:firstColumn="1" w:lastColumn="0" w:oddVBand="0" w:evenVBand="0" w:oddHBand="0" w:evenHBand="0" w:firstRowFirstColumn="0" w:firstRowLastColumn="0" w:lastRowFirstColumn="0" w:lastRowLastColumn="0"/>
            <w:tcW w:w="943" w:type="dxa"/>
          </w:tcPr>
          <w:p w14:paraId="6EE0D357" w14:textId="77777777" w:rsidR="00403E03" w:rsidRPr="00E70D3D" w:rsidRDefault="00403E03" w:rsidP="00AF24E4">
            <w:pPr>
              <w:pStyle w:val="ListParagraph"/>
              <w:numPr>
                <w:ilvl w:val="0"/>
                <w:numId w:val="11"/>
              </w:numPr>
              <w:tabs>
                <w:tab w:val="right" w:pos="14580"/>
              </w:tabs>
              <w:spacing w:after="120"/>
            </w:pPr>
          </w:p>
        </w:tc>
        <w:tc>
          <w:tcPr>
            <w:tcW w:w="6673" w:type="dxa"/>
          </w:tcPr>
          <w:p w14:paraId="4218A69E" w14:textId="77777777" w:rsidR="00403E03" w:rsidRPr="00E70D3D" w:rsidRDefault="00403E03" w:rsidP="00AF24E4">
            <w:pPr>
              <w:cnfStyle w:val="000000000000" w:firstRow="0" w:lastRow="0" w:firstColumn="0" w:lastColumn="0" w:oddVBand="0" w:evenVBand="0" w:oddHBand="0" w:evenHBand="0" w:firstRowFirstColumn="0" w:firstRowLastColumn="0" w:lastRowFirstColumn="0" w:lastRowLastColumn="0"/>
            </w:pPr>
            <w:r w:rsidRPr="00E70D3D">
              <w:t>There is evidence that IGB assured the indicator to a period ending 1</w:t>
            </w:r>
            <w:r w:rsidRPr="00E70D3D">
              <w:rPr>
                <w:vertAlign w:val="superscript"/>
              </w:rPr>
              <w:t>st</w:t>
            </w:r>
            <w:r w:rsidRPr="00E70D3D">
              <w:t xml:space="preserve"> January 2016 or after</w:t>
            </w:r>
          </w:p>
        </w:tc>
        <w:sdt>
          <w:sdtPr>
            <w:alias w:val="One"/>
            <w:tag w:val="One"/>
            <w:id w:val="-1063559298"/>
            <w:placeholder>
              <w:docPart w:val="1D3361A895B64687B4E448CE81D1473C"/>
            </w:placeholder>
            <w:dropDownList>
              <w:listItem w:value="Choose an item."/>
              <w:listItem w:displayText="Yes" w:value="Yes"/>
              <w:listItem w:displayText="No" w:value="No"/>
            </w:dropDownList>
          </w:sdtPr>
          <w:sdtEndPr/>
          <w:sdtContent>
            <w:tc>
              <w:tcPr>
                <w:tcW w:w="1582" w:type="dxa"/>
              </w:tcPr>
              <w:p w14:paraId="46BCD889" w14:textId="77777777" w:rsidR="00403E03" w:rsidRPr="00E70D3D" w:rsidRDefault="00403E03" w:rsidP="00AF24E4">
                <w:pPr>
                  <w:cnfStyle w:val="000000000000" w:firstRow="0" w:lastRow="0" w:firstColumn="0" w:lastColumn="0" w:oddVBand="0" w:evenVBand="0" w:oddHBand="0" w:evenHBand="0" w:firstRowFirstColumn="0" w:firstRowLastColumn="0" w:lastRowFirstColumn="0" w:lastRowLastColumn="0"/>
                </w:pPr>
                <w:r w:rsidRPr="00E70D3D">
                  <w:t>Yes</w:t>
                </w:r>
              </w:p>
            </w:tc>
          </w:sdtContent>
        </w:sdt>
      </w:tr>
      <w:tr w:rsidR="00AF24E4" w:rsidRPr="00E70D3D" w14:paraId="0DCA51F3" w14:textId="77777777" w:rsidTr="00AF24E4">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943" w:type="dxa"/>
          </w:tcPr>
          <w:p w14:paraId="072335F6" w14:textId="77777777" w:rsidR="00403E03" w:rsidRPr="00E70D3D" w:rsidRDefault="00403E03" w:rsidP="00AF24E4">
            <w:pPr>
              <w:pStyle w:val="ListParagraph"/>
            </w:pPr>
          </w:p>
          <w:p w14:paraId="6CD9D6B6" w14:textId="77777777" w:rsidR="00403E03" w:rsidRPr="00E70D3D" w:rsidRDefault="00403E03" w:rsidP="00AF24E4">
            <w:pPr>
              <w:pStyle w:val="ListParagraph"/>
              <w:numPr>
                <w:ilvl w:val="0"/>
                <w:numId w:val="11"/>
              </w:numPr>
              <w:tabs>
                <w:tab w:val="right" w:pos="14580"/>
              </w:tabs>
              <w:spacing w:after="0" w:line="240" w:lineRule="auto"/>
              <w:ind w:left="357" w:hanging="357"/>
              <w:contextualSpacing w:val="0"/>
            </w:pPr>
          </w:p>
        </w:tc>
        <w:tc>
          <w:tcPr>
            <w:tcW w:w="6673" w:type="dxa"/>
          </w:tcPr>
          <w:p w14:paraId="7C0EF4BB" w14:textId="77777777" w:rsidR="00403E03" w:rsidRPr="00E70D3D" w:rsidRDefault="00403E03" w:rsidP="00AF24E4">
            <w:pPr>
              <w:cnfStyle w:val="000000100000" w:firstRow="0" w:lastRow="0" w:firstColumn="0" w:lastColumn="0" w:oddVBand="0" w:evenVBand="0" w:oddHBand="1" w:evenHBand="0" w:firstRowFirstColumn="0" w:firstRowLastColumn="0" w:lastRowFirstColumn="0" w:lastRowLastColumn="0"/>
            </w:pPr>
            <w:r w:rsidRPr="00E70D3D">
              <w:t>Are there any outstanding caveats? List them here:</w:t>
            </w:r>
          </w:p>
        </w:tc>
        <w:sdt>
          <w:sdtPr>
            <w:alias w:val="Two"/>
            <w:tag w:val="One"/>
            <w:id w:val="-893504597"/>
            <w:placeholder>
              <w:docPart w:val="3A173BED463E42FA989A50A947BC03A1"/>
            </w:placeholder>
            <w:dropDownList>
              <w:listItem w:value="Choose an item."/>
              <w:listItem w:displayText="Yes" w:value="Yes"/>
              <w:listItem w:displayText="No" w:value="No"/>
              <w:listItem w:displayText="No Change" w:value="No Change"/>
              <w:listItem w:displayText="Not more applicable" w:value="Not more applicable"/>
            </w:dropDownList>
          </w:sdtPr>
          <w:sdtEndPr/>
          <w:sdtContent>
            <w:tc>
              <w:tcPr>
                <w:tcW w:w="1582" w:type="dxa"/>
              </w:tcPr>
              <w:p w14:paraId="64CFAA6F" w14:textId="77777777" w:rsidR="00403E03" w:rsidRPr="00E70D3D" w:rsidRDefault="00403E03" w:rsidP="00AF24E4">
                <w:pPr>
                  <w:cnfStyle w:val="000000100000" w:firstRow="0" w:lastRow="0" w:firstColumn="0" w:lastColumn="0" w:oddVBand="0" w:evenVBand="0" w:oddHBand="1" w:evenHBand="0" w:firstRowFirstColumn="0" w:firstRowLastColumn="0" w:lastRowFirstColumn="0" w:lastRowLastColumn="0"/>
                </w:pPr>
                <w:r w:rsidRPr="00E70D3D">
                  <w:t>No</w:t>
                </w:r>
              </w:p>
            </w:tc>
          </w:sdtContent>
        </w:sdt>
      </w:tr>
      <w:tr w:rsidR="00AF24E4" w:rsidRPr="00E70D3D" w14:paraId="3B3F5930" w14:textId="77777777" w:rsidTr="00AF24E4">
        <w:trPr>
          <w:trHeight w:val="515"/>
        </w:trPr>
        <w:tc>
          <w:tcPr>
            <w:cnfStyle w:val="001000000000" w:firstRow="0" w:lastRow="0" w:firstColumn="1" w:lastColumn="0" w:oddVBand="0" w:evenVBand="0" w:oddHBand="0" w:evenHBand="0" w:firstRowFirstColumn="0" w:firstRowLastColumn="0" w:lastRowFirstColumn="0" w:lastRowLastColumn="0"/>
            <w:tcW w:w="943" w:type="dxa"/>
          </w:tcPr>
          <w:p w14:paraId="25B680CA" w14:textId="77777777" w:rsidR="00AF24E4" w:rsidRPr="00E70D3D" w:rsidRDefault="00AF24E4" w:rsidP="00AF24E4">
            <w:pPr>
              <w:pStyle w:val="ListParagraph"/>
              <w:numPr>
                <w:ilvl w:val="0"/>
                <w:numId w:val="11"/>
              </w:numPr>
              <w:tabs>
                <w:tab w:val="right" w:pos="14580"/>
              </w:tabs>
              <w:spacing w:after="120"/>
            </w:pPr>
          </w:p>
        </w:tc>
        <w:tc>
          <w:tcPr>
            <w:tcW w:w="6673" w:type="dxa"/>
          </w:tcPr>
          <w:p w14:paraId="657790FC" w14:textId="77777777" w:rsidR="00AF24E4" w:rsidRPr="00E70D3D" w:rsidRDefault="00AF24E4" w:rsidP="00AF24E4">
            <w:pPr>
              <w:cnfStyle w:val="000000000000" w:firstRow="0" w:lastRow="0" w:firstColumn="0" w:lastColumn="0" w:oddVBand="0" w:evenVBand="0" w:oddHBand="0" w:evenHBand="0" w:firstRowFirstColumn="0" w:firstRowLastColumn="0" w:lastRowFirstColumn="0" w:lastRowLastColumn="0"/>
            </w:pPr>
            <w:r w:rsidRPr="00E70D3D">
              <w:t>Are there any changes to …</w:t>
            </w:r>
          </w:p>
          <w:p w14:paraId="3701F7F4" w14:textId="77777777" w:rsidR="00AF24E4" w:rsidRPr="00E70D3D" w:rsidRDefault="00AF24E4" w:rsidP="00AF24E4">
            <w:pPr>
              <w:pStyle w:val="ListParagraph"/>
              <w:numPr>
                <w:ilvl w:val="0"/>
                <w:numId w:val="12"/>
              </w:numPr>
              <w:tabs>
                <w:tab w:val="right" w:pos="14580"/>
              </w:tabs>
              <w:spacing w:after="120"/>
              <w:cnfStyle w:val="000000000000" w:firstRow="0" w:lastRow="0" w:firstColumn="0" w:lastColumn="0" w:oddVBand="0" w:evenVBand="0" w:oddHBand="0" w:evenHBand="0" w:firstRowFirstColumn="0" w:firstRowLastColumn="0" w:lastRowFirstColumn="0" w:lastRowLastColumn="0"/>
            </w:pPr>
            <w:r w:rsidRPr="00E70D3D">
              <w:t>Policy</w:t>
            </w:r>
          </w:p>
        </w:tc>
        <w:sdt>
          <w:sdtPr>
            <w:alias w:val="One"/>
            <w:tag w:val="One"/>
            <w:id w:val="2094963922"/>
            <w:placeholder>
              <w:docPart w:val="7607EDB3EBFA4EA1BFB16A99372817DD"/>
            </w:placeholder>
            <w:dropDownList>
              <w:listItem w:value="Choose an item."/>
              <w:listItem w:displayText="Yes" w:value="Yes"/>
              <w:listItem w:displayText="No" w:value="No"/>
            </w:dropDownList>
          </w:sdtPr>
          <w:sdtEndPr/>
          <w:sdtContent>
            <w:tc>
              <w:tcPr>
                <w:tcW w:w="1582" w:type="dxa"/>
              </w:tcPr>
              <w:p w14:paraId="61920E66" w14:textId="77777777" w:rsidR="00AF24E4" w:rsidRPr="00E70D3D" w:rsidRDefault="00AF24E4" w:rsidP="00AF24E4">
                <w:pPr>
                  <w:cnfStyle w:val="000000000000" w:firstRow="0" w:lastRow="0" w:firstColumn="0" w:lastColumn="0" w:oddVBand="0" w:evenVBand="0" w:oddHBand="0" w:evenHBand="0" w:firstRowFirstColumn="0" w:firstRowLastColumn="0" w:lastRowFirstColumn="0" w:lastRowLastColumn="0"/>
                </w:pPr>
                <w:r w:rsidRPr="00E70D3D">
                  <w:t>No</w:t>
                </w:r>
              </w:p>
            </w:tc>
          </w:sdtContent>
        </w:sdt>
      </w:tr>
      <w:tr w:rsidR="00AF24E4" w:rsidRPr="00E70D3D" w14:paraId="1EC07CB2" w14:textId="77777777" w:rsidTr="00AF24E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43" w:type="dxa"/>
          </w:tcPr>
          <w:p w14:paraId="084D6321" w14:textId="77777777" w:rsidR="00AF24E4" w:rsidRPr="00E70D3D" w:rsidRDefault="00AF24E4" w:rsidP="00AF24E4"/>
        </w:tc>
        <w:tc>
          <w:tcPr>
            <w:tcW w:w="6673" w:type="dxa"/>
          </w:tcPr>
          <w:p w14:paraId="1BE0908E" w14:textId="77777777" w:rsidR="00AF24E4" w:rsidRPr="00E70D3D" w:rsidRDefault="00AF24E4" w:rsidP="00AF24E4">
            <w:pPr>
              <w:pStyle w:val="ListParagraph"/>
              <w:numPr>
                <w:ilvl w:val="0"/>
                <w:numId w:val="12"/>
              </w:numPr>
              <w:tabs>
                <w:tab w:val="right" w:pos="14580"/>
              </w:tabs>
              <w:spacing w:after="120"/>
              <w:cnfStyle w:val="000000100000" w:firstRow="0" w:lastRow="0" w:firstColumn="0" w:lastColumn="0" w:oddVBand="0" w:evenVBand="0" w:oddHBand="1" w:evenHBand="0" w:firstRowFirstColumn="0" w:firstRowLastColumn="0" w:lastRowFirstColumn="0" w:lastRowLastColumn="0"/>
            </w:pPr>
            <w:r w:rsidRPr="00E70D3D">
              <w:t>Data source</w:t>
            </w:r>
          </w:p>
        </w:tc>
        <w:sdt>
          <w:sdtPr>
            <w:alias w:val="One"/>
            <w:tag w:val="One"/>
            <w:id w:val="2124422018"/>
            <w:placeholder>
              <w:docPart w:val="2DD9D1CED3CE4EA5B3B08A033891D144"/>
            </w:placeholder>
            <w:dropDownList>
              <w:listItem w:value="Choose an item."/>
              <w:listItem w:displayText="Yes" w:value="Yes"/>
              <w:listItem w:displayText="No" w:value="No"/>
            </w:dropDownList>
          </w:sdtPr>
          <w:sdtEndPr/>
          <w:sdtContent>
            <w:tc>
              <w:tcPr>
                <w:tcW w:w="1582" w:type="dxa"/>
              </w:tcPr>
              <w:p w14:paraId="11164778" w14:textId="77777777" w:rsidR="00AF24E4" w:rsidRPr="00E70D3D" w:rsidRDefault="00AF24E4" w:rsidP="00AF24E4">
                <w:pPr>
                  <w:cnfStyle w:val="000000100000" w:firstRow="0" w:lastRow="0" w:firstColumn="0" w:lastColumn="0" w:oddVBand="0" w:evenVBand="0" w:oddHBand="1" w:evenHBand="0" w:firstRowFirstColumn="0" w:firstRowLastColumn="0" w:lastRowFirstColumn="0" w:lastRowLastColumn="0"/>
                </w:pPr>
                <w:r w:rsidRPr="00E70D3D">
                  <w:t>No</w:t>
                </w:r>
              </w:p>
            </w:tc>
          </w:sdtContent>
        </w:sdt>
      </w:tr>
      <w:tr w:rsidR="00AF24E4" w:rsidRPr="00E70D3D" w14:paraId="0FD2A750" w14:textId="77777777" w:rsidTr="00AF24E4">
        <w:trPr>
          <w:trHeight w:val="415"/>
        </w:trPr>
        <w:tc>
          <w:tcPr>
            <w:cnfStyle w:val="001000000000" w:firstRow="0" w:lastRow="0" w:firstColumn="1" w:lastColumn="0" w:oddVBand="0" w:evenVBand="0" w:oddHBand="0" w:evenHBand="0" w:firstRowFirstColumn="0" w:firstRowLastColumn="0" w:lastRowFirstColumn="0" w:lastRowLastColumn="0"/>
            <w:tcW w:w="943" w:type="dxa"/>
          </w:tcPr>
          <w:p w14:paraId="597C71AF" w14:textId="77777777" w:rsidR="00AF24E4" w:rsidRPr="00E70D3D" w:rsidRDefault="00AF24E4" w:rsidP="00AF24E4"/>
        </w:tc>
        <w:tc>
          <w:tcPr>
            <w:tcW w:w="6673" w:type="dxa"/>
          </w:tcPr>
          <w:p w14:paraId="1622292F" w14:textId="77777777" w:rsidR="00AF24E4" w:rsidRPr="00E70D3D" w:rsidRDefault="00AF24E4" w:rsidP="00AF24E4">
            <w:pPr>
              <w:pStyle w:val="ListParagraph"/>
              <w:numPr>
                <w:ilvl w:val="0"/>
                <w:numId w:val="12"/>
              </w:numPr>
              <w:tabs>
                <w:tab w:val="right" w:pos="14580"/>
              </w:tabs>
              <w:spacing w:after="120"/>
              <w:cnfStyle w:val="000000000000" w:firstRow="0" w:lastRow="0" w:firstColumn="0" w:lastColumn="0" w:oddVBand="0" w:evenVBand="0" w:oddHBand="0" w:evenHBand="0" w:firstRowFirstColumn="0" w:firstRowLastColumn="0" w:lastRowFirstColumn="0" w:lastRowLastColumn="0"/>
            </w:pPr>
            <w:r w:rsidRPr="00E70D3D">
              <w:t>Sponsoring organisation</w:t>
            </w:r>
          </w:p>
        </w:tc>
        <w:sdt>
          <w:sdtPr>
            <w:alias w:val="One"/>
            <w:tag w:val="One"/>
            <w:id w:val="-1681275807"/>
            <w:placeholder>
              <w:docPart w:val="55D2059A92BA4BEE9945F2E51DCFED00"/>
            </w:placeholder>
            <w:dropDownList>
              <w:listItem w:value="Choose an item."/>
              <w:listItem w:displayText="Yes" w:value="Yes"/>
              <w:listItem w:displayText="No" w:value="No"/>
            </w:dropDownList>
          </w:sdtPr>
          <w:sdtEndPr/>
          <w:sdtContent>
            <w:tc>
              <w:tcPr>
                <w:tcW w:w="1582" w:type="dxa"/>
              </w:tcPr>
              <w:p w14:paraId="3792A50D" w14:textId="77777777" w:rsidR="00AF24E4" w:rsidRPr="00E70D3D" w:rsidRDefault="00AF24E4" w:rsidP="00AF24E4">
                <w:pPr>
                  <w:cnfStyle w:val="000000000000" w:firstRow="0" w:lastRow="0" w:firstColumn="0" w:lastColumn="0" w:oddVBand="0" w:evenVBand="0" w:oddHBand="0" w:evenHBand="0" w:firstRowFirstColumn="0" w:firstRowLastColumn="0" w:lastRowFirstColumn="0" w:lastRowLastColumn="0"/>
                </w:pPr>
                <w:r w:rsidRPr="00E70D3D">
                  <w:t>No</w:t>
                </w:r>
              </w:p>
            </w:tc>
          </w:sdtContent>
        </w:sdt>
      </w:tr>
      <w:tr w:rsidR="00AF24E4" w:rsidRPr="00E70D3D" w14:paraId="1F0C24AC" w14:textId="77777777" w:rsidTr="00AF24E4">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43" w:type="dxa"/>
          </w:tcPr>
          <w:p w14:paraId="1F695565" w14:textId="77777777" w:rsidR="00AF24E4" w:rsidRPr="00E70D3D" w:rsidRDefault="00AF24E4" w:rsidP="00AF24E4">
            <w:pPr>
              <w:pStyle w:val="ListParagraph"/>
              <w:tabs>
                <w:tab w:val="right" w:pos="14580"/>
              </w:tabs>
              <w:spacing w:after="120"/>
              <w:ind w:left="360"/>
            </w:pPr>
          </w:p>
        </w:tc>
        <w:tc>
          <w:tcPr>
            <w:tcW w:w="6673" w:type="dxa"/>
          </w:tcPr>
          <w:p w14:paraId="26FDD969" w14:textId="77777777" w:rsidR="00AF24E4" w:rsidRPr="00E70D3D" w:rsidRDefault="00AF24E4" w:rsidP="00AF24E4">
            <w:pPr>
              <w:pStyle w:val="ListParagraph"/>
              <w:numPr>
                <w:ilvl w:val="0"/>
                <w:numId w:val="12"/>
              </w:numPr>
              <w:tabs>
                <w:tab w:val="right" w:pos="14580"/>
              </w:tabs>
              <w:spacing w:after="120"/>
              <w:cnfStyle w:val="000000100000" w:firstRow="0" w:lastRow="0" w:firstColumn="0" w:lastColumn="0" w:oddVBand="0" w:evenVBand="0" w:oddHBand="1" w:evenHBand="0" w:firstRowFirstColumn="0" w:firstRowLastColumn="0" w:lastRowFirstColumn="0" w:lastRowLastColumn="0"/>
            </w:pPr>
            <w:r w:rsidRPr="00E70D3D">
              <w:t>Methodology</w:t>
            </w:r>
          </w:p>
        </w:tc>
        <w:sdt>
          <w:sdtPr>
            <w:alias w:val="One"/>
            <w:tag w:val="One"/>
            <w:id w:val="915907135"/>
            <w:placeholder>
              <w:docPart w:val="3D4B8F9FA2AB4D1AB7F72E77FD461129"/>
            </w:placeholder>
            <w:dropDownList>
              <w:listItem w:value="Choose an item."/>
              <w:listItem w:displayText="Yes" w:value="Yes"/>
              <w:listItem w:displayText="No" w:value="No"/>
            </w:dropDownList>
          </w:sdtPr>
          <w:sdtEndPr/>
          <w:sdtContent>
            <w:tc>
              <w:tcPr>
                <w:tcW w:w="1582" w:type="dxa"/>
              </w:tcPr>
              <w:p w14:paraId="738A6330" w14:textId="77777777" w:rsidR="00AF24E4" w:rsidRPr="00E70D3D" w:rsidRDefault="00AF24E4" w:rsidP="00AF24E4">
                <w:pPr>
                  <w:cnfStyle w:val="000000100000" w:firstRow="0" w:lastRow="0" w:firstColumn="0" w:lastColumn="0" w:oddVBand="0" w:evenVBand="0" w:oddHBand="1" w:evenHBand="0" w:firstRowFirstColumn="0" w:firstRowLastColumn="0" w:lastRowFirstColumn="0" w:lastRowLastColumn="0"/>
                </w:pPr>
                <w:r w:rsidRPr="00E70D3D">
                  <w:t>No</w:t>
                </w:r>
              </w:p>
            </w:tc>
          </w:sdtContent>
        </w:sdt>
      </w:tr>
      <w:tr w:rsidR="00AF24E4" w:rsidRPr="00E70D3D" w14:paraId="4B678270" w14:textId="77777777" w:rsidTr="00AF24E4">
        <w:trPr>
          <w:trHeight w:val="401"/>
        </w:trPr>
        <w:tc>
          <w:tcPr>
            <w:cnfStyle w:val="001000000000" w:firstRow="0" w:lastRow="0" w:firstColumn="1" w:lastColumn="0" w:oddVBand="0" w:evenVBand="0" w:oddHBand="0" w:evenHBand="0" w:firstRowFirstColumn="0" w:firstRowLastColumn="0" w:lastRowFirstColumn="0" w:lastRowLastColumn="0"/>
            <w:tcW w:w="943" w:type="dxa"/>
          </w:tcPr>
          <w:p w14:paraId="2FE79441" w14:textId="77777777" w:rsidR="00403E03" w:rsidRPr="00E70D3D" w:rsidRDefault="00403E03" w:rsidP="00AF24E4">
            <w:pPr>
              <w:pStyle w:val="ListParagraph"/>
              <w:numPr>
                <w:ilvl w:val="0"/>
                <w:numId w:val="11"/>
              </w:numPr>
              <w:tabs>
                <w:tab w:val="right" w:pos="14580"/>
              </w:tabs>
              <w:spacing w:after="120"/>
            </w:pPr>
          </w:p>
        </w:tc>
        <w:tc>
          <w:tcPr>
            <w:tcW w:w="6673" w:type="dxa"/>
          </w:tcPr>
          <w:p w14:paraId="622F5D2D" w14:textId="77777777" w:rsidR="00403E03" w:rsidRPr="00E70D3D" w:rsidRDefault="00403E03" w:rsidP="00AF24E4">
            <w:pPr>
              <w:cnfStyle w:val="000000000000" w:firstRow="0" w:lastRow="0" w:firstColumn="0" w:lastColumn="0" w:oddVBand="0" w:evenVBand="0" w:oddHBand="0" w:evenHBand="0" w:firstRowFirstColumn="0" w:firstRowLastColumn="0" w:lastRowFirstColumn="0" w:lastRowLastColumn="0"/>
            </w:pPr>
            <w:r w:rsidRPr="00E70D3D">
              <w:t>Are there any issues with data quality?</w:t>
            </w:r>
          </w:p>
        </w:tc>
        <w:sdt>
          <w:sdtPr>
            <w:alias w:val="One"/>
            <w:tag w:val="One"/>
            <w:id w:val="-1517767602"/>
            <w:placeholder>
              <w:docPart w:val="648CC5E324C94E3DB8658925A495EB4D"/>
            </w:placeholder>
            <w:dropDownList>
              <w:listItem w:value="Choose an item."/>
              <w:listItem w:displayText="Yes" w:value="Yes"/>
              <w:listItem w:displayText="No" w:value="No"/>
            </w:dropDownList>
          </w:sdtPr>
          <w:sdtEndPr/>
          <w:sdtContent>
            <w:tc>
              <w:tcPr>
                <w:tcW w:w="1582" w:type="dxa"/>
              </w:tcPr>
              <w:p w14:paraId="4E165FD6" w14:textId="77777777" w:rsidR="00403E03" w:rsidRPr="00E70D3D" w:rsidRDefault="00403E03" w:rsidP="00AF24E4">
                <w:pPr>
                  <w:cnfStyle w:val="000000000000" w:firstRow="0" w:lastRow="0" w:firstColumn="0" w:lastColumn="0" w:oddVBand="0" w:evenVBand="0" w:oddHBand="0" w:evenHBand="0" w:firstRowFirstColumn="0" w:firstRowLastColumn="0" w:lastRowFirstColumn="0" w:lastRowLastColumn="0"/>
                </w:pPr>
                <w:r w:rsidRPr="00E70D3D">
                  <w:t>No</w:t>
                </w:r>
              </w:p>
            </w:tc>
          </w:sdtContent>
        </w:sdt>
      </w:tr>
      <w:tr w:rsidR="00AF24E4" w:rsidRPr="00E70D3D" w14:paraId="3EE27A34" w14:textId="77777777" w:rsidTr="00AF24E4">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43" w:type="dxa"/>
          </w:tcPr>
          <w:p w14:paraId="5D03D987" w14:textId="77777777" w:rsidR="00403E03" w:rsidRPr="00E70D3D" w:rsidRDefault="00403E03" w:rsidP="00AF24E4">
            <w:pPr>
              <w:pStyle w:val="ListParagraph"/>
              <w:numPr>
                <w:ilvl w:val="0"/>
                <w:numId w:val="11"/>
              </w:numPr>
              <w:tabs>
                <w:tab w:val="right" w:pos="14580"/>
              </w:tabs>
              <w:spacing w:after="120"/>
            </w:pPr>
          </w:p>
        </w:tc>
        <w:tc>
          <w:tcPr>
            <w:tcW w:w="6673" w:type="dxa"/>
          </w:tcPr>
          <w:p w14:paraId="77BCFDE3" w14:textId="77777777" w:rsidR="00403E03" w:rsidRPr="00E70D3D" w:rsidRDefault="00403E03" w:rsidP="00AF24E4">
            <w:pPr>
              <w:cnfStyle w:val="000000100000" w:firstRow="0" w:lastRow="0" w:firstColumn="0" w:lastColumn="0" w:oddVBand="0" w:evenVBand="0" w:oddHBand="1" w:evenHBand="0" w:firstRowFirstColumn="0" w:firstRowLastColumn="0" w:lastRowFirstColumn="0" w:lastRowLastColumn="0"/>
            </w:pPr>
            <w:r w:rsidRPr="00E70D3D">
              <w:t>Has the indicator been superseded by another indicator? If yes, what is the new indicator’s reference number and title?</w:t>
            </w:r>
          </w:p>
        </w:tc>
        <w:sdt>
          <w:sdtPr>
            <w:alias w:val="One"/>
            <w:tag w:val="One"/>
            <w:id w:val="-2036344139"/>
            <w:placeholder>
              <w:docPart w:val="2FD9AEDF45A44A5CB5E5EAC43A34F2DE"/>
            </w:placeholder>
            <w:dropDownList>
              <w:listItem w:value="Choose an item."/>
              <w:listItem w:displayText="Yes" w:value="Yes"/>
              <w:listItem w:displayText="No" w:value="No"/>
            </w:dropDownList>
          </w:sdtPr>
          <w:sdtEndPr/>
          <w:sdtContent>
            <w:tc>
              <w:tcPr>
                <w:tcW w:w="1582" w:type="dxa"/>
              </w:tcPr>
              <w:p w14:paraId="2864D23F" w14:textId="77777777" w:rsidR="00403E03" w:rsidRPr="00E70D3D" w:rsidRDefault="00403E03" w:rsidP="00AF24E4">
                <w:pPr>
                  <w:cnfStyle w:val="000000100000" w:firstRow="0" w:lastRow="0" w:firstColumn="0" w:lastColumn="0" w:oddVBand="0" w:evenVBand="0" w:oddHBand="1" w:evenHBand="0" w:firstRowFirstColumn="0" w:firstRowLastColumn="0" w:lastRowFirstColumn="0" w:lastRowLastColumn="0"/>
                </w:pPr>
                <w:r w:rsidRPr="00E70D3D">
                  <w:t>No</w:t>
                </w:r>
              </w:p>
            </w:tc>
          </w:sdtContent>
        </w:sdt>
      </w:tr>
      <w:tr w:rsidR="00AF24E4" w:rsidRPr="00E70D3D" w14:paraId="5AFCBFEC" w14:textId="77777777" w:rsidTr="00AF24E4">
        <w:trPr>
          <w:trHeight w:val="401"/>
        </w:trPr>
        <w:tc>
          <w:tcPr>
            <w:cnfStyle w:val="001000000000" w:firstRow="0" w:lastRow="0" w:firstColumn="1" w:lastColumn="0" w:oddVBand="0" w:evenVBand="0" w:oddHBand="0" w:evenHBand="0" w:firstRowFirstColumn="0" w:firstRowLastColumn="0" w:lastRowFirstColumn="0" w:lastRowLastColumn="0"/>
            <w:tcW w:w="943" w:type="dxa"/>
          </w:tcPr>
          <w:p w14:paraId="1176E307" w14:textId="77777777" w:rsidR="00403E03" w:rsidRPr="00E70D3D" w:rsidRDefault="00403E03" w:rsidP="00AF24E4">
            <w:pPr>
              <w:pStyle w:val="ListParagraph"/>
              <w:numPr>
                <w:ilvl w:val="0"/>
                <w:numId w:val="11"/>
              </w:numPr>
              <w:tabs>
                <w:tab w:val="right" w:pos="14580"/>
              </w:tabs>
              <w:spacing w:after="120"/>
            </w:pPr>
          </w:p>
        </w:tc>
        <w:tc>
          <w:tcPr>
            <w:tcW w:w="6673" w:type="dxa"/>
          </w:tcPr>
          <w:p w14:paraId="18F0379F" w14:textId="77777777" w:rsidR="00403E03" w:rsidRPr="00E70D3D" w:rsidRDefault="00403E03" w:rsidP="00AF24E4">
            <w:pPr>
              <w:cnfStyle w:val="000000000000" w:firstRow="0" w:lastRow="0" w:firstColumn="0" w:lastColumn="0" w:oddVBand="0" w:evenVBand="0" w:oddHBand="0" w:evenHBand="0" w:firstRowFirstColumn="0" w:firstRowLastColumn="0" w:lastRowFirstColumn="0" w:lastRowLastColumn="0"/>
            </w:pPr>
            <w:r w:rsidRPr="00E70D3D">
              <w:t xml:space="preserve">Has the indicator been withdrawn by the sponsoring organisation? </w:t>
            </w:r>
          </w:p>
        </w:tc>
        <w:sdt>
          <w:sdtPr>
            <w:alias w:val="One"/>
            <w:tag w:val="One"/>
            <w:id w:val="-890655694"/>
            <w:placeholder>
              <w:docPart w:val="DC32C3E243BC4637A5E10C404CF503F2"/>
            </w:placeholder>
            <w:dropDownList>
              <w:listItem w:value="Choose an item."/>
              <w:listItem w:displayText="Yes" w:value="Yes"/>
              <w:listItem w:displayText="No" w:value="No"/>
            </w:dropDownList>
          </w:sdtPr>
          <w:sdtEndPr/>
          <w:sdtContent>
            <w:tc>
              <w:tcPr>
                <w:tcW w:w="1582" w:type="dxa"/>
              </w:tcPr>
              <w:p w14:paraId="52928B74" w14:textId="77777777" w:rsidR="00403E03" w:rsidRPr="00E70D3D" w:rsidRDefault="00403E03" w:rsidP="00AF24E4">
                <w:pPr>
                  <w:cnfStyle w:val="000000000000" w:firstRow="0" w:lastRow="0" w:firstColumn="0" w:lastColumn="0" w:oddVBand="0" w:evenVBand="0" w:oddHBand="0" w:evenHBand="0" w:firstRowFirstColumn="0" w:firstRowLastColumn="0" w:lastRowFirstColumn="0" w:lastRowLastColumn="0"/>
                </w:pPr>
                <w:r w:rsidRPr="00E70D3D">
                  <w:t>No</w:t>
                </w:r>
              </w:p>
            </w:tc>
          </w:sdtContent>
        </w:sdt>
      </w:tr>
      <w:tr w:rsidR="00AF24E4" w:rsidRPr="00E70D3D" w14:paraId="323B78F8" w14:textId="77777777" w:rsidTr="00AF24E4">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943" w:type="dxa"/>
          </w:tcPr>
          <w:p w14:paraId="2D5BB852" w14:textId="77777777" w:rsidR="00403E03" w:rsidRPr="00E70D3D" w:rsidRDefault="00403E03" w:rsidP="00AF24E4">
            <w:pPr>
              <w:pStyle w:val="ListParagraph"/>
              <w:numPr>
                <w:ilvl w:val="0"/>
                <w:numId w:val="11"/>
              </w:numPr>
              <w:tabs>
                <w:tab w:val="right" w:pos="14580"/>
              </w:tabs>
              <w:spacing w:after="120"/>
            </w:pPr>
          </w:p>
        </w:tc>
        <w:tc>
          <w:tcPr>
            <w:tcW w:w="6673" w:type="dxa"/>
          </w:tcPr>
          <w:p w14:paraId="32BAF7BC" w14:textId="77777777" w:rsidR="00403E03" w:rsidRPr="00E70D3D" w:rsidRDefault="00403E03" w:rsidP="00AF24E4">
            <w:pPr>
              <w:cnfStyle w:val="000000100000" w:firstRow="0" w:lastRow="0" w:firstColumn="0" w:lastColumn="0" w:oddVBand="0" w:evenVBand="0" w:oddHBand="1" w:evenHBand="0" w:firstRowFirstColumn="0" w:firstRowLastColumn="0" w:lastRowFirstColumn="0" w:lastRowLastColumn="0"/>
            </w:pPr>
            <w:r w:rsidRPr="00E70D3D">
              <w:t>Are there any patient safety implications?</w:t>
            </w:r>
          </w:p>
        </w:tc>
        <w:sdt>
          <w:sdtPr>
            <w:alias w:val="One"/>
            <w:tag w:val="One"/>
            <w:id w:val="1405573445"/>
            <w:placeholder>
              <w:docPart w:val="A75355DCA6D9483193DA5842CE34DFB0"/>
            </w:placeholder>
            <w:dropDownList>
              <w:listItem w:value="Choose an item."/>
              <w:listItem w:displayText="Yes" w:value="Yes"/>
              <w:listItem w:displayText="No" w:value="No"/>
            </w:dropDownList>
          </w:sdtPr>
          <w:sdtEndPr/>
          <w:sdtContent>
            <w:tc>
              <w:tcPr>
                <w:tcW w:w="1582" w:type="dxa"/>
              </w:tcPr>
              <w:p w14:paraId="49BEA7E3" w14:textId="77777777" w:rsidR="00403E03" w:rsidRPr="00E70D3D" w:rsidRDefault="00403E03" w:rsidP="00AF24E4">
                <w:pPr>
                  <w:cnfStyle w:val="000000100000" w:firstRow="0" w:lastRow="0" w:firstColumn="0" w:lastColumn="0" w:oddVBand="0" w:evenVBand="0" w:oddHBand="1" w:evenHBand="0" w:firstRowFirstColumn="0" w:firstRowLastColumn="0" w:lastRowFirstColumn="0" w:lastRowLastColumn="0"/>
                </w:pPr>
                <w:r w:rsidRPr="00E70D3D">
                  <w:t>No</w:t>
                </w:r>
              </w:p>
            </w:tc>
          </w:sdtContent>
        </w:sdt>
      </w:tr>
      <w:tr w:rsidR="00AF24E4" w:rsidRPr="00E70D3D" w14:paraId="12F662F1" w14:textId="77777777" w:rsidTr="00AF24E4">
        <w:trPr>
          <w:trHeight w:val="475"/>
        </w:trPr>
        <w:tc>
          <w:tcPr>
            <w:cnfStyle w:val="001000000000" w:firstRow="0" w:lastRow="0" w:firstColumn="1" w:lastColumn="0" w:oddVBand="0" w:evenVBand="0" w:oddHBand="0" w:evenHBand="0" w:firstRowFirstColumn="0" w:firstRowLastColumn="0" w:lastRowFirstColumn="0" w:lastRowLastColumn="0"/>
            <w:tcW w:w="943" w:type="dxa"/>
          </w:tcPr>
          <w:p w14:paraId="2E9CA334" w14:textId="77777777" w:rsidR="00403E03" w:rsidRPr="00E70D3D" w:rsidRDefault="00403E03" w:rsidP="00AF24E4">
            <w:pPr>
              <w:pStyle w:val="ListParagraph"/>
              <w:numPr>
                <w:ilvl w:val="0"/>
                <w:numId w:val="11"/>
              </w:numPr>
              <w:tabs>
                <w:tab w:val="right" w:pos="14580"/>
              </w:tabs>
              <w:spacing w:after="120"/>
            </w:pPr>
          </w:p>
        </w:tc>
        <w:tc>
          <w:tcPr>
            <w:tcW w:w="6673" w:type="dxa"/>
          </w:tcPr>
          <w:p w14:paraId="4A2DC4F3" w14:textId="77777777" w:rsidR="00403E03" w:rsidRPr="00E70D3D" w:rsidRDefault="00403E03" w:rsidP="00AF24E4">
            <w:pPr>
              <w:cnfStyle w:val="000000000000" w:firstRow="0" w:lastRow="0" w:firstColumn="0" w:lastColumn="0" w:oddVBand="0" w:evenVBand="0" w:oddHBand="0" w:evenHBand="0" w:firstRowFirstColumn="0" w:firstRowLastColumn="0" w:lastRowFirstColumn="0" w:lastRowLastColumn="0"/>
            </w:pPr>
            <w:r w:rsidRPr="00E70D3D">
              <w:t>Have there been any complaints of risk associated with this indicator?</w:t>
            </w:r>
          </w:p>
        </w:tc>
        <w:sdt>
          <w:sdtPr>
            <w:alias w:val="One"/>
            <w:tag w:val="One"/>
            <w:id w:val="-134799853"/>
            <w:placeholder>
              <w:docPart w:val="D70AC38893A74A4ABD7FFB22929967EC"/>
            </w:placeholder>
            <w:dropDownList>
              <w:listItem w:value="Choose an item."/>
              <w:listItem w:displayText="Yes" w:value="Yes"/>
              <w:listItem w:displayText="No" w:value="No"/>
            </w:dropDownList>
          </w:sdtPr>
          <w:sdtEndPr/>
          <w:sdtContent>
            <w:tc>
              <w:tcPr>
                <w:tcW w:w="1582" w:type="dxa"/>
              </w:tcPr>
              <w:p w14:paraId="58E98DEB" w14:textId="77777777" w:rsidR="00403E03" w:rsidRPr="00E70D3D" w:rsidRDefault="00403E03" w:rsidP="00AF24E4">
                <w:pPr>
                  <w:pStyle w:val="ListParagraph"/>
                  <w:ind w:left="0"/>
                  <w:cnfStyle w:val="000000000000" w:firstRow="0" w:lastRow="0" w:firstColumn="0" w:lastColumn="0" w:oddVBand="0" w:evenVBand="0" w:oddHBand="0" w:evenHBand="0" w:firstRowFirstColumn="0" w:firstRowLastColumn="0" w:lastRowFirstColumn="0" w:lastRowLastColumn="0"/>
                </w:pPr>
                <w:r w:rsidRPr="00E70D3D">
                  <w:t>No</w:t>
                </w:r>
              </w:p>
            </w:tc>
          </w:sdtContent>
        </w:sdt>
      </w:tr>
      <w:tr w:rsidR="00AF24E4" w:rsidRPr="00E70D3D" w14:paraId="30583E8E" w14:textId="77777777" w:rsidTr="00AF24E4">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43" w:type="dxa"/>
          </w:tcPr>
          <w:p w14:paraId="113E609D" w14:textId="77777777" w:rsidR="00403E03" w:rsidRPr="00E70D3D" w:rsidRDefault="00403E03" w:rsidP="00AF24E4">
            <w:pPr>
              <w:pStyle w:val="ListParagraph"/>
              <w:numPr>
                <w:ilvl w:val="0"/>
                <w:numId w:val="11"/>
              </w:numPr>
              <w:tabs>
                <w:tab w:val="right" w:pos="14580"/>
              </w:tabs>
              <w:spacing w:after="120"/>
            </w:pPr>
          </w:p>
        </w:tc>
        <w:tc>
          <w:tcPr>
            <w:tcW w:w="6673" w:type="dxa"/>
          </w:tcPr>
          <w:p w14:paraId="210D2F31" w14:textId="77777777" w:rsidR="00403E03" w:rsidRPr="00E70D3D" w:rsidRDefault="00403E03" w:rsidP="00AF24E4">
            <w:pPr>
              <w:cnfStyle w:val="000000100000" w:firstRow="0" w:lastRow="0" w:firstColumn="0" w:lastColumn="0" w:oddVBand="0" w:evenVBand="0" w:oddHBand="1" w:evenHBand="0" w:firstRowFirstColumn="0" w:firstRowLastColumn="0" w:lastRowFirstColumn="0" w:lastRowLastColumn="0"/>
            </w:pPr>
            <w:r w:rsidRPr="00E70D3D">
              <w:t>Primary category</w:t>
            </w:r>
          </w:p>
        </w:tc>
        <w:sdt>
          <w:sdtPr>
            <w:id w:val="501780466"/>
            <w:placeholder>
              <w:docPart w:val="386CBC1826904651AC0DC6EC37A10E94"/>
            </w:placeholder>
            <w:dropDownList>
              <w:listItem w:value="Choose an item."/>
              <w:listItem w:displayText="Access to services" w:value="Access to services"/>
              <w:listItem w:displayText="Alcoholism" w:value="Alcoholism"/>
              <w:listItem w:displayText="Angina and coronary heart disease" w:value="Angina and coronary heart disease"/>
              <w:listItem w:displayText="Asthma" w:value="Asthma"/>
              <w:listItem w:displayText="Atrial fibrillation" w:value="Atrial fibrillation"/>
              <w:listItem w:displayText="Autism" w:value="Autism"/>
              <w:listItem w:displayText="Bipolar, schizophrenia and other psychoses" w:value="Bipolar, schizophrenia and other psychoses"/>
              <w:listItem w:displayText="Cancer" w:value="Cancer"/>
              <w:listItem w:displayText="Chronic kidney disease" w:value="Chronic kidney disease"/>
              <w:listItem w:displayText="Chronic obstructive pulmonary disorder" w:value="Chronic obstructive pulmonary disorder"/>
              <w:listItem w:displayText="Contraception" w:value="Contraception"/>
              <w:listItem w:displayText="Dementia" w:value="Dementia"/>
              <w:listItem w:displayText="Dental services" w:value="Dental services"/>
              <w:listItem w:displayText="Depression and anxiety" w:value="Depression and anxiety"/>
              <w:listItem w:displayText="Diabetes" w:value="Diabetes"/>
              <w:listItem w:displayText="Embolism and thrombosis" w:value="Embolism and thrombosis"/>
              <w:listItem w:displayText="End of life care" w:value="End of life care"/>
              <w:listItem w:displayText="Epilepsy" w:value="Epilepsy"/>
              <w:listItem w:displayText="Gynaecological conditions" w:value="Gynaecological conditions"/>
              <w:listItem w:displayText="Heart failure" w:value="Heart failure"/>
              <w:listItem w:displayText="Hip fracture" w:value="Hip fracture"/>
              <w:listItem w:displayText="Hypertension" w:value="Hypertension"/>
              <w:listItem w:displayText="Learning disabilities" w:value="Learning disabilities"/>
              <w:listItem w:displayText="Myocardial infarction" w:value="Myocardial infarction"/>
              <w:listItem w:displayText="Obesity and weight management" w:value="Obesity and weight management"/>
              <w:listItem w:displayText="Osteoporosis" w:value="Osteoporosis"/>
              <w:listItem w:displayText="Peripheral arterial disease" w:value="Peripheral arterial disease"/>
              <w:listItem w:displayText="Pregnancy and neonates" w:value="Pregnancy and neonates"/>
              <w:listItem w:displayText="Rheumatoid arthritis" w:value="Rheumatoid arthritis"/>
              <w:listItem w:displayText="Smoking" w:value="Smoking"/>
              <w:listItem w:displayText="Stroke and ischaemic attack" w:value="Stroke and ischaemic attack"/>
              <w:listItem w:displayText="Surgical care" w:value="Surgical care"/>
            </w:dropDownList>
          </w:sdtPr>
          <w:sdtEndPr/>
          <w:sdtContent>
            <w:tc>
              <w:tcPr>
                <w:tcW w:w="1582" w:type="dxa"/>
              </w:tcPr>
              <w:p w14:paraId="11D84192" w14:textId="77777777" w:rsidR="00403E03" w:rsidRPr="00E70D3D" w:rsidRDefault="00403E03" w:rsidP="00AF24E4">
                <w:pPr>
                  <w:pStyle w:val="ListParagraph"/>
                  <w:ind w:hanging="720"/>
                  <w:cnfStyle w:val="000000100000" w:firstRow="0" w:lastRow="0" w:firstColumn="0" w:lastColumn="0" w:oddVBand="0" w:evenVBand="0" w:oddHBand="1" w:evenHBand="0" w:firstRowFirstColumn="0" w:firstRowLastColumn="0" w:lastRowFirstColumn="0" w:lastRowLastColumn="0"/>
                </w:pPr>
                <w:r w:rsidRPr="00E70D3D">
                  <w:t>Alcoholism</w:t>
                </w:r>
              </w:p>
            </w:tc>
          </w:sdtContent>
        </w:sdt>
      </w:tr>
      <w:tr w:rsidR="00AF24E4" w:rsidRPr="00E70D3D" w14:paraId="681339AB" w14:textId="77777777" w:rsidTr="00AF24E4">
        <w:trPr>
          <w:trHeight w:val="475"/>
        </w:trPr>
        <w:tc>
          <w:tcPr>
            <w:cnfStyle w:val="001000000000" w:firstRow="0" w:lastRow="0" w:firstColumn="1" w:lastColumn="0" w:oddVBand="0" w:evenVBand="0" w:oddHBand="0" w:evenHBand="0" w:firstRowFirstColumn="0" w:firstRowLastColumn="0" w:lastRowFirstColumn="0" w:lastRowLastColumn="0"/>
            <w:tcW w:w="943" w:type="dxa"/>
          </w:tcPr>
          <w:p w14:paraId="4464901F" w14:textId="77777777" w:rsidR="00403E03" w:rsidRPr="00E70D3D" w:rsidRDefault="00403E03" w:rsidP="00AF24E4">
            <w:pPr>
              <w:pStyle w:val="ListParagraph"/>
              <w:numPr>
                <w:ilvl w:val="0"/>
                <w:numId w:val="11"/>
              </w:numPr>
              <w:tabs>
                <w:tab w:val="right" w:pos="14580"/>
              </w:tabs>
              <w:spacing w:after="120"/>
            </w:pPr>
          </w:p>
        </w:tc>
        <w:tc>
          <w:tcPr>
            <w:tcW w:w="6673" w:type="dxa"/>
          </w:tcPr>
          <w:p w14:paraId="60F9DA7D" w14:textId="77777777" w:rsidR="00403E03" w:rsidRPr="00E70D3D" w:rsidRDefault="00403E03" w:rsidP="00AF24E4">
            <w:pPr>
              <w:cnfStyle w:val="000000000000" w:firstRow="0" w:lastRow="0" w:firstColumn="0" w:lastColumn="0" w:oddVBand="0" w:evenVBand="0" w:oddHBand="0" w:evenHBand="0" w:firstRowFirstColumn="0" w:firstRowLastColumn="0" w:lastRowFirstColumn="0" w:lastRowLastColumn="0"/>
            </w:pPr>
            <w:r w:rsidRPr="00E70D3D">
              <w:t>Set</w:t>
            </w:r>
          </w:p>
        </w:tc>
        <w:tc>
          <w:tcPr>
            <w:tcW w:w="1582" w:type="dxa"/>
          </w:tcPr>
          <w:p w14:paraId="6C3FD675" w14:textId="77777777" w:rsidR="00403E03" w:rsidRPr="00E70D3D" w:rsidRDefault="00403E03" w:rsidP="00AF24E4">
            <w:pPr>
              <w:pStyle w:val="ListParagraph"/>
              <w:ind w:hanging="720"/>
              <w:cnfStyle w:val="000000000000" w:firstRow="0" w:lastRow="0" w:firstColumn="0" w:lastColumn="0" w:oddVBand="0" w:evenVBand="0" w:oddHBand="0" w:evenHBand="0" w:firstRowFirstColumn="0" w:firstRowLastColumn="0" w:lastRowFirstColumn="0" w:lastRowLastColumn="0"/>
            </w:pPr>
            <w:r w:rsidRPr="00E70D3D">
              <w:t>CCGOIS</w:t>
            </w:r>
          </w:p>
        </w:tc>
      </w:tr>
      <w:tr w:rsidR="00AF24E4" w:rsidRPr="00E70D3D" w14:paraId="049DC978" w14:textId="77777777" w:rsidTr="00AF24E4">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43" w:type="dxa"/>
          </w:tcPr>
          <w:p w14:paraId="44983601" w14:textId="77777777" w:rsidR="00403E03" w:rsidRPr="00E70D3D" w:rsidRDefault="00403E03" w:rsidP="00AF24E4">
            <w:pPr>
              <w:pStyle w:val="ListParagraph"/>
              <w:numPr>
                <w:ilvl w:val="0"/>
                <w:numId w:val="11"/>
              </w:numPr>
              <w:tabs>
                <w:tab w:val="right" w:pos="14580"/>
              </w:tabs>
              <w:spacing w:after="120"/>
            </w:pPr>
          </w:p>
        </w:tc>
        <w:tc>
          <w:tcPr>
            <w:tcW w:w="6673" w:type="dxa"/>
          </w:tcPr>
          <w:p w14:paraId="1E5C98E3" w14:textId="77777777" w:rsidR="00403E03" w:rsidRPr="00E70D3D" w:rsidRDefault="00403E03" w:rsidP="00AF24E4">
            <w:pPr>
              <w:cnfStyle w:val="000000100000" w:firstRow="0" w:lastRow="0" w:firstColumn="0" w:lastColumn="0" w:oddVBand="0" w:evenVBand="0" w:oddHBand="1" w:evenHBand="0" w:firstRowFirstColumn="0" w:firstRowLastColumn="0" w:lastRowFirstColumn="0" w:lastRowLastColumn="0"/>
            </w:pPr>
            <w:r w:rsidRPr="00E70D3D">
              <w:t>Publication reference</w:t>
            </w:r>
          </w:p>
        </w:tc>
        <w:tc>
          <w:tcPr>
            <w:tcW w:w="1582" w:type="dxa"/>
          </w:tcPr>
          <w:p w14:paraId="6161EBBE" w14:textId="77777777" w:rsidR="00403E03" w:rsidRPr="00E70D3D" w:rsidRDefault="00403E03" w:rsidP="00AF24E4">
            <w:pPr>
              <w:pStyle w:val="ListParagraph"/>
              <w:cnfStyle w:val="000000100000" w:firstRow="0" w:lastRow="0" w:firstColumn="0" w:lastColumn="0" w:oddVBand="0" w:evenVBand="0" w:oddHBand="1" w:evenHBand="0" w:firstRowFirstColumn="0" w:firstRowLastColumn="0" w:lastRowFirstColumn="0" w:lastRowLastColumn="0"/>
            </w:pPr>
          </w:p>
        </w:tc>
      </w:tr>
    </w:tbl>
    <w:p w14:paraId="1FEC0260" w14:textId="74EDEE7C" w:rsidR="00AF24E4" w:rsidRPr="00AF24E4" w:rsidRDefault="00AF24E4">
      <w:pPr>
        <w:rPr>
          <w:b/>
          <w:bCs/>
        </w:rPr>
      </w:pPr>
      <w:r>
        <w:rPr>
          <w:b/>
          <w:bCs/>
        </w:rPr>
        <w:br w:type="page"/>
      </w:r>
    </w:p>
    <w:tbl>
      <w:tblPr>
        <w:tblStyle w:val="ListTable3-Accent1"/>
        <w:tblpPr w:leftFromText="180" w:rightFromText="180" w:vertAnchor="page" w:horzAnchor="margin" w:tblpX="-289" w:tblpY="2175"/>
        <w:tblW w:w="9198" w:type="dxa"/>
        <w:tblBorders>
          <w:insideH w:val="single" w:sz="4" w:space="0" w:color="4F81BD" w:themeColor="accent1"/>
          <w:insideV w:val="single" w:sz="4" w:space="0" w:color="4F81BD" w:themeColor="accent1"/>
        </w:tblBorders>
        <w:tblLayout w:type="fixed"/>
        <w:tblLook w:val="04A0" w:firstRow="1" w:lastRow="0" w:firstColumn="1" w:lastColumn="0" w:noHBand="0" w:noVBand="1"/>
      </w:tblPr>
      <w:tblGrid>
        <w:gridCol w:w="2652"/>
        <w:gridCol w:w="6546"/>
      </w:tblGrid>
      <w:tr w:rsidR="00AF24E4" w:rsidRPr="00E70D3D" w14:paraId="24440CCA" w14:textId="77777777" w:rsidTr="00AF24E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2652" w:type="dxa"/>
          </w:tcPr>
          <w:p w14:paraId="3446B438" w14:textId="049A667D" w:rsidR="00403E03" w:rsidRPr="00E70D3D" w:rsidRDefault="00403E03" w:rsidP="00AF24E4">
            <w:pPr>
              <w:rPr>
                <w:color w:val="auto"/>
              </w:rPr>
            </w:pPr>
            <w:r w:rsidRPr="00E70D3D">
              <w:rPr>
                <w:color w:val="auto"/>
              </w:rPr>
              <w:lastRenderedPageBreak/>
              <w:t>Recommendation</w:t>
            </w:r>
          </w:p>
        </w:tc>
        <w:tc>
          <w:tcPr>
            <w:tcW w:w="6546" w:type="dxa"/>
          </w:tcPr>
          <w:p w14:paraId="177CA7F4" w14:textId="77777777" w:rsidR="00403E03" w:rsidRPr="00E70D3D" w:rsidRDefault="00403E03" w:rsidP="00AF24E4">
            <w:pPr>
              <w:cnfStyle w:val="100000000000" w:firstRow="1" w:lastRow="0" w:firstColumn="0" w:lastColumn="0" w:oddVBand="0" w:evenVBand="0" w:oddHBand="0" w:evenHBand="0" w:firstRowFirstColumn="0" w:firstRowLastColumn="0" w:lastRowFirstColumn="0" w:lastRowLastColumn="0"/>
              <w:rPr>
                <w:color w:val="auto"/>
              </w:rPr>
            </w:pPr>
            <w:r w:rsidRPr="00E70D3D">
              <w:rPr>
                <w:color w:val="auto"/>
              </w:rPr>
              <w:t>Fit for extension</w:t>
            </w:r>
          </w:p>
        </w:tc>
      </w:tr>
      <w:tr w:rsidR="00AF24E4" w:rsidRPr="00E70D3D" w14:paraId="3616677C" w14:textId="77777777" w:rsidTr="00AF24E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52" w:type="dxa"/>
          </w:tcPr>
          <w:p w14:paraId="61AB705B" w14:textId="77777777" w:rsidR="00403E03" w:rsidRPr="00E70D3D" w:rsidRDefault="00403E03" w:rsidP="00AF24E4">
            <w:r w:rsidRPr="00E70D3D">
              <w:t>Prepared by</w:t>
            </w:r>
          </w:p>
        </w:tc>
        <w:sdt>
          <w:sdtPr>
            <w:rPr>
              <w:rFonts w:eastAsia="+mn-ea"/>
            </w:rPr>
            <w:alias w:val="Prepared by"/>
            <w:tag w:val="Prepared by"/>
            <w:id w:val="1666665976"/>
            <w:placeholder>
              <w:docPart w:val="E9BCBBC70DD345EF97390FCEB163571C"/>
            </w:placeholder>
            <w:dropDownList>
              <w:listItem w:value="Choose an item."/>
              <w:listItem w:displayText="David Wheatley" w:value="David Wheatley"/>
              <w:listItem w:displayText="Sue Slade" w:value="Sue Slade"/>
              <w:listItem w:displayText="Phyllis Macgoye" w:value="Phyllis Macgoye"/>
              <w:listItem w:displayText="Jonathan Trepczyk" w:value="Jonathan Trepczyk"/>
              <w:listItem w:displayText="Janet Waterhouse" w:value="Janet Waterhouse"/>
            </w:dropDownList>
          </w:sdtPr>
          <w:sdtEndPr/>
          <w:sdtContent>
            <w:tc>
              <w:tcPr>
                <w:tcW w:w="6546" w:type="dxa"/>
              </w:tcPr>
              <w:p w14:paraId="09023E23" w14:textId="77777777" w:rsidR="00403E03" w:rsidRPr="00E70D3D" w:rsidRDefault="00403E03" w:rsidP="00AF24E4">
                <w:pPr>
                  <w:cnfStyle w:val="000000100000" w:firstRow="0" w:lastRow="0" w:firstColumn="0" w:lastColumn="0" w:oddVBand="0" w:evenVBand="0" w:oddHBand="1" w:evenHBand="0" w:firstRowFirstColumn="0" w:firstRowLastColumn="0" w:lastRowFirstColumn="0" w:lastRowLastColumn="0"/>
                  <w:rPr>
                    <w:rFonts w:eastAsia="+mn-ea"/>
                  </w:rPr>
                </w:pPr>
                <w:r w:rsidRPr="00E70D3D">
                  <w:rPr>
                    <w:rFonts w:eastAsia="+mn-ea"/>
                  </w:rPr>
                  <w:t>Sue Slade</w:t>
                </w:r>
              </w:p>
            </w:tc>
          </w:sdtContent>
        </w:sdt>
      </w:tr>
      <w:tr w:rsidR="00AF24E4" w:rsidRPr="00E70D3D" w14:paraId="6F6CFF56" w14:textId="77777777" w:rsidTr="00AF24E4">
        <w:trPr>
          <w:trHeight w:val="237"/>
        </w:trPr>
        <w:tc>
          <w:tcPr>
            <w:cnfStyle w:val="001000000000" w:firstRow="0" w:lastRow="0" w:firstColumn="1" w:lastColumn="0" w:oddVBand="0" w:evenVBand="0" w:oddHBand="0" w:evenHBand="0" w:firstRowFirstColumn="0" w:firstRowLastColumn="0" w:lastRowFirstColumn="0" w:lastRowLastColumn="0"/>
            <w:tcW w:w="2652" w:type="dxa"/>
          </w:tcPr>
          <w:p w14:paraId="148CBE51" w14:textId="77777777" w:rsidR="00403E03" w:rsidRPr="00E70D3D" w:rsidRDefault="00403E03" w:rsidP="00AF24E4">
            <w:r w:rsidRPr="00E70D3D">
              <w:t>IGB decision </w:t>
            </w:r>
          </w:p>
        </w:tc>
        <w:sdt>
          <w:sdtPr>
            <w:alias w:val="IGB decision"/>
            <w:tag w:val="IGB decision"/>
            <w:id w:val="2108844243"/>
            <w:placeholder>
              <w:docPart w:val="86CA86D639C249BDB98BAF1D45AF8266"/>
            </w:placeholder>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tc>
              <w:tcPr>
                <w:tcW w:w="6546" w:type="dxa"/>
              </w:tcPr>
              <w:p w14:paraId="766DDABA" w14:textId="77777777" w:rsidR="00403E03" w:rsidRPr="00E70D3D" w:rsidRDefault="00403E03" w:rsidP="00AF24E4">
                <w:pPr>
                  <w:cnfStyle w:val="000000000000" w:firstRow="0" w:lastRow="0" w:firstColumn="0" w:lastColumn="0" w:oddVBand="0" w:evenVBand="0" w:oddHBand="0" w:evenHBand="0" w:firstRowFirstColumn="0" w:firstRowLastColumn="0" w:lastRowFirstColumn="0" w:lastRowLastColumn="0"/>
                  <w:rPr>
                    <w:rFonts w:eastAsia="+mn-ea"/>
                  </w:rPr>
                </w:pPr>
                <w:r w:rsidRPr="00E70D3D">
                  <w:t>Fit for use</w:t>
                </w:r>
              </w:p>
            </w:tc>
          </w:sdtContent>
        </w:sdt>
      </w:tr>
      <w:tr w:rsidR="00AF24E4" w:rsidRPr="00E70D3D" w14:paraId="6A577C59" w14:textId="77777777" w:rsidTr="00AF24E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52" w:type="dxa"/>
          </w:tcPr>
          <w:p w14:paraId="438C8A7E" w14:textId="77777777" w:rsidR="00403E03" w:rsidRPr="00E70D3D" w:rsidRDefault="00403E03" w:rsidP="00AF24E4">
            <w:r w:rsidRPr="00E70D3D">
              <w:t>IGB Approval date </w:t>
            </w:r>
          </w:p>
        </w:tc>
        <w:tc>
          <w:tcPr>
            <w:tcW w:w="6546" w:type="dxa"/>
          </w:tcPr>
          <w:p w14:paraId="01A9CE2E" w14:textId="77777777" w:rsidR="00403E03" w:rsidRPr="00E70D3D" w:rsidRDefault="00403E03" w:rsidP="00AF24E4">
            <w:pPr>
              <w:ind w:left="-851" w:firstLine="706"/>
              <w:cnfStyle w:val="000000100000" w:firstRow="0" w:lastRow="0" w:firstColumn="0" w:lastColumn="0" w:oddVBand="0" w:evenVBand="0" w:oddHBand="1" w:evenHBand="0" w:firstRowFirstColumn="0" w:firstRowLastColumn="0" w:lastRowFirstColumn="0" w:lastRowLastColumn="0"/>
              <w:rPr>
                <w:rFonts w:eastAsia="Calibri"/>
              </w:rPr>
            </w:pPr>
            <w:r w:rsidRPr="00E70D3D">
              <w:rPr>
                <w:rFonts w:eastAsia="+mn-ea"/>
              </w:rPr>
              <w:t xml:space="preserve">   </w:t>
            </w:r>
            <w:r w:rsidRPr="00E70D3D">
              <w:rPr>
                <w:rFonts w:eastAsia="Calibri"/>
              </w:rPr>
              <w:t xml:space="preserve"> </w:t>
            </w:r>
            <w:sdt>
              <w:sdtPr>
                <w:rPr>
                  <w:rFonts w:eastAsia="Calibri"/>
                </w:rPr>
                <w:id w:val="-1942526628"/>
                <w:placeholder>
                  <w:docPart w:val="308DA01D2E15432C817C3003D78BB763"/>
                </w:placeholder>
                <w:date w:fullDate="2018-09-13T00:00:00Z">
                  <w:dateFormat w:val="dd/MM/yyyy"/>
                  <w:lid w:val="en-GB"/>
                  <w:storeMappedDataAs w:val="dateTime"/>
                  <w:calendar w:val="gregorian"/>
                </w:date>
              </w:sdtPr>
              <w:sdtEndPr/>
              <w:sdtContent>
                <w:r w:rsidRPr="00E70D3D">
                  <w:rPr>
                    <w:rFonts w:eastAsia="Calibri"/>
                  </w:rPr>
                  <w:t>13/09/2018</w:t>
                </w:r>
              </w:sdtContent>
            </w:sdt>
          </w:p>
        </w:tc>
      </w:tr>
      <w:tr w:rsidR="00AF24E4" w:rsidRPr="00E70D3D" w14:paraId="3A96E513" w14:textId="77777777" w:rsidTr="00AF24E4">
        <w:trPr>
          <w:trHeight w:val="237"/>
        </w:trPr>
        <w:tc>
          <w:tcPr>
            <w:cnfStyle w:val="001000000000" w:firstRow="0" w:lastRow="0" w:firstColumn="1" w:lastColumn="0" w:oddVBand="0" w:evenVBand="0" w:oddHBand="0" w:evenHBand="0" w:firstRowFirstColumn="0" w:firstRowLastColumn="0" w:lastRowFirstColumn="0" w:lastRowLastColumn="0"/>
            <w:tcW w:w="2652" w:type="dxa"/>
          </w:tcPr>
          <w:p w14:paraId="394A40AB" w14:textId="77777777" w:rsidR="00403E03" w:rsidRPr="00E70D3D" w:rsidRDefault="00403E03" w:rsidP="00AF24E4">
            <w:r w:rsidRPr="00E70D3D">
              <w:t xml:space="preserve">Accreditation period </w:t>
            </w:r>
          </w:p>
        </w:tc>
        <w:sdt>
          <w:sdtPr>
            <w:alias w:val="Accreditation period"/>
            <w:tag w:val="Accreditation period"/>
            <w:id w:val="-925267022"/>
            <w:placeholder>
              <w:docPart w:val="17F96B03F22540DA8807FAFFCCA31A0B"/>
            </w:placeholder>
            <w:dropDownList>
              <w:listItem w:value="Choose an item."/>
              <w:listItem w:displayText="Five years" w:value="Five years"/>
              <w:listItem w:displayText="One year" w:value="One year"/>
              <w:listItem w:displayText="Other" w:value="Other"/>
              <w:listItem w:displayText="Three years" w:value="Three years"/>
              <w:listItem w:displayText="Two" w:value="Two"/>
            </w:dropDownList>
          </w:sdtPr>
          <w:sdtEndPr/>
          <w:sdtContent>
            <w:tc>
              <w:tcPr>
                <w:tcW w:w="6546" w:type="dxa"/>
              </w:tcPr>
              <w:p w14:paraId="709FB95C" w14:textId="77777777" w:rsidR="00403E03" w:rsidRPr="00E70D3D" w:rsidRDefault="00403E03" w:rsidP="00AF24E4">
                <w:pPr>
                  <w:cnfStyle w:val="000000000000" w:firstRow="0" w:lastRow="0" w:firstColumn="0" w:lastColumn="0" w:oddVBand="0" w:evenVBand="0" w:oddHBand="0" w:evenHBand="0" w:firstRowFirstColumn="0" w:firstRowLastColumn="0" w:lastRowFirstColumn="0" w:lastRowLastColumn="0"/>
                </w:pPr>
                <w:r w:rsidRPr="00E70D3D">
                  <w:t>Two</w:t>
                </w:r>
              </w:p>
            </w:tc>
          </w:sdtContent>
        </w:sdt>
      </w:tr>
      <w:tr w:rsidR="00AF24E4" w:rsidRPr="00E70D3D" w14:paraId="47D3335D" w14:textId="77777777" w:rsidTr="00AF24E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52" w:type="dxa"/>
          </w:tcPr>
          <w:p w14:paraId="49DEDE0C" w14:textId="77777777" w:rsidR="00403E03" w:rsidRPr="00E70D3D" w:rsidRDefault="00946911" w:rsidP="00AF24E4">
            <w:sdt>
              <w:sdtPr>
                <w:rPr>
                  <w:rFonts w:eastAsia="Calibri"/>
                </w:rPr>
                <w:id w:val="1864938779"/>
                <w:placeholder>
                  <w:docPart w:val="384A40E0BEA344ADAAB2A44D4B3D6609"/>
                </w:placeholder>
                <w:date>
                  <w:dateFormat w:val="dd/MM/yyyy"/>
                  <w:lid w:val="en-GB"/>
                  <w:storeMappedDataAs w:val="dateTime"/>
                  <w:calendar w:val="gregorian"/>
                </w:date>
              </w:sdtPr>
              <w:sdtEndPr/>
              <w:sdtContent>
                <w:r w:rsidR="00403E03" w:rsidRPr="00E70D3D">
                  <w:t>R</w:t>
                </w:r>
              </w:sdtContent>
            </w:sdt>
            <w:r w:rsidR="00403E03" w:rsidRPr="00E70D3D">
              <w:t>eview date</w:t>
            </w:r>
          </w:p>
        </w:tc>
        <w:sdt>
          <w:sdtPr>
            <w:id w:val="-607965392"/>
            <w:date w:fullDate="2019-12-06T00:00:00Z">
              <w:dateFormat w:val="dd/MM/yyyy"/>
              <w:lid w:val="en-GB"/>
              <w:storeMappedDataAs w:val="dateTime"/>
              <w:calendar w:val="gregorian"/>
            </w:date>
          </w:sdtPr>
          <w:sdtEndPr/>
          <w:sdtContent>
            <w:tc>
              <w:tcPr>
                <w:tcW w:w="6546" w:type="dxa"/>
              </w:tcPr>
              <w:p w14:paraId="05F94B87" w14:textId="77777777" w:rsidR="00403E03" w:rsidRPr="00E70D3D" w:rsidRDefault="00403E03" w:rsidP="00AF24E4">
                <w:pPr>
                  <w:cnfStyle w:val="000000100000" w:firstRow="0" w:lastRow="0" w:firstColumn="0" w:lastColumn="0" w:oddVBand="0" w:evenVBand="0" w:oddHBand="1" w:evenHBand="0" w:firstRowFirstColumn="0" w:firstRowLastColumn="0" w:lastRowFirstColumn="0" w:lastRowLastColumn="0"/>
                </w:pPr>
                <w:r w:rsidRPr="00E70D3D">
                  <w:t>06/12/2019</w:t>
                </w:r>
              </w:p>
            </w:tc>
          </w:sdtContent>
        </w:sdt>
      </w:tr>
    </w:tbl>
    <w:p w14:paraId="0C664EE8" w14:textId="77777777" w:rsidR="00403E03" w:rsidRPr="00E70D3D" w:rsidRDefault="00403E03" w:rsidP="00350474">
      <w:pPr>
        <w:ind w:left="-851"/>
      </w:pPr>
    </w:p>
    <w:p w14:paraId="4BEDBEC5" w14:textId="77777777" w:rsidR="00403E03" w:rsidRPr="00E70D3D" w:rsidRDefault="00403E03" w:rsidP="00350474">
      <w:pPr>
        <w:ind w:left="-851"/>
      </w:pPr>
    </w:p>
    <w:p w14:paraId="7ABC7703" w14:textId="77777777" w:rsidR="00403E03" w:rsidRPr="00E70D3D" w:rsidRDefault="00403E03" w:rsidP="00350474">
      <w:pPr>
        <w:ind w:left="-851"/>
      </w:pPr>
    </w:p>
    <w:p w14:paraId="2B2E9A10" w14:textId="77777777" w:rsidR="00403E03" w:rsidRPr="00E70D3D" w:rsidRDefault="00403E03" w:rsidP="00350474">
      <w:pPr>
        <w:ind w:left="-851"/>
      </w:pPr>
    </w:p>
    <w:p w14:paraId="35D927E9" w14:textId="51D211FA" w:rsidR="00403E03" w:rsidRPr="00E70D3D" w:rsidRDefault="00403E03" w:rsidP="00350474">
      <w:pPr>
        <w:ind w:left="-851"/>
      </w:pPr>
    </w:p>
    <w:p w14:paraId="3F9DF91A" w14:textId="77777777" w:rsidR="00403E03" w:rsidRPr="00E70D3D" w:rsidRDefault="00403E03" w:rsidP="00AF24E4">
      <w:r w:rsidRPr="00E70D3D">
        <w:t xml:space="preserve">Record of Assurance provided by </w:t>
      </w:r>
      <w:r w:rsidRPr="00E70D3D">
        <w:rPr>
          <w:b/>
        </w:rPr>
        <w:t>Indicator Governance Board</w:t>
      </w:r>
    </w:p>
    <w:p w14:paraId="2A6A34BC" w14:textId="77777777" w:rsidR="00403E03" w:rsidRPr="00E70D3D" w:rsidRDefault="00403E03" w:rsidP="00350474"/>
    <w:tbl>
      <w:tblPr>
        <w:tblStyle w:val="TableGrid1"/>
        <w:tblW w:w="8887" w:type="dxa"/>
        <w:tblLayout w:type="fixed"/>
        <w:tblLook w:val="01E0" w:firstRow="1" w:lastRow="1" w:firstColumn="1" w:lastColumn="1" w:noHBand="0" w:noVBand="0"/>
      </w:tblPr>
      <w:tblGrid>
        <w:gridCol w:w="1900"/>
        <w:gridCol w:w="6987"/>
      </w:tblGrid>
      <w:tr w:rsidR="00302813" w:rsidRPr="00E70D3D" w14:paraId="6C6B8951" w14:textId="77777777" w:rsidTr="00AF24E4">
        <w:trPr>
          <w:trHeight w:val="398"/>
        </w:trPr>
        <w:tc>
          <w:tcPr>
            <w:tcW w:w="1900" w:type="dxa"/>
          </w:tcPr>
          <w:p w14:paraId="51F0F519" w14:textId="2BFA445F" w:rsidR="00302813" w:rsidRPr="00E70D3D" w:rsidRDefault="00302813" w:rsidP="00302813">
            <w:r w:rsidRPr="00E70D3D">
              <w:rPr>
                <w:b/>
              </w:rPr>
              <w:t>Indicator Title</w:t>
            </w:r>
          </w:p>
        </w:tc>
        <w:tc>
          <w:tcPr>
            <w:tcW w:w="6987" w:type="dxa"/>
          </w:tcPr>
          <w:p w14:paraId="23F79713" w14:textId="3B1DBBF7" w:rsidR="00302813" w:rsidRPr="00E70D3D" w:rsidRDefault="00302813" w:rsidP="00302813">
            <w:r w:rsidRPr="00E70D3D">
              <w:rPr>
                <w:b/>
              </w:rPr>
              <w:t>Alcohol-specific hospital admissions</w:t>
            </w:r>
          </w:p>
        </w:tc>
      </w:tr>
      <w:tr w:rsidR="00302813" w:rsidRPr="00E70D3D" w14:paraId="72FBA31D" w14:textId="77777777" w:rsidTr="00AF24E4">
        <w:trPr>
          <w:trHeight w:val="398"/>
        </w:trPr>
        <w:tc>
          <w:tcPr>
            <w:tcW w:w="1900" w:type="dxa"/>
          </w:tcPr>
          <w:p w14:paraId="7E47FED5" w14:textId="789AC899" w:rsidR="00302813" w:rsidRPr="00E70D3D" w:rsidRDefault="00302813" w:rsidP="00302813">
            <w:r w:rsidRPr="00E70D3D">
              <w:t>Indicator Set</w:t>
            </w:r>
          </w:p>
        </w:tc>
        <w:tc>
          <w:tcPr>
            <w:tcW w:w="6987" w:type="dxa"/>
          </w:tcPr>
          <w:p w14:paraId="2B082837" w14:textId="650E842D" w:rsidR="00302813" w:rsidRPr="00E70D3D" w:rsidRDefault="00302813" w:rsidP="00302813">
            <w:r w:rsidRPr="00E70D3D">
              <w:t>CCG Outcomes Indicator Set</w:t>
            </w:r>
          </w:p>
        </w:tc>
      </w:tr>
      <w:tr w:rsidR="00302813" w:rsidRPr="00E70D3D" w14:paraId="09F743D7" w14:textId="77777777" w:rsidTr="00AF24E4">
        <w:trPr>
          <w:trHeight w:val="926"/>
        </w:trPr>
        <w:tc>
          <w:tcPr>
            <w:tcW w:w="1900" w:type="dxa"/>
          </w:tcPr>
          <w:p w14:paraId="03AA6C57" w14:textId="0324E34E" w:rsidR="00302813" w:rsidRPr="00E70D3D" w:rsidRDefault="00302813" w:rsidP="00302813">
            <w:r w:rsidRPr="00E70D3D">
              <w:t>IAS Ref Code:</w:t>
            </w:r>
          </w:p>
        </w:tc>
        <w:tc>
          <w:tcPr>
            <w:tcW w:w="6987" w:type="dxa"/>
          </w:tcPr>
          <w:p w14:paraId="3C0AEB72" w14:textId="3930EB72" w:rsidR="00302813" w:rsidRPr="00E70D3D" w:rsidRDefault="00302813" w:rsidP="00302813">
            <w:r w:rsidRPr="00E70D3D">
              <w:t>IAP00332</w:t>
            </w:r>
          </w:p>
        </w:tc>
      </w:tr>
      <w:tr w:rsidR="00302813" w:rsidRPr="00E70D3D" w14:paraId="4D863140" w14:textId="77777777" w:rsidTr="00AF24E4">
        <w:trPr>
          <w:trHeight w:val="926"/>
        </w:trPr>
        <w:tc>
          <w:tcPr>
            <w:tcW w:w="1900" w:type="dxa"/>
          </w:tcPr>
          <w:p w14:paraId="7D64A4CE" w14:textId="77777777" w:rsidR="00302813" w:rsidRPr="00E70D3D" w:rsidRDefault="00302813" w:rsidP="00302813">
            <w:r w:rsidRPr="00E70D3D">
              <w:t>Description</w:t>
            </w:r>
            <w:r w:rsidRPr="00E70D3D">
              <w:rPr>
                <w:i/>
              </w:rPr>
              <w:t xml:space="preserve"> </w:t>
            </w:r>
          </w:p>
        </w:tc>
        <w:tc>
          <w:tcPr>
            <w:tcW w:w="6987" w:type="dxa"/>
          </w:tcPr>
          <w:p w14:paraId="19135BE3" w14:textId="77777777" w:rsidR="00302813" w:rsidRPr="00E70D3D" w:rsidRDefault="00302813" w:rsidP="00302813">
            <w:r w:rsidRPr="00E70D3D">
              <w:t>The indicator calculates the number of people who were admitted with a primary diagnosis of an alcohol-specific condition per 100,000 CCG population.</w:t>
            </w:r>
          </w:p>
          <w:p w14:paraId="16B8E06B" w14:textId="77777777" w:rsidR="00302813" w:rsidRPr="00E70D3D" w:rsidRDefault="00302813" w:rsidP="00302813"/>
        </w:tc>
      </w:tr>
    </w:tbl>
    <w:p w14:paraId="301C4FEC" w14:textId="77777777" w:rsidR="00403E03" w:rsidRPr="00E70D3D" w:rsidRDefault="00403E03" w:rsidP="00350474"/>
    <w:tbl>
      <w:tblPr>
        <w:tblStyle w:val="TableGrid1"/>
        <w:tblW w:w="8926" w:type="dxa"/>
        <w:tblLook w:val="01E0" w:firstRow="1" w:lastRow="1" w:firstColumn="1" w:lastColumn="1" w:noHBand="0" w:noVBand="0"/>
      </w:tblPr>
      <w:tblGrid>
        <w:gridCol w:w="2127"/>
        <w:gridCol w:w="6799"/>
      </w:tblGrid>
      <w:tr w:rsidR="00302813" w:rsidRPr="00E70D3D" w14:paraId="7ECE8807" w14:textId="77777777" w:rsidTr="00302813">
        <w:trPr>
          <w:trHeight w:val="229"/>
        </w:trPr>
        <w:tc>
          <w:tcPr>
            <w:tcW w:w="2127" w:type="dxa"/>
          </w:tcPr>
          <w:p w14:paraId="4932EB3F" w14:textId="77777777" w:rsidR="00302813" w:rsidRPr="00E70D3D" w:rsidRDefault="00302813" w:rsidP="00350474">
            <w:r w:rsidRPr="00E70D3D">
              <w:t xml:space="preserve">Initial IGB discussion </w:t>
            </w:r>
          </w:p>
        </w:tc>
        <w:tc>
          <w:tcPr>
            <w:tcW w:w="6799" w:type="dxa"/>
          </w:tcPr>
          <w:p w14:paraId="64467A4B" w14:textId="023F2F01" w:rsidR="00302813" w:rsidRPr="00E70D3D" w:rsidRDefault="00302813" w:rsidP="00350474">
            <w:pPr>
              <w:rPr>
                <w:b/>
              </w:rPr>
            </w:pPr>
            <w:r w:rsidRPr="00E70D3D">
              <w:t>06/12/13</w:t>
            </w:r>
          </w:p>
        </w:tc>
      </w:tr>
    </w:tbl>
    <w:p w14:paraId="54456D40" w14:textId="77777777" w:rsidR="00403E03" w:rsidRPr="00E70D3D" w:rsidRDefault="00403E03" w:rsidP="00350474"/>
    <w:tbl>
      <w:tblPr>
        <w:tblStyle w:val="TableGrid1"/>
        <w:tblW w:w="9790" w:type="dxa"/>
        <w:tblInd w:w="-572" w:type="dxa"/>
        <w:tblLayout w:type="fixed"/>
        <w:tblLook w:val="01E0" w:firstRow="1" w:lastRow="1" w:firstColumn="1" w:lastColumn="1" w:noHBand="0" w:noVBand="0"/>
      </w:tblPr>
      <w:tblGrid>
        <w:gridCol w:w="2540"/>
        <w:gridCol w:w="7250"/>
      </w:tblGrid>
      <w:tr w:rsidR="00302813" w:rsidRPr="00E70D3D" w14:paraId="45E2357A" w14:textId="77777777" w:rsidTr="00302813">
        <w:trPr>
          <w:trHeight w:val="445"/>
        </w:trPr>
        <w:tc>
          <w:tcPr>
            <w:tcW w:w="2540" w:type="dxa"/>
          </w:tcPr>
          <w:p w14:paraId="7422B35C" w14:textId="6E63987B" w:rsidR="00302813" w:rsidRPr="00E70D3D" w:rsidRDefault="00302813" w:rsidP="00302813"/>
        </w:tc>
        <w:tc>
          <w:tcPr>
            <w:tcW w:w="7250" w:type="dxa"/>
          </w:tcPr>
          <w:p w14:paraId="7247C1C9" w14:textId="48A6ADA4" w:rsidR="00302813" w:rsidRPr="00E70D3D" w:rsidRDefault="00302813" w:rsidP="00302813">
            <w:r w:rsidRPr="00E70D3D">
              <w:rPr>
                <w:b/>
              </w:rPr>
              <w:t>Strategic Considerations &amp; Implications</w:t>
            </w:r>
          </w:p>
        </w:tc>
      </w:tr>
      <w:tr w:rsidR="00302813" w:rsidRPr="00E70D3D" w14:paraId="7E77EA4E" w14:textId="77777777" w:rsidTr="00302813">
        <w:trPr>
          <w:trHeight w:val="487"/>
        </w:trPr>
        <w:tc>
          <w:tcPr>
            <w:tcW w:w="2540" w:type="dxa"/>
          </w:tcPr>
          <w:p w14:paraId="46BBCDC9" w14:textId="2457CB0B" w:rsidR="00302813" w:rsidRPr="00E70D3D" w:rsidRDefault="00302813" w:rsidP="00302813">
            <w:r w:rsidRPr="00E70D3D">
              <w:t>Applicant / Sponsor Organisation</w:t>
            </w:r>
          </w:p>
        </w:tc>
        <w:tc>
          <w:tcPr>
            <w:tcW w:w="7250" w:type="dxa"/>
          </w:tcPr>
          <w:p w14:paraId="57153086" w14:textId="77777777" w:rsidR="00302813" w:rsidRPr="00E70D3D" w:rsidRDefault="00302813" w:rsidP="00302813">
            <w:r w:rsidRPr="00E70D3D">
              <w:t>NHS England</w:t>
            </w:r>
          </w:p>
          <w:p w14:paraId="2DD278FA" w14:textId="62F3621D" w:rsidR="00302813" w:rsidRPr="00E70D3D" w:rsidRDefault="00302813" w:rsidP="00302813">
            <w:r w:rsidRPr="00E70D3D">
              <w:t>*Costing for assurance appraisal included in development cost</w:t>
            </w:r>
          </w:p>
        </w:tc>
      </w:tr>
      <w:tr w:rsidR="00302813" w:rsidRPr="00E70D3D" w14:paraId="789EDCBC" w14:textId="77777777" w:rsidTr="00302813">
        <w:trPr>
          <w:trHeight w:val="70"/>
        </w:trPr>
        <w:tc>
          <w:tcPr>
            <w:tcW w:w="2540" w:type="dxa"/>
          </w:tcPr>
          <w:p w14:paraId="4F3F6CDF" w14:textId="2E07DFC8" w:rsidR="00302813" w:rsidRPr="00E70D3D" w:rsidRDefault="00302813" w:rsidP="00302813">
            <w:r w:rsidRPr="00E70D3D">
              <w:t>Assurance process funded?</w:t>
            </w:r>
          </w:p>
        </w:tc>
        <w:tc>
          <w:tcPr>
            <w:tcW w:w="7250" w:type="dxa"/>
          </w:tcPr>
          <w:p w14:paraId="4F4080ED" w14:textId="7F20CF0C" w:rsidR="00302813" w:rsidRPr="00E70D3D" w:rsidRDefault="00302813" w:rsidP="00302813">
            <w:r>
              <w:t>Yes</w:t>
            </w:r>
          </w:p>
        </w:tc>
      </w:tr>
      <w:tr w:rsidR="00302813" w:rsidRPr="00E70D3D" w14:paraId="57A9FD82" w14:textId="77777777" w:rsidTr="00302813">
        <w:trPr>
          <w:trHeight w:val="3045"/>
        </w:trPr>
        <w:tc>
          <w:tcPr>
            <w:tcW w:w="2540" w:type="dxa"/>
          </w:tcPr>
          <w:p w14:paraId="123A6894" w14:textId="77777777" w:rsidR="00302813" w:rsidRPr="00E70D3D" w:rsidRDefault="00302813" w:rsidP="00302813">
            <w:r w:rsidRPr="00E70D3D">
              <w:t xml:space="preserve">Indicator rationale </w:t>
            </w:r>
          </w:p>
        </w:tc>
        <w:tc>
          <w:tcPr>
            <w:tcW w:w="7250" w:type="dxa"/>
          </w:tcPr>
          <w:p w14:paraId="65CABFB8" w14:textId="77777777" w:rsidR="00302813" w:rsidRPr="00E70D3D" w:rsidRDefault="00302813" w:rsidP="00302813">
            <w:r w:rsidRPr="00E70D3D">
              <w:t>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w:t>
            </w:r>
          </w:p>
          <w:p w14:paraId="2E29DA66" w14:textId="77777777" w:rsidR="00302813" w:rsidRPr="00E70D3D" w:rsidRDefault="00302813" w:rsidP="00302813"/>
          <w:p w14:paraId="16AC4BC1" w14:textId="77777777" w:rsidR="00302813" w:rsidRPr="00E70D3D" w:rsidRDefault="00302813" w:rsidP="00302813">
            <w:r w:rsidRPr="00E70D3D">
              <w:t xml:space="preserve">Alcohol dependence and harmful alcohol use are associated with increased risk of physical and mental health comorbidities including gastrointestinal disorders (in particular liver disease), neurological and cardiovascular disease, depression and anxiety disorders and ultimately, premature death. </w:t>
            </w:r>
          </w:p>
          <w:p w14:paraId="6AE2F6A4" w14:textId="77777777" w:rsidR="00302813" w:rsidRPr="00E70D3D" w:rsidRDefault="00302813" w:rsidP="00302813"/>
          <w:p w14:paraId="201CCF04" w14:textId="77777777" w:rsidR="00302813" w:rsidRPr="00E70D3D" w:rsidRDefault="00302813" w:rsidP="00302813">
            <w:r w:rsidRPr="00E70D3D">
              <w:t>An indicator measuring alcohol-specific re-admissions has also been put forward for inclusion in the CCG Outcomes Indicator Set.</w:t>
            </w:r>
          </w:p>
          <w:p w14:paraId="0C3E936A" w14:textId="77777777" w:rsidR="00302813" w:rsidRPr="00E70D3D" w:rsidRDefault="00302813" w:rsidP="00302813"/>
        </w:tc>
      </w:tr>
      <w:tr w:rsidR="00302813" w:rsidRPr="00E70D3D" w14:paraId="5BA1CF39" w14:textId="77777777" w:rsidTr="00302813">
        <w:trPr>
          <w:trHeight w:val="1509"/>
        </w:trPr>
        <w:tc>
          <w:tcPr>
            <w:tcW w:w="2540" w:type="dxa"/>
          </w:tcPr>
          <w:p w14:paraId="2F6F4051" w14:textId="77777777" w:rsidR="00302813" w:rsidRPr="00E70D3D" w:rsidRDefault="00302813" w:rsidP="00302813">
            <w:r w:rsidRPr="00E70D3D">
              <w:lastRenderedPageBreak/>
              <w:t xml:space="preserve">Basis for rationale </w:t>
            </w:r>
          </w:p>
          <w:p w14:paraId="5A031FF7" w14:textId="77777777" w:rsidR="00302813" w:rsidRPr="00E70D3D" w:rsidRDefault="00302813" w:rsidP="00302813">
            <w:r w:rsidRPr="00E70D3D">
              <w:t>[Details of quality statement, policy etc.]</w:t>
            </w:r>
            <w:r w:rsidRPr="00E70D3D">
              <w:rPr>
                <w:i/>
              </w:rPr>
              <w:t xml:space="preserve"> </w:t>
            </w:r>
          </w:p>
        </w:tc>
        <w:tc>
          <w:tcPr>
            <w:tcW w:w="7250" w:type="dxa"/>
          </w:tcPr>
          <w:p w14:paraId="44EE3DF1" w14:textId="77777777" w:rsidR="00302813" w:rsidRPr="00E70D3D" w:rsidRDefault="00302813" w:rsidP="00302813">
            <w:r w:rsidRPr="00E70D3D">
              <w:t>This indicator is based on Quality Standard 11: Alcohol dependence and harmful alcohol use http://guidance.nice.org.uk/QS11.</w:t>
            </w:r>
          </w:p>
          <w:p w14:paraId="02CB2005" w14:textId="77777777" w:rsidR="00302813" w:rsidRPr="00E70D3D" w:rsidRDefault="00302813" w:rsidP="00302813"/>
          <w:p w14:paraId="45980EA6" w14:textId="77777777" w:rsidR="00302813" w:rsidRPr="00E70D3D" w:rsidRDefault="00302813" w:rsidP="00302813">
            <w:r w:rsidRPr="00E70D3D">
              <w:t>The introduction to Clinical Guideline 115 states that alcohol dependence affects 4% of people aged between 16 and 65 in England (6% of men and 2% of women), and over 24% of the English population (33% of men and 16% of women) consume alcohol in a way that is potentially or actually harmful to their health or well-being. Alcohol misuse is also an increasing problem in children and young people</w:t>
            </w:r>
          </w:p>
          <w:p w14:paraId="7576BDEF" w14:textId="77777777" w:rsidR="00302813" w:rsidRPr="00E70D3D" w:rsidRDefault="00302813" w:rsidP="00302813"/>
          <w:p w14:paraId="6761838A" w14:textId="77777777" w:rsidR="00302813" w:rsidRPr="00E70D3D" w:rsidRDefault="00302813" w:rsidP="00302813">
            <w:r w:rsidRPr="00E70D3D">
              <w:t>The introduction to Clinical Guideline 100 states that hazardous and harmful drinking are commonly encountered among hospital attendees; approximately 20% of patients admitted to hospital for illnesses unrelated to alcohol are drinking at potentially hazardous levels. Persistent drinking at hazardous and harmful levels can result in damage to almost every organ or system of the body. Continued hazardous and harmful drinking can result in alcohol dependence.</w:t>
            </w:r>
          </w:p>
          <w:p w14:paraId="23003FF1" w14:textId="77777777" w:rsidR="00302813" w:rsidRPr="00E70D3D" w:rsidRDefault="00302813" w:rsidP="00302813"/>
        </w:tc>
      </w:tr>
      <w:tr w:rsidR="00302813" w:rsidRPr="00E70D3D" w14:paraId="4F941D07" w14:textId="77777777" w:rsidTr="00302813">
        <w:trPr>
          <w:trHeight w:val="6090"/>
        </w:trPr>
        <w:tc>
          <w:tcPr>
            <w:tcW w:w="2540" w:type="dxa"/>
          </w:tcPr>
          <w:p w14:paraId="6997B344" w14:textId="77777777" w:rsidR="00302813" w:rsidRPr="00E70D3D" w:rsidRDefault="00302813" w:rsidP="00302813">
            <w:r w:rsidRPr="00E70D3D">
              <w:t>Calculation Summary</w:t>
            </w:r>
          </w:p>
        </w:tc>
        <w:tc>
          <w:tcPr>
            <w:tcW w:w="7250" w:type="dxa"/>
          </w:tcPr>
          <w:p w14:paraId="7BC537AD" w14:textId="77777777" w:rsidR="00302813" w:rsidRPr="00E70D3D" w:rsidRDefault="00302813" w:rsidP="00302813">
            <w:r w:rsidRPr="00E70D3D">
              <w:t>The indicator is aggregated by Clinical Commissioning Group (CCG) and will be a numerator / denominator construct, reported as a rate per 100,000.</w:t>
            </w:r>
          </w:p>
          <w:p w14:paraId="57F5F157" w14:textId="77777777" w:rsidR="00302813" w:rsidRPr="00E70D3D" w:rsidRDefault="00302813" w:rsidP="00302813"/>
          <w:p w14:paraId="11387C70" w14:textId="77777777" w:rsidR="00302813" w:rsidRPr="00E70D3D" w:rsidRDefault="00302813" w:rsidP="00302813">
            <w:r w:rsidRPr="00E70D3D">
              <w:rPr>
                <w:i/>
              </w:rPr>
              <w:t>Denominator:</w:t>
            </w:r>
            <w:r w:rsidRPr="00E70D3D">
              <w:t xml:space="preserve"> CCG level count of people registered with the constituent GP Practices.</w:t>
            </w:r>
          </w:p>
          <w:p w14:paraId="3F0A8265" w14:textId="77777777" w:rsidR="00302813" w:rsidRPr="00E70D3D" w:rsidRDefault="00302813" w:rsidP="00302813"/>
          <w:p w14:paraId="11392EE4" w14:textId="77777777" w:rsidR="00302813" w:rsidRPr="00E70D3D" w:rsidRDefault="00302813" w:rsidP="00302813">
            <w:r w:rsidRPr="00E70D3D">
              <w:rPr>
                <w:i/>
              </w:rPr>
              <w:t>Numerator:</w:t>
            </w:r>
            <w:r w:rsidRPr="00E70D3D">
              <w:t xml:space="preserve"> The number of admission spell records where the first episode contains a primary diagnosis of an alcohol specific condition.</w:t>
            </w:r>
          </w:p>
          <w:p w14:paraId="59C89E45" w14:textId="77777777" w:rsidR="00302813" w:rsidRPr="00E70D3D" w:rsidRDefault="00302813" w:rsidP="00302813"/>
          <w:p w14:paraId="006C94D0" w14:textId="77777777" w:rsidR="00302813" w:rsidRPr="00E70D3D" w:rsidRDefault="00302813" w:rsidP="00302813">
            <w:r w:rsidRPr="00E70D3D">
              <w:t xml:space="preserve">The indicator is directly standardised by age and sex. </w:t>
            </w:r>
          </w:p>
          <w:p w14:paraId="60959793" w14:textId="77777777" w:rsidR="00302813" w:rsidRPr="00E70D3D" w:rsidRDefault="00302813" w:rsidP="00302813"/>
          <w:p w14:paraId="65E4BC17" w14:textId="77777777" w:rsidR="00302813" w:rsidRPr="00E70D3D" w:rsidRDefault="00302813" w:rsidP="00302813">
            <w:r w:rsidRPr="00E70D3D">
              <w:t>ICD-10 diagnosis codes for alcohol-specific admissions are as follows:</w:t>
            </w:r>
          </w:p>
          <w:p w14:paraId="1310B3EC" w14:textId="77777777" w:rsidR="00302813" w:rsidRPr="00E70D3D" w:rsidRDefault="00302813" w:rsidP="00302813">
            <w:r w:rsidRPr="00E70D3D">
              <w:t xml:space="preserve">E24.4 </w:t>
            </w:r>
            <w:r w:rsidRPr="00E70D3D">
              <w:tab/>
              <w:t>Alcohol-induced pseudo-Cushing’s syndrome</w:t>
            </w:r>
          </w:p>
          <w:p w14:paraId="02D317FD" w14:textId="77777777" w:rsidR="00302813" w:rsidRPr="00E70D3D" w:rsidRDefault="00302813" w:rsidP="00302813">
            <w:r w:rsidRPr="00E70D3D">
              <w:t>F10.-</w:t>
            </w:r>
            <w:r w:rsidRPr="00E70D3D">
              <w:tab/>
              <w:t>Mental and behavioural disorder due to use of alcohol</w:t>
            </w:r>
          </w:p>
          <w:p w14:paraId="774C01AD" w14:textId="77777777" w:rsidR="00302813" w:rsidRPr="00E70D3D" w:rsidRDefault="00302813" w:rsidP="00302813">
            <w:r w:rsidRPr="00E70D3D">
              <w:t xml:space="preserve">G31.2 </w:t>
            </w:r>
            <w:r w:rsidRPr="00E70D3D">
              <w:tab/>
              <w:t>Degeneration of nervous system due to alcohol</w:t>
            </w:r>
          </w:p>
          <w:p w14:paraId="39E92F9A" w14:textId="77777777" w:rsidR="00302813" w:rsidRPr="00E70D3D" w:rsidRDefault="00302813" w:rsidP="00302813">
            <w:r w:rsidRPr="00E70D3D">
              <w:t xml:space="preserve">G62.1 </w:t>
            </w:r>
            <w:r w:rsidRPr="00E70D3D">
              <w:tab/>
              <w:t>Alcoholic polyneuropathy</w:t>
            </w:r>
          </w:p>
          <w:p w14:paraId="41D40B20" w14:textId="77777777" w:rsidR="00302813" w:rsidRPr="00E70D3D" w:rsidRDefault="00302813" w:rsidP="00302813">
            <w:r w:rsidRPr="00E70D3D">
              <w:t xml:space="preserve">G72.1 </w:t>
            </w:r>
            <w:r w:rsidRPr="00E70D3D">
              <w:tab/>
              <w:t>Alcoholic myopathy</w:t>
            </w:r>
          </w:p>
          <w:p w14:paraId="7EBB9ED7" w14:textId="77777777" w:rsidR="00302813" w:rsidRPr="00E70D3D" w:rsidRDefault="00302813" w:rsidP="00302813">
            <w:r w:rsidRPr="00E70D3D">
              <w:t xml:space="preserve">I42.6 </w:t>
            </w:r>
            <w:r w:rsidRPr="00E70D3D">
              <w:tab/>
              <w:t>Alcoholic cardiomyopathy</w:t>
            </w:r>
          </w:p>
          <w:p w14:paraId="7EC9A499" w14:textId="77777777" w:rsidR="00302813" w:rsidRPr="00E70D3D" w:rsidRDefault="00302813" w:rsidP="00302813">
            <w:r w:rsidRPr="00E70D3D">
              <w:t xml:space="preserve">K29.2 </w:t>
            </w:r>
            <w:r w:rsidRPr="00E70D3D">
              <w:tab/>
              <w:t>Alcoholic gastritis</w:t>
            </w:r>
          </w:p>
          <w:p w14:paraId="18BC8396" w14:textId="77777777" w:rsidR="00302813" w:rsidRPr="00E70D3D" w:rsidRDefault="00302813" w:rsidP="00302813">
            <w:r w:rsidRPr="00E70D3D">
              <w:t xml:space="preserve">K70.- </w:t>
            </w:r>
            <w:r w:rsidRPr="00E70D3D">
              <w:tab/>
              <w:t>Alcoholic liver disease</w:t>
            </w:r>
          </w:p>
          <w:p w14:paraId="1310CAAA" w14:textId="77777777" w:rsidR="00302813" w:rsidRPr="00E70D3D" w:rsidRDefault="00302813" w:rsidP="00302813">
            <w:r w:rsidRPr="00E70D3D">
              <w:t xml:space="preserve">K86.0 </w:t>
            </w:r>
            <w:r w:rsidRPr="00E70D3D">
              <w:tab/>
              <w:t>Alcohol-induced chronic pancreatitis</w:t>
            </w:r>
          </w:p>
          <w:p w14:paraId="063BA5F1" w14:textId="77777777" w:rsidR="00302813" w:rsidRPr="00E70D3D" w:rsidRDefault="00302813" w:rsidP="00302813">
            <w:r w:rsidRPr="00E70D3D">
              <w:t xml:space="preserve">T51.0 </w:t>
            </w:r>
            <w:r w:rsidRPr="00E70D3D">
              <w:tab/>
              <w:t>Toxic effect of alcohol, Ethanol</w:t>
            </w:r>
          </w:p>
          <w:p w14:paraId="3959BB49" w14:textId="77777777" w:rsidR="00302813" w:rsidRPr="00E70D3D" w:rsidRDefault="00302813" w:rsidP="00302813">
            <w:r w:rsidRPr="00E70D3D">
              <w:t xml:space="preserve">T51.1 </w:t>
            </w:r>
            <w:r w:rsidRPr="00E70D3D">
              <w:tab/>
              <w:t>Toxic effect of alcohol, Methanol</w:t>
            </w:r>
          </w:p>
          <w:p w14:paraId="4272A3DB" w14:textId="77777777" w:rsidR="00302813" w:rsidRPr="00E70D3D" w:rsidRDefault="00302813" w:rsidP="00302813">
            <w:r w:rsidRPr="00E70D3D">
              <w:t xml:space="preserve">T51.9 </w:t>
            </w:r>
            <w:r w:rsidRPr="00E70D3D">
              <w:tab/>
              <w:t>Toxic effect of alcohol, unspecified</w:t>
            </w:r>
          </w:p>
          <w:p w14:paraId="4304D536" w14:textId="77777777" w:rsidR="00302813" w:rsidRPr="00E70D3D" w:rsidRDefault="00302813" w:rsidP="00302813">
            <w:r w:rsidRPr="00E70D3D">
              <w:t>X45.-</w:t>
            </w:r>
            <w:r w:rsidRPr="00E70D3D">
              <w:tab/>
              <w:t>Accidental poisoning by and exposure to alcohol</w:t>
            </w:r>
          </w:p>
          <w:p w14:paraId="2B744B7D" w14:textId="77777777" w:rsidR="00302813" w:rsidRPr="00E70D3D" w:rsidRDefault="00302813" w:rsidP="00302813"/>
          <w:p w14:paraId="2780D034" w14:textId="77777777" w:rsidR="00302813" w:rsidRPr="00E70D3D" w:rsidRDefault="00302813" w:rsidP="00302813">
            <w:r w:rsidRPr="00E70D3D">
              <w:t>A low rate of alcohol-specific admissions is desirable.</w:t>
            </w:r>
          </w:p>
          <w:p w14:paraId="13C033E9" w14:textId="77777777" w:rsidR="00302813" w:rsidRPr="00E70D3D" w:rsidRDefault="00302813" w:rsidP="00302813"/>
        </w:tc>
      </w:tr>
      <w:tr w:rsidR="00302813" w:rsidRPr="00E70D3D" w14:paraId="573251E6" w14:textId="77777777" w:rsidTr="00302813">
        <w:trPr>
          <w:trHeight w:val="2167"/>
        </w:trPr>
        <w:tc>
          <w:tcPr>
            <w:tcW w:w="2540" w:type="dxa"/>
          </w:tcPr>
          <w:p w14:paraId="002A75E8" w14:textId="77777777" w:rsidR="00302813" w:rsidRPr="00E70D3D" w:rsidRDefault="00302813" w:rsidP="00302813">
            <w:r w:rsidRPr="00E70D3D">
              <w:lastRenderedPageBreak/>
              <w:t>Risks &amp; assumptions</w:t>
            </w:r>
          </w:p>
        </w:tc>
        <w:tc>
          <w:tcPr>
            <w:tcW w:w="7250" w:type="dxa"/>
          </w:tcPr>
          <w:p w14:paraId="77F9E905" w14:textId="77777777" w:rsidR="00302813" w:rsidRPr="00E70D3D" w:rsidRDefault="00302813" w:rsidP="00302813">
            <w:r w:rsidRPr="00E70D3D">
              <w:t>The NICE CCGOIS Advisory Committee considered both ‘alcohol-related’ and ‘alcohol-specific’ admissions for this indicator. It was agreed that ‘alcohol-specific’ admissions are the most appropriate measure for this indicator set.</w:t>
            </w:r>
          </w:p>
          <w:p w14:paraId="496D574F" w14:textId="77777777" w:rsidR="00302813" w:rsidRPr="00E70D3D" w:rsidRDefault="00302813" w:rsidP="00302813"/>
          <w:p w14:paraId="02BB488C" w14:textId="77777777" w:rsidR="00302813" w:rsidRPr="00E70D3D" w:rsidRDefault="00302813" w:rsidP="00302813">
            <w:r w:rsidRPr="00E70D3D">
              <w:t>The list of indicators for inclusion in CCG OIS for 2014-15 may still be subject to change as NHS England review the indicator set.</w:t>
            </w:r>
          </w:p>
          <w:p w14:paraId="65DAC3FA" w14:textId="77777777" w:rsidR="00302813" w:rsidRPr="00E70D3D" w:rsidRDefault="00302813" w:rsidP="00302813"/>
          <w:p w14:paraId="149D329B" w14:textId="77777777" w:rsidR="00302813" w:rsidRPr="00E70D3D" w:rsidRDefault="00302813" w:rsidP="00302813">
            <w:r w:rsidRPr="00E70D3D">
              <w:t xml:space="preserve">There are no planned changes to the HES collection that would impact on this indicator. </w:t>
            </w:r>
          </w:p>
          <w:p w14:paraId="6DAB142F" w14:textId="77777777" w:rsidR="00302813" w:rsidRPr="00E70D3D" w:rsidRDefault="00302813" w:rsidP="00302813"/>
        </w:tc>
      </w:tr>
      <w:tr w:rsidR="00302813" w:rsidRPr="00E70D3D" w14:paraId="3142AAFC" w14:textId="77777777" w:rsidTr="00302813">
        <w:trPr>
          <w:trHeight w:val="229"/>
        </w:trPr>
        <w:tc>
          <w:tcPr>
            <w:tcW w:w="2540" w:type="dxa"/>
          </w:tcPr>
          <w:p w14:paraId="407CC417" w14:textId="22C8CA80" w:rsidR="00302813" w:rsidRPr="00E70D3D" w:rsidRDefault="00302813" w:rsidP="00302813">
            <w:r w:rsidRPr="00E70D3D">
              <w:t>IG Considerations  [e.g. release of under-lying data, intermediaries’ access to data, data ownership impact on production]</w:t>
            </w:r>
          </w:p>
        </w:tc>
        <w:tc>
          <w:tcPr>
            <w:tcW w:w="7250" w:type="dxa"/>
          </w:tcPr>
          <w:p w14:paraId="0D7B708A" w14:textId="77777777" w:rsidR="00302813" w:rsidRPr="00E70D3D" w:rsidRDefault="00302813" w:rsidP="00302813">
            <w:r w:rsidRPr="00E70D3D">
              <w:rPr>
                <w:i/>
              </w:rPr>
              <w:t>Data Source:</w:t>
            </w:r>
            <w:r w:rsidRPr="00E70D3D">
              <w:t xml:space="preserve"> Hospital Episode Statistics (HES) Continuous Inpatient Spells (CIP), constructed by the HSCIC HES Development team, and NHAIS (Exeter) registered GP Practice population data.</w:t>
            </w:r>
          </w:p>
          <w:p w14:paraId="53990ADD" w14:textId="77777777" w:rsidR="00302813" w:rsidRPr="00E70D3D" w:rsidRDefault="00302813" w:rsidP="00302813"/>
        </w:tc>
      </w:tr>
      <w:tr w:rsidR="00302813" w:rsidRPr="00E70D3D" w14:paraId="20621C6C" w14:textId="77777777" w:rsidTr="00302813">
        <w:trPr>
          <w:trHeight w:val="367"/>
        </w:trPr>
        <w:tc>
          <w:tcPr>
            <w:tcW w:w="2540" w:type="dxa"/>
          </w:tcPr>
          <w:p w14:paraId="65A65232" w14:textId="60B11DA6" w:rsidR="00302813" w:rsidRPr="00E70D3D" w:rsidRDefault="00302813" w:rsidP="00302813">
            <w:r w:rsidRPr="00E70D3D">
              <w:t>IG Considerations  [e.g. release of under-lying data, intermediaries’ access to data, data ownership impact on production]</w:t>
            </w:r>
          </w:p>
        </w:tc>
        <w:tc>
          <w:tcPr>
            <w:tcW w:w="7250" w:type="dxa"/>
          </w:tcPr>
          <w:p w14:paraId="38AC4166" w14:textId="77777777" w:rsidR="00302813" w:rsidRPr="00E70D3D" w:rsidRDefault="00302813" w:rsidP="00302813">
            <w:r w:rsidRPr="00E70D3D">
              <w:t>The underlying HES data are held by the HSCIC and are made available to customers via several mechanisms depending on their requirements. These include the publication of aggregated output; a chargeable extract service that covers both bespoke and routine extracts; and direct access via an interrogation tool to the underlying data for certain customers.</w:t>
            </w:r>
          </w:p>
          <w:p w14:paraId="4355BBD9" w14:textId="77777777" w:rsidR="00302813" w:rsidRPr="00E70D3D" w:rsidRDefault="00302813" w:rsidP="00302813"/>
          <w:p w14:paraId="4B144CD9" w14:textId="77777777" w:rsidR="00302813" w:rsidRPr="00E70D3D" w:rsidRDefault="00302813" w:rsidP="00302813">
            <w:r w:rsidRPr="00E70D3D">
              <w:t>The underlying data required for the construction of the indicator are available on a monthly basis around 4 – 5 months after the start of the month in which the attendance took place. The full year annual data refresh occurs around 8 months after the financial year end.</w:t>
            </w:r>
          </w:p>
          <w:p w14:paraId="64D4F294" w14:textId="77777777" w:rsidR="00302813" w:rsidRPr="00E70D3D" w:rsidRDefault="00302813" w:rsidP="00302813"/>
          <w:p w14:paraId="586AF81F" w14:textId="77777777" w:rsidR="00302813" w:rsidRPr="00E70D3D" w:rsidRDefault="00302813" w:rsidP="00302813">
            <w:r w:rsidRPr="00E70D3D">
              <w:t>Commissioning Data Sets (CDS 6.2) are approved by ISB ref ISB0092.</w:t>
            </w:r>
          </w:p>
          <w:p w14:paraId="1ABDADBB" w14:textId="77777777" w:rsidR="00302813" w:rsidRPr="00E70D3D" w:rsidRDefault="00302813" w:rsidP="00302813"/>
          <w:p w14:paraId="79BEAB0F" w14:textId="77777777" w:rsidR="00302813" w:rsidRPr="00E70D3D" w:rsidRDefault="00302813" w:rsidP="00302813">
            <w:r w:rsidRPr="00E70D3D">
              <w:t>HES has been approved by ROCR license number ROCR/OR/0014/FT6/009MAND.</w:t>
            </w:r>
          </w:p>
          <w:p w14:paraId="22B54D45" w14:textId="77777777" w:rsidR="00302813" w:rsidRPr="00E70D3D" w:rsidRDefault="00302813" w:rsidP="00302813"/>
        </w:tc>
      </w:tr>
      <w:tr w:rsidR="00302813" w:rsidRPr="00E70D3D" w14:paraId="4164E8B5" w14:textId="77777777" w:rsidTr="00302813">
        <w:trPr>
          <w:trHeight w:val="1083"/>
        </w:trPr>
        <w:tc>
          <w:tcPr>
            <w:tcW w:w="2540" w:type="dxa"/>
          </w:tcPr>
          <w:p w14:paraId="6EE9123B" w14:textId="77777777" w:rsidR="00302813" w:rsidRPr="00E70D3D" w:rsidRDefault="00302813" w:rsidP="00302813">
            <w:r w:rsidRPr="00E70D3D">
              <w:t>Potential impacts on other business areas [inc outstanding generic issues]</w:t>
            </w:r>
          </w:p>
        </w:tc>
        <w:tc>
          <w:tcPr>
            <w:tcW w:w="7250" w:type="dxa"/>
          </w:tcPr>
          <w:p w14:paraId="7E6D47B5" w14:textId="77777777" w:rsidR="00302813" w:rsidRPr="00E70D3D" w:rsidRDefault="00302813" w:rsidP="00302813">
            <w:r w:rsidRPr="00E70D3D">
              <w:t>The Local Basket of Indicators (LBOI) Indicator 13.13 - Rate of persons admitted to hospital with conditions directly related to the consumption of alcohol – is similar to this indicator in its construction but is aggregated at local authority level. It is published in the HSCIC indicator portal</w:t>
            </w:r>
          </w:p>
        </w:tc>
      </w:tr>
      <w:tr w:rsidR="00302813" w:rsidRPr="00E70D3D" w14:paraId="1518456B" w14:textId="77777777" w:rsidTr="00302813">
        <w:trPr>
          <w:trHeight w:val="4116"/>
        </w:trPr>
        <w:tc>
          <w:tcPr>
            <w:tcW w:w="2540" w:type="dxa"/>
          </w:tcPr>
          <w:p w14:paraId="57404EA1" w14:textId="77777777" w:rsidR="00302813" w:rsidRPr="00E70D3D" w:rsidRDefault="00302813" w:rsidP="00302813">
            <w:r w:rsidRPr="00E70D3D">
              <w:lastRenderedPageBreak/>
              <w:t>Implementation Method</w:t>
            </w:r>
          </w:p>
          <w:p w14:paraId="59155F63" w14:textId="77777777" w:rsidR="00302813" w:rsidRPr="00E70D3D" w:rsidRDefault="00302813" w:rsidP="00302813">
            <w:pPr>
              <w:rPr>
                <w:i/>
              </w:rPr>
            </w:pPr>
            <w:r w:rsidRPr="00E70D3D">
              <w:t>[inc production funding]</w:t>
            </w:r>
          </w:p>
        </w:tc>
        <w:tc>
          <w:tcPr>
            <w:tcW w:w="7250" w:type="dxa"/>
          </w:tcPr>
          <w:p w14:paraId="23F93E32" w14:textId="77777777" w:rsidR="00302813" w:rsidRPr="00E70D3D" w:rsidRDefault="00302813" w:rsidP="00302813">
            <w:r w:rsidRPr="00E70D3D">
              <w:t>NHS England has commissioned HSCIC to produce and disseminate the CCG OIS indicators; this is funded via the Grant In Aid funding to HSCIC.</w:t>
            </w:r>
          </w:p>
          <w:p w14:paraId="2BD3C6DA" w14:textId="77777777" w:rsidR="00302813" w:rsidRPr="00E70D3D" w:rsidRDefault="00302813" w:rsidP="00302813"/>
          <w:p w14:paraId="768065FE" w14:textId="77777777" w:rsidR="00302813" w:rsidRPr="00E70D3D" w:rsidRDefault="00302813" w:rsidP="00302813">
            <w:r w:rsidRPr="00E70D3D">
              <w:t>Collection of the data for the CCG OIS is via existing data collections, in this case HES. Testing and specification of the indicators is carried out by the Specification Development Service and construction of the indicators is provided by Clinical Indicators via the CI Platform.</w:t>
            </w:r>
          </w:p>
          <w:p w14:paraId="36D5C872" w14:textId="77777777" w:rsidR="00302813" w:rsidRPr="00E70D3D" w:rsidRDefault="00302813" w:rsidP="00302813"/>
          <w:p w14:paraId="42778AF7" w14:textId="77777777" w:rsidR="00302813" w:rsidRPr="00E70D3D" w:rsidRDefault="00302813" w:rsidP="00302813">
            <w:r w:rsidRPr="00E70D3D">
              <w:t>Dissemination and presentation of the CCG OIS will be via a number of routes:</w:t>
            </w:r>
          </w:p>
          <w:p w14:paraId="7F1AFF7E" w14:textId="77777777" w:rsidR="00302813" w:rsidRPr="00E70D3D" w:rsidRDefault="00302813" w:rsidP="00302813">
            <w:pPr>
              <w:ind w:left="184" w:hanging="184"/>
            </w:pPr>
            <w:r w:rsidRPr="00E70D3D">
              <w:t xml:space="preserve">• The indicators and their underlying data will be made publically available via the HSCIC website and the Indicator Portal. </w:t>
            </w:r>
          </w:p>
          <w:p w14:paraId="49C875D7" w14:textId="77777777" w:rsidR="00302813" w:rsidRPr="00E70D3D" w:rsidRDefault="00302813" w:rsidP="00302813">
            <w:pPr>
              <w:ind w:left="184" w:hanging="184"/>
            </w:pPr>
            <w:r w:rsidRPr="00E70D3D">
              <w:t>• The data will also be provided to NHS England for use in their internal Intelligence Tool.</w:t>
            </w:r>
          </w:p>
          <w:p w14:paraId="2A5D96B1" w14:textId="77777777" w:rsidR="00302813" w:rsidRPr="00E70D3D" w:rsidRDefault="00302813" w:rsidP="00302813">
            <w:pPr>
              <w:ind w:left="184" w:hanging="184"/>
            </w:pPr>
            <w:r w:rsidRPr="00E70D3D">
              <w:t>• Subject to confirmation by NHS England, the calculated indicator, numerator and denominator for CCGs will be supplied by messaging to the Calculating Quality Reporting Service (CQRS) for use by CCGs as part of their management information</w:t>
            </w:r>
          </w:p>
          <w:p w14:paraId="636AD91E" w14:textId="77777777" w:rsidR="00302813" w:rsidRPr="00E70D3D" w:rsidRDefault="00302813" w:rsidP="00302813"/>
        </w:tc>
      </w:tr>
    </w:tbl>
    <w:p w14:paraId="5F2BD477" w14:textId="77777777" w:rsidR="00403E03" w:rsidRPr="00E70D3D" w:rsidRDefault="00403E03" w:rsidP="00350474"/>
    <w:p w14:paraId="2F82B4B8" w14:textId="77777777" w:rsidR="00403E03" w:rsidRPr="00E70D3D" w:rsidRDefault="00403E03" w:rsidP="00350474"/>
    <w:tbl>
      <w:tblPr>
        <w:tblStyle w:val="TableGrid1"/>
        <w:tblW w:w="9820" w:type="dxa"/>
        <w:tblInd w:w="-572" w:type="dxa"/>
        <w:tblLayout w:type="fixed"/>
        <w:tblLook w:val="01E0" w:firstRow="1" w:lastRow="1" w:firstColumn="1" w:lastColumn="1" w:noHBand="0" w:noVBand="0"/>
      </w:tblPr>
      <w:tblGrid>
        <w:gridCol w:w="2546"/>
        <w:gridCol w:w="7274"/>
      </w:tblGrid>
      <w:tr w:rsidR="00302813" w:rsidRPr="00E70D3D" w14:paraId="4A6B91BF" w14:textId="77777777" w:rsidTr="00302813">
        <w:trPr>
          <w:trHeight w:val="380"/>
        </w:trPr>
        <w:tc>
          <w:tcPr>
            <w:tcW w:w="2546" w:type="dxa"/>
          </w:tcPr>
          <w:p w14:paraId="4AF64BC0" w14:textId="77777777" w:rsidR="00302813" w:rsidRPr="00E70D3D" w:rsidRDefault="00302813" w:rsidP="00350474"/>
        </w:tc>
        <w:tc>
          <w:tcPr>
            <w:tcW w:w="7274" w:type="dxa"/>
          </w:tcPr>
          <w:p w14:paraId="65C4CFFA" w14:textId="23D1F40B" w:rsidR="00302813" w:rsidRPr="00E70D3D" w:rsidRDefault="00302813" w:rsidP="00350474">
            <w:r w:rsidRPr="00E70D3D">
              <w:rPr>
                <w:b/>
              </w:rPr>
              <w:t>Development Advice / Peer Review (undertaken as part of assurance process)</w:t>
            </w:r>
          </w:p>
        </w:tc>
      </w:tr>
      <w:tr w:rsidR="00E70D3D" w:rsidRPr="00E70D3D" w14:paraId="55E2B49C" w14:textId="77777777" w:rsidTr="00302813">
        <w:trPr>
          <w:trHeight w:val="380"/>
        </w:trPr>
        <w:tc>
          <w:tcPr>
            <w:tcW w:w="2546" w:type="dxa"/>
          </w:tcPr>
          <w:p w14:paraId="1805AF6A" w14:textId="77777777" w:rsidR="00403E03" w:rsidRPr="00E70D3D" w:rsidRDefault="00403E03" w:rsidP="00350474">
            <w:r w:rsidRPr="00E70D3D">
              <w:t>Range of input during development</w:t>
            </w:r>
          </w:p>
        </w:tc>
        <w:tc>
          <w:tcPr>
            <w:tcW w:w="7274" w:type="dxa"/>
          </w:tcPr>
          <w:p w14:paraId="2D274083" w14:textId="77777777" w:rsidR="00403E03" w:rsidRPr="00E70D3D" w:rsidRDefault="00403E03" w:rsidP="00350474">
            <w:r w:rsidRPr="00E70D3D">
              <w:t>Advice has been taken from the NHS Classification Service (National Clinical Classifications Helpdesk) on which ICD-10 codes to use to filter for alcohol-specific conditions.</w:t>
            </w:r>
          </w:p>
        </w:tc>
      </w:tr>
      <w:tr w:rsidR="00E70D3D" w:rsidRPr="00E70D3D" w14:paraId="54E22D01" w14:textId="77777777" w:rsidTr="00302813">
        <w:trPr>
          <w:trHeight w:val="388"/>
        </w:trPr>
        <w:tc>
          <w:tcPr>
            <w:tcW w:w="2546" w:type="dxa"/>
          </w:tcPr>
          <w:p w14:paraId="7537A866" w14:textId="77777777" w:rsidR="00403E03" w:rsidRPr="00E70D3D" w:rsidRDefault="00403E03" w:rsidP="00350474">
            <w:r w:rsidRPr="00E70D3D">
              <w:t>Assurance Service</w:t>
            </w:r>
          </w:p>
          <w:p w14:paraId="73444830" w14:textId="77777777" w:rsidR="00403E03" w:rsidRPr="00E70D3D" w:rsidRDefault="00403E03" w:rsidP="00350474">
            <w:pPr>
              <w:rPr>
                <w:i/>
              </w:rPr>
            </w:pPr>
            <w:r w:rsidRPr="00E70D3D">
              <w:t>Peer Reviewers:</w:t>
            </w:r>
          </w:p>
        </w:tc>
        <w:tc>
          <w:tcPr>
            <w:tcW w:w="7274" w:type="dxa"/>
          </w:tcPr>
          <w:p w14:paraId="1D925273" w14:textId="77777777" w:rsidR="00403E03" w:rsidRPr="00E70D3D" w:rsidRDefault="00403E03" w:rsidP="00350474">
            <w:r w:rsidRPr="00E70D3D">
              <w:t>Internal Review HSCIC</w:t>
            </w:r>
          </w:p>
          <w:p w14:paraId="1171C6BE" w14:textId="77777777" w:rsidR="00403E03" w:rsidRPr="00E70D3D" w:rsidRDefault="00403E03" w:rsidP="00350474">
            <w:r w:rsidRPr="00E70D3D">
              <w:t>Paul Jennings – Information Analyst</w:t>
            </w:r>
          </w:p>
        </w:tc>
      </w:tr>
      <w:tr w:rsidR="00E70D3D" w:rsidRPr="00E70D3D" w14:paraId="30F504E6" w14:textId="77777777" w:rsidTr="00302813">
        <w:trPr>
          <w:trHeight w:val="388"/>
        </w:trPr>
        <w:tc>
          <w:tcPr>
            <w:tcW w:w="2546" w:type="dxa"/>
          </w:tcPr>
          <w:p w14:paraId="03E5723B" w14:textId="77777777" w:rsidR="00403E03" w:rsidRPr="00E70D3D" w:rsidRDefault="00403E03" w:rsidP="00350474">
            <w:r w:rsidRPr="00E70D3D">
              <w:t>Peer Review summary:</w:t>
            </w:r>
          </w:p>
        </w:tc>
        <w:tc>
          <w:tcPr>
            <w:tcW w:w="7274" w:type="dxa"/>
          </w:tcPr>
          <w:p w14:paraId="145C065F" w14:textId="77777777" w:rsidR="00403E03" w:rsidRPr="00E70D3D" w:rsidRDefault="00403E03" w:rsidP="00350474">
            <w:pPr>
              <w:spacing w:after="120"/>
              <w:rPr>
                <w:strike/>
              </w:rPr>
            </w:pPr>
            <w:r w:rsidRPr="00E70D3D">
              <w:t>The peer reviewer made the following suggestions:</w:t>
            </w:r>
          </w:p>
          <w:p w14:paraId="296D222F" w14:textId="77777777" w:rsidR="00403E03" w:rsidRPr="00E70D3D" w:rsidRDefault="00403E03" w:rsidP="00403E03">
            <w:pPr>
              <w:pStyle w:val="ListParagraph"/>
              <w:numPr>
                <w:ilvl w:val="0"/>
                <w:numId w:val="8"/>
              </w:numPr>
              <w:spacing w:after="120" w:line="240" w:lineRule="auto"/>
              <w:ind w:left="325" w:hanging="325"/>
              <w:rPr>
                <w:strike/>
              </w:rPr>
            </w:pPr>
            <w:r w:rsidRPr="00E70D3D">
              <w:t xml:space="preserve">Further clarification on alcohol specific – this was subsequently provided in the MRG appraisal by the developer. </w:t>
            </w:r>
          </w:p>
          <w:p w14:paraId="5AC53D57" w14:textId="77777777" w:rsidR="00403E03" w:rsidRPr="00E70D3D" w:rsidRDefault="00403E03" w:rsidP="00403E03">
            <w:pPr>
              <w:pStyle w:val="ListParagraph"/>
              <w:numPr>
                <w:ilvl w:val="0"/>
                <w:numId w:val="8"/>
              </w:numPr>
              <w:spacing w:after="120" w:line="240" w:lineRule="auto"/>
              <w:ind w:left="325" w:hanging="325"/>
            </w:pPr>
            <w:r w:rsidRPr="00E70D3D">
              <w:t>Confidence intervals are applied to some Compendium indicators to adjust for chance occurrences – would this be relevant to this indicator?</w:t>
            </w:r>
          </w:p>
          <w:p w14:paraId="5BCF0B65" w14:textId="77777777" w:rsidR="00403E03" w:rsidRPr="00E70D3D" w:rsidRDefault="00403E03" w:rsidP="00403E03">
            <w:pPr>
              <w:pStyle w:val="ListParagraph"/>
              <w:numPr>
                <w:ilvl w:val="0"/>
                <w:numId w:val="8"/>
              </w:numPr>
              <w:spacing w:after="120" w:line="240" w:lineRule="auto"/>
              <w:ind w:left="325" w:hanging="325"/>
            </w:pPr>
            <w:r w:rsidRPr="00E70D3D">
              <w:t>It be noted that as the CCGs are being compared against each other, ‘good’ and ‘poor’ will be assessed by relativity.</w:t>
            </w:r>
          </w:p>
        </w:tc>
      </w:tr>
    </w:tbl>
    <w:p w14:paraId="42C9B1EA" w14:textId="782172A4" w:rsidR="00403E03" w:rsidRDefault="00403E03" w:rsidP="00350474"/>
    <w:tbl>
      <w:tblPr>
        <w:tblStyle w:val="TableGrid"/>
        <w:tblW w:w="0" w:type="auto"/>
        <w:tblInd w:w="-572" w:type="dxa"/>
        <w:tblLook w:val="04A0" w:firstRow="1" w:lastRow="0" w:firstColumn="1" w:lastColumn="0" w:noHBand="0" w:noVBand="1"/>
      </w:tblPr>
      <w:tblGrid>
        <w:gridCol w:w="3544"/>
        <w:gridCol w:w="6044"/>
      </w:tblGrid>
      <w:tr w:rsidR="00302813" w14:paraId="7FBB07A6" w14:textId="77777777" w:rsidTr="00302813">
        <w:tc>
          <w:tcPr>
            <w:tcW w:w="3544" w:type="dxa"/>
          </w:tcPr>
          <w:p w14:paraId="3D06EB75" w14:textId="77777777" w:rsidR="00302813" w:rsidRDefault="00302813" w:rsidP="00302813">
            <w:r w:rsidRPr="00E70D3D">
              <w:rPr>
                <w:b/>
              </w:rPr>
              <w:t>Record of MRG Discussion</w:t>
            </w:r>
          </w:p>
          <w:p w14:paraId="4B2B0A6B" w14:textId="4D83B67A" w:rsidR="00302813" w:rsidRDefault="00302813" w:rsidP="00302813">
            <w:r w:rsidRPr="00E70D3D">
              <w:t xml:space="preserve">Discussion dates: </w:t>
            </w:r>
          </w:p>
        </w:tc>
        <w:tc>
          <w:tcPr>
            <w:tcW w:w="6044" w:type="dxa"/>
          </w:tcPr>
          <w:p w14:paraId="50FC5164" w14:textId="77777777" w:rsidR="00302813" w:rsidRPr="00E70D3D" w:rsidRDefault="00302813" w:rsidP="00302813">
            <w:r w:rsidRPr="00E70D3D">
              <w:t>22/08/13</w:t>
            </w:r>
          </w:p>
          <w:p w14:paraId="4D3B871B" w14:textId="7ACB58D1" w:rsidR="00302813" w:rsidRDefault="00302813" w:rsidP="00302813">
            <w:r w:rsidRPr="00E70D3D">
              <w:t>18/10/13</w:t>
            </w:r>
          </w:p>
        </w:tc>
      </w:tr>
      <w:tr w:rsidR="00302813" w14:paraId="762EACF6" w14:textId="77777777" w:rsidTr="00302813">
        <w:tc>
          <w:tcPr>
            <w:tcW w:w="3544" w:type="dxa"/>
          </w:tcPr>
          <w:p w14:paraId="45215A46" w14:textId="2D5AD2D0" w:rsidR="00302813" w:rsidRDefault="00302813" w:rsidP="00302813">
            <w:r>
              <w:t>By</w:t>
            </w:r>
          </w:p>
        </w:tc>
        <w:tc>
          <w:tcPr>
            <w:tcW w:w="6044" w:type="dxa"/>
          </w:tcPr>
          <w:p w14:paraId="10564CA2" w14:textId="77777777" w:rsidR="00302813" w:rsidRPr="00E70D3D" w:rsidRDefault="00302813" w:rsidP="00302813">
            <w:r w:rsidRPr="00E70D3D">
              <w:t>Heather Dawe</w:t>
            </w:r>
            <w:r w:rsidRPr="00E70D3D">
              <w:tab/>
              <w:t>HSCIC</w:t>
            </w:r>
            <w:r w:rsidRPr="00E70D3D">
              <w:tab/>
              <w:t>Programme Manager, Clinical Indicators</w:t>
            </w:r>
          </w:p>
          <w:p w14:paraId="59C698E0" w14:textId="77777777" w:rsidR="00302813" w:rsidRPr="00E70D3D" w:rsidRDefault="00302813" w:rsidP="00302813">
            <w:r w:rsidRPr="00E70D3D">
              <w:t>Paul Fryers</w:t>
            </w:r>
            <w:r w:rsidRPr="00E70D3D">
              <w:tab/>
              <w:t>PHE</w:t>
            </w:r>
            <w:r w:rsidRPr="00E70D3D">
              <w:tab/>
              <w:t xml:space="preserve">Deputy Director, East Midlands Knowledge and </w:t>
            </w:r>
          </w:p>
          <w:p w14:paraId="32E3A1CB" w14:textId="77777777" w:rsidR="00302813" w:rsidRPr="00E70D3D" w:rsidRDefault="00302813" w:rsidP="00302813">
            <w:pPr>
              <w:ind w:left="2160"/>
            </w:pPr>
            <w:r w:rsidRPr="00E70D3D">
              <w:t>Intelligence Team</w:t>
            </w:r>
          </w:p>
          <w:p w14:paraId="61C2A91C" w14:textId="77777777" w:rsidR="00302813" w:rsidRPr="00E70D3D" w:rsidRDefault="00302813" w:rsidP="00302813">
            <w:r w:rsidRPr="00E70D3D">
              <w:t>Alyson Whitmarsh</w:t>
            </w:r>
            <w:r w:rsidRPr="00E70D3D">
              <w:tab/>
              <w:t>HSCIC</w:t>
            </w:r>
            <w:r w:rsidRPr="00E70D3D">
              <w:tab/>
              <w:t>Programme Manager, Clinical Audit</w:t>
            </w:r>
          </w:p>
          <w:p w14:paraId="03DE7224" w14:textId="77777777" w:rsidR="00302813" w:rsidRPr="00E70D3D" w:rsidRDefault="00302813" w:rsidP="00302813">
            <w:r w:rsidRPr="00E70D3D">
              <w:t>Chris Dew</w:t>
            </w:r>
            <w:r w:rsidRPr="00E70D3D">
              <w:tab/>
              <w:t>HSCIC</w:t>
            </w:r>
            <w:r w:rsidRPr="00E70D3D">
              <w:tab/>
              <w:t>Section Head, Clinical Indicators</w:t>
            </w:r>
          </w:p>
          <w:p w14:paraId="07CD6FD3" w14:textId="77777777" w:rsidR="00302813" w:rsidRPr="00E70D3D" w:rsidRDefault="00302813" w:rsidP="00302813">
            <w:r w:rsidRPr="00E70D3D">
              <w:t>Andy Sutherland</w:t>
            </w:r>
            <w:r w:rsidRPr="00E70D3D">
              <w:tab/>
              <w:t>HSCIC</w:t>
            </w:r>
            <w:r w:rsidRPr="00E70D3D">
              <w:tab/>
              <w:t>Statistics Head of Profession</w:t>
            </w:r>
          </w:p>
          <w:p w14:paraId="6F47B396" w14:textId="77777777" w:rsidR="00302813" w:rsidRPr="00E70D3D" w:rsidRDefault="00302813" w:rsidP="00302813">
            <w:r w:rsidRPr="00E70D3D">
              <w:t>Irene Begaj               UHB          Statistical Intelligence Analyst</w:t>
            </w:r>
          </w:p>
          <w:p w14:paraId="2CC17BB4" w14:textId="77777777" w:rsidR="00302813" w:rsidRPr="00E70D3D" w:rsidRDefault="00302813" w:rsidP="00302813">
            <w:r w:rsidRPr="00E70D3D">
              <w:t>Paul Iggulden</w:t>
            </w:r>
            <w:r w:rsidRPr="00E70D3D">
              <w:tab/>
              <w:t>HSCIC</w:t>
            </w:r>
            <w:r w:rsidRPr="00E70D3D">
              <w:tab/>
              <w:t xml:space="preserve">Interim Head of Clinical Analysis, Research &amp;   </w:t>
            </w:r>
          </w:p>
          <w:p w14:paraId="15B365C3" w14:textId="77777777" w:rsidR="00302813" w:rsidRPr="00E70D3D" w:rsidRDefault="00302813" w:rsidP="00302813">
            <w:pPr>
              <w:ind w:left="2160"/>
            </w:pPr>
            <w:r w:rsidRPr="00E70D3D">
              <w:lastRenderedPageBreak/>
              <w:t>Development</w:t>
            </w:r>
          </w:p>
          <w:p w14:paraId="2B9109B8" w14:textId="1E539440" w:rsidR="00302813" w:rsidRDefault="00302813" w:rsidP="00302813">
            <w:r w:rsidRPr="00E70D3D">
              <w:t>Jonathon Hope        HSCIC       Principal Analyst, Clinical Audit</w:t>
            </w:r>
          </w:p>
        </w:tc>
      </w:tr>
      <w:tr w:rsidR="00302813" w14:paraId="775F8F30" w14:textId="77777777" w:rsidTr="00302813">
        <w:tc>
          <w:tcPr>
            <w:tcW w:w="3544" w:type="dxa"/>
          </w:tcPr>
          <w:p w14:paraId="77AE4064" w14:textId="076B2DC0" w:rsidR="00302813" w:rsidRDefault="00302813" w:rsidP="00302813">
            <w:r w:rsidRPr="00E70D3D">
              <w:lastRenderedPageBreak/>
              <w:t xml:space="preserve">Summary of MRG discussions: </w:t>
            </w:r>
          </w:p>
        </w:tc>
        <w:tc>
          <w:tcPr>
            <w:tcW w:w="6044" w:type="dxa"/>
          </w:tcPr>
          <w:p w14:paraId="35C6D1B4" w14:textId="77777777" w:rsidR="00302813" w:rsidRPr="00E70D3D" w:rsidRDefault="00302813" w:rsidP="00302813">
            <w:pPr>
              <w:pStyle w:val="ListParagraph"/>
              <w:numPr>
                <w:ilvl w:val="0"/>
                <w:numId w:val="8"/>
              </w:numPr>
              <w:spacing w:after="0" w:line="240" w:lineRule="auto"/>
              <w:ind w:left="325" w:hanging="283"/>
            </w:pPr>
            <w:r w:rsidRPr="00E70D3D">
              <w:t xml:space="preserve">A suggestion was raised that an age band of 0-17 rather than 0-19 should be created as those aged under 18 shouldn’t be drinking. This was rejected by the group on the basis that although the law prohibits purchasing, it is not the case that alcohol is consumed under the age of 18, and that the decision should be strictly statistical. </w:t>
            </w:r>
          </w:p>
          <w:p w14:paraId="2767ADA6" w14:textId="77777777" w:rsidR="00302813" w:rsidRPr="00E70D3D" w:rsidRDefault="00302813" w:rsidP="00302813"/>
          <w:p w14:paraId="4F7D892D" w14:textId="77777777" w:rsidR="00302813" w:rsidRPr="00E70D3D" w:rsidRDefault="00302813" w:rsidP="00302813">
            <w:pPr>
              <w:pStyle w:val="ListParagraph"/>
              <w:numPr>
                <w:ilvl w:val="0"/>
                <w:numId w:val="8"/>
              </w:numPr>
              <w:spacing w:after="0" w:line="240" w:lineRule="auto"/>
              <w:ind w:left="325" w:hanging="283"/>
            </w:pPr>
            <w:r w:rsidRPr="00E70D3D">
              <w:t xml:space="preserve">MRG was informed that NICE supported the view that ‘alcohol-specific’ admissions are the most appropriate measure for the CCG indicator set, as the use of alcohol-attributable fractions would create issues with admission and readmission selection in the accompanying indicator </w:t>
            </w:r>
            <w:r w:rsidRPr="00E70D3D">
              <w:rPr>
                <w:i/>
              </w:rPr>
              <w:t>Alcohol-specific readmission to any hospital within 30 days after the last previous discharge following an alcohol-specific admission (IAP00333)</w:t>
            </w:r>
            <w:r w:rsidRPr="00E70D3D">
              <w:t xml:space="preserve">. To maintain consistency between the two indicators, alcohol-specific admissions are used.  </w:t>
            </w:r>
          </w:p>
          <w:p w14:paraId="1E047551" w14:textId="77777777" w:rsidR="00302813" w:rsidRPr="00E70D3D" w:rsidRDefault="00302813" w:rsidP="00302813"/>
          <w:p w14:paraId="2C156278" w14:textId="77777777" w:rsidR="00302813" w:rsidRPr="00E70D3D" w:rsidRDefault="00302813" w:rsidP="00302813">
            <w:pPr>
              <w:pStyle w:val="ListParagraph"/>
              <w:numPr>
                <w:ilvl w:val="0"/>
                <w:numId w:val="8"/>
              </w:numPr>
              <w:spacing w:after="120" w:line="240" w:lineRule="auto"/>
              <w:ind w:left="324" w:hanging="284"/>
            </w:pPr>
            <w:r w:rsidRPr="00E70D3D">
              <w:t>MRG members queried the removal of ICD 10 code T51.1 (Toxic effect of alcohol, Methanol) from the original application as a subjective issue, citing that this group could include those people producing their own alcohol where things go wrong and a high methanol content is produced as a result.</w:t>
            </w:r>
          </w:p>
          <w:p w14:paraId="4B6F585B" w14:textId="77777777" w:rsidR="00302813" w:rsidRPr="00E70D3D" w:rsidRDefault="00302813" w:rsidP="00302813">
            <w:pPr>
              <w:pStyle w:val="ListParagraph"/>
              <w:numPr>
                <w:ilvl w:val="0"/>
                <w:numId w:val="8"/>
              </w:numPr>
              <w:spacing w:before="120" w:after="0" w:line="240" w:lineRule="auto"/>
              <w:ind w:left="324" w:hanging="284"/>
            </w:pPr>
            <w:r w:rsidRPr="00E70D3D">
              <w:t xml:space="preserve">Additionally, MRG felt that to maintain consistency with other definitions and what is contained in the Local Alcohol Profiles, it should be retained unless a very good reason could be found for its exclusion. </w:t>
            </w:r>
          </w:p>
          <w:p w14:paraId="099D6ED5" w14:textId="77777777" w:rsidR="00302813" w:rsidRPr="00E70D3D" w:rsidRDefault="00302813" w:rsidP="00302813">
            <w:pPr>
              <w:pStyle w:val="ListParagraph"/>
              <w:numPr>
                <w:ilvl w:val="0"/>
                <w:numId w:val="8"/>
              </w:numPr>
              <w:spacing w:before="120" w:after="0" w:line="240" w:lineRule="auto"/>
              <w:ind w:left="324" w:hanging="284"/>
            </w:pPr>
            <w:r w:rsidRPr="00E70D3D">
              <w:t xml:space="preserve">Subsequently the ICD-10 diagnosis codes for alcohol-specific admissions have been aligned with the conditions defined by the North West Public Health Observatory as alcohol-specific i.e. wholly-attributable to alcohol. </w:t>
            </w:r>
          </w:p>
          <w:p w14:paraId="77B197B3" w14:textId="77777777" w:rsidR="00302813" w:rsidRPr="00E70D3D" w:rsidRDefault="00302813" w:rsidP="00302813"/>
          <w:p w14:paraId="7315A250" w14:textId="77777777" w:rsidR="00302813" w:rsidRPr="00E70D3D" w:rsidRDefault="00302813" w:rsidP="00302813">
            <w:pPr>
              <w:pStyle w:val="ListParagraph"/>
              <w:numPr>
                <w:ilvl w:val="0"/>
                <w:numId w:val="8"/>
              </w:numPr>
              <w:spacing w:before="60" w:after="0" w:line="240" w:lineRule="auto"/>
              <w:ind w:left="324" w:hanging="284"/>
            </w:pPr>
            <w:r w:rsidRPr="00E70D3D">
              <w:t xml:space="preserve">MRG members felt that clarification should be provided in the metadata for the differences in definitions for this indicator in comparison to other similar public health indicators. </w:t>
            </w:r>
          </w:p>
          <w:p w14:paraId="2000D3AC" w14:textId="77777777" w:rsidR="00302813" w:rsidRPr="00E70D3D" w:rsidRDefault="00302813" w:rsidP="00302813">
            <w:pPr>
              <w:spacing w:before="60"/>
            </w:pPr>
          </w:p>
          <w:p w14:paraId="5AC523A8" w14:textId="77777777" w:rsidR="00302813" w:rsidRPr="00E70D3D" w:rsidRDefault="00302813" w:rsidP="00302813">
            <w:pPr>
              <w:pStyle w:val="ListParagraph"/>
              <w:numPr>
                <w:ilvl w:val="0"/>
                <w:numId w:val="8"/>
              </w:numPr>
              <w:spacing w:before="60" w:after="0" w:line="240" w:lineRule="auto"/>
              <w:ind w:left="324" w:hanging="284"/>
            </w:pPr>
            <w:r w:rsidRPr="00E70D3D">
              <w:t>There was discussion as to whether the indicator looked at only the primary diagnosis,  and whether there was a possibility that codes such as F10 (Mental and behavioural disorder due to use of alcohol) would not be coded as a primary diagnosis and therefore likely to be missed.</w:t>
            </w:r>
          </w:p>
          <w:p w14:paraId="57F5CA62" w14:textId="77777777" w:rsidR="00302813" w:rsidRPr="00E70D3D" w:rsidRDefault="00302813" w:rsidP="00302813">
            <w:pPr>
              <w:pStyle w:val="ListParagraph"/>
              <w:numPr>
                <w:ilvl w:val="0"/>
                <w:numId w:val="8"/>
              </w:numPr>
              <w:spacing w:before="60" w:after="0" w:line="240" w:lineRule="auto"/>
              <w:ind w:left="324" w:hanging="284"/>
            </w:pPr>
            <w:r w:rsidRPr="00E70D3D">
              <w:t xml:space="preserve">MRG concluded that F10 can be used as a primary diagnosis code, and that the intent of the indicator was to count alcohol admissions, not secondary reasons. In this case, admissions are being used as a proxy for </w:t>
            </w:r>
            <w:r w:rsidRPr="00E70D3D">
              <w:lastRenderedPageBreak/>
              <w:t>burden on acute services rather than the full burden of alcohol.</w:t>
            </w:r>
          </w:p>
          <w:p w14:paraId="0B61F017" w14:textId="77777777" w:rsidR="00302813" w:rsidRPr="00E70D3D" w:rsidRDefault="00302813" w:rsidP="00302813">
            <w:pPr>
              <w:spacing w:before="60"/>
            </w:pPr>
          </w:p>
          <w:p w14:paraId="474457B4" w14:textId="77777777" w:rsidR="00302813" w:rsidRPr="00E70D3D" w:rsidRDefault="00302813" w:rsidP="00302813">
            <w:pPr>
              <w:pStyle w:val="ListParagraph"/>
              <w:numPr>
                <w:ilvl w:val="0"/>
                <w:numId w:val="8"/>
              </w:numPr>
              <w:spacing w:before="60" w:after="0" w:line="240" w:lineRule="auto"/>
              <w:ind w:left="324" w:hanging="284"/>
            </w:pPr>
            <w:r w:rsidRPr="00E70D3D">
              <w:t>Updated confidence interval methodology were provided to the group on request. Confidence intervals will be calculated as specified in ‘Commonly used public health statistics and their confidence intervals’ (APHO, March 2008).</w:t>
            </w:r>
          </w:p>
          <w:p w14:paraId="23E57AD2" w14:textId="77777777" w:rsidR="00302813" w:rsidRPr="00E70D3D" w:rsidRDefault="00302813" w:rsidP="00302813">
            <w:pPr>
              <w:spacing w:before="60"/>
            </w:pPr>
          </w:p>
          <w:p w14:paraId="35A58961" w14:textId="77777777" w:rsidR="00302813" w:rsidRPr="00E70D3D" w:rsidRDefault="00302813" w:rsidP="00302813">
            <w:pPr>
              <w:pStyle w:val="ListParagraph"/>
              <w:numPr>
                <w:ilvl w:val="0"/>
                <w:numId w:val="8"/>
              </w:numPr>
              <w:spacing w:before="60" w:after="0" w:line="240" w:lineRule="auto"/>
              <w:ind w:left="324" w:hanging="284"/>
            </w:pPr>
            <w:r w:rsidRPr="00E70D3D">
              <w:t>The updated information provided on confidence intervals and the alignment of ICD 10 codes to the conditions defined by NWPHO were accepted by MRG and no further questions were raised.</w:t>
            </w:r>
          </w:p>
          <w:p w14:paraId="72E9333D" w14:textId="77777777" w:rsidR="00302813" w:rsidRDefault="00302813" w:rsidP="00302813"/>
        </w:tc>
      </w:tr>
      <w:tr w:rsidR="00302813" w14:paraId="18C6B9F1" w14:textId="77777777" w:rsidTr="00302813">
        <w:tc>
          <w:tcPr>
            <w:tcW w:w="3544" w:type="dxa"/>
          </w:tcPr>
          <w:p w14:paraId="28051129" w14:textId="046A5FDC" w:rsidR="00302813" w:rsidRDefault="00302813" w:rsidP="00302813">
            <w:r w:rsidRPr="00E70D3D">
              <w:rPr>
                <w:i/>
              </w:rPr>
              <w:lastRenderedPageBreak/>
              <w:t>Outcome of MRG consideration:</w:t>
            </w:r>
          </w:p>
        </w:tc>
        <w:tc>
          <w:tcPr>
            <w:tcW w:w="6044" w:type="dxa"/>
          </w:tcPr>
          <w:p w14:paraId="65701AF3" w14:textId="6B8FE866" w:rsidR="00302813" w:rsidRDefault="00302813" w:rsidP="00302813">
            <w:r w:rsidRPr="00E70D3D">
              <w:rPr>
                <w:b/>
              </w:rPr>
              <w:t>No significant issues identified</w:t>
            </w:r>
          </w:p>
        </w:tc>
      </w:tr>
      <w:tr w:rsidR="00302813" w14:paraId="3B443487" w14:textId="77777777" w:rsidTr="00302813">
        <w:tc>
          <w:tcPr>
            <w:tcW w:w="3544" w:type="dxa"/>
          </w:tcPr>
          <w:p w14:paraId="1AD807FA" w14:textId="7D68D07B" w:rsidR="00302813" w:rsidRDefault="00302813" w:rsidP="00302813">
            <w:r w:rsidRPr="00E70D3D">
              <w:t>MRG statement of recommendation:</w:t>
            </w:r>
          </w:p>
        </w:tc>
        <w:tc>
          <w:tcPr>
            <w:tcW w:w="6044" w:type="dxa"/>
          </w:tcPr>
          <w:p w14:paraId="6CB6C8DA" w14:textId="3912FE23" w:rsidR="00302813" w:rsidRDefault="00302813" w:rsidP="00302813">
            <w:r w:rsidRPr="00E70D3D">
              <w:t>This indicator has been recommended for consideration by IGB</w:t>
            </w:r>
          </w:p>
        </w:tc>
      </w:tr>
    </w:tbl>
    <w:p w14:paraId="12339B4E" w14:textId="77777777" w:rsidR="00403E03" w:rsidRPr="00E70D3D" w:rsidRDefault="00403E03" w:rsidP="00350474"/>
    <w:p w14:paraId="53AABA01" w14:textId="77777777" w:rsidR="00403E03" w:rsidRPr="00E70D3D" w:rsidRDefault="00403E03" w:rsidP="00302813">
      <w:pPr>
        <w:ind w:left="-851" w:firstLine="851"/>
      </w:pPr>
      <w:r w:rsidRPr="00E70D3D">
        <w:t>Review:</w:t>
      </w:r>
    </w:p>
    <w:tbl>
      <w:tblPr>
        <w:tblStyle w:val="TableGrid1"/>
        <w:tblpPr w:leftFromText="180" w:rightFromText="180" w:vertAnchor="text" w:horzAnchor="margin" w:tblpXSpec="center" w:tblpY="165"/>
        <w:tblW w:w="9923" w:type="dxa"/>
        <w:tblLayout w:type="fixed"/>
        <w:tblLook w:val="01E0" w:firstRow="1" w:lastRow="1" w:firstColumn="1" w:lastColumn="1" w:noHBand="0" w:noVBand="0"/>
      </w:tblPr>
      <w:tblGrid>
        <w:gridCol w:w="2127"/>
        <w:gridCol w:w="7796"/>
      </w:tblGrid>
      <w:tr w:rsidR="00302813" w:rsidRPr="00E70D3D" w14:paraId="74478623" w14:textId="77777777" w:rsidTr="00302813">
        <w:trPr>
          <w:trHeight w:val="285"/>
        </w:trPr>
        <w:tc>
          <w:tcPr>
            <w:tcW w:w="2127" w:type="dxa"/>
          </w:tcPr>
          <w:p w14:paraId="5D192B52" w14:textId="3C6B3192" w:rsidR="00302813" w:rsidRPr="00E70D3D" w:rsidRDefault="00302813" w:rsidP="00302813">
            <w:r w:rsidRPr="00E70D3D">
              <w:t>Review Timescale</w:t>
            </w:r>
          </w:p>
        </w:tc>
        <w:tc>
          <w:tcPr>
            <w:tcW w:w="7796" w:type="dxa"/>
          </w:tcPr>
          <w:p w14:paraId="299FD8A9" w14:textId="69F38B46" w:rsidR="00302813" w:rsidRPr="00E70D3D" w:rsidRDefault="00302813" w:rsidP="00302813">
            <w:r w:rsidRPr="00E70D3D">
              <w:rPr>
                <w:b/>
              </w:rPr>
              <w:t>3 years</w:t>
            </w:r>
          </w:p>
        </w:tc>
      </w:tr>
      <w:tr w:rsidR="00302813" w:rsidRPr="00E70D3D" w14:paraId="4689C09D" w14:textId="77777777" w:rsidTr="00302813">
        <w:trPr>
          <w:trHeight w:val="285"/>
        </w:trPr>
        <w:tc>
          <w:tcPr>
            <w:tcW w:w="2127" w:type="dxa"/>
          </w:tcPr>
          <w:p w14:paraId="4D17CACE" w14:textId="5A6EE662" w:rsidR="00302813" w:rsidRPr="00E70D3D" w:rsidRDefault="00302813" w:rsidP="00302813">
            <w:r w:rsidRPr="00E70D3D">
              <w:t xml:space="preserve">Rationale         </w:t>
            </w:r>
          </w:p>
        </w:tc>
        <w:tc>
          <w:tcPr>
            <w:tcW w:w="7796" w:type="dxa"/>
          </w:tcPr>
          <w:p w14:paraId="67CC470D" w14:textId="77777777" w:rsidR="00302813" w:rsidRPr="00E70D3D" w:rsidRDefault="00302813" w:rsidP="00302813">
            <w:r w:rsidRPr="00E70D3D">
              <w:t>[Issues to consider  – Changes to process, policy data source, coding definitions HES definitions ]</w:t>
            </w:r>
          </w:p>
          <w:p w14:paraId="22CEA07B" w14:textId="77777777" w:rsidR="00302813" w:rsidRPr="00E70D3D" w:rsidRDefault="00302813" w:rsidP="00302813"/>
          <w:p w14:paraId="6BEF5198" w14:textId="77777777" w:rsidR="00302813" w:rsidRPr="00E70D3D" w:rsidRDefault="00302813" w:rsidP="00302813">
            <w:r w:rsidRPr="00E70D3D">
              <w:t>The indicator is recommended for review in three years on the basis that no changes in the data source or rationale is expected</w:t>
            </w:r>
          </w:p>
          <w:p w14:paraId="24CC23E5" w14:textId="77777777" w:rsidR="00302813" w:rsidRPr="00E70D3D" w:rsidRDefault="00302813" w:rsidP="00302813"/>
        </w:tc>
      </w:tr>
    </w:tbl>
    <w:p w14:paraId="00393A63" w14:textId="77777777" w:rsidR="00403E03" w:rsidRPr="00E70D3D" w:rsidRDefault="00403E03" w:rsidP="00350474">
      <w:pPr>
        <w:tabs>
          <w:tab w:val="left" w:pos="2830"/>
        </w:tabs>
        <w:ind w:left="-851"/>
      </w:pPr>
    </w:p>
    <w:p w14:paraId="2E819F0A" w14:textId="77777777" w:rsidR="00403E03" w:rsidRPr="00E70D3D" w:rsidRDefault="00403E03" w:rsidP="00350474">
      <w:pPr>
        <w:tabs>
          <w:tab w:val="left" w:pos="2830"/>
        </w:tabs>
        <w:ind w:left="-851"/>
      </w:pPr>
      <w:r w:rsidRPr="00E70D3D">
        <w:t xml:space="preserve">IGB Sign-off: </w:t>
      </w:r>
    </w:p>
    <w:p w14:paraId="3DBF0984" w14:textId="77777777" w:rsidR="00403E03" w:rsidRPr="00E70D3D" w:rsidRDefault="00403E03" w:rsidP="00350474"/>
    <w:tbl>
      <w:tblPr>
        <w:tblStyle w:val="TableGrid1"/>
        <w:tblW w:w="9923" w:type="dxa"/>
        <w:tblInd w:w="-457" w:type="dxa"/>
        <w:tblLayout w:type="fixed"/>
        <w:tblLook w:val="01E0" w:firstRow="1" w:lastRow="1" w:firstColumn="1" w:lastColumn="1" w:noHBand="0" w:noVBand="0"/>
      </w:tblPr>
      <w:tblGrid>
        <w:gridCol w:w="2124"/>
        <w:gridCol w:w="7799"/>
      </w:tblGrid>
      <w:tr w:rsidR="00317FD0" w:rsidRPr="00E70D3D" w14:paraId="79F5E223" w14:textId="77777777" w:rsidTr="00302813">
        <w:tc>
          <w:tcPr>
            <w:tcW w:w="2124" w:type="dxa"/>
          </w:tcPr>
          <w:p w14:paraId="02E0DD2D" w14:textId="77777777" w:rsidR="00317FD0" w:rsidRPr="00E70D3D" w:rsidRDefault="00317FD0" w:rsidP="00350474">
            <w:pPr>
              <w:rPr>
                <w:i/>
              </w:rPr>
            </w:pPr>
          </w:p>
        </w:tc>
        <w:tc>
          <w:tcPr>
            <w:tcW w:w="7799" w:type="dxa"/>
          </w:tcPr>
          <w:p w14:paraId="0791A865" w14:textId="37EBA3A8" w:rsidR="00317FD0" w:rsidRPr="00E70D3D" w:rsidRDefault="00317FD0" w:rsidP="00350474">
            <w:pPr>
              <w:rPr>
                <w:b/>
              </w:rPr>
            </w:pPr>
            <w:r w:rsidRPr="00E70D3D">
              <w:rPr>
                <w:b/>
              </w:rPr>
              <w:t>Indicator Assurance Process Output</w:t>
            </w:r>
          </w:p>
        </w:tc>
      </w:tr>
      <w:tr w:rsidR="00302813" w:rsidRPr="00E70D3D" w14:paraId="377D1598" w14:textId="77777777" w:rsidTr="00302813">
        <w:tc>
          <w:tcPr>
            <w:tcW w:w="2124" w:type="dxa"/>
          </w:tcPr>
          <w:p w14:paraId="39E27C8F" w14:textId="201EF1DD" w:rsidR="00302813" w:rsidRPr="00E70D3D" w:rsidRDefault="00317FD0" w:rsidP="00350474">
            <w:r w:rsidRPr="00E70D3D">
              <w:rPr>
                <w:i/>
              </w:rPr>
              <w:t>Final Appraisal Status</w:t>
            </w:r>
          </w:p>
        </w:tc>
        <w:tc>
          <w:tcPr>
            <w:tcW w:w="7799" w:type="dxa"/>
          </w:tcPr>
          <w:p w14:paraId="3947C2FA" w14:textId="77777777" w:rsidR="00302813" w:rsidRDefault="00317FD0" w:rsidP="00350474">
            <w:pPr>
              <w:rPr>
                <w:b/>
              </w:rPr>
            </w:pPr>
            <w:r w:rsidRPr="00E70D3D">
              <w:rPr>
                <w:b/>
              </w:rPr>
              <w:t>Assured</w:t>
            </w:r>
          </w:p>
          <w:p w14:paraId="1227CE0A" w14:textId="77777777" w:rsidR="00317FD0" w:rsidRDefault="00317FD0" w:rsidP="00350474">
            <w:pPr>
              <w:rPr>
                <w:b/>
              </w:rPr>
            </w:pPr>
            <w:r w:rsidRPr="00E70D3D">
              <w:rPr>
                <w:b/>
              </w:rPr>
              <w:t>Assured with Comments</w:t>
            </w:r>
          </w:p>
          <w:p w14:paraId="40D14627" w14:textId="1C1800A5" w:rsidR="00317FD0" w:rsidRPr="00E70D3D" w:rsidRDefault="00317FD0" w:rsidP="00350474">
            <w:r w:rsidRPr="00E70D3D">
              <w:rPr>
                <w:b/>
              </w:rPr>
              <w:t>Failed Assurance</w:t>
            </w:r>
          </w:p>
        </w:tc>
      </w:tr>
      <w:tr w:rsidR="00E70D3D" w:rsidRPr="00E70D3D" w14:paraId="3C4B382D" w14:textId="77777777" w:rsidTr="00302813">
        <w:tc>
          <w:tcPr>
            <w:tcW w:w="2124" w:type="dxa"/>
          </w:tcPr>
          <w:p w14:paraId="39368329" w14:textId="77777777" w:rsidR="00403E03" w:rsidRPr="00E70D3D" w:rsidRDefault="00403E03" w:rsidP="00350474">
            <w:r w:rsidRPr="00E70D3D">
              <w:t>Basis of Sign-off</w:t>
            </w:r>
          </w:p>
          <w:p w14:paraId="7B528000" w14:textId="77777777" w:rsidR="00403E03" w:rsidRPr="00E70D3D" w:rsidRDefault="00403E03" w:rsidP="00350474">
            <w:r w:rsidRPr="00E70D3D">
              <w:t>[Detail caveats and limitations ]</w:t>
            </w:r>
          </w:p>
        </w:tc>
        <w:tc>
          <w:tcPr>
            <w:tcW w:w="7799" w:type="dxa"/>
          </w:tcPr>
          <w:p w14:paraId="2705847A" w14:textId="77777777" w:rsidR="00403E03" w:rsidRPr="00E70D3D" w:rsidRDefault="00403E03" w:rsidP="00350474"/>
          <w:p w14:paraId="19B7F532" w14:textId="77777777" w:rsidR="00403E03" w:rsidRPr="00E70D3D" w:rsidRDefault="00403E03" w:rsidP="00350474"/>
          <w:p w14:paraId="41462D78" w14:textId="77777777" w:rsidR="00403E03" w:rsidRPr="00E70D3D" w:rsidRDefault="00403E03" w:rsidP="00350474"/>
        </w:tc>
      </w:tr>
      <w:tr w:rsidR="00E70D3D" w:rsidRPr="00E70D3D" w14:paraId="66299620" w14:textId="77777777" w:rsidTr="00302813">
        <w:tc>
          <w:tcPr>
            <w:tcW w:w="2124" w:type="dxa"/>
          </w:tcPr>
          <w:p w14:paraId="2CB6D92F" w14:textId="77777777" w:rsidR="00403E03" w:rsidRPr="00E70D3D" w:rsidRDefault="00403E03" w:rsidP="00350474">
            <w:r w:rsidRPr="00E70D3D">
              <w:t>Sign-off Date</w:t>
            </w:r>
          </w:p>
        </w:tc>
        <w:tc>
          <w:tcPr>
            <w:tcW w:w="7799" w:type="dxa"/>
          </w:tcPr>
          <w:p w14:paraId="7DB6BACF" w14:textId="77777777" w:rsidR="00403E03" w:rsidRPr="00E70D3D" w:rsidRDefault="00403E03" w:rsidP="00350474"/>
        </w:tc>
      </w:tr>
    </w:tbl>
    <w:p w14:paraId="64713E70" w14:textId="77777777" w:rsidR="00403E03" w:rsidRPr="00E70D3D" w:rsidRDefault="00403E03" w:rsidP="00350474"/>
    <w:p w14:paraId="67752F58" w14:textId="77777777" w:rsidR="00403E03" w:rsidRPr="00E70D3D" w:rsidRDefault="00403E03" w:rsidP="00350474"/>
    <w:p w14:paraId="15A628F3" w14:textId="77777777" w:rsidR="00403E03" w:rsidRPr="00E70D3D" w:rsidRDefault="00403E03" w:rsidP="00350474">
      <w:pPr>
        <w:ind w:left="-851"/>
      </w:pPr>
    </w:p>
    <w:p w14:paraId="279092F2" w14:textId="77777777" w:rsidR="00173180" w:rsidRPr="00E70D3D" w:rsidRDefault="00173180" w:rsidP="00BD69FE">
      <w:pPr>
        <w:rPr>
          <w:b/>
        </w:rPr>
      </w:pPr>
    </w:p>
    <w:sectPr w:rsidR="00173180" w:rsidRPr="00E70D3D" w:rsidSect="000D37BE">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EEA9F" w14:textId="77777777" w:rsidR="00350474" w:rsidRDefault="00350474" w:rsidP="00403E03">
      <w:r>
        <w:separator/>
      </w:r>
    </w:p>
  </w:endnote>
  <w:endnote w:type="continuationSeparator" w:id="0">
    <w:p w14:paraId="6CBFDCF6" w14:textId="77777777" w:rsidR="00350474" w:rsidRDefault="00350474" w:rsidP="0040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AFBE" w14:textId="77777777" w:rsidR="00350474" w:rsidRDefault="00350474" w:rsidP="00350474"/>
  <w:sdt>
    <w:sdtPr>
      <w:rPr>
        <w:color w:val="auto"/>
        <w:sz w:val="18"/>
        <w:szCs w:val="18"/>
      </w:rPr>
      <w:id w:val="-861506761"/>
      <w:docPartObj>
        <w:docPartGallery w:val="Page Numbers (Bottom of Page)"/>
        <w:docPartUnique/>
      </w:docPartObj>
    </w:sdtPr>
    <w:sdtEndPr>
      <w:rPr>
        <w:noProof/>
      </w:rPr>
    </w:sdtEndPr>
    <w:sdtContent>
      <w:p w14:paraId="6EFE2C75" w14:textId="0890B916" w:rsidR="00E70D3D" w:rsidRPr="00E70D3D" w:rsidRDefault="00E70D3D" w:rsidP="00E70D3D">
        <w:pPr>
          <w:pStyle w:val="Footer"/>
          <w:tabs>
            <w:tab w:val="left" w:pos="426"/>
          </w:tabs>
          <w:rPr>
            <w:color w:val="auto"/>
            <w:sz w:val="18"/>
            <w:szCs w:val="18"/>
          </w:rPr>
        </w:pPr>
        <w:r w:rsidRPr="00E70D3D">
          <w:rPr>
            <w:color w:val="auto"/>
            <w:sz w:val="18"/>
            <w:szCs w:val="18"/>
          </w:rPr>
          <w:t>IAP00332 Supporting documentation</w:t>
        </w:r>
      </w:p>
      <w:p w14:paraId="5A04FB99" w14:textId="0981837B" w:rsidR="00350474" w:rsidRPr="00E70D3D" w:rsidRDefault="00E70D3D" w:rsidP="00350474">
        <w:pPr>
          <w:pStyle w:val="Footer"/>
          <w:tabs>
            <w:tab w:val="left" w:pos="426"/>
          </w:tabs>
          <w:rPr>
            <w:color w:val="auto"/>
            <w:sz w:val="18"/>
            <w:szCs w:val="18"/>
          </w:rPr>
        </w:pPr>
        <w:r w:rsidRPr="00E70D3D">
          <w:rPr>
            <w:color w:val="auto"/>
            <w:sz w:val="18"/>
            <w:szCs w:val="18"/>
          </w:rPr>
          <w:t>Copyright © 2019 NHS Digital</w:t>
        </w:r>
        <w:r w:rsidRPr="00E70D3D">
          <w:rPr>
            <w:color w:val="auto"/>
            <w:sz w:val="18"/>
            <w:szCs w:val="18"/>
          </w:rPr>
          <w:tab/>
        </w:r>
        <w:r w:rsidRPr="00E70D3D">
          <w:rPr>
            <w:color w:val="auto"/>
            <w:sz w:val="18"/>
            <w:szCs w:val="18"/>
          </w:rPr>
          <w:fldChar w:fldCharType="begin"/>
        </w:r>
        <w:r w:rsidRPr="00E70D3D">
          <w:rPr>
            <w:color w:val="auto"/>
            <w:sz w:val="18"/>
            <w:szCs w:val="18"/>
          </w:rPr>
          <w:instrText xml:space="preserve"> PAGE   \* MERGEFORMAT </w:instrText>
        </w:r>
        <w:r w:rsidRPr="00E70D3D">
          <w:rPr>
            <w:color w:val="auto"/>
            <w:sz w:val="18"/>
            <w:szCs w:val="18"/>
          </w:rPr>
          <w:fldChar w:fldCharType="separate"/>
        </w:r>
        <w:r w:rsidRPr="00E70D3D">
          <w:rPr>
            <w:color w:val="auto"/>
            <w:sz w:val="18"/>
            <w:szCs w:val="18"/>
          </w:rPr>
          <w:t>1</w:t>
        </w:r>
        <w:r w:rsidRPr="00E70D3D">
          <w:rPr>
            <w:noProof/>
            <w:color w:val="auto"/>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0AA6F" w14:textId="77777777" w:rsidR="00350474" w:rsidRDefault="00350474" w:rsidP="00403E03">
      <w:r>
        <w:separator/>
      </w:r>
    </w:p>
  </w:footnote>
  <w:footnote w:type="continuationSeparator" w:id="0">
    <w:p w14:paraId="5D184ECE" w14:textId="77777777" w:rsidR="00350474" w:rsidRDefault="00350474" w:rsidP="0040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40E8" w14:textId="6F97BCB5" w:rsidR="00350474" w:rsidRPr="00E70D3D" w:rsidRDefault="00E70D3D" w:rsidP="00E70D3D">
    <w:pPr>
      <w:pStyle w:val="Header"/>
      <w:jc w:val="center"/>
      <w:rPr>
        <w:b/>
        <w:bCs/>
        <w:sz w:val="24"/>
        <w:szCs w:val="24"/>
      </w:rPr>
    </w:pPr>
    <w:r w:rsidRPr="00F37180">
      <w:rPr>
        <w:b/>
        <w:bCs/>
        <w:sz w:val="24"/>
        <w:szCs w:val="24"/>
      </w:rPr>
      <w:t>NICE inherited this indicator and all its supporting documentation from NHS Digital on 1 April 2020</w:t>
    </w:r>
  </w:p>
  <w:p w14:paraId="3533F460" w14:textId="77777777" w:rsidR="00350474" w:rsidRDefault="00350474" w:rsidP="00350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B6701"/>
    <w:multiLevelType w:val="hybridMultilevel"/>
    <w:tmpl w:val="316EB19A"/>
    <w:lvl w:ilvl="0" w:tplc="EE26B92C">
      <w:numFmt w:val="bullet"/>
      <w:lvlText w:val="•"/>
      <w:lvlJc w:val="left"/>
      <w:pPr>
        <w:ind w:left="720" w:hanging="720"/>
      </w:pPr>
      <w:rPr>
        <w:rFonts w:ascii="Calibri" w:eastAsia="Times New Roman" w:hAnsi="Calibri" w:cs="Calibri"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EF085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92353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7E94873"/>
    <w:multiLevelType w:val="hybridMultilevel"/>
    <w:tmpl w:val="5BAC6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E441950"/>
    <w:multiLevelType w:val="hybridMultilevel"/>
    <w:tmpl w:val="6F0E0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D116E0"/>
    <w:multiLevelType w:val="hybridMultilevel"/>
    <w:tmpl w:val="15302A3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E2C6431"/>
    <w:multiLevelType w:val="hybridMultilevel"/>
    <w:tmpl w:val="947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66D18"/>
    <w:multiLevelType w:val="hybridMultilevel"/>
    <w:tmpl w:val="FBBA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5539E0"/>
    <w:multiLevelType w:val="hybridMultilevel"/>
    <w:tmpl w:val="2496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1C3EC4"/>
    <w:multiLevelType w:val="hybridMultilevel"/>
    <w:tmpl w:val="F4B670EC"/>
    <w:lvl w:ilvl="0" w:tplc="7844572E">
      <w:start w:val="1"/>
      <w:numFmt w:val="decimal"/>
      <w:lvlText w:val="%1."/>
      <w:lvlJc w:val="left"/>
      <w:pPr>
        <w:ind w:left="360" w:hanging="360"/>
      </w:pPr>
      <w:rPr>
        <w:b w:val="0"/>
      </w:rPr>
    </w:lvl>
    <w:lvl w:ilvl="1" w:tplc="08090019">
      <w:start w:val="1"/>
      <w:numFmt w:val="lowerLetter"/>
      <w:lvlText w:val="%2."/>
      <w:lvlJc w:val="left"/>
      <w:pPr>
        <w:ind w:left="751"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C0E001A"/>
    <w:multiLevelType w:val="hybridMultilevel"/>
    <w:tmpl w:val="5F1AD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7"/>
  </w:num>
  <w:num w:numId="5">
    <w:abstractNumId w:val="11"/>
  </w:num>
  <w:num w:numId="6">
    <w:abstractNumId w:val="6"/>
  </w:num>
  <w:num w:numId="7">
    <w:abstractNumId w:val="9"/>
  </w:num>
  <w:num w:numId="8">
    <w:abstractNumId w:val="0"/>
  </w:num>
  <w:num w:numId="9">
    <w:abstractNumId w:val="1"/>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215"/>
    <w:rsid w:val="00004B13"/>
    <w:rsid w:val="00015B83"/>
    <w:rsid w:val="00020DA2"/>
    <w:rsid w:val="00024010"/>
    <w:rsid w:val="0005025D"/>
    <w:rsid w:val="00054305"/>
    <w:rsid w:val="000A20FA"/>
    <w:rsid w:val="000A2D78"/>
    <w:rsid w:val="000B185A"/>
    <w:rsid w:val="000C6535"/>
    <w:rsid w:val="000C7A90"/>
    <w:rsid w:val="000D058B"/>
    <w:rsid w:val="000D37BE"/>
    <w:rsid w:val="000F3A7E"/>
    <w:rsid w:val="000F3E42"/>
    <w:rsid w:val="00110F8F"/>
    <w:rsid w:val="001140B5"/>
    <w:rsid w:val="00140F94"/>
    <w:rsid w:val="001467EA"/>
    <w:rsid w:val="00173180"/>
    <w:rsid w:val="00175B66"/>
    <w:rsid w:val="001C0977"/>
    <w:rsid w:val="001C2938"/>
    <w:rsid w:val="001C2E38"/>
    <w:rsid w:val="001D335A"/>
    <w:rsid w:val="001D3BCA"/>
    <w:rsid w:val="00230D71"/>
    <w:rsid w:val="002330DA"/>
    <w:rsid w:val="002434FF"/>
    <w:rsid w:val="002A48DE"/>
    <w:rsid w:val="002D09CE"/>
    <w:rsid w:val="002D0FDD"/>
    <w:rsid w:val="002D38D9"/>
    <w:rsid w:val="002D39A2"/>
    <w:rsid w:val="002E4519"/>
    <w:rsid w:val="00302813"/>
    <w:rsid w:val="003042A5"/>
    <w:rsid w:val="003046B9"/>
    <w:rsid w:val="00305A8E"/>
    <w:rsid w:val="00312DB5"/>
    <w:rsid w:val="00317FD0"/>
    <w:rsid w:val="003245DC"/>
    <w:rsid w:val="00350474"/>
    <w:rsid w:val="00351EF0"/>
    <w:rsid w:val="0037108F"/>
    <w:rsid w:val="0037488A"/>
    <w:rsid w:val="00376806"/>
    <w:rsid w:val="003849F7"/>
    <w:rsid w:val="003918FE"/>
    <w:rsid w:val="00393E21"/>
    <w:rsid w:val="003A3B72"/>
    <w:rsid w:val="003A5F69"/>
    <w:rsid w:val="003B3FDD"/>
    <w:rsid w:val="003C31CF"/>
    <w:rsid w:val="003D0ABF"/>
    <w:rsid w:val="003D111D"/>
    <w:rsid w:val="003D28F0"/>
    <w:rsid w:val="003E0B60"/>
    <w:rsid w:val="003E7FFC"/>
    <w:rsid w:val="003F1910"/>
    <w:rsid w:val="003F2E96"/>
    <w:rsid w:val="004031AC"/>
    <w:rsid w:val="00403E03"/>
    <w:rsid w:val="004152DD"/>
    <w:rsid w:val="00432341"/>
    <w:rsid w:val="00474C37"/>
    <w:rsid w:val="00493340"/>
    <w:rsid w:val="004C05C4"/>
    <w:rsid w:val="004C64BB"/>
    <w:rsid w:val="004D79E1"/>
    <w:rsid w:val="004F28DC"/>
    <w:rsid w:val="005061F5"/>
    <w:rsid w:val="00507AC8"/>
    <w:rsid w:val="00557D20"/>
    <w:rsid w:val="00570CE0"/>
    <w:rsid w:val="005A48EC"/>
    <w:rsid w:val="005C6DF0"/>
    <w:rsid w:val="005C7AAF"/>
    <w:rsid w:val="005D711D"/>
    <w:rsid w:val="00606204"/>
    <w:rsid w:val="006106A6"/>
    <w:rsid w:val="00646452"/>
    <w:rsid w:val="006740AB"/>
    <w:rsid w:val="00697E22"/>
    <w:rsid w:val="006A54FE"/>
    <w:rsid w:val="006D7FD0"/>
    <w:rsid w:val="006E0DB3"/>
    <w:rsid w:val="006F0E9F"/>
    <w:rsid w:val="00716EDB"/>
    <w:rsid w:val="00724B3F"/>
    <w:rsid w:val="00763298"/>
    <w:rsid w:val="007701E6"/>
    <w:rsid w:val="00773915"/>
    <w:rsid w:val="00783927"/>
    <w:rsid w:val="007848BC"/>
    <w:rsid w:val="0079546A"/>
    <w:rsid w:val="00797476"/>
    <w:rsid w:val="007A2C2A"/>
    <w:rsid w:val="007A597F"/>
    <w:rsid w:val="007C747D"/>
    <w:rsid w:val="007D537B"/>
    <w:rsid w:val="007D7A25"/>
    <w:rsid w:val="007E56AC"/>
    <w:rsid w:val="00801899"/>
    <w:rsid w:val="00801B58"/>
    <w:rsid w:val="00824327"/>
    <w:rsid w:val="00824585"/>
    <w:rsid w:val="0084664C"/>
    <w:rsid w:val="00846F20"/>
    <w:rsid w:val="00847849"/>
    <w:rsid w:val="0085723A"/>
    <w:rsid w:val="00864BFE"/>
    <w:rsid w:val="00880464"/>
    <w:rsid w:val="008C57D6"/>
    <w:rsid w:val="008D5219"/>
    <w:rsid w:val="008D6588"/>
    <w:rsid w:val="008D6C40"/>
    <w:rsid w:val="008E1EA0"/>
    <w:rsid w:val="008E7722"/>
    <w:rsid w:val="009157A9"/>
    <w:rsid w:val="00924901"/>
    <w:rsid w:val="00935F0D"/>
    <w:rsid w:val="00942A47"/>
    <w:rsid w:val="009459A4"/>
    <w:rsid w:val="00946911"/>
    <w:rsid w:val="009565B8"/>
    <w:rsid w:val="00967427"/>
    <w:rsid w:val="00971E47"/>
    <w:rsid w:val="009766EF"/>
    <w:rsid w:val="00986328"/>
    <w:rsid w:val="009D0B94"/>
    <w:rsid w:val="00A057A4"/>
    <w:rsid w:val="00A17307"/>
    <w:rsid w:val="00A302E0"/>
    <w:rsid w:val="00A579F8"/>
    <w:rsid w:val="00A75D11"/>
    <w:rsid w:val="00A8619F"/>
    <w:rsid w:val="00AA3A5A"/>
    <w:rsid w:val="00AA51F8"/>
    <w:rsid w:val="00AC525E"/>
    <w:rsid w:val="00AC7602"/>
    <w:rsid w:val="00AF24E4"/>
    <w:rsid w:val="00AF3C9A"/>
    <w:rsid w:val="00B039AD"/>
    <w:rsid w:val="00B11C5C"/>
    <w:rsid w:val="00B14E3E"/>
    <w:rsid w:val="00B24D06"/>
    <w:rsid w:val="00B27988"/>
    <w:rsid w:val="00B52AA1"/>
    <w:rsid w:val="00B5481B"/>
    <w:rsid w:val="00B67723"/>
    <w:rsid w:val="00B81317"/>
    <w:rsid w:val="00B9020C"/>
    <w:rsid w:val="00BA4DC8"/>
    <w:rsid w:val="00BD69FE"/>
    <w:rsid w:val="00BF3EC3"/>
    <w:rsid w:val="00BF7496"/>
    <w:rsid w:val="00C13F31"/>
    <w:rsid w:val="00C153A3"/>
    <w:rsid w:val="00C226DE"/>
    <w:rsid w:val="00C37434"/>
    <w:rsid w:val="00C405E9"/>
    <w:rsid w:val="00C46946"/>
    <w:rsid w:val="00C524AC"/>
    <w:rsid w:val="00C7760B"/>
    <w:rsid w:val="00C77CD4"/>
    <w:rsid w:val="00C80DB2"/>
    <w:rsid w:val="00CA213B"/>
    <w:rsid w:val="00CA59C3"/>
    <w:rsid w:val="00CC6A13"/>
    <w:rsid w:val="00CD0F59"/>
    <w:rsid w:val="00CD1340"/>
    <w:rsid w:val="00CD2542"/>
    <w:rsid w:val="00CD7782"/>
    <w:rsid w:val="00CE42A4"/>
    <w:rsid w:val="00CF1D69"/>
    <w:rsid w:val="00D20C9F"/>
    <w:rsid w:val="00D37E2E"/>
    <w:rsid w:val="00D40ED4"/>
    <w:rsid w:val="00D4385F"/>
    <w:rsid w:val="00D46F89"/>
    <w:rsid w:val="00D52F06"/>
    <w:rsid w:val="00D54B10"/>
    <w:rsid w:val="00D65BE5"/>
    <w:rsid w:val="00D65FC9"/>
    <w:rsid w:val="00D94882"/>
    <w:rsid w:val="00DB0FAA"/>
    <w:rsid w:val="00DB6F8A"/>
    <w:rsid w:val="00DC46F5"/>
    <w:rsid w:val="00DF2A90"/>
    <w:rsid w:val="00DF5A8C"/>
    <w:rsid w:val="00E017D5"/>
    <w:rsid w:val="00E07B91"/>
    <w:rsid w:val="00E22AB8"/>
    <w:rsid w:val="00E3482C"/>
    <w:rsid w:val="00E36659"/>
    <w:rsid w:val="00E42FA6"/>
    <w:rsid w:val="00E47311"/>
    <w:rsid w:val="00E50C17"/>
    <w:rsid w:val="00E55904"/>
    <w:rsid w:val="00E702E7"/>
    <w:rsid w:val="00E70D3D"/>
    <w:rsid w:val="00E839AA"/>
    <w:rsid w:val="00E924DE"/>
    <w:rsid w:val="00EC32F3"/>
    <w:rsid w:val="00EF428B"/>
    <w:rsid w:val="00F0611B"/>
    <w:rsid w:val="00F1184C"/>
    <w:rsid w:val="00F12B7C"/>
    <w:rsid w:val="00F71914"/>
    <w:rsid w:val="00F7715B"/>
    <w:rsid w:val="00F97ADA"/>
    <w:rsid w:val="00FA42E6"/>
    <w:rsid w:val="00FA67EF"/>
    <w:rsid w:val="00FB6778"/>
    <w:rsid w:val="00FC4A3D"/>
    <w:rsid w:val="00FC6F40"/>
    <w:rsid w:val="00FE09CF"/>
    <w:rsid w:val="00FE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03E03"/>
    <w:pPr>
      <w:keepNext/>
      <w:spacing w:before="140" w:after="280"/>
      <w:outlineLvl w:val="0"/>
    </w:pPr>
    <w:rPr>
      <w:rFonts w:eastAsia="Times New Roman"/>
      <w:b/>
      <w:bCs/>
      <w:color w:val="4F81BD" w:themeColor="accent1"/>
      <w:spacing w:val="-14"/>
      <w:kern w:val="28"/>
      <w:sz w:val="4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uiPriority w:val="59"/>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34"/>
    <w:qFormat/>
    <w:rsid w:val="003046B9"/>
    <w:pPr>
      <w:spacing w:after="200" w:line="276" w:lineRule="auto"/>
      <w:ind w:left="720"/>
      <w:contextualSpacing/>
    </w:pPr>
  </w:style>
  <w:style w:type="character" w:customStyle="1" w:styleId="Heading1Char">
    <w:name w:val="Heading 1 Char"/>
    <w:basedOn w:val="DefaultParagraphFont"/>
    <w:link w:val="Heading1"/>
    <w:rsid w:val="00403E03"/>
    <w:rPr>
      <w:rFonts w:eastAsia="Times New Roman"/>
      <w:b/>
      <w:bCs/>
      <w:color w:val="4F81BD" w:themeColor="accent1"/>
      <w:spacing w:val="-14"/>
      <w:kern w:val="28"/>
      <w:sz w:val="42"/>
      <w:szCs w:val="32"/>
      <w14:ligatures w14:val="standardContextual"/>
    </w:rPr>
  </w:style>
  <w:style w:type="paragraph" w:customStyle="1" w:styleId="FrontpageTitle">
    <w:name w:val="Frontpage_Title"/>
    <w:basedOn w:val="Normal"/>
    <w:link w:val="FrontpageTitleChar"/>
    <w:autoRedefine/>
    <w:qFormat/>
    <w:rsid w:val="00403E03"/>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403E03"/>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E70D3D"/>
    <w:pPr>
      <w:spacing w:after="140"/>
      <w:textboxTightWrap w:val="lastLineOnly"/>
    </w:pPr>
    <w:rPr>
      <w:rFonts w:eastAsia="Times New Roman"/>
      <w:b/>
      <w:noProof/>
      <w:sz w:val="28"/>
      <w:szCs w:val="28"/>
      <w:lang w:eastAsia="en-GB"/>
    </w:rPr>
  </w:style>
  <w:style w:type="character" w:customStyle="1" w:styleId="FrontpagesubheadChar">
    <w:name w:val="Frontpage_subhead Char"/>
    <w:basedOn w:val="DefaultParagraphFont"/>
    <w:link w:val="Frontpagesubhead"/>
    <w:rsid w:val="00E70D3D"/>
    <w:rPr>
      <w:rFonts w:eastAsia="Times New Roman"/>
      <w:b/>
      <w:noProof/>
      <w:sz w:val="28"/>
      <w:szCs w:val="28"/>
      <w:lang w:eastAsia="en-GB"/>
    </w:rPr>
  </w:style>
  <w:style w:type="paragraph" w:styleId="Footer">
    <w:name w:val="footer"/>
    <w:basedOn w:val="Normal"/>
    <w:link w:val="FooterChar"/>
    <w:autoRedefine/>
    <w:uiPriority w:val="99"/>
    <w:unhideWhenUsed/>
    <w:qFormat/>
    <w:rsid w:val="00403E03"/>
    <w:pPr>
      <w:tabs>
        <w:tab w:val="right" w:pos="9866"/>
      </w:tabs>
      <w:textboxTightWrap w:val="lastLineOnly"/>
    </w:pPr>
    <w:rPr>
      <w:rFonts w:eastAsia="Times New Roman" w:cs="Times New Roman"/>
      <w:color w:val="9BBB59" w:themeColor="accent3"/>
      <w:sz w:val="17"/>
      <w:szCs w:val="24"/>
    </w:rPr>
  </w:style>
  <w:style w:type="character" w:customStyle="1" w:styleId="FooterChar">
    <w:name w:val="Footer Char"/>
    <w:basedOn w:val="DefaultParagraphFont"/>
    <w:link w:val="Footer"/>
    <w:uiPriority w:val="99"/>
    <w:rsid w:val="00403E03"/>
    <w:rPr>
      <w:rFonts w:eastAsia="Times New Roman" w:cs="Times New Roman"/>
      <w:color w:val="9BBB59" w:themeColor="accent3"/>
      <w:sz w:val="17"/>
      <w:szCs w:val="24"/>
    </w:rPr>
  </w:style>
  <w:style w:type="table" w:customStyle="1" w:styleId="TableGrid1">
    <w:name w:val="Table Grid1"/>
    <w:basedOn w:val="TableNormal"/>
    <w:next w:val="TableGrid"/>
    <w:uiPriority w:val="59"/>
    <w:rsid w:val="00403E03"/>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3E03"/>
    <w:rPr>
      <w:color w:val="808080"/>
    </w:rPr>
  </w:style>
  <w:style w:type="character" w:customStyle="1" w:styleId="normaltextrun">
    <w:name w:val="normaltextrun"/>
    <w:basedOn w:val="DefaultParagraphFont"/>
    <w:rsid w:val="00403E03"/>
  </w:style>
  <w:style w:type="paragraph" w:styleId="Header">
    <w:name w:val="header"/>
    <w:basedOn w:val="Normal"/>
    <w:link w:val="HeaderChar"/>
    <w:uiPriority w:val="99"/>
    <w:unhideWhenUsed/>
    <w:qFormat/>
    <w:rsid w:val="00403E03"/>
    <w:pPr>
      <w:tabs>
        <w:tab w:val="center" w:pos="4513"/>
        <w:tab w:val="right" w:pos="9026"/>
      </w:tabs>
    </w:pPr>
  </w:style>
  <w:style w:type="character" w:customStyle="1" w:styleId="HeaderChar">
    <w:name w:val="Header Char"/>
    <w:basedOn w:val="DefaultParagraphFont"/>
    <w:link w:val="Header"/>
    <w:uiPriority w:val="99"/>
    <w:rsid w:val="00403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640">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nhs.uk/hes" TargetMode="External"/><Relationship Id="rId13" Type="http://schemas.openxmlformats.org/officeDocument/2006/relationships/hyperlink" Target="http://digital.nhs.uk/hesdatadictionary"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stems.digital.nhs.uk/ssd/prodserv/vaprodopenexe/" TargetMode="External"/><Relationship Id="rId7" Type="http://schemas.openxmlformats.org/officeDocument/2006/relationships/hyperlink" Target="http://systems.digital.nhs.uk/ssd/prodserv/vaprodopenexe/" TargetMode="External"/><Relationship Id="rId12" Type="http://schemas.openxmlformats.org/officeDocument/2006/relationships/hyperlink" Target="http://www.ons.gov.uk/ons/taxonomy/index.html?nscl=Population+Estimates"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content.digital.nhs.uk/searchcatalogue?q=title%3a%22Hospital+Episode+Statistics%2c+Admitted+patient+care+-+England%22&amp;sort=Most+recent&amp;size=10&amp;pag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stems.digital.nhs.uk/ssd/prodserv/vaprodopenex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www.phoutcomes.info/" TargetMode="External"/><Relationship Id="rId28" Type="http://schemas.openxmlformats.org/officeDocument/2006/relationships/theme" Target="theme/theme1.xml"/><Relationship Id="rId10" Type="http://schemas.openxmlformats.org/officeDocument/2006/relationships/hyperlink" Target="http://content.digital.nhs.uk/searchcatalogue?q=title%3a%22Provisional+Monthly+Hospital+Episode+Statistics%22&amp;sort=Most+recent&amp;size=10&amp;page=1"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ons.gov.uk/peoplepopulationandcommunity/populationandmigration/populationestimates" TargetMode="External"/><Relationship Id="rId14" Type="http://schemas.openxmlformats.org/officeDocument/2006/relationships/hyperlink" Target="http://digital.nhs.uk/ccgois" TargetMode="External"/><Relationship Id="rId22" Type="http://schemas.openxmlformats.org/officeDocument/2006/relationships/hyperlink" Target="http://www.ons.gov.uk/ons/guide-method/method-quality/specific/populationand-migration/pop-ests/index.html"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3361A895B64687B4E448CE81D1473C"/>
        <w:category>
          <w:name w:val="General"/>
          <w:gallery w:val="placeholder"/>
        </w:category>
        <w:types>
          <w:type w:val="bbPlcHdr"/>
        </w:types>
        <w:behaviors>
          <w:behavior w:val="content"/>
        </w:behaviors>
        <w:guid w:val="{C3EA33B2-A709-42D3-A4C0-77CCF69CF0B1}"/>
      </w:docPartPr>
      <w:docPartBody>
        <w:p w:rsidR="00543ACD" w:rsidRDefault="00995FB8" w:rsidP="00995FB8">
          <w:pPr>
            <w:pStyle w:val="1D3361A895B64687B4E448CE81D1473C"/>
          </w:pPr>
          <w:r w:rsidRPr="007C242A">
            <w:rPr>
              <w:rStyle w:val="PlaceholderText"/>
            </w:rPr>
            <w:t>Choose an item.</w:t>
          </w:r>
        </w:p>
      </w:docPartBody>
    </w:docPart>
    <w:docPart>
      <w:docPartPr>
        <w:name w:val="3A173BED463E42FA989A50A947BC03A1"/>
        <w:category>
          <w:name w:val="General"/>
          <w:gallery w:val="placeholder"/>
        </w:category>
        <w:types>
          <w:type w:val="bbPlcHdr"/>
        </w:types>
        <w:behaviors>
          <w:behavior w:val="content"/>
        </w:behaviors>
        <w:guid w:val="{D10B1F3A-9F83-4156-9A8B-5DFCDA2C48A6}"/>
      </w:docPartPr>
      <w:docPartBody>
        <w:p w:rsidR="00543ACD" w:rsidRDefault="00995FB8" w:rsidP="00995FB8">
          <w:pPr>
            <w:pStyle w:val="3A173BED463E42FA989A50A947BC03A1"/>
          </w:pPr>
          <w:r w:rsidRPr="007C242A">
            <w:rPr>
              <w:rStyle w:val="PlaceholderText"/>
            </w:rPr>
            <w:t>Choose an item.</w:t>
          </w:r>
        </w:p>
      </w:docPartBody>
    </w:docPart>
    <w:docPart>
      <w:docPartPr>
        <w:name w:val="648CC5E324C94E3DB8658925A495EB4D"/>
        <w:category>
          <w:name w:val="General"/>
          <w:gallery w:val="placeholder"/>
        </w:category>
        <w:types>
          <w:type w:val="bbPlcHdr"/>
        </w:types>
        <w:behaviors>
          <w:behavior w:val="content"/>
        </w:behaviors>
        <w:guid w:val="{E63F2F6B-E5A4-4C75-9DBD-C92146C089AF}"/>
      </w:docPartPr>
      <w:docPartBody>
        <w:p w:rsidR="00543ACD" w:rsidRDefault="00995FB8" w:rsidP="00995FB8">
          <w:pPr>
            <w:pStyle w:val="648CC5E324C94E3DB8658925A495EB4D"/>
          </w:pPr>
          <w:r w:rsidRPr="007C242A">
            <w:rPr>
              <w:rStyle w:val="PlaceholderText"/>
            </w:rPr>
            <w:t>Choose an item.</w:t>
          </w:r>
        </w:p>
      </w:docPartBody>
    </w:docPart>
    <w:docPart>
      <w:docPartPr>
        <w:name w:val="2FD9AEDF45A44A5CB5E5EAC43A34F2DE"/>
        <w:category>
          <w:name w:val="General"/>
          <w:gallery w:val="placeholder"/>
        </w:category>
        <w:types>
          <w:type w:val="bbPlcHdr"/>
        </w:types>
        <w:behaviors>
          <w:behavior w:val="content"/>
        </w:behaviors>
        <w:guid w:val="{3AE390B4-D4B5-4539-9467-9D26F027B6AC}"/>
      </w:docPartPr>
      <w:docPartBody>
        <w:p w:rsidR="00543ACD" w:rsidRDefault="00995FB8" w:rsidP="00995FB8">
          <w:pPr>
            <w:pStyle w:val="2FD9AEDF45A44A5CB5E5EAC43A34F2DE"/>
          </w:pPr>
          <w:r w:rsidRPr="007C242A">
            <w:rPr>
              <w:rStyle w:val="PlaceholderText"/>
            </w:rPr>
            <w:t>Choose an item.</w:t>
          </w:r>
        </w:p>
      </w:docPartBody>
    </w:docPart>
    <w:docPart>
      <w:docPartPr>
        <w:name w:val="DC32C3E243BC4637A5E10C404CF503F2"/>
        <w:category>
          <w:name w:val="General"/>
          <w:gallery w:val="placeholder"/>
        </w:category>
        <w:types>
          <w:type w:val="bbPlcHdr"/>
        </w:types>
        <w:behaviors>
          <w:behavior w:val="content"/>
        </w:behaviors>
        <w:guid w:val="{B7BD1BEB-174A-46D5-85A1-247FDA84F57F}"/>
      </w:docPartPr>
      <w:docPartBody>
        <w:p w:rsidR="00543ACD" w:rsidRDefault="00995FB8" w:rsidP="00995FB8">
          <w:pPr>
            <w:pStyle w:val="DC32C3E243BC4637A5E10C404CF503F2"/>
          </w:pPr>
          <w:r w:rsidRPr="007C242A">
            <w:rPr>
              <w:rStyle w:val="PlaceholderText"/>
            </w:rPr>
            <w:t>Choose an item.</w:t>
          </w:r>
        </w:p>
      </w:docPartBody>
    </w:docPart>
    <w:docPart>
      <w:docPartPr>
        <w:name w:val="A75355DCA6D9483193DA5842CE34DFB0"/>
        <w:category>
          <w:name w:val="General"/>
          <w:gallery w:val="placeholder"/>
        </w:category>
        <w:types>
          <w:type w:val="bbPlcHdr"/>
        </w:types>
        <w:behaviors>
          <w:behavior w:val="content"/>
        </w:behaviors>
        <w:guid w:val="{AD18CEAC-E50C-40D9-8D13-4F1CA1007C68}"/>
      </w:docPartPr>
      <w:docPartBody>
        <w:p w:rsidR="00543ACD" w:rsidRDefault="00995FB8" w:rsidP="00995FB8">
          <w:pPr>
            <w:pStyle w:val="A75355DCA6D9483193DA5842CE34DFB0"/>
          </w:pPr>
          <w:r w:rsidRPr="007C242A">
            <w:rPr>
              <w:rStyle w:val="PlaceholderText"/>
            </w:rPr>
            <w:t>Choose an item.</w:t>
          </w:r>
        </w:p>
      </w:docPartBody>
    </w:docPart>
    <w:docPart>
      <w:docPartPr>
        <w:name w:val="D70AC38893A74A4ABD7FFB22929967EC"/>
        <w:category>
          <w:name w:val="General"/>
          <w:gallery w:val="placeholder"/>
        </w:category>
        <w:types>
          <w:type w:val="bbPlcHdr"/>
        </w:types>
        <w:behaviors>
          <w:behavior w:val="content"/>
        </w:behaviors>
        <w:guid w:val="{FB6A71DB-14CB-4AC0-B0E6-C1569DDA23E5}"/>
      </w:docPartPr>
      <w:docPartBody>
        <w:p w:rsidR="00543ACD" w:rsidRDefault="00995FB8" w:rsidP="00995FB8">
          <w:pPr>
            <w:pStyle w:val="D70AC38893A74A4ABD7FFB22929967EC"/>
          </w:pPr>
          <w:r w:rsidRPr="007C242A">
            <w:rPr>
              <w:rStyle w:val="PlaceholderText"/>
            </w:rPr>
            <w:t>Choose an item.</w:t>
          </w:r>
        </w:p>
      </w:docPartBody>
    </w:docPart>
    <w:docPart>
      <w:docPartPr>
        <w:name w:val="386CBC1826904651AC0DC6EC37A10E94"/>
        <w:category>
          <w:name w:val="General"/>
          <w:gallery w:val="placeholder"/>
        </w:category>
        <w:types>
          <w:type w:val="bbPlcHdr"/>
        </w:types>
        <w:behaviors>
          <w:behavior w:val="content"/>
        </w:behaviors>
        <w:guid w:val="{8CA5053F-3360-4C96-B3EB-8220C7C91C59}"/>
      </w:docPartPr>
      <w:docPartBody>
        <w:p w:rsidR="00543ACD" w:rsidRDefault="00995FB8" w:rsidP="00995FB8">
          <w:pPr>
            <w:pStyle w:val="386CBC1826904651AC0DC6EC37A10E94"/>
          </w:pPr>
          <w:r w:rsidRPr="007C242A">
            <w:rPr>
              <w:rStyle w:val="PlaceholderText"/>
            </w:rPr>
            <w:t>Choose an item.</w:t>
          </w:r>
        </w:p>
      </w:docPartBody>
    </w:docPart>
    <w:docPart>
      <w:docPartPr>
        <w:name w:val="E9BCBBC70DD345EF97390FCEB163571C"/>
        <w:category>
          <w:name w:val="General"/>
          <w:gallery w:val="placeholder"/>
        </w:category>
        <w:types>
          <w:type w:val="bbPlcHdr"/>
        </w:types>
        <w:behaviors>
          <w:behavior w:val="content"/>
        </w:behaviors>
        <w:guid w:val="{D8D5061A-05E5-4120-A9ED-5B2B82547AF8}"/>
      </w:docPartPr>
      <w:docPartBody>
        <w:p w:rsidR="00543ACD" w:rsidRDefault="00995FB8" w:rsidP="00995FB8">
          <w:pPr>
            <w:pStyle w:val="E9BCBBC70DD345EF97390FCEB163571C"/>
          </w:pPr>
          <w:r w:rsidRPr="007C242A">
            <w:rPr>
              <w:rStyle w:val="PlaceholderText"/>
            </w:rPr>
            <w:t>Choose an item.</w:t>
          </w:r>
        </w:p>
      </w:docPartBody>
    </w:docPart>
    <w:docPart>
      <w:docPartPr>
        <w:name w:val="86CA86D639C249BDB98BAF1D45AF8266"/>
        <w:category>
          <w:name w:val="General"/>
          <w:gallery w:val="placeholder"/>
        </w:category>
        <w:types>
          <w:type w:val="bbPlcHdr"/>
        </w:types>
        <w:behaviors>
          <w:behavior w:val="content"/>
        </w:behaviors>
        <w:guid w:val="{67859509-63AF-42B1-953E-534AC3284DB7}"/>
      </w:docPartPr>
      <w:docPartBody>
        <w:p w:rsidR="00543ACD" w:rsidRDefault="00995FB8" w:rsidP="00995FB8">
          <w:pPr>
            <w:pStyle w:val="86CA86D639C249BDB98BAF1D45AF8266"/>
          </w:pPr>
          <w:r w:rsidRPr="00810581">
            <w:rPr>
              <w:rStyle w:val="PlaceholderText"/>
            </w:rPr>
            <w:t>Choose an item.</w:t>
          </w:r>
        </w:p>
      </w:docPartBody>
    </w:docPart>
    <w:docPart>
      <w:docPartPr>
        <w:name w:val="308DA01D2E15432C817C3003D78BB763"/>
        <w:category>
          <w:name w:val="General"/>
          <w:gallery w:val="placeholder"/>
        </w:category>
        <w:types>
          <w:type w:val="bbPlcHdr"/>
        </w:types>
        <w:behaviors>
          <w:behavior w:val="content"/>
        </w:behaviors>
        <w:guid w:val="{488A2DE7-C53A-4AE2-8EBE-5D82ACA21888}"/>
      </w:docPartPr>
      <w:docPartBody>
        <w:p w:rsidR="00543ACD" w:rsidRDefault="00995FB8" w:rsidP="00995FB8">
          <w:pPr>
            <w:pStyle w:val="308DA01D2E15432C817C3003D78BB763"/>
          </w:pPr>
          <w:r w:rsidRPr="00810581">
            <w:rPr>
              <w:rStyle w:val="PlaceholderText"/>
            </w:rPr>
            <w:t>Click or tap to enter a date.</w:t>
          </w:r>
        </w:p>
      </w:docPartBody>
    </w:docPart>
    <w:docPart>
      <w:docPartPr>
        <w:name w:val="17F96B03F22540DA8807FAFFCCA31A0B"/>
        <w:category>
          <w:name w:val="General"/>
          <w:gallery w:val="placeholder"/>
        </w:category>
        <w:types>
          <w:type w:val="bbPlcHdr"/>
        </w:types>
        <w:behaviors>
          <w:behavior w:val="content"/>
        </w:behaviors>
        <w:guid w:val="{719D7F9D-2FA7-4E25-884B-2F24F35EFBBB}"/>
      </w:docPartPr>
      <w:docPartBody>
        <w:p w:rsidR="00543ACD" w:rsidRDefault="00995FB8" w:rsidP="00995FB8">
          <w:pPr>
            <w:pStyle w:val="17F96B03F22540DA8807FAFFCCA31A0B"/>
          </w:pPr>
          <w:r w:rsidRPr="00810581">
            <w:rPr>
              <w:rStyle w:val="PlaceholderText"/>
            </w:rPr>
            <w:t>Choose an item.</w:t>
          </w:r>
        </w:p>
      </w:docPartBody>
    </w:docPart>
    <w:docPart>
      <w:docPartPr>
        <w:name w:val="384A40E0BEA344ADAAB2A44D4B3D6609"/>
        <w:category>
          <w:name w:val="General"/>
          <w:gallery w:val="placeholder"/>
        </w:category>
        <w:types>
          <w:type w:val="bbPlcHdr"/>
        </w:types>
        <w:behaviors>
          <w:behavior w:val="content"/>
        </w:behaviors>
        <w:guid w:val="{6E2F3CF9-BF0B-478D-959E-9CED8A220319}"/>
      </w:docPartPr>
      <w:docPartBody>
        <w:p w:rsidR="00543ACD" w:rsidRDefault="00995FB8" w:rsidP="00995FB8">
          <w:pPr>
            <w:pStyle w:val="384A40E0BEA344ADAAB2A44D4B3D6609"/>
          </w:pPr>
          <w:r w:rsidRPr="00810581">
            <w:rPr>
              <w:rStyle w:val="PlaceholderText"/>
            </w:rPr>
            <w:t>Click or tap to enter a date.</w:t>
          </w:r>
        </w:p>
      </w:docPartBody>
    </w:docPart>
    <w:docPart>
      <w:docPartPr>
        <w:name w:val="008197229B234829B7C4BBF4C39F26A9"/>
        <w:category>
          <w:name w:val="General"/>
          <w:gallery w:val="placeholder"/>
        </w:category>
        <w:types>
          <w:type w:val="bbPlcHdr"/>
        </w:types>
        <w:behaviors>
          <w:behavior w:val="content"/>
        </w:behaviors>
        <w:guid w:val="{7996B2D3-4A84-41B9-ACC4-E4136A419D02}"/>
      </w:docPartPr>
      <w:docPartBody>
        <w:p w:rsidR="00816D12" w:rsidRDefault="00543ACD" w:rsidP="00543ACD">
          <w:pPr>
            <w:pStyle w:val="008197229B234829B7C4BBF4C39F26A9"/>
          </w:pPr>
          <w:r w:rsidRPr="00BC4529">
            <w:rPr>
              <w:rStyle w:val="PlaceholderText"/>
            </w:rPr>
            <w:t>Choose an item.</w:t>
          </w:r>
        </w:p>
      </w:docPartBody>
    </w:docPart>
    <w:docPart>
      <w:docPartPr>
        <w:name w:val="A3A9DAA3F31F4B638348D3EDE5F3245A"/>
        <w:category>
          <w:name w:val="General"/>
          <w:gallery w:val="placeholder"/>
        </w:category>
        <w:types>
          <w:type w:val="bbPlcHdr"/>
        </w:types>
        <w:behaviors>
          <w:behavior w:val="content"/>
        </w:behaviors>
        <w:guid w:val="{99D260C7-2497-452C-90B3-EE54968AF358}"/>
      </w:docPartPr>
      <w:docPartBody>
        <w:p w:rsidR="00816D12" w:rsidRDefault="00543ACD" w:rsidP="00543ACD">
          <w:pPr>
            <w:pStyle w:val="A3A9DAA3F31F4B638348D3EDE5F3245A"/>
          </w:pPr>
          <w:r w:rsidRPr="00810581">
            <w:rPr>
              <w:rStyle w:val="PlaceholderText"/>
            </w:rPr>
            <w:t>Click or tap to enter a date.</w:t>
          </w:r>
        </w:p>
      </w:docPartBody>
    </w:docPart>
    <w:docPart>
      <w:docPartPr>
        <w:name w:val="7607EDB3EBFA4EA1BFB16A99372817DD"/>
        <w:category>
          <w:name w:val="General"/>
          <w:gallery w:val="placeholder"/>
        </w:category>
        <w:types>
          <w:type w:val="bbPlcHdr"/>
        </w:types>
        <w:behaviors>
          <w:behavior w:val="content"/>
        </w:behaviors>
        <w:guid w:val="{4F805D16-A081-45C8-B6F6-7C294061E51A}"/>
      </w:docPartPr>
      <w:docPartBody>
        <w:p w:rsidR="00816D12" w:rsidRDefault="00543ACD" w:rsidP="00543ACD">
          <w:pPr>
            <w:pStyle w:val="7607EDB3EBFA4EA1BFB16A99372817DD"/>
          </w:pPr>
          <w:r w:rsidRPr="007C242A">
            <w:rPr>
              <w:rStyle w:val="PlaceholderText"/>
            </w:rPr>
            <w:t>Choose an item.</w:t>
          </w:r>
        </w:p>
      </w:docPartBody>
    </w:docPart>
    <w:docPart>
      <w:docPartPr>
        <w:name w:val="2DD9D1CED3CE4EA5B3B08A033891D144"/>
        <w:category>
          <w:name w:val="General"/>
          <w:gallery w:val="placeholder"/>
        </w:category>
        <w:types>
          <w:type w:val="bbPlcHdr"/>
        </w:types>
        <w:behaviors>
          <w:behavior w:val="content"/>
        </w:behaviors>
        <w:guid w:val="{C0CAA18E-4118-4D19-AC20-0EEAF1AE351A}"/>
      </w:docPartPr>
      <w:docPartBody>
        <w:p w:rsidR="00816D12" w:rsidRDefault="00543ACD" w:rsidP="00543ACD">
          <w:pPr>
            <w:pStyle w:val="2DD9D1CED3CE4EA5B3B08A033891D144"/>
          </w:pPr>
          <w:r w:rsidRPr="007C242A">
            <w:rPr>
              <w:rStyle w:val="PlaceholderText"/>
            </w:rPr>
            <w:t>Choose an item.</w:t>
          </w:r>
        </w:p>
      </w:docPartBody>
    </w:docPart>
    <w:docPart>
      <w:docPartPr>
        <w:name w:val="55D2059A92BA4BEE9945F2E51DCFED00"/>
        <w:category>
          <w:name w:val="General"/>
          <w:gallery w:val="placeholder"/>
        </w:category>
        <w:types>
          <w:type w:val="bbPlcHdr"/>
        </w:types>
        <w:behaviors>
          <w:behavior w:val="content"/>
        </w:behaviors>
        <w:guid w:val="{DB1BF260-524C-4BD0-885D-19CEE3FEB810}"/>
      </w:docPartPr>
      <w:docPartBody>
        <w:p w:rsidR="00816D12" w:rsidRDefault="00543ACD" w:rsidP="00543ACD">
          <w:pPr>
            <w:pStyle w:val="55D2059A92BA4BEE9945F2E51DCFED00"/>
          </w:pPr>
          <w:r w:rsidRPr="007C242A">
            <w:rPr>
              <w:rStyle w:val="PlaceholderText"/>
            </w:rPr>
            <w:t>Choose an item.</w:t>
          </w:r>
        </w:p>
      </w:docPartBody>
    </w:docPart>
    <w:docPart>
      <w:docPartPr>
        <w:name w:val="3D4B8F9FA2AB4D1AB7F72E77FD461129"/>
        <w:category>
          <w:name w:val="General"/>
          <w:gallery w:val="placeholder"/>
        </w:category>
        <w:types>
          <w:type w:val="bbPlcHdr"/>
        </w:types>
        <w:behaviors>
          <w:behavior w:val="content"/>
        </w:behaviors>
        <w:guid w:val="{FFA47F97-28AE-4D9D-9597-EF0E7ED7EDB3}"/>
      </w:docPartPr>
      <w:docPartBody>
        <w:p w:rsidR="00816D12" w:rsidRDefault="00543ACD" w:rsidP="00543ACD">
          <w:pPr>
            <w:pStyle w:val="3D4B8F9FA2AB4D1AB7F72E77FD461129"/>
          </w:pPr>
          <w:r w:rsidRPr="007C24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B8"/>
    <w:rsid w:val="00543ACD"/>
    <w:rsid w:val="00816D12"/>
    <w:rsid w:val="0099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ACD"/>
    <w:rPr>
      <w:color w:val="808080"/>
    </w:rPr>
  </w:style>
  <w:style w:type="paragraph" w:customStyle="1" w:styleId="371ABBA62E3E42F2A83D4943E3274025">
    <w:name w:val="371ABBA62E3E42F2A83D4943E3274025"/>
    <w:rsid w:val="00995FB8"/>
  </w:style>
  <w:style w:type="paragraph" w:customStyle="1" w:styleId="A89819703FD7418D8E7C28F99B9F2FEC">
    <w:name w:val="A89819703FD7418D8E7C28F99B9F2FEC"/>
    <w:rsid w:val="00995FB8"/>
  </w:style>
  <w:style w:type="paragraph" w:customStyle="1" w:styleId="43C40E4584A944B88A602D886A24920F">
    <w:name w:val="43C40E4584A944B88A602D886A24920F"/>
    <w:rsid w:val="00995FB8"/>
  </w:style>
  <w:style w:type="paragraph" w:customStyle="1" w:styleId="1D3361A895B64687B4E448CE81D1473C">
    <w:name w:val="1D3361A895B64687B4E448CE81D1473C"/>
    <w:rsid w:val="00995FB8"/>
  </w:style>
  <w:style w:type="paragraph" w:customStyle="1" w:styleId="3A173BED463E42FA989A50A947BC03A1">
    <w:name w:val="3A173BED463E42FA989A50A947BC03A1"/>
    <w:rsid w:val="00995FB8"/>
  </w:style>
  <w:style w:type="paragraph" w:customStyle="1" w:styleId="4A2BD3808DCA44B6B2E3ED191C80228C">
    <w:name w:val="4A2BD3808DCA44B6B2E3ED191C80228C"/>
    <w:rsid w:val="00995FB8"/>
  </w:style>
  <w:style w:type="paragraph" w:customStyle="1" w:styleId="D7DF2BBF37CA4C129E030F47C9D52219">
    <w:name w:val="D7DF2BBF37CA4C129E030F47C9D52219"/>
    <w:rsid w:val="00995FB8"/>
  </w:style>
  <w:style w:type="paragraph" w:customStyle="1" w:styleId="94179AF8654F41D6BF9CA837C417E7C5">
    <w:name w:val="94179AF8654F41D6BF9CA837C417E7C5"/>
    <w:rsid w:val="00995FB8"/>
  </w:style>
  <w:style w:type="paragraph" w:customStyle="1" w:styleId="9259DEC36C4B4FB59E1F9BF6BFB575AD">
    <w:name w:val="9259DEC36C4B4FB59E1F9BF6BFB575AD"/>
    <w:rsid w:val="00995FB8"/>
  </w:style>
  <w:style w:type="paragraph" w:customStyle="1" w:styleId="648CC5E324C94E3DB8658925A495EB4D">
    <w:name w:val="648CC5E324C94E3DB8658925A495EB4D"/>
    <w:rsid w:val="00995FB8"/>
  </w:style>
  <w:style w:type="paragraph" w:customStyle="1" w:styleId="2FD9AEDF45A44A5CB5E5EAC43A34F2DE">
    <w:name w:val="2FD9AEDF45A44A5CB5E5EAC43A34F2DE"/>
    <w:rsid w:val="00995FB8"/>
  </w:style>
  <w:style w:type="paragraph" w:customStyle="1" w:styleId="DC32C3E243BC4637A5E10C404CF503F2">
    <w:name w:val="DC32C3E243BC4637A5E10C404CF503F2"/>
    <w:rsid w:val="00995FB8"/>
  </w:style>
  <w:style w:type="paragraph" w:customStyle="1" w:styleId="A75355DCA6D9483193DA5842CE34DFB0">
    <w:name w:val="A75355DCA6D9483193DA5842CE34DFB0"/>
    <w:rsid w:val="00995FB8"/>
  </w:style>
  <w:style w:type="paragraph" w:customStyle="1" w:styleId="D70AC38893A74A4ABD7FFB22929967EC">
    <w:name w:val="D70AC38893A74A4ABD7FFB22929967EC"/>
    <w:rsid w:val="00995FB8"/>
  </w:style>
  <w:style w:type="paragraph" w:customStyle="1" w:styleId="386CBC1826904651AC0DC6EC37A10E94">
    <w:name w:val="386CBC1826904651AC0DC6EC37A10E94"/>
    <w:rsid w:val="00995FB8"/>
  </w:style>
  <w:style w:type="paragraph" w:customStyle="1" w:styleId="E9BCBBC70DD345EF97390FCEB163571C">
    <w:name w:val="E9BCBBC70DD345EF97390FCEB163571C"/>
    <w:rsid w:val="00995FB8"/>
  </w:style>
  <w:style w:type="paragraph" w:customStyle="1" w:styleId="86CA86D639C249BDB98BAF1D45AF8266">
    <w:name w:val="86CA86D639C249BDB98BAF1D45AF8266"/>
    <w:rsid w:val="00995FB8"/>
  </w:style>
  <w:style w:type="paragraph" w:customStyle="1" w:styleId="308DA01D2E15432C817C3003D78BB763">
    <w:name w:val="308DA01D2E15432C817C3003D78BB763"/>
    <w:rsid w:val="00995FB8"/>
  </w:style>
  <w:style w:type="paragraph" w:customStyle="1" w:styleId="17F96B03F22540DA8807FAFFCCA31A0B">
    <w:name w:val="17F96B03F22540DA8807FAFFCCA31A0B"/>
    <w:rsid w:val="00995FB8"/>
  </w:style>
  <w:style w:type="paragraph" w:customStyle="1" w:styleId="384A40E0BEA344ADAAB2A44D4B3D6609">
    <w:name w:val="384A40E0BEA344ADAAB2A44D4B3D6609"/>
    <w:rsid w:val="00995FB8"/>
  </w:style>
  <w:style w:type="paragraph" w:customStyle="1" w:styleId="58C6DE3E51564CBEAE54E103CC5E4A85">
    <w:name w:val="58C6DE3E51564CBEAE54E103CC5E4A85"/>
    <w:rsid w:val="00543ACD"/>
  </w:style>
  <w:style w:type="paragraph" w:customStyle="1" w:styleId="008197229B234829B7C4BBF4C39F26A9">
    <w:name w:val="008197229B234829B7C4BBF4C39F26A9"/>
    <w:rsid w:val="00543ACD"/>
  </w:style>
  <w:style w:type="paragraph" w:customStyle="1" w:styleId="A3A9DAA3F31F4B638348D3EDE5F3245A">
    <w:name w:val="A3A9DAA3F31F4B638348D3EDE5F3245A"/>
    <w:rsid w:val="00543ACD"/>
  </w:style>
  <w:style w:type="paragraph" w:customStyle="1" w:styleId="4F10922B836D4038B6E598F02C1829DE">
    <w:name w:val="4F10922B836D4038B6E598F02C1829DE"/>
    <w:rsid w:val="00543ACD"/>
  </w:style>
  <w:style w:type="paragraph" w:customStyle="1" w:styleId="270FE700502E48C1B7D28276F3710A6D">
    <w:name w:val="270FE700502E48C1B7D28276F3710A6D"/>
    <w:rsid w:val="00543ACD"/>
  </w:style>
  <w:style w:type="paragraph" w:customStyle="1" w:styleId="38AA5ECCA6094E74A040FFA87250B86A">
    <w:name w:val="38AA5ECCA6094E74A040FFA87250B86A"/>
    <w:rsid w:val="00543ACD"/>
  </w:style>
  <w:style w:type="paragraph" w:customStyle="1" w:styleId="14A85A19BCD4404AA4E68CDC83390702">
    <w:name w:val="14A85A19BCD4404AA4E68CDC83390702"/>
    <w:rsid w:val="00543ACD"/>
  </w:style>
  <w:style w:type="paragraph" w:customStyle="1" w:styleId="7607EDB3EBFA4EA1BFB16A99372817DD">
    <w:name w:val="7607EDB3EBFA4EA1BFB16A99372817DD"/>
    <w:rsid w:val="00543ACD"/>
  </w:style>
  <w:style w:type="paragraph" w:customStyle="1" w:styleId="2DD9D1CED3CE4EA5B3B08A033891D144">
    <w:name w:val="2DD9D1CED3CE4EA5B3B08A033891D144"/>
    <w:rsid w:val="00543ACD"/>
  </w:style>
  <w:style w:type="paragraph" w:customStyle="1" w:styleId="55D2059A92BA4BEE9945F2E51DCFED00">
    <w:name w:val="55D2059A92BA4BEE9945F2E51DCFED00"/>
    <w:rsid w:val="00543ACD"/>
  </w:style>
  <w:style w:type="paragraph" w:customStyle="1" w:styleId="3D4B8F9FA2AB4D1AB7F72E77FD461129">
    <w:name w:val="3D4B8F9FA2AB4D1AB7F72E77FD461129"/>
    <w:rsid w:val="00543ACD"/>
  </w:style>
  <w:style w:type="paragraph" w:customStyle="1" w:styleId="FD4552BA89964E2D87C937E6BD798B0B">
    <w:name w:val="FD4552BA89964E2D87C937E6BD798B0B"/>
    <w:rsid w:val="00543ACD"/>
  </w:style>
  <w:style w:type="paragraph" w:customStyle="1" w:styleId="17F997E307184E229B58FE78BCC5A2C7">
    <w:name w:val="17F997E307184E229B58FE78BCC5A2C7"/>
    <w:rsid w:val="00543ACD"/>
  </w:style>
  <w:style w:type="paragraph" w:customStyle="1" w:styleId="C7FEC07824734BCB8B180EFFFABC3FBA">
    <w:name w:val="C7FEC07824734BCB8B180EFFFABC3FBA"/>
    <w:rsid w:val="00543ACD"/>
  </w:style>
  <w:style w:type="paragraph" w:customStyle="1" w:styleId="F6A73CFA6B12406691A9E9C8CCBBE2DE">
    <w:name w:val="F6A73CFA6B12406691A9E9C8CCBBE2DE"/>
    <w:rsid w:val="00543ACD"/>
  </w:style>
  <w:style w:type="paragraph" w:customStyle="1" w:styleId="D83B81B800FB44C28784017675F824AE">
    <w:name w:val="D83B81B800FB44C28784017675F824AE"/>
    <w:rsid w:val="00543ACD"/>
  </w:style>
  <w:style w:type="paragraph" w:customStyle="1" w:styleId="80A073F0C4FF4266942B986E055DEEC9">
    <w:name w:val="80A073F0C4FF4266942B986E055DEEC9"/>
    <w:rsid w:val="00543ACD"/>
  </w:style>
  <w:style w:type="paragraph" w:customStyle="1" w:styleId="3DA8BB59B6254D738B8D8CFFE9EA5BBE">
    <w:name w:val="3DA8BB59B6254D738B8D8CFFE9EA5BBE"/>
    <w:rsid w:val="00543ACD"/>
  </w:style>
  <w:style w:type="paragraph" w:customStyle="1" w:styleId="EADC582E831F46A8A30A9434E76D7A52">
    <w:name w:val="EADC582E831F46A8A30A9434E76D7A52"/>
    <w:rsid w:val="00543ACD"/>
  </w:style>
  <w:style w:type="paragraph" w:customStyle="1" w:styleId="C78D4226E5CF4CEEA5ECD8448B6FB70A">
    <w:name w:val="C78D4226E5CF4CEEA5ECD8448B6FB70A"/>
    <w:rsid w:val="00543ACD"/>
  </w:style>
  <w:style w:type="paragraph" w:customStyle="1" w:styleId="70CEB144F3A4425C89B3BC76343EC1F5">
    <w:name w:val="70CEB144F3A4425C89B3BC76343EC1F5"/>
    <w:rsid w:val="00543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62398891</Template>
  <TotalTime>0</TotalTime>
  <Pages>21</Pages>
  <Words>5308</Words>
  <Characters>30256</Characters>
  <Application>Microsoft Office Word</Application>
  <DocSecurity>4</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2020-03-11T14:18:00Z</dcterms:created>
  <dcterms:modified xsi:type="dcterms:W3CDTF">2020-03-11T14:18:00Z</dcterms:modified>
</cp:coreProperties>
</file>