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383595130"/>
      <w:r w:rsidRPr="00861C2E">
        <w:rPr>
          <w:rFonts w:ascii="Arial" w:hAnsi="Arial" w:cs="Arial"/>
          <w:b/>
          <w:sz w:val="32"/>
          <w:szCs w:val="32"/>
        </w:rPr>
        <w:t>NATIONAL INSTITUTE FOR HEALTH AND CARE EXCELLENCE</w:t>
      </w:r>
      <w:bookmarkEnd w:id="0"/>
    </w:p>
    <w:p w14:paraId="513A8F55" w14:textId="77777777" w:rsidR="008C183F" w:rsidRPr="00861C2E" w:rsidRDefault="008C183F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6C6B43FC" w14:textId="2F3EF7E2" w:rsidR="00482C01" w:rsidRDefault="009B0E59" w:rsidP="00482C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NICE indicator v</w:t>
      </w:r>
      <w:r w:rsidR="00192B09">
        <w:rPr>
          <w:rFonts w:ascii="Arial" w:hAnsi="Arial" w:cs="Arial"/>
          <w:b/>
          <w:sz w:val="32"/>
          <w:szCs w:val="32"/>
        </w:rPr>
        <w:t>alidity assessment</w:t>
      </w:r>
    </w:p>
    <w:p w14:paraId="6A1C1341" w14:textId="77777777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0F5DF5F0" w14:textId="77777777" w:rsidR="002C71FC" w:rsidRPr="002921E7" w:rsidRDefault="002C71FC" w:rsidP="002C71FC">
      <w:pPr>
        <w:spacing w:before="240" w:after="240" w:line="360" w:lineRule="auto"/>
        <w:rPr>
          <w:rFonts w:ascii="Arial" w:hAnsi="Arial"/>
          <w:lang w:eastAsia="en-GB"/>
        </w:rPr>
      </w:pPr>
      <w:r w:rsidRPr="002921E7">
        <w:rPr>
          <w:rFonts w:ascii="Arial" w:hAnsi="Arial"/>
          <w:lang w:eastAsia="en-GB"/>
        </w:rPr>
        <w:t>Assurance date:</w:t>
      </w:r>
      <w:r>
        <w:rPr>
          <w:rFonts w:ascii="Arial" w:hAnsi="Arial"/>
          <w:lang w:eastAsia="en-GB"/>
        </w:rPr>
        <w:t xml:space="preserve"> June 2021</w:t>
      </w:r>
    </w:p>
    <w:p w14:paraId="52688909" w14:textId="2F6B1A74" w:rsidR="002C71FC" w:rsidRPr="002C71FC" w:rsidRDefault="002C71FC" w:rsidP="002C71FC">
      <w:pPr>
        <w:spacing w:before="240" w:after="240" w:line="360" w:lineRule="auto"/>
        <w:rPr>
          <w:rFonts w:ascii="Arial" w:hAnsi="Arial"/>
          <w:lang w:eastAsia="en-GB"/>
        </w:rPr>
      </w:pPr>
      <w:r w:rsidRPr="002921E7">
        <w:rPr>
          <w:rFonts w:ascii="Arial" w:hAnsi="Arial"/>
          <w:lang w:eastAsia="en-GB"/>
        </w:rPr>
        <w:t>Review date:</w:t>
      </w:r>
      <w:r>
        <w:rPr>
          <w:rFonts w:ascii="Arial" w:hAnsi="Arial"/>
          <w:lang w:eastAsia="en-GB"/>
        </w:rPr>
        <w:t xml:space="preserve"> June 2024</w:t>
      </w:r>
    </w:p>
    <w:p w14:paraId="047E7BC9" w14:textId="4F0A1F88" w:rsidR="009B0E59" w:rsidRPr="009B0E59" w:rsidRDefault="009B0E59" w:rsidP="009B0E59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FF79D5">
        <w:rPr>
          <w:lang w:eastAsia="en-GB"/>
        </w:rPr>
        <w:t>IAP00</w:t>
      </w:r>
      <w:r w:rsidR="006100D7">
        <w:rPr>
          <w:lang w:eastAsia="en-GB"/>
        </w:rPr>
        <w:t>3</w:t>
      </w:r>
      <w:r w:rsidR="0062642E">
        <w:rPr>
          <w:lang w:eastAsia="en-GB"/>
        </w:rPr>
        <w:t>3</w:t>
      </w:r>
      <w:r w:rsidR="006100D7">
        <w:rPr>
          <w:lang w:eastAsia="en-GB"/>
        </w:rPr>
        <w:t>2</w:t>
      </w:r>
    </w:p>
    <w:p w14:paraId="1C6E01C5" w14:textId="77777777" w:rsidR="006100D7" w:rsidRDefault="006100D7" w:rsidP="009B0E59">
      <w:pPr>
        <w:pStyle w:val="Heading1"/>
        <w:rPr>
          <w:b w:val="0"/>
          <w:bCs w:val="0"/>
          <w:kern w:val="0"/>
          <w:sz w:val="24"/>
          <w:szCs w:val="24"/>
          <w:lang w:eastAsia="en-GB"/>
        </w:rPr>
      </w:pPr>
      <w:r w:rsidRPr="006100D7">
        <w:rPr>
          <w:b w:val="0"/>
          <w:bCs w:val="0"/>
          <w:kern w:val="0"/>
          <w:sz w:val="24"/>
          <w:szCs w:val="24"/>
          <w:lang w:eastAsia="en-GB"/>
        </w:rPr>
        <w:t>Alcohol-specific hospital admissions</w:t>
      </w:r>
    </w:p>
    <w:p w14:paraId="7C25BFBC" w14:textId="4C95731D" w:rsidR="007136A7" w:rsidRDefault="00192B09" w:rsidP="009B0E59">
      <w:pPr>
        <w:pStyle w:val="Heading1"/>
      </w:pPr>
      <w:r>
        <w:t xml:space="preserve">Validity assessment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8"/>
        <w:gridCol w:w="4092"/>
        <w:gridCol w:w="3047"/>
      </w:tblGrid>
      <w:tr w:rsidR="00455B14" w:rsidRPr="006E1387" w14:paraId="0815D160" w14:textId="1327D684" w:rsidTr="00455B14">
        <w:tc>
          <w:tcPr>
            <w:tcW w:w="1878" w:type="dxa"/>
          </w:tcPr>
          <w:p w14:paraId="04AA61DA" w14:textId="77777777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4092" w:type="dxa"/>
          </w:tcPr>
          <w:p w14:paraId="177895C1" w14:textId="194D65D4" w:rsidR="00455B14" w:rsidRPr="006E1387" w:rsidRDefault="009B5C5F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 w:rsidR="00455B14" w:rsidRPr="006E1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</w:tcPr>
          <w:p w14:paraId="7A5D48DC" w14:textId="7C82261F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</w:tr>
      <w:tr w:rsidR="00455B14" w:rsidRPr="006E1387" w14:paraId="3708A997" w14:textId="67C127FD" w:rsidTr="00455B14">
        <w:tc>
          <w:tcPr>
            <w:tcW w:w="1878" w:type="dxa"/>
          </w:tcPr>
          <w:p w14:paraId="480E158F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Importance</w:t>
            </w:r>
          </w:p>
        </w:tc>
        <w:tc>
          <w:tcPr>
            <w:tcW w:w="4092" w:type="dxa"/>
          </w:tcPr>
          <w:p w14:paraId="00803C67" w14:textId="42A965E6" w:rsidR="00333A96" w:rsidRDefault="00333A96" w:rsidP="00333A9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Indicator is part of the </w:t>
            </w:r>
            <w:r w:rsidR="00853218">
              <w:rPr>
                <w:rFonts w:ascii="Arial" w:hAnsi="Arial" w:cs="Arial"/>
                <w:sz w:val="22"/>
                <w:szCs w:val="22"/>
              </w:rPr>
              <w:t>CCG outcomes indicator set</w:t>
            </w:r>
            <w:r w:rsidR="00402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5B77">
              <w:rPr>
                <w:rFonts w:ascii="Arial" w:hAnsi="Arial" w:cs="Arial"/>
                <w:sz w:val="22"/>
                <w:szCs w:val="22"/>
              </w:rPr>
              <w:t xml:space="preserve">domain </w:t>
            </w:r>
            <w:r w:rsidR="006100D7">
              <w:rPr>
                <w:rFonts w:ascii="Arial" w:hAnsi="Arial" w:cs="Arial"/>
                <w:sz w:val="22"/>
                <w:szCs w:val="22"/>
              </w:rPr>
              <w:t>3</w:t>
            </w:r>
            <w:r w:rsidR="00F75B7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6100D7" w:rsidRPr="006100D7">
              <w:rPr>
                <w:rFonts w:ascii="Arial" w:hAnsi="Arial" w:cs="Arial"/>
                <w:sz w:val="22"/>
                <w:szCs w:val="22"/>
              </w:rPr>
              <w:t>Helping people to recover from episodes of ill health or following injury</w:t>
            </w:r>
            <w:r w:rsidR="00402B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0AAFD7" w14:textId="5F86CA93" w:rsidR="00645411" w:rsidRPr="006E1387" w:rsidRDefault="006100D7" w:rsidP="006100D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a national level there is no clear trend with values ranging between 111.8 and 121.3 per 100,000 population over the period reported (13/14 to 18/19). In 2018/19 CCG values ranged from 36.6 to 364.9.</w:t>
            </w:r>
          </w:p>
        </w:tc>
        <w:tc>
          <w:tcPr>
            <w:tcW w:w="3047" w:type="dxa"/>
          </w:tcPr>
          <w:p w14:paraId="34B49690" w14:textId="7DD53582" w:rsidR="00E05AB5" w:rsidRDefault="00E05AB5" w:rsidP="00C41156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Indicator is based </w:t>
            </w:r>
            <w:r w:rsidR="005B620E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on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a recognized dataset.</w:t>
            </w:r>
          </w:p>
          <w:p w14:paraId="78280FB7" w14:textId="759D4C5F" w:rsidR="00E05AB5" w:rsidRPr="006E1387" w:rsidRDefault="00383115" w:rsidP="006100D7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Indicator </w:t>
            </w:r>
            <w:r w:rsidR="006100D7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trend not clear, though </w:t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meaningful comparisons can be made between time periods and CCGs.</w:t>
            </w:r>
          </w:p>
        </w:tc>
      </w:tr>
      <w:tr w:rsidR="00455B14" w:rsidRPr="006E1387" w14:paraId="77F6A4A2" w14:textId="33EFD485" w:rsidTr="00455B14">
        <w:tc>
          <w:tcPr>
            <w:tcW w:w="1878" w:type="dxa"/>
          </w:tcPr>
          <w:p w14:paraId="6AF47F4B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Evidence base</w:t>
            </w:r>
          </w:p>
        </w:tc>
        <w:tc>
          <w:tcPr>
            <w:tcW w:w="4092" w:type="dxa"/>
          </w:tcPr>
          <w:p w14:paraId="67D19D99" w14:textId="1EAEC52D" w:rsidR="0019550C" w:rsidRDefault="0019550C" w:rsidP="005F39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indicator </w:t>
            </w:r>
            <w:r w:rsidR="00521D6D">
              <w:rPr>
                <w:rFonts w:ascii="Arial" w:hAnsi="Arial" w:cs="Arial"/>
                <w:sz w:val="22"/>
                <w:szCs w:val="22"/>
              </w:rPr>
              <w:t>quality statement</w:t>
            </w:r>
            <w:r w:rsidR="00521D6D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="00521D6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FD2163" w14:textId="1755A30A" w:rsidR="005F3926" w:rsidRPr="006E1387" w:rsidRDefault="0019550C" w:rsidP="006100D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6100D7" w:rsidRPr="006100D7">
              <w:rPr>
                <w:rFonts w:ascii="Arial" w:hAnsi="Arial" w:cs="Arial"/>
                <w:sz w:val="22"/>
                <w:szCs w:val="22"/>
              </w:rPr>
              <w:t xml:space="preserve">This indicator forms part of Domain 3 - Helping people to recover from episodes of ill health or following injury. Some, but not all alcohol-specific admissions are potentially avoidable by high quality management in primary care and the community. Excessive consumption of alcohol may be amenable to influence and could result in a reduction in avoidable hospital admissions, which are costly and expose patients to otherwise avoidable </w:t>
            </w:r>
            <w:r w:rsidR="006100D7" w:rsidRPr="006100D7">
              <w:rPr>
                <w:rFonts w:ascii="Arial" w:hAnsi="Arial" w:cs="Arial"/>
                <w:sz w:val="22"/>
                <w:szCs w:val="22"/>
              </w:rPr>
              <w:lastRenderedPageBreak/>
              <w:t>clinical risks such as health care acquired infections.</w:t>
            </w:r>
            <w:r w:rsidRPr="0019550C">
              <w:rPr>
                <w:rFonts w:ascii="Arial" w:hAnsi="Arial" w:cs="Arial"/>
                <w:sz w:val="22"/>
                <w:szCs w:val="22"/>
              </w:rPr>
              <w:t xml:space="preserve">”.  </w:t>
            </w:r>
          </w:p>
        </w:tc>
        <w:tc>
          <w:tcPr>
            <w:tcW w:w="3047" w:type="dxa"/>
          </w:tcPr>
          <w:p w14:paraId="12B8C1AB" w14:textId="10CAD71E" w:rsidR="00E05AB5" w:rsidRPr="006E1387" w:rsidRDefault="00E25210" w:rsidP="006100D7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lastRenderedPageBreak/>
              <w:t>Evidence base exists</w:t>
            </w:r>
            <w:r w:rsidR="005F3926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.</w:t>
            </w:r>
            <w:r w:rsidR="007E7E62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This indicator </w:t>
            </w:r>
            <w:r w:rsidR="008A0C30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aligns with </w:t>
            </w:r>
            <w:r w:rsidR="006100D7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NICE </w:t>
            </w:r>
            <w:r w:rsidR="001E6E32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guideline</w:t>
            </w:r>
            <w:r w:rsidR="006100D7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on prevention of alcohol-use disorders (PH24</w:t>
            </w:r>
            <w:r w:rsidR="00395ED8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2"/>
            </w:r>
            <w:r w:rsidR="006100D7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) and </w:t>
            </w:r>
            <w:r w:rsidR="001E6E32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guideline and quality standard on </w:t>
            </w:r>
            <w:r w:rsidR="00F25E11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diagnosis and management</w:t>
            </w:r>
            <w:r w:rsidR="001E6E32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of alcohol use disorders</w:t>
            </w:r>
            <w:r w:rsidR="00F25E11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(CG115</w:t>
            </w:r>
            <w:r w:rsidR="00395ED8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3"/>
            </w:r>
            <w:r w:rsidR="00F25E11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QS11</w:t>
            </w:r>
            <w:r w:rsidR="00395ED8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4"/>
            </w:r>
            <w:r w:rsidR="00F25E11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 among others.</w:t>
            </w:r>
          </w:p>
        </w:tc>
      </w:tr>
      <w:tr w:rsidR="00455B14" w:rsidRPr="006E1387" w14:paraId="3CC8FB8C" w14:textId="54EA7E4F" w:rsidTr="00455B14">
        <w:tc>
          <w:tcPr>
            <w:tcW w:w="1878" w:type="dxa"/>
          </w:tcPr>
          <w:p w14:paraId="4C16DA9B" w14:textId="563A524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Specification </w:t>
            </w:r>
          </w:p>
        </w:tc>
        <w:tc>
          <w:tcPr>
            <w:tcW w:w="4092" w:type="dxa"/>
          </w:tcPr>
          <w:p w14:paraId="5BB39B09" w14:textId="77777777" w:rsidR="00F25E11" w:rsidRDefault="00F2277C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Numerator: </w:t>
            </w:r>
            <w:r w:rsidR="00383115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Number of emergency admissions with a primary diagnosis of </w:t>
            </w:r>
            <w:r w:rsidR="00F25E11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or external cause of an alcohol-specific condition. </w:t>
            </w:r>
            <w:r w:rsidR="0012086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ICD-10 codes</w:t>
            </w:r>
            <w:r w:rsidR="00F25E11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:</w:t>
            </w:r>
          </w:p>
          <w:p w14:paraId="7F5AB8B1" w14:textId="4FC1FC09" w:rsidR="00455B14" w:rsidRDefault="00F25E11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Diagnosis codes: E24.4, F10, G31.2, G62.1, G72.1, I42.6, K29.2, K70, K85.2, K86.0, Q86.0, R78.0, T51.0, T51.1, T51.9</w:t>
            </w:r>
          </w:p>
          <w:p w14:paraId="5FEEBB83" w14:textId="63B7EA18" w:rsidR="00F25E11" w:rsidRDefault="00F25E11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External causes: X45, X65, Y15, Y90, Y91</w:t>
            </w:r>
          </w:p>
          <w:p w14:paraId="4FC7B690" w14:textId="0A1AE7A6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Denominator:</w:t>
            </w:r>
            <w:r w:rsidR="00402BFB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383115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Registered patient counts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from the National Health Application and Infrastructure Services (NHAIS), NHS Digital.</w:t>
            </w:r>
          </w:p>
          <w:p w14:paraId="158FFEDA" w14:textId="16F64460" w:rsidR="00F77F03" w:rsidRPr="006E1387" w:rsidRDefault="00F77F0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Exclusions: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None</w:t>
            </w:r>
          </w:p>
          <w:p w14:paraId="46400236" w14:textId="4067221C" w:rsidR="00402BFB" w:rsidRDefault="00F656C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Methodology: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The directly age and sex standardised rate per 100,000 population.</w:t>
            </w:r>
          </w:p>
          <w:p w14:paraId="241B73C2" w14:textId="6376E9D8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Geography: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F25E11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England, CCG.</w:t>
            </w:r>
          </w:p>
          <w:p w14:paraId="5B155699" w14:textId="675A3811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Data Source: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Hospital episode statistics (HES).</w:t>
            </w:r>
          </w:p>
          <w:p w14:paraId="134E4565" w14:textId="1574E763" w:rsidR="00A54F81" w:rsidRPr="006E1387" w:rsidRDefault="00873503" w:rsidP="009A1FC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Disclosure control: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Current HES disclosure rules – numerator and denominators between 1 and 7 are suppressed and values calculated from these are also suppressed. Numerator values are rounded after calculation of rates.</w:t>
            </w:r>
          </w:p>
        </w:tc>
        <w:tc>
          <w:tcPr>
            <w:tcW w:w="3047" w:type="dxa"/>
          </w:tcPr>
          <w:p w14:paraId="3C3529D2" w14:textId="0B8323A7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has defined components necessary to construct the indicator</w:t>
            </w:r>
            <w:r w:rsidR="00217BF3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2FC7796" w14:textId="5A354569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="00455B14" w:rsidRPr="006E1387" w14:paraId="23FEA25E" w14:textId="6A849BFE" w:rsidTr="00455B14">
        <w:tc>
          <w:tcPr>
            <w:tcW w:w="1878" w:type="dxa"/>
          </w:tcPr>
          <w:p w14:paraId="05670B1F" w14:textId="657854F2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Feasibility  </w:t>
            </w:r>
          </w:p>
        </w:tc>
        <w:tc>
          <w:tcPr>
            <w:tcW w:w="4092" w:type="dxa"/>
          </w:tcPr>
          <w:p w14:paraId="6164A0BB" w14:textId="3F05EB80" w:rsidR="00F656C3" w:rsidRPr="006E1387" w:rsidRDefault="00F52CF4" w:rsidP="00AF27B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data from long running data sources.</w:t>
            </w:r>
          </w:p>
          <w:p w14:paraId="23202A2C" w14:textId="363ECA27" w:rsidR="002B4762" w:rsidRPr="006E1387" w:rsidRDefault="002B4762" w:rsidP="002B47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7" w:type="dxa"/>
          </w:tcPr>
          <w:p w14:paraId="7C614BB1" w14:textId="0668E0D4" w:rsidR="00455B14" w:rsidRPr="006E1387" w:rsidRDefault="00262A3E" w:rsidP="009A1FC0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Data has been flowing for some time and data sources will continue</w:t>
            </w:r>
            <w:r w:rsidR="009A1FC0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</w:tc>
      </w:tr>
      <w:tr w:rsidR="00455B14" w:rsidRPr="006E1387" w14:paraId="211AFDFC" w14:textId="3BA1BF23" w:rsidTr="00455B14">
        <w:tc>
          <w:tcPr>
            <w:tcW w:w="1878" w:type="dxa"/>
          </w:tcPr>
          <w:p w14:paraId="7AA7B574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Acceptability</w:t>
            </w:r>
          </w:p>
        </w:tc>
        <w:tc>
          <w:tcPr>
            <w:tcW w:w="4092" w:type="dxa"/>
          </w:tcPr>
          <w:p w14:paraId="1CBAC61F" w14:textId="61B99C68" w:rsidR="009A1FC0" w:rsidRDefault="009A1FC0" w:rsidP="000438E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Indicator data is from HES and is robust. </w:t>
            </w:r>
          </w:p>
          <w:p w14:paraId="2117977B" w14:textId="218AFB98" w:rsidR="009F3187" w:rsidRPr="006E1387" w:rsidRDefault="009F3187" w:rsidP="00262A3E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047" w:type="dxa"/>
          </w:tcPr>
          <w:p w14:paraId="29506238" w14:textId="2D49B6DF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5FC4D2AC" w14:textId="77777777" w:rsidR="002223A6" w:rsidRDefault="00455B14" w:rsidP="00455B14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The results of the indicator can be used to improve practice</w:t>
            </w:r>
            <w:r w:rsidR="009B0E59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  <w:p w14:paraId="472E62AD" w14:textId="5DF79D3F" w:rsidR="00217BF3" w:rsidRPr="006E1387" w:rsidRDefault="00217BF3" w:rsidP="009A1FC0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</w:p>
        </w:tc>
      </w:tr>
      <w:tr w:rsidR="00041011" w:rsidRPr="006E1387" w14:paraId="515852F3" w14:textId="598C7331" w:rsidTr="001E6E32">
        <w:trPr>
          <w:trHeight w:val="1266"/>
        </w:trPr>
        <w:tc>
          <w:tcPr>
            <w:tcW w:w="1878" w:type="dxa"/>
          </w:tcPr>
          <w:p w14:paraId="5DC1BD3A" w14:textId="17F33E7B" w:rsidR="00041011" w:rsidRPr="006E1387" w:rsidRDefault="00041011" w:rsidP="00041011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Risk</w:t>
            </w:r>
          </w:p>
        </w:tc>
        <w:tc>
          <w:tcPr>
            <w:tcW w:w="4092" w:type="dxa"/>
          </w:tcPr>
          <w:p w14:paraId="6C854FEE" w14:textId="2E2E12AA" w:rsidR="00041011" w:rsidRPr="006E1387" w:rsidRDefault="009A1FC0" w:rsidP="00BA30D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None identified</w:t>
            </w:r>
          </w:p>
        </w:tc>
        <w:tc>
          <w:tcPr>
            <w:tcW w:w="3047" w:type="dxa"/>
          </w:tcPr>
          <w:p w14:paraId="7C2C11AA" w14:textId="092826F4" w:rsidR="00041011" w:rsidRPr="006E1387" w:rsidRDefault="009A1FC0" w:rsidP="00EC7278">
            <w:pPr>
              <w:pStyle w:val="NICEnormal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None identified.</w:t>
            </w:r>
          </w:p>
        </w:tc>
      </w:tr>
    </w:tbl>
    <w:p w14:paraId="37D9A2F5" w14:textId="084C27AB" w:rsidR="004A517E" w:rsidRDefault="004A517E">
      <w:pPr>
        <w:rPr>
          <w:rFonts w:ascii="Arial" w:hAnsi="Arial"/>
          <w:lang w:val="en-US"/>
        </w:rPr>
      </w:pPr>
    </w:p>
    <w:p w14:paraId="24C64D08" w14:textId="77777777" w:rsidR="002C71FC" w:rsidRDefault="002C71FC" w:rsidP="002C71FC">
      <w:pPr>
        <w:pStyle w:val="Paragraphnonumbers"/>
      </w:pPr>
      <w:r w:rsidRPr="00B12039">
        <w:rPr>
          <w:b/>
        </w:rPr>
        <w:t>Summary:</w:t>
      </w:r>
      <w:r>
        <w:t xml:space="preserve"> </w:t>
      </w:r>
      <w:r w:rsidRPr="00B60A21">
        <w:t>Indicator to be renewed.</w:t>
      </w:r>
    </w:p>
    <w:p w14:paraId="68B59A06" w14:textId="77777777" w:rsidR="009D1EDA" w:rsidRDefault="009D1EDA" w:rsidP="009D1EDA">
      <w:pPr>
        <w:pStyle w:val="Paragraphnonumbers"/>
        <w:rPr>
          <w:b/>
        </w:rPr>
      </w:pPr>
      <w:r>
        <w:rPr>
          <w:b/>
        </w:rPr>
        <w:t xml:space="preserve">NHS Digital Indicator reference: </w:t>
      </w:r>
    </w:p>
    <w:p w14:paraId="19E2D89C" w14:textId="25CEA241" w:rsidR="009D1EDA" w:rsidRDefault="009D1EDA" w:rsidP="009D1EDA">
      <w:pPr>
        <w:pStyle w:val="Paragraphnonumbers"/>
      </w:pPr>
      <w:r>
        <w:t xml:space="preserve">CCG Outcomes Indicator Set - </w:t>
      </w:r>
      <w:r w:rsidRPr="009D1EDA">
        <w:t>3.14 Alcohol-specific hospital admissions</w:t>
      </w:r>
    </w:p>
    <w:p w14:paraId="123085F8" w14:textId="5CF2C67D" w:rsidR="00D73835" w:rsidRDefault="00D73835" w:rsidP="009D1EDA">
      <w:pPr>
        <w:pStyle w:val="Paragraphnonumbers"/>
      </w:pPr>
    </w:p>
    <w:sectPr w:rsidR="00D73835" w:rsidSect="00192B0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AE2E" w14:textId="77777777" w:rsidR="00ED6F53" w:rsidRDefault="00ED6F53" w:rsidP="00446BEE">
      <w:r>
        <w:separator/>
      </w:r>
    </w:p>
  </w:endnote>
  <w:endnote w:type="continuationSeparator" w:id="0">
    <w:p w14:paraId="1EE071A7" w14:textId="77777777" w:rsidR="00ED6F53" w:rsidRDefault="00ED6F5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07A" w14:textId="07A8B0FF" w:rsidR="00BB14CA" w:rsidRPr="008C1C95" w:rsidRDefault="009D1EDA" w:rsidP="008C1C95">
    <w:pPr>
      <w:pStyle w:val="Footer"/>
      <w:jc w:val="right"/>
    </w:pPr>
    <w:r>
      <w:t xml:space="preserve">IAP00332 </w:t>
    </w:r>
    <w:r w:rsidRPr="009D1EDA">
      <w:t>Alcohol-specific hospital admissions</w:t>
    </w:r>
    <w:r w:rsidR="009B0E59">
      <w:t xml:space="preserve">: Validity assessment </w:t>
    </w:r>
    <w:r>
      <w:t>March 2021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>
      <w:rPr>
        <w:noProof/>
      </w:rPr>
      <w:t>2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>
      <w:rPr>
        <w:noProof/>
      </w:rPr>
      <w:t>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BEBC" w14:textId="77777777" w:rsidR="00ED6F53" w:rsidRDefault="00ED6F53" w:rsidP="00446BEE">
      <w:r>
        <w:separator/>
      </w:r>
    </w:p>
  </w:footnote>
  <w:footnote w:type="continuationSeparator" w:id="0">
    <w:p w14:paraId="28DE568C" w14:textId="77777777" w:rsidR="00ED6F53" w:rsidRDefault="00ED6F53" w:rsidP="00446BEE">
      <w:r>
        <w:continuationSeparator/>
      </w:r>
    </w:p>
  </w:footnote>
  <w:footnote w:id="1">
    <w:p w14:paraId="31CF1D59" w14:textId="20285A78" w:rsidR="00521D6D" w:rsidRDefault="00521D6D">
      <w:pPr>
        <w:pStyle w:val="FootnoteText"/>
      </w:pPr>
      <w:r>
        <w:rPr>
          <w:rStyle w:val="FootnoteReference"/>
        </w:rPr>
        <w:footnoteRef/>
      </w:r>
      <w:r>
        <w:t xml:space="preserve"> NHS Digital. </w:t>
      </w:r>
      <w:r w:rsidR="00383115">
        <w:t>CCG Outcomes indicator set</w:t>
      </w:r>
      <w:r>
        <w:t xml:space="preserve">, Indicator Quality Statement, Domain </w:t>
      </w:r>
      <w:r w:rsidR="006100D7">
        <w:t>3</w:t>
      </w:r>
      <w:r>
        <w:t xml:space="preserve">. </w:t>
      </w:r>
      <w:r w:rsidR="006100D7">
        <w:t>3.14</w:t>
      </w:r>
      <w:r w:rsidR="00383115">
        <w:t xml:space="preserve"> </w:t>
      </w:r>
      <w:r w:rsidR="006100D7" w:rsidRPr="006100D7">
        <w:t>Alcohol-specific hospital admissions</w:t>
      </w:r>
      <w:r w:rsidR="00383115">
        <w:t>.</w:t>
      </w:r>
      <w:r>
        <w:t xml:space="preserve"> Version </w:t>
      </w:r>
      <w:r w:rsidR="00383115">
        <w:t>1</w:t>
      </w:r>
      <w:r>
        <w:t>.</w:t>
      </w:r>
      <w:r w:rsidR="00383115">
        <w:t>1</w:t>
      </w:r>
      <w:r w:rsidR="006100D7">
        <w:t>1</w:t>
      </w:r>
      <w:r>
        <w:t xml:space="preserve">, </w:t>
      </w:r>
      <w:r w:rsidR="00383115">
        <w:t>March 2020</w:t>
      </w:r>
    </w:p>
  </w:footnote>
  <w:footnote w:id="2">
    <w:p w14:paraId="577A396A" w14:textId="6066BBE0" w:rsidR="00395ED8" w:rsidRDefault="00395E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5ED8">
        <w:t>Alcohol-use disorders: prevention</w:t>
      </w:r>
      <w:r>
        <w:t xml:space="preserve">, published 2 June 2010, </w:t>
      </w:r>
      <w:hyperlink r:id="rId1" w:history="1">
        <w:r w:rsidRPr="00B6599C">
          <w:rPr>
            <w:rStyle w:val="Hyperlink"/>
          </w:rPr>
          <w:t>https://www.nice.org.uk/guidance/ph24</w:t>
        </w:r>
      </w:hyperlink>
      <w:r>
        <w:t xml:space="preserve"> </w:t>
      </w:r>
    </w:p>
  </w:footnote>
  <w:footnote w:id="3">
    <w:p w14:paraId="7A5C346F" w14:textId="71FE80E0" w:rsidR="00395ED8" w:rsidRDefault="00395E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5ED8">
        <w:t>Alcohol-use disorders: diagnosis, assessment and management of harmful drinking (high-risk drinking) and alcohol dependence</w:t>
      </w:r>
      <w:r>
        <w:t xml:space="preserve">, published 23 February 2011, </w:t>
      </w:r>
      <w:hyperlink r:id="rId2" w:history="1">
        <w:r w:rsidRPr="00B6599C">
          <w:rPr>
            <w:rStyle w:val="Hyperlink"/>
          </w:rPr>
          <w:t>https://www.nice.org.uk/guidance/cg115</w:t>
        </w:r>
      </w:hyperlink>
      <w:r>
        <w:t xml:space="preserve"> </w:t>
      </w:r>
    </w:p>
  </w:footnote>
  <w:footnote w:id="4">
    <w:p w14:paraId="3553965C" w14:textId="0503C130" w:rsidR="00395ED8" w:rsidRDefault="00395E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5ED8">
        <w:t>Alcohol-use disorders: diagnosis and management</w:t>
      </w:r>
      <w:r>
        <w:t xml:space="preserve">, published 24 August 2011, </w:t>
      </w:r>
      <w:hyperlink r:id="rId3" w:history="1">
        <w:r w:rsidRPr="00B6599C">
          <w:rPr>
            <w:rStyle w:val="Hyperlink"/>
          </w:rPr>
          <w:t>https://www.nice.org.uk/guidance/qs11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A576E9A"/>
    <w:multiLevelType w:val="hybridMultilevel"/>
    <w:tmpl w:val="CF58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7"/>
  </w:num>
  <w:num w:numId="4">
    <w:abstractNumId w:val="12"/>
  </w:num>
  <w:num w:numId="5">
    <w:abstractNumId w:val="24"/>
  </w:num>
  <w:num w:numId="6">
    <w:abstractNumId w:val="1"/>
  </w:num>
  <w:num w:numId="7">
    <w:abstractNumId w:val="10"/>
  </w:num>
  <w:num w:numId="8">
    <w:abstractNumId w:val="22"/>
  </w:num>
  <w:num w:numId="9">
    <w:abstractNumId w:val="23"/>
  </w:num>
  <w:num w:numId="10">
    <w:abstractNumId w:val="5"/>
  </w:num>
  <w:num w:numId="11">
    <w:abstractNumId w:val="7"/>
  </w:num>
  <w:num w:numId="12">
    <w:abstractNumId w:val="3"/>
  </w:num>
  <w:num w:numId="13">
    <w:abstractNumId w:val="30"/>
  </w:num>
  <w:num w:numId="14">
    <w:abstractNumId w:val="14"/>
  </w:num>
  <w:num w:numId="15">
    <w:abstractNumId w:val="9"/>
  </w:num>
  <w:num w:numId="16">
    <w:abstractNumId w:val="19"/>
  </w:num>
  <w:num w:numId="17">
    <w:abstractNumId w:val="16"/>
  </w:num>
  <w:num w:numId="18">
    <w:abstractNumId w:val="21"/>
  </w:num>
  <w:num w:numId="19">
    <w:abstractNumId w:val="25"/>
  </w:num>
  <w:num w:numId="20">
    <w:abstractNumId w:val="6"/>
  </w:num>
  <w:num w:numId="21">
    <w:abstractNumId w:val="28"/>
  </w:num>
  <w:num w:numId="22">
    <w:abstractNumId w:val="0"/>
  </w:num>
  <w:num w:numId="23">
    <w:abstractNumId w:val="4"/>
  </w:num>
  <w:num w:numId="24">
    <w:abstractNumId w:val="26"/>
  </w:num>
  <w:num w:numId="25">
    <w:abstractNumId w:val="18"/>
  </w:num>
  <w:num w:numId="26">
    <w:abstractNumId w:val="1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</w:num>
  <w:num w:numId="37">
    <w:abstractNumId w:val="5"/>
  </w:num>
  <w:num w:numId="38">
    <w:abstractNumId w:val="29"/>
  </w:num>
  <w:num w:numId="39">
    <w:abstractNumId w:val="20"/>
  </w:num>
  <w:num w:numId="4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070F1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4649"/>
    <w:rsid w:val="00035D96"/>
    <w:rsid w:val="00036EE4"/>
    <w:rsid w:val="00037552"/>
    <w:rsid w:val="00041011"/>
    <w:rsid w:val="000414CD"/>
    <w:rsid w:val="0004386A"/>
    <w:rsid w:val="000438E0"/>
    <w:rsid w:val="000453F8"/>
    <w:rsid w:val="00050710"/>
    <w:rsid w:val="000523A6"/>
    <w:rsid w:val="000524FA"/>
    <w:rsid w:val="00052A67"/>
    <w:rsid w:val="00052B85"/>
    <w:rsid w:val="00053145"/>
    <w:rsid w:val="00056013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24A0"/>
    <w:rsid w:val="000E4899"/>
    <w:rsid w:val="000E7E3C"/>
    <w:rsid w:val="000F3B49"/>
    <w:rsid w:val="000F6502"/>
    <w:rsid w:val="001043B0"/>
    <w:rsid w:val="001066B8"/>
    <w:rsid w:val="00110A94"/>
    <w:rsid w:val="00110AD8"/>
    <w:rsid w:val="00112FAE"/>
    <w:rsid w:val="001131E2"/>
    <w:rsid w:val="001134E7"/>
    <w:rsid w:val="0012086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377B8"/>
    <w:rsid w:val="00140B46"/>
    <w:rsid w:val="00140D83"/>
    <w:rsid w:val="001413FC"/>
    <w:rsid w:val="00145D3C"/>
    <w:rsid w:val="001503E8"/>
    <w:rsid w:val="00154516"/>
    <w:rsid w:val="00155A83"/>
    <w:rsid w:val="00156264"/>
    <w:rsid w:val="00156529"/>
    <w:rsid w:val="001579DA"/>
    <w:rsid w:val="00161404"/>
    <w:rsid w:val="00161EBC"/>
    <w:rsid w:val="00165770"/>
    <w:rsid w:val="00165B01"/>
    <w:rsid w:val="00166C1A"/>
    <w:rsid w:val="0017169E"/>
    <w:rsid w:val="00173568"/>
    <w:rsid w:val="0017396B"/>
    <w:rsid w:val="00175BE8"/>
    <w:rsid w:val="00175F5D"/>
    <w:rsid w:val="00177200"/>
    <w:rsid w:val="001773DC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550C"/>
    <w:rsid w:val="00196653"/>
    <w:rsid w:val="00196E29"/>
    <w:rsid w:val="001976DA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76D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E32"/>
    <w:rsid w:val="001E6F20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17BF3"/>
    <w:rsid w:val="00220661"/>
    <w:rsid w:val="00220702"/>
    <w:rsid w:val="002213B0"/>
    <w:rsid w:val="0022189B"/>
    <w:rsid w:val="002223A6"/>
    <w:rsid w:val="002229AD"/>
    <w:rsid w:val="00224AEE"/>
    <w:rsid w:val="00225FF4"/>
    <w:rsid w:val="00230A13"/>
    <w:rsid w:val="002331C6"/>
    <w:rsid w:val="002363B6"/>
    <w:rsid w:val="00236B76"/>
    <w:rsid w:val="002408EA"/>
    <w:rsid w:val="00241410"/>
    <w:rsid w:val="002549B2"/>
    <w:rsid w:val="002563DF"/>
    <w:rsid w:val="0026014A"/>
    <w:rsid w:val="0026108E"/>
    <w:rsid w:val="002614ED"/>
    <w:rsid w:val="00262A3E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4539"/>
    <w:rsid w:val="00284F52"/>
    <w:rsid w:val="00286537"/>
    <w:rsid w:val="00286C3A"/>
    <w:rsid w:val="00287467"/>
    <w:rsid w:val="00291A5B"/>
    <w:rsid w:val="00292B2C"/>
    <w:rsid w:val="0029330E"/>
    <w:rsid w:val="00296E2E"/>
    <w:rsid w:val="002A0363"/>
    <w:rsid w:val="002A23A7"/>
    <w:rsid w:val="002A24C9"/>
    <w:rsid w:val="002A5503"/>
    <w:rsid w:val="002A6812"/>
    <w:rsid w:val="002A7339"/>
    <w:rsid w:val="002A7A24"/>
    <w:rsid w:val="002B4762"/>
    <w:rsid w:val="002B565A"/>
    <w:rsid w:val="002B71D2"/>
    <w:rsid w:val="002C0DA9"/>
    <w:rsid w:val="002C1A7E"/>
    <w:rsid w:val="002C2893"/>
    <w:rsid w:val="002C292E"/>
    <w:rsid w:val="002C3718"/>
    <w:rsid w:val="002C4126"/>
    <w:rsid w:val="002C5955"/>
    <w:rsid w:val="002C5BFD"/>
    <w:rsid w:val="002C67A8"/>
    <w:rsid w:val="002C71FC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472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1BDD"/>
    <w:rsid w:val="00333A96"/>
    <w:rsid w:val="003351B7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5698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5E5F"/>
    <w:rsid w:val="00376C2A"/>
    <w:rsid w:val="00377277"/>
    <w:rsid w:val="00377304"/>
    <w:rsid w:val="00381BEA"/>
    <w:rsid w:val="00381FB7"/>
    <w:rsid w:val="00382495"/>
    <w:rsid w:val="00383115"/>
    <w:rsid w:val="00384141"/>
    <w:rsid w:val="003856AA"/>
    <w:rsid w:val="00386007"/>
    <w:rsid w:val="003861AC"/>
    <w:rsid w:val="003862A5"/>
    <w:rsid w:val="00390249"/>
    <w:rsid w:val="00391F56"/>
    <w:rsid w:val="003953C7"/>
    <w:rsid w:val="00395ED8"/>
    <w:rsid w:val="003A03DC"/>
    <w:rsid w:val="003A1975"/>
    <w:rsid w:val="003A1DE1"/>
    <w:rsid w:val="003A39A0"/>
    <w:rsid w:val="003A3E2A"/>
    <w:rsid w:val="003A4CBB"/>
    <w:rsid w:val="003B0286"/>
    <w:rsid w:val="003B091A"/>
    <w:rsid w:val="003B0C0D"/>
    <w:rsid w:val="003B1C33"/>
    <w:rsid w:val="003B254D"/>
    <w:rsid w:val="003B298F"/>
    <w:rsid w:val="003B69AA"/>
    <w:rsid w:val="003C1C18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2BFB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16EA1"/>
    <w:rsid w:val="00420952"/>
    <w:rsid w:val="00422E2D"/>
    <w:rsid w:val="00423C0E"/>
    <w:rsid w:val="00423DB4"/>
    <w:rsid w:val="0042425C"/>
    <w:rsid w:val="004247FB"/>
    <w:rsid w:val="004271A0"/>
    <w:rsid w:val="0042742A"/>
    <w:rsid w:val="004306C0"/>
    <w:rsid w:val="00431F8B"/>
    <w:rsid w:val="00433F81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5C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6448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1D6D"/>
    <w:rsid w:val="00523BB4"/>
    <w:rsid w:val="005243EC"/>
    <w:rsid w:val="005245EF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33F8"/>
    <w:rsid w:val="005536FB"/>
    <w:rsid w:val="00555CC8"/>
    <w:rsid w:val="00556B58"/>
    <w:rsid w:val="005577FA"/>
    <w:rsid w:val="005579B2"/>
    <w:rsid w:val="00561A27"/>
    <w:rsid w:val="0056425E"/>
    <w:rsid w:val="00565745"/>
    <w:rsid w:val="00566CCC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20E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C95"/>
    <w:rsid w:val="005E0AC1"/>
    <w:rsid w:val="005E2508"/>
    <w:rsid w:val="005E437F"/>
    <w:rsid w:val="005E58ED"/>
    <w:rsid w:val="005E62A7"/>
    <w:rsid w:val="005E6B30"/>
    <w:rsid w:val="005F25FD"/>
    <w:rsid w:val="005F2905"/>
    <w:rsid w:val="005F3926"/>
    <w:rsid w:val="005F3989"/>
    <w:rsid w:val="005F3C5C"/>
    <w:rsid w:val="005F5AFD"/>
    <w:rsid w:val="005F6BB8"/>
    <w:rsid w:val="005F6F0A"/>
    <w:rsid w:val="005F7681"/>
    <w:rsid w:val="00601291"/>
    <w:rsid w:val="0060351B"/>
    <w:rsid w:val="00607959"/>
    <w:rsid w:val="006100D7"/>
    <w:rsid w:val="0061221F"/>
    <w:rsid w:val="00614078"/>
    <w:rsid w:val="006150A0"/>
    <w:rsid w:val="0061798B"/>
    <w:rsid w:val="0062228B"/>
    <w:rsid w:val="00624430"/>
    <w:rsid w:val="00625AEE"/>
    <w:rsid w:val="0062642E"/>
    <w:rsid w:val="00627687"/>
    <w:rsid w:val="006276D1"/>
    <w:rsid w:val="006279C2"/>
    <w:rsid w:val="00630A5B"/>
    <w:rsid w:val="00637F2A"/>
    <w:rsid w:val="00642C45"/>
    <w:rsid w:val="0064313B"/>
    <w:rsid w:val="006434DF"/>
    <w:rsid w:val="00645411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A6324"/>
    <w:rsid w:val="006B17FD"/>
    <w:rsid w:val="006B44E2"/>
    <w:rsid w:val="006C0C61"/>
    <w:rsid w:val="006C3D61"/>
    <w:rsid w:val="006D4325"/>
    <w:rsid w:val="006D55A6"/>
    <w:rsid w:val="006D6BD0"/>
    <w:rsid w:val="006E09CB"/>
    <w:rsid w:val="006E1387"/>
    <w:rsid w:val="006E2124"/>
    <w:rsid w:val="006E23A2"/>
    <w:rsid w:val="006E299B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50F1"/>
    <w:rsid w:val="00726FF0"/>
    <w:rsid w:val="00727230"/>
    <w:rsid w:val="00730AA4"/>
    <w:rsid w:val="0073113B"/>
    <w:rsid w:val="00732C44"/>
    <w:rsid w:val="00734CC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19BF"/>
    <w:rsid w:val="007B1A6C"/>
    <w:rsid w:val="007B5378"/>
    <w:rsid w:val="007C1642"/>
    <w:rsid w:val="007C33F3"/>
    <w:rsid w:val="007C40AD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E7E62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3F79"/>
    <w:rsid w:val="00844032"/>
    <w:rsid w:val="008443D8"/>
    <w:rsid w:val="008445E7"/>
    <w:rsid w:val="00844854"/>
    <w:rsid w:val="00847D3A"/>
    <w:rsid w:val="00853218"/>
    <w:rsid w:val="00855549"/>
    <w:rsid w:val="0086032D"/>
    <w:rsid w:val="00861B3D"/>
    <w:rsid w:val="00862879"/>
    <w:rsid w:val="00865CE7"/>
    <w:rsid w:val="0086701C"/>
    <w:rsid w:val="00867262"/>
    <w:rsid w:val="00870BDD"/>
    <w:rsid w:val="008717F1"/>
    <w:rsid w:val="00873503"/>
    <w:rsid w:val="00876D05"/>
    <w:rsid w:val="00876F5C"/>
    <w:rsid w:val="00880ED3"/>
    <w:rsid w:val="00883721"/>
    <w:rsid w:val="00890137"/>
    <w:rsid w:val="008904D0"/>
    <w:rsid w:val="008924E3"/>
    <w:rsid w:val="0089270D"/>
    <w:rsid w:val="008A0C30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B5291"/>
    <w:rsid w:val="008C183F"/>
    <w:rsid w:val="008C1C95"/>
    <w:rsid w:val="008C3D9F"/>
    <w:rsid w:val="008C4122"/>
    <w:rsid w:val="008C4BD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DDA"/>
    <w:rsid w:val="00937E8B"/>
    <w:rsid w:val="009460E7"/>
    <w:rsid w:val="00947483"/>
    <w:rsid w:val="00947FDB"/>
    <w:rsid w:val="00952219"/>
    <w:rsid w:val="009535CF"/>
    <w:rsid w:val="009539B0"/>
    <w:rsid w:val="00953F4A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6715D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BE6"/>
    <w:rsid w:val="00987E66"/>
    <w:rsid w:val="00990173"/>
    <w:rsid w:val="00992244"/>
    <w:rsid w:val="00993567"/>
    <w:rsid w:val="00994CE5"/>
    <w:rsid w:val="00995A38"/>
    <w:rsid w:val="009965E1"/>
    <w:rsid w:val="009A1FC0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1EDA"/>
    <w:rsid w:val="009D2922"/>
    <w:rsid w:val="009D49AA"/>
    <w:rsid w:val="009D4FBB"/>
    <w:rsid w:val="009D7602"/>
    <w:rsid w:val="009E3151"/>
    <w:rsid w:val="009E680B"/>
    <w:rsid w:val="009F1902"/>
    <w:rsid w:val="009F3187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427"/>
    <w:rsid w:val="00A4094A"/>
    <w:rsid w:val="00A426B6"/>
    <w:rsid w:val="00A426BE"/>
    <w:rsid w:val="00A526EF"/>
    <w:rsid w:val="00A53E97"/>
    <w:rsid w:val="00A54F81"/>
    <w:rsid w:val="00A60794"/>
    <w:rsid w:val="00A611CE"/>
    <w:rsid w:val="00A614C6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560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5610"/>
    <w:rsid w:val="00B06D4E"/>
    <w:rsid w:val="00B119ED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0D0"/>
    <w:rsid w:val="00BA31F9"/>
    <w:rsid w:val="00BA3317"/>
    <w:rsid w:val="00BA3FDA"/>
    <w:rsid w:val="00BA4313"/>
    <w:rsid w:val="00BA4784"/>
    <w:rsid w:val="00BA478F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066A3"/>
    <w:rsid w:val="00C130C8"/>
    <w:rsid w:val="00C13168"/>
    <w:rsid w:val="00C13F60"/>
    <w:rsid w:val="00C14404"/>
    <w:rsid w:val="00C17D6A"/>
    <w:rsid w:val="00C203C9"/>
    <w:rsid w:val="00C21776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1156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69C"/>
    <w:rsid w:val="00CB4A8A"/>
    <w:rsid w:val="00CB60DD"/>
    <w:rsid w:val="00CB6E1F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8D0"/>
    <w:rsid w:val="00CF5DD6"/>
    <w:rsid w:val="00D0069F"/>
    <w:rsid w:val="00D007C0"/>
    <w:rsid w:val="00D05493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E165D"/>
    <w:rsid w:val="00DE2FD7"/>
    <w:rsid w:val="00DE45A3"/>
    <w:rsid w:val="00DE466D"/>
    <w:rsid w:val="00DE488C"/>
    <w:rsid w:val="00DE5EE7"/>
    <w:rsid w:val="00DF1EC1"/>
    <w:rsid w:val="00DF343E"/>
    <w:rsid w:val="00DF60C5"/>
    <w:rsid w:val="00DF67C3"/>
    <w:rsid w:val="00DF6CEB"/>
    <w:rsid w:val="00E0098A"/>
    <w:rsid w:val="00E009D9"/>
    <w:rsid w:val="00E027D1"/>
    <w:rsid w:val="00E03F71"/>
    <w:rsid w:val="00E045EE"/>
    <w:rsid w:val="00E05AB5"/>
    <w:rsid w:val="00E06ED0"/>
    <w:rsid w:val="00E1082D"/>
    <w:rsid w:val="00E130CB"/>
    <w:rsid w:val="00E14934"/>
    <w:rsid w:val="00E172BE"/>
    <w:rsid w:val="00E2160E"/>
    <w:rsid w:val="00E24E02"/>
    <w:rsid w:val="00E25210"/>
    <w:rsid w:val="00E255EC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C7278"/>
    <w:rsid w:val="00ED07B2"/>
    <w:rsid w:val="00ED246E"/>
    <w:rsid w:val="00ED379C"/>
    <w:rsid w:val="00ED4D08"/>
    <w:rsid w:val="00ED5834"/>
    <w:rsid w:val="00ED6AAF"/>
    <w:rsid w:val="00ED6F53"/>
    <w:rsid w:val="00EE065C"/>
    <w:rsid w:val="00EE093B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277C"/>
    <w:rsid w:val="00F24175"/>
    <w:rsid w:val="00F25246"/>
    <w:rsid w:val="00F25E11"/>
    <w:rsid w:val="00F307D6"/>
    <w:rsid w:val="00F31A8E"/>
    <w:rsid w:val="00F32C2D"/>
    <w:rsid w:val="00F33108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2CF4"/>
    <w:rsid w:val="00F53495"/>
    <w:rsid w:val="00F559F9"/>
    <w:rsid w:val="00F56168"/>
    <w:rsid w:val="00F561EE"/>
    <w:rsid w:val="00F63D66"/>
    <w:rsid w:val="00F64504"/>
    <w:rsid w:val="00F6458C"/>
    <w:rsid w:val="00F6478A"/>
    <w:rsid w:val="00F656C3"/>
    <w:rsid w:val="00F6661C"/>
    <w:rsid w:val="00F6682D"/>
    <w:rsid w:val="00F701C7"/>
    <w:rsid w:val="00F7531F"/>
    <w:rsid w:val="00F75B77"/>
    <w:rsid w:val="00F762D8"/>
    <w:rsid w:val="00F7721E"/>
    <w:rsid w:val="00F77823"/>
    <w:rsid w:val="00F77F03"/>
    <w:rsid w:val="00F77FD4"/>
    <w:rsid w:val="00F81C15"/>
    <w:rsid w:val="00F82391"/>
    <w:rsid w:val="00F8333E"/>
    <w:rsid w:val="00F84641"/>
    <w:rsid w:val="00F858CA"/>
    <w:rsid w:val="00F87E9D"/>
    <w:rsid w:val="00F9034E"/>
    <w:rsid w:val="00F916DC"/>
    <w:rsid w:val="00F94BD6"/>
    <w:rsid w:val="00F958CC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2CE"/>
    <w:rsid w:val="00FD05BA"/>
    <w:rsid w:val="00FD0638"/>
    <w:rsid w:val="00FD0AFD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E1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ice.org.uk/guidance/qs11" TargetMode="External"/><Relationship Id="rId2" Type="http://schemas.openxmlformats.org/officeDocument/2006/relationships/hyperlink" Target="https://www.nice.org.uk/guidance/cg115" TargetMode="External"/><Relationship Id="rId1" Type="http://schemas.openxmlformats.org/officeDocument/2006/relationships/hyperlink" Target="https://www.nice.org.uk/guidance/ph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C67F-31BB-49C5-9C40-A633A3E0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2021-09-17T13:39:00Z</dcterms:created>
  <dcterms:modified xsi:type="dcterms:W3CDTF">2021-09-17T13:41:00Z</dcterms:modified>
</cp:coreProperties>
</file>