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86AC2" w14:textId="77777777" w:rsidR="00161249" w:rsidRDefault="00161249" w:rsidP="007F3739">
      <w:pPr>
        <w:jc w:val="center"/>
        <w:rPr>
          <w:b/>
          <w:bCs/>
          <w:sz w:val="28"/>
          <w:szCs w:val="28"/>
        </w:rPr>
      </w:pPr>
      <w:bookmarkStart w:id="0" w:name="_Hlk34653293"/>
    </w:p>
    <w:p w14:paraId="6EEB32F4" w14:textId="46A1E76F" w:rsidR="007F3739" w:rsidRPr="00B22352" w:rsidRDefault="007F3739" w:rsidP="007F3739">
      <w:pPr>
        <w:jc w:val="center"/>
        <w:rPr>
          <w:b/>
          <w:bCs/>
          <w:sz w:val="28"/>
          <w:szCs w:val="28"/>
        </w:rPr>
      </w:pPr>
      <w:bookmarkStart w:id="1" w:name="_GoBack"/>
      <w:bookmarkEnd w:id="1"/>
      <w:r w:rsidRPr="00B22352">
        <w:rPr>
          <w:b/>
          <w:bCs/>
          <w:sz w:val="28"/>
          <w:szCs w:val="28"/>
        </w:rPr>
        <w:t>NHS Digital</w:t>
      </w:r>
    </w:p>
    <w:p w14:paraId="500EA304" w14:textId="77777777" w:rsidR="007F3739" w:rsidRPr="00B22352" w:rsidRDefault="007F3739" w:rsidP="007F3739">
      <w:pPr>
        <w:jc w:val="center"/>
        <w:rPr>
          <w:b/>
          <w:bCs/>
          <w:sz w:val="28"/>
          <w:szCs w:val="28"/>
        </w:rPr>
      </w:pPr>
      <w:r w:rsidRPr="00B22352">
        <w:rPr>
          <w:b/>
          <w:bCs/>
          <w:sz w:val="28"/>
          <w:szCs w:val="28"/>
        </w:rPr>
        <w:t>Indicator Supporting Documentation</w:t>
      </w:r>
    </w:p>
    <w:p w14:paraId="6C367C3A" w14:textId="0183305E" w:rsidR="001D243C" w:rsidRDefault="007F3739" w:rsidP="007F3739">
      <w:pPr>
        <w:pStyle w:val="Frontpagesubhead"/>
      </w:pPr>
      <w:r w:rsidRPr="00B22352">
        <w:t>IAP00</w:t>
      </w:r>
      <w:bookmarkEnd w:id="0"/>
      <w:r w:rsidRPr="00B22352">
        <w:t>333 Emergency alcohol-specific readmission to any hospital within 30 days of discharge following an alcohol-specific admission</w:t>
      </w:r>
    </w:p>
    <w:p w14:paraId="20E3253F" w14:textId="4518A3FA" w:rsidR="00161249" w:rsidRDefault="00161249" w:rsidP="007F3739">
      <w:pPr>
        <w:pStyle w:val="Frontpagesubhead"/>
      </w:pPr>
    </w:p>
    <w:p w14:paraId="6C367C3C" w14:textId="44B19DD5" w:rsidR="00772A5C" w:rsidRDefault="00772A5C" w:rsidP="007F3739">
      <w:pPr>
        <w:spacing w:line="360" w:lineRule="auto"/>
        <w:textboxTightWrap w:val="allLines"/>
        <w:rPr>
          <w:b/>
          <w:sz w:val="28"/>
        </w:rPr>
      </w:pPr>
      <w:r w:rsidRPr="00B22352">
        <w:rPr>
          <w:b/>
          <w:sz w:val="28"/>
        </w:rPr>
        <w:t>Application Form</w:t>
      </w:r>
    </w:p>
    <w:p w14:paraId="507BA877" w14:textId="103932FE" w:rsidR="00161249" w:rsidRPr="00161249" w:rsidRDefault="00161249" w:rsidP="00161249">
      <w:pPr>
        <w:spacing w:after="0"/>
        <w:textboxTightWrap w:val="none"/>
        <w:rPr>
          <w:b/>
          <w:sz w:val="28"/>
          <w:szCs w:val="28"/>
        </w:rPr>
      </w:pPr>
      <w:r w:rsidRPr="00161249">
        <w:rPr>
          <w:b/>
          <w:sz w:val="28"/>
          <w:szCs w:val="28"/>
        </w:rPr>
        <w:t>Title: Alcohol-specific readmission to any hospital within 30 days after the last previous discharge following an alcohol-specific admission</w:t>
      </w:r>
    </w:p>
    <w:p w14:paraId="32FACF0C" w14:textId="77777777" w:rsidR="00161249" w:rsidRPr="00161249" w:rsidRDefault="00161249" w:rsidP="00161249">
      <w:pPr>
        <w:spacing w:line="360" w:lineRule="auto"/>
        <w:textboxTightWrap w:val="allLines"/>
        <w:rPr>
          <w:b/>
          <w:sz w:val="28"/>
          <w:szCs w:val="28"/>
        </w:rPr>
      </w:pPr>
      <w:r w:rsidRPr="00161249">
        <w:rPr>
          <w:b/>
          <w:sz w:val="28"/>
          <w:szCs w:val="28"/>
        </w:rPr>
        <w:t>Set or domain: CCG OIS 3.15</w:t>
      </w:r>
    </w:p>
    <w:p w14:paraId="5AE5D5D3" w14:textId="77777777" w:rsidR="00161249" w:rsidRPr="00B22352" w:rsidRDefault="00161249" w:rsidP="00161249">
      <w:pPr>
        <w:spacing w:line="360" w:lineRule="auto"/>
        <w:textboxTightWrap w:val="allLines"/>
        <w:rPr>
          <w:b/>
          <w:sz w:val="28"/>
        </w:rPr>
      </w:pPr>
      <w:r w:rsidRPr="00B22352">
        <w:rPr>
          <w:b/>
          <w:sz w:val="28"/>
        </w:rPr>
        <w:t>IAS Reference Code: IAP00333</w:t>
      </w:r>
    </w:p>
    <w:tbl>
      <w:tblPr>
        <w:tblStyle w:val="TableGrid"/>
        <w:tblW w:w="0" w:type="auto"/>
        <w:tblLayout w:type="fixed"/>
        <w:tblLook w:val="04A0" w:firstRow="1" w:lastRow="0" w:firstColumn="1" w:lastColumn="0" w:noHBand="0" w:noVBand="1"/>
      </w:tblPr>
      <w:tblGrid>
        <w:gridCol w:w="3256"/>
        <w:gridCol w:w="6598"/>
      </w:tblGrid>
      <w:tr w:rsidR="00B22352" w:rsidRPr="00B22352" w14:paraId="06D193A6" w14:textId="77777777" w:rsidTr="00B22352">
        <w:tc>
          <w:tcPr>
            <w:tcW w:w="3256" w:type="dxa"/>
          </w:tcPr>
          <w:p w14:paraId="42E60BCE" w14:textId="5C85B4F8" w:rsidR="007F3739" w:rsidRPr="00B22352" w:rsidRDefault="007F3739" w:rsidP="007F3739">
            <w:pPr>
              <w:spacing w:line="360" w:lineRule="auto"/>
              <w:textboxTightWrap w:val="allLines"/>
              <w:rPr>
                <w:b/>
                <w:sz w:val="28"/>
              </w:rPr>
            </w:pPr>
            <w:r w:rsidRPr="00B22352">
              <w:rPr>
                <w:rFonts w:asciiTheme="majorHAnsi" w:hAnsiTheme="majorHAnsi" w:cstheme="majorHAnsi"/>
                <w:b/>
                <w:sz w:val="22"/>
                <w:szCs w:val="22"/>
              </w:rPr>
              <w:t>Title</w:t>
            </w:r>
          </w:p>
        </w:tc>
        <w:tc>
          <w:tcPr>
            <w:tcW w:w="6598" w:type="dxa"/>
          </w:tcPr>
          <w:p w14:paraId="0E5FA88B" w14:textId="5B42C993" w:rsidR="007F3739" w:rsidRPr="00B22352" w:rsidRDefault="007F3739" w:rsidP="007F3739">
            <w:pPr>
              <w:spacing w:line="360" w:lineRule="auto"/>
              <w:textboxTightWrap w:val="allLines"/>
              <w:rPr>
                <w:b/>
                <w:sz w:val="28"/>
              </w:rPr>
            </w:pPr>
            <w:r w:rsidRPr="00B22352">
              <w:rPr>
                <w:rFonts w:asciiTheme="majorHAnsi" w:hAnsiTheme="majorHAnsi" w:cstheme="majorHAnsi"/>
                <w:sz w:val="22"/>
                <w:szCs w:val="22"/>
              </w:rPr>
              <w:t>Alcohol-specific readmission to any hospital within 30 days after the last previous discharge following an alcohol-specific admission</w:t>
            </w:r>
          </w:p>
        </w:tc>
      </w:tr>
      <w:tr w:rsidR="00B22352" w:rsidRPr="00B22352" w14:paraId="2895ED67" w14:textId="77777777" w:rsidTr="00B22352">
        <w:tc>
          <w:tcPr>
            <w:tcW w:w="3256" w:type="dxa"/>
          </w:tcPr>
          <w:p w14:paraId="3119EECB" w14:textId="1C5BFCAC" w:rsidR="007F3739" w:rsidRPr="00B22352" w:rsidRDefault="007F3739" w:rsidP="007F3739">
            <w:pPr>
              <w:spacing w:line="360" w:lineRule="auto"/>
              <w:textboxTightWrap w:val="allLines"/>
              <w:rPr>
                <w:b/>
                <w:sz w:val="28"/>
              </w:rPr>
            </w:pPr>
            <w:r w:rsidRPr="00B22352">
              <w:rPr>
                <w:rFonts w:asciiTheme="majorHAnsi" w:hAnsiTheme="majorHAnsi" w:cstheme="majorHAnsi"/>
                <w:b/>
                <w:sz w:val="22"/>
                <w:szCs w:val="22"/>
              </w:rPr>
              <w:t>Set or domain</w:t>
            </w:r>
          </w:p>
        </w:tc>
        <w:tc>
          <w:tcPr>
            <w:tcW w:w="6598" w:type="dxa"/>
          </w:tcPr>
          <w:p w14:paraId="4AEAB105" w14:textId="0FF91DA4" w:rsidR="007F3739" w:rsidRPr="00B22352" w:rsidRDefault="007F3739" w:rsidP="007F3739">
            <w:pPr>
              <w:spacing w:line="360" w:lineRule="auto"/>
              <w:textboxTightWrap w:val="allLines"/>
              <w:rPr>
                <w:b/>
                <w:sz w:val="28"/>
              </w:rPr>
            </w:pPr>
            <w:r w:rsidRPr="00B22352">
              <w:rPr>
                <w:rFonts w:asciiTheme="majorHAnsi" w:hAnsiTheme="majorHAnsi" w:cstheme="majorHAnsi"/>
                <w:sz w:val="22"/>
                <w:szCs w:val="22"/>
              </w:rPr>
              <w:t>CCG OIS 3.15</w:t>
            </w:r>
          </w:p>
        </w:tc>
      </w:tr>
      <w:tr w:rsidR="00B22352" w:rsidRPr="00B22352" w14:paraId="629A2F21" w14:textId="77777777" w:rsidTr="00B22352">
        <w:tc>
          <w:tcPr>
            <w:tcW w:w="3256" w:type="dxa"/>
          </w:tcPr>
          <w:p w14:paraId="1AC14111" w14:textId="62F2D72C" w:rsidR="007F3739" w:rsidRPr="00B22352" w:rsidRDefault="007F3739" w:rsidP="007F3739">
            <w:pPr>
              <w:spacing w:line="360" w:lineRule="auto"/>
              <w:textboxTightWrap w:val="allLines"/>
              <w:rPr>
                <w:b/>
                <w:sz w:val="28"/>
              </w:rPr>
            </w:pPr>
            <w:r w:rsidRPr="00B22352">
              <w:rPr>
                <w:rFonts w:asciiTheme="majorHAnsi" w:hAnsiTheme="majorHAnsi" w:cstheme="majorHAnsi"/>
                <w:b/>
                <w:sz w:val="22"/>
                <w:szCs w:val="22"/>
              </w:rPr>
              <w:t>Topic area</w:t>
            </w:r>
          </w:p>
        </w:tc>
        <w:tc>
          <w:tcPr>
            <w:tcW w:w="6598" w:type="dxa"/>
          </w:tcPr>
          <w:p w14:paraId="02E9E8F2" w14:textId="77777777" w:rsidR="007F3739" w:rsidRPr="00B22352" w:rsidRDefault="007F3739" w:rsidP="007F3739">
            <w:pPr>
              <w:spacing w:line="360" w:lineRule="auto"/>
              <w:textboxTightWrap w:val="allLines"/>
              <w:rPr>
                <w:b/>
                <w:sz w:val="28"/>
              </w:rPr>
            </w:pPr>
          </w:p>
        </w:tc>
      </w:tr>
      <w:tr w:rsidR="00B22352" w:rsidRPr="00B22352" w14:paraId="6BE514D9" w14:textId="77777777" w:rsidTr="00B22352">
        <w:tc>
          <w:tcPr>
            <w:tcW w:w="3256" w:type="dxa"/>
          </w:tcPr>
          <w:p w14:paraId="500EED11" w14:textId="19358E79" w:rsidR="007F3739" w:rsidRPr="00B22352" w:rsidRDefault="007F3739" w:rsidP="007F3739">
            <w:pPr>
              <w:spacing w:line="360" w:lineRule="auto"/>
              <w:textboxTightWrap w:val="allLines"/>
              <w:rPr>
                <w:b/>
                <w:sz w:val="28"/>
              </w:rPr>
            </w:pPr>
            <w:r w:rsidRPr="00B22352">
              <w:rPr>
                <w:rFonts w:asciiTheme="majorHAnsi" w:hAnsiTheme="majorHAnsi" w:cstheme="majorHAnsi"/>
                <w:b/>
                <w:sz w:val="22"/>
                <w:szCs w:val="22"/>
              </w:rPr>
              <w:t>Definition</w:t>
            </w:r>
          </w:p>
        </w:tc>
        <w:tc>
          <w:tcPr>
            <w:tcW w:w="6598" w:type="dxa"/>
          </w:tcPr>
          <w:p w14:paraId="5451FF23" w14:textId="7033AB87"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Indirectly age and sex standardised ratio of emergency readmissions with a primary diagnosis or an external cause code of an alcohol-specific condition within 30 days of a previous discharge following an alcohol-specific admission, with 95% confidence intervals (CI).</w:t>
            </w:r>
          </w:p>
          <w:p w14:paraId="68B5B82E" w14:textId="77777777"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This indicator is calculated as a ratio indirectly standardised by age and sex and is published with 95% confidence intervals, recognising the existence of natural variation between the CCG populations.</w:t>
            </w:r>
          </w:p>
          <w:p w14:paraId="1E67AE14" w14:textId="77777777"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The age and sex specific rates of the standard population (the relevant national population) are applied to the age and sex structure of the subject population to give an expected number of events. The observed number of events is then compared to that expected and expressed as a ratio (observed/expected). For presentation purposes, the ratio is multiplied by 100. </w:t>
            </w:r>
            <w:proofErr w:type="gramStart"/>
            <w:r w:rsidRPr="00B22352">
              <w:rPr>
                <w:rFonts w:asciiTheme="majorHAnsi" w:hAnsiTheme="majorHAnsi" w:cstheme="majorHAnsi"/>
                <w:sz w:val="22"/>
                <w:szCs w:val="22"/>
              </w:rPr>
              <w:t>By definition, the</w:t>
            </w:r>
            <w:proofErr w:type="gramEnd"/>
            <w:r w:rsidRPr="00B22352">
              <w:rPr>
                <w:rFonts w:asciiTheme="majorHAnsi" w:hAnsiTheme="majorHAnsi" w:cstheme="majorHAnsi"/>
                <w:sz w:val="22"/>
                <w:szCs w:val="22"/>
              </w:rPr>
              <w:t xml:space="preserve"> standard population will have a ratio of 100. Ratios above 100 indicate that the number of events observed was greater than that expected from the standard rates, and ratios below 100 that it was lower.</w:t>
            </w:r>
          </w:p>
          <w:p w14:paraId="0A8E084A" w14:textId="77777777"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The indicator is based on CIP spells, which are constructed by linking individual finished consultant episodes to other episodes where all are part of one continuous spell of care for a patient. Further information on the spell methodology can be found at: </w:t>
            </w:r>
            <w:hyperlink r:id="rId8" w:history="1">
              <w:r w:rsidRPr="00B22352">
                <w:rPr>
                  <w:rStyle w:val="Hyperlink"/>
                  <w:rFonts w:asciiTheme="majorHAnsi" w:hAnsiTheme="majorHAnsi" w:cstheme="majorHAnsi"/>
                  <w:color w:val="auto"/>
                  <w:sz w:val="22"/>
                  <w:szCs w:val="22"/>
                </w:rPr>
                <w:t>http://content.digital.nhs.uk/media/11859/Provider-SpellsMethodology/pdf/Spells_Methodology.pdf</w:t>
              </w:r>
            </w:hyperlink>
            <w:r w:rsidRPr="00B22352">
              <w:rPr>
                <w:rFonts w:asciiTheme="majorHAnsi" w:hAnsiTheme="majorHAnsi" w:cstheme="majorHAnsi"/>
                <w:sz w:val="22"/>
                <w:szCs w:val="22"/>
              </w:rPr>
              <w:t>.</w:t>
            </w:r>
          </w:p>
          <w:p w14:paraId="67A97B1E" w14:textId="05E0BC41" w:rsidR="007F3739" w:rsidRPr="00B22352" w:rsidRDefault="007F3739" w:rsidP="007F3739">
            <w:pPr>
              <w:spacing w:before="240"/>
              <w:rPr>
                <w:b/>
                <w:sz w:val="28"/>
              </w:rPr>
            </w:pPr>
            <w:r w:rsidRPr="00B22352">
              <w:rPr>
                <w:rFonts w:asciiTheme="majorHAnsi" w:hAnsiTheme="majorHAnsi" w:cstheme="majorHAnsi"/>
                <w:sz w:val="22"/>
                <w:szCs w:val="22"/>
              </w:rPr>
              <w:t>The indicator denominator includes emergency and elective admissions, whereas the numerator includes emergency admissions only. Elective readmissions are considered a positive action and therefore excluding them from the numerator allows the indicator to focus solely on the issue of emergency readmissions.</w:t>
            </w:r>
          </w:p>
        </w:tc>
      </w:tr>
      <w:tr w:rsidR="00B22352" w:rsidRPr="00B22352" w14:paraId="7FEED261" w14:textId="77777777" w:rsidTr="00B22352">
        <w:tc>
          <w:tcPr>
            <w:tcW w:w="3256" w:type="dxa"/>
          </w:tcPr>
          <w:p w14:paraId="59A4AC80" w14:textId="7BAE06FB"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lastRenderedPageBreak/>
              <w:t>Indicator owner &amp; contact details</w:t>
            </w:r>
          </w:p>
        </w:tc>
        <w:tc>
          <w:tcPr>
            <w:tcW w:w="6598" w:type="dxa"/>
          </w:tcPr>
          <w:p w14:paraId="1D7A828B" w14:textId="77777777" w:rsidR="007F3739" w:rsidRPr="00B22352" w:rsidRDefault="007F3739" w:rsidP="007F3739">
            <w:pPr>
              <w:spacing w:before="240"/>
              <w:rPr>
                <w:rFonts w:asciiTheme="majorHAnsi" w:hAnsiTheme="majorHAnsi" w:cstheme="majorHAnsi"/>
                <w:sz w:val="22"/>
                <w:szCs w:val="22"/>
              </w:rPr>
            </w:pPr>
          </w:p>
        </w:tc>
      </w:tr>
      <w:tr w:rsidR="00B22352" w:rsidRPr="00B22352" w14:paraId="78959538" w14:textId="77777777" w:rsidTr="00B22352">
        <w:tc>
          <w:tcPr>
            <w:tcW w:w="3256" w:type="dxa"/>
          </w:tcPr>
          <w:p w14:paraId="39B1536F" w14:textId="748A5E28"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Publication status</w:t>
            </w:r>
          </w:p>
        </w:tc>
        <w:tc>
          <w:tcPr>
            <w:tcW w:w="6598" w:type="dxa"/>
          </w:tcPr>
          <w:p w14:paraId="62DAA26A" w14:textId="549A03EF" w:rsidR="007F3739" w:rsidRPr="00B22352" w:rsidRDefault="007F3739" w:rsidP="007F3739">
            <w:pPr>
              <w:spacing w:before="240"/>
              <w:rPr>
                <w:rFonts w:asciiTheme="majorHAnsi" w:hAnsiTheme="majorHAnsi" w:cstheme="majorHAnsi"/>
                <w:sz w:val="22"/>
                <w:szCs w:val="22"/>
              </w:rPr>
            </w:pPr>
          </w:p>
        </w:tc>
      </w:tr>
      <w:tr w:rsidR="00B22352" w:rsidRPr="00B22352" w14:paraId="20F352FB" w14:textId="77777777" w:rsidTr="00B22352">
        <w:tc>
          <w:tcPr>
            <w:tcW w:w="3256" w:type="dxa"/>
          </w:tcPr>
          <w:p w14:paraId="0D403757" w14:textId="4B3475D9"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Purpose</w:t>
            </w:r>
          </w:p>
        </w:tc>
        <w:tc>
          <w:tcPr>
            <w:tcW w:w="6598" w:type="dxa"/>
          </w:tcPr>
          <w:p w14:paraId="3699EB5C" w14:textId="77777777"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w:t>
            </w:r>
          </w:p>
          <w:p w14:paraId="7397C87D" w14:textId="49E706FB"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This indicator forms part of Domain 3 - Helping people to recover from episodes of ill health or following injury. Some, but not all alcohol-specific admissions are potentially avoidable by high quality management in primary care and the community. Excessive consumption of alcohol may be amenable to influence and could result in a reduction in avoidable hospital admissions, which are costly and expose patients to avoidable clinical risks such as health care acquired infections.</w:t>
            </w:r>
          </w:p>
        </w:tc>
      </w:tr>
      <w:tr w:rsidR="00B22352" w:rsidRPr="00B22352" w14:paraId="4B96B823" w14:textId="77777777" w:rsidTr="00B22352">
        <w:tc>
          <w:tcPr>
            <w:tcW w:w="3256" w:type="dxa"/>
          </w:tcPr>
          <w:p w14:paraId="12755BB0" w14:textId="7022FA84"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Sponsor</w:t>
            </w:r>
          </w:p>
        </w:tc>
        <w:tc>
          <w:tcPr>
            <w:tcW w:w="6598" w:type="dxa"/>
          </w:tcPr>
          <w:p w14:paraId="3B4B1CA5" w14:textId="77777777" w:rsidR="007F3739" w:rsidRPr="00B22352" w:rsidRDefault="007F3739" w:rsidP="007F3739">
            <w:pPr>
              <w:spacing w:before="240"/>
              <w:rPr>
                <w:rFonts w:asciiTheme="majorHAnsi" w:hAnsiTheme="majorHAnsi" w:cstheme="majorHAnsi"/>
                <w:sz w:val="22"/>
                <w:szCs w:val="22"/>
              </w:rPr>
            </w:pPr>
          </w:p>
        </w:tc>
      </w:tr>
      <w:tr w:rsidR="00B22352" w:rsidRPr="00B22352" w14:paraId="054E034E" w14:textId="77777777" w:rsidTr="00B22352">
        <w:tc>
          <w:tcPr>
            <w:tcW w:w="3256" w:type="dxa"/>
          </w:tcPr>
          <w:p w14:paraId="767D6936" w14:textId="1CE171E6"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Endorsement</w:t>
            </w:r>
          </w:p>
        </w:tc>
        <w:tc>
          <w:tcPr>
            <w:tcW w:w="6598" w:type="dxa"/>
          </w:tcPr>
          <w:p w14:paraId="443A2298" w14:textId="77777777" w:rsidR="007F3739" w:rsidRPr="00B22352" w:rsidRDefault="007F3739" w:rsidP="007F3739">
            <w:pPr>
              <w:spacing w:before="240"/>
              <w:rPr>
                <w:rFonts w:asciiTheme="majorHAnsi" w:hAnsiTheme="majorHAnsi" w:cstheme="majorHAnsi"/>
                <w:sz w:val="22"/>
                <w:szCs w:val="22"/>
              </w:rPr>
            </w:pPr>
          </w:p>
        </w:tc>
      </w:tr>
      <w:tr w:rsidR="00B22352" w:rsidRPr="00B22352" w14:paraId="52224DB3" w14:textId="77777777" w:rsidTr="00B22352">
        <w:tc>
          <w:tcPr>
            <w:tcW w:w="3256" w:type="dxa"/>
          </w:tcPr>
          <w:p w14:paraId="090BB42E" w14:textId="77777777"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Evidence and Policy base</w:t>
            </w:r>
          </w:p>
          <w:p w14:paraId="7F7DD988" w14:textId="210C0E9F"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Including related national incentives, critical business question, NICE quality standard and set or domain rationale, if appropriate</w:t>
            </w:r>
          </w:p>
        </w:tc>
        <w:tc>
          <w:tcPr>
            <w:tcW w:w="6598" w:type="dxa"/>
          </w:tcPr>
          <w:p w14:paraId="6699AF4B" w14:textId="77777777"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The introduction to Clinical Guideline 115 states that alcohol dependence affects 4% of people aged between 16 and 65 in England (6% of men and 2% of women), and over 24% of the English population (33% of men and 16% of women) consume alcohol in a way that is potentially or actually harmful to their health or well-being. Alcohol misuse is also an increasing problem in children and young people</w:t>
            </w:r>
          </w:p>
          <w:p w14:paraId="1A0F259A" w14:textId="30E6BFAA"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The introduction to Clinical Guideline 100 states that hazardous and harmful drinking are commonly encountered among hospital attendees; approximately 20% of patients admitted to hospital for illnesses unrelated to alcohol are drinking at potentially hazardous levels. Persistent drinking at hazardous and harmful levels can result in damage to almost every organ or system of the body. Continued hazardous and harmful drinking can result in alcohol dependence.</w:t>
            </w:r>
          </w:p>
        </w:tc>
      </w:tr>
      <w:tr w:rsidR="00B22352" w:rsidRPr="00B22352" w14:paraId="2CE5E38D" w14:textId="77777777" w:rsidTr="00B22352">
        <w:tc>
          <w:tcPr>
            <w:tcW w:w="3256" w:type="dxa"/>
          </w:tcPr>
          <w:p w14:paraId="72655B92" w14:textId="479CDDC4"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lastRenderedPageBreak/>
              <w:t>Data source</w:t>
            </w:r>
          </w:p>
        </w:tc>
        <w:tc>
          <w:tcPr>
            <w:tcW w:w="6598" w:type="dxa"/>
          </w:tcPr>
          <w:p w14:paraId="3576E2C1" w14:textId="67F484D0"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Hospital Episode Statistics (HES)</w:t>
            </w:r>
          </w:p>
        </w:tc>
      </w:tr>
      <w:tr w:rsidR="00B22352" w:rsidRPr="00B22352" w14:paraId="4F7A18BA" w14:textId="77777777" w:rsidTr="00B22352">
        <w:tc>
          <w:tcPr>
            <w:tcW w:w="3256" w:type="dxa"/>
          </w:tcPr>
          <w:p w14:paraId="10A4F552" w14:textId="1A13710A"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Justification of source and others considered</w:t>
            </w:r>
          </w:p>
        </w:tc>
        <w:tc>
          <w:tcPr>
            <w:tcW w:w="6598" w:type="dxa"/>
          </w:tcPr>
          <w:p w14:paraId="23640755" w14:textId="76E43B76" w:rsidR="007F3739" w:rsidRPr="00B22352" w:rsidRDefault="007F3739" w:rsidP="007F3739">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  Data quality for HES APC </w:t>
            </w:r>
            <w:proofErr w:type="gramStart"/>
            <w:r w:rsidRPr="00B22352">
              <w:rPr>
                <w:rFonts w:asciiTheme="majorHAnsi" w:hAnsiTheme="majorHAnsi" w:cstheme="majorHAnsi"/>
                <w:sz w:val="22"/>
                <w:szCs w:val="22"/>
              </w:rPr>
              <w:t>is considered to be</w:t>
            </w:r>
            <w:proofErr w:type="gramEnd"/>
            <w:r w:rsidRPr="00B22352">
              <w:rPr>
                <w:rFonts w:asciiTheme="majorHAnsi" w:hAnsiTheme="majorHAnsi" w:cstheme="majorHAnsi"/>
                <w:sz w:val="22"/>
                <w:szCs w:val="22"/>
              </w:rPr>
              <w:t xml:space="preserve"> good. HES is a unique data source, whose strength lies in the richness of detail of patient level going back to 1989 for inpatient episodes. It is the data source for a wide range of healthcare analysis used by a variety of people including the NHS, Government, regulators, academic researchers, the media, and members of the public. Further information can be found at: </w:t>
            </w:r>
            <w:hyperlink r:id="rId9" w:anchor="top" w:history="1">
              <w:r w:rsidRPr="00B22352">
                <w:t>http://digital.nhs.uk/searchcatalogue?q=title%3a%22Hospital+Episode+Statistics%2c+Admitted+patient+care+-+England%22&amp;sort=Most+recent&amp;size=10&amp;page=1#top</w:t>
              </w:r>
            </w:hyperlink>
            <w:r w:rsidRPr="00B22352">
              <w:rPr>
                <w:rFonts w:asciiTheme="majorHAnsi" w:hAnsiTheme="majorHAnsi" w:cstheme="majorHAnsi"/>
                <w:sz w:val="22"/>
                <w:szCs w:val="22"/>
              </w:rPr>
              <w:t xml:space="preserve"> .                                                                                                           </w:t>
            </w:r>
          </w:p>
        </w:tc>
      </w:tr>
      <w:tr w:rsidR="00B22352" w:rsidRPr="00B22352" w14:paraId="0E721D2E" w14:textId="77777777" w:rsidTr="00B22352">
        <w:tc>
          <w:tcPr>
            <w:tcW w:w="3256" w:type="dxa"/>
          </w:tcPr>
          <w:p w14:paraId="77A8ABA2" w14:textId="1E3A1330"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b/>
                <w:sz w:val="22"/>
                <w:szCs w:val="22"/>
              </w:rPr>
              <w:t>Data availability</w:t>
            </w:r>
          </w:p>
        </w:tc>
        <w:tc>
          <w:tcPr>
            <w:tcW w:w="6598" w:type="dxa"/>
          </w:tcPr>
          <w:p w14:paraId="1CCD6395" w14:textId="77777777" w:rsidR="00B22352" w:rsidRPr="00B22352" w:rsidRDefault="00B22352" w:rsidP="00B22352">
            <w:pPr>
              <w:spacing w:before="240"/>
              <w:rPr>
                <w:rFonts w:asciiTheme="majorHAnsi" w:hAnsiTheme="majorHAnsi" w:cstheme="majorHAnsi"/>
                <w:sz w:val="22"/>
                <w:szCs w:val="22"/>
              </w:rPr>
            </w:pPr>
          </w:p>
        </w:tc>
      </w:tr>
      <w:tr w:rsidR="00B22352" w:rsidRPr="00B22352" w14:paraId="2D9FC1DF" w14:textId="77777777" w:rsidTr="00B22352">
        <w:tc>
          <w:tcPr>
            <w:tcW w:w="3256" w:type="dxa"/>
          </w:tcPr>
          <w:p w14:paraId="3E30A04D" w14:textId="64DD57A9" w:rsidR="00B22352" w:rsidRPr="00B22352" w:rsidRDefault="00B22352" w:rsidP="00B22352">
            <w:pPr>
              <w:spacing w:before="240"/>
              <w:rPr>
                <w:rFonts w:asciiTheme="majorHAnsi" w:hAnsiTheme="majorHAnsi" w:cstheme="majorHAnsi"/>
                <w:b/>
                <w:sz w:val="22"/>
                <w:szCs w:val="22"/>
              </w:rPr>
            </w:pPr>
            <w:r w:rsidRPr="00B22352">
              <w:rPr>
                <w:rFonts w:asciiTheme="majorHAnsi" w:hAnsiTheme="majorHAnsi" w:cstheme="majorHAnsi"/>
                <w:b/>
                <w:sz w:val="22"/>
                <w:szCs w:val="22"/>
              </w:rPr>
              <w:t>Data quality</w:t>
            </w:r>
          </w:p>
        </w:tc>
        <w:tc>
          <w:tcPr>
            <w:tcW w:w="6598" w:type="dxa"/>
          </w:tcPr>
          <w:p w14:paraId="1A78CB75" w14:textId="77777777" w:rsidR="00B22352" w:rsidRPr="00B22352" w:rsidRDefault="00B22352" w:rsidP="00B22352">
            <w:pPr>
              <w:spacing w:before="240"/>
              <w:rPr>
                <w:rFonts w:asciiTheme="majorHAnsi" w:hAnsiTheme="majorHAnsi" w:cstheme="majorHAnsi"/>
                <w:b/>
                <w:sz w:val="22"/>
                <w:szCs w:val="22"/>
              </w:rPr>
            </w:pPr>
            <w:r w:rsidRPr="00B22352">
              <w:rPr>
                <w:rFonts w:asciiTheme="majorHAnsi" w:hAnsiTheme="majorHAnsi" w:cstheme="majorHAnsi"/>
                <w:b/>
                <w:sz w:val="22"/>
                <w:szCs w:val="22"/>
              </w:rPr>
              <w:t xml:space="preserve"> </w:t>
            </w:r>
            <w:proofErr w:type="spellStart"/>
            <w:r w:rsidRPr="00B22352">
              <w:rPr>
                <w:rFonts w:asciiTheme="majorHAnsi" w:hAnsiTheme="majorHAnsi" w:cstheme="majorHAnsi"/>
                <w:b/>
                <w:sz w:val="22"/>
                <w:szCs w:val="22"/>
              </w:rPr>
              <w:t>i</w:t>
            </w:r>
            <w:proofErr w:type="spellEnd"/>
            <w:r w:rsidRPr="00B22352">
              <w:rPr>
                <w:rFonts w:asciiTheme="majorHAnsi" w:hAnsiTheme="majorHAnsi" w:cstheme="majorHAnsi"/>
                <w:b/>
                <w:sz w:val="22"/>
                <w:szCs w:val="22"/>
              </w:rPr>
              <w:t>) What data quality checks are relevant to this indicator?</w:t>
            </w:r>
          </w:p>
          <w:p w14:paraId="272211E9"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b/>
                <w:sz w:val="22"/>
                <w:szCs w:val="22"/>
              </w:rPr>
              <w:t>Coverage</w:t>
            </w:r>
            <w:r w:rsidRPr="00B22352">
              <w:rPr>
                <w:rFonts w:asciiTheme="majorHAnsi" w:hAnsiTheme="majorHAnsi" w:cstheme="majorHAnsi"/>
                <w:sz w:val="22"/>
                <w:szCs w:val="22"/>
              </w:rPr>
              <w:t xml:space="preserve"> </w:t>
            </w:r>
            <w:sdt>
              <w:sdtPr>
                <w:rPr>
                  <w:rFonts w:asciiTheme="majorHAnsi" w:hAnsiTheme="majorHAnsi" w:cstheme="majorHAnsi"/>
                  <w:sz w:val="22"/>
                  <w:szCs w:val="22"/>
                </w:rPr>
                <w:id w:val="-1734614186"/>
                <w14:checkbox>
                  <w14:checked w14:val="0"/>
                  <w14:checkedState w14:val="2612" w14:font="MS Gothic"/>
                  <w14:uncheckedState w14:val="2610" w14:font="MS Gothic"/>
                </w14:checkbox>
              </w:sdtPr>
              <w:sdtContent>
                <w:r w:rsidRPr="00B22352">
                  <w:rPr>
                    <w:rFonts w:ascii="Segoe UI Symbol" w:eastAsia="MS Gothic" w:hAnsi="Segoe UI Symbol" w:cs="Segoe UI Symbol"/>
                    <w:sz w:val="22"/>
                    <w:szCs w:val="22"/>
                  </w:rPr>
                  <w:t>☐</w:t>
                </w:r>
              </w:sdtContent>
            </w:sdt>
            <w:r w:rsidRPr="00B22352">
              <w:rPr>
                <w:rFonts w:asciiTheme="majorHAnsi" w:hAnsiTheme="majorHAnsi" w:cstheme="majorHAnsi"/>
                <w:sz w:val="22"/>
                <w:szCs w:val="22"/>
              </w:rPr>
              <w:t xml:space="preserve"> </w:t>
            </w:r>
          </w:p>
          <w:p w14:paraId="6115D948"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b/>
                <w:sz w:val="22"/>
                <w:szCs w:val="22"/>
              </w:rPr>
              <w:t>Completeness</w:t>
            </w:r>
            <w:r w:rsidRPr="00B22352">
              <w:rPr>
                <w:rFonts w:asciiTheme="majorHAnsi" w:hAnsiTheme="majorHAnsi" w:cstheme="majorHAnsi"/>
                <w:sz w:val="22"/>
                <w:szCs w:val="22"/>
              </w:rPr>
              <w:t xml:space="preserve"> </w:t>
            </w:r>
            <w:sdt>
              <w:sdtPr>
                <w:rPr>
                  <w:rFonts w:asciiTheme="majorHAnsi" w:hAnsiTheme="majorHAnsi" w:cstheme="majorHAnsi"/>
                  <w:sz w:val="22"/>
                  <w:szCs w:val="22"/>
                </w:rPr>
                <w:id w:val="-1726368152"/>
                <w14:checkbox>
                  <w14:checked w14:val="0"/>
                  <w14:checkedState w14:val="2612" w14:font="MS Gothic"/>
                  <w14:uncheckedState w14:val="2610" w14:font="MS Gothic"/>
                </w14:checkbox>
              </w:sdtPr>
              <w:sdtContent>
                <w:r w:rsidRPr="00B22352">
                  <w:rPr>
                    <w:rFonts w:ascii="Segoe UI Symbol" w:eastAsia="MS Gothic" w:hAnsi="Segoe UI Symbol" w:cs="Segoe UI Symbol"/>
                    <w:sz w:val="22"/>
                    <w:szCs w:val="22"/>
                  </w:rPr>
                  <w:t>☐</w:t>
                </w:r>
              </w:sdtContent>
            </w:sdt>
            <w:r w:rsidRPr="00B22352">
              <w:rPr>
                <w:rFonts w:asciiTheme="majorHAnsi" w:hAnsiTheme="majorHAnsi" w:cstheme="majorHAnsi"/>
                <w:sz w:val="22"/>
                <w:szCs w:val="22"/>
              </w:rPr>
              <w:t xml:space="preserve"> </w:t>
            </w:r>
            <w:r w:rsidRPr="00B22352">
              <w:rPr>
                <w:rFonts w:asciiTheme="majorHAnsi" w:hAnsiTheme="majorHAnsi" w:cstheme="majorHAnsi"/>
                <w:b/>
                <w:sz w:val="22"/>
                <w:szCs w:val="22"/>
              </w:rPr>
              <w:t>Validity</w:t>
            </w:r>
            <w:r w:rsidRPr="00B22352">
              <w:rPr>
                <w:rFonts w:asciiTheme="majorHAnsi" w:hAnsiTheme="majorHAnsi" w:cstheme="majorHAnsi"/>
                <w:sz w:val="22"/>
                <w:szCs w:val="22"/>
              </w:rPr>
              <w:t xml:space="preserve"> </w:t>
            </w:r>
            <w:sdt>
              <w:sdtPr>
                <w:rPr>
                  <w:rFonts w:asciiTheme="majorHAnsi" w:hAnsiTheme="majorHAnsi" w:cstheme="majorHAnsi"/>
                  <w:sz w:val="22"/>
                  <w:szCs w:val="22"/>
                </w:rPr>
                <w:id w:val="325330801"/>
                <w14:checkbox>
                  <w14:checked w14:val="0"/>
                  <w14:checkedState w14:val="2612" w14:font="MS Gothic"/>
                  <w14:uncheckedState w14:val="2610" w14:font="MS Gothic"/>
                </w14:checkbox>
              </w:sdtPr>
              <w:sdtContent>
                <w:r w:rsidRPr="00B22352">
                  <w:rPr>
                    <w:rFonts w:ascii="Segoe UI Symbol" w:eastAsia="MS Gothic" w:hAnsi="Segoe UI Symbol" w:cs="Segoe UI Symbol"/>
                    <w:sz w:val="22"/>
                    <w:szCs w:val="22"/>
                  </w:rPr>
                  <w:t>☐</w:t>
                </w:r>
              </w:sdtContent>
            </w:sdt>
            <w:r w:rsidRPr="00B22352">
              <w:rPr>
                <w:rFonts w:asciiTheme="majorHAnsi" w:hAnsiTheme="majorHAnsi" w:cstheme="majorHAnsi"/>
                <w:sz w:val="22"/>
                <w:szCs w:val="22"/>
              </w:rPr>
              <w:t xml:space="preserve"> </w:t>
            </w:r>
          </w:p>
          <w:p w14:paraId="1E3D7D7E"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b/>
                <w:sz w:val="22"/>
                <w:szCs w:val="22"/>
              </w:rPr>
              <w:t>Default</w:t>
            </w:r>
            <w:r w:rsidRPr="00B22352">
              <w:rPr>
                <w:rFonts w:asciiTheme="majorHAnsi" w:hAnsiTheme="majorHAnsi" w:cstheme="majorHAnsi"/>
                <w:sz w:val="22"/>
                <w:szCs w:val="22"/>
              </w:rPr>
              <w:t xml:space="preserve"> </w:t>
            </w:r>
            <w:sdt>
              <w:sdtPr>
                <w:rPr>
                  <w:rFonts w:asciiTheme="majorHAnsi" w:hAnsiTheme="majorHAnsi" w:cstheme="majorHAnsi"/>
                  <w:sz w:val="22"/>
                  <w:szCs w:val="22"/>
                </w:rPr>
                <w:id w:val="1614473230"/>
                <w14:checkbox>
                  <w14:checked w14:val="0"/>
                  <w14:checkedState w14:val="2612" w14:font="MS Gothic"/>
                  <w14:uncheckedState w14:val="2610" w14:font="MS Gothic"/>
                </w14:checkbox>
              </w:sdtPr>
              <w:sdtContent>
                <w:r w:rsidRPr="00B22352">
                  <w:rPr>
                    <w:rFonts w:ascii="Segoe UI Symbol" w:eastAsia="MS Gothic" w:hAnsi="Segoe UI Symbol" w:cs="Segoe UI Symbol"/>
                    <w:sz w:val="22"/>
                    <w:szCs w:val="22"/>
                  </w:rPr>
                  <w:t>☐</w:t>
                </w:r>
              </w:sdtContent>
            </w:sdt>
            <w:r w:rsidRPr="00B22352">
              <w:rPr>
                <w:rFonts w:asciiTheme="majorHAnsi" w:hAnsiTheme="majorHAnsi" w:cstheme="majorHAnsi"/>
                <w:sz w:val="22"/>
                <w:szCs w:val="22"/>
              </w:rPr>
              <w:t xml:space="preserve"> </w:t>
            </w:r>
          </w:p>
          <w:p w14:paraId="6A828E73" w14:textId="3804188D"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b/>
                <w:sz w:val="22"/>
                <w:szCs w:val="22"/>
              </w:rPr>
              <w:t>Integrity</w:t>
            </w:r>
            <w:r w:rsidRPr="00B22352">
              <w:rPr>
                <w:rFonts w:asciiTheme="majorHAnsi" w:hAnsiTheme="majorHAnsi" w:cstheme="majorHAnsi"/>
                <w:sz w:val="22"/>
                <w:szCs w:val="22"/>
              </w:rPr>
              <w:t xml:space="preserve"> </w:t>
            </w:r>
            <w:sdt>
              <w:sdtPr>
                <w:rPr>
                  <w:rFonts w:asciiTheme="majorHAnsi" w:hAnsiTheme="majorHAnsi" w:cstheme="majorHAnsi"/>
                  <w:sz w:val="22"/>
                  <w:szCs w:val="22"/>
                </w:rPr>
                <w:id w:val="-1098483664"/>
                <w14:checkbox>
                  <w14:checked w14:val="0"/>
                  <w14:checkedState w14:val="2612" w14:font="MS Gothic"/>
                  <w14:uncheckedState w14:val="2610" w14:font="MS Gothic"/>
                </w14:checkbox>
              </w:sdtPr>
              <w:sdtContent>
                <w:r w:rsidRPr="00B22352">
                  <w:rPr>
                    <w:rFonts w:ascii="Segoe UI Symbol" w:eastAsia="MS Gothic" w:hAnsi="Segoe UI Symbol" w:cs="Segoe UI Symbol"/>
                    <w:sz w:val="22"/>
                    <w:szCs w:val="22"/>
                  </w:rPr>
                  <w:t>☐</w:t>
                </w:r>
              </w:sdtContent>
            </w:sdt>
            <w:r w:rsidRPr="00B22352">
              <w:rPr>
                <w:rFonts w:asciiTheme="majorHAnsi" w:hAnsiTheme="majorHAnsi" w:cstheme="majorHAnsi"/>
                <w:sz w:val="22"/>
                <w:szCs w:val="22"/>
              </w:rPr>
              <w:t xml:space="preserve"> </w:t>
            </w:r>
            <w:r w:rsidRPr="00B22352">
              <w:rPr>
                <w:rFonts w:asciiTheme="majorHAnsi" w:hAnsiTheme="majorHAnsi" w:cstheme="majorHAnsi"/>
                <w:b/>
                <w:sz w:val="22"/>
                <w:szCs w:val="22"/>
              </w:rPr>
              <w:t>Timeliness</w:t>
            </w:r>
            <w:r w:rsidRPr="00B22352">
              <w:rPr>
                <w:rFonts w:asciiTheme="majorHAnsi" w:hAnsiTheme="majorHAnsi" w:cstheme="majorHAnsi"/>
                <w:sz w:val="22"/>
                <w:szCs w:val="22"/>
              </w:rPr>
              <w:t xml:space="preserve"> </w:t>
            </w:r>
            <w:sdt>
              <w:sdtPr>
                <w:rPr>
                  <w:rFonts w:asciiTheme="majorHAnsi" w:hAnsiTheme="majorHAnsi" w:cstheme="majorHAnsi"/>
                  <w:sz w:val="22"/>
                  <w:szCs w:val="22"/>
                </w:rPr>
                <w:id w:val="1086498859"/>
                <w14:checkbox>
                  <w14:checked w14:val="0"/>
                  <w14:checkedState w14:val="2612" w14:font="MS Gothic"/>
                  <w14:uncheckedState w14:val="2610" w14:font="MS Gothic"/>
                </w14:checkbox>
              </w:sdtPr>
              <w:sdtContent>
                <w:r w:rsidRPr="00B22352">
                  <w:rPr>
                    <w:rFonts w:ascii="Segoe UI Symbol" w:eastAsia="MS Gothic" w:hAnsi="Segoe UI Symbol" w:cs="Segoe UI Symbol"/>
                    <w:sz w:val="22"/>
                    <w:szCs w:val="22"/>
                  </w:rPr>
                  <w:t>☐</w:t>
                </w:r>
              </w:sdtContent>
            </w:sdt>
            <w:r w:rsidRPr="00B22352">
              <w:rPr>
                <w:rFonts w:asciiTheme="majorHAnsi" w:hAnsiTheme="majorHAnsi" w:cstheme="majorHAnsi"/>
                <w:sz w:val="22"/>
                <w:szCs w:val="22"/>
              </w:rPr>
              <w:t xml:space="preserve"> </w:t>
            </w:r>
            <w:r w:rsidRPr="00B22352">
              <w:rPr>
                <w:rFonts w:asciiTheme="majorHAnsi" w:hAnsiTheme="majorHAnsi" w:cstheme="majorHAnsi"/>
                <w:b/>
                <w:sz w:val="22"/>
                <w:szCs w:val="22"/>
              </w:rPr>
              <w:t>Other</w:t>
            </w:r>
            <w:r w:rsidRPr="00B22352">
              <w:rPr>
                <w:rFonts w:asciiTheme="majorHAnsi" w:hAnsiTheme="majorHAnsi" w:cstheme="majorHAnsi"/>
                <w:sz w:val="22"/>
                <w:szCs w:val="22"/>
              </w:rPr>
              <w:t xml:space="preserve"> </w:t>
            </w:r>
            <w:sdt>
              <w:sdtPr>
                <w:rPr>
                  <w:rFonts w:asciiTheme="majorHAnsi" w:hAnsiTheme="majorHAnsi" w:cstheme="majorHAnsi"/>
                  <w:sz w:val="22"/>
                  <w:szCs w:val="22"/>
                </w:rPr>
                <w:id w:val="1928450506"/>
                <w14:checkbox>
                  <w14:checked w14:val="0"/>
                  <w14:checkedState w14:val="2612" w14:font="MS Gothic"/>
                  <w14:uncheckedState w14:val="2610" w14:font="MS Gothic"/>
                </w14:checkbox>
              </w:sdtPr>
              <w:sdtContent>
                <w:r w:rsidRPr="00B22352">
                  <w:rPr>
                    <w:rFonts w:ascii="Segoe UI Symbol" w:eastAsia="MS Gothic" w:hAnsi="Segoe UI Symbol" w:cs="Segoe UI Symbol"/>
                    <w:sz w:val="22"/>
                    <w:szCs w:val="22"/>
                  </w:rPr>
                  <w:t>☐</w:t>
                </w:r>
              </w:sdtContent>
            </w:sdt>
          </w:p>
        </w:tc>
      </w:tr>
      <w:tr w:rsidR="00B22352" w:rsidRPr="00B22352" w14:paraId="7B7B1269" w14:textId="77777777" w:rsidTr="00B22352">
        <w:tc>
          <w:tcPr>
            <w:tcW w:w="3256" w:type="dxa"/>
          </w:tcPr>
          <w:p w14:paraId="21452A06" w14:textId="77777777" w:rsidR="00B22352" w:rsidRPr="00B22352" w:rsidRDefault="00B22352" w:rsidP="00B22352">
            <w:pPr>
              <w:spacing w:before="240"/>
              <w:rPr>
                <w:rFonts w:asciiTheme="majorHAnsi" w:hAnsiTheme="majorHAnsi" w:cstheme="majorHAnsi"/>
                <w:b/>
                <w:sz w:val="22"/>
                <w:szCs w:val="22"/>
              </w:rPr>
            </w:pPr>
          </w:p>
        </w:tc>
        <w:tc>
          <w:tcPr>
            <w:tcW w:w="6598" w:type="dxa"/>
          </w:tcPr>
          <w:p w14:paraId="3B7E52C9" w14:textId="77777777"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t xml:space="preserve">If you included ‘Other’ as a data quality check, please describe the check, how it will be measured, and its reason for use below: </w:t>
            </w:r>
          </w:p>
          <w:p w14:paraId="7569EB76" w14:textId="783AC09C" w:rsidR="00B22352" w:rsidRPr="00B22352" w:rsidRDefault="00B22352" w:rsidP="00B22352">
            <w:pPr>
              <w:spacing w:before="240"/>
              <w:rPr>
                <w:rFonts w:asciiTheme="majorHAnsi" w:hAnsiTheme="majorHAnsi" w:cstheme="majorHAnsi"/>
                <w:b/>
                <w:sz w:val="22"/>
                <w:szCs w:val="22"/>
              </w:rPr>
            </w:pPr>
            <w:r w:rsidRPr="00B22352">
              <w:rPr>
                <w:rFonts w:asciiTheme="majorHAnsi" w:hAnsiTheme="majorHAnsi" w:cstheme="majorHAnsi"/>
                <w:b/>
                <w:sz w:val="22"/>
                <w:szCs w:val="22"/>
              </w:rPr>
              <w:fldChar w:fldCharType="begin">
                <w:ffData>
                  <w:name w:val="Text5"/>
                  <w:enabled/>
                  <w:calcOnExit w:val="0"/>
                  <w:textInput/>
                </w:ffData>
              </w:fldChar>
            </w:r>
            <w:r w:rsidRPr="00B22352">
              <w:rPr>
                <w:rFonts w:asciiTheme="majorHAnsi" w:hAnsiTheme="majorHAnsi" w:cstheme="majorHAnsi"/>
                <w:b/>
                <w:sz w:val="22"/>
                <w:szCs w:val="22"/>
              </w:rPr>
              <w:instrText xml:space="preserve"> FORMTEXT </w:instrText>
            </w:r>
            <w:r w:rsidRPr="00B22352">
              <w:rPr>
                <w:rFonts w:asciiTheme="majorHAnsi" w:hAnsiTheme="majorHAnsi" w:cstheme="majorHAnsi"/>
                <w:b/>
                <w:sz w:val="22"/>
                <w:szCs w:val="22"/>
              </w:rPr>
            </w:r>
            <w:r w:rsidRPr="00B22352">
              <w:rPr>
                <w:rFonts w:asciiTheme="majorHAnsi" w:hAnsiTheme="majorHAnsi" w:cstheme="majorHAnsi"/>
                <w:b/>
                <w:sz w:val="22"/>
                <w:szCs w:val="22"/>
              </w:rPr>
              <w:fldChar w:fldCharType="separate"/>
            </w:r>
            <w:r w:rsidRPr="00B22352">
              <w:rPr>
                <w:rFonts w:asciiTheme="majorHAnsi" w:hAnsiTheme="majorHAnsi" w:cstheme="majorHAnsi"/>
                <w:b/>
                <w:sz w:val="22"/>
                <w:szCs w:val="22"/>
              </w:rPr>
              <w:t> </w:t>
            </w:r>
            <w:r w:rsidRPr="00B22352">
              <w:rPr>
                <w:rFonts w:asciiTheme="majorHAnsi" w:hAnsiTheme="majorHAnsi" w:cstheme="majorHAnsi"/>
                <w:b/>
                <w:sz w:val="22"/>
                <w:szCs w:val="22"/>
              </w:rPr>
              <w:t> </w:t>
            </w:r>
            <w:r w:rsidRPr="00B22352">
              <w:rPr>
                <w:rFonts w:asciiTheme="majorHAnsi" w:hAnsiTheme="majorHAnsi" w:cstheme="majorHAnsi"/>
                <w:b/>
                <w:sz w:val="22"/>
                <w:szCs w:val="22"/>
              </w:rPr>
              <w:t> </w:t>
            </w:r>
            <w:r w:rsidRPr="00B22352">
              <w:rPr>
                <w:rFonts w:asciiTheme="majorHAnsi" w:hAnsiTheme="majorHAnsi" w:cstheme="majorHAnsi"/>
                <w:b/>
                <w:sz w:val="22"/>
                <w:szCs w:val="22"/>
              </w:rPr>
              <w:t> </w:t>
            </w:r>
            <w:r w:rsidRPr="00B22352">
              <w:rPr>
                <w:rFonts w:asciiTheme="majorHAnsi" w:hAnsiTheme="majorHAnsi" w:cstheme="majorHAnsi"/>
                <w:b/>
                <w:sz w:val="22"/>
                <w:szCs w:val="22"/>
              </w:rPr>
              <w:t> </w:t>
            </w:r>
            <w:r w:rsidRPr="00B22352">
              <w:rPr>
                <w:rFonts w:asciiTheme="majorHAnsi" w:hAnsiTheme="majorHAnsi" w:cstheme="majorHAnsi"/>
                <w:b/>
                <w:sz w:val="22"/>
                <w:szCs w:val="22"/>
              </w:rPr>
              <w:fldChar w:fldCharType="end"/>
            </w:r>
            <w:r w:rsidRPr="00B22352">
              <w:rPr>
                <w:rFonts w:asciiTheme="majorHAnsi" w:hAnsiTheme="majorHAnsi" w:cstheme="majorHAnsi"/>
                <w:b/>
                <w:sz w:val="22"/>
                <w:szCs w:val="22"/>
              </w:rPr>
              <w:t xml:space="preserve">                                                                                                   </w:t>
            </w:r>
          </w:p>
        </w:tc>
      </w:tr>
      <w:tr w:rsidR="00B22352" w:rsidRPr="00B22352" w14:paraId="261FDFB3" w14:textId="77777777" w:rsidTr="00B22352">
        <w:tc>
          <w:tcPr>
            <w:tcW w:w="3256" w:type="dxa"/>
          </w:tcPr>
          <w:p w14:paraId="1FF183D1" w14:textId="77777777" w:rsidR="00B22352" w:rsidRPr="00B22352" w:rsidRDefault="00B22352" w:rsidP="00B22352">
            <w:pPr>
              <w:spacing w:before="240"/>
              <w:rPr>
                <w:rFonts w:asciiTheme="majorHAnsi" w:hAnsiTheme="majorHAnsi" w:cstheme="majorHAnsi"/>
                <w:b/>
                <w:sz w:val="22"/>
                <w:szCs w:val="22"/>
              </w:rPr>
            </w:pPr>
          </w:p>
        </w:tc>
        <w:tc>
          <w:tcPr>
            <w:tcW w:w="6598" w:type="dxa"/>
          </w:tcPr>
          <w:p w14:paraId="2FD5945E"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 xml:space="preserve">ii)  What are the current values for the data quality checks selected? </w:t>
            </w:r>
            <w:r w:rsidRPr="00B22352">
              <w:rPr>
                <w:rFonts w:asciiTheme="majorHAnsi" w:hAnsiTheme="majorHAnsi" w:cstheme="majorHAnsi"/>
                <w:sz w:val="22"/>
                <w:szCs w:val="22"/>
              </w:rPr>
              <w:t xml:space="preserve">The period of data the current values are calculated from should be stated. Current values should be recorded as a percentage and calculated as described below. </w:t>
            </w:r>
          </w:p>
          <w:p w14:paraId="2FA9B8C9" w14:textId="77777777"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t xml:space="preserve">Period of data:                    </w:t>
            </w:r>
          </w:p>
          <w:p w14:paraId="1D22BA4F" w14:textId="77777777" w:rsidR="00B22352" w:rsidRPr="00B22352" w:rsidRDefault="00B22352" w:rsidP="00B22352">
            <w:pPr>
              <w:textboxTightWrap w:val="allLines"/>
              <w:rPr>
                <w:rFonts w:asciiTheme="majorHAnsi" w:hAnsiTheme="majorHAnsi" w:cstheme="majorHAnsi"/>
                <w:b/>
                <w:sz w:val="22"/>
                <w:szCs w:val="22"/>
                <w:lang w:eastAsia="en-GB"/>
              </w:rPr>
            </w:pPr>
            <w:r w:rsidRPr="00B22352">
              <w:rPr>
                <w:rFonts w:asciiTheme="majorHAnsi" w:hAnsiTheme="majorHAnsi" w:cstheme="majorHAnsi"/>
                <w:b/>
                <w:sz w:val="22"/>
                <w:szCs w:val="22"/>
              </w:rPr>
              <w:t>Coverage:</w:t>
            </w:r>
            <w:r w:rsidRPr="00B22352">
              <w:rPr>
                <w:rFonts w:asciiTheme="majorHAnsi" w:hAnsiTheme="majorHAnsi" w:cstheme="majorHAnsi"/>
                <w:b/>
                <w:sz w:val="22"/>
                <w:szCs w:val="22"/>
              </w:rPr>
              <w:br/>
              <w:t xml:space="preserve">Calculation:        </w:t>
            </w:r>
          </w:p>
          <w:p w14:paraId="58522085"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Completeness:</w:t>
            </w:r>
            <w:r w:rsidRPr="00B22352">
              <w:rPr>
                <w:rFonts w:asciiTheme="majorHAnsi" w:hAnsiTheme="majorHAnsi" w:cstheme="majorHAnsi"/>
                <w:b/>
                <w:sz w:val="22"/>
                <w:szCs w:val="22"/>
              </w:rPr>
              <w:br/>
              <w:t xml:space="preserve">Calculation:             </w:t>
            </w:r>
          </w:p>
          <w:p w14:paraId="61B67484"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Validity:</w:t>
            </w:r>
            <w:r w:rsidRPr="00B22352">
              <w:rPr>
                <w:rFonts w:asciiTheme="majorHAnsi" w:hAnsiTheme="majorHAnsi" w:cstheme="majorHAnsi"/>
                <w:b/>
                <w:sz w:val="22"/>
                <w:szCs w:val="22"/>
              </w:rPr>
              <w:br/>
              <w:t xml:space="preserve">Calculation:    </w:t>
            </w:r>
          </w:p>
          <w:p w14:paraId="2FA0E2DE"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Default:</w:t>
            </w:r>
            <w:r w:rsidRPr="00B22352">
              <w:rPr>
                <w:rFonts w:asciiTheme="majorHAnsi" w:hAnsiTheme="majorHAnsi" w:cstheme="majorHAnsi"/>
                <w:sz w:val="22"/>
                <w:szCs w:val="22"/>
              </w:rPr>
              <w:t xml:space="preserve">         </w:t>
            </w:r>
            <w:r w:rsidRPr="00B22352">
              <w:rPr>
                <w:rFonts w:asciiTheme="majorHAnsi" w:hAnsiTheme="majorHAnsi" w:cstheme="majorHAnsi"/>
                <w:sz w:val="22"/>
                <w:szCs w:val="22"/>
              </w:rPr>
              <w:br/>
            </w:r>
            <w:r w:rsidRPr="00B22352">
              <w:rPr>
                <w:rFonts w:asciiTheme="majorHAnsi" w:hAnsiTheme="majorHAnsi" w:cstheme="majorHAnsi"/>
                <w:b/>
                <w:sz w:val="22"/>
                <w:szCs w:val="22"/>
              </w:rPr>
              <w:t>Calculation:</w:t>
            </w:r>
            <w:r w:rsidRPr="00B22352">
              <w:rPr>
                <w:rFonts w:asciiTheme="majorHAnsi" w:hAnsiTheme="majorHAnsi" w:cstheme="majorHAnsi"/>
                <w:sz w:val="22"/>
                <w:szCs w:val="22"/>
              </w:rPr>
              <w:t xml:space="preserve">     </w:t>
            </w:r>
          </w:p>
          <w:p w14:paraId="4A2C1C3D"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Integrity:</w:t>
            </w:r>
            <w:r w:rsidRPr="00B22352">
              <w:rPr>
                <w:rFonts w:asciiTheme="majorHAnsi" w:hAnsiTheme="majorHAnsi" w:cstheme="majorHAnsi"/>
                <w:sz w:val="22"/>
                <w:szCs w:val="22"/>
              </w:rPr>
              <w:t xml:space="preserve">         </w:t>
            </w:r>
            <w:r w:rsidRPr="00B22352">
              <w:rPr>
                <w:rFonts w:asciiTheme="majorHAnsi" w:hAnsiTheme="majorHAnsi" w:cstheme="majorHAnsi"/>
                <w:sz w:val="22"/>
                <w:szCs w:val="22"/>
              </w:rPr>
              <w:br/>
            </w:r>
            <w:r w:rsidRPr="00B22352">
              <w:rPr>
                <w:rFonts w:asciiTheme="majorHAnsi" w:hAnsiTheme="majorHAnsi" w:cstheme="majorHAnsi"/>
                <w:b/>
                <w:sz w:val="22"/>
                <w:szCs w:val="22"/>
              </w:rPr>
              <w:t xml:space="preserve">Calculation:       </w:t>
            </w:r>
          </w:p>
          <w:p w14:paraId="194435D7"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Timeliness:</w:t>
            </w:r>
            <w:r w:rsidRPr="00B22352">
              <w:rPr>
                <w:rFonts w:asciiTheme="majorHAnsi" w:hAnsiTheme="majorHAnsi" w:cstheme="majorHAnsi"/>
                <w:sz w:val="22"/>
                <w:szCs w:val="22"/>
              </w:rPr>
              <w:t xml:space="preserve">         </w:t>
            </w:r>
            <w:r w:rsidRPr="00B22352">
              <w:rPr>
                <w:rFonts w:asciiTheme="majorHAnsi" w:hAnsiTheme="majorHAnsi" w:cstheme="majorHAnsi"/>
                <w:sz w:val="22"/>
                <w:szCs w:val="22"/>
              </w:rPr>
              <w:br/>
            </w:r>
            <w:r w:rsidRPr="00B22352">
              <w:rPr>
                <w:rFonts w:asciiTheme="majorHAnsi" w:hAnsiTheme="majorHAnsi" w:cstheme="majorHAnsi"/>
                <w:b/>
                <w:sz w:val="22"/>
                <w:szCs w:val="22"/>
              </w:rPr>
              <w:t xml:space="preserve">Calculation: </w:t>
            </w:r>
          </w:p>
          <w:p w14:paraId="0F5AB6B4" w14:textId="68D23F3C"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lastRenderedPageBreak/>
              <w:t xml:space="preserve">Other:            </w:t>
            </w:r>
            <w:r w:rsidRPr="00B22352">
              <w:rPr>
                <w:rFonts w:asciiTheme="majorHAnsi" w:hAnsiTheme="majorHAnsi" w:cstheme="majorHAnsi"/>
                <w:b/>
                <w:sz w:val="22"/>
                <w:szCs w:val="22"/>
              </w:rPr>
              <w:br/>
              <w:t>Calculation:</w:t>
            </w:r>
          </w:p>
        </w:tc>
      </w:tr>
      <w:tr w:rsidR="00B22352" w:rsidRPr="00B22352" w14:paraId="4E69BAA6" w14:textId="77777777" w:rsidTr="00B22352">
        <w:tc>
          <w:tcPr>
            <w:tcW w:w="3256" w:type="dxa"/>
          </w:tcPr>
          <w:p w14:paraId="05258501" w14:textId="77777777" w:rsidR="00B22352" w:rsidRPr="00B22352" w:rsidRDefault="00B22352" w:rsidP="00B22352">
            <w:pPr>
              <w:spacing w:before="240"/>
              <w:rPr>
                <w:rFonts w:asciiTheme="majorHAnsi" w:hAnsiTheme="majorHAnsi" w:cstheme="majorHAnsi"/>
                <w:b/>
                <w:sz w:val="22"/>
                <w:szCs w:val="22"/>
              </w:rPr>
            </w:pPr>
          </w:p>
        </w:tc>
        <w:tc>
          <w:tcPr>
            <w:tcW w:w="6598" w:type="dxa"/>
          </w:tcPr>
          <w:p w14:paraId="492A5942"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 xml:space="preserve">iii) What are the thresholds for the data quality checks selected? </w:t>
            </w:r>
          </w:p>
          <w:p w14:paraId="78AF027A" w14:textId="77777777"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t xml:space="preserve">Coverage:           </w:t>
            </w:r>
          </w:p>
          <w:p w14:paraId="6CFF09CA"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Completeness:</w:t>
            </w:r>
            <w:r w:rsidRPr="00B22352">
              <w:rPr>
                <w:rFonts w:asciiTheme="majorHAnsi" w:hAnsiTheme="majorHAnsi" w:cstheme="majorHAnsi"/>
                <w:sz w:val="22"/>
                <w:szCs w:val="22"/>
              </w:rPr>
              <w:t xml:space="preserve">          </w:t>
            </w:r>
          </w:p>
          <w:p w14:paraId="0F2773CF"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Validity:</w:t>
            </w:r>
            <w:r w:rsidRPr="00B22352">
              <w:rPr>
                <w:rFonts w:asciiTheme="majorHAnsi" w:hAnsiTheme="majorHAnsi" w:cstheme="majorHAnsi"/>
                <w:sz w:val="22"/>
                <w:szCs w:val="22"/>
              </w:rPr>
              <w:t xml:space="preserve">         </w:t>
            </w:r>
          </w:p>
          <w:p w14:paraId="7792958D"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Default:</w:t>
            </w:r>
            <w:r w:rsidRPr="00B22352">
              <w:rPr>
                <w:rFonts w:asciiTheme="majorHAnsi" w:hAnsiTheme="majorHAnsi" w:cstheme="majorHAnsi"/>
                <w:sz w:val="22"/>
                <w:szCs w:val="22"/>
              </w:rPr>
              <w:t xml:space="preserve">         </w:t>
            </w:r>
          </w:p>
          <w:p w14:paraId="4D803BC1"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Integrity:</w:t>
            </w:r>
            <w:r w:rsidRPr="00B22352">
              <w:rPr>
                <w:rFonts w:asciiTheme="majorHAnsi" w:hAnsiTheme="majorHAnsi" w:cstheme="majorHAnsi"/>
                <w:sz w:val="22"/>
                <w:szCs w:val="22"/>
              </w:rPr>
              <w:t xml:space="preserve">         </w:t>
            </w:r>
          </w:p>
          <w:p w14:paraId="4B814CEE"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Timeliness:</w:t>
            </w:r>
            <w:r w:rsidRPr="00B22352">
              <w:rPr>
                <w:rFonts w:asciiTheme="majorHAnsi" w:hAnsiTheme="majorHAnsi" w:cstheme="majorHAnsi"/>
                <w:sz w:val="22"/>
                <w:szCs w:val="22"/>
              </w:rPr>
              <w:t xml:space="preserve">         </w:t>
            </w:r>
          </w:p>
          <w:p w14:paraId="0B6C223A" w14:textId="3A711CEE"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t xml:space="preserve">Other:             </w:t>
            </w:r>
          </w:p>
        </w:tc>
      </w:tr>
      <w:tr w:rsidR="00B22352" w:rsidRPr="00B22352" w14:paraId="532E855F" w14:textId="77777777" w:rsidTr="00B22352">
        <w:tc>
          <w:tcPr>
            <w:tcW w:w="3256" w:type="dxa"/>
          </w:tcPr>
          <w:p w14:paraId="02ABEBFC" w14:textId="77777777" w:rsidR="00B22352" w:rsidRPr="00B22352" w:rsidRDefault="00B22352" w:rsidP="00B22352">
            <w:pPr>
              <w:spacing w:before="240"/>
              <w:rPr>
                <w:rFonts w:asciiTheme="majorHAnsi" w:hAnsiTheme="majorHAnsi" w:cstheme="majorHAnsi"/>
                <w:b/>
                <w:sz w:val="22"/>
                <w:szCs w:val="22"/>
              </w:rPr>
            </w:pPr>
          </w:p>
        </w:tc>
        <w:tc>
          <w:tcPr>
            <w:tcW w:w="6598" w:type="dxa"/>
          </w:tcPr>
          <w:p w14:paraId="3ABF79B5"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 xml:space="preserve">iv) What is the rationale for the selection of the data quality checks and thresholds selected above? </w:t>
            </w:r>
          </w:p>
          <w:p w14:paraId="1888CD09" w14:textId="5EACF9AE"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sz w:val="22"/>
                <w:szCs w:val="22"/>
              </w:rPr>
              <w:t xml:space="preserve">                                                                                                                              </w:t>
            </w:r>
          </w:p>
        </w:tc>
      </w:tr>
      <w:tr w:rsidR="00B22352" w:rsidRPr="00B22352" w14:paraId="211B25F4" w14:textId="77777777" w:rsidTr="00B22352">
        <w:tc>
          <w:tcPr>
            <w:tcW w:w="3256" w:type="dxa"/>
          </w:tcPr>
          <w:p w14:paraId="795B0293" w14:textId="77777777" w:rsidR="00B22352" w:rsidRPr="00B22352" w:rsidRDefault="00B22352" w:rsidP="00B22352">
            <w:pPr>
              <w:spacing w:before="240"/>
              <w:rPr>
                <w:rFonts w:asciiTheme="majorHAnsi" w:hAnsiTheme="majorHAnsi" w:cstheme="majorHAnsi"/>
                <w:b/>
                <w:sz w:val="22"/>
                <w:szCs w:val="22"/>
              </w:rPr>
            </w:pPr>
          </w:p>
        </w:tc>
        <w:tc>
          <w:tcPr>
            <w:tcW w:w="6598" w:type="dxa"/>
          </w:tcPr>
          <w:p w14:paraId="298BCBD2"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 xml:space="preserve">v) Describe how you would plan to improve data quality should it not meet, or subsequently fall below, the thresholds required for this indicator. </w:t>
            </w:r>
          </w:p>
          <w:p w14:paraId="337EC367" w14:textId="73170A62"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t xml:space="preserve">                                                                                                                  </w:t>
            </w:r>
          </w:p>
        </w:tc>
      </w:tr>
      <w:tr w:rsidR="00B22352" w:rsidRPr="00B22352" w14:paraId="6BC586F9" w14:textId="77777777" w:rsidTr="00B22352">
        <w:tc>
          <w:tcPr>
            <w:tcW w:w="3256" w:type="dxa"/>
          </w:tcPr>
          <w:p w14:paraId="1C612700" w14:textId="77777777" w:rsidR="00B22352" w:rsidRPr="00B22352" w:rsidRDefault="00B22352" w:rsidP="00B22352">
            <w:pPr>
              <w:spacing w:before="240"/>
              <w:rPr>
                <w:rFonts w:asciiTheme="majorHAnsi" w:hAnsiTheme="majorHAnsi" w:cstheme="majorHAnsi"/>
                <w:b/>
                <w:sz w:val="22"/>
                <w:szCs w:val="22"/>
              </w:rPr>
            </w:pPr>
          </w:p>
        </w:tc>
        <w:tc>
          <w:tcPr>
            <w:tcW w:w="6598" w:type="dxa"/>
          </w:tcPr>
          <w:p w14:paraId="13D7F692" w14:textId="77777777"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t xml:space="preserve">vi) Who will own the data quality risks and issues for this indicator? </w:t>
            </w:r>
          </w:p>
          <w:p w14:paraId="5F1AF91B"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Name:</w:t>
            </w:r>
            <w:r w:rsidRPr="00B22352">
              <w:rPr>
                <w:rFonts w:asciiTheme="majorHAnsi" w:hAnsiTheme="majorHAnsi" w:cstheme="majorHAnsi"/>
                <w:sz w:val="22"/>
                <w:szCs w:val="22"/>
              </w:rPr>
              <w:t xml:space="preserve">                               </w:t>
            </w:r>
          </w:p>
          <w:p w14:paraId="28D3783F"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Job Title:</w:t>
            </w:r>
            <w:r w:rsidRPr="00B22352">
              <w:rPr>
                <w:rFonts w:asciiTheme="majorHAnsi" w:hAnsiTheme="majorHAnsi" w:cstheme="majorHAnsi"/>
                <w:sz w:val="22"/>
                <w:szCs w:val="22"/>
              </w:rPr>
              <w:t xml:space="preserve">                               </w:t>
            </w:r>
          </w:p>
          <w:p w14:paraId="53B8D0E4"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Role:</w:t>
            </w:r>
            <w:r w:rsidRPr="00B22352">
              <w:rPr>
                <w:rFonts w:asciiTheme="majorHAnsi" w:hAnsiTheme="majorHAnsi" w:cstheme="majorHAnsi"/>
                <w:sz w:val="22"/>
                <w:szCs w:val="22"/>
              </w:rPr>
              <w:t xml:space="preserve">                               </w:t>
            </w:r>
          </w:p>
          <w:p w14:paraId="7432AA05"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Email:</w:t>
            </w:r>
            <w:r w:rsidRPr="00B22352">
              <w:rPr>
                <w:rFonts w:asciiTheme="majorHAnsi" w:hAnsiTheme="majorHAnsi" w:cstheme="majorHAnsi"/>
                <w:sz w:val="22"/>
                <w:szCs w:val="22"/>
              </w:rPr>
              <w:t xml:space="preserve">                               </w:t>
            </w:r>
          </w:p>
          <w:p w14:paraId="5621DA6E" w14:textId="56B170EF"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t>Telephone:</w:t>
            </w:r>
            <w:r w:rsidRPr="00B22352">
              <w:rPr>
                <w:rFonts w:asciiTheme="majorHAnsi" w:hAnsiTheme="majorHAnsi" w:cstheme="majorHAnsi"/>
                <w:sz w:val="22"/>
                <w:szCs w:val="22"/>
              </w:rPr>
              <w:t xml:space="preserve">                               </w:t>
            </w:r>
          </w:p>
        </w:tc>
      </w:tr>
      <w:tr w:rsidR="00B22352" w:rsidRPr="00B22352" w14:paraId="07AD141E" w14:textId="77777777" w:rsidTr="00B22352">
        <w:tc>
          <w:tcPr>
            <w:tcW w:w="3256" w:type="dxa"/>
          </w:tcPr>
          <w:p w14:paraId="19A6A983" w14:textId="77777777" w:rsidR="00B22352" w:rsidRPr="00B22352" w:rsidRDefault="00B22352" w:rsidP="00B22352">
            <w:pPr>
              <w:spacing w:before="240"/>
              <w:rPr>
                <w:rFonts w:asciiTheme="majorHAnsi" w:hAnsiTheme="majorHAnsi" w:cstheme="majorHAnsi"/>
                <w:b/>
                <w:sz w:val="22"/>
                <w:szCs w:val="22"/>
              </w:rPr>
            </w:pPr>
          </w:p>
        </w:tc>
        <w:tc>
          <w:tcPr>
            <w:tcW w:w="6598" w:type="dxa"/>
          </w:tcPr>
          <w:p w14:paraId="15E98AD5" w14:textId="77777777" w:rsidR="00B22352" w:rsidRPr="00B22352" w:rsidRDefault="00B22352" w:rsidP="00B22352">
            <w:pPr>
              <w:spacing w:before="240"/>
              <w:textboxTightWrap w:val="allLines"/>
              <w:rPr>
                <w:rFonts w:asciiTheme="majorHAnsi" w:hAnsiTheme="majorHAnsi" w:cstheme="majorHAnsi"/>
                <w:sz w:val="22"/>
                <w:szCs w:val="22"/>
              </w:rPr>
            </w:pPr>
            <w:r w:rsidRPr="00B22352">
              <w:rPr>
                <w:rFonts w:asciiTheme="majorHAnsi" w:hAnsiTheme="majorHAnsi" w:cstheme="majorHAnsi"/>
                <w:b/>
                <w:sz w:val="22"/>
                <w:szCs w:val="22"/>
              </w:rPr>
              <w:t xml:space="preserve">vii) Describe how the data quality risks and issues will be managed for this indicator, including the escalation process. </w:t>
            </w:r>
          </w:p>
          <w:p w14:paraId="29C1B798" w14:textId="3B7FCF3E"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t xml:space="preserve">                                                                                                                  </w:t>
            </w:r>
          </w:p>
        </w:tc>
      </w:tr>
      <w:tr w:rsidR="00B22352" w:rsidRPr="00B22352" w14:paraId="40CE81CA" w14:textId="77777777" w:rsidTr="00B22352">
        <w:tc>
          <w:tcPr>
            <w:tcW w:w="3256" w:type="dxa"/>
          </w:tcPr>
          <w:p w14:paraId="00143ED0" w14:textId="77777777" w:rsidR="00B22352" w:rsidRPr="00B22352" w:rsidRDefault="00B22352" w:rsidP="00B22352">
            <w:pPr>
              <w:spacing w:before="240"/>
              <w:rPr>
                <w:rFonts w:asciiTheme="majorHAnsi" w:hAnsiTheme="majorHAnsi" w:cstheme="majorHAnsi"/>
                <w:b/>
                <w:sz w:val="22"/>
                <w:szCs w:val="22"/>
              </w:rPr>
            </w:pPr>
          </w:p>
        </w:tc>
        <w:tc>
          <w:tcPr>
            <w:tcW w:w="6598" w:type="dxa"/>
          </w:tcPr>
          <w:p w14:paraId="4D55F8ED" w14:textId="77777777" w:rsidR="00B22352" w:rsidRPr="00B22352" w:rsidRDefault="00B22352" w:rsidP="00B22352">
            <w:pPr>
              <w:textboxTightWrap w:val="allLines"/>
              <w:rPr>
                <w:rFonts w:asciiTheme="majorHAnsi" w:hAnsiTheme="majorHAnsi" w:cstheme="majorHAnsi"/>
                <w:sz w:val="22"/>
                <w:szCs w:val="22"/>
              </w:rPr>
            </w:pPr>
            <w:r w:rsidRPr="00B22352">
              <w:rPr>
                <w:rFonts w:asciiTheme="majorHAnsi" w:hAnsiTheme="majorHAnsi" w:cstheme="majorHAnsi"/>
                <w:b/>
                <w:sz w:val="22"/>
                <w:szCs w:val="22"/>
              </w:rPr>
              <w:t xml:space="preserve">viii) Describe any assumptions you have made about data quality for this indicator. </w:t>
            </w:r>
          </w:p>
          <w:p w14:paraId="23BA6557" w14:textId="763B6E11" w:rsidR="00B22352" w:rsidRPr="00B22352" w:rsidRDefault="00B22352" w:rsidP="00B22352">
            <w:pPr>
              <w:spacing w:before="240"/>
              <w:textboxTightWrap w:val="allLines"/>
              <w:rPr>
                <w:rFonts w:asciiTheme="majorHAnsi" w:hAnsiTheme="majorHAnsi" w:cstheme="majorHAnsi"/>
                <w:b/>
                <w:sz w:val="22"/>
                <w:szCs w:val="22"/>
              </w:rPr>
            </w:pPr>
            <w:r w:rsidRPr="00B22352">
              <w:rPr>
                <w:rFonts w:asciiTheme="majorHAnsi" w:hAnsiTheme="majorHAnsi" w:cstheme="majorHAnsi"/>
                <w:b/>
                <w:sz w:val="22"/>
                <w:szCs w:val="22"/>
              </w:rPr>
              <w:t xml:space="preserve">                                                                                                                  </w:t>
            </w:r>
          </w:p>
        </w:tc>
      </w:tr>
      <w:tr w:rsidR="00B22352" w:rsidRPr="00B22352" w14:paraId="677F4337" w14:textId="77777777" w:rsidTr="00B22352">
        <w:tc>
          <w:tcPr>
            <w:tcW w:w="3256" w:type="dxa"/>
          </w:tcPr>
          <w:p w14:paraId="340003DE" w14:textId="77777777" w:rsidR="00B22352" w:rsidRPr="00B22352" w:rsidRDefault="00B22352" w:rsidP="00B22352">
            <w:pPr>
              <w:spacing w:before="240"/>
              <w:rPr>
                <w:rFonts w:asciiTheme="majorHAnsi" w:hAnsiTheme="majorHAnsi" w:cstheme="majorHAnsi"/>
                <w:b/>
                <w:sz w:val="22"/>
                <w:szCs w:val="22"/>
              </w:rPr>
            </w:pPr>
          </w:p>
        </w:tc>
        <w:tc>
          <w:tcPr>
            <w:tcW w:w="6598" w:type="dxa"/>
          </w:tcPr>
          <w:p w14:paraId="184293FD" w14:textId="77777777"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t>ix) Describe any data quality constraints you are aware of for this indicator.</w:t>
            </w:r>
            <w:r w:rsidRPr="00B22352">
              <w:rPr>
                <w:rFonts w:asciiTheme="majorHAnsi" w:hAnsiTheme="majorHAnsi" w:cstheme="majorHAnsi"/>
                <w:sz w:val="22"/>
                <w:szCs w:val="22"/>
              </w:rPr>
              <w:t xml:space="preserve"> </w:t>
            </w:r>
          </w:p>
          <w:p w14:paraId="7FA13BC7" w14:textId="4D33FFD1"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b/>
                <w:sz w:val="22"/>
                <w:szCs w:val="22"/>
              </w:rPr>
              <w:t xml:space="preserve">                                                                                                                  </w:t>
            </w:r>
          </w:p>
        </w:tc>
      </w:tr>
    </w:tbl>
    <w:p w14:paraId="50FADC3B" w14:textId="77777777" w:rsidR="00B22352" w:rsidRPr="00B22352" w:rsidRDefault="00B22352" w:rsidP="00B22352">
      <w:pPr>
        <w:spacing w:before="240"/>
        <w:rPr>
          <w:rFonts w:asciiTheme="majorHAnsi" w:hAnsiTheme="majorHAnsi" w:cstheme="majorHAnsi"/>
          <w:b/>
          <w:sz w:val="22"/>
          <w:szCs w:val="22"/>
        </w:rPr>
      </w:pPr>
      <w:r w:rsidRPr="00B22352">
        <w:rPr>
          <w:rFonts w:asciiTheme="majorHAnsi" w:hAnsiTheme="majorHAnsi" w:cstheme="majorHAnsi"/>
          <w:b/>
          <w:sz w:val="22"/>
          <w:szCs w:val="22"/>
        </w:rPr>
        <w:t xml:space="preserve">x) Additional data quality information: </w:t>
      </w:r>
    </w:p>
    <w:p w14:paraId="42DFB600"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Data will be reported on a rolling quarterly basis, using 3 years of data. In order to release data in a </w:t>
      </w:r>
      <w:proofErr w:type="gramStart"/>
      <w:r w:rsidRPr="00B22352">
        <w:rPr>
          <w:rFonts w:asciiTheme="majorHAnsi" w:hAnsiTheme="majorHAnsi" w:cstheme="majorHAnsi"/>
          <w:sz w:val="22"/>
          <w:szCs w:val="22"/>
        </w:rPr>
        <w:t>more timely</w:t>
      </w:r>
      <w:proofErr w:type="gramEnd"/>
      <w:r w:rsidRPr="00B22352">
        <w:rPr>
          <w:rFonts w:asciiTheme="majorHAnsi" w:hAnsiTheme="majorHAnsi" w:cstheme="majorHAnsi"/>
          <w:sz w:val="22"/>
          <w:szCs w:val="22"/>
        </w:rPr>
        <w:t xml:space="preserve"> way for users, provisional HES data will be used. However, care should be taken as it is subject to changes and revisions each month and should be treated as an estimate until the final annual data is released. </w:t>
      </w:r>
    </w:p>
    <w:p w14:paraId="1B55ED6D" w14:textId="18407E9E"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lastRenderedPageBreak/>
        <w:t>Provisional HES data is reported four months in arrears due to HES processing and quality controls. The final annual HES data will be reported eight months in arrears (November, following the financial year end) after the HES annual refresh. The annual refresh gives providers the opportunity to revise and update their submissions for the year. All previously reported provisional quarterly datasets will be replaced by a single annual dataset. Admitted Patient Care Data Quality notes are available via the following link for the relevant data period:</w:t>
      </w:r>
    </w:p>
    <w:p w14:paraId="0990028F"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http://content.digital.nhs.uk/searchcatalogue?q=title%3a%22Provisional+Monthly+Hospital+Episode+Statistics%22&amp;sort=Most+recent&amp;size=10&amp;page=1 </w:t>
      </w:r>
    </w:p>
    <w:p w14:paraId="74BED308" w14:textId="46228E2F"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Reporting periods are broken down as follows:</w:t>
      </w:r>
    </w:p>
    <w:p w14:paraId="36B58A80" w14:textId="6D8F19C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noProof/>
          <w:sz w:val="22"/>
          <w:szCs w:val="22"/>
          <w:lang w:eastAsia="en-GB"/>
        </w:rPr>
        <w:drawing>
          <wp:inline distT="0" distB="0" distL="0" distR="0" wp14:anchorId="25DCD9DC" wp14:editId="64522334">
            <wp:extent cx="4671060" cy="2834263"/>
            <wp:effectExtent l="0" t="0" r="0" b="4445"/>
            <wp:docPr id="7" name="Picture 7" descr="Table showing reporting 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71060" cy="2834263"/>
                    </a:xfrm>
                    <a:prstGeom prst="rect">
                      <a:avLst/>
                    </a:prstGeom>
                  </pic:spPr>
                </pic:pic>
              </a:graphicData>
            </a:graphic>
          </wp:inline>
        </w:drawing>
      </w:r>
    </w:p>
    <w:p w14:paraId="7D4635EF" w14:textId="5664E323" w:rsidR="00B22352" w:rsidRDefault="00B22352" w:rsidP="00B22352">
      <w:pPr>
        <w:spacing w:before="240"/>
        <w:rPr>
          <w:rFonts w:asciiTheme="majorHAnsi" w:hAnsiTheme="majorHAnsi" w:cstheme="majorHAnsi"/>
          <w:bCs/>
          <w:sz w:val="22"/>
          <w:szCs w:val="22"/>
        </w:rPr>
      </w:pPr>
      <w:r w:rsidRPr="00B22352">
        <w:rPr>
          <w:rFonts w:asciiTheme="majorHAnsi" w:hAnsiTheme="majorHAnsi" w:cstheme="majorHAnsi"/>
          <w:bCs/>
          <w:sz w:val="22"/>
          <w:szCs w:val="22"/>
        </w:rPr>
        <w:t>These indicators are official statistics and the publication date was pre-announced. There was no gap between the planned and actual publication date.</w:t>
      </w:r>
    </w:p>
    <w:tbl>
      <w:tblPr>
        <w:tblStyle w:val="TableGrid"/>
        <w:tblW w:w="0" w:type="auto"/>
        <w:tblLayout w:type="fixed"/>
        <w:tblLook w:val="04A0" w:firstRow="1" w:lastRow="0" w:firstColumn="1" w:lastColumn="0" w:noHBand="0" w:noVBand="1"/>
      </w:tblPr>
      <w:tblGrid>
        <w:gridCol w:w="3256"/>
        <w:gridCol w:w="6598"/>
      </w:tblGrid>
      <w:tr w:rsidR="00B22352" w:rsidRPr="00B22352" w14:paraId="7EC76BAF" w14:textId="77777777" w:rsidTr="00DD3C37">
        <w:tc>
          <w:tcPr>
            <w:tcW w:w="3256" w:type="dxa"/>
          </w:tcPr>
          <w:p w14:paraId="4F6AFCBD" w14:textId="369A50B2" w:rsidR="00B22352" w:rsidRPr="00B22352" w:rsidRDefault="00B22352" w:rsidP="00B22352">
            <w:pPr>
              <w:spacing w:before="240"/>
              <w:rPr>
                <w:rFonts w:asciiTheme="majorHAnsi" w:hAnsiTheme="majorHAnsi" w:cstheme="majorHAnsi"/>
                <w:b/>
                <w:sz w:val="22"/>
                <w:szCs w:val="22"/>
              </w:rPr>
            </w:pPr>
            <w:r w:rsidRPr="00B22352">
              <w:rPr>
                <w:rFonts w:asciiTheme="majorHAnsi" w:hAnsiTheme="majorHAnsi" w:cstheme="majorHAnsi"/>
                <w:b/>
                <w:sz w:val="22"/>
                <w:szCs w:val="22"/>
              </w:rPr>
              <w:t>Quality assurance</w:t>
            </w:r>
          </w:p>
        </w:tc>
        <w:tc>
          <w:tcPr>
            <w:tcW w:w="6598" w:type="dxa"/>
          </w:tcPr>
          <w:p w14:paraId="713E5172" w14:textId="59168BF0" w:rsidR="00B22352" w:rsidRPr="00B22352" w:rsidRDefault="00B22352" w:rsidP="00B22352">
            <w:pPr>
              <w:textboxTightWrap w:val="allLines"/>
              <w:rPr>
                <w:rFonts w:asciiTheme="majorHAnsi" w:hAnsiTheme="majorHAnsi" w:cstheme="majorHAnsi"/>
                <w:b/>
                <w:sz w:val="22"/>
                <w:szCs w:val="22"/>
              </w:rPr>
            </w:pPr>
          </w:p>
        </w:tc>
      </w:tr>
      <w:tr w:rsidR="00B22352" w:rsidRPr="00B22352" w14:paraId="1A272CA0" w14:textId="77777777" w:rsidTr="00DD3C37">
        <w:tc>
          <w:tcPr>
            <w:tcW w:w="3256" w:type="dxa"/>
          </w:tcPr>
          <w:p w14:paraId="007DC789" w14:textId="6BE7C0AD" w:rsidR="00B22352" w:rsidRPr="00B22352" w:rsidRDefault="00B22352" w:rsidP="00B22352">
            <w:pPr>
              <w:spacing w:before="240"/>
              <w:rPr>
                <w:rFonts w:asciiTheme="majorHAnsi" w:hAnsiTheme="majorHAnsi" w:cstheme="majorHAnsi"/>
                <w:b/>
                <w:sz w:val="22"/>
                <w:szCs w:val="22"/>
              </w:rPr>
            </w:pPr>
            <w:r w:rsidRPr="00B22352">
              <w:rPr>
                <w:rFonts w:asciiTheme="majorHAnsi" w:hAnsiTheme="majorHAnsi" w:cstheme="majorHAnsi"/>
                <w:b/>
                <w:sz w:val="22"/>
                <w:szCs w:val="22"/>
              </w:rPr>
              <w:t>Data linkage</w:t>
            </w:r>
          </w:p>
        </w:tc>
        <w:tc>
          <w:tcPr>
            <w:tcW w:w="6598" w:type="dxa"/>
          </w:tcPr>
          <w:p w14:paraId="745C75FC" w14:textId="77777777" w:rsidR="00B22352" w:rsidRPr="00B22352" w:rsidRDefault="00B22352" w:rsidP="00B22352">
            <w:pPr>
              <w:textboxTightWrap w:val="allLines"/>
              <w:rPr>
                <w:rFonts w:asciiTheme="majorHAnsi" w:hAnsiTheme="majorHAnsi" w:cstheme="majorHAnsi"/>
                <w:b/>
                <w:sz w:val="22"/>
                <w:szCs w:val="22"/>
              </w:rPr>
            </w:pPr>
          </w:p>
        </w:tc>
      </w:tr>
      <w:tr w:rsidR="00B22352" w:rsidRPr="00B22352" w14:paraId="65AE302A" w14:textId="77777777" w:rsidTr="00DD3C37">
        <w:tc>
          <w:tcPr>
            <w:tcW w:w="3256" w:type="dxa"/>
          </w:tcPr>
          <w:p w14:paraId="67F819CD" w14:textId="667A9698" w:rsidR="00B22352" w:rsidRPr="00B22352" w:rsidRDefault="00B22352" w:rsidP="00B22352">
            <w:pPr>
              <w:spacing w:before="240"/>
              <w:rPr>
                <w:rFonts w:asciiTheme="majorHAnsi" w:hAnsiTheme="majorHAnsi" w:cstheme="majorHAnsi"/>
                <w:b/>
                <w:sz w:val="22"/>
                <w:szCs w:val="22"/>
              </w:rPr>
            </w:pPr>
            <w:r w:rsidRPr="00B22352">
              <w:rPr>
                <w:rFonts w:asciiTheme="majorHAnsi" w:hAnsiTheme="majorHAnsi" w:cstheme="majorHAnsi"/>
                <w:b/>
                <w:sz w:val="22"/>
                <w:szCs w:val="22"/>
              </w:rPr>
              <w:t>Quality of data linkage</w:t>
            </w:r>
          </w:p>
        </w:tc>
        <w:tc>
          <w:tcPr>
            <w:tcW w:w="6598" w:type="dxa"/>
          </w:tcPr>
          <w:p w14:paraId="3402ACDC" w14:textId="77777777" w:rsidR="00B22352" w:rsidRPr="00B22352" w:rsidRDefault="00B22352" w:rsidP="00B22352">
            <w:pPr>
              <w:textboxTightWrap w:val="allLines"/>
              <w:rPr>
                <w:rFonts w:asciiTheme="majorHAnsi" w:hAnsiTheme="majorHAnsi" w:cstheme="majorHAnsi"/>
                <w:b/>
                <w:sz w:val="22"/>
                <w:szCs w:val="22"/>
              </w:rPr>
            </w:pPr>
          </w:p>
        </w:tc>
      </w:tr>
      <w:tr w:rsidR="00B22352" w:rsidRPr="00B22352" w14:paraId="1A51935B" w14:textId="77777777" w:rsidTr="00DD3C37">
        <w:tc>
          <w:tcPr>
            <w:tcW w:w="3256" w:type="dxa"/>
          </w:tcPr>
          <w:p w14:paraId="6C9EF124" w14:textId="468ECAA6" w:rsidR="00B22352" w:rsidRPr="00B22352" w:rsidRDefault="00B22352" w:rsidP="00B22352">
            <w:pPr>
              <w:spacing w:before="240"/>
              <w:rPr>
                <w:rFonts w:asciiTheme="majorHAnsi" w:hAnsiTheme="majorHAnsi" w:cstheme="majorHAnsi"/>
                <w:b/>
                <w:sz w:val="22"/>
                <w:szCs w:val="22"/>
              </w:rPr>
            </w:pPr>
            <w:r w:rsidRPr="00B22352">
              <w:rPr>
                <w:rFonts w:asciiTheme="majorHAnsi" w:hAnsiTheme="majorHAnsi" w:cstheme="majorHAnsi"/>
                <w:b/>
                <w:sz w:val="22"/>
                <w:szCs w:val="22"/>
              </w:rPr>
              <w:t>Data fields</w:t>
            </w:r>
          </w:p>
        </w:tc>
        <w:tc>
          <w:tcPr>
            <w:tcW w:w="6598" w:type="dxa"/>
          </w:tcPr>
          <w:p w14:paraId="6F010BCF"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Data fields from HES:</w:t>
            </w:r>
            <w:r w:rsidRPr="00B22352">
              <w:rPr>
                <w:rFonts w:asciiTheme="majorHAnsi" w:hAnsiTheme="majorHAnsi" w:cstheme="majorHAnsi"/>
                <w:sz w:val="22"/>
                <w:szCs w:val="22"/>
              </w:rPr>
              <w:br/>
              <w:t>DIAG_3_01</w:t>
            </w:r>
          </w:p>
          <w:p w14:paraId="162EE54F"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DIAG_4_01</w:t>
            </w:r>
          </w:p>
          <w:p w14:paraId="201FCAC3"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ADMIDATE</w:t>
            </w:r>
          </w:p>
          <w:p w14:paraId="7EB2641E"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ADMIMETH</w:t>
            </w:r>
          </w:p>
          <w:p w14:paraId="1CB7C577"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CAUSE_3</w:t>
            </w:r>
          </w:p>
          <w:p w14:paraId="511F35BB"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CCG_RESPONSIBILITY</w:t>
            </w:r>
          </w:p>
          <w:p w14:paraId="355D160F"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CLASSPAT</w:t>
            </w:r>
          </w:p>
          <w:p w14:paraId="4F241018"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EPIEND</w:t>
            </w:r>
          </w:p>
          <w:p w14:paraId="358A4FF9"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EPIKEY</w:t>
            </w:r>
          </w:p>
          <w:p w14:paraId="162AC279"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EPIORDER</w:t>
            </w:r>
          </w:p>
          <w:p w14:paraId="01736C96"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EPISTAT</w:t>
            </w:r>
          </w:p>
          <w:p w14:paraId="441954B0"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EPITYPE</w:t>
            </w:r>
          </w:p>
          <w:p w14:paraId="1AD2C57F"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SEX</w:t>
            </w:r>
          </w:p>
          <w:p w14:paraId="22EF6B1C"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STARTAGE_CALC</w:t>
            </w:r>
          </w:p>
          <w:p w14:paraId="55ECE012"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CIP_SPELL_ADMIDATE</w:t>
            </w:r>
          </w:p>
          <w:p w14:paraId="7B5CF6A4"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lastRenderedPageBreak/>
              <w:t>CIP_SPELL_ADMIMETH</w:t>
            </w:r>
          </w:p>
          <w:p w14:paraId="386EE531"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CIP_SPELL_ADMISORC</w:t>
            </w:r>
          </w:p>
          <w:p w14:paraId="115B6D22"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CIP_SPELL_DISDATE</w:t>
            </w:r>
          </w:p>
          <w:p w14:paraId="7B766D24" w14:textId="77777777"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CIP_SPELL_DISMETH</w:t>
            </w:r>
          </w:p>
          <w:p w14:paraId="2895EA7D" w14:textId="0945FC56" w:rsidR="00B22352" w:rsidRPr="00B22352" w:rsidRDefault="00B22352" w:rsidP="00B22352">
            <w:pPr>
              <w:textboxTightWrap w:val="allLines"/>
              <w:rPr>
                <w:rFonts w:asciiTheme="majorHAnsi" w:hAnsiTheme="majorHAnsi" w:cstheme="majorHAnsi"/>
                <w:b/>
                <w:sz w:val="22"/>
                <w:szCs w:val="22"/>
              </w:rPr>
            </w:pPr>
            <w:r w:rsidRPr="00B22352">
              <w:rPr>
                <w:rFonts w:asciiTheme="majorHAnsi" w:hAnsiTheme="majorHAnsi" w:cstheme="majorHAnsi"/>
                <w:sz w:val="22"/>
                <w:szCs w:val="22"/>
              </w:rPr>
              <w:t>CIP_SPELL_FIRST_EPISODE</w:t>
            </w:r>
          </w:p>
        </w:tc>
      </w:tr>
      <w:tr w:rsidR="00B22352" w:rsidRPr="00B22352" w14:paraId="23134977" w14:textId="77777777" w:rsidTr="00DD3C37">
        <w:tc>
          <w:tcPr>
            <w:tcW w:w="3256" w:type="dxa"/>
          </w:tcPr>
          <w:p w14:paraId="35F61C2B" w14:textId="77777777" w:rsidR="00B22352" w:rsidRPr="00B22352" w:rsidRDefault="00B22352" w:rsidP="00B22352">
            <w:pPr>
              <w:spacing w:before="240" w:after="0"/>
              <w:ind w:left="34"/>
              <w:rPr>
                <w:rFonts w:asciiTheme="majorHAnsi" w:hAnsiTheme="majorHAnsi" w:cstheme="majorHAnsi"/>
                <w:b/>
                <w:sz w:val="22"/>
                <w:szCs w:val="22"/>
              </w:rPr>
            </w:pPr>
            <w:r w:rsidRPr="00B22352">
              <w:rPr>
                <w:rFonts w:asciiTheme="majorHAnsi" w:hAnsiTheme="majorHAnsi" w:cstheme="majorHAnsi"/>
                <w:b/>
                <w:sz w:val="22"/>
                <w:szCs w:val="22"/>
              </w:rPr>
              <w:lastRenderedPageBreak/>
              <w:t>Data filters</w:t>
            </w:r>
          </w:p>
          <w:p w14:paraId="4111B7A0" w14:textId="77777777" w:rsidR="00B22352" w:rsidRPr="00B22352" w:rsidRDefault="00B22352" w:rsidP="00B22352">
            <w:pPr>
              <w:spacing w:before="240"/>
              <w:rPr>
                <w:rFonts w:asciiTheme="majorHAnsi" w:hAnsiTheme="majorHAnsi" w:cstheme="majorHAnsi"/>
                <w:b/>
                <w:sz w:val="22"/>
                <w:szCs w:val="22"/>
              </w:rPr>
            </w:pPr>
          </w:p>
        </w:tc>
        <w:tc>
          <w:tcPr>
            <w:tcW w:w="6598" w:type="dxa"/>
          </w:tcPr>
          <w:p w14:paraId="3DA37177" w14:textId="77777777" w:rsidR="00B22352" w:rsidRPr="00B22352" w:rsidRDefault="00B22352" w:rsidP="00B22352">
            <w:pPr>
              <w:spacing w:before="240" w:after="0"/>
              <w:rPr>
                <w:rFonts w:asciiTheme="majorHAnsi" w:hAnsiTheme="majorHAnsi" w:cstheme="majorHAnsi"/>
                <w:sz w:val="22"/>
                <w:szCs w:val="22"/>
                <w:u w:val="single"/>
              </w:rPr>
            </w:pPr>
            <w:r w:rsidRPr="00B22352">
              <w:rPr>
                <w:rFonts w:asciiTheme="majorHAnsi" w:hAnsiTheme="majorHAnsi" w:cstheme="majorHAnsi"/>
                <w:sz w:val="22"/>
                <w:szCs w:val="22"/>
                <w:u w:val="single"/>
              </w:rPr>
              <w:t>Episode level filters that are applied to all records:</w:t>
            </w:r>
          </w:p>
          <w:p w14:paraId="4244C5E3"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DIAG_3_01, DIAG_4_01, CAUSE_3</w:t>
            </w:r>
            <w:r w:rsidRPr="00B22352">
              <w:rPr>
                <w:rFonts w:asciiTheme="majorHAnsi" w:hAnsiTheme="majorHAnsi" w:cstheme="majorHAnsi"/>
                <w:sz w:val="22"/>
                <w:szCs w:val="22"/>
              </w:rPr>
              <w:br/>
              <w:t>Conditions: DIAG_3_01 is equal to any of: F10, K70</w:t>
            </w:r>
            <w:r w:rsidRPr="00B22352">
              <w:rPr>
                <w:rFonts w:asciiTheme="majorHAnsi" w:hAnsiTheme="majorHAnsi" w:cstheme="majorHAnsi"/>
                <w:sz w:val="22"/>
                <w:szCs w:val="22"/>
              </w:rPr>
              <w:br/>
              <w:t>OR</w:t>
            </w:r>
            <w:r w:rsidRPr="00B22352">
              <w:rPr>
                <w:rFonts w:asciiTheme="majorHAnsi" w:hAnsiTheme="majorHAnsi" w:cstheme="majorHAnsi"/>
                <w:sz w:val="22"/>
                <w:szCs w:val="22"/>
              </w:rPr>
              <w:br/>
              <w:t>DIAG_4_01 is equal to any of: E24.4, G31.2, G62.1, G72.1, I42.6, K29.2, K85.2, K86.0, Q86.0, R78.0, T51.0, T51.1, T51.9</w:t>
            </w:r>
            <w:r w:rsidRPr="00B22352">
              <w:rPr>
                <w:rFonts w:asciiTheme="majorHAnsi" w:hAnsiTheme="majorHAnsi" w:cstheme="majorHAnsi"/>
                <w:sz w:val="22"/>
                <w:szCs w:val="22"/>
              </w:rPr>
              <w:br/>
              <w:t>OR</w:t>
            </w:r>
            <w:r w:rsidRPr="00B22352">
              <w:rPr>
                <w:rFonts w:asciiTheme="majorHAnsi" w:hAnsiTheme="majorHAnsi" w:cstheme="majorHAnsi"/>
                <w:sz w:val="22"/>
                <w:szCs w:val="22"/>
              </w:rPr>
              <w:br/>
              <w:t>CAUSE_3 is equal to any of: X45, X65, Y15, Y90, Y91</w:t>
            </w:r>
            <w:r w:rsidRPr="00B22352">
              <w:rPr>
                <w:rFonts w:asciiTheme="majorHAnsi" w:hAnsiTheme="majorHAnsi" w:cstheme="majorHAnsi"/>
                <w:sz w:val="22"/>
                <w:szCs w:val="22"/>
              </w:rPr>
              <w:br/>
              <w:t>Rationale: Selects alcoholic-specific conditions</w:t>
            </w:r>
          </w:p>
          <w:p w14:paraId="63685F44"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CCG_RESPONSIBILITY</w:t>
            </w:r>
            <w:r w:rsidRPr="00B22352">
              <w:rPr>
                <w:rFonts w:asciiTheme="majorHAnsi" w:hAnsiTheme="majorHAnsi" w:cstheme="majorHAnsi"/>
                <w:sz w:val="22"/>
                <w:szCs w:val="22"/>
              </w:rPr>
              <w:br/>
              <w:t>Conditions: CCGs in England only</w:t>
            </w:r>
            <w:r w:rsidRPr="00B22352">
              <w:rPr>
                <w:rFonts w:asciiTheme="majorHAnsi" w:hAnsiTheme="majorHAnsi" w:cstheme="majorHAnsi"/>
                <w:sz w:val="22"/>
                <w:szCs w:val="22"/>
              </w:rPr>
              <w:br/>
              <w:t xml:space="preserve">Rationale: Excludes those registered with GPs outside of England Reference file provided at: </w:t>
            </w:r>
            <w:hyperlink r:id="rId11" w:history="1">
              <w:r w:rsidRPr="00B22352">
                <w:rPr>
                  <w:rStyle w:val="Hyperlink"/>
                  <w:rFonts w:asciiTheme="majorHAnsi" w:hAnsiTheme="majorHAnsi" w:cstheme="majorHAnsi"/>
                  <w:color w:val="auto"/>
                  <w:sz w:val="22"/>
                  <w:szCs w:val="22"/>
                </w:rPr>
                <w:t>http://digital.nhs.uk/ccgois</w:t>
              </w:r>
            </w:hyperlink>
          </w:p>
          <w:p w14:paraId="361BB0AF"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CLASSPAT</w:t>
            </w:r>
            <w:r w:rsidRPr="00B22352">
              <w:rPr>
                <w:rFonts w:asciiTheme="majorHAnsi" w:hAnsiTheme="majorHAnsi" w:cstheme="majorHAnsi"/>
                <w:sz w:val="22"/>
                <w:szCs w:val="22"/>
              </w:rPr>
              <w:br/>
              <w:t>Conditions: Is equal to 1 or 2</w:t>
            </w:r>
            <w:r w:rsidRPr="00B22352">
              <w:rPr>
                <w:rFonts w:asciiTheme="majorHAnsi" w:hAnsiTheme="majorHAnsi" w:cstheme="majorHAnsi"/>
                <w:sz w:val="22"/>
                <w:szCs w:val="22"/>
              </w:rPr>
              <w:br/>
              <w:t>Rationale: Selects ordinary cases and day case admissions only, excluding regular day/night attenders, maternity and births</w:t>
            </w:r>
          </w:p>
          <w:p w14:paraId="5F560283"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EPIORDER</w:t>
            </w:r>
            <w:r w:rsidRPr="00B22352">
              <w:rPr>
                <w:rFonts w:asciiTheme="majorHAnsi" w:hAnsiTheme="majorHAnsi" w:cstheme="majorHAnsi"/>
                <w:sz w:val="22"/>
                <w:szCs w:val="22"/>
              </w:rPr>
              <w:br/>
              <w:t>Conditions: Is equal to 1</w:t>
            </w:r>
            <w:r w:rsidRPr="00B22352">
              <w:rPr>
                <w:rFonts w:asciiTheme="majorHAnsi" w:hAnsiTheme="majorHAnsi" w:cstheme="majorHAnsi"/>
                <w:sz w:val="22"/>
                <w:szCs w:val="22"/>
              </w:rPr>
              <w:br/>
              <w:t>Rationale: Selects the first episode in an admission episode</w:t>
            </w:r>
          </w:p>
          <w:p w14:paraId="01AB4CBC"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EPISTAT</w:t>
            </w:r>
            <w:r w:rsidRPr="00B22352">
              <w:rPr>
                <w:rFonts w:asciiTheme="majorHAnsi" w:hAnsiTheme="majorHAnsi" w:cstheme="majorHAnsi"/>
                <w:sz w:val="22"/>
                <w:szCs w:val="22"/>
              </w:rPr>
              <w:br/>
              <w:t>Conditions: Is equal to 3</w:t>
            </w:r>
            <w:r w:rsidRPr="00B22352">
              <w:rPr>
                <w:rFonts w:asciiTheme="majorHAnsi" w:hAnsiTheme="majorHAnsi" w:cstheme="majorHAnsi"/>
                <w:sz w:val="22"/>
                <w:szCs w:val="22"/>
              </w:rPr>
              <w:br/>
              <w:t>Rationale: Selects finished episodes only</w:t>
            </w:r>
          </w:p>
          <w:p w14:paraId="23AB866A"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EPITYPE</w:t>
            </w:r>
            <w:r w:rsidRPr="00B22352">
              <w:rPr>
                <w:rFonts w:asciiTheme="majorHAnsi" w:hAnsiTheme="majorHAnsi" w:cstheme="majorHAnsi"/>
                <w:sz w:val="22"/>
                <w:szCs w:val="22"/>
              </w:rPr>
              <w:br/>
              <w:t>Conditions: Is equal to 1</w:t>
            </w:r>
            <w:r w:rsidRPr="00B22352">
              <w:rPr>
                <w:rFonts w:asciiTheme="majorHAnsi" w:hAnsiTheme="majorHAnsi" w:cstheme="majorHAnsi"/>
                <w:sz w:val="22"/>
                <w:szCs w:val="22"/>
              </w:rPr>
              <w:br/>
              <w:t>Rationale: Selects general episodes only, excluding delivery and birth related episodes</w:t>
            </w:r>
          </w:p>
          <w:p w14:paraId="06505A3E"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SEX</w:t>
            </w:r>
            <w:r w:rsidRPr="00B22352">
              <w:rPr>
                <w:rFonts w:asciiTheme="majorHAnsi" w:hAnsiTheme="majorHAnsi" w:cstheme="majorHAnsi"/>
                <w:sz w:val="22"/>
                <w:szCs w:val="22"/>
              </w:rPr>
              <w:br/>
              <w:t>Conditions: Is equal to 1 or 2</w:t>
            </w:r>
            <w:r w:rsidRPr="00B22352">
              <w:rPr>
                <w:rFonts w:asciiTheme="majorHAnsi" w:hAnsiTheme="majorHAnsi" w:cstheme="majorHAnsi"/>
                <w:sz w:val="22"/>
                <w:szCs w:val="22"/>
              </w:rPr>
              <w:br/>
              <w:t>Rationale: Selects valid sex</w:t>
            </w:r>
          </w:p>
          <w:p w14:paraId="53A2BCD0"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STARTAGE_CALC</w:t>
            </w:r>
            <w:r w:rsidRPr="00B22352">
              <w:rPr>
                <w:rFonts w:asciiTheme="majorHAnsi" w:hAnsiTheme="majorHAnsi" w:cstheme="majorHAnsi"/>
                <w:sz w:val="22"/>
                <w:szCs w:val="22"/>
              </w:rPr>
              <w:br/>
              <w:t>Conditions: Is between 0 and 120</w:t>
            </w:r>
            <w:r w:rsidRPr="00B22352">
              <w:rPr>
                <w:rFonts w:asciiTheme="majorHAnsi" w:hAnsiTheme="majorHAnsi" w:cstheme="majorHAnsi"/>
                <w:sz w:val="22"/>
                <w:szCs w:val="22"/>
              </w:rPr>
              <w:br/>
              <w:t>Rationale: Selects valid ages</w:t>
            </w:r>
          </w:p>
          <w:p w14:paraId="25324B8F"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EPIEND</w:t>
            </w:r>
            <w:r w:rsidRPr="00B22352">
              <w:rPr>
                <w:rFonts w:asciiTheme="majorHAnsi" w:hAnsiTheme="majorHAnsi" w:cstheme="majorHAnsi"/>
                <w:sz w:val="22"/>
                <w:szCs w:val="22"/>
              </w:rPr>
              <w:br/>
              <w:t xml:space="preserve">Conditions: Is limited to records within the </w:t>
            </w:r>
            <w:proofErr w:type="gramStart"/>
            <w:r w:rsidRPr="00B22352">
              <w:rPr>
                <w:rFonts w:asciiTheme="majorHAnsi" w:hAnsiTheme="majorHAnsi" w:cstheme="majorHAnsi"/>
                <w:sz w:val="22"/>
                <w:szCs w:val="22"/>
              </w:rPr>
              <w:t>36 month</w:t>
            </w:r>
            <w:proofErr w:type="gramEnd"/>
            <w:r w:rsidRPr="00B22352">
              <w:rPr>
                <w:rFonts w:asciiTheme="majorHAnsi" w:hAnsiTheme="majorHAnsi" w:cstheme="majorHAnsi"/>
                <w:sz w:val="22"/>
                <w:szCs w:val="22"/>
              </w:rPr>
              <w:t xml:space="preserve"> reporting period equal to the dates defined in 14</w:t>
            </w:r>
            <w:r w:rsidRPr="00B22352">
              <w:rPr>
                <w:rFonts w:asciiTheme="majorHAnsi" w:hAnsiTheme="majorHAnsi" w:cstheme="majorHAnsi"/>
                <w:sz w:val="22"/>
                <w:szCs w:val="22"/>
              </w:rPr>
              <w:br/>
              <w:t>Rationale: Selects index admission episodes that ended in the 3 year reporting period</w:t>
            </w:r>
            <w:r w:rsidRPr="00B22352">
              <w:rPr>
                <w:rFonts w:asciiTheme="majorHAnsi" w:hAnsiTheme="majorHAnsi" w:cstheme="majorHAnsi"/>
                <w:sz w:val="22"/>
                <w:szCs w:val="22"/>
              </w:rPr>
              <w:br/>
            </w:r>
            <w:r w:rsidRPr="00B22352">
              <w:rPr>
                <w:rFonts w:asciiTheme="majorHAnsi" w:hAnsiTheme="majorHAnsi" w:cstheme="majorHAnsi"/>
                <w:sz w:val="22"/>
                <w:szCs w:val="22"/>
              </w:rPr>
              <w:lastRenderedPageBreak/>
              <w:br/>
              <w:t>OR</w:t>
            </w:r>
            <w:r w:rsidRPr="00B22352">
              <w:rPr>
                <w:rFonts w:asciiTheme="majorHAnsi" w:hAnsiTheme="majorHAnsi" w:cstheme="majorHAnsi"/>
                <w:sz w:val="22"/>
                <w:szCs w:val="22"/>
              </w:rPr>
              <w:br/>
            </w:r>
          </w:p>
          <w:p w14:paraId="1589782E"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ADMIDATE</w:t>
            </w:r>
            <w:r w:rsidRPr="00B22352">
              <w:rPr>
                <w:rFonts w:asciiTheme="majorHAnsi" w:hAnsiTheme="majorHAnsi" w:cstheme="majorHAnsi"/>
                <w:sz w:val="22"/>
                <w:szCs w:val="22"/>
              </w:rPr>
              <w:br/>
              <w:t>Conditions: Is equal to the EPIEND filter detailed in 9, plus an additional 30 days.</w:t>
            </w:r>
            <w:r w:rsidRPr="00B22352">
              <w:rPr>
                <w:rFonts w:asciiTheme="majorHAnsi" w:hAnsiTheme="majorHAnsi" w:cstheme="majorHAnsi"/>
                <w:sz w:val="22"/>
                <w:szCs w:val="22"/>
              </w:rPr>
              <w:br/>
              <w:t>Rationale: Allows readmissions that relate to an index admission at the end of the reference period to be included in the data. These records may not appear in the denominator due to the filter on CIP_SPELL_DISDATE detailed in 14.</w:t>
            </w:r>
          </w:p>
          <w:p w14:paraId="55D43E46" w14:textId="77777777" w:rsidR="00B22352" w:rsidRPr="00B22352" w:rsidRDefault="00B22352" w:rsidP="00B22352">
            <w:pPr>
              <w:spacing w:before="240" w:after="0"/>
              <w:ind w:left="360"/>
              <w:rPr>
                <w:rFonts w:asciiTheme="majorHAnsi" w:hAnsiTheme="majorHAnsi" w:cstheme="majorHAnsi"/>
                <w:sz w:val="22"/>
                <w:szCs w:val="22"/>
                <w:u w:val="single"/>
              </w:rPr>
            </w:pPr>
            <w:r w:rsidRPr="00B22352">
              <w:rPr>
                <w:rFonts w:asciiTheme="majorHAnsi" w:hAnsiTheme="majorHAnsi" w:cstheme="majorHAnsi"/>
                <w:sz w:val="22"/>
                <w:szCs w:val="22"/>
                <w:u w:val="single"/>
              </w:rPr>
              <w:t>The Episode level filters are combined with the following Spell level filters:</w:t>
            </w:r>
          </w:p>
          <w:p w14:paraId="4A65DACC"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CIP_SPELL_FIRST_EPISODE</w:t>
            </w:r>
            <w:r w:rsidRPr="00B22352">
              <w:rPr>
                <w:rFonts w:asciiTheme="majorHAnsi" w:hAnsiTheme="majorHAnsi" w:cstheme="majorHAnsi"/>
                <w:sz w:val="22"/>
                <w:szCs w:val="22"/>
              </w:rPr>
              <w:br/>
              <w:t>Conditions: Is equal to ‘Y’</w:t>
            </w:r>
            <w:r w:rsidRPr="00B22352">
              <w:rPr>
                <w:rFonts w:asciiTheme="majorHAnsi" w:hAnsiTheme="majorHAnsi" w:cstheme="majorHAnsi"/>
                <w:sz w:val="22"/>
                <w:szCs w:val="22"/>
              </w:rPr>
              <w:br/>
              <w:t>Rationale: Selects the first episode in a spell</w:t>
            </w:r>
          </w:p>
          <w:p w14:paraId="40879602"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CIP_SPELL_ADMISORC</w:t>
            </w:r>
            <w:r w:rsidRPr="00B22352">
              <w:rPr>
                <w:rFonts w:asciiTheme="majorHAnsi" w:hAnsiTheme="majorHAnsi" w:cstheme="majorHAnsi"/>
                <w:sz w:val="22"/>
                <w:szCs w:val="22"/>
              </w:rPr>
              <w:br/>
              <w:t>Conditions: Is not equal to any of the following: 51, 52, 53</w:t>
            </w:r>
            <w:r w:rsidRPr="00B22352">
              <w:rPr>
                <w:rFonts w:asciiTheme="majorHAnsi" w:hAnsiTheme="majorHAnsi" w:cstheme="majorHAnsi"/>
                <w:sz w:val="22"/>
                <w:szCs w:val="22"/>
              </w:rPr>
              <w:br/>
              <w:t>Rationale: Excludes provider transfers</w:t>
            </w:r>
          </w:p>
          <w:p w14:paraId="2C9292A9"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CIP_SPELL_DISDATE</w:t>
            </w:r>
            <w:r w:rsidRPr="00B22352">
              <w:rPr>
                <w:rFonts w:asciiTheme="majorHAnsi" w:hAnsiTheme="majorHAnsi" w:cstheme="majorHAnsi"/>
                <w:sz w:val="22"/>
                <w:szCs w:val="22"/>
              </w:rPr>
              <w:br/>
              <w:t>Conditions: Is greater than or equal to CIP_SPELL_ADMIDATE</w:t>
            </w:r>
            <w:r w:rsidRPr="00B22352">
              <w:rPr>
                <w:rFonts w:asciiTheme="majorHAnsi" w:hAnsiTheme="majorHAnsi" w:cstheme="majorHAnsi"/>
                <w:sz w:val="22"/>
                <w:szCs w:val="22"/>
              </w:rPr>
              <w:br/>
              <w:t>Rationale: Data quality filter</w:t>
            </w:r>
          </w:p>
          <w:p w14:paraId="0E111F43" w14:textId="77777777" w:rsidR="00B22352" w:rsidRPr="00B22352" w:rsidRDefault="00B22352" w:rsidP="00B22352">
            <w:pPr>
              <w:spacing w:before="240" w:after="0"/>
              <w:rPr>
                <w:rFonts w:asciiTheme="majorHAnsi" w:hAnsiTheme="majorHAnsi" w:cstheme="majorHAnsi"/>
                <w:sz w:val="22"/>
                <w:szCs w:val="22"/>
                <w:u w:val="single"/>
              </w:rPr>
            </w:pPr>
            <w:r w:rsidRPr="00B22352">
              <w:rPr>
                <w:rFonts w:asciiTheme="majorHAnsi" w:hAnsiTheme="majorHAnsi" w:cstheme="majorHAnsi"/>
                <w:sz w:val="22"/>
                <w:szCs w:val="22"/>
                <w:u w:val="single"/>
              </w:rPr>
              <w:t>Denominator (index admission) filters:</w:t>
            </w:r>
          </w:p>
          <w:p w14:paraId="41E8F3DA"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CIP_SPELL_DISDATE</w:t>
            </w:r>
            <w:r w:rsidRPr="00B22352">
              <w:rPr>
                <w:rFonts w:asciiTheme="majorHAnsi" w:hAnsiTheme="majorHAnsi" w:cstheme="majorHAnsi"/>
                <w:sz w:val="22"/>
                <w:szCs w:val="22"/>
              </w:rPr>
              <w:br/>
              <w:t xml:space="preserve">Conditions: Is limited to records within the </w:t>
            </w:r>
            <w:proofErr w:type="gramStart"/>
            <w:r w:rsidRPr="00B22352">
              <w:rPr>
                <w:rFonts w:asciiTheme="majorHAnsi" w:hAnsiTheme="majorHAnsi" w:cstheme="majorHAnsi"/>
                <w:sz w:val="22"/>
                <w:szCs w:val="22"/>
              </w:rPr>
              <w:t>36 month</w:t>
            </w:r>
            <w:proofErr w:type="gramEnd"/>
            <w:r w:rsidRPr="00B22352">
              <w:rPr>
                <w:rFonts w:asciiTheme="majorHAnsi" w:hAnsiTheme="majorHAnsi" w:cstheme="majorHAnsi"/>
                <w:sz w:val="22"/>
                <w:szCs w:val="22"/>
              </w:rPr>
              <w:t xml:space="preserve"> reporting period equal to the dates defined in 9</w:t>
            </w:r>
            <w:r w:rsidRPr="00B22352">
              <w:rPr>
                <w:rFonts w:asciiTheme="majorHAnsi" w:hAnsiTheme="majorHAnsi" w:cstheme="majorHAnsi"/>
                <w:sz w:val="22"/>
                <w:szCs w:val="22"/>
              </w:rPr>
              <w:br/>
              <w:t>Rationale: Selected relevant records for the denominator.</w:t>
            </w:r>
          </w:p>
          <w:p w14:paraId="20DFD9F9"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CIP_SPELL_DISMETH</w:t>
            </w:r>
            <w:r w:rsidRPr="00B22352">
              <w:rPr>
                <w:rFonts w:asciiTheme="majorHAnsi" w:hAnsiTheme="majorHAnsi" w:cstheme="majorHAnsi"/>
                <w:sz w:val="22"/>
                <w:szCs w:val="22"/>
              </w:rPr>
              <w:br/>
              <w:t>Conditions: Is not equal to any of the following: 4, 5</w:t>
            </w:r>
            <w:r w:rsidRPr="00B22352">
              <w:rPr>
                <w:rFonts w:asciiTheme="majorHAnsi" w:hAnsiTheme="majorHAnsi" w:cstheme="majorHAnsi"/>
                <w:sz w:val="22"/>
                <w:szCs w:val="22"/>
              </w:rPr>
              <w:br/>
              <w:t>Rationale: Excludes those discharged as dead and stillbirth</w:t>
            </w:r>
          </w:p>
          <w:p w14:paraId="46B9EEE3" w14:textId="77777777" w:rsidR="00B22352" w:rsidRPr="00B22352" w:rsidRDefault="00B22352" w:rsidP="00B22352">
            <w:pPr>
              <w:spacing w:before="240" w:after="0"/>
              <w:rPr>
                <w:rFonts w:asciiTheme="majorHAnsi" w:hAnsiTheme="majorHAnsi" w:cstheme="majorHAnsi"/>
                <w:sz w:val="22"/>
                <w:szCs w:val="22"/>
                <w:u w:val="single"/>
              </w:rPr>
            </w:pPr>
            <w:r w:rsidRPr="00B22352">
              <w:rPr>
                <w:rFonts w:asciiTheme="majorHAnsi" w:hAnsiTheme="majorHAnsi" w:cstheme="majorHAnsi"/>
                <w:sz w:val="22"/>
                <w:szCs w:val="22"/>
                <w:u w:val="single"/>
              </w:rPr>
              <w:t>Numerator filters:</w:t>
            </w:r>
          </w:p>
          <w:p w14:paraId="660E549A"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CIP_SPELL_DISDATE and CIP_SPELL_ADMIDATE</w:t>
            </w:r>
            <w:r w:rsidRPr="00B22352">
              <w:rPr>
                <w:rFonts w:asciiTheme="majorHAnsi" w:hAnsiTheme="majorHAnsi" w:cstheme="majorHAnsi"/>
                <w:sz w:val="22"/>
                <w:szCs w:val="22"/>
              </w:rPr>
              <w:br/>
              <w:t>Conditions: Difference between CIP_SPELL_DISDATE (index admission) and CIP_SPELL_ADMIDATE (readmission) is between 0 and 29 days</w:t>
            </w:r>
            <w:r w:rsidRPr="00B22352">
              <w:rPr>
                <w:rFonts w:asciiTheme="majorHAnsi" w:hAnsiTheme="majorHAnsi" w:cstheme="majorHAnsi"/>
                <w:sz w:val="22"/>
                <w:szCs w:val="22"/>
              </w:rPr>
              <w:br/>
              <w:t>Rationale: Date difference between admission and discharge from previous admission is 30 days or less</w:t>
            </w:r>
          </w:p>
          <w:p w14:paraId="4ED0857D"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CIP_SPELL_ADMIMETH</w:t>
            </w:r>
            <w:r w:rsidRPr="00B22352">
              <w:rPr>
                <w:rFonts w:asciiTheme="majorHAnsi" w:hAnsiTheme="majorHAnsi" w:cstheme="majorHAnsi"/>
                <w:sz w:val="22"/>
                <w:szCs w:val="22"/>
              </w:rPr>
              <w:br/>
              <w:t>Conditions: Is equal to 21, 22, 23, 24, 25, 28, 2A, 2B, 2C, 2D</w:t>
            </w:r>
            <w:r w:rsidRPr="00B22352">
              <w:rPr>
                <w:rFonts w:asciiTheme="majorHAnsi" w:hAnsiTheme="majorHAnsi" w:cstheme="majorHAnsi"/>
                <w:sz w:val="22"/>
                <w:szCs w:val="22"/>
              </w:rPr>
              <w:br/>
              <w:t>Rationale: Selects emergency readmissions only</w:t>
            </w:r>
          </w:p>
          <w:p w14:paraId="309DFBAE"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lastRenderedPageBreak/>
              <w:t>Field Name: CLASSPAT</w:t>
            </w:r>
            <w:r w:rsidRPr="00B22352">
              <w:rPr>
                <w:rFonts w:asciiTheme="majorHAnsi" w:hAnsiTheme="majorHAnsi" w:cstheme="majorHAnsi"/>
                <w:sz w:val="22"/>
                <w:szCs w:val="22"/>
              </w:rPr>
              <w:br/>
              <w:t>Conditions: Is equal to 1</w:t>
            </w:r>
            <w:r w:rsidRPr="00B22352">
              <w:rPr>
                <w:rFonts w:asciiTheme="majorHAnsi" w:hAnsiTheme="majorHAnsi" w:cstheme="majorHAnsi"/>
                <w:sz w:val="22"/>
                <w:szCs w:val="22"/>
              </w:rPr>
              <w:br/>
              <w:t>Rationale: Selects ordinary cases only for emergency readmissions</w:t>
            </w:r>
          </w:p>
          <w:p w14:paraId="37CD11EF" w14:textId="77777777" w:rsidR="00B22352" w:rsidRPr="00B22352" w:rsidRDefault="00B22352" w:rsidP="00B22352">
            <w:pPr>
              <w:pStyle w:val="ListParagraph"/>
              <w:numPr>
                <w:ilvl w:val="0"/>
                <w:numId w:val="6"/>
              </w:numPr>
              <w:spacing w:before="240" w:after="0"/>
              <w:rPr>
                <w:rFonts w:asciiTheme="majorHAnsi" w:hAnsiTheme="majorHAnsi" w:cstheme="majorHAnsi"/>
                <w:sz w:val="22"/>
                <w:szCs w:val="22"/>
              </w:rPr>
            </w:pPr>
            <w:r w:rsidRPr="00B22352">
              <w:rPr>
                <w:rFonts w:asciiTheme="majorHAnsi" w:hAnsiTheme="majorHAnsi" w:cstheme="majorHAnsi"/>
                <w:sz w:val="22"/>
                <w:szCs w:val="22"/>
              </w:rPr>
              <w:t>Field Name: PSEUDO_HESID</w:t>
            </w:r>
            <w:r w:rsidRPr="00B22352">
              <w:rPr>
                <w:rFonts w:asciiTheme="majorHAnsi" w:hAnsiTheme="majorHAnsi" w:cstheme="majorHAnsi"/>
                <w:sz w:val="22"/>
                <w:szCs w:val="22"/>
              </w:rPr>
              <w:br/>
              <w:t>Conditions: Is equal to the PSEUDO_HESID in the denominator record</w:t>
            </w:r>
            <w:r w:rsidRPr="00B22352">
              <w:rPr>
                <w:rFonts w:asciiTheme="majorHAnsi" w:hAnsiTheme="majorHAnsi" w:cstheme="majorHAnsi"/>
                <w:sz w:val="22"/>
                <w:szCs w:val="22"/>
              </w:rPr>
              <w:br/>
              <w:t>Rationale: Ensures that the denominator and numerators belong to the same person</w:t>
            </w:r>
          </w:p>
          <w:p w14:paraId="5135E1DA" w14:textId="77777777" w:rsidR="00B22352" w:rsidRPr="00B22352" w:rsidRDefault="00B22352" w:rsidP="00B22352">
            <w:pPr>
              <w:spacing w:before="240" w:after="0"/>
              <w:rPr>
                <w:rFonts w:asciiTheme="majorHAnsi" w:hAnsiTheme="majorHAnsi" w:cstheme="majorHAnsi"/>
                <w:sz w:val="22"/>
                <w:szCs w:val="22"/>
              </w:rPr>
            </w:pPr>
            <w:r w:rsidRPr="00B22352">
              <w:rPr>
                <w:rFonts w:asciiTheme="majorHAnsi" w:hAnsiTheme="majorHAnsi" w:cstheme="majorHAnsi"/>
                <w:sz w:val="22"/>
                <w:szCs w:val="22"/>
              </w:rPr>
              <w:t>Records that meet the criteria for inclusion through filters 1-13 are ordered by PSEUDO_HESID, CIP_SPELL_ADMIDATE, CIP_SPELL_DISDATE and EPIKEY.</w:t>
            </w:r>
          </w:p>
          <w:p w14:paraId="5FBE5016" w14:textId="1B2654D8" w:rsidR="00B22352" w:rsidRPr="00B22352" w:rsidRDefault="00B22352" w:rsidP="00B22352">
            <w:pPr>
              <w:autoSpaceDE w:val="0"/>
              <w:autoSpaceDN w:val="0"/>
              <w:adjustRightInd w:val="0"/>
              <w:spacing w:after="0"/>
              <w:textboxTightWrap w:val="none"/>
              <w:rPr>
                <w:rFonts w:asciiTheme="majorHAnsi" w:hAnsiTheme="majorHAnsi" w:cstheme="majorHAnsi"/>
                <w:sz w:val="22"/>
                <w:szCs w:val="22"/>
              </w:rPr>
            </w:pPr>
            <w:r w:rsidRPr="00B22352">
              <w:rPr>
                <w:rFonts w:asciiTheme="majorHAnsi" w:hAnsiTheme="majorHAnsi" w:cstheme="majorHAnsi"/>
                <w:sz w:val="22"/>
                <w:szCs w:val="22"/>
              </w:rPr>
              <w:t>These records are tested to determine whether they meet the criteria for inclusion in the denominator (14-15). Where this is true, the next record in the ordered list is tested to determine whether it meets the criteria for inclusion in the numerator (16-19).</w:t>
            </w:r>
          </w:p>
        </w:tc>
      </w:tr>
      <w:tr w:rsidR="00B22352" w:rsidRPr="00B22352" w14:paraId="3FAA2CB9" w14:textId="77777777" w:rsidTr="00DD3C37">
        <w:tc>
          <w:tcPr>
            <w:tcW w:w="3256" w:type="dxa"/>
          </w:tcPr>
          <w:p w14:paraId="7E829BC8" w14:textId="77777777"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lastRenderedPageBreak/>
              <w:t xml:space="preserve">Justifications of inclusions and exclusions </w:t>
            </w:r>
          </w:p>
          <w:p w14:paraId="56C130AB" w14:textId="739F3B0B" w:rsidR="00B22352" w:rsidRPr="00B22352" w:rsidRDefault="00B22352" w:rsidP="00B22352">
            <w:pPr>
              <w:spacing w:before="240" w:after="0"/>
              <w:ind w:left="34"/>
              <w:rPr>
                <w:rFonts w:asciiTheme="majorHAnsi" w:hAnsiTheme="majorHAnsi" w:cstheme="majorHAnsi"/>
                <w:b/>
                <w:sz w:val="22"/>
                <w:szCs w:val="22"/>
              </w:rPr>
            </w:pPr>
            <w:r w:rsidRPr="00B22352">
              <w:rPr>
                <w:rFonts w:asciiTheme="majorHAnsi" w:hAnsiTheme="majorHAnsi" w:cstheme="majorHAnsi"/>
                <w:sz w:val="22"/>
                <w:szCs w:val="22"/>
              </w:rPr>
              <w:t>and how these adhere to standard definitions</w:t>
            </w:r>
          </w:p>
        </w:tc>
        <w:tc>
          <w:tcPr>
            <w:tcW w:w="6598" w:type="dxa"/>
          </w:tcPr>
          <w:p w14:paraId="4C7500BD" w14:textId="3EA90AB5" w:rsidR="00B22352" w:rsidRPr="00B22352" w:rsidRDefault="00B22352" w:rsidP="00B22352">
            <w:pPr>
              <w:spacing w:before="240" w:after="0"/>
              <w:rPr>
                <w:rFonts w:asciiTheme="majorHAnsi" w:hAnsiTheme="majorHAnsi" w:cstheme="majorHAnsi"/>
                <w:sz w:val="22"/>
                <w:szCs w:val="22"/>
                <w:u w:val="single"/>
              </w:rPr>
            </w:pPr>
            <w:r w:rsidRPr="00B22352">
              <w:rPr>
                <w:rFonts w:asciiTheme="majorHAnsi" w:hAnsiTheme="majorHAnsi" w:cstheme="majorHAnsi"/>
                <w:sz w:val="22"/>
                <w:szCs w:val="22"/>
              </w:rPr>
              <w:t>Rationales provided above</w:t>
            </w:r>
          </w:p>
        </w:tc>
      </w:tr>
      <w:tr w:rsidR="00B22352" w:rsidRPr="00B22352" w14:paraId="32611D78" w14:textId="77777777" w:rsidTr="00DD3C37">
        <w:tc>
          <w:tcPr>
            <w:tcW w:w="3256" w:type="dxa"/>
          </w:tcPr>
          <w:p w14:paraId="259E0B40" w14:textId="52B457EA"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Data processing</w:t>
            </w:r>
          </w:p>
        </w:tc>
        <w:tc>
          <w:tcPr>
            <w:tcW w:w="6598" w:type="dxa"/>
          </w:tcPr>
          <w:p w14:paraId="3B226A9F" w14:textId="77777777" w:rsidR="00B22352" w:rsidRPr="00B22352" w:rsidRDefault="00B22352" w:rsidP="00B22352">
            <w:pPr>
              <w:spacing w:before="240" w:after="0"/>
              <w:rPr>
                <w:rFonts w:asciiTheme="majorHAnsi" w:hAnsiTheme="majorHAnsi" w:cstheme="majorHAnsi"/>
                <w:sz w:val="22"/>
                <w:szCs w:val="22"/>
              </w:rPr>
            </w:pPr>
          </w:p>
        </w:tc>
      </w:tr>
      <w:tr w:rsidR="00B22352" w:rsidRPr="00B22352" w14:paraId="554E17F0" w14:textId="77777777" w:rsidTr="00DD3C37">
        <w:tc>
          <w:tcPr>
            <w:tcW w:w="3256" w:type="dxa"/>
          </w:tcPr>
          <w:p w14:paraId="03EEFCB1" w14:textId="7D3B9E05"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Numerator</w:t>
            </w:r>
          </w:p>
        </w:tc>
        <w:tc>
          <w:tcPr>
            <w:tcW w:w="6598" w:type="dxa"/>
          </w:tcPr>
          <w:p w14:paraId="0260C40F" w14:textId="732A3228" w:rsidR="00B22352" w:rsidRPr="00B22352" w:rsidRDefault="00B22352" w:rsidP="00B22352">
            <w:pPr>
              <w:spacing w:before="240" w:after="0"/>
              <w:rPr>
                <w:rFonts w:asciiTheme="majorHAnsi" w:hAnsiTheme="majorHAnsi" w:cstheme="majorHAnsi"/>
                <w:sz w:val="22"/>
                <w:szCs w:val="22"/>
              </w:rPr>
            </w:pPr>
            <w:r w:rsidRPr="00B22352">
              <w:rPr>
                <w:rFonts w:asciiTheme="majorHAnsi" w:hAnsiTheme="majorHAnsi" w:cstheme="majorHAnsi"/>
                <w:sz w:val="22"/>
                <w:szCs w:val="22"/>
              </w:rPr>
              <w:t>Of the denominator, the number of emergency readmissions to hospital where the first episode contains a primary diagnosis or an external cause code of an alcohol-specific condition, within 30 days of the previous discharge date.</w:t>
            </w:r>
          </w:p>
        </w:tc>
      </w:tr>
      <w:tr w:rsidR="00B22352" w:rsidRPr="00B22352" w14:paraId="6656520C" w14:textId="77777777" w:rsidTr="00DD3C37">
        <w:tc>
          <w:tcPr>
            <w:tcW w:w="3256" w:type="dxa"/>
          </w:tcPr>
          <w:p w14:paraId="1A66EC4F" w14:textId="1896822F"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Denominator</w:t>
            </w:r>
          </w:p>
        </w:tc>
        <w:tc>
          <w:tcPr>
            <w:tcW w:w="6598" w:type="dxa"/>
          </w:tcPr>
          <w:p w14:paraId="79845FA6" w14:textId="610D0729" w:rsidR="00B22352" w:rsidRPr="00B22352" w:rsidRDefault="00B22352" w:rsidP="00B22352">
            <w:pPr>
              <w:spacing w:before="240" w:after="0"/>
              <w:rPr>
                <w:rFonts w:asciiTheme="majorHAnsi" w:hAnsiTheme="majorHAnsi" w:cstheme="majorHAnsi"/>
                <w:sz w:val="22"/>
                <w:szCs w:val="22"/>
              </w:rPr>
            </w:pPr>
            <w:r w:rsidRPr="00B22352">
              <w:rPr>
                <w:rFonts w:asciiTheme="majorHAnsi" w:hAnsiTheme="majorHAnsi" w:cstheme="majorHAnsi"/>
                <w:sz w:val="22"/>
                <w:szCs w:val="22"/>
              </w:rPr>
              <w:t xml:space="preserve">The number of Continuous </w:t>
            </w:r>
            <w:proofErr w:type="gramStart"/>
            <w:r w:rsidRPr="00B22352">
              <w:rPr>
                <w:rFonts w:asciiTheme="majorHAnsi" w:hAnsiTheme="majorHAnsi" w:cstheme="majorHAnsi"/>
                <w:sz w:val="22"/>
                <w:szCs w:val="22"/>
              </w:rPr>
              <w:t>In</w:t>
            </w:r>
            <w:proofErr w:type="gramEnd"/>
            <w:r w:rsidRPr="00B22352">
              <w:rPr>
                <w:rFonts w:asciiTheme="majorHAnsi" w:hAnsiTheme="majorHAnsi" w:cstheme="majorHAnsi"/>
                <w:sz w:val="22"/>
                <w:szCs w:val="22"/>
              </w:rPr>
              <w:t xml:space="preserve"> Patient (CIP) spell admissions where the first episode contains a primary diagnosis or an external cause code of an alcohol-specific condition (see Appendix 1 for details of ICD-10 codes).</w:t>
            </w:r>
          </w:p>
        </w:tc>
      </w:tr>
      <w:tr w:rsidR="00B22352" w:rsidRPr="00B22352" w14:paraId="1FA0924C" w14:textId="77777777" w:rsidTr="00DD3C37">
        <w:tc>
          <w:tcPr>
            <w:tcW w:w="3256" w:type="dxa"/>
          </w:tcPr>
          <w:p w14:paraId="58F455E4" w14:textId="6E193C22"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Computation</w:t>
            </w:r>
          </w:p>
        </w:tc>
        <w:tc>
          <w:tcPr>
            <w:tcW w:w="6598" w:type="dxa"/>
          </w:tcPr>
          <w:p w14:paraId="309001C4" w14:textId="5924CBFA" w:rsidR="00B22352" w:rsidRPr="00B22352" w:rsidRDefault="00B22352" w:rsidP="00B22352">
            <w:pPr>
              <w:spacing w:before="240" w:after="0"/>
              <w:rPr>
                <w:rFonts w:asciiTheme="majorHAnsi" w:hAnsiTheme="majorHAnsi" w:cstheme="majorHAnsi"/>
                <w:sz w:val="22"/>
                <w:szCs w:val="22"/>
              </w:rPr>
            </w:pPr>
            <w:r w:rsidRPr="00B22352">
              <w:rPr>
                <w:rFonts w:asciiTheme="majorHAnsi" w:hAnsiTheme="majorHAnsi" w:cstheme="majorHAnsi"/>
                <w:sz w:val="22"/>
                <w:szCs w:val="22"/>
              </w:rPr>
              <w:t>This indicator is calculated as a ratio indirectly standardised by age and sex.</w:t>
            </w:r>
          </w:p>
        </w:tc>
      </w:tr>
      <w:tr w:rsidR="00B22352" w:rsidRPr="00B22352" w14:paraId="0307C64F" w14:textId="77777777" w:rsidTr="00DD3C37">
        <w:tc>
          <w:tcPr>
            <w:tcW w:w="3256" w:type="dxa"/>
          </w:tcPr>
          <w:p w14:paraId="5C4F6AD6" w14:textId="77777777"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Risk adjustment or standardisation type and methodology</w:t>
            </w:r>
          </w:p>
          <w:p w14:paraId="6DC27F0A" w14:textId="77777777" w:rsidR="00B22352" w:rsidRPr="00B22352" w:rsidRDefault="00B22352" w:rsidP="00B22352">
            <w:pPr>
              <w:rPr>
                <w:rFonts w:asciiTheme="majorHAnsi" w:hAnsiTheme="majorHAnsi" w:cstheme="majorHAnsi"/>
                <w:sz w:val="22"/>
                <w:szCs w:val="22"/>
              </w:rPr>
            </w:pPr>
          </w:p>
          <w:p w14:paraId="599097AB" w14:textId="77777777" w:rsidR="00B22352" w:rsidRPr="00B22352" w:rsidRDefault="00B22352" w:rsidP="00B22352">
            <w:pPr>
              <w:rPr>
                <w:rFonts w:asciiTheme="majorHAnsi" w:hAnsiTheme="majorHAnsi" w:cstheme="majorHAnsi"/>
                <w:sz w:val="22"/>
                <w:szCs w:val="22"/>
              </w:rPr>
            </w:pPr>
          </w:p>
          <w:p w14:paraId="1B1770D6" w14:textId="77777777" w:rsidR="00B22352" w:rsidRPr="00B22352" w:rsidRDefault="00B22352" w:rsidP="00B22352">
            <w:pPr>
              <w:rPr>
                <w:rFonts w:asciiTheme="majorHAnsi" w:hAnsiTheme="majorHAnsi" w:cstheme="majorHAnsi"/>
                <w:sz w:val="22"/>
                <w:szCs w:val="22"/>
              </w:rPr>
            </w:pPr>
          </w:p>
          <w:p w14:paraId="6D5082ED" w14:textId="77777777" w:rsidR="00B22352" w:rsidRPr="00B22352" w:rsidRDefault="00B22352" w:rsidP="00B22352">
            <w:pPr>
              <w:rPr>
                <w:rFonts w:asciiTheme="majorHAnsi" w:hAnsiTheme="majorHAnsi" w:cstheme="majorHAnsi"/>
                <w:sz w:val="22"/>
                <w:szCs w:val="22"/>
              </w:rPr>
            </w:pPr>
          </w:p>
          <w:p w14:paraId="44BBBF59" w14:textId="77777777" w:rsidR="00B22352" w:rsidRPr="00B22352" w:rsidRDefault="00B22352" w:rsidP="00B22352">
            <w:pPr>
              <w:rPr>
                <w:rFonts w:asciiTheme="majorHAnsi" w:hAnsiTheme="majorHAnsi" w:cstheme="majorHAnsi"/>
                <w:sz w:val="22"/>
                <w:szCs w:val="22"/>
              </w:rPr>
            </w:pPr>
          </w:p>
          <w:p w14:paraId="71A89FE8" w14:textId="77777777" w:rsidR="00B22352" w:rsidRPr="00B22352" w:rsidRDefault="00B22352" w:rsidP="00B22352">
            <w:pPr>
              <w:rPr>
                <w:rFonts w:asciiTheme="majorHAnsi" w:hAnsiTheme="majorHAnsi" w:cstheme="majorHAnsi"/>
                <w:sz w:val="22"/>
                <w:szCs w:val="22"/>
              </w:rPr>
            </w:pPr>
          </w:p>
          <w:p w14:paraId="6D0B7AAB" w14:textId="77777777" w:rsidR="00B22352" w:rsidRPr="00B22352" w:rsidRDefault="00B22352" w:rsidP="00B22352">
            <w:pPr>
              <w:rPr>
                <w:rFonts w:asciiTheme="majorHAnsi" w:hAnsiTheme="majorHAnsi" w:cstheme="majorHAnsi"/>
                <w:sz w:val="22"/>
                <w:szCs w:val="22"/>
              </w:rPr>
            </w:pPr>
          </w:p>
          <w:p w14:paraId="6C6DE7D5" w14:textId="77777777" w:rsidR="00B22352" w:rsidRPr="00B22352" w:rsidRDefault="00B22352" w:rsidP="00B22352">
            <w:pPr>
              <w:rPr>
                <w:rFonts w:asciiTheme="majorHAnsi" w:hAnsiTheme="majorHAnsi" w:cstheme="majorHAnsi"/>
                <w:sz w:val="22"/>
                <w:szCs w:val="22"/>
              </w:rPr>
            </w:pPr>
          </w:p>
          <w:p w14:paraId="4F63BE01" w14:textId="77777777" w:rsidR="00B22352" w:rsidRPr="00B22352" w:rsidRDefault="00B22352" w:rsidP="00B22352">
            <w:pPr>
              <w:rPr>
                <w:rFonts w:asciiTheme="majorHAnsi" w:hAnsiTheme="majorHAnsi" w:cstheme="majorHAnsi"/>
                <w:sz w:val="22"/>
                <w:szCs w:val="22"/>
              </w:rPr>
            </w:pPr>
          </w:p>
          <w:p w14:paraId="407D0E4B" w14:textId="77777777" w:rsidR="00B22352" w:rsidRPr="00B22352" w:rsidRDefault="00B22352" w:rsidP="00B22352">
            <w:pPr>
              <w:rPr>
                <w:rFonts w:asciiTheme="majorHAnsi" w:hAnsiTheme="majorHAnsi" w:cstheme="majorHAnsi"/>
                <w:sz w:val="22"/>
                <w:szCs w:val="22"/>
              </w:rPr>
            </w:pPr>
          </w:p>
          <w:p w14:paraId="189A3C99" w14:textId="77777777" w:rsidR="00B22352" w:rsidRPr="00B22352" w:rsidRDefault="00B22352" w:rsidP="00B22352">
            <w:pPr>
              <w:rPr>
                <w:rFonts w:asciiTheme="majorHAnsi" w:hAnsiTheme="majorHAnsi" w:cstheme="majorHAnsi"/>
                <w:sz w:val="22"/>
                <w:szCs w:val="22"/>
              </w:rPr>
            </w:pPr>
          </w:p>
          <w:p w14:paraId="70137BE4" w14:textId="77777777" w:rsidR="00B22352" w:rsidRPr="00B22352" w:rsidRDefault="00B22352" w:rsidP="00B22352">
            <w:pPr>
              <w:rPr>
                <w:rFonts w:asciiTheme="majorHAnsi" w:hAnsiTheme="majorHAnsi" w:cstheme="majorHAnsi"/>
                <w:sz w:val="22"/>
                <w:szCs w:val="22"/>
              </w:rPr>
            </w:pPr>
          </w:p>
          <w:p w14:paraId="3684D084" w14:textId="77777777" w:rsidR="00B22352" w:rsidRPr="00B22352" w:rsidRDefault="00B22352" w:rsidP="00B22352">
            <w:pPr>
              <w:rPr>
                <w:rFonts w:asciiTheme="majorHAnsi" w:hAnsiTheme="majorHAnsi" w:cstheme="majorHAnsi"/>
                <w:sz w:val="22"/>
                <w:szCs w:val="22"/>
              </w:rPr>
            </w:pPr>
          </w:p>
          <w:p w14:paraId="20402701" w14:textId="77777777" w:rsidR="00B22352" w:rsidRPr="00B22352" w:rsidRDefault="00B22352" w:rsidP="00B22352">
            <w:pPr>
              <w:rPr>
                <w:rFonts w:asciiTheme="majorHAnsi" w:hAnsiTheme="majorHAnsi" w:cstheme="majorHAnsi"/>
                <w:sz w:val="22"/>
                <w:szCs w:val="22"/>
              </w:rPr>
            </w:pPr>
          </w:p>
          <w:p w14:paraId="58251D0A" w14:textId="77777777" w:rsidR="00B22352" w:rsidRPr="00B22352" w:rsidRDefault="00B22352" w:rsidP="00B22352">
            <w:pPr>
              <w:rPr>
                <w:rFonts w:asciiTheme="majorHAnsi" w:hAnsiTheme="majorHAnsi" w:cstheme="majorHAnsi"/>
                <w:sz w:val="22"/>
                <w:szCs w:val="22"/>
              </w:rPr>
            </w:pPr>
          </w:p>
          <w:p w14:paraId="22D7F402" w14:textId="77777777" w:rsidR="00B22352" w:rsidRPr="00B22352" w:rsidRDefault="00B22352" w:rsidP="00B22352">
            <w:pPr>
              <w:rPr>
                <w:rFonts w:asciiTheme="majorHAnsi" w:hAnsiTheme="majorHAnsi" w:cstheme="majorHAnsi"/>
                <w:sz w:val="22"/>
                <w:szCs w:val="22"/>
              </w:rPr>
            </w:pPr>
          </w:p>
          <w:p w14:paraId="51B8AF5E" w14:textId="77777777" w:rsidR="00B22352" w:rsidRPr="00B22352" w:rsidRDefault="00B22352" w:rsidP="00B22352">
            <w:pPr>
              <w:rPr>
                <w:rFonts w:asciiTheme="majorHAnsi" w:hAnsiTheme="majorHAnsi" w:cstheme="majorHAnsi"/>
                <w:sz w:val="22"/>
                <w:szCs w:val="22"/>
              </w:rPr>
            </w:pPr>
          </w:p>
          <w:p w14:paraId="352C7D4B" w14:textId="77777777" w:rsidR="00B22352" w:rsidRPr="00B22352" w:rsidRDefault="00B22352" w:rsidP="00B22352">
            <w:pPr>
              <w:rPr>
                <w:rFonts w:asciiTheme="majorHAnsi" w:hAnsiTheme="majorHAnsi" w:cstheme="majorHAnsi"/>
                <w:sz w:val="22"/>
                <w:szCs w:val="22"/>
              </w:rPr>
            </w:pPr>
          </w:p>
          <w:p w14:paraId="06CF7F6A" w14:textId="77777777" w:rsidR="00B22352" w:rsidRPr="00B22352" w:rsidRDefault="00B22352" w:rsidP="00B22352">
            <w:pPr>
              <w:rPr>
                <w:rFonts w:asciiTheme="majorHAnsi" w:hAnsiTheme="majorHAnsi" w:cstheme="majorHAnsi"/>
                <w:sz w:val="22"/>
                <w:szCs w:val="22"/>
              </w:rPr>
            </w:pPr>
          </w:p>
          <w:p w14:paraId="6157BED4" w14:textId="77777777" w:rsidR="00B22352" w:rsidRPr="00B22352" w:rsidRDefault="00B22352" w:rsidP="00B22352">
            <w:pPr>
              <w:rPr>
                <w:rFonts w:asciiTheme="majorHAnsi" w:hAnsiTheme="majorHAnsi" w:cstheme="majorHAnsi"/>
                <w:sz w:val="22"/>
                <w:szCs w:val="22"/>
              </w:rPr>
            </w:pPr>
          </w:p>
          <w:p w14:paraId="23FE49E9" w14:textId="77777777" w:rsidR="00B22352" w:rsidRPr="00B22352" w:rsidRDefault="00B22352" w:rsidP="00B22352">
            <w:pPr>
              <w:spacing w:before="240"/>
              <w:ind w:left="34"/>
              <w:rPr>
                <w:rFonts w:asciiTheme="majorHAnsi" w:hAnsiTheme="majorHAnsi" w:cstheme="majorHAnsi"/>
                <w:b/>
                <w:sz w:val="22"/>
                <w:szCs w:val="22"/>
              </w:rPr>
            </w:pPr>
          </w:p>
        </w:tc>
        <w:tc>
          <w:tcPr>
            <w:tcW w:w="6598" w:type="dxa"/>
          </w:tcPr>
          <w:sdt>
            <w:sdtPr>
              <w:rPr>
                <w:rFonts w:asciiTheme="majorHAnsi" w:hAnsiTheme="majorHAnsi" w:cstheme="majorHAnsi"/>
                <w:b/>
                <w:sz w:val="22"/>
                <w:szCs w:val="22"/>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7E40A321"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b/>
                    <w:sz w:val="22"/>
                    <w:szCs w:val="22"/>
                  </w:rPr>
                  <w:t>Indirect Standardisation</w:t>
                </w:r>
              </w:p>
            </w:sdtContent>
          </w:sdt>
          <w:p w14:paraId="10BF1A35" w14:textId="77777777" w:rsidR="00B22352" w:rsidRPr="00B22352" w:rsidRDefault="00B22352" w:rsidP="00B22352">
            <w:pPr>
              <w:spacing w:before="240"/>
              <w:rPr>
                <w:rFonts w:asciiTheme="majorHAnsi" w:hAnsiTheme="majorHAnsi" w:cstheme="majorHAnsi"/>
                <w:i/>
                <w:sz w:val="22"/>
                <w:szCs w:val="22"/>
              </w:rPr>
            </w:pPr>
            <w:r w:rsidRPr="00B22352">
              <w:rPr>
                <w:rFonts w:asciiTheme="majorHAnsi" w:hAnsiTheme="majorHAnsi" w:cstheme="majorHAnsi"/>
                <w:i/>
                <w:sz w:val="22"/>
                <w:szCs w:val="22"/>
              </w:rPr>
              <w:t>Variables and methodology:</w:t>
            </w:r>
          </w:p>
          <w:p w14:paraId="0E5D286B"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The indirectly age and sex standardised ratio (ISR) is the ratio of events that would occur in a standard population if that population were to experience the age and sex specific rates of the subject population.</w:t>
            </w:r>
          </w:p>
          <w:p w14:paraId="26E43716"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The ISR is given by:</w:t>
            </w:r>
          </w:p>
          <w:p w14:paraId="1C2212E6" w14:textId="77777777" w:rsidR="00B22352" w:rsidRPr="00B22352" w:rsidRDefault="00B22352" w:rsidP="00B22352">
            <w:pPr>
              <w:spacing w:before="240"/>
              <w:jc w:val="center"/>
              <w:rPr>
                <w:rFonts w:asciiTheme="majorHAnsi" w:hAnsiTheme="majorHAnsi" w:cstheme="majorHAnsi"/>
                <w:sz w:val="22"/>
                <w:szCs w:val="22"/>
              </w:rPr>
            </w:pPr>
            <w:r w:rsidRPr="00B22352">
              <w:rPr>
                <w:rFonts w:asciiTheme="majorHAnsi" w:hAnsiTheme="majorHAnsi" w:cstheme="majorHAnsi"/>
                <w:noProof/>
                <w:sz w:val="22"/>
                <w:szCs w:val="22"/>
                <w:lang w:eastAsia="en-GB"/>
              </w:rPr>
              <w:lastRenderedPageBreak/>
              <w:drawing>
                <wp:inline distT="0" distB="0" distL="0" distR="0" wp14:anchorId="11F64610" wp14:editId="74F58AA0">
                  <wp:extent cx="3169920" cy="655320"/>
                  <wp:effectExtent l="0" t="0" r="0" b="0"/>
                  <wp:docPr id="1" name="Picture 1" descr="Formula showing indirectly age and sex standardised ratio (IS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69920" cy="655320"/>
                          </a:xfrm>
                          <a:prstGeom prst="rect">
                            <a:avLst/>
                          </a:prstGeom>
                        </pic:spPr>
                      </pic:pic>
                    </a:graphicData>
                  </a:graphic>
                </wp:inline>
              </w:drawing>
            </w:r>
          </w:p>
          <w:p w14:paraId="623BB51B" w14:textId="77777777" w:rsidR="00B22352" w:rsidRPr="00B22352" w:rsidRDefault="00B22352" w:rsidP="00B22352">
            <w:pPr>
              <w:spacing w:before="240"/>
              <w:jc w:val="center"/>
              <w:rPr>
                <w:rFonts w:asciiTheme="majorHAnsi" w:hAnsiTheme="majorHAnsi" w:cstheme="majorHAnsi"/>
                <w:sz w:val="22"/>
                <w:szCs w:val="22"/>
              </w:rPr>
            </w:pPr>
          </w:p>
          <w:p w14:paraId="279FA573"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Where:</w:t>
            </w:r>
          </w:p>
          <w:p w14:paraId="329B020C" w14:textId="77777777" w:rsidR="00B22352" w:rsidRPr="00B22352" w:rsidRDefault="00B22352" w:rsidP="00B22352">
            <w:pPr>
              <w:spacing w:before="240"/>
              <w:rPr>
                <w:rFonts w:asciiTheme="majorHAnsi" w:hAnsiTheme="majorHAnsi" w:cstheme="majorHAnsi"/>
                <w:sz w:val="22"/>
                <w:szCs w:val="22"/>
              </w:rPr>
            </w:pPr>
            <w:r w:rsidRPr="00B22352">
              <w:rPr>
                <w:rFonts w:ascii="Cambria Math" w:hAnsi="Cambria Math" w:cs="Cambria Math"/>
                <w:sz w:val="22"/>
                <w:szCs w:val="22"/>
              </w:rPr>
              <w:t>𝑂</w:t>
            </w:r>
            <w:r w:rsidRPr="00B22352">
              <w:rPr>
                <w:rFonts w:asciiTheme="majorHAnsi" w:hAnsiTheme="majorHAnsi" w:cstheme="majorHAnsi"/>
                <w:sz w:val="22"/>
                <w:szCs w:val="22"/>
              </w:rPr>
              <w:t xml:space="preserve"> is the total observed number of events in the local or subject population</w:t>
            </w:r>
          </w:p>
          <w:p w14:paraId="7FAA54F5" w14:textId="77777777" w:rsidR="00B22352" w:rsidRPr="00B22352" w:rsidRDefault="00B22352" w:rsidP="00B22352">
            <w:pPr>
              <w:spacing w:before="240"/>
              <w:rPr>
                <w:rFonts w:asciiTheme="majorHAnsi" w:hAnsiTheme="majorHAnsi" w:cstheme="majorHAnsi"/>
                <w:sz w:val="22"/>
                <w:szCs w:val="22"/>
              </w:rPr>
            </w:pPr>
            <w:r w:rsidRPr="00B22352">
              <w:rPr>
                <w:rFonts w:ascii="Cambria Math" w:hAnsi="Cambria Math" w:cs="Cambria Math"/>
                <w:sz w:val="22"/>
                <w:szCs w:val="22"/>
              </w:rPr>
              <w:t>𝐸</w:t>
            </w:r>
            <w:r w:rsidRPr="00B22352">
              <w:rPr>
                <w:rFonts w:asciiTheme="majorHAnsi" w:hAnsiTheme="majorHAnsi" w:cstheme="majorHAnsi"/>
                <w:sz w:val="22"/>
                <w:szCs w:val="22"/>
              </w:rPr>
              <w:t xml:space="preserve"> is the total number of expected events in the local or subject population, given the standard rates </w:t>
            </w:r>
            <w:r w:rsidRPr="00B22352">
              <w:rPr>
                <w:rFonts w:ascii="Cambria Math" w:hAnsi="Cambria Math" w:cs="Cambria Math"/>
                <w:sz w:val="22"/>
                <w:szCs w:val="22"/>
              </w:rPr>
              <w:t>𝜆</w:t>
            </w:r>
            <w:r w:rsidRPr="00B22352">
              <w:rPr>
                <w:rFonts w:ascii="Cambria Math" w:hAnsi="Cambria Math" w:cs="Cambria Math"/>
                <w:sz w:val="22"/>
                <w:szCs w:val="22"/>
                <w:vertAlign w:val="subscript"/>
              </w:rPr>
              <w:t>𝑖</w:t>
            </w:r>
            <w:r w:rsidRPr="00B22352">
              <w:rPr>
                <w:rFonts w:asciiTheme="majorHAnsi" w:hAnsiTheme="majorHAnsi" w:cstheme="majorHAnsi"/>
                <w:sz w:val="22"/>
                <w:szCs w:val="22"/>
              </w:rPr>
              <w:t xml:space="preserve"> in the reference or standard </w:t>
            </w:r>
            <w:proofErr w:type="gramStart"/>
            <w:r w:rsidRPr="00B22352">
              <w:rPr>
                <w:rFonts w:asciiTheme="majorHAnsi" w:hAnsiTheme="majorHAnsi" w:cstheme="majorHAnsi"/>
                <w:sz w:val="22"/>
                <w:szCs w:val="22"/>
              </w:rPr>
              <w:t>population;</w:t>
            </w:r>
            <w:proofErr w:type="gramEnd"/>
          </w:p>
          <w:p w14:paraId="448A2999" w14:textId="77777777" w:rsidR="00B22352" w:rsidRPr="00B22352" w:rsidRDefault="00B22352" w:rsidP="00B22352">
            <w:pPr>
              <w:spacing w:before="240"/>
              <w:rPr>
                <w:rFonts w:asciiTheme="majorHAnsi" w:hAnsiTheme="majorHAnsi" w:cstheme="majorHAnsi"/>
                <w:sz w:val="22"/>
                <w:szCs w:val="22"/>
              </w:rPr>
            </w:pPr>
            <w:r w:rsidRPr="00B22352">
              <w:rPr>
                <w:rFonts w:ascii="Cambria Math" w:hAnsi="Cambria Math" w:cs="Cambria Math"/>
                <w:sz w:val="22"/>
                <w:szCs w:val="22"/>
              </w:rPr>
              <w:t>𝑂</w:t>
            </w:r>
            <w:r w:rsidRPr="00B22352">
              <w:rPr>
                <w:rFonts w:ascii="Cambria Math" w:hAnsi="Cambria Math" w:cs="Cambria Math"/>
                <w:sz w:val="22"/>
                <w:szCs w:val="22"/>
                <w:vertAlign w:val="subscript"/>
              </w:rPr>
              <w:t>𝑖</w:t>
            </w:r>
            <w:r w:rsidRPr="00B22352">
              <w:rPr>
                <w:rFonts w:asciiTheme="majorHAnsi" w:hAnsiTheme="majorHAnsi" w:cstheme="majorHAnsi"/>
                <w:sz w:val="22"/>
                <w:szCs w:val="22"/>
              </w:rPr>
              <w:t xml:space="preserve"> is the observed numbers of events in the local or subject population in age and sex group </w:t>
            </w:r>
            <w:proofErr w:type="gramStart"/>
            <w:r w:rsidRPr="00B22352">
              <w:rPr>
                <w:rFonts w:ascii="Cambria Math" w:hAnsi="Cambria Math" w:cs="Cambria Math"/>
                <w:sz w:val="22"/>
                <w:szCs w:val="22"/>
              </w:rPr>
              <w:t>𝑖</w:t>
            </w:r>
            <w:r w:rsidRPr="00B22352">
              <w:rPr>
                <w:rFonts w:asciiTheme="majorHAnsi" w:hAnsiTheme="majorHAnsi" w:cstheme="majorHAnsi"/>
                <w:sz w:val="22"/>
                <w:szCs w:val="22"/>
              </w:rPr>
              <w:t>;</w:t>
            </w:r>
            <w:proofErr w:type="gramEnd"/>
          </w:p>
          <w:p w14:paraId="036AB052" w14:textId="77777777" w:rsidR="00B22352" w:rsidRPr="00B22352" w:rsidRDefault="00B22352" w:rsidP="00B22352">
            <w:pPr>
              <w:spacing w:before="240"/>
              <w:rPr>
                <w:rFonts w:asciiTheme="majorHAnsi" w:hAnsiTheme="majorHAnsi" w:cstheme="majorHAnsi"/>
                <w:sz w:val="22"/>
                <w:szCs w:val="22"/>
              </w:rPr>
            </w:pPr>
            <w:r w:rsidRPr="00B22352">
              <w:rPr>
                <w:rFonts w:ascii="Cambria Math" w:hAnsi="Cambria Math" w:cs="Cambria Math"/>
                <w:sz w:val="22"/>
                <w:szCs w:val="22"/>
              </w:rPr>
              <w:t>𝐸</w:t>
            </w:r>
            <w:r w:rsidRPr="00B22352">
              <w:rPr>
                <w:rFonts w:ascii="Cambria Math" w:hAnsi="Cambria Math" w:cs="Cambria Math"/>
                <w:sz w:val="22"/>
                <w:szCs w:val="22"/>
                <w:vertAlign w:val="subscript"/>
              </w:rPr>
              <w:t>𝑖</w:t>
            </w:r>
            <w:r w:rsidRPr="00B22352">
              <w:rPr>
                <w:rFonts w:asciiTheme="majorHAnsi" w:hAnsiTheme="majorHAnsi" w:cstheme="majorHAnsi"/>
                <w:sz w:val="22"/>
                <w:szCs w:val="22"/>
              </w:rPr>
              <w:t xml:space="preserve"> is the expected number of events in the local or subject population in age and sex group </w:t>
            </w:r>
            <w:r w:rsidRPr="00B22352">
              <w:rPr>
                <w:rFonts w:ascii="Cambria Math" w:hAnsi="Cambria Math" w:cs="Cambria Math"/>
                <w:sz w:val="22"/>
                <w:szCs w:val="22"/>
              </w:rPr>
              <w:t>𝑖</w:t>
            </w:r>
            <w:r w:rsidRPr="00B22352">
              <w:rPr>
                <w:rFonts w:asciiTheme="majorHAnsi" w:hAnsiTheme="majorHAnsi" w:cstheme="majorHAnsi"/>
                <w:sz w:val="22"/>
                <w:szCs w:val="22"/>
              </w:rPr>
              <w:t xml:space="preserve">, given the standard rate </w:t>
            </w:r>
            <w:r w:rsidRPr="00B22352">
              <w:rPr>
                <w:rFonts w:ascii="Cambria Math" w:hAnsi="Cambria Math" w:cs="Cambria Math"/>
                <w:sz w:val="22"/>
                <w:szCs w:val="22"/>
              </w:rPr>
              <w:t>𝜆</w:t>
            </w:r>
            <w:r w:rsidRPr="00B22352">
              <w:rPr>
                <w:rFonts w:ascii="Cambria Math" w:hAnsi="Cambria Math" w:cs="Cambria Math"/>
                <w:sz w:val="22"/>
                <w:szCs w:val="22"/>
                <w:vertAlign w:val="subscript"/>
              </w:rPr>
              <w:t>𝑖</w:t>
            </w:r>
            <w:r w:rsidRPr="00B22352">
              <w:rPr>
                <w:rFonts w:asciiTheme="majorHAnsi" w:hAnsiTheme="majorHAnsi" w:cstheme="majorHAnsi"/>
                <w:sz w:val="22"/>
                <w:szCs w:val="22"/>
              </w:rPr>
              <w:t xml:space="preserve"> in the reference or standard </w:t>
            </w:r>
            <w:proofErr w:type="gramStart"/>
            <w:r w:rsidRPr="00B22352">
              <w:rPr>
                <w:rFonts w:asciiTheme="majorHAnsi" w:hAnsiTheme="majorHAnsi" w:cstheme="majorHAnsi"/>
                <w:sz w:val="22"/>
                <w:szCs w:val="22"/>
              </w:rPr>
              <w:t>population;</w:t>
            </w:r>
            <w:proofErr w:type="gramEnd"/>
          </w:p>
          <w:p w14:paraId="2EFAF62F" w14:textId="77777777" w:rsidR="00B22352" w:rsidRPr="00B22352" w:rsidRDefault="00B22352" w:rsidP="00B22352">
            <w:pPr>
              <w:spacing w:before="240"/>
              <w:rPr>
                <w:rFonts w:asciiTheme="majorHAnsi" w:hAnsiTheme="majorHAnsi" w:cstheme="majorHAnsi"/>
                <w:sz w:val="22"/>
                <w:szCs w:val="22"/>
              </w:rPr>
            </w:pPr>
            <w:r w:rsidRPr="00B22352">
              <w:rPr>
                <w:rFonts w:ascii="Cambria Math" w:hAnsi="Cambria Math" w:cs="Cambria Math"/>
                <w:sz w:val="22"/>
                <w:szCs w:val="22"/>
              </w:rPr>
              <w:t>𝑛</w:t>
            </w:r>
            <w:r w:rsidRPr="00B22352">
              <w:rPr>
                <w:rFonts w:ascii="Cambria Math" w:hAnsi="Cambria Math" w:cs="Cambria Math"/>
                <w:sz w:val="22"/>
                <w:szCs w:val="22"/>
                <w:vertAlign w:val="subscript"/>
              </w:rPr>
              <w:t>𝑖</w:t>
            </w:r>
            <w:r w:rsidRPr="00B22352">
              <w:rPr>
                <w:rFonts w:asciiTheme="majorHAnsi" w:hAnsiTheme="majorHAnsi" w:cstheme="majorHAnsi"/>
                <w:sz w:val="22"/>
                <w:szCs w:val="22"/>
              </w:rPr>
              <w:t xml:space="preserve"> is the number of individuals in the local or subject population in age and sex group </w:t>
            </w:r>
            <w:proofErr w:type="gramStart"/>
            <w:r w:rsidRPr="00B22352">
              <w:rPr>
                <w:rFonts w:ascii="Cambria Math" w:hAnsi="Cambria Math" w:cs="Cambria Math"/>
                <w:sz w:val="22"/>
                <w:szCs w:val="22"/>
              </w:rPr>
              <w:t>𝑖</w:t>
            </w:r>
            <w:r w:rsidRPr="00B22352">
              <w:rPr>
                <w:rFonts w:asciiTheme="majorHAnsi" w:hAnsiTheme="majorHAnsi" w:cstheme="majorHAnsi"/>
                <w:sz w:val="22"/>
                <w:szCs w:val="22"/>
              </w:rPr>
              <w:t>;</w:t>
            </w:r>
            <w:proofErr w:type="gramEnd"/>
          </w:p>
          <w:p w14:paraId="6CC32BFC" w14:textId="77777777" w:rsidR="00B22352" w:rsidRPr="00B22352" w:rsidRDefault="00B22352" w:rsidP="00B22352">
            <w:pPr>
              <w:spacing w:before="240"/>
              <w:rPr>
                <w:rFonts w:asciiTheme="majorHAnsi" w:hAnsiTheme="majorHAnsi" w:cstheme="majorHAnsi"/>
                <w:sz w:val="22"/>
                <w:szCs w:val="22"/>
              </w:rPr>
            </w:pPr>
            <w:r w:rsidRPr="00B22352">
              <w:rPr>
                <w:rFonts w:ascii="Cambria Math" w:hAnsi="Cambria Math" w:cs="Cambria Math"/>
                <w:sz w:val="22"/>
                <w:szCs w:val="22"/>
              </w:rPr>
              <w:t>𝜆</w:t>
            </w:r>
            <w:r w:rsidRPr="00B22352">
              <w:rPr>
                <w:rFonts w:ascii="Cambria Math" w:hAnsi="Cambria Math" w:cs="Cambria Math"/>
                <w:sz w:val="22"/>
                <w:szCs w:val="22"/>
                <w:vertAlign w:val="subscript"/>
              </w:rPr>
              <w:t>𝑖</w:t>
            </w:r>
            <w:r w:rsidRPr="00B22352">
              <w:rPr>
                <w:rFonts w:asciiTheme="majorHAnsi" w:hAnsiTheme="majorHAnsi" w:cstheme="majorHAnsi"/>
                <w:sz w:val="22"/>
                <w:szCs w:val="22"/>
              </w:rPr>
              <w:t xml:space="preserve"> is the crude age-specific rate in the reference or standard population in age and sex group </w:t>
            </w:r>
            <w:proofErr w:type="gramStart"/>
            <w:r w:rsidRPr="00B22352">
              <w:rPr>
                <w:rFonts w:ascii="Cambria Math" w:hAnsi="Cambria Math" w:cs="Cambria Math"/>
                <w:sz w:val="22"/>
                <w:szCs w:val="22"/>
              </w:rPr>
              <w:t>𝑖</w:t>
            </w:r>
            <w:r w:rsidRPr="00B22352">
              <w:rPr>
                <w:rFonts w:asciiTheme="majorHAnsi" w:hAnsiTheme="majorHAnsi" w:cstheme="majorHAnsi"/>
                <w:sz w:val="22"/>
                <w:szCs w:val="22"/>
              </w:rPr>
              <w:t>;</w:t>
            </w:r>
            <w:proofErr w:type="gramEnd"/>
          </w:p>
          <w:p w14:paraId="167B4442"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The standard population used is the national count of the denominator. The following age bands are used: 0-18, 19-24, 25-29, 30-34, 35-39, 40-44, 45-49, 50-54, 55-59, 60-64, 65-69, 70-74, 75-79, 80-84, 85-89, 90+.</w:t>
            </w:r>
          </w:p>
          <w:p w14:paraId="6D66278A" w14:textId="77777777" w:rsidR="00B22352" w:rsidRPr="00B22352" w:rsidRDefault="00B22352" w:rsidP="00B22352">
            <w:pPr>
              <w:spacing w:before="240" w:after="0"/>
              <w:rPr>
                <w:rFonts w:asciiTheme="majorHAnsi" w:hAnsiTheme="majorHAnsi" w:cstheme="majorHAnsi"/>
                <w:sz w:val="22"/>
                <w:szCs w:val="22"/>
              </w:rPr>
            </w:pPr>
          </w:p>
        </w:tc>
      </w:tr>
      <w:tr w:rsidR="00B22352" w:rsidRPr="00B22352" w14:paraId="0F9C9B75" w14:textId="77777777" w:rsidTr="00DD3C37">
        <w:tc>
          <w:tcPr>
            <w:tcW w:w="3256" w:type="dxa"/>
          </w:tcPr>
          <w:p w14:paraId="06048776" w14:textId="77777777"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lastRenderedPageBreak/>
              <w:t>Justification of risk adjustment type and variables</w:t>
            </w:r>
          </w:p>
          <w:p w14:paraId="0E0701D6" w14:textId="76CD76EE"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sz w:val="22"/>
                <w:szCs w:val="22"/>
              </w:rPr>
              <w:t>or why risk adjustment is not used</w:t>
            </w:r>
          </w:p>
        </w:tc>
        <w:tc>
          <w:tcPr>
            <w:tcW w:w="6598" w:type="dxa"/>
          </w:tcPr>
          <w:p w14:paraId="3DDE2E22" w14:textId="77777777" w:rsidR="00B22352" w:rsidRPr="00B22352" w:rsidRDefault="00B22352" w:rsidP="00B22352">
            <w:pPr>
              <w:spacing w:before="240"/>
              <w:rPr>
                <w:rFonts w:asciiTheme="majorHAnsi" w:hAnsiTheme="majorHAnsi" w:cstheme="majorHAnsi"/>
                <w:b/>
                <w:sz w:val="22"/>
                <w:szCs w:val="22"/>
              </w:rPr>
            </w:pPr>
          </w:p>
        </w:tc>
      </w:tr>
      <w:tr w:rsidR="00B22352" w:rsidRPr="00B22352" w14:paraId="1960E3E8" w14:textId="77777777" w:rsidTr="00DD3C37">
        <w:tc>
          <w:tcPr>
            <w:tcW w:w="3256" w:type="dxa"/>
          </w:tcPr>
          <w:p w14:paraId="0B52F805" w14:textId="3513F859"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Confidence interval / control limit use and methodology</w:t>
            </w:r>
          </w:p>
        </w:tc>
        <w:tc>
          <w:tcPr>
            <w:tcW w:w="6598" w:type="dxa"/>
          </w:tcPr>
          <w:sdt>
            <w:sdtPr>
              <w:rPr>
                <w:rFonts w:asciiTheme="majorHAnsi" w:hAnsiTheme="majorHAnsi" w:cstheme="majorHAnsi"/>
                <w:sz w:val="22"/>
                <w:szCs w:val="22"/>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Content>
              <w:p w14:paraId="1FA503A9"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Confidence Intervals</w:t>
                </w:r>
              </w:p>
            </w:sdtContent>
          </w:sdt>
          <w:p w14:paraId="188A3626" w14:textId="77777777" w:rsidR="00B22352" w:rsidRPr="00B22352" w:rsidRDefault="00B22352" w:rsidP="00B22352">
            <w:pPr>
              <w:spacing w:before="240"/>
              <w:rPr>
                <w:rFonts w:asciiTheme="majorHAnsi" w:hAnsiTheme="majorHAnsi" w:cstheme="majorHAnsi"/>
                <w:i/>
                <w:sz w:val="22"/>
                <w:szCs w:val="22"/>
              </w:rPr>
            </w:pPr>
            <w:r w:rsidRPr="00B22352">
              <w:rPr>
                <w:rFonts w:asciiTheme="majorHAnsi" w:hAnsiTheme="majorHAnsi" w:cstheme="majorHAnsi"/>
                <w:i/>
                <w:sz w:val="22"/>
                <w:szCs w:val="22"/>
              </w:rPr>
              <w:t>Methodology:</w:t>
            </w:r>
          </w:p>
          <w:p w14:paraId="77988AA6" w14:textId="1DA1782D"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Confidence intervals will be calculated as specified in ‘Commonly used public health</w:t>
            </w:r>
            <w:r w:rsidR="00161249">
              <w:rPr>
                <w:rFonts w:asciiTheme="majorHAnsi" w:hAnsiTheme="majorHAnsi" w:cstheme="majorHAnsi"/>
                <w:sz w:val="22"/>
                <w:szCs w:val="22"/>
              </w:rPr>
              <w:t xml:space="preserve"> </w:t>
            </w:r>
            <w:r w:rsidRPr="00B22352">
              <w:rPr>
                <w:rFonts w:asciiTheme="majorHAnsi" w:hAnsiTheme="majorHAnsi" w:cstheme="majorHAnsi"/>
                <w:sz w:val="22"/>
                <w:szCs w:val="22"/>
              </w:rPr>
              <w:t xml:space="preserve">statistics and their confidence intervals’ (APHO, March 2008). The 100(1– </w:t>
            </w:r>
            <w:proofErr w:type="gramStart"/>
            <w:r w:rsidRPr="00B22352">
              <w:rPr>
                <w:rFonts w:asciiTheme="majorHAnsi" w:hAnsiTheme="majorHAnsi" w:cstheme="majorHAnsi"/>
                <w:sz w:val="22"/>
                <w:szCs w:val="22"/>
              </w:rPr>
              <w:t>α)%</w:t>
            </w:r>
            <w:proofErr w:type="gramEnd"/>
            <w:r w:rsidRPr="00B22352">
              <w:rPr>
                <w:rFonts w:asciiTheme="majorHAnsi" w:hAnsiTheme="majorHAnsi" w:cstheme="majorHAnsi"/>
                <w:sz w:val="22"/>
                <w:szCs w:val="22"/>
              </w:rPr>
              <w:t xml:space="preserve"> confidence</w:t>
            </w:r>
            <w:r w:rsidR="00161249">
              <w:rPr>
                <w:rFonts w:asciiTheme="majorHAnsi" w:hAnsiTheme="majorHAnsi" w:cstheme="majorHAnsi"/>
                <w:sz w:val="22"/>
                <w:szCs w:val="22"/>
              </w:rPr>
              <w:t xml:space="preserve"> </w:t>
            </w:r>
            <w:r w:rsidRPr="00B22352">
              <w:rPr>
                <w:rFonts w:asciiTheme="majorHAnsi" w:hAnsiTheme="majorHAnsi" w:cstheme="majorHAnsi"/>
                <w:sz w:val="22"/>
                <w:szCs w:val="22"/>
              </w:rPr>
              <w:t>limits for the ISR are given by:</w:t>
            </w:r>
          </w:p>
          <w:p w14:paraId="320BFE50" w14:textId="77777777" w:rsidR="00B22352" w:rsidRPr="00B22352" w:rsidRDefault="00B22352" w:rsidP="00B22352">
            <w:pPr>
              <w:spacing w:before="240"/>
              <w:jc w:val="center"/>
              <w:rPr>
                <w:rFonts w:asciiTheme="majorHAnsi" w:hAnsiTheme="majorHAnsi" w:cstheme="majorHAnsi"/>
                <w:sz w:val="22"/>
                <w:szCs w:val="22"/>
              </w:rPr>
            </w:pPr>
            <w:r w:rsidRPr="00B22352">
              <w:rPr>
                <w:rFonts w:asciiTheme="majorHAnsi" w:hAnsiTheme="majorHAnsi" w:cstheme="majorHAnsi"/>
                <w:noProof/>
                <w:sz w:val="22"/>
                <w:szCs w:val="22"/>
                <w:lang w:eastAsia="en-GB"/>
              </w:rPr>
              <w:lastRenderedPageBreak/>
              <w:drawing>
                <wp:inline distT="0" distB="0" distL="0" distR="0" wp14:anchorId="7F58E92F" wp14:editId="0BF250C1">
                  <wp:extent cx="1920240" cy="967740"/>
                  <wp:effectExtent l="0" t="0" r="3810" b="3810"/>
                  <wp:docPr id="3" name="Picture 3" descr="Formula to calculate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920240" cy="967740"/>
                          </a:xfrm>
                          <a:prstGeom prst="rect">
                            <a:avLst/>
                          </a:prstGeom>
                        </pic:spPr>
                      </pic:pic>
                    </a:graphicData>
                  </a:graphic>
                </wp:inline>
              </w:drawing>
            </w:r>
          </w:p>
          <w:p w14:paraId="11280E38"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Where </w:t>
            </w:r>
            <w:r w:rsidRPr="00B22352">
              <w:rPr>
                <w:rFonts w:ascii="Cambria Math" w:hAnsi="Cambria Math" w:cs="Cambria Math"/>
                <w:sz w:val="22"/>
                <w:szCs w:val="22"/>
              </w:rPr>
              <w:t>𝑂</w:t>
            </w:r>
            <w:r w:rsidRPr="00B22352">
              <w:rPr>
                <w:rFonts w:ascii="Cambria Math" w:hAnsi="Cambria Math" w:cs="Cambria Math"/>
                <w:sz w:val="22"/>
                <w:szCs w:val="22"/>
                <w:vertAlign w:val="subscript"/>
              </w:rPr>
              <w:t>𝑙𝑜𝑤𝑒𝑟</w:t>
            </w:r>
            <w:r w:rsidRPr="00B22352">
              <w:rPr>
                <w:rFonts w:asciiTheme="majorHAnsi" w:hAnsiTheme="majorHAnsi" w:cstheme="majorHAnsi"/>
                <w:sz w:val="22"/>
                <w:szCs w:val="22"/>
              </w:rPr>
              <w:t xml:space="preserve"> and </w:t>
            </w:r>
            <w:proofErr w:type="spellStart"/>
            <w:r w:rsidRPr="00B22352">
              <w:rPr>
                <w:rFonts w:asciiTheme="majorHAnsi" w:hAnsiTheme="majorHAnsi" w:cstheme="majorHAnsi"/>
                <w:i/>
                <w:sz w:val="22"/>
                <w:szCs w:val="22"/>
              </w:rPr>
              <w:t>O</w:t>
            </w:r>
            <w:r w:rsidRPr="00B22352">
              <w:rPr>
                <w:rFonts w:asciiTheme="majorHAnsi" w:hAnsiTheme="majorHAnsi" w:cstheme="majorHAnsi"/>
                <w:i/>
                <w:sz w:val="22"/>
                <w:szCs w:val="22"/>
                <w:vertAlign w:val="subscript"/>
              </w:rPr>
              <w:t>upper</w:t>
            </w:r>
            <w:proofErr w:type="spellEnd"/>
            <w:r w:rsidRPr="00B22352">
              <w:rPr>
                <w:rFonts w:asciiTheme="majorHAnsi" w:hAnsiTheme="majorHAnsi" w:cstheme="majorHAnsi"/>
                <w:sz w:val="22"/>
                <w:szCs w:val="22"/>
              </w:rPr>
              <w:t xml:space="preserve"> are the lower and upper confidence limits for the observed number of </w:t>
            </w:r>
            <w:proofErr w:type="gramStart"/>
            <w:r w:rsidRPr="00B22352">
              <w:rPr>
                <w:rFonts w:asciiTheme="majorHAnsi" w:hAnsiTheme="majorHAnsi" w:cstheme="majorHAnsi"/>
                <w:sz w:val="22"/>
                <w:szCs w:val="22"/>
              </w:rPr>
              <w:t>events;</w:t>
            </w:r>
            <w:proofErr w:type="gramEnd"/>
          </w:p>
          <w:p w14:paraId="48B634F0" w14:textId="77777777" w:rsidR="00B22352" w:rsidRPr="00B22352" w:rsidRDefault="00B22352" w:rsidP="00B22352">
            <w:pPr>
              <w:spacing w:before="240"/>
              <w:rPr>
                <w:rFonts w:asciiTheme="majorHAnsi" w:hAnsiTheme="majorHAnsi" w:cstheme="majorHAnsi"/>
                <w:sz w:val="22"/>
                <w:szCs w:val="22"/>
              </w:rPr>
            </w:pPr>
          </w:p>
          <w:p w14:paraId="1119B6AE"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Using </w:t>
            </w:r>
            <w:proofErr w:type="spellStart"/>
            <w:r w:rsidRPr="00B22352">
              <w:rPr>
                <w:rFonts w:asciiTheme="majorHAnsi" w:hAnsiTheme="majorHAnsi" w:cstheme="majorHAnsi"/>
                <w:sz w:val="22"/>
                <w:szCs w:val="22"/>
              </w:rPr>
              <w:t>Byar’s</w:t>
            </w:r>
            <w:proofErr w:type="spellEnd"/>
            <w:r w:rsidRPr="00B22352">
              <w:rPr>
                <w:rStyle w:val="FootnoteReference"/>
                <w:rFonts w:asciiTheme="majorHAnsi" w:hAnsiTheme="majorHAnsi" w:cstheme="majorHAnsi"/>
                <w:sz w:val="22"/>
                <w:szCs w:val="22"/>
              </w:rPr>
              <w:footnoteReference w:id="1"/>
            </w:r>
            <w:r w:rsidRPr="00B22352">
              <w:rPr>
                <w:rFonts w:asciiTheme="majorHAnsi" w:hAnsiTheme="majorHAnsi" w:cstheme="majorHAnsi"/>
                <w:sz w:val="22"/>
                <w:szCs w:val="22"/>
              </w:rPr>
              <w:t xml:space="preserve"> method, the 100(1– </w:t>
            </w:r>
            <w:proofErr w:type="gramStart"/>
            <w:r w:rsidRPr="00B22352">
              <w:rPr>
                <w:rFonts w:asciiTheme="majorHAnsi" w:hAnsiTheme="majorHAnsi" w:cstheme="majorHAnsi"/>
                <w:i/>
                <w:sz w:val="22"/>
                <w:szCs w:val="22"/>
              </w:rPr>
              <w:t>α</w:t>
            </w:r>
            <w:r w:rsidRPr="00B22352">
              <w:rPr>
                <w:rFonts w:asciiTheme="majorHAnsi" w:hAnsiTheme="majorHAnsi" w:cstheme="majorHAnsi"/>
                <w:sz w:val="22"/>
                <w:szCs w:val="22"/>
              </w:rPr>
              <w:t>)%</w:t>
            </w:r>
            <w:proofErr w:type="gramEnd"/>
            <w:r w:rsidRPr="00B22352">
              <w:rPr>
                <w:rFonts w:asciiTheme="majorHAnsi" w:hAnsiTheme="majorHAnsi" w:cstheme="majorHAnsi"/>
                <w:sz w:val="22"/>
                <w:szCs w:val="22"/>
              </w:rPr>
              <w:t xml:space="preserve"> confidence limits for the observed number of events are given by:</w:t>
            </w:r>
          </w:p>
          <w:p w14:paraId="2281DC5F" w14:textId="77777777" w:rsidR="00B22352" w:rsidRPr="00B22352" w:rsidRDefault="00B22352" w:rsidP="00B22352">
            <w:pPr>
              <w:spacing w:before="240"/>
              <w:jc w:val="center"/>
              <w:rPr>
                <w:rFonts w:asciiTheme="majorHAnsi" w:hAnsiTheme="majorHAnsi" w:cstheme="majorHAnsi"/>
                <w:sz w:val="22"/>
                <w:szCs w:val="22"/>
              </w:rPr>
            </w:pPr>
            <w:r w:rsidRPr="00B22352">
              <w:rPr>
                <w:rFonts w:asciiTheme="majorHAnsi" w:hAnsiTheme="majorHAnsi" w:cstheme="majorHAnsi"/>
                <w:noProof/>
                <w:sz w:val="22"/>
                <w:szCs w:val="22"/>
                <w:lang w:eastAsia="en-GB"/>
              </w:rPr>
              <w:drawing>
                <wp:inline distT="0" distB="0" distL="0" distR="0" wp14:anchorId="6450D478" wp14:editId="4474DB0B">
                  <wp:extent cx="3596640" cy="1310640"/>
                  <wp:effectExtent l="0" t="0" r="3810" b="3810"/>
                  <wp:docPr id="4" name="Picture 4" descr="Formula: confidence lim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96640" cy="1310640"/>
                          </a:xfrm>
                          <a:prstGeom prst="rect">
                            <a:avLst/>
                          </a:prstGeom>
                        </pic:spPr>
                      </pic:pic>
                    </a:graphicData>
                  </a:graphic>
                </wp:inline>
              </w:drawing>
            </w:r>
          </w:p>
          <w:p w14:paraId="6AEFF3F6"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Where </w:t>
            </w:r>
            <w:r w:rsidRPr="00B22352">
              <w:rPr>
                <w:rFonts w:asciiTheme="majorHAnsi" w:hAnsiTheme="majorHAnsi" w:cstheme="majorHAnsi"/>
                <w:i/>
                <w:sz w:val="22"/>
                <w:szCs w:val="22"/>
              </w:rPr>
              <w:t>z</w:t>
            </w:r>
            <w:r w:rsidRPr="00B22352">
              <w:rPr>
                <w:rFonts w:asciiTheme="majorHAnsi" w:hAnsiTheme="majorHAnsi" w:cstheme="majorHAnsi"/>
                <w:sz w:val="22"/>
                <w:szCs w:val="22"/>
              </w:rPr>
              <w:t xml:space="preserve"> is the 100(1– </w:t>
            </w:r>
            <w:r w:rsidRPr="00B22352">
              <w:rPr>
                <w:rFonts w:asciiTheme="majorHAnsi" w:hAnsiTheme="majorHAnsi" w:cstheme="majorHAnsi"/>
                <w:i/>
                <w:sz w:val="22"/>
                <w:szCs w:val="22"/>
              </w:rPr>
              <w:t>α</w:t>
            </w:r>
            <w:r w:rsidRPr="00B22352">
              <w:rPr>
                <w:rFonts w:asciiTheme="majorHAnsi" w:hAnsiTheme="majorHAnsi" w:cstheme="majorHAnsi"/>
                <w:sz w:val="22"/>
                <w:szCs w:val="22"/>
              </w:rPr>
              <w:t>/</w:t>
            </w:r>
            <w:proofErr w:type="gramStart"/>
            <w:r w:rsidRPr="00B22352">
              <w:rPr>
                <w:rFonts w:asciiTheme="majorHAnsi" w:hAnsiTheme="majorHAnsi" w:cstheme="majorHAnsi"/>
                <w:sz w:val="22"/>
                <w:szCs w:val="22"/>
              </w:rPr>
              <w:t>2)</w:t>
            </w:r>
            <w:proofErr w:type="spellStart"/>
            <w:r w:rsidRPr="00B22352">
              <w:rPr>
                <w:rFonts w:asciiTheme="majorHAnsi" w:hAnsiTheme="majorHAnsi" w:cstheme="majorHAnsi"/>
                <w:sz w:val="22"/>
                <w:szCs w:val="22"/>
              </w:rPr>
              <w:t>th</w:t>
            </w:r>
            <w:proofErr w:type="spellEnd"/>
            <w:proofErr w:type="gramEnd"/>
            <w:r w:rsidRPr="00B22352">
              <w:rPr>
                <w:rFonts w:asciiTheme="majorHAnsi" w:hAnsiTheme="majorHAnsi" w:cstheme="majorHAnsi"/>
                <w:sz w:val="22"/>
                <w:szCs w:val="22"/>
              </w:rPr>
              <w:t xml:space="preserve"> percentile value from the Standard Normal distribution. For example, for a 95% confidence interval, </w:t>
            </w:r>
            <w:r w:rsidRPr="00B22352">
              <w:rPr>
                <w:rFonts w:asciiTheme="majorHAnsi" w:hAnsiTheme="majorHAnsi" w:cstheme="majorHAnsi"/>
                <w:i/>
                <w:sz w:val="22"/>
                <w:szCs w:val="22"/>
              </w:rPr>
              <w:t>α</w:t>
            </w:r>
            <w:r w:rsidRPr="00B22352">
              <w:rPr>
                <w:rFonts w:asciiTheme="majorHAnsi" w:hAnsiTheme="majorHAnsi" w:cstheme="majorHAnsi"/>
                <w:sz w:val="22"/>
                <w:szCs w:val="22"/>
              </w:rPr>
              <w:t xml:space="preserve"> = 0.05 and </w:t>
            </w:r>
            <w:r w:rsidRPr="00B22352">
              <w:rPr>
                <w:rFonts w:asciiTheme="majorHAnsi" w:hAnsiTheme="majorHAnsi" w:cstheme="majorHAnsi"/>
                <w:i/>
                <w:sz w:val="22"/>
                <w:szCs w:val="22"/>
              </w:rPr>
              <w:t>z</w:t>
            </w:r>
            <w:r w:rsidRPr="00B22352">
              <w:rPr>
                <w:rFonts w:asciiTheme="majorHAnsi" w:hAnsiTheme="majorHAnsi" w:cstheme="majorHAnsi"/>
                <w:sz w:val="22"/>
                <w:szCs w:val="22"/>
              </w:rPr>
              <w:t xml:space="preserve"> = 97.5th percentile value from the Standard Normal distribution.</w:t>
            </w:r>
          </w:p>
          <w:p w14:paraId="126F2133" w14:textId="77777777" w:rsidR="00B22352" w:rsidRPr="00B22352" w:rsidRDefault="00B22352" w:rsidP="00B22352">
            <w:pPr>
              <w:spacing w:before="240"/>
              <w:rPr>
                <w:rFonts w:asciiTheme="majorHAnsi" w:hAnsiTheme="majorHAnsi" w:cstheme="majorHAnsi"/>
                <w:sz w:val="22"/>
                <w:szCs w:val="22"/>
              </w:rPr>
            </w:pPr>
          </w:p>
          <w:p w14:paraId="4C596CAE"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For small numerators of less than 389, </w:t>
            </w:r>
            <w:proofErr w:type="spellStart"/>
            <w:r w:rsidRPr="00B22352">
              <w:rPr>
                <w:rFonts w:asciiTheme="majorHAnsi" w:hAnsiTheme="majorHAnsi" w:cstheme="majorHAnsi"/>
                <w:sz w:val="22"/>
                <w:szCs w:val="22"/>
              </w:rPr>
              <w:t>Byar's</w:t>
            </w:r>
            <w:proofErr w:type="spellEnd"/>
            <w:r w:rsidRPr="00B22352">
              <w:rPr>
                <w:rFonts w:asciiTheme="majorHAnsi" w:hAnsiTheme="majorHAnsi" w:cstheme="majorHAnsi"/>
                <w:sz w:val="22"/>
                <w:szCs w:val="22"/>
              </w:rPr>
              <w:t xml:space="preserve"> method can be less accurate and an exact method based on the Poisson distribution can be used. For 95% confidence intervals, </w:t>
            </w:r>
            <w:proofErr w:type="spellStart"/>
            <w:r w:rsidRPr="00B22352">
              <w:rPr>
                <w:rFonts w:asciiTheme="majorHAnsi" w:hAnsiTheme="majorHAnsi" w:cstheme="majorHAnsi"/>
                <w:sz w:val="22"/>
                <w:szCs w:val="22"/>
              </w:rPr>
              <w:t>Byar's</w:t>
            </w:r>
            <w:proofErr w:type="spellEnd"/>
            <w:r w:rsidRPr="00B22352">
              <w:rPr>
                <w:rFonts w:asciiTheme="majorHAnsi" w:hAnsiTheme="majorHAnsi" w:cstheme="majorHAnsi"/>
                <w:sz w:val="22"/>
                <w:szCs w:val="22"/>
              </w:rPr>
              <w:t xml:space="preserve"> method is extremely accurate for numerators of 5 or more, but for 99.8% confidence intervals it is less accurate.</w:t>
            </w:r>
          </w:p>
          <w:p w14:paraId="4B63BD1C"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Using the link between the Poisson and distributions</w:t>
            </w:r>
            <w:r w:rsidRPr="00B22352">
              <w:rPr>
                <w:rStyle w:val="FootnoteReference"/>
                <w:rFonts w:asciiTheme="majorHAnsi" w:hAnsiTheme="majorHAnsi" w:cstheme="majorHAnsi"/>
                <w:sz w:val="22"/>
                <w:szCs w:val="22"/>
              </w:rPr>
              <w:footnoteReference w:id="2"/>
            </w:r>
            <w:r w:rsidRPr="00B22352">
              <w:rPr>
                <w:rFonts w:asciiTheme="majorHAnsi" w:hAnsiTheme="majorHAnsi" w:cstheme="majorHAnsi"/>
                <w:sz w:val="22"/>
                <w:szCs w:val="22"/>
              </w:rPr>
              <w:t xml:space="preserve"> , the equations for </w:t>
            </w:r>
            <w:r w:rsidRPr="00B22352">
              <w:rPr>
                <w:rFonts w:ascii="Cambria Math" w:hAnsi="Cambria Math" w:cs="Cambria Math"/>
                <w:sz w:val="22"/>
                <w:szCs w:val="22"/>
              </w:rPr>
              <w:t>𝑂</w:t>
            </w:r>
            <w:r w:rsidRPr="00B22352">
              <w:rPr>
                <w:rFonts w:ascii="Cambria Math" w:hAnsi="Cambria Math" w:cs="Cambria Math"/>
                <w:sz w:val="22"/>
                <w:szCs w:val="22"/>
                <w:vertAlign w:val="subscript"/>
              </w:rPr>
              <w:t>𝑢𝑝𝑝𝑒𝑟</w:t>
            </w:r>
            <w:r w:rsidRPr="00B22352">
              <w:rPr>
                <w:rFonts w:asciiTheme="majorHAnsi" w:hAnsiTheme="majorHAnsi" w:cstheme="majorHAnsi"/>
                <w:sz w:val="22"/>
                <w:szCs w:val="22"/>
              </w:rPr>
              <w:t xml:space="preserve"> and </w:t>
            </w:r>
            <w:proofErr w:type="spellStart"/>
            <w:r w:rsidRPr="00B22352">
              <w:rPr>
                <w:rFonts w:asciiTheme="majorHAnsi" w:hAnsiTheme="majorHAnsi" w:cstheme="majorHAnsi"/>
                <w:i/>
                <w:sz w:val="22"/>
                <w:szCs w:val="22"/>
              </w:rPr>
              <w:t>O</w:t>
            </w:r>
            <w:r w:rsidRPr="00B22352">
              <w:rPr>
                <w:rFonts w:asciiTheme="majorHAnsi" w:hAnsiTheme="majorHAnsi" w:cstheme="majorHAnsi"/>
                <w:i/>
                <w:sz w:val="22"/>
                <w:szCs w:val="22"/>
                <w:vertAlign w:val="subscript"/>
              </w:rPr>
              <w:t>lower</w:t>
            </w:r>
            <w:proofErr w:type="spellEnd"/>
            <w:r w:rsidRPr="00B22352">
              <w:rPr>
                <w:rFonts w:asciiTheme="majorHAnsi" w:hAnsiTheme="majorHAnsi" w:cstheme="majorHAnsi"/>
                <w:i/>
                <w:sz w:val="22"/>
                <w:szCs w:val="22"/>
                <w:vertAlign w:val="subscript"/>
              </w:rPr>
              <w:t xml:space="preserve"> </w:t>
            </w:r>
            <w:r w:rsidRPr="00B22352">
              <w:rPr>
                <w:rFonts w:asciiTheme="majorHAnsi" w:hAnsiTheme="majorHAnsi" w:cstheme="majorHAnsi"/>
                <w:sz w:val="22"/>
                <w:szCs w:val="22"/>
              </w:rPr>
              <w:t>above can be replaced by:</w:t>
            </w:r>
          </w:p>
          <w:p w14:paraId="4C5AACB2" w14:textId="77777777" w:rsidR="00B22352" w:rsidRPr="00B22352" w:rsidRDefault="00B22352" w:rsidP="00B22352">
            <w:pPr>
              <w:spacing w:before="240"/>
              <w:jc w:val="center"/>
              <w:rPr>
                <w:rFonts w:asciiTheme="majorHAnsi" w:hAnsiTheme="majorHAnsi" w:cstheme="majorHAnsi"/>
                <w:sz w:val="22"/>
                <w:szCs w:val="22"/>
              </w:rPr>
            </w:pPr>
            <w:r w:rsidRPr="00B22352">
              <w:rPr>
                <w:rFonts w:asciiTheme="majorHAnsi" w:hAnsiTheme="majorHAnsi" w:cstheme="majorHAnsi"/>
                <w:noProof/>
                <w:sz w:val="22"/>
                <w:szCs w:val="22"/>
                <w:lang w:eastAsia="en-GB"/>
              </w:rPr>
              <w:drawing>
                <wp:inline distT="0" distB="0" distL="0" distR="0" wp14:anchorId="24DAE9A5" wp14:editId="18B392D9">
                  <wp:extent cx="1485900" cy="1043940"/>
                  <wp:effectExtent l="0" t="0" r="0" b="3810"/>
                  <wp:docPr id="6" name="Picture 6" descr="Formula: Where:&#10;𝜒¬¬2lower is the 100(1– α/2)th percentile value from the 𝜒2 distribution with 2O degrees of freedom;&#10;𝜒¬¬2upper is the 100(α/2)th percentile value from the 𝜒2 distribution with 2O+2 degrees of freed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85900" cy="1043940"/>
                          </a:xfrm>
                          <a:prstGeom prst="rect">
                            <a:avLst/>
                          </a:prstGeom>
                        </pic:spPr>
                      </pic:pic>
                    </a:graphicData>
                  </a:graphic>
                </wp:inline>
              </w:drawing>
            </w:r>
          </w:p>
          <w:p w14:paraId="4D9FF41E"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Where:</w:t>
            </w:r>
          </w:p>
          <w:p w14:paraId="0C64F95F" w14:textId="77777777" w:rsidR="00B22352" w:rsidRPr="00B22352" w:rsidRDefault="00B22352" w:rsidP="00B22352">
            <w:pPr>
              <w:spacing w:before="240"/>
              <w:rPr>
                <w:rFonts w:asciiTheme="majorHAnsi" w:hAnsiTheme="majorHAnsi" w:cstheme="majorHAnsi"/>
                <w:sz w:val="22"/>
                <w:szCs w:val="22"/>
              </w:rPr>
            </w:pPr>
            <w:r w:rsidRPr="00B22352">
              <w:rPr>
                <w:rFonts w:ascii="Cambria Math" w:hAnsi="Cambria Math" w:cs="Cambria Math"/>
                <w:sz w:val="22"/>
                <w:szCs w:val="22"/>
              </w:rPr>
              <w:t>𝜒</w:t>
            </w:r>
            <w:r w:rsidRPr="00B22352">
              <w:rPr>
                <w:rFonts w:asciiTheme="majorHAnsi" w:hAnsiTheme="majorHAnsi" w:cstheme="majorHAnsi"/>
                <w:sz w:val="22"/>
                <w:szCs w:val="22"/>
              </w:rPr>
              <w:softHyphen/>
            </w:r>
            <w:r w:rsidRPr="00B22352">
              <w:rPr>
                <w:rFonts w:asciiTheme="majorHAnsi" w:hAnsiTheme="majorHAnsi" w:cstheme="majorHAnsi"/>
                <w:sz w:val="22"/>
                <w:szCs w:val="22"/>
              </w:rPr>
              <w:softHyphen/>
            </w:r>
            <w:r w:rsidRPr="00B22352">
              <w:rPr>
                <w:rFonts w:asciiTheme="majorHAnsi" w:hAnsiTheme="majorHAnsi" w:cstheme="majorHAnsi"/>
                <w:sz w:val="22"/>
                <w:szCs w:val="22"/>
                <w:vertAlign w:val="superscript"/>
              </w:rPr>
              <w:t>2</w:t>
            </w:r>
            <w:r w:rsidRPr="00B22352">
              <w:rPr>
                <w:rFonts w:asciiTheme="majorHAnsi" w:hAnsiTheme="majorHAnsi" w:cstheme="majorHAnsi"/>
                <w:sz w:val="22"/>
                <w:szCs w:val="22"/>
                <w:vertAlign w:val="subscript"/>
              </w:rPr>
              <w:t>lower</w:t>
            </w:r>
            <w:r w:rsidRPr="00B22352">
              <w:rPr>
                <w:rFonts w:asciiTheme="majorHAnsi" w:hAnsiTheme="majorHAnsi" w:cstheme="majorHAnsi"/>
                <w:sz w:val="22"/>
                <w:szCs w:val="22"/>
              </w:rPr>
              <w:t xml:space="preserve"> is the 100(1– α/</w:t>
            </w:r>
            <w:proofErr w:type="gramStart"/>
            <w:r w:rsidRPr="00B22352">
              <w:rPr>
                <w:rFonts w:asciiTheme="majorHAnsi" w:hAnsiTheme="majorHAnsi" w:cstheme="majorHAnsi"/>
                <w:sz w:val="22"/>
                <w:szCs w:val="22"/>
              </w:rPr>
              <w:t>2)</w:t>
            </w:r>
            <w:proofErr w:type="spellStart"/>
            <w:r w:rsidRPr="00B22352">
              <w:rPr>
                <w:rFonts w:asciiTheme="majorHAnsi" w:hAnsiTheme="majorHAnsi" w:cstheme="majorHAnsi"/>
                <w:sz w:val="22"/>
                <w:szCs w:val="22"/>
              </w:rPr>
              <w:t>th</w:t>
            </w:r>
            <w:proofErr w:type="spellEnd"/>
            <w:proofErr w:type="gramEnd"/>
            <w:r w:rsidRPr="00B22352">
              <w:rPr>
                <w:rFonts w:asciiTheme="majorHAnsi" w:hAnsiTheme="majorHAnsi" w:cstheme="majorHAnsi"/>
                <w:sz w:val="22"/>
                <w:szCs w:val="22"/>
              </w:rPr>
              <w:t xml:space="preserve"> percentile value from the </w:t>
            </w:r>
            <w:r w:rsidRPr="00B22352">
              <w:rPr>
                <w:rFonts w:ascii="Cambria Math" w:hAnsi="Cambria Math" w:cs="Cambria Math"/>
                <w:sz w:val="22"/>
                <w:szCs w:val="22"/>
              </w:rPr>
              <w:t>𝜒</w:t>
            </w:r>
            <w:r w:rsidRPr="00B22352">
              <w:rPr>
                <w:rFonts w:asciiTheme="majorHAnsi" w:hAnsiTheme="majorHAnsi" w:cstheme="majorHAnsi"/>
                <w:sz w:val="22"/>
                <w:szCs w:val="22"/>
                <w:vertAlign w:val="superscript"/>
              </w:rPr>
              <w:t xml:space="preserve">2 </w:t>
            </w:r>
            <w:r w:rsidRPr="00B22352">
              <w:rPr>
                <w:rFonts w:asciiTheme="majorHAnsi" w:hAnsiTheme="majorHAnsi" w:cstheme="majorHAnsi"/>
                <w:sz w:val="22"/>
                <w:szCs w:val="22"/>
              </w:rPr>
              <w:t xml:space="preserve">distribution with </w:t>
            </w:r>
            <w:r w:rsidRPr="00B22352">
              <w:rPr>
                <w:rFonts w:asciiTheme="majorHAnsi" w:hAnsiTheme="majorHAnsi" w:cstheme="majorHAnsi"/>
                <w:i/>
                <w:sz w:val="22"/>
                <w:szCs w:val="22"/>
              </w:rPr>
              <w:t>2O</w:t>
            </w:r>
            <w:r w:rsidRPr="00B22352">
              <w:rPr>
                <w:rFonts w:asciiTheme="majorHAnsi" w:hAnsiTheme="majorHAnsi" w:cstheme="majorHAnsi"/>
                <w:sz w:val="22"/>
                <w:szCs w:val="22"/>
              </w:rPr>
              <w:t xml:space="preserve"> degrees of freedom;</w:t>
            </w:r>
          </w:p>
          <w:p w14:paraId="09017E8F" w14:textId="18BF5628" w:rsidR="00B22352" w:rsidRPr="00B22352" w:rsidRDefault="00B22352" w:rsidP="00B22352">
            <w:pPr>
              <w:spacing w:before="240"/>
              <w:rPr>
                <w:rFonts w:asciiTheme="majorHAnsi" w:hAnsiTheme="majorHAnsi" w:cstheme="majorHAnsi"/>
                <w:b/>
                <w:sz w:val="22"/>
                <w:szCs w:val="22"/>
              </w:rPr>
            </w:pPr>
            <w:r w:rsidRPr="00B22352">
              <w:rPr>
                <w:rFonts w:ascii="Cambria Math" w:hAnsi="Cambria Math" w:cs="Cambria Math"/>
                <w:sz w:val="22"/>
                <w:szCs w:val="22"/>
              </w:rPr>
              <w:lastRenderedPageBreak/>
              <w:t>𝜒</w:t>
            </w:r>
            <w:r w:rsidRPr="00B22352">
              <w:rPr>
                <w:rFonts w:asciiTheme="majorHAnsi" w:hAnsiTheme="majorHAnsi" w:cstheme="majorHAnsi"/>
                <w:sz w:val="22"/>
                <w:szCs w:val="22"/>
              </w:rPr>
              <w:softHyphen/>
            </w:r>
            <w:r w:rsidRPr="00B22352">
              <w:rPr>
                <w:rFonts w:asciiTheme="majorHAnsi" w:hAnsiTheme="majorHAnsi" w:cstheme="majorHAnsi"/>
                <w:sz w:val="22"/>
                <w:szCs w:val="22"/>
              </w:rPr>
              <w:softHyphen/>
            </w:r>
            <w:r w:rsidRPr="00B22352">
              <w:rPr>
                <w:rFonts w:asciiTheme="majorHAnsi" w:hAnsiTheme="majorHAnsi" w:cstheme="majorHAnsi"/>
                <w:sz w:val="22"/>
                <w:szCs w:val="22"/>
                <w:vertAlign w:val="superscript"/>
              </w:rPr>
              <w:t>2</w:t>
            </w:r>
            <w:r w:rsidRPr="00B22352">
              <w:rPr>
                <w:rFonts w:asciiTheme="majorHAnsi" w:hAnsiTheme="majorHAnsi" w:cstheme="majorHAnsi"/>
                <w:sz w:val="22"/>
                <w:szCs w:val="22"/>
                <w:vertAlign w:val="subscript"/>
              </w:rPr>
              <w:t>upper</w:t>
            </w:r>
            <w:r w:rsidRPr="00B22352">
              <w:rPr>
                <w:rFonts w:asciiTheme="majorHAnsi" w:hAnsiTheme="majorHAnsi" w:cstheme="majorHAnsi"/>
                <w:sz w:val="22"/>
                <w:szCs w:val="22"/>
              </w:rPr>
              <w:t xml:space="preserve"> is the 100(α/</w:t>
            </w:r>
            <w:proofErr w:type="gramStart"/>
            <w:r w:rsidRPr="00B22352">
              <w:rPr>
                <w:rFonts w:asciiTheme="majorHAnsi" w:hAnsiTheme="majorHAnsi" w:cstheme="majorHAnsi"/>
                <w:sz w:val="22"/>
                <w:szCs w:val="22"/>
              </w:rPr>
              <w:t>2)</w:t>
            </w:r>
            <w:proofErr w:type="spellStart"/>
            <w:r w:rsidRPr="00B22352">
              <w:rPr>
                <w:rFonts w:asciiTheme="majorHAnsi" w:hAnsiTheme="majorHAnsi" w:cstheme="majorHAnsi"/>
                <w:sz w:val="22"/>
                <w:szCs w:val="22"/>
              </w:rPr>
              <w:t>th</w:t>
            </w:r>
            <w:proofErr w:type="spellEnd"/>
            <w:proofErr w:type="gramEnd"/>
            <w:r w:rsidRPr="00B22352">
              <w:rPr>
                <w:rFonts w:asciiTheme="majorHAnsi" w:hAnsiTheme="majorHAnsi" w:cstheme="majorHAnsi"/>
                <w:sz w:val="22"/>
                <w:szCs w:val="22"/>
              </w:rPr>
              <w:t xml:space="preserve"> percentile value from the </w:t>
            </w:r>
            <w:r w:rsidRPr="00B22352">
              <w:rPr>
                <w:rFonts w:ascii="Cambria Math" w:hAnsi="Cambria Math" w:cs="Cambria Math"/>
                <w:sz w:val="22"/>
                <w:szCs w:val="22"/>
              </w:rPr>
              <w:t>𝜒</w:t>
            </w:r>
            <w:r w:rsidRPr="00B22352">
              <w:rPr>
                <w:rFonts w:asciiTheme="majorHAnsi" w:hAnsiTheme="majorHAnsi" w:cstheme="majorHAnsi"/>
                <w:sz w:val="22"/>
                <w:szCs w:val="22"/>
                <w:vertAlign w:val="superscript"/>
              </w:rPr>
              <w:t xml:space="preserve">2 </w:t>
            </w:r>
            <w:r w:rsidRPr="00B22352">
              <w:rPr>
                <w:rFonts w:asciiTheme="majorHAnsi" w:hAnsiTheme="majorHAnsi" w:cstheme="majorHAnsi"/>
                <w:sz w:val="22"/>
                <w:szCs w:val="22"/>
              </w:rPr>
              <w:t xml:space="preserve">distribution with </w:t>
            </w:r>
            <w:r w:rsidRPr="00B22352">
              <w:rPr>
                <w:rFonts w:asciiTheme="majorHAnsi" w:hAnsiTheme="majorHAnsi" w:cstheme="majorHAnsi"/>
                <w:i/>
                <w:sz w:val="22"/>
                <w:szCs w:val="22"/>
              </w:rPr>
              <w:t>2O+2</w:t>
            </w:r>
            <w:r w:rsidRPr="00B22352">
              <w:rPr>
                <w:rFonts w:asciiTheme="majorHAnsi" w:hAnsiTheme="majorHAnsi" w:cstheme="majorHAnsi"/>
                <w:sz w:val="22"/>
                <w:szCs w:val="22"/>
              </w:rPr>
              <w:t xml:space="preserve"> degrees of freedom</w:t>
            </w:r>
          </w:p>
        </w:tc>
      </w:tr>
      <w:tr w:rsidR="00B22352" w:rsidRPr="00B22352" w14:paraId="0B0A83C7" w14:textId="77777777" w:rsidTr="00DD3C37">
        <w:tc>
          <w:tcPr>
            <w:tcW w:w="3256" w:type="dxa"/>
          </w:tcPr>
          <w:p w14:paraId="0DCE9DFE" w14:textId="2D6E1C65"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lastRenderedPageBreak/>
              <w:t>Justification of confidence intervals / control limits used</w:t>
            </w:r>
          </w:p>
        </w:tc>
        <w:tc>
          <w:tcPr>
            <w:tcW w:w="6598" w:type="dxa"/>
          </w:tcPr>
          <w:p w14:paraId="4A8FD5D1" w14:textId="77777777" w:rsidR="00B22352" w:rsidRPr="00B22352" w:rsidRDefault="00B22352" w:rsidP="00B22352">
            <w:pPr>
              <w:spacing w:before="240"/>
              <w:rPr>
                <w:rFonts w:asciiTheme="majorHAnsi" w:hAnsiTheme="majorHAnsi" w:cstheme="majorHAnsi"/>
                <w:sz w:val="22"/>
                <w:szCs w:val="22"/>
              </w:rPr>
            </w:pPr>
          </w:p>
        </w:tc>
      </w:tr>
      <w:tr w:rsidR="00B22352" w:rsidRPr="00B22352" w14:paraId="0A57443B" w14:textId="77777777" w:rsidTr="00DD3C37">
        <w:tc>
          <w:tcPr>
            <w:tcW w:w="3256" w:type="dxa"/>
          </w:tcPr>
          <w:p w14:paraId="7256D4B8" w14:textId="22EBED41"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Presentation of indicator</w:t>
            </w:r>
          </w:p>
        </w:tc>
        <w:tc>
          <w:tcPr>
            <w:tcW w:w="6598" w:type="dxa"/>
          </w:tcPr>
          <w:p w14:paraId="4FF98CDC"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Indicator data is published in both .csv and .xlsx formats.</w:t>
            </w:r>
          </w:p>
          <w:p w14:paraId="339DC13E"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Data is available at CCG- and National-level for the reporting periods:</w:t>
            </w:r>
          </w:p>
          <w:p w14:paraId="460B41E3" w14:textId="77777777" w:rsidR="00B22352" w:rsidRPr="00B22352" w:rsidRDefault="00B22352" w:rsidP="00B22352">
            <w:pPr>
              <w:pStyle w:val="ListParagraph"/>
              <w:numPr>
                <w:ilvl w:val="0"/>
                <w:numId w:val="10"/>
              </w:numPr>
              <w:spacing w:after="0"/>
              <w:ind w:left="714" w:hanging="357"/>
              <w:rPr>
                <w:rFonts w:asciiTheme="majorHAnsi" w:hAnsiTheme="majorHAnsi" w:cstheme="majorHAnsi"/>
                <w:sz w:val="22"/>
                <w:szCs w:val="22"/>
              </w:rPr>
            </w:pPr>
            <w:r w:rsidRPr="00B22352">
              <w:rPr>
                <w:rFonts w:asciiTheme="majorHAnsi" w:hAnsiTheme="majorHAnsi" w:cstheme="majorHAnsi"/>
                <w:sz w:val="22"/>
                <w:szCs w:val="22"/>
              </w:rPr>
              <w:t>01/04/2014 to 31/03/2017</w:t>
            </w:r>
          </w:p>
          <w:p w14:paraId="38EB7D8D" w14:textId="77777777" w:rsidR="00B22352" w:rsidRPr="00B22352" w:rsidRDefault="00B22352" w:rsidP="00B22352">
            <w:pPr>
              <w:pStyle w:val="ListParagraph"/>
              <w:numPr>
                <w:ilvl w:val="0"/>
                <w:numId w:val="10"/>
              </w:numPr>
              <w:spacing w:after="0"/>
              <w:ind w:left="714" w:hanging="357"/>
              <w:rPr>
                <w:rFonts w:asciiTheme="majorHAnsi" w:hAnsiTheme="majorHAnsi" w:cstheme="majorHAnsi"/>
                <w:sz w:val="22"/>
                <w:szCs w:val="22"/>
              </w:rPr>
            </w:pPr>
            <w:r w:rsidRPr="00B22352">
              <w:rPr>
                <w:rFonts w:asciiTheme="majorHAnsi" w:hAnsiTheme="majorHAnsi" w:cstheme="majorHAnsi"/>
                <w:sz w:val="22"/>
                <w:szCs w:val="22"/>
              </w:rPr>
              <w:t>01/01/2014 to 31/12/2016</w:t>
            </w:r>
          </w:p>
          <w:p w14:paraId="3D3C6D21" w14:textId="77777777" w:rsidR="00B22352" w:rsidRPr="00B22352" w:rsidRDefault="00B22352" w:rsidP="00B22352">
            <w:pPr>
              <w:pStyle w:val="ListParagraph"/>
              <w:numPr>
                <w:ilvl w:val="0"/>
                <w:numId w:val="10"/>
              </w:numPr>
              <w:spacing w:after="0"/>
              <w:ind w:left="714" w:hanging="357"/>
              <w:rPr>
                <w:rFonts w:asciiTheme="majorHAnsi" w:hAnsiTheme="majorHAnsi" w:cstheme="majorHAnsi"/>
                <w:sz w:val="22"/>
                <w:szCs w:val="22"/>
              </w:rPr>
            </w:pPr>
            <w:r w:rsidRPr="00B22352">
              <w:rPr>
                <w:rFonts w:asciiTheme="majorHAnsi" w:hAnsiTheme="majorHAnsi" w:cstheme="majorHAnsi"/>
                <w:sz w:val="22"/>
                <w:szCs w:val="22"/>
              </w:rPr>
              <w:t>01/10/2013 to 30/09/2016</w:t>
            </w:r>
          </w:p>
          <w:p w14:paraId="52335BD6" w14:textId="77777777" w:rsidR="00B22352" w:rsidRPr="00B22352" w:rsidRDefault="00B22352" w:rsidP="00B22352">
            <w:pPr>
              <w:pStyle w:val="ListParagraph"/>
              <w:numPr>
                <w:ilvl w:val="0"/>
                <w:numId w:val="10"/>
              </w:numPr>
              <w:spacing w:after="0"/>
              <w:ind w:left="714" w:hanging="357"/>
              <w:rPr>
                <w:rFonts w:asciiTheme="majorHAnsi" w:hAnsiTheme="majorHAnsi" w:cstheme="majorHAnsi"/>
                <w:sz w:val="22"/>
                <w:szCs w:val="22"/>
              </w:rPr>
            </w:pPr>
            <w:r w:rsidRPr="00B22352">
              <w:rPr>
                <w:rFonts w:asciiTheme="majorHAnsi" w:hAnsiTheme="majorHAnsi" w:cstheme="majorHAnsi"/>
                <w:sz w:val="22"/>
                <w:szCs w:val="22"/>
              </w:rPr>
              <w:t>01/07/2013 to 30/06/2016</w:t>
            </w:r>
          </w:p>
          <w:p w14:paraId="1756FA36" w14:textId="77777777" w:rsidR="00B22352" w:rsidRPr="00B22352" w:rsidRDefault="00B22352" w:rsidP="00B22352">
            <w:pPr>
              <w:pStyle w:val="ListParagraph"/>
              <w:numPr>
                <w:ilvl w:val="0"/>
                <w:numId w:val="10"/>
              </w:numPr>
              <w:spacing w:after="0"/>
              <w:ind w:left="714" w:hanging="357"/>
              <w:rPr>
                <w:rFonts w:asciiTheme="majorHAnsi" w:hAnsiTheme="majorHAnsi" w:cstheme="majorHAnsi"/>
                <w:sz w:val="22"/>
                <w:szCs w:val="22"/>
              </w:rPr>
            </w:pPr>
            <w:r w:rsidRPr="00B22352">
              <w:rPr>
                <w:rFonts w:asciiTheme="majorHAnsi" w:hAnsiTheme="majorHAnsi" w:cstheme="majorHAnsi"/>
                <w:sz w:val="22"/>
                <w:szCs w:val="22"/>
              </w:rPr>
              <w:t>01/04/2013 to 31/03/2016</w:t>
            </w:r>
          </w:p>
          <w:p w14:paraId="7EC99872" w14:textId="77777777" w:rsidR="00B22352" w:rsidRPr="00B22352" w:rsidRDefault="00B22352" w:rsidP="00B22352">
            <w:pPr>
              <w:pStyle w:val="ListParagraph"/>
              <w:numPr>
                <w:ilvl w:val="0"/>
                <w:numId w:val="10"/>
              </w:numPr>
              <w:spacing w:after="0"/>
              <w:ind w:left="714" w:hanging="357"/>
              <w:rPr>
                <w:rFonts w:asciiTheme="majorHAnsi" w:hAnsiTheme="majorHAnsi" w:cstheme="majorHAnsi"/>
                <w:sz w:val="22"/>
                <w:szCs w:val="22"/>
              </w:rPr>
            </w:pPr>
            <w:r w:rsidRPr="00B22352">
              <w:rPr>
                <w:rFonts w:asciiTheme="majorHAnsi" w:hAnsiTheme="majorHAnsi" w:cstheme="majorHAnsi"/>
                <w:sz w:val="22"/>
                <w:szCs w:val="22"/>
              </w:rPr>
              <w:t>01/04/2012 to 31/03/2015</w:t>
            </w:r>
          </w:p>
          <w:p w14:paraId="16EA3B69" w14:textId="77777777" w:rsidR="00B22352" w:rsidRPr="00B22352" w:rsidRDefault="00B22352" w:rsidP="00B22352">
            <w:pPr>
              <w:pStyle w:val="ListParagraph"/>
              <w:numPr>
                <w:ilvl w:val="0"/>
                <w:numId w:val="10"/>
              </w:numPr>
              <w:spacing w:after="0"/>
              <w:ind w:left="714" w:hanging="357"/>
              <w:rPr>
                <w:rFonts w:asciiTheme="majorHAnsi" w:hAnsiTheme="majorHAnsi" w:cstheme="majorHAnsi"/>
                <w:sz w:val="22"/>
                <w:szCs w:val="22"/>
              </w:rPr>
            </w:pPr>
            <w:r w:rsidRPr="00B22352">
              <w:rPr>
                <w:rFonts w:asciiTheme="majorHAnsi" w:hAnsiTheme="majorHAnsi" w:cstheme="majorHAnsi"/>
                <w:sz w:val="22"/>
                <w:szCs w:val="22"/>
              </w:rPr>
              <w:t>01/04/2011 to 31/03/2014</w:t>
            </w:r>
          </w:p>
          <w:p w14:paraId="32F5F77F" w14:textId="77777777" w:rsidR="00B22352" w:rsidRPr="00B22352" w:rsidRDefault="00B22352" w:rsidP="00B22352">
            <w:pPr>
              <w:rPr>
                <w:rFonts w:asciiTheme="majorHAnsi" w:hAnsiTheme="majorHAnsi" w:cstheme="majorHAnsi"/>
                <w:sz w:val="22"/>
                <w:szCs w:val="22"/>
              </w:rPr>
            </w:pPr>
          </w:p>
          <w:p w14:paraId="2124A080"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Column headings on the output file are:</w:t>
            </w:r>
            <w:r w:rsidRPr="00B22352">
              <w:rPr>
                <w:rFonts w:asciiTheme="majorHAnsi" w:hAnsiTheme="majorHAnsi" w:cstheme="majorHAnsi"/>
                <w:sz w:val="22"/>
                <w:szCs w:val="22"/>
              </w:rPr>
              <w:br/>
            </w:r>
          </w:p>
          <w:p w14:paraId="152E0E6B"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Reporting period</w:t>
            </w:r>
          </w:p>
          <w:p w14:paraId="22EBD007"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Period of coverage</w:t>
            </w:r>
          </w:p>
          <w:p w14:paraId="4B985603"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Breakdown</w:t>
            </w:r>
          </w:p>
          <w:p w14:paraId="2E289725"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ONS code</w:t>
            </w:r>
          </w:p>
          <w:p w14:paraId="663B290D"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Level</w:t>
            </w:r>
          </w:p>
          <w:p w14:paraId="06A2C3EC"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Level description</w:t>
            </w:r>
          </w:p>
          <w:p w14:paraId="2D42F34D"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Indicator value</w:t>
            </w:r>
          </w:p>
          <w:p w14:paraId="7C7C9E25"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CI lower</w:t>
            </w:r>
          </w:p>
          <w:p w14:paraId="53CBF517"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CI upper</w:t>
            </w:r>
          </w:p>
          <w:p w14:paraId="528652BD"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Denominator</w:t>
            </w:r>
          </w:p>
          <w:p w14:paraId="0620FF45" w14:textId="77777777" w:rsidR="00B22352" w:rsidRPr="00B22352" w:rsidRDefault="00B22352" w:rsidP="00B22352">
            <w:pPr>
              <w:pStyle w:val="ListParagraph"/>
              <w:numPr>
                <w:ilvl w:val="0"/>
                <w:numId w:val="10"/>
              </w:numPr>
              <w:spacing w:after="0"/>
              <w:ind w:left="714" w:hanging="357"/>
              <w:jc w:val="both"/>
              <w:rPr>
                <w:rFonts w:asciiTheme="majorHAnsi" w:hAnsiTheme="majorHAnsi" w:cstheme="majorHAnsi"/>
                <w:sz w:val="22"/>
                <w:szCs w:val="22"/>
              </w:rPr>
            </w:pPr>
            <w:r w:rsidRPr="00B22352">
              <w:rPr>
                <w:rFonts w:asciiTheme="majorHAnsi" w:hAnsiTheme="majorHAnsi" w:cstheme="majorHAnsi"/>
                <w:sz w:val="22"/>
                <w:szCs w:val="22"/>
              </w:rPr>
              <w:t>Numerator</w:t>
            </w:r>
          </w:p>
          <w:p w14:paraId="082B909B" w14:textId="77777777" w:rsidR="00B22352" w:rsidRPr="00B22352" w:rsidRDefault="00B22352" w:rsidP="00B22352">
            <w:pPr>
              <w:spacing w:before="240"/>
              <w:rPr>
                <w:rFonts w:asciiTheme="majorHAnsi" w:hAnsiTheme="majorHAnsi" w:cstheme="majorHAnsi"/>
                <w:sz w:val="22"/>
                <w:szCs w:val="22"/>
              </w:rPr>
            </w:pPr>
          </w:p>
        </w:tc>
      </w:tr>
      <w:tr w:rsidR="00B22352" w:rsidRPr="00B22352" w14:paraId="60A2BD8E" w14:textId="77777777" w:rsidTr="00DD3C37">
        <w:tc>
          <w:tcPr>
            <w:tcW w:w="3256" w:type="dxa"/>
          </w:tcPr>
          <w:p w14:paraId="5E4EECE4" w14:textId="77777777"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Contextual information provided alongside indicator</w:t>
            </w:r>
          </w:p>
          <w:p w14:paraId="62C6B3D2" w14:textId="14E2CDC8"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sz w:val="22"/>
                <w:szCs w:val="22"/>
              </w:rPr>
              <w:t>with justification</w:t>
            </w:r>
          </w:p>
        </w:tc>
        <w:tc>
          <w:tcPr>
            <w:tcW w:w="6598" w:type="dxa"/>
          </w:tcPr>
          <w:p w14:paraId="7BED7B5E" w14:textId="77777777" w:rsidR="00B22352" w:rsidRPr="00B22352" w:rsidRDefault="00B22352" w:rsidP="00B22352">
            <w:pPr>
              <w:spacing w:before="240"/>
              <w:rPr>
                <w:rFonts w:asciiTheme="majorHAnsi" w:hAnsiTheme="majorHAnsi" w:cstheme="majorHAnsi"/>
                <w:sz w:val="22"/>
                <w:szCs w:val="22"/>
              </w:rPr>
            </w:pPr>
          </w:p>
        </w:tc>
      </w:tr>
      <w:tr w:rsidR="00B22352" w:rsidRPr="00B22352" w14:paraId="15E7A418" w14:textId="77777777" w:rsidTr="00DD3C37">
        <w:tc>
          <w:tcPr>
            <w:tcW w:w="3256" w:type="dxa"/>
          </w:tcPr>
          <w:p w14:paraId="773C6A6C" w14:textId="728EE3B7"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Calculation and data source of contextual information</w:t>
            </w:r>
          </w:p>
        </w:tc>
        <w:tc>
          <w:tcPr>
            <w:tcW w:w="6598" w:type="dxa"/>
          </w:tcPr>
          <w:p w14:paraId="63CBA0E0" w14:textId="77777777" w:rsidR="00B22352" w:rsidRPr="00B22352" w:rsidRDefault="00B22352" w:rsidP="00B22352">
            <w:pPr>
              <w:spacing w:before="240"/>
              <w:rPr>
                <w:rFonts w:asciiTheme="majorHAnsi" w:hAnsiTheme="majorHAnsi" w:cstheme="majorHAnsi"/>
                <w:sz w:val="22"/>
                <w:szCs w:val="22"/>
              </w:rPr>
            </w:pPr>
          </w:p>
        </w:tc>
      </w:tr>
      <w:tr w:rsidR="00B22352" w:rsidRPr="00B22352" w14:paraId="289B3DFE" w14:textId="77777777" w:rsidTr="00DD3C37">
        <w:tc>
          <w:tcPr>
            <w:tcW w:w="3256" w:type="dxa"/>
          </w:tcPr>
          <w:p w14:paraId="66A5FBF5" w14:textId="77777777"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Use of bandings, benchmarks or targets</w:t>
            </w:r>
          </w:p>
          <w:p w14:paraId="6E5A460D" w14:textId="08BFD92C"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sz w:val="22"/>
                <w:szCs w:val="22"/>
              </w:rPr>
              <w:t>with justification</w:t>
            </w:r>
          </w:p>
        </w:tc>
        <w:tc>
          <w:tcPr>
            <w:tcW w:w="6598" w:type="dxa"/>
          </w:tcPr>
          <w:p w14:paraId="183E49A0" w14:textId="77777777" w:rsidR="00B22352" w:rsidRPr="00B22352" w:rsidRDefault="00B22352" w:rsidP="00B22352">
            <w:pPr>
              <w:spacing w:before="240"/>
              <w:rPr>
                <w:rFonts w:asciiTheme="majorHAnsi" w:hAnsiTheme="majorHAnsi" w:cstheme="majorHAnsi"/>
                <w:sz w:val="22"/>
                <w:szCs w:val="22"/>
              </w:rPr>
            </w:pPr>
          </w:p>
        </w:tc>
      </w:tr>
      <w:tr w:rsidR="00B22352" w:rsidRPr="00B22352" w14:paraId="1B97865A" w14:textId="77777777" w:rsidTr="00DD3C37">
        <w:tc>
          <w:tcPr>
            <w:tcW w:w="3256" w:type="dxa"/>
          </w:tcPr>
          <w:p w14:paraId="1F09F88C" w14:textId="77777777"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lastRenderedPageBreak/>
              <w:t>Banding, benchmark or target methodology</w:t>
            </w:r>
          </w:p>
          <w:p w14:paraId="69969F5A" w14:textId="5C90E222"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sz w:val="22"/>
                <w:szCs w:val="22"/>
              </w:rPr>
              <w:t>if appropriate</w:t>
            </w:r>
          </w:p>
        </w:tc>
        <w:tc>
          <w:tcPr>
            <w:tcW w:w="6598" w:type="dxa"/>
          </w:tcPr>
          <w:p w14:paraId="526C30C3" w14:textId="77777777" w:rsidR="00B22352" w:rsidRPr="00B22352" w:rsidRDefault="00B22352" w:rsidP="00B22352">
            <w:pPr>
              <w:spacing w:before="240"/>
              <w:rPr>
                <w:rFonts w:asciiTheme="majorHAnsi" w:hAnsiTheme="majorHAnsi" w:cstheme="majorHAnsi"/>
                <w:sz w:val="22"/>
                <w:szCs w:val="22"/>
              </w:rPr>
            </w:pPr>
          </w:p>
        </w:tc>
      </w:tr>
      <w:tr w:rsidR="00B22352" w:rsidRPr="00B22352" w14:paraId="57BC96EE" w14:textId="77777777" w:rsidTr="00DD3C37">
        <w:tc>
          <w:tcPr>
            <w:tcW w:w="3256" w:type="dxa"/>
          </w:tcPr>
          <w:p w14:paraId="71B1B0E9" w14:textId="248731C7"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Interpretation guidelines</w:t>
            </w:r>
          </w:p>
        </w:tc>
        <w:tc>
          <w:tcPr>
            <w:tcW w:w="6598" w:type="dxa"/>
          </w:tcPr>
          <w:p w14:paraId="48DCBFF3" w14:textId="77777777" w:rsidR="00B22352" w:rsidRPr="00B22352" w:rsidRDefault="00B22352" w:rsidP="00B22352">
            <w:pPr>
              <w:spacing w:before="240"/>
              <w:rPr>
                <w:rFonts w:asciiTheme="majorHAnsi" w:hAnsiTheme="majorHAnsi" w:cstheme="majorHAnsi"/>
                <w:sz w:val="22"/>
                <w:szCs w:val="22"/>
              </w:rPr>
            </w:pPr>
          </w:p>
        </w:tc>
      </w:tr>
      <w:tr w:rsidR="00B22352" w:rsidRPr="00B22352" w14:paraId="6DB496B0" w14:textId="77777777" w:rsidTr="00DD3C37">
        <w:tc>
          <w:tcPr>
            <w:tcW w:w="3256" w:type="dxa"/>
          </w:tcPr>
          <w:p w14:paraId="24D583D6" w14:textId="4405DE37"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Limitations and potential bias</w:t>
            </w:r>
          </w:p>
        </w:tc>
        <w:tc>
          <w:tcPr>
            <w:tcW w:w="6598" w:type="dxa"/>
          </w:tcPr>
          <w:p w14:paraId="302ABC9F"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 </w:t>
            </w:r>
          </w:p>
          <w:p w14:paraId="7292F507" w14:textId="77777777" w:rsidR="00B22352" w:rsidRPr="00B22352" w:rsidRDefault="00B22352" w:rsidP="00B22352">
            <w:pPr>
              <w:pStyle w:val="ListParagraph"/>
              <w:numPr>
                <w:ilvl w:val="0"/>
                <w:numId w:val="11"/>
              </w:numPr>
              <w:spacing w:before="240"/>
              <w:rPr>
                <w:rFonts w:asciiTheme="majorHAnsi" w:hAnsiTheme="majorHAnsi" w:cstheme="majorHAnsi"/>
                <w:sz w:val="22"/>
                <w:szCs w:val="22"/>
              </w:rPr>
            </w:pPr>
            <w:r w:rsidRPr="00B22352">
              <w:rPr>
                <w:rFonts w:asciiTheme="majorHAnsi" w:hAnsiTheme="majorHAnsi" w:cstheme="majorHAnsi"/>
                <w:sz w:val="22"/>
                <w:szCs w:val="22"/>
              </w:rPr>
              <w:t>This indicator requires careful interpretation and should not be used in isolation. It should be taken in conjunction with other indicators and information from other sources that together form a holistic view of CCG outcomes and a fuller overview of how CCG processes are impacting on outcomes.</w:t>
            </w:r>
          </w:p>
          <w:p w14:paraId="0ACF0282" w14:textId="77777777" w:rsidR="00B22352" w:rsidRPr="00B22352" w:rsidRDefault="00B22352" w:rsidP="00B22352">
            <w:pPr>
              <w:pStyle w:val="ListParagraph"/>
              <w:numPr>
                <w:ilvl w:val="0"/>
                <w:numId w:val="11"/>
              </w:numPr>
              <w:spacing w:before="240"/>
              <w:rPr>
                <w:rFonts w:asciiTheme="majorHAnsi" w:hAnsiTheme="majorHAnsi" w:cstheme="majorHAnsi"/>
                <w:sz w:val="22"/>
                <w:szCs w:val="22"/>
              </w:rPr>
            </w:pPr>
            <w:r w:rsidRPr="00B22352">
              <w:rPr>
                <w:rFonts w:asciiTheme="majorHAnsi" w:hAnsiTheme="majorHAnsi" w:cstheme="majorHAnsi"/>
                <w:sz w:val="22"/>
                <w:szCs w:val="22"/>
              </w:rPr>
              <w:t>Standardisation is by age and sex and does not encompass any other factors that could potentially influence the rate.</w:t>
            </w:r>
          </w:p>
          <w:p w14:paraId="429FFD88" w14:textId="77777777" w:rsidR="00B22352" w:rsidRPr="00B22352" w:rsidRDefault="00B22352" w:rsidP="00B22352">
            <w:pPr>
              <w:pStyle w:val="ListParagraph"/>
              <w:numPr>
                <w:ilvl w:val="0"/>
                <w:numId w:val="11"/>
              </w:numPr>
              <w:spacing w:before="240"/>
              <w:rPr>
                <w:rFonts w:asciiTheme="majorHAnsi" w:hAnsiTheme="majorHAnsi" w:cstheme="majorHAnsi"/>
                <w:sz w:val="22"/>
                <w:szCs w:val="22"/>
              </w:rPr>
            </w:pPr>
            <w:r w:rsidRPr="00B22352">
              <w:rPr>
                <w:rFonts w:asciiTheme="majorHAnsi" w:hAnsiTheme="majorHAnsi" w:cstheme="majorHAnsi"/>
                <w:sz w:val="22"/>
                <w:szCs w:val="22"/>
              </w:rPr>
              <w:t xml:space="preserve">Differences in </w:t>
            </w:r>
            <w:proofErr w:type="spellStart"/>
            <w:r w:rsidRPr="00B22352">
              <w:rPr>
                <w:rFonts w:asciiTheme="majorHAnsi" w:hAnsiTheme="majorHAnsi" w:cstheme="majorHAnsi"/>
                <w:sz w:val="22"/>
                <w:szCs w:val="22"/>
              </w:rPr>
              <w:t>casemix</w:t>
            </w:r>
            <w:proofErr w:type="spellEnd"/>
            <w:r w:rsidRPr="00B22352">
              <w:rPr>
                <w:rFonts w:asciiTheme="majorHAnsi" w:hAnsiTheme="majorHAnsi" w:cstheme="majorHAnsi"/>
                <w:sz w:val="22"/>
                <w:szCs w:val="22"/>
              </w:rPr>
              <w:t xml:space="preserve"> (beyond that accounted for by standardisation), comorbidities and other potential risk factors also contribute to the variation.</w:t>
            </w:r>
          </w:p>
          <w:p w14:paraId="0ECE2F1D" w14:textId="77777777" w:rsidR="00B22352" w:rsidRPr="00B22352" w:rsidRDefault="00B22352" w:rsidP="00B22352">
            <w:pPr>
              <w:pStyle w:val="ListParagraph"/>
              <w:numPr>
                <w:ilvl w:val="0"/>
                <w:numId w:val="11"/>
              </w:numPr>
              <w:spacing w:before="240"/>
              <w:rPr>
                <w:rFonts w:asciiTheme="majorHAnsi" w:hAnsiTheme="majorHAnsi" w:cstheme="majorHAnsi"/>
                <w:sz w:val="22"/>
                <w:szCs w:val="22"/>
              </w:rPr>
            </w:pPr>
            <w:r w:rsidRPr="00B22352">
              <w:rPr>
                <w:rFonts w:asciiTheme="majorHAnsi" w:hAnsiTheme="majorHAnsi" w:cstheme="majorHAnsi"/>
                <w:sz w:val="22"/>
                <w:szCs w:val="22"/>
              </w:rPr>
              <w:t xml:space="preserve">There may be variation in the prevalence of </w:t>
            </w:r>
            <w:proofErr w:type="gramStart"/>
            <w:r w:rsidRPr="00B22352">
              <w:rPr>
                <w:rFonts w:asciiTheme="majorHAnsi" w:hAnsiTheme="majorHAnsi" w:cstheme="majorHAnsi"/>
                <w:sz w:val="22"/>
                <w:szCs w:val="22"/>
              </w:rPr>
              <w:t>particular conditions</w:t>
            </w:r>
            <w:proofErr w:type="gramEnd"/>
            <w:r w:rsidRPr="00B22352">
              <w:rPr>
                <w:rFonts w:asciiTheme="majorHAnsi" w:hAnsiTheme="majorHAnsi" w:cstheme="majorHAnsi"/>
                <w:sz w:val="22"/>
                <w:szCs w:val="22"/>
              </w:rPr>
              <w:t xml:space="preserve"> due to differing levels of deprivation, for other geo-demographic reasons or between patients of different ethnic heritages.</w:t>
            </w:r>
          </w:p>
          <w:p w14:paraId="16F223CF" w14:textId="77777777" w:rsidR="00B22352" w:rsidRPr="00B22352" w:rsidRDefault="00B22352" w:rsidP="00B22352">
            <w:pPr>
              <w:pStyle w:val="ListParagraph"/>
              <w:numPr>
                <w:ilvl w:val="0"/>
                <w:numId w:val="11"/>
              </w:numPr>
              <w:spacing w:before="240"/>
              <w:rPr>
                <w:rFonts w:asciiTheme="majorHAnsi" w:hAnsiTheme="majorHAnsi" w:cstheme="majorHAnsi"/>
                <w:sz w:val="22"/>
                <w:szCs w:val="22"/>
              </w:rPr>
            </w:pPr>
            <w:r w:rsidRPr="00B22352">
              <w:rPr>
                <w:rFonts w:asciiTheme="majorHAnsi" w:hAnsiTheme="majorHAnsi" w:cstheme="majorHAnsi"/>
                <w:sz w:val="22"/>
                <w:szCs w:val="22"/>
              </w:rPr>
              <w:t xml:space="preserve">A number of factors outside the control of healthcare providers, such as the socio-economic mix of local populations, may determine whether a patient is admitted; </w:t>
            </w:r>
            <w:proofErr w:type="gramStart"/>
            <w:r w:rsidRPr="00B22352">
              <w:rPr>
                <w:rFonts w:asciiTheme="majorHAnsi" w:hAnsiTheme="majorHAnsi" w:cstheme="majorHAnsi"/>
                <w:sz w:val="22"/>
                <w:szCs w:val="22"/>
              </w:rPr>
              <w:t>thus</w:t>
            </w:r>
            <w:proofErr w:type="gramEnd"/>
            <w:r w:rsidRPr="00B22352">
              <w:rPr>
                <w:rFonts w:asciiTheme="majorHAnsi" w:hAnsiTheme="majorHAnsi" w:cstheme="majorHAnsi"/>
                <w:sz w:val="22"/>
                <w:szCs w:val="22"/>
              </w:rPr>
              <w:t xml:space="preserve"> this could influence rates.</w:t>
            </w:r>
          </w:p>
          <w:p w14:paraId="62547F7C" w14:textId="77777777" w:rsidR="00B22352" w:rsidRPr="00B22352" w:rsidRDefault="00B22352" w:rsidP="00B22352">
            <w:pPr>
              <w:pStyle w:val="ListParagraph"/>
              <w:numPr>
                <w:ilvl w:val="0"/>
                <w:numId w:val="11"/>
              </w:numPr>
              <w:spacing w:before="240"/>
              <w:rPr>
                <w:rFonts w:asciiTheme="majorHAnsi" w:hAnsiTheme="majorHAnsi" w:cstheme="majorHAnsi"/>
                <w:sz w:val="22"/>
                <w:szCs w:val="22"/>
              </w:rPr>
            </w:pPr>
            <w:r w:rsidRPr="00B22352">
              <w:rPr>
                <w:rFonts w:asciiTheme="majorHAnsi" w:hAnsiTheme="majorHAnsi" w:cstheme="majorHAnsi"/>
                <w:sz w:val="22"/>
                <w:szCs w:val="22"/>
              </w:rPr>
              <w:t xml:space="preserve">The patterns of providing care may vary between organisations in terms </w:t>
            </w:r>
            <w:proofErr w:type="gramStart"/>
            <w:r w:rsidRPr="00B22352">
              <w:rPr>
                <w:rFonts w:asciiTheme="majorHAnsi" w:hAnsiTheme="majorHAnsi" w:cstheme="majorHAnsi"/>
                <w:sz w:val="22"/>
                <w:szCs w:val="22"/>
              </w:rPr>
              <w:t>of:</w:t>
            </w:r>
            <w:proofErr w:type="gramEnd"/>
            <w:r w:rsidRPr="00B22352">
              <w:rPr>
                <w:rFonts w:asciiTheme="majorHAnsi" w:hAnsiTheme="majorHAnsi" w:cstheme="majorHAnsi"/>
                <w:sz w:val="22"/>
                <w:szCs w:val="22"/>
              </w:rPr>
              <w:t xml:space="preserve"> extent of treatment in primary care settings; referral policies and practices; hospital outpatient facilities/walk-in clinics; and hospital inpatient admission policies and practices.</w:t>
            </w:r>
          </w:p>
          <w:p w14:paraId="5EAB963B" w14:textId="77777777" w:rsidR="00B22352" w:rsidRPr="00B22352" w:rsidRDefault="00B22352" w:rsidP="00B22352">
            <w:pPr>
              <w:pStyle w:val="ListParagraph"/>
              <w:numPr>
                <w:ilvl w:val="0"/>
                <w:numId w:val="11"/>
              </w:numPr>
              <w:spacing w:before="240"/>
              <w:rPr>
                <w:rFonts w:asciiTheme="majorHAnsi" w:hAnsiTheme="majorHAnsi" w:cstheme="majorHAnsi"/>
                <w:sz w:val="22"/>
                <w:szCs w:val="22"/>
              </w:rPr>
            </w:pPr>
            <w:r w:rsidRPr="00B22352">
              <w:rPr>
                <w:rFonts w:asciiTheme="majorHAnsi" w:hAnsiTheme="majorHAnsi" w:cstheme="majorHAnsi"/>
                <w:sz w:val="22"/>
                <w:szCs w:val="22"/>
              </w:rPr>
              <w:t>There may be local variation in data quality, particularly in terms of diagnostic and procedure coding.</w:t>
            </w:r>
          </w:p>
          <w:p w14:paraId="2E2F7552" w14:textId="77AF3BA2"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Some factors causing or exacerbating relevant conditions are outside the control and influence of the NHS and CCGs. These can vary by region, and may include environmental factors such as air quality, occupational hazards and deprivation.</w:t>
            </w:r>
          </w:p>
        </w:tc>
      </w:tr>
      <w:tr w:rsidR="00B22352" w:rsidRPr="00B22352" w14:paraId="660B9093" w14:textId="77777777" w:rsidTr="00DD3C37">
        <w:tc>
          <w:tcPr>
            <w:tcW w:w="3256" w:type="dxa"/>
          </w:tcPr>
          <w:p w14:paraId="686C694B" w14:textId="64B636EF"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Improvement actions</w:t>
            </w:r>
          </w:p>
        </w:tc>
        <w:tc>
          <w:tcPr>
            <w:tcW w:w="6598" w:type="dxa"/>
          </w:tcPr>
          <w:p w14:paraId="22104AA0" w14:textId="3D665F5E"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It is expected that CCGs will use this indicator to identify how improvements in care and the desired reduction of alcohol-specific emergency readmissions will be delivered. A CCG may be able to invest in primary care or community-based services to offer more help to people with alcohol problems in order to </w:t>
            </w:r>
            <w:r w:rsidRPr="00B22352">
              <w:rPr>
                <w:rFonts w:asciiTheme="majorHAnsi" w:hAnsiTheme="majorHAnsi" w:cstheme="majorHAnsi"/>
                <w:sz w:val="22"/>
                <w:szCs w:val="22"/>
              </w:rPr>
              <w:lastRenderedPageBreak/>
              <w:t>reduce the number of alcohol-specific admissions and subsequent readmissions.</w:t>
            </w:r>
          </w:p>
        </w:tc>
      </w:tr>
      <w:tr w:rsidR="00B22352" w:rsidRPr="00B22352" w14:paraId="10FF430B" w14:textId="77777777" w:rsidTr="00DD3C37">
        <w:tc>
          <w:tcPr>
            <w:tcW w:w="3256" w:type="dxa"/>
          </w:tcPr>
          <w:p w14:paraId="3562645C" w14:textId="2BBBAFA6"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lastRenderedPageBreak/>
              <w:t>Evidence of variability</w:t>
            </w:r>
          </w:p>
        </w:tc>
        <w:tc>
          <w:tcPr>
            <w:tcW w:w="6598" w:type="dxa"/>
          </w:tcPr>
          <w:p w14:paraId="1AB0F04C" w14:textId="77777777" w:rsidR="00B22352" w:rsidRPr="00B22352" w:rsidRDefault="00B22352" w:rsidP="00B22352">
            <w:pPr>
              <w:spacing w:before="240"/>
              <w:rPr>
                <w:rFonts w:asciiTheme="majorHAnsi" w:hAnsiTheme="majorHAnsi" w:cstheme="majorHAnsi"/>
                <w:sz w:val="22"/>
                <w:szCs w:val="22"/>
              </w:rPr>
            </w:pPr>
          </w:p>
        </w:tc>
      </w:tr>
      <w:tr w:rsidR="00B22352" w:rsidRPr="00B22352" w14:paraId="3F9E902E" w14:textId="77777777" w:rsidTr="00DD3C37">
        <w:tc>
          <w:tcPr>
            <w:tcW w:w="3256" w:type="dxa"/>
          </w:tcPr>
          <w:p w14:paraId="3E90510E" w14:textId="5F5AD42C"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Similar existing indicators</w:t>
            </w:r>
          </w:p>
        </w:tc>
        <w:tc>
          <w:tcPr>
            <w:tcW w:w="6598" w:type="dxa"/>
          </w:tcPr>
          <w:p w14:paraId="4182525D" w14:textId="3A8A7D3E"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There are two CCG OIS indicators relating to alcohol-specific </w:t>
            </w:r>
            <w:proofErr w:type="gramStart"/>
            <w:r w:rsidRPr="00B22352">
              <w:rPr>
                <w:rFonts w:asciiTheme="majorHAnsi" w:hAnsiTheme="majorHAnsi" w:cstheme="majorHAnsi"/>
                <w:sz w:val="22"/>
                <w:szCs w:val="22"/>
              </w:rPr>
              <w:t>conditions;</w:t>
            </w:r>
            <w:proofErr w:type="gramEnd"/>
            <w:r w:rsidRPr="00B22352">
              <w:rPr>
                <w:rFonts w:asciiTheme="majorHAnsi" w:hAnsiTheme="majorHAnsi" w:cstheme="majorHAnsi"/>
                <w:sz w:val="22"/>
                <w:szCs w:val="22"/>
              </w:rPr>
              <w:t xml:space="preserve"> one for alcohol-specific admissions (</w:t>
            </w:r>
            <w:r w:rsidRPr="00B22352">
              <w:rPr>
                <w:rFonts w:asciiTheme="majorHAnsi" w:hAnsiTheme="majorHAnsi" w:cstheme="majorHAnsi"/>
                <w:i/>
                <w:sz w:val="22"/>
                <w:szCs w:val="22"/>
              </w:rPr>
              <w:t>CCG OIS 3.14 Alcohol-specific hospital admissions</w:t>
            </w:r>
            <w:r w:rsidRPr="00B22352">
              <w:rPr>
                <w:rFonts w:asciiTheme="majorHAnsi" w:hAnsiTheme="majorHAnsi" w:cstheme="majorHAnsi"/>
                <w:sz w:val="22"/>
                <w:szCs w:val="22"/>
              </w:rPr>
              <w:t>) and one for alcohol-specific readmissions. The standardisation methodology differs between the two; with the alcohol-specific hospital admission indicator using direct standardisation and this alcohol-specific readmission indicator using indirect standardisation. It is accepted that directly standardised rates are preferable (to indirectly standardised ratios) as these provide a reliable means of comparing areas, such as CCGs. However, the readmissions indicator is calculated as a proportion and there is not the same level of consensus as to how to standardise proportions. As such, custom and practice has been to produce indirectly standardised proportions (based around comparing observed to expected figures).</w:t>
            </w:r>
          </w:p>
        </w:tc>
      </w:tr>
      <w:tr w:rsidR="00B22352" w:rsidRPr="00B22352" w14:paraId="6607DD3B" w14:textId="77777777" w:rsidTr="00DD3C37">
        <w:tc>
          <w:tcPr>
            <w:tcW w:w="3256" w:type="dxa"/>
          </w:tcPr>
          <w:p w14:paraId="6E5A64CB" w14:textId="56BF08E2"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Coherence and comparability</w:t>
            </w:r>
          </w:p>
        </w:tc>
        <w:tc>
          <w:tcPr>
            <w:tcW w:w="6598" w:type="dxa"/>
          </w:tcPr>
          <w:p w14:paraId="79C4A7E1"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This indicator is linked directly to CCG OIS indicator 3.14 ‘Alcohol-specific hospital admissions’, which is published at national and CCG level quarterly covering a rolling </w:t>
            </w:r>
            <w:proofErr w:type="gramStart"/>
            <w:r w:rsidRPr="00B22352">
              <w:rPr>
                <w:rFonts w:asciiTheme="majorHAnsi" w:hAnsiTheme="majorHAnsi" w:cstheme="majorHAnsi"/>
                <w:sz w:val="22"/>
                <w:szCs w:val="22"/>
              </w:rPr>
              <w:t>12 month</w:t>
            </w:r>
            <w:proofErr w:type="gramEnd"/>
            <w:r w:rsidRPr="00B22352">
              <w:rPr>
                <w:rFonts w:asciiTheme="majorHAnsi" w:hAnsiTheme="majorHAnsi" w:cstheme="majorHAnsi"/>
                <w:sz w:val="22"/>
                <w:szCs w:val="22"/>
              </w:rPr>
              <w:t xml:space="preserve"> period. As previously explained, the standardisation methodology differs between the two indicators, with the alcohol-specific emergency admissions indicator using direct standardisation, and the alcohol-specific readmissions indicator using indirect standardisation.</w:t>
            </w:r>
          </w:p>
          <w:p w14:paraId="08696485"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Also included in the CCG OIS is indicator 1.8 ‘Emergency admissions for alcohol related liver disease’, which is directly standardised and published at national and CCG level, quarterly covering a rolling </w:t>
            </w:r>
            <w:proofErr w:type="gramStart"/>
            <w:r w:rsidRPr="00B22352">
              <w:rPr>
                <w:rFonts w:asciiTheme="majorHAnsi" w:hAnsiTheme="majorHAnsi" w:cstheme="majorHAnsi"/>
                <w:sz w:val="22"/>
                <w:szCs w:val="22"/>
              </w:rPr>
              <w:t>12 month</w:t>
            </w:r>
            <w:proofErr w:type="gramEnd"/>
            <w:r w:rsidRPr="00B22352">
              <w:rPr>
                <w:rFonts w:asciiTheme="majorHAnsi" w:hAnsiTheme="majorHAnsi" w:cstheme="majorHAnsi"/>
                <w:sz w:val="22"/>
                <w:szCs w:val="22"/>
              </w:rPr>
              <w:t xml:space="preserve"> period.</w:t>
            </w:r>
          </w:p>
          <w:p w14:paraId="1CD9AE7E" w14:textId="4E41E682"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The Public Health Outcomes Framework includes indicator 2.18, Alcohol-related admissions to hospital, is published at national, regional, county and Unitary Authority level and is based on admissions that are linked to alcohol-attributable fractions </w:t>
            </w:r>
            <w:hyperlink r:id="rId16" w:history="1">
              <w:r w:rsidRPr="00B22352">
                <w:rPr>
                  <w:rStyle w:val="Hyperlink"/>
                  <w:rFonts w:asciiTheme="majorHAnsi" w:hAnsiTheme="majorHAnsi" w:cstheme="majorHAnsi"/>
                  <w:color w:val="auto"/>
                  <w:sz w:val="22"/>
                  <w:szCs w:val="22"/>
                </w:rPr>
                <w:t>http://www.phoutcomes.info</w:t>
              </w:r>
            </w:hyperlink>
            <w:r w:rsidRPr="00B22352">
              <w:rPr>
                <w:rFonts w:asciiTheme="majorHAnsi" w:hAnsiTheme="majorHAnsi" w:cstheme="majorHAnsi"/>
                <w:sz w:val="22"/>
                <w:szCs w:val="22"/>
              </w:rPr>
              <w:t>/.</w:t>
            </w:r>
          </w:p>
        </w:tc>
      </w:tr>
      <w:tr w:rsidR="00B22352" w:rsidRPr="00B22352" w14:paraId="2A6A4507" w14:textId="77777777" w:rsidTr="00DD3C37">
        <w:tc>
          <w:tcPr>
            <w:tcW w:w="3256" w:type="dxa"/>
          </w:tcPr>
          <w:p w14:paraId="5EFEB733" w14:textId="49E6D9B6"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Undesired behaviours and/or gaming</w:t>
            </w:r>
          </w:p>
        </w:tc>
        <w:tc>
          <w:tcPr>
            <w:tcW w:w="6598" w:type="dxa"/>
          </w:tcPr>
          <w:p w14:paraId="6CC70727" w14:textId="77777777" w:rsidR="00B22352" w:rsidRPr="00B22352" w:rsidRDefault="00B22352" w:rsidP="00B22352">
            <w:pPr>
              <w:spacing w:before="240"/>
              <w:rPr>
                <w:rFonts w:asciiTheme="majorHAnsi" w:hAnsiTheme="majorHAnsi" w:cstheme="majorHAnsi"/>
                <w:sz w:val="22"/>
                <w:szCs w:val="22"/>
              </w:rPr>
            </w:pPr>
          </w:p>
        </w:tc>
      </w:tr>
      <w:tr w:rsidR="00B22352" w:rsidRPr="00B22352" w14:paraId="6E4773C7" w14:textId="77777777" w:rsidTr="00DD3C37">
        <w:tc>
          <w:tcPr>
            <w:tcW w:w="3256" w:type="dxa"/>
          </w:tcPr>
          <w:p w14:paraId="1CAE9039" w14:textId="463193CD"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Approach to indicator review</w:t>
            </w:r>
          </w:p>
        </w:tc>
        <w:tc>
          <w:tcPr>
            <w:tcW w:w="6598" w:type="dxa"/>
          </w:tcPr>
          <w:p w14:paraId="76FFF8B6"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Comments can be made through various media, including NHS Digital general enquiries by email </w:t>
            </w:r>
            <w:hyperlink r:id="rId17" w:history="1">
              <w:r w:rsidRPr="00B22352">
                <w:rPr>
                  <w:rStyle w:val="Hyperlink"/>
                  <w:rFonts w:asciiTheme="majorHAnsi" w:hAnsiTheme="majorHAnsi" w:cstheme="majorHAnsi"/>
                  <w:color w:val="auto"/>
                  <w:sz w:val="22"/>
                  <w:szCs w:val="22"/>
                </w:rPr>
                <w:t>enquiries@nhsdigital.nhs.uk</w:t>
              </w:r>
            </w:hyperlink>
            <w:r w:rsidRPr="00B22352">
              <w:rPr>
                <w:rFonts w:asciiTheme="majorHAnsi" w:hAnsiTheme="majorHAnsi" w:cstheme="majorHAnsi"/>
                <w:sz w:val="22"/>
                <w:szCs w:val="22"/>
              </w:rPr>
              <w:t xml:space="preserve"> or by telephone 0300 303 5678.</w:t>
            </w:r>
          </w:p>
          <w:p w14:paraId="6FDF8D95" w14:textId="54F544C5"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As well as initially assuring the quality and methodology of this indicator, the NHS Digital’s Indicator Assurance Process will be used on an on-going basis to review any new indicators. User needs and feedback will be taken into consideration during this assurance process.</w:t>
            </w:r>
          </w:p>
        </w:tc>
      </w:tr>
      <w:tr w:rsidR="00B22352" w:rsidRPr="00B22352" w14:paraId="408F0E90" w14:textId="77777777" w:rsidTr="00DD3C37">
        <w:tc>
          <w:tcPr>
            <w:tcW w:w="3256" w:type="dxa"/>
          </w:tcPr>
          <w:p w14:paraId="3E2421D7" w14:textId="4B2E6F65"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lastRenderedPageBreak/>
              <w:t>Disclosure control</w:t>
            </w:r>
          </w:p>
        </w:tc>
        <w:tc>
          <w:tcPr>
            <w:tcW w:w="6598" w:type="dxa"/>
          </w:tcPr>
          <w:p w14:paraId="4F7461AA" w14:textId="7777777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 xml:space="preserve">When publishing the data, if the indicator is calculated from </w:t>
            </w:r>
            <w:proofErr w:type="gramStart"/>
            <w:r w:rsidRPr="00B22352">
              <w:rPr>
                <w:rFonts w:asciiTheme="majorHAnsi" w:hAnsiTheme="majorHAnsi" w:cstheme="majorHAnsi"/>
                <w:sz w:val="22"/>
                <w:szCs w:val="22"/>
              </w:rPr>
              <w:t>a  numerator</w:t>
            </w:r>
            <w:proofErr w:type="gramEnd"/>
            <w:r w:rsidRPr="00B22352">
              <w:rPr>
                <w:rFonts w:asciiTheme="majorHAnsi" w:hAnsiTheme="majorHAnsi" w:cstheme="majorHAnsi"/>
                <w:sz w:val="22"/>
                <w:szCs w:val="22"/>
              </w:rPr>
              <w:t xml:space="preserve"> of 1 to 5, the value is suppressed to ensure an individual’s identity is not at risk of </w:t>
            </w:r>
            <w:proofErr w:type="spellStart"/>
            <w:r w:rsidRPr="00B22352">
              <w:rPr>
                <w:rFonts w:asciiTheme="majorHAnsi" w:hAnsiTheme="majorHAnsi" w:cstheme="majorHAnsi"/>
                <w:sz w:val="22"/>
                <w:szCs w:val="22"/>
              </w:rPr>
              <w:t>eing</w:t>
            </w:r>
            <w:proofErr w:type="spellEnd"/>
            <w:r w:rsidRPr="00B22352">
              <w:rPr>
                <w:rFonts w:asciiTheme="majorHAnsi" w:hAnsiTheme="majorHAnsi" w:cstheme="majorHAnsi"/>
                <w:sz w:val="22"/>
                <w:szCs w:val="22"/>
              </w:rPr>
              <w:t xml:space="preserve"> disclosed. If there is only one value suppressed in this way, the rate based upon the next lowest numerator is also suppressed; this reduces the risk of the first suppressed number being identifiable in isolation.</w:t>
            </w:r>
          </w:p>
          <w:p w14:paraId="0B330D3A" w14:textId="3ED386C8"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Ratios are rounded to one decimal place before publication.</w:t>
            </w:r>
          </w:p>
        </w:tc>
      </w:tr>
      <w:tr w:rsidR="00B22352" w:rsidRPr="00B22352" w14:paraId="7A12F1E8" w14:textId="77777777" w:rsidTr="00DD3C37">
        <w:tc>
          <w:tcPr>
            <w:tcW w:w="3256" w:type="dxa"/>
          </w:tcPr>
          <w:p w14:paraId="03548C08" w14:textId="43D739F5" w:rsidR="00B22352" w:rsidRPr="00B22352" w:rsidRDefault="00B22352" w:rsidP="00B22352">
            <w:pPr>
              <w:spacing w:before="240"/>
              <w:ind w:left="34"/>
              <w:rPr>
                <w:rFonts w:asciiTheme="majorHAnsi" w:hAnsiTheme="majorHAnsi" w:cstheme="majorHAnsi"/>
                <w:b/>
                <w:sz w:val="22"/>
                <w:szCs w:val="22"/>
              </w:rPr>
            </w:pPr>
            <w:r w:rsidRPr="00B22352">
              <w:rPr>
                <w:rFonts w:asciiTheme="majorHAnsi" w:hAnsiTheme="majorHAnsi" w:cstheme="majorHAnsi"/>
                <w:b/>
                <w:sz w:val="22"/>
                <w:szCs w:val="22"/>
              </w:rPr>
              <w:t>Copyright</w:t>
            </w:r>
          </w:p>
        </w:tc>
        <w:tc>
          <w:tcPr>
            <w:tcW w:w="6598" w:type="dxa"/>
          </w:tcPr>
          <w:p w14:paraId="5D8CB545" w14:textId="32D73C67" w:rsidR="00B22352" w:rsidRPr="00B22352" w:rsidRDefault="00B22352" w:rsidP="00B22352">
            <w:pPr>
              <w:spacing w:before="240"/>
              <w:rPr>
                <w:rFonts w:asciiTheme="majorHAnsi" w:hAnsiTheme="majorHAnsi" w:cstheme="majorHAnsi"/>
                <w:sz w:val="22"/>
                <w:szCs w:val="22"/>
              </w:rPr>
            </w:pPr>
            <w:r w:rsidRPr="00B22352">
              <w:rPr>
                <w:rFonts w:asciiTheme="majorHAnsi" w:hAnsiTheme="majorHAnsi" w:cstheme="majorHAnsi"/>
                <w:sz w:val="22"/>
                <w:szCs w:val="22"/>
              </w:rPr>
              <w:t>This indicator makes use of an existing data collection, so there are no additional data collection cost implications or burden.</w:t>
            </w:r>
          </w:p>
        </w:tc>
      </w:tr>
    </w:tbl>
    <w:p w14:paraId="776A988B" w14:textId="77777777" w:rsidR="00B22352" w:rsidRPr="00B22352" w:rsidRDefault="00B22352" w:rsidP="00B22352">
      <w:pPr>
        <w:spacing w:before="240"/>
        <w:rPr>
          <w:rFonts w:asciiTheme="majorHAnsi" w:hAnsiTheme="majorHAnsi" w:cstheme="majorHAnsi"/>
          <w:sz w:val="22"/>
          <w:szCs w:val="22"/>
        </w:rPr>
      </w:pPr>
    </w:p>
    <w:p w14:paraId="7E87986F" w14:textId="77777777" w:rsidR="007F3739" w:rsidRPr="00B22352" w:rsidRDefault="007F3739" w:rsidP="007F3739">
      <w:pPr>
        <w:spacing w:before="240"/>
        <w:rPr>
          <w:rFonts w:asciiTheme="majorHAnsi" w:hAnsiTheme="majorHAnsi" w:cstheme="majorHAnsi"/>
          <w:sz w:val="22"/>
          <w:szCs w:val="22"/>
        </w:rPr>
      </w:pPr>
    </w:p>
    <w:p w14:paraId="63E855DB" w14:textId="6099C6E0" w:rsidR="00E10446" w:rsidRPr="00B22352" w:rsidRDefault="00E10446" w:rsidP="00B22352">
      <w:pPr>
        <w:rPr>
          <w:rFonts w:asciiTheme="majorHAnsi" w:hAnsiTheme="majorHAnsi" w:cstheme="majorHAnsi"/>
          <w:sz w:val="22"/>
          <w:szCs w:val="22"/>
        </w:rPr>
      </w:pPr>
      <w:r w:rsidRPr="00B22352">
        <w:rPr>
          <w:rFonts w:asciiTheme="majorHAnsi" w:hAnsiTheme="majorHAnsi" w:cstheme="majorHAnsi"/>
          <w:sz w:val="22"/>
          <w:szCs w:val="22"/>
        </w:rPr>
        <w:t xml:space="preserve">Record of Assurance provided by </w:t>
      </w:r>
      <w:r w:rsidRPr="00B22352">
        <w:rPr>
          <w:rFonts w:asciiTheme="majorHAnsi" w:hAnsiTheme="majorHAnsi" w:cstheme="majorHAnsi"/>
          <w:b/>
          <w:sz w:val="22"/>
          <w:szCs w:val="22"/>
        </w:rPr>
        <w:t>Indicator Governance Board</w:t>
      </w:r>
    </w:p>
    <w:p w14:paraId="6332ADE4" w14:textId="77777777" w:rsidR="00E10446" w:rsidRPr="00B22352" w:rsidRDefault="00E10446" w:rsidP="007F3739">
      <w:pPr>
        <w:rPr>
          <w:rFonts w:asciiTheme="majorHAnsi" w:hAnsiTheme="majorHAnsi" w:cstheme="majorHAnsi"/>
          <w:sz w:val="22"/>
          <w:szCs w:val="22"/>
        </w:rPr>
      </w:pPr>
    </w:p>
    <w:tbl>
      <w:tblPr>
        <w:tblStyle w:val="TableGrid"/>
        <w:tblW w:w="9923" w:type="dxa"/>
        <w:tblLayout w:type="fixed"/>
        <w:tblLook w:val="01E0" w:firstRow="1" w:lastRow="1" w:firstColumn="1" w:lastColumn="1" w:noHBand="0" w:noVBand="0"/>
      </w:tblPr>
      <w:tblGrid>
        <w:gridCol w:w="2119"/>
        <w:gridCol w:w="7"/>
        <w:gridCol w:w="7797"/>
      </w:tblGrid>
      <w:tr w:rsidR="00B22352" w:rsidRPr="00B22352" w14:paraId="52F67542" w14:textId="77777777" w:rsidTr="00B22352">
        <w:tc>
          <w:tcPr>
            <w:tcW w:w="2126" w:type="dxa"/>
            <w:gridSpan w:val="2"/>
          </w:tcPr>
          <w:p w14:paraId="6FEDE905" w14:textId="16174AC4"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IAS Ref Code:</w:t>
            </w:r>
          </w:p>
        </w:tc>
        <w:tc>
          <w:tcPr>
            <w:tcW w:w="7797" w:type="dxa"/>
          </w:tcPr>
          <w:p w14:paraId="151147A6" w14:textId="169C0DB5"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IAP00333</w:t>
            </w:r>
          </w:p>
        </w:tc>
      </w:tr>
      <w:tr w:rsidR="00B22352" w:rsidRPr="00B22352" w14:paraId="26DF194E" w14:textId="77777777" w:rsidTr="00B22352">
        <w:tc>
          <w:tcPr>
            <w:tcW w:w="2126" w:type="dxa"/>
            <w:gridSpan w:val="2"/>
          </w:tcPr>
          <w:p w14:paraId="3ED7439F" w14:textId="4C641A24"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b/>
                <w:sz w:val="22"/>
                <w:szCs w:val="22"/>
              </w:rPr>
              <w:t>Indicator Title</w:t>
            </w:r>
          </w:p>
        </w:tc>
        <w:tc>
          <w:tcPr>
            <w:tcW w:w="7797" w:type="dxa"/>
          </w:tcPr>
          <w:p w14:paraId="6349F23E" w14:textId="374BA1EF"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b/>
                <w:sz w:val="22"/>
                <w:szCs w:val="22"/>
              </w:rPr>
              <w:t>Alcohol-specific readmission to any hospital within 30 days after the last previous discharge following an alcohol-specific admission</w:t>
            </w:r>
          </w:p>
        </w:tc>
      </w:tr>
      <w:tr w:rsidR="00B22352" w:rsidRPr="00B22352" w14:paraId="498BED98" w14:textId="77777777" w:rsidTr="00B22352">
        <w:tc>
          <w:tcPr>
            <w:tcW w:w="2126" w:type="dxa"/>
            <w:gridSpan w:val="2"/>
          </w:tcPr>
          <w:p w14:paraId="26CD0B3F" w14:textId="6B9012E8"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Indicator Set</w:t>
            </w:r>
          </w:p>
        </w:tc>
        <w:tc>
          <w:tcPr>
            <w:tcW w:w="7797" w:type="dxa"/>
          </w:tcPr>
          <w:p w14:paraId="233529A9" w14:textId="11323A42"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CCG Outcomes Indicator Set</w:t>
            </w:r>
          </w:p>
        </w:tc>
      </w:tr>
      <w:tr w:rsidR="00B22352" w:rsidRPr="00B22352" w14:paraId="06AD304B" w14:textId="77777777" w:rsidTr="00B22352">
        <w:tc>
          <w:tcPr>
            <w:tcW w:w="2126" w:type="dxa"/>
            <w:gridSpan w:val="2"/>
          </w:tcPr>
          <w:p w14:paraId="573B0CE9"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Description</w:t>
            </w:r>
            <w:r w:rsidRPr="00B22352">
              <w:rPr>
                <w:rFonts w:asciiTheme="majorHAnsi" w:hAnsiTheme="majorHAnsi" w:cstheme="majorHAnsi"/>
                <w:i/>
                <w:sz w:val="22"/>
                <w:szCs w:val="22"/>
              </w:rPr>
              <w:t xml:space="preserve"> </w:t>
            </w:r>
          </w:p>
        </w:tc>
        <w:tc>
          <w:tcPr>
            <w:tcW w:w="7797" w:type="dxa"/>
          </w:tcPr>
          <w:p w14:paraId="0F6B30E5"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The indicator calculates the number of people who were re-admitted as an emergency with a primary diagnosis of an alcohol-specific condition within 30 days after a previous discharge following an alcohol-specific admission, as a percentage of total alcohol-specific admissions.</w:t>
            </w:r>
          </w:p>
          <w:p w14:paraId="1E3F8A66" w14:textId="77777777" w:rsidR="00B22352" w:rsidRPr="00B22352" w:rsidRDefault="00B22352" w:rsidP="00B22352">
            <w:pPr>
              <w:rPr>
                <w:rFonts w:asciiTheme="majorHAnsi" w:hAnsiTheme="majorHAnsi" w:cstheme="majorHAnsi"/>
                <w:sz w:val="22"/>
                <w:szCs w:val="22"/>
              </w:rPr>
            </w:pPr>
          </w:p>
        </w:tc>
      </w:tr>
      <w:tr w:rsidR="00B22352" w:rsidRPr="00B22352" w14:paraId="5C12BD7C" w14:textId="77777777" w:rsidTr="00B22352">
        <w:trPr>
          <w:trHeight w:val="229"/>
        </w:trPr>
        <w:tc>
          <w:tcPr>
            <w:tcW w:w="2126" w:type="dxa"/>
            <w:gridSpan w:val="2"/>
          </w:tcPr>
          <w:p w14:paraId="4F275450" w14:textId="77777777" w:rsidR="00B22352" w:rsidRPr="00B22352" w:rsidRDefault="00B22352" w:rsidP="007F3739">
            <w:pPr>
              <w:rPr>
                <w:rFonts w:asciiTheme="majorHAnsi" w:hAnsiTheme="majorHAnsi" w:cstheme="majorHAnsi"/>
                <w:sz w:val="22"/>
                <w:szCs w:val="22"/>
              </w:rPr>
            </w:pPr>
            <w:r w:rsidRPr="00B22352">
              <w:rPr>
                <w:rFonts w:asciiTheme="majorHAnsi" w:hAnsiTheme="majorHAnsi" w:cstheme="majorHAnsi"/>
                <w:sz w:val="22"/>
                <w:szCs w:val="22"/>
              </w:rPr>
              <w:t xml:space="preserve">Initial IGB discussion </w:t>
            </w:r>
          </w:p>
        </w:tc>
        <w:tc>
          <w:tcPr>
            <w:tcW w:w="7797" w:type="dxa"/>
          </w:tcPr>
          <w:p w14:paraId="2A676823" w14:textId="6F0B42A6" w:rsidR="00B22352" w:rsidRPr="00B22352" w:rsidRDefault="00B22352" w:rsidP="007F3739">
            <w:pPr>
              <w:rPr>
                <w:rFonts w:asciiTheme="majorHAnsi" w:hAnsiTheme="majorHAnsi" w:cstheme="majorHAnsi"/>
                <w:b/>
                <w:sz w:val="22"/>
                <w:szCs w:val="22"/>
              </w:rPr>
            </w:pPr>
            <w:r w:rsidRPr="00B22352">
              <w:rPr>
                <w:rFonts w:asciiTheme="majorHAnsi" w:hAnsiTheme="majorHAnsi" w:cstheme="majorHAnsi"/>
                <w:sz w:val="22"/>
                <w:szCs w:val="22"/>
              </w:rPr>
              <w:t>06/12/13</w:t>
            </w:r>
          </w:p>
        </w:tc>
      </w:tr>
      <w:tr w:rsidR="00161249" w:rsidRPr="00B22352" w14:paraId="2957BA6F" w14:textId="77777777" w:rsidTr="00B22352">
        <w:tc>
          <w:tcPr>
            <w:tcW w:w="2119" w:type="dxa"/>
          </w:tcPr>
          <w:p w14:paraId="02F9387A" w14:textId="77777777" w:rsidR="00161249" w:rsidRPr="00B22352" w:rsidRDefault="00161249" w:rsidP="00B22352">
            <w:pPr>
              <w:rPr>
                <w:rFonts w:asciiTheme="majorHAnsi" w:hAnsiTheme="majorHAnsi" w:cstheme="majorHAnsi"/>
                <w:sz w:val="22"/>
                <w:szCs w:val="22"/>
              </w:rPr>
            </w:pPr>
          </w:p>
        </w:tc>
        <w:tc>
          <w:tcPr>
            <w:tcW w:w="7804" w:type="dxa"/>
            <w:gridSpan w:val="2"/>
          </w:tcPr>
          <w:p w14:paraId="2DF84ABB" w14:textId="2DB2FD08" w:rsidR="00161249" w:rsidRPr="00B22352" w:rsidRDefault="00161249" w:rsidP="00B22352">
            <w:pPr>
              <w:rPr>
                <w:rFonts w:asciiTheme="majorHAnsi" w:hAnsiTheme="majorHAnsi" w:cstheme="majorHAnsi"/>
                <w:sz w:val="22"/>
                <w:szCs w:val="22"/>
              </w:rPr>
            </w:pPr>
            <w:r w:rsidRPr="00B22352">
              <w:rPr>
                <w:rFonts w:asciiTheme="majorHAnsi" w:hAnsiTheme="majorHAnsi" w:cstheme="majorHAnsi"/>
                <w:b/>
                <w:sz w:val="22"/>
                <w:szCs w:val="22"/>
              </w:rPr>
              <w:t>Strategic Considerations &amp; Implications</w:t>
            </w:r>
          </w:p>
        </w:tc>
      </w:tr>
      <w:tr w:rsidR="00B22352" w:rsidRPr="00B22352" w14:paraId="67ED856E" w14:textId="77777777" w:rsidTr="00B22352">
        <w:tc>
          <w:tcPr>
            <w:tcW w:w="2119" w:type="dxa"/>
          </w:tcPr>
          <w:p w14:paraId="3BBF1598" w14:textId="6F24CBA1"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Applicant / Sponsor Organisation</w:t>
            </w:r>
          </w:p>
        </w:tc>
        <w:tc>
          <w:tcPr>
            <w:tcW w:w="7804" w:type="dxa"/>
            <w:gridSpan w:val="2"/>
          </w:tcPr>
          <w:p w14:paraId="71A4C550"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NHS England</w:t>
            </w:r>
          </w:p>
          <w:p w14:paraId="2CAC455B" w14:textId="59328892"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*Costing for assurance appraisal included in development cost</w:t>
            </w:r>
          </w:p>
        </w:tc>
      </w:tr>
      <w:tr w:rsidR="00B22352" w:rsidRPr="00B22352" w14:paraId="41FDD593" w14:textId="77777777" w:rsidTr="00B22352">
        <w:tc>
          <w:tcPr>
            <w:tcW w:w="2119" w:type="dxa"/>
          </w:tcPr>
          <w:p w14:paraId="7B7EF81E" w14:textId="5EE5EE2C"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Assurance process funded?</w:t>
            </w:r>
          </w:p>
        </w:tc>
        <w:tc>
          <w:tcPr>
            <w:tcW w:w="7804" w:type="dxa"/>
            <w:gridSpan w:val="2"/>
          </w:tcPr>
          <w:p w14:paraId="510182A5" w14:textId="28E93DC7" w:rsidR="00B22352" w:rsidRPr="00B22352" w:rsidRDefault="00B22352" w:rsidP="00B22352">
            <w:pPr>
              <w:rPr>
                <w:rFonts w:asciiTheme="majorHAnsi" w:hAnsiTheme="majorHAnsi" w:cstheme="majorHAnsi"/>
                <w:sz w:val="22"/>
                <w:szCs w:val="22"/>
              </w:rPr>
            </w:pPr>
            <w:r>
              <w:rPr>
                <w:rFonts w:asciiTheme="majorHAnsi" w:hAnsiTheme="majorHAnsi" w:cstheme="majorHAnsi"/>
                <w:sz w:val="22"/>
                <w:szCs w:val="22"/>
              </w:rPr>
              <w:t>Yes</w:t>
            </w:r>
          </w:p>
        </w:tc>
      </w:tr>
      <w:tr w:rsidR="00B22352" w:rsidRPr="00B22352" w14:paraId="24860735" w14:textId="77777777" w:rsidTr="00B22352">
        <w:tc>
          <w:tcPr>
            <w:tcW w:w="2119" w:type="dxa"/>
          </w:tcPr>
          <w:p w14:paraId="5976CFD6"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Indicator rationale </w:t>
            </w:r>
          </w:p>
        </w:tc>
        <w:tc>
          <w:tcPr>
            <w:tcW w:w="7804" w:type="dxa"/>
            <w:gridSpan w:val="2"/>
          </w:tcPr>
          <w:p w14:paraId="3E1017FD"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w:t>
            </w:r>
          </w:p>
          <w:p w14:paraId="0A75172F" w14:textId="77777777" w:rsidR="00B22352" w:rsidRPr="00B22352" w:rsidRDefault="00B22352" w:rsidP="00B22352">
            <w:pPr>
              <w:rPr>
                <w:rFonts w:asciiTheme="majorHAnsi" w:hAnsiTheme="majorHAnsi" w:cstheme="majorHAnsi"/>
                <w:sz w:val="22"/>
                <w:szCs w:val="22"/>
              </w:rPr>
            </w:pPr>
          </w:p>
          <w:p w14:paraId="49072A7C"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Alcohol dependence and harmful alcohol use are associated with increased risk of physical and mental health comorbidities including gastrointestinal disorders (in particular liver disease), neurological and cardiovascular disease, depression and anxiety disorders and ultimately, premature death. </w:t>
            </w:r>
          </w:p>
          <w:p w14:paraId="32F5AAAB" w14:textId="77777777" w:rsidR="00B22352" w:rsidRPr="00B22352" w:rsidRDefault="00B22352" w:rsidP="00B22352">
            <w:pPr>
              <w:rPr>
                <w:rFonts w:asciiTheme="majorHAnsi" w:hAnsiTheme="majorHAnsi" w:cstheme="majorHAnsi"/>
                <w:sz w:val="22"/>
                <w:szCs w:val="22"/>
              </w:rPr>
            </w:pPr>
          </w:p>
          <w:p w14:paraId="15A130E0"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lastRenderedPageBreak/>
              <w:t>An indicator measuring alcohol-specific hospital admissions has also been put forward for inclusion in the CCG Outcomes Indicator Set.</w:t>
            </w:r>
          </w:p>
          <w:p w14:paraId="63DCB12D"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 </w:t>
            </w:r>
          </w:p>
        </w:tc>
      </w:tr>
      <w:tr w:rsidR="00B22352" w:rsidRPr="00B22352" w14:paraId="59AAB450" w14:textId="77777777" w:rsidTr="00B22352">
        <w:tc>
          <w:tcPr>
            <w:tcW w:w="2119" w:type="dxa"/>
          </w:tcPr>
          <w:p w14:paraId="44CF3965"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lastRenderedPageBreak/>
              <w:t xml:space="preserve">Basis for rationale </w:t>
            </w:r>
          </w:p>
          <w:p w14:paraId="5CD9B9EC"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[Details of quality statement, policy etc.]</w:t>
            </w:r>
            <w:r w:rsidRPr="00B22352">
              <w:rPr>
                <w:rFonts w:asciiTheme="majorHAnsi" w:hAnsiTheme="majorHAnsi" w:cstheme="majorHAnsi"/>
                <w:i/>
                <w:sz w:val="22"/>
                <w:szCs w:val="22"/>
              </w:rPr>
              <w:t xml:space="preserve"> </w:t>
            </w:r>
          </w:p>
        </w:tc>
        <w:tc>
          <w:tcPr>
            <w:tcW w:w="7804" w:type="dxa"/>
            <w:gridSpan w:val="2"/>
          </w:tcPr>
          <w:p w14:paraId="27BE7198"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This indicator is based on Quality Standard 11: Alcohol dependence and harmful alcohol use http://guidance.nice.org.uk/QS11.</w:t>
            </w:r>
          </w:p>
          <w:p w14:paraId="5018AC69" w14:textId="77777777" w:rsidR="00B22352" w:rsidRPr="00B22352" w:rsidRDefault="00B22352" w:rsidP="00B22352">
            <w:pPr>
              <w:rPr>
                <w:rFonts w:asciiTheme="majorHAnsi" w:hAnsiTheme="majorHAnsi" w:cstheme="majorHAnsi"/>
                <w:sz w:val="22"/>
                <w:szCs w:val="22"/>
              </w:rPr>
            </w:pPr>
          </w:p>
          <w:p w14:paraId="5D9B09F7"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The introduction to Clinical Guideline 115 states that alcohol dependence affects 4% of people aged between 16 and 65 in England (6% of men and 2% of women), and over 24% of the English population (33% of men and 16% of women) consume alcohol in a way that is potentially or actually harmful to their health or well-being. Alcohol misuse is also an increasing problem in children and young people</w:t>
            </w:r>
          </w:p>
          <w:p w14:paraId="1FDA300F" w14:textId="77777777" w:rsidR="00B22352" w:rsidRPr="00B22352" w:rsidRDefault="00B22352" w:rsidP="00B22352">
            <w:pPr>
              <w:rPr>
                <w:rFonts w:asciiTheme="majorHAnsi" w:hAnsiTheme="majorHAnsi" w:cstheme="majorHAnsi"/>
                <w:sz w:val="22"/>
                <w:szCs w:val="22"/>
              </w:rPr>
            </w:pPr>
          </w:p>
          <w:p w14:paraId="1072756F"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The introduction to Clinical Guideline 100 states that hazardous and harmful drinking are commonly encountered among hospital attendees; approximately 20% of patients admitted to hospital for illnesses unrelated to alcohol are drinking at potentially hazardous levels. Persistent drinking at hazardous and harmful levels can result in damage to almost every organ or system of the body. Continued hazardous and harmful drinking can result in alcohol dependence.</w:t>
            </w:r>
          </w:p>
          <w:p w14:paraId="120FEFD4" w14:textId="77777777" w:rsidR="00B22352" w:rsidRPr="00B22352" w:rsidRDefault="00B22352" w:rsidP="00B22352">
            <w:pPr>
              <w:rPr>
                <w:rFonts w:asciiTheme="majorHAnsi" w:hAnsiTheme="majorHAnsi" w:cstheme="majorHAnsi"/>
                <w:sz w:val="22"/>
                <w:szCs w:val="22"/>
              </w:rPr>
            </w:pPr>
          </w:p>
          <w:p w14:paraId="08705CF4" w14:textId="77777777" w:rsidR="00B22352" w:rsidRPr="00B22352" w:rsidRDefault="00B22352" w:rsidP="00B22352">
            <w:pPr>
              <w:rPr>
                <w:rFonts w:asciiTheme="majorHAnsi" w:hAnsiTheme="majorHAnsi" w:cstheme="majorHAnsi"/>
                <w:sz w:val="22"/>
                <w:szCs w:val="22"/>
              </w:rPr>
            </w:pPr>
          </w:p>
        </w:tc>
      </w:tr>
      <w:tr w:rsidR="00B22352" w:rsidRPr="00B22352" w14:paraId="661AFA61" w14:textId="77777777" w:rsidTr="00B22352">
        <w:tc>
          <w:tcPr>
            <w:tcW w:w="2119" w:type="dxa"/>
          </w:tcPr>
          <w:p w14:paraId="04D43955"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Calculation Summary</w:t>
            </w:r>
          </w:p>
        </w:tc>
        <w:tc>
          <w:tcPr>
            <w:tcW w:w="7804" w:type="dxa"/>
            <w:gridSpan w:val="2"/>
          </w:tcPr>
          <w:p w14:paraId="5CA8244E"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The indicator is aggregated by Clinical Commissioning Group (CCG) and will be a numerator / denominator construct, reported as a percentage on a rolling 3 year basis.</w:t>
            </w:r>
          </w:p>
          <w:p w14:paraId="3985A78B" w14:textId="77777777" w:rsidR="00B22352" w:rsidRPr="00B22352" w:rsidRDefault="00B22352" w:rsidP="00B22352">
            <w:pPr>
              <w:rPr>
                <w:rFonts w:asciiTheme="majorHAnsi" w:hAnsiTheme="majorHAnsi" w:cstheme="majorHAnsi"/>
                <w:sz w:val="22"/>
                <w:szCs w:val="22"/>
              </w:rPr>
            </w:pPr>
          </w:p>
          <w:p w14:paraId="577945DA"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Denominator: The number of admission spell records where the first episode contains a primary diagnosis of an alcohol-specific condition.</w:t>
            </w:r>
          </w:p>
          <w:p w14:paraId="6279AB89" w14:textId="77777777" w:rsidR="00B22352" w:rsidRPr="00B22352" w:rsidRDefault="00B22352" w:rsidP="00B22352">
            <w:pPr>
              <w:rPr>
                <w:rFonts w:asciiTheme="majorHAnsi" w:hAnsiTheme="majorHAnsi" w:cstheme="majorHAnsi"/>
                <w:sz w:val="22"/>
                <w:szCs w:val="22"/>
              </w:rPr>
            </w:pPr>
          </w:p>
          <w:p w14:paraId="70B6A3D2"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Numerator: The number of emergency admission spell records where the first episode contains a primary diagnosis of an alcohol-specific condition and the patient was discharged, within the last 30 days, after an admission which also has a primary diagnosis code in the first episode relating to an alcohol-specific condition.</w:t>
            </w:r>
          </w:p>
          <w:p w14:paraId="29B7B590" w14:textId="77777777" w:rsidR="00B22352" w:rsidRPr="00B22352" w:rsidRDefault="00B22352" w:rsidP="00B22352">
            <w:pPr>
              <w:rPr>
                <w:rFonts w:asciiTheme="majorHAnsi" w:hAnsiTheme="majorHAnsi" w:cstheme="majorHAnsi"/>
                <w:sz w:val="22"/>
                <w:szCs w:val="22"/>
              </w:rPr>
            </w:pPr>
          </w:p>
          <w:p w14:paraId="07BD1BF9"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This indicator is to be </w:t>
            </w:r>
            <w:r w:rsidRPr="00B22352">
              <w:rPr>
                <w:rFonts w:asciiTheme="majorHAnsi" w:hAnsiTheme="majorHAnsi" w:cstheme="majorHAnsi"/>
                <w:sz w:val="22"/>
                <w:szCs w:val="22"/>
                <w:u w:val="single"/>
              </w:rPr>
              <w:t>indirectly</w:t>
            </w:r>
            <w:r w:rsidRPr="00B22352">
              <w:rPr>
                <w:rFonts w:asciiTheme="majorHAnsi" w:hAnsiTheme="majorHAnsi" w:cstheme="majorHAnsi"/>
                <w:sz w:val="22"/>
                <w:szCs w:val="22"/>
              </w:rPr>
              <w:t xml:space="preserve"> standardised by age and sex. Confidence intervals will be calculated as specified in ‘Commonly used public health statistics and their confidence intervals’ (APHO, March 2008).</w:t>
            </w:r>
          </w:p>
          <w:p w14:paraId="7CE6DDF2" w14:textId="77777777" w:rsidR="00B22352" w:rsidRPr="00B22352" w:rsidRDefault="00B22352" w:rsidP="00B22352">
            <w:pPr>
              <w:rPr>
                <w:rFonts w:asciiTheme="majorHAnsi" w:hAnsiTheme="majorHAnsi" w:cstheme="majorHAnsi"/>
                <w:sz w:val="22"/>
                <w:szCs w:val="22"/>
              </w:rPr>
            </w:pPr>
          </w:p>
          <w:p w14:paraId="3FDD797C"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ICD-10 diagnosis codes for alcohol-specific admissions are as follows:</w:t>
            </w:r>
          </w:p>
          <w:p w14:paraId="2E8A6B88"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E24.4 </w:t>
            </w:r>
            <w:r w:rsidRPr="00B22352">
              <w:rPr>
                <w:rFonts w:asciiTheme="majorHAnsi" w:hAnsiTheme="majorHAnsi" w:cstheme="majorHAnsi"/>
                <w:sz w:val="22"/>
                <w:szCs w:val="22"/>
              </w:rPr>
              <w:tab/>
              <w:t>Alcohol-induced pseudo-Cushing’s syndrome</w:t>
            </w:r>
          </w:p>
          <w:p w14:paraId="0F4BFFF3"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F10.-</w:t>
            </w:r>
            <w:r w:rsidRPr="00B22352">
              <w:rPr>
                <w:rFonts w:asciiTheme="majorHAnsi" w:hAnsiTheme="majorHAnsi" w:cstheme="majorHAnsi"/>
                <w:sz w:val="22"/>
                <w:szCs w:val="22"/>
              </w:rPr>
              <w:tab/>
              <w:t>Mental and behavioural disorder due to use of alcohol</w:t>
            </w:r>
          </w:p>
          <w:p w14:paraId="71A6C1F3"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G31.2 </w:t>
            </w:r>
            <w:r w:rsidRPr="00B22352">
              <w:rPr>
                <w:rFonts w:asciiTheme="majorHAnsi" w:hAnsiTheme="majorHAnsi" w:cstheme="majorHAnsi"/>
                <w:sz w:val="22"/>
                <w:szCs w:val="22"/>
              </w:rPr>
              <w:tab/>
              <w:t>Degeneration of nervous system due to alcohol</w:t>
            </w:r>
          </w:p>
          <w:p w14:paraId="256B7BB8"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G62.1 </w:t>
            </w:r>
            <w:r w:rsidRPr="00B22352">
              <w:rPr>
                <w:rFonts w:asciiTheme="majorHAnsi" w:hAnsiTheme="majorHAnsi" w:cstheme="majorHAnsi"/>
                <w:sz w:val="22"/>
                <w:szCs w:val="22"/>
              </w:rPr>
              <w:tab/>
              <w:t>Alcoholic polyneuropathy</w:t>
            </w:r>
          </w:p>
          <w:p w14:paraId="2775FFD0"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lastRenderedPageBreak/>
              <w:t xml:space="preserve">G72.1 </w:t>
            </w:r>
            <w:r w:rsidRPr="00B22352">
              <w:rPr>
                <w:rFonts w:asciiTheme="majorHAnsi" w:hAnsiTheme="majorHAnsi" w:cstheme="majorHAnsi"/>
                <w:sz w:val="22"/>
                <w:szCs w:val="22"/>
              </w:rPr>
              <w:tab/>
              <w:t>Alcoholic myopathy</w:t>
            </w:r>
          </w:p>
          <w:p w14:paraId="74E38A5A"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I42.6 </w:t>
            </w:r>
            <w:r w:rsidRPr="00B22352">
              <w:rPr>
                <w:rFonts w:asciiTheme="majorHAnsi" w:hAnsiTheme="majorHAnsi" w:cstheme="majorHAnsi"/>
                <w:sz w:val="22"/>
                <w:szCs w:val="22"/>
              </w:rPr>
              <w:tab/>
              <w:t>Alcoholic cardiomyopathy</w:t>
            </w:r>
          </w:p>
          <w:p w14:paraId="583F9CF3"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K29.2 </w:t>
            </w:r>
            <w:r w:rsidRPr="00B22352">
              <w:rPr>
                <w:rFonts w:asciiTheme="majorHAnsi" w:hAnsiTheme="majorHAnsi" w:cstheme="majorHAnsi"/>
                <w:sz w:val="22"/>
                <w:szCs w:val="22"/>
              </w:rPr>
              <w:tab/>
              <w:t>Alcoholic gastritis</w:t>
            </w:r>
          </w:p>
          <w:p w14:paraId="1B74F2AB"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K70.- </w:t>
            </w:r>
            <w:r w:rsidRPr="00B22352">
              <w:rPr>
                <w:rFonts w:asciiTheme="majorHAnsi" w:hAnsiTheme="majorHAnsi" w:cstheme="majorHAnsi"/>
                <w:sz w:val="22"/>
                <w:szCs w:val="22"/>
              </w:rPr>
              <w:tab/>
              <w:t>Alcoholic liver disease</w:t>
            </w:r>
          </w:p>
          <w:p w14:paraId="708E3C2C"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K86.0 </w:t>
            </w:r>
            <w:r w:rsidRPr="00B22352">
              <w:rPr>
                <w:rFonts w:asciiTheme="majorHAnsi" w:hAnsiTheme="majorHAnsi" w:cstheme="majorHAnsi"/>
                <w:sz w:val="22"/>
                <w:szCs w:val="22"/>
              </w:rPr>
              <w:tab/>
              <w:t>Alcohol-induced chronic pancreatitis</w:t>
            </w:r>
          </w:p>
          <w:p w14:paraId="1BA74AB7"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T51.0 </w:t>
            </w:r>
            <w:r w:rsidRPr="00B22352">
              <w:rPr>
                <w:rFonts w:asciiTheme="majorHAnsi" w:hAnsiTheme="majorHAnsi" w:cstheme="majorHAnsi"/>
                <w:sz w:val="22"/>
                <w:szCs w:val="22"/>
              </w:rPr>
              <w:tab/>
              <w:t>Toxic effect of alcohol, Ethanol</w:t>
            </w:r>
          </w:p>
          <w:p w14:paraId="7BEA0327"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T51.1 </w:t>
            </w:r>
            <w:r w:rsidRPr="00B22352">
              <w:rPr>
                <w:rFonts w:asciiTheme="majorHAnsi" w:hAnsiTheme="majorHAnsi" w:cstheme="majorHAnsi"/>
                <w:sz w:val="22"/>
                <w:szCs w:val="22"/>
              </w:rPr>
              <w:tab/>
              <w:t>Toxic effect of alcohol, Methanol</w:t>
            </w:r>
          </w:p>
          <w:p w14:paraId="5B87E39B"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T51.9 </w:t>
            </w:r>
            <w:r w:rsidRPr="00B22352">
              <w:rPr>
                <w:rFonts w:asciiTheme="majorHAnsi" w:hAnsiTheme="majorHAnsi" w:cstheme="majorHAnsi"/>
                <w:sz w:val="22"/>
                <w:szCs w:val="22"/>
              </w:rPr>
              <w:tab/>
              <w:t>Toxic effect of alcohol, unspecified</w:t>
            </w:r>
          </w:p>
          <w:p w14:paraId="073395A4"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X45.-</w:t>
            </w:r>
            <w:r w:rsidRPr="00B22352">
              <w:rPr>
                <w:rFonts w:asciiTheme="majorHAnsi" w:hAnsiTheme="majorHAnsi" w:cstheme="majorHAnsi"/>
                <w:sz w:val="22"/>
                <w:szCs w:val="22"/>
              </w:rPr>
              <w:tab/>
              <w:t>Accidental poisoning by and exposure to alcohol</w:t>
            </w:r>
          </w:p>
          <w:p w14:paraId="6100705F" w14:textId="77777777" w:rsidR="00B22352" w:rsidRPr="00B22352" w:rsidRDefault="00B22352" w:rsidP="00B22352">
            <w:pPr>
              <w:rPr>
                <w:rFonts w:asciiTheme="majorHAnsi" w:hAnsiTheme="majorHAnsi" w:cstheme="majorHAnsi"/>
                <w:sz w:val="22"/>
                <w:szCs w:val="22"/>
              </w:rPr>
            </w:pPr>
          </w:p>
          <w:p w14:paraId="68E3C467"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A low rate of alcohol-specific readmissions is desirable</w:t>
            </w:r>
          </w:p>
          <w:p w14:paraId="04F27FBC" w14:textId="77777777" w:rsidR="00B22352" w:rsidRPr="00B22352" w:rsidRDefault="00B22352" w:rsidP="00B22352">
            <w:pPr>
              <w:rPr>
                <w:rFonts w:asciiTheme="majorHAnsi" w:hAnsiTheme="majorHAnsi" w:cstheme="majorHAnsi"/>
                <w:sz w:val="22"/>
                <w:szCs w:val="22"/>
              </w:rPr>
            </w:pPr>
          </w:p>
        </w:tc>
      </w:tr>
      <w:tr w:rsidR="00B22352" w:rsidRPr="00B22352" w14:paraId="6A726F5B" w14:textId="77777777" w:rsidTr="00B22352">
        <w:tc>
          <w:tcPr>
            <w:tcW w:w="2119" w:type="dxa"/>
          </w:tcPr>
          <w:p w14:paraId="34044616"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lastRenderedPageBreak/>
              <w:t>Risks &amp; assumptions</w:t>
            </w:r>
          </w:p>
        </w:tc>
        <w:tc>
          <w:tcPr>
            <w:tcW w:w="7804" w:type="dxa"/>
            <w:gridSpan w:val="2"/>
          </w:tcPr>
          <w:p w14:paraId="23019495"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The NICE CCGOIS Advisory Committee considered both ‘alcohol-related’ and ‘alcohol-specific’ admissions for this indicator. It was agreed that ‘alcohol-specific’ admissions are the most appropriate measure for this indicator set.</w:t>
            </w:r>
          </w:p>
          <w:p w14:paraId="0EADE2C3" w14:textId="77777777" w:rsidR="00B22352" w:rsidRPr="00B22352" w:rsidRDefault="00B22352" w:rsidP="00B22352">
            <w:pPr>
              <w:rPr>
                <w:rFonts w:asciiTheme="majorHAnsi" w:hAnsiTheme="majorHAnsi" w:cstheme="majorHAnsi"/>
                <w:sz w:val="22"/>
                <w:szCs w:val="22"/>
              </w:rPr>
            </w:pPr>
          </w:p>
          <w:p w14:paraId="3FE10305"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It was agreed that, where standardisation was necessary, indicators within the CCG OIS would be directly standardised. However, due to the small numbers in certain age bands and the need for a standard population, it is proposed for this indicator to be indirectly standardised by age and sex. This would align to other readmission indicators currently published on the HSCIC Indicator Portal, which all use indirect standardisation.</w:t>
            </w:r>
          </w:p>
          <w:p w14:paraId="363DA8CA" w14:textId="77777777" w:rsidR="00B22352" w:rsidRPr="00B22352" w:rsidRDefault="00B22352" w:rsidP="00B22352">
            <w:pPr>
              <w:rPr>
                <w:rFonts w:asciiTheme="majorHAnsi" w:hAnsiTheme="majorHAnsi" w:cstheme="majorHAnsi"/>
                <w:sz w:val="22"/>
                <w:szCs w:val="22"/>
              </w:rPr>
            </w:pPr>
          </w:p>
          <w:p w14:paraId="76811C48"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There are no planned changes to the HES collection that would impact on this indicator. </w:t>
            </w:r>
          </w:p>
          <w:p w14:paraId="5226DA42" w14:textId="77777777" w:rsidR="00B22352" w:rsidRPr="00B22352" w:rsidRDefault="00B22352" w:rsidP="00B22352">
            <w:pPr>
              <w:rPr>
                <w:rFonts w:asciiTheme="majorHAnsi" w:hAnsiTheme="majorHAnsi" w:cstheme="majorHAnsi"/>
                <w:sz w:val="22"/>
                <w:szCs w:val="22"/>
              </w:rPr>
            </w:pPr>
          </w:p>
          <w:p w14:paraId="37900997"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The list of indicators for inclusion in CCG OIS for 2014-15 may still be subject to change as NHS England review the indicator set.</w:t>
            </w:r>
          </w:p>
          <w:p w14:paraId="2BCCCA1C" w14:textId="77777777" w:rsidR="00B22352" w:rsidRPr="00B22352" w:rsidRDefault="00B22352" w:rsidP="00B22352">
            <w:pPr>
              <w:rPr>
                <w:rFonts w:asciiTheme="majorHAnsi" w:hAnsiTheme="majorHAnsi" w:cstheme="majorHAnsi"/>
                <w:sz w:val="22"/>
                <w:szCs w:val="22"/>
              </w:rPr>
            </w:pPr>
          </w:p>
        </w:tc>
      </w:tr>
      <w:tr w:rsidR="00B22352" w:rsidRPr="00B22352" w14:paraId="133278CB" w14:textId="77777777" w:rsidTr="00B22352">
        <w:trPr>
          <w:trHeight w:val="267"/>
        </w:trPr>
        <w:tc>
          <w:tcPr>
            <w:tcW w:w="2119" w:type="dxa"/>
          </w:tcPr>
          <w:p w14:paraId="4326F86F" w14:textId="0C2D20F8"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IG </w:t>
            </w:r>
            <w:proofErr w:type="gramStart"/>
            <w:r w:rsidRPr="00B22352">
              <w:rPr>
                <w:rFonts w:asciiTheme="majorHAnsi" w:hAnsiTheme="majorHAnsi" w:cstheme="majorHAnsi"/>
                <w:sz w:val="22"/>
                <w:szCs w:val="22"/>
              </w:rPr>
              <w:t>Considerations  [</w:t>
            </w:r>
            <w:proofErr w:type="gramEnd"/>
            <w:r w:rsidRPr="00B22352">
              <w:rPr>
                <w:rFonts w:asciiTheme="majorHAnsi" w:hAnsiTheme="majorHAnsi" w:cstheme="majorHAnsi"/>
                <w:sz w:val="22"/>
                <w:szCs w:val="22"/>
              </w:rPr>
              <w:t>e.g. release of under-lying data, intermediaries access to data, data ownership impact on production]</w:t>
            </w:r>
          </w:p>
        </w:tc>
        <w:tc>
          <w:tcPr>
            <w:tcW w:w="7804" w:type="dxa"/>
            <w:gridSpan w:val="2"/>
          </w:tcPr>
          <w:p w14:paraId="49159643"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i/>
                <w:sz w:val="22"/>
                <w:szCs w:val="22"/>
              </w:rPr>
              <w:t xml:space="preserve">Data Source: </w:t>
            </w:r>
            <w:r w:rsidRPr="00B22352">
              <w:rPr>
                <w:rFonts w:asciiTheme="majorHAnsi" w:hAnsiTheme="majorHAnsi" w:cstheme="majorHAnsi"/>
                <w:sz w:val="22"/>
                <w:szCs w:val="22"/>
              </w:rPr>
              <w:t>Hospital Episode Statistics (HES)</w:t>
            </w:r>
          </w:p>
          <w:p w14:paraId="5C325D4F" w14:textId="77777777" w:rsidR="00B22352" w:rsidRPr="00B22352" w:rsidRDefault="00B22352" w:rsidP="00B22352">
            <w:pPr>
              <w:rPr>
                <w:rFonts w:asciiTheme="majorHAnsi" w:hAnsiTheme="majorHAnsi" w:cstheme="majorHAnsi"/>
                <w:sz w:val="22"/>
                <w:szCs w:val="22"/>
              </w:rPr>
            </w:pPr>
          </w:p>
        </w:tc>
      </w:tr>
      <w:tr w:rsidR="00B22352" w:rsidRPr="00B22352" w14:paraId="70F8FA7E" w14:textId="77777777" w:rsidTr="00B22352">
        <w:trPr>
          <w:trHeight w:val="427"/>
        </w:trPr>
        <w:tc>
          <w:tcPr>
            <w:tcW w:w="2119" w:type="dxa"/>
          </w:tcPr>
          <w:p w14:paraId="1250B61A" w14:textId="343C664B"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IG </w:t>
            </w:r>
            <w:proofErr w:type="gramStart"/>
            <w:r w:rsidRPr="00B22352">
              <w:rPr>
                <w:rFonts w:asciiTheme="majorHAnsi" w:hAnsiTheme="majorHAnsi" w:cstheme="majorHAnsi"/>
                <w:sz w:val="22"/>
                <w:szCs w:val="22"/>
              </w:rPr>
              <w:t>Considerations  [</w:t>
            </w:r>
            <w:proofErr w:type="gramEnd"/>
            <w:r w:rsidRPr="00B22352">
              <w:rPr>
                <w:rFonts w:asciiTheme="majorHAnsi" w:hAnsiTheme="majorHAnsi" w:cstheme="majorHAnsi"/>
                <w:sz w:val="22"/>
                <w:szCs w:val="22"/>
              </w:rPr>
              <w:t xml:space="preserve">e.g. release of under-lying data, intermediaries access to data, data ownership </w:t>
            </w:r>
            <w:r w:rsidRPr="00B22352">
              <w:rPr>
                <w:rFonts w:asciiTheme="majorHAnsi" w:hAnsiTheme="majorHAnsi" w:cstheme="majorHAnsi"/>
                <w:sz w:val="22"/>
                <w:szCs w:val="22"/>
              </w:rPr>
              <w:lastRenderedPageBreak/>
              <w:t>impact on production]</w:t>
            </w:r>
          </w:p>
        </w:tc>
        <w:tc>
          <w:tcPr>
            <w:tcW w:w="7804" w:type="dxa"/>
            <w:gridSpan w:val="2"/>
          </w:tcPr>
          <w:p w14:paraId="3D66B952"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lastRenderedPageBreak/>
              <w:t>The underlying HES data are held by the HSCIC and are made available to customers via several mechanisms depending on their requirements. These include the publication of aggregated output; a chargeable extract service that covers both bespoke and routine extracts; and direct access via an interrogation tool to the underlying data for certain customers.</w:t>
            </w:r>
          </w:p>
          <w:p w14:paraId="28E04945"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Commissioning Data Sets (CDS 6.2) are approved by ISB ref ISB0092.</w:t>
            </w:r>
          </w:p>
          <w:p w14:paraId="3F67A4AC" w14:textId="77777777" w:rsidR="00B22352" w:rsidRPr="00B22352" w:rsidRDefault="00B22352" w:rsidP="00B22352">
            <w:pPr>
              <w:rPr>
                <w:rFonts w:asciiTheme="majorHAnsi" w:hAnsiTheme="majorHAnsi" w:cstheme="majorHAnsi"/>
                <w:sz w:val="22"/>
                <w:szCs w:val="22"/>
              </w:rPr>
            </w:pPr>
          </w:p>
          <w:p w14:paraId="062534B4"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HES has been approved by ROCR license number ROCR/OR/0014/FT6/009MAND.</w:t>
            </w:r>
          </w:p>
          <w:p w14:paraId="5C63852D" w14:textId="77777777" w:rsidR="00B22352" w:rsidRPr="00B22352" w:rsidRDefault="00B22352" w:rsidP="00B22352">
            <w:pPr>
              <w:rPr>
                <w:rFonts w:asciiTheme="majorHAnsi" w:hAnsiTheme="majorHAnsi" w:cstheme="majorHAnsi"/>
                <w:sz w:val="22"/>
                <w:szCs w:val="22"/>
              </w:rPr>
            </w:pPr>
          </w:p>
        </w:tc>
      </w:tr>
      <w:tr w:rsidR="00B22352" w:rsidRPr="00B22352" w14:paraId="28C5BF04" w14:textId="77777777" w:rsidTr="00B22352">
        <w:tc>
          <w:tcPr>
            <w:tcW w:w="2119" w:type="dxa"/>
          </w:tcPr>
          <w:p w14:paraId="1AAEAA3D"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lastRenderedPageBreak/>
              <w:t>Potential impacts on other business areas [</w:t>
            </w:r>
            <w:proofErr w:type="spellStart"/>
            <w:r w:rsidRPr="00B22352">
              <w:rPr>
                <w:rFonts w:asciiTheme="majorHAnsi" w:hAnsiTheme="majorHAnsi" w:cstheme="majorHAnsi"/>
                <w:sz w:val="22"/>
                <w:szCs w:val="22"/>
              </w:rPr>
              <w:t>inc</w:t>
            </w:r>
            <w:proofErr w:type="spellEnd"/>
            <w:r w:rsidRPr="00B22352">
              <w:rPr>
                <w:rFonts w:asciiTheme="majorHAnsi" w:hAnsiTheme="majorHAnsi" w:cstheme="majorHAnsi"/>
                <w:sz w:val="22"/>
                <w:szCs w:val="22"/>
              </w:rPr>
              <w:t xml:space="preserve"> outstanding generic issues]</w:t>
            </w:r>
          </w:p>
        </w:tc>
        <w:tc>
          <w:tcPr>
            <w:tcW w:w="7804" w:type="dxa"/>
            <w:gridSpan w:val="2"/>
          </w:tcPr>
          <w:p w14:paraId="39C5A061"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w:t>
            </w:r>
          </w:p>
          <w:p w14:paraId="6DA6883F" w14:textId="77777777" w:rsidR="00B22352" w:rsidRPr="00B22352" w:rsidRDefault="00B22352" w:rsidP="00B22352">
            <w:pPr>
              <w:rPr>
                <w:rFonts w:asciiTheme="majorHAnsi" w:hAnsiTheme="majorHAnsi" w:cstheme="majorHAnsi"/>
                <w:sz w:val="22"/>
                <w:szCs w:val="22"/>
              </w:rPr>
            </w:pPr>
          </w:p>
        </w:tc>
      </w:tr>
      <w:tr w:rsidR="00B22352" w:rsidRPr="00B22352" w14:paraId="59553F3C" w14:textId="77777777" w:rsidTr="00B22352">
        <w:tc>
          <w:tcPr>
            <w:tcW w:w="2119" w:type="dxa"/>
          </w:tcPr>
          <w:p w14:paraId="453DC61C"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Implementation Method</w:t>
            </w:r>
          </w:p>
          <w:p w14:paraId="6DE5E8DA" w14:textId="77777777" w:rsidR="00B22352" w:rsidRPr="00B22352" w:rsidRDefault="00B22352" w:rsidP="00B22352">
            <w:pPr>
              <w:rPr>
                <w:rFonts w:asciiTheme="majorHAnsi" w:hAnsiTheme="majorHAnsi" w:cstheme="majorHAnsi"/>
                <w:i/>
                <w:sz w:val="22"/>
                <w:szCs w:val="22"/>
              </w:rPr>
            </w:pPr>
            <w:r w:rsidRPr="00B22352">
              <w:rPr>
                <w:rFonts w:asciiTheme="majorHAnsi" w:hAnsiTheme="majorHAnsi" w:cstheme="majorHAnsi"/>
                <w:sz w:val="22"/>
                <w:szCs w:val="22"/>
              </w:rPr>
              <w:t>[</w:t>
            </w:r>
            <w:proofErr w:type="spellStart"/>
            <w:r w:rsidRPr="00B22352">
              <w:rPr>
                <w:rFonts w:asciiTheme="majorHAnsi" w:hAnsiTheme="majorHAnsi" w:cstheme="majorHAnsi"/>
                <w:sz w:val="22"/>
                <w:szCs w:val="22"/>
              </w:rPr>
              <w:t>inc</w:t>
            </w:r>
            <w:proofErr w:type="spellEnd"/>
            <w:r w:rsidRPr="00B22352">
              <w:rPr>
                <w:rFonts w:asciiTheme="majorHAnsi" w:hAnsiTheme="majorHAnsi" w:cstheme="majorHAnsi"/>
                <w:sz w:val="22"/>
                <w:szCs w:val="22"/>
              </w:rPr>
              <w:t xml:space="preserve"> production funding]</w:t>
            </w:r>
          </w:p>
        </w:tc>
        <w:tc>
          <w:tcPr>
            <w:tcW w:w="7804" w:type="dxa"/>
            <w:gridSpan w:val="2"/>
          </w:tcPr>
          <w:p w14:paraId="2822D461"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NHS England has commissioned HSCIC to produce and disseminate the CCG OIS indicators; this is funded via the Grant </w:t>
            </w:r>
            <w:proofErr w:type="gramStart"/>
            <w:r w:rsidRPr="00B22352">
              <w:rPr>
                <w:rFonts w:asciiTheme="majorHAnsi" w:hAnsiTheme="majorHAnsi" w:cstheme="majorHAnsi"/>
                <w:sz w:val="22"/>
                <w:szCs w:val="22"/>
              </w:rPr>
              <w:t>In</w:t>
            </w:r>
            <w:proofErr w:type="gramEnd"/>
            <w:r w:rsidRPr="00B22352">
              <w:rPr>
                <w:rFonts w:asciiTheme="majorHAnsi" w:hAnsiTheme="majorHAnsi" w:cstheme="majorHAnsi"/>
                <w:sz w:val="22"/>
                <w:szCs w:val="22"/>
              </w:rPr>
              <w:t xml:space="preserve"> Aid funding to HSCIC.</w:t>
            </w:r>
          </w:p>
          <w:p w14:paraId="5B3A5757" w14:textId="77777777" w:rsidR="00B22352" w:rsidRPr="00B22352" w:rsidRDefault="00B22352" w:rsidP="00B22352">
            <w:pPr>
              <w:rPr>
                <w:rFonts w:asciiTheme="majorHAnsi" w:hAnsiTheme="majorHAnsi" w:cstheme="majorHAnsi"/>
                <w:sz w:val="22"/>
                <w:szCs w:val="22"/>
              </w:rPr>
            </w:pPr>
          </w:p>
          <w:p w14:paraId="68359718"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Collection of the data for the CCG OIS is via existing data collections, in this case HES. Testing and specification of the indicators is carried out by the Specification Development Service and construction of the indicators is provided by Clinical Indicators via the CI Platform.</w:t>
            </w:r>
          </w:p>
          <w:p w14:paraId="6AF26289" w14:textId="77777777" w:rsidR="00B22352" w:rsidRPr="00B22352" w:rsidRDefault="00B22352" w:rsidP="00B22352">
            <w:pPr>
              <w:rPr>
                <w:rFonts w:asciiTheme="majorHAnsi" w:hAnsiTheme="majorHAnsi" w:cstheme="majorHAnsi"/>
                <w:sz w:val="22"/>
                <w:szCs w:val="22"/>
              </w:rPr>
            </w:pPr>
          </w:p>
          <w:p w14:paraId="6FBB1468"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Dissemination and presentation of the CCG OIS will be via a number of routes:</w:t>
            </w:r>
          </w:p>
          <w:p w14:paraId="770AD6AF" w14:textId="77777777" w:rsidR="00B22352" w:rsidRPr="00B22352" w:rsidRDefault="00B22352" w:rsidP="00B22352">
            <w:pPr>
              <w:ind w:left="184" w:hanging="184"/>
              <w:rPr>
                <w:rFonts w:asciiTheme="majorHAnsi" w:hAnsiTheme="majorHAnsi" w:cstheme="majorHAnsi"/>
                <w:sz w:val="22"/>
                <w:szCs w:val="22"/>
              </w:rPr>
            </w:pPr>
            <w:r w:rsidRPr="00B22352">
              <w:rPr>
                <w:rFonts w:asciiTheme="majorHAnsi" w:hAnsiTheme="majorHAnsi" w:cstheme="majorHAnsi"/>
                <w:sz w:val="22"/>
                <w:szCs w:val="22"/>
              </w:rPr>
              <w:t xml:space="preserve">• The indicators and their underlying data will be made </w:t>
            </w:r>
            <w:proofErr w:type="spellStart"/>
            <w:r w:rsidRPr="00B22352">
              <w:rPr>
                <w:rFonts w:asciiTheme="majorHAnsi" w:hAnsiTheme="majorHAnsi" w:cstheme="majorHAnsi"/>
                <w:sz w:val="22"/>
                <w:szCs w:val="22"/>
              </w:rPr>
              <w:t>publically</w:t>
            </w:r>
            <w:proofErr w:type="spellEnd"/>
            <w:r w:rsidRPr="00B22352">
              <w:rPr>
                <w:rFonts w:asciiTheme="majorHAnsi" w:hAnsiTheme="majorHAnsi" w:cstheme="majorHAnsi"/>
                <w:sz w:val="22"/>
                <w:szCs w:val="22"/>
              </w:rPr>
              <w:t xml:space="preserve"> available via the HSCIC website and the Indicator Portal. </w:t>
            </w:r>
          </w:p>
          <w:p w14:paraId="75DAEFFB" w14:textId="77777777" w:rsidR="00B22352" w:rsidRPr="00B22352" w:rsidRDefault="00B22352" w:rsidP="00B22352">
            <w:pPr>
              <w:ind w:left="184" w:hanging="184"/>
              <w:rPr>
                <w:rFonts w:asciiTheme="majorHAnsi" w:hAnsiTheme="majorHAnsi" w:cstheme="majorHAnsi"/>
                <w:sz w:val="22"/>
                <w:szCs w:val="22"/>
              </w:rPr>
            </w:pPr>
            <w:r w:rsidRPr="00B22352">
              <w:rPr>
                <w:rFonts w:asciiTheme="majorHAnsi" w:hAnsiTheme="majorHAnsi" w:cstheme="majorHAnsi"/>
                <w:sz w:val="22"/>
                <w:szCs w:val="22"/>
              </w:rPr>
              <w:t>• The data will also be provided to NHS England for use in their internal Intelligence Tool.</w:t>
            </w:r>
          </w:p>
          <w:p w14:paraId="6B356C7D" w14:textId="77777777" w:rsidR="00B22352" w:rsidRPr="00B22352" w:rsidRDefault="00B22352" w:rsidP="00B22352">
            <w:pPr>
              <w:ind w:left="184" w:hanging="184"/>
              <w:rPr>
                <w:rFonts w:asciiTheme="majorHAnsi" w:hAnsiTheme="majorHAnsi" w:cstheme="majorHAnsi"/>
                <w:sz w:val="22"/>
                <w:szCs w:val="22"/>
              </w:rPr>
            </w:pPr>
            <w:r w:rsidRPr="00B22352">
              <w:rPr>
                <w:rFonts w:asciiTheme="majorHAnsi" w:hAnsiTheme="majorHAnsi" w:cstheme="majorHAnsi"/>
                <w:sz w:val="22"/>
                <w:szCs w:val="22"/>
              </w:rPr>
              <w:t>• Subject to confirmation by NHS England, the calculated indicator, numerator and denominator for CCGs will be supplied by messaging to the Calculating Quality Reporting Service (CQRS) for use by CCGs as part of their management information</w:t>
            </w:r>
          </w:p>
          <w:p w14:paraId="7B8FDE6F" w14:textId="77777777" w:rsidR="00B22352" w:rsidRPr="00B22352" w:rsidRDefault="00B22352" w:rsidP="00B22352">
            <w:pPr>
              <w:rPr>
                <w:rFonts w:asciiTheme="majorHAnsi" w:hAnsiTheme="majorHAnsi" w:cstheme="majorHAnsi"/>
                <w:sz w:val="22"/>
                <w:szCs w:val="22"/>
              </w:rPr>
            </w:pPr>
          </w:p>
        </w:tc>
      </w:tr>
    </w:tbl>
    <w:p w14:paraId="3667C4D4" w14:textId="77777777" w:rsidR="00E10446" w:rsidRPr="00B22352" w:rsidRDefault="00E10446" w:rsidP="007F3739">
      <w:pPr>
        <w:rPr>
          <w:rFonts w:asciiTheme="majorHAnsi" w:hAnsiTheme="majorHAnsi" w:cstheme="majorHAnsi"/>
          <w:sz w:val="22"/>
          <w:szCs w:val="22"/>
        </w:rPr>
      </w:pPr>
    </w:p>
    <w:p w14:paraId="45F6BF4C" w14:textId="77777777" w:rsidR="00E10446" w:rsidRPr="00B22352" w:rsidRDefault="00E10446" w:rsidP="007F3739">
      <w:pPr>
        <w:rPr>
          <w:rFonts w:asciiTheme="majorHAnsi" w:hAnsiTheme="majorHAnsi" w:cstheme="majorHAnsi"/>
          <w:sz w:val="22"/>
          <w:szCs w:val="22"/>
        </w:rPr>
      </w:pPr>
    </w:p>
    <w:tbl>
      <w:tblPr>
        <w:tblStyle w:val="TableGrid"/>
        <w:tblW w:w="9923" w:type="dxa"/>
        <w:tblLayout w:type="fixed"/>
        <w:tblLook w:val="01E0" w:firstRow="1" w:lastRow="1" w:firstColumn="1" w:lastColumn="1" w:noHBand="0" w:noVBand="0"/>
      </w:tblPr>
      <w:tblGrid>
        <w:gridCol w:w="2119"/>
        <w:gridCol w:w="7804"/>
      </w:tblGrid>
      <w:tr w:rsidR="00B22352" w:rsidRPr="00B22352" w14:paraId="075F1285" w14:textId="77777777" w:rsidTr="00B22352">
        <w:trPr>
          <w:trHeight w:val="404"/>
        </w:trPr>
        <w:tc>
          <w:tcPr>
            <w:tcW w:w="2119" w:type="dxa"/>
          </w:tcPr>
          <w:p w14:paraId="3BC4E9E1" w14:textId="77777777" w:rsidR="00B22352" w:rsidRPr="00B22352" w:rsidRDefault="00B22352" w:rsidP="007F3739">
            <w:pPr>
              <w:rPr>
                <w:rFonts w:asciiTheme="majorHAnsi" w:hAnsiTheme="majorHAnsi" w:cstheme="majorHAnsi"/>
                <w:sz w:val="22"/>
                <w:szCs w:val="22"/>
              </w:rPr>
            </w:pPr>
          </w:p>
        </w:tc>
        <w:tc>
          <w:tcPr>
            <w:tcW w:w="7804" w:type="dxa"/>
          </w:tcPr>
          <w:p w14:paraId="0C4D2A5E" w14:textId="08679246" w:rsidR="00B22352" w:rsidRPr="00B22352" w:rsidRDefault="00B22352" w:rsidP="007F3739">
            <w:pPr>
              <w:rPr>
                <w:rFonts w:asciiTheme="majorHAnsi" w:hAnsiTheme="majorHAnsi" w:cstheme="majorHAnsi"/>
                <w:sz w:val="22"/>
                <w:szCs w:val="22"/>
              </w:rPr>
            </w:pPr>
            <w:r w:rsidRPr="00B22352">
              <w:rPr>
                <w:rFonts w:asciiTheme="majorHAnsi" w:hAnsiTheme="majorHAnsi" w:cstheme="majorHAnsi"/>
                <w:b/>
                <w:sz w:val="22"/>
                <w:szCs w:val="22"/>
              </w:rPr>
              <w:t>Development Advice / Peer Review (undertaken as part of assurance process)</w:t>
            </w:r>
          </w:p>
        </w:tc>
      </w:tr>
      <w:tr w:rsidR="00B22352" w:rsidRPr="00B22352" w14:paraId="1FDEA752" w14:textId="77777777" w:rsidTr="00B22352">
        <w:trPr>
          <w:trHeight w:val="404"/>
        </w:trPr>
        <w:tc>
          <w:tcPr>
            <w:tcW w:w="2119" w:type="dxa"/>
          </w:tcPr>
          <w:p w14:paraId="3A6DACF5" w14:textId="77777777" w:rsidR="00E10446" w:rsidRPr="00B22352" w:rsidRDefault="00E10446" w:rsidP="007F3739">
            <w:pPr>
              <w:rPr>
                <w:rFonts w:asciiTheme="majorHAnsi" w:hAnsiTheme="majorHAnsi" w:cstheme="majorHAnsi"/>
                <w:sz w:val="22"/>
                <w:szCs w:val="22"/>
              </w:rPr>
            </w:pPr>
            <w:r w:rsidRPr="00B22352">
              <w:rPr>
                <w:rFonts w:asciiTheme="majorHAnsi" w:hAnsiTheme="majorHAnsi" w:cstheme="majorHAnsi"/>
                <w:sz w:val="22"/>
                <w:szCs w:val="22"/>
              </w:rPr>
              <w:t>Range of input during development</w:t>
            </w:r>
          </w:p>
        </w:tc>
        <w:tc>
          <w:tcPr>
            <w:tcW w:w="7804" w:type="dxa"/>
          </w:tcPr>
          <w:p w14:paraId="1C90FD2F" w14:textId="77777777" w:rsidR="00E10446" w:rsidRPr="00B22352" w:rsidRDefault="00E10446" w:rsidP="007F3739">
            <w:pPr>
              <w:rPr>
                <w:rFonts w:asciiTheme="majorHAnsi" w:hAnsiTheme="majorHAnsi" w:cstheme="majorHAnsi"/>
                <w:sz w:val="22"/>
                <w:szCs w:val="22"/>
              </w:rPr>
            </w:pPr>
            <w:r w:rsidRPr="00B22352">
              <w:rPr>
                <w:rFonts w:asciiTheme="majorHAnsi" w:hAnsiTheme="majorHAnsi" w:cstheme="majorHAnsi"/>
                <w:sz w:val="22"/>
                <w:szCs w:val="22"/>
              </w:rPr>
              <w:t>Advice has been taken from the NHS Classification Service (National Clinical Classifications Helpdesk) on which ICD-10 codes to use to filter for alcohol-specific conditions.</w:t>
            </w:r>
          </w:p>
          <w:p w14:paraId="014DC72D" w14:textId="77777777" w:rsidR="00E10446" w:rsidRPr="00B22352" w:rsidRDefault="00E10446" w:rsidP="007F3739">
            <w:pPr>
              <w:rPr>
                <w:rFonts w:asciiTheme="majorHAnsi" w:hAnsiTheme="majorHAnsi" w:cstheme="majorHAnsi"/>
                <w:sz w:val="22"/>
                <w:szCs w:val="22"/>
              </w:rPr>
            </w:pPr>
          </w:p>
        </w:tc>
      </w:tr>
      <w:tr w:rsidR="00B22352" w:rsidRPr="00B22352" w14:paraId="341F9860" w14:textId="77777777" w:rsidTr="00B22352">
        <w:trPr>
          <w:trHeight w:val="413"/>
        </w:trPr>
        <w:tc>
          <w:tcPr>
            <w:tcW w:w="2119" w:type="dxa"/>
          </w:tcPr>
          <w:p w14:paraId="3BC5C171" w14:textId="77777777" w:rsidR="00E10446" w:rsidRPr="00B22352" w:rsidRDefault="00E10446" w:rsidP="007F3739">
            <w:pPr>
              <w:rPr>
                <w:rFonts w:asciiTheme="majorHAnsi" w:hAnsiTheme="majorHAnsi" w:cstheme="majorHAnsi"/>
                <w:sz w:val="22"/>
                <w:szCs w:val="22"/>
              </w:rPr>
            </w:pPr>
            <w:r w:rsidRPr="00B22352">
              <w:rPr>
                <w:rFonts w:asciiTheme="majorHAnsi" w:hAnsiTheme="majorHAnsi" w:cstheme="majorHAnsi"/>
                <w:sz w:val="22"/>
                <w:szCs w:val="22"/>
              </w:rPr>
              <w:t>Assurance Service</w:t>
            </w:r>
          </w:p>
          <w:p w14:paraId="2C9AEA6D" w14:textId="77777777" w:rsidR="00E10446" w:rsidRPr="00B22352" w:rsidRDefault="00E10446" w:rsidP="007F3739">
            <w:pPr>
              <w:rPr>
                <w:rFonts w:asciiTheme="majorHAnsi" w:hAnsiTheme="majorHAnsi" w:cstheme="majorHAnsi"/>
                <w:i/>
                <w:sz w:val="22"/>
                <w:szCs w:val="22"/>
              </w:rPr>
            </w:pPr>
            <w:r w:rsidRPr="00B22352">
              <w:rPr>
                <w:rFonts w:asciiTheme="majorHAnsi" w:hAnsiTheme="majorHAnsi" w:cstheme="majorHAnsi"/>
                <w:sz w:val="22"/>
                <w:szCs w:val="22"/>
              </w:rPr>
              <w:t>Peer Reviewers:</w:t>
            </w:r>
          </w:p>
        </w:tc>
        <w:tc>
          <w:tcPr>
            <w:tcW w:w="7804" w:type="dxa"/>
          </w:tcPr>
          <w:p w14:paraId="4E2015A3" w14:textId="77777777" w:rsidR="00E10446" w:rsidRPr="00B22352" w:rsidRDefault="00E10446" w:rsidP="007F3739">
            <w:pPr>
              <w:rPr>
                <w:rFonts w:asciiTheme="majorHAnsi" w:hAnsiTheme="majorHAnsi" w:cstheme="majorHAnsi"/>
                <w:sz w:val="22"/>
                <w:szCs w:val="22"/>
              </w:rPr>
            </w:pPr>
            <w:r w:rsidRPr="00B22352">
              <w:rPr>
                <w:rFonts w:asciiTheme="majorHAnsi" w:hAnsiTheme="majorHAnsi" w:cstheme="majorHAnsi"/>
                <w:sz w:val="22"/>
                <w:szCs w:val="22"/>
              </w:rPr>
              <w:t>Internal Review HSCIC</w:t>
            </w:r>
          </w:p>
          <w:p w14:paraId="3FEAF757" w14:textId="77777777" w:rsidR="00E10446" w:rsidRPr="00B22352" w:rsidRDefault="00E10446" w:rsidP="007F3739">
            <w:pPr>
              <w:rPr>
                <w:rFonts w:asciiTheme="majorHAnsi" w:hAnsiTheme="majorHAnsi" w:cstheme="majorHAnsi"/>
                <w:sz w:val="22"/>
                <w:szCs w:val="22"/>
              </w:rPr>
            </w:pPr>
            <w:r w:rsidRPr="00B22352">
              <w:rPr>
                <w:rFonts w:asciiTheme="majorHAnsi" w:hAnsiTheme="majorHAnsi" w:cstheme="majorHAnsi"/>
                <w:sz w:val="22"/>
                <w:szCs w:val="22"/>
              </w:rPr>
              <w:t>David Leese – Senior Information Analyst</w:t>
            </w:r>
          </w:p>
        </w:tc>
      </w:tr>
      <w:tr w:rsidR="00B22352" w:rsidRPr="00B22352" w14:paraId="2B55149C" w14:textId="77777777" w:rsidTr="00B22352">
        <w:trPr>
          <w:trHeight w:val="413"/>
        </w:trPr>
        <w:tc>
          <w:tcPr>
            <w:tcW w:w="2119" w:type="dxa"/>
          </w:tcPr>
          <w:p w14:paraId="3B257790" w14:textId="77777777" w:rsidR="00E10446" w:rsidRPr="00B22352" w:rsidRDefault="00E10446" w:rsidP="007F3739">
            <w:pPr>
              <w:rPr>
                <w:rFonts w:asciiTheme="majorHAnsi" w:hAnsiTheme="majorHAnsi" w:cstheme="majorHAnsi"/>
                <w:sz w:val="22"/>
                <w:szCs w:val="22"/>
              </w:rPr>
            </w:pPr>
            <w:r w:rsidRPr="00B22352">
              <w:rPr>
                <w:rFonts w:asciiTheme="majorHAnsi" w:hAnsiTheme="majorHAnsi" w:cstheme="majorHAnsi"/>
                <w:sz w:val="22"/>
                <w:szCs w:val="22"/>
              </w:rPr>
              <w:t>Peer Review summary:</w:t>
            </w:r>
          </w:p>
        </w:tc>
        <w:tc>
          <w:tcPr>
            <w:tcW w:w="7804" w:type="dxa"/>
          </w:tcPr>
          <w:p w14:paraId="27689D3D" w14:textId="77777777" w:rsidR="00E10446" w:rsidRPr="00B22352" w:rsidRDefault="00E10446" w:rsidP="007F3739">
            <w:pPr>
              <w:rPr>
                <w:rFonts w:asciiTheme="majorHAnsi" w:hAnsiTheme="majorHAnsi" w:cstheme="majorHAnsi"/>
                <w:sz w:val="22"/>
                <w:szCs w:val="22"/>
              </w:rPr>
            </w:pPr>
            <w:r w:rsidRPr="00B22352">
              <w:rPr>
                <w:rFonts w:asciiTheme="majorHAnsi" w:hAnsiTheme="majorHAnsi" w:cstheme="majorHAnsi"/>
                <w:sz w:val="22"/>
                <w:szCs w:val="22"/>
              </w:rPr>
              <w:t>The peer reviewer made the following suggestions:</w:t>
            </w:r>
          </w:p>
          <w:p w14:paraId="73650366" w14:textId="77777777" w:rsidR="00E10446" w:rsidRPr="00B22352" w:rsidRDefault="00E10446" w:rsidP="00E10446">
            <w:pPr>
              <w:pStyle w:val="ListParagraph"/>
              <w:numPr>
                <w:ilvl w:val="0"/>
                <w:numId w:val="13"/>
              </w:numPr>
              <w:spacing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Provide further clarification around the NICE recommendation to concentrate on alcohol specific conditions. This was addressed by the developer at MRG.</w:t>
            </w:r>
          </w:p>
          <w:p w14:paraId="054062E2" w14:textId="77777777" w:rsidR="00E10446" w:rsidRPr="00B22352" w:rsidRDefault="00E10446" w:rsidP="00E10446">
            <w:pPr>
              <w:pStyle w:val="ListParagraph"/>
              <w:numPr>
                <w:ilvl w:val="0"/>
                <w:numId w:val="13"/>
              </w:numPr>
              <w:spacing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 xml:space="preserve">Reference that publishing as a percentage is in line with all other readmission indicators published by HSCIC. </w:t>
            </w:r>
          </w:p>
          <w:p w14:paraId="121E3146" w14:textId="77777777" w:rsidR="00E10446" w:rsidRPr="00B22352" w:rsidRDefault="00E10446" w:rsidP="007F3739">
            <w:pPr>
              <w:pStyle w:val="ListParagraph"/>
              <w:ind w:left="360"/>
              <w:rPr>
                <w:rFonts w:asciiTheme="majorHAnsi" w:hAnsiTheme="majorHAnsi" w:cstheme="majorHAnsi"/>
                <w:sz w:val="22"/>
                <w:szCs w:val="22"/>
              </w:rPr>
            </w:pPr>
          </w:p>
        </w:tc>
      </w:tr>
    </w:tbl>
    <w:p w14:paraId="7A0477C4" w14:textId="77777777" w:rsidR="00E10446" w:rsidRPr="00B22352" w:rsidRDefault="00E10446" w:rsidP="007F3739">
      <w:pPr>
        <w:rPr>
          <w:rFonts w:asciiTheme="majorHAnsi" w:hAnsiTheme="majorHAnsi" w:cstheme="majorHAnsi"/>
          <w:sz w:val="22"/>
          <w:szCs w:val="22"/>
        </w:rPr>
      </w:pPr>
    </w:p>
    <w:tbl>
      <w:tblPr>
        <w:tblStyle w:val="TableGrid"/>
        <w:tblW w:w="9923" w:type="dxa"/>
        <w:tblLook w:val="01E0" w:firstRow="1" w:lastRow="1" w:firstColumn="1" w:lastColumn="1" w:noHBand="0" w:noVBand="0"/>
      </w:tblPr>
      <w:tblGrid>
        <w:gridCol w:w="2116"/>
        <w:gridCol w:w="7807"/>
      </w:tblGrid>
      <w:tr w:rsidR="00B22352" w:rsidRPr="00B22352" w14:paraId="3CD56E30" w14:textId="77777777" w:rsidTr="00B22352">
        <w:tc>
          <w:tcPr>
            <w:tcW w:w="2116" w:type="dxa"/>
          </w:tcPr>
          <w:p w14:paraId="73F9EFDE" w14:textId="77777777" w:rsidR="00B22352" w:rsidRPr="00B22352" w:rsidRDefault="00B22352" w:rsidP="007F3739">
            <w:pPr>
              <w:rPr>
                <w:rFonts w:asciiTheme="majorHAnsi" w:hAnsiTheme="majorHAnsi" w:cstheme="majorHAnsi"/>
                <w:sz w:val="22"/>
                <w:szCs w:val="22"/>
              </w:rPr>
            </w:pPr>
          </w:p>
        </w:tc>
        <w:tc>
          <w:tcPr>
            <w:tcW w:w="7807" w:type="dxa"/>
          </w:tcPr>
          <w:p w14:paraId="56740AF6" w14:textId="12B1294B" w:rsidR="00B22352" w:rsidRPr="00B22352" w:rsidRDefault="00B22352" w:rsidP="007F3739">
            <w:pPr>
              <w:rPr>
                <w:rFonts w:asciiTheme="majorHAnsi" w:hAnsiTheme="majorHAnsi" w:cstheme="majorHAnsi"/>
                <w:sz w:val="22"/>
                <w:szCs w:val="22"/>
              </w:rPr>
            </w:pPr>
            <w:r w:rsidRPr="00B22352">
              <w:rPr>
                <w:rFonts w:asciiTheme="majorHAnsi" w:hAnsiTheme="majorHAnsi" w:cstheme="majorHAnsi"/>
                <w:b/>
                <w:sz w:val="22"/>
                <w:szCs w:val="22"/>
              </w:rPr>
              <w:t>Record of MRG Discussion</w:t>
            </w:r>
          </w:p>
        </w:tc>
      </w:tr>
      <w:tr w:rsidR="00B22352" w:rsidRPr="00B22352" w14:paraId="096A1C86" w14:textId="77777777" w:rsidTr="00B22352">
        <w:tc>
          <w:tcPr>
            <w:tcW w:w="2116" w:type="dxa"/>
          </w:tcPr>
          <w:p w14:paraId="46ED149E" w14:textId="711A931B"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Discussion dates: </w:t>
            </w:r>
          </w:p>
        </w:tc>
        <w:tc>
          <w:tcPr>
            <w:tcW w:w="7807" w:type="dxa"/>
          </w:tcPr>
          <w:p w14:paraId="238A76AF"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22/08/13</w:t>
            </w:r>
          </w:p>
          <w:p w14:paraId="103CD954" w14:textId="11F7E56E"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18/10/13</w:t>
            </w:r>
          </w:p>
        </w:tc>
      </w:tr>
      <w:tr w:rsidR="00B22352" w:rsidRPr="00B22352" w14:paraId="2B8C24BB" w14:textId="77777777" w:rsidTr="00B22352">
        <w:tc>
          <w:tcPr>
            <w:tcW w:w="2116" w:type="dxa"/>
          </w:tcPr>
          <w:p w14:paraId="34ADE29B" w14:textId="2E86176B"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By:</w:t>
            </w:r>
          </w:p>
        </w:tc>
        <w:tc>
          <w:tcPr>
            <w:tcW w:w="7807" w:type="dxa"/>
          </w:tcPr>
          <w:p w14:paraId="693D2954"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Heather Dawe</w:t>
            </w:r>
            <w:r w:rsidRPr="00B22352">
              <w:rPr>
                <w:rFonts w:asciiTheme="majorHAnsi" w:hAnsiTheme="majorHAnsi" w:cstheme="majorHAnsi"/>
                <w:sz w:val="22"/>
                <w:szCs w:val="22"/>
              </w:rPr>
              <w:tab/>
              <w:t>HSCIC</w:t>
            </w:r>
            <w:r w:rsidRPr="00B22352">
              <w:rPr>
                <w:rFonts w:asciiTheme="majorHAnsi" w:hAnsiTheme="majorHAnsi" w:cstheme="majorHAnsi"/>
                <w:sz w:val="22"/>
                <w:szCs w:val="22"/>
              </w:rPr>
              <w:tab/>
              <w:t>Programme Manager, Clinical Indicators</w:t>
            </w:r>
          </w:p>
          <w:p w14:paraId="6A6763F7"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Paul Fryers</w:t>
            </w:r>
            <w:r w:rsidRPr="00B22352">
              <w:rPr>
                <w:rFonts w:asciiTheme="majorHAnsi" w:hAnsiTheme="majorHAnsi" w:cstheme="majorHAnsi"/>
                <w:sz w:val="22"/>
                <w:szCs w:val="22"/>
              </w:rPr>
              <w:tab/>
              <w:t>PHE</w:t>
            </w:r>
            <w:r w:rsidRPr="00B22352">
              <w:rPr>
                <w:rFonts w:asciiTheme="majorHAnsi" w:hAnsiTheme="majorHAnsi" w:cstheme="majorHAnsi"/>
                <w:sz w:val="22"/>
                <w:szCs w:val="22"/>
              </w:rPr>
              <w:tab/>
              <w:t xml:space="preserve">Deputy Director, East Midlands Knowledge and </w:t>
            </w:r>
          </w:p>
          <w:p w14:paraId="1B72DC84" w14:textId="77777777" w:rsidR="00B22352" w:rsidRPr="00B22352" w:rsidRDefault="00B22352" w:rsidP="00B22352">
            <w:pPr>
              <w:ind w:left="2160"/>
              <w:rPr>
                <w:rFonts w:asciiTheme="majorHAnsi" w:hAnsiTheme="majorHAnsi" w:cstheme="majorHAnsi"/>
                <w:sz w:val="22"/>
                <w:szCs w:val="22"/>
              </w:rPr>
            </w:pPr>
            <w:r w:rsidRPr="00B22352">
              <w:rPr>
                <w:rFonts w:asciiTheme="majorHAnsi" w:hAnsiTheme="majorHAnsi" w:cstheme="majorHAnsi"/>
                <w:sz w:val="22"/>
                <w:szCs w:val="22"/>
              </w:rPr>
              <w:t>Intelligence Team</w:t>
            </w:r>
          </w:p>
          <w:p w14:paraId="20826901"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Alyson Whitmarsh</w:t>
            </w:r>
            <w:r w:rsidRPr="00B22352">
              <w:rPr>
                <w:rFonts w:asciiTheme="majorHAnsi" w:hAnsiTheme="majorHAnsi" w:cstheme="majorHAnsi"/>
                <w:sz w:val="22"/>
                <w:szCs w:val="22"/>
              </w:rPr>
              <w:tab/>
              <w:t>HSCIC</w:t>
            </w:r>
            <w:r w:rsidRPr="00B22352">
              <w:rPr>
                <w:rFonts w:asciiTheme="majorHAnsi" w:hAnsiTheme="majorHAnsi" w:cstheme="majorHAnsi"/>
                <w:sz w:val="22"/>
                <w:szCs w:val="22"/>
              </w:rPr>
              <w:tab/>
              <w:t>Programme Manager, Clinical Audit</w:t>
            </w:r>
          </w:p>
          <w:p w14:paraId="460315EB"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Chris Dew</w:t>
            </w:r>
            <w:r w:rsidRPr="00B22352">
              <w:rPr>
                <w:rFonts w:asciiTheme="majorHAnsi" w:hAnsiTheme="majorHAnsi" w:cstheme="majorHAnsi"/>
                <w:sz w:val="22"/>
                <w:szCs w:val="22"/>
              </w:rPr>
              <w:tab/>
              <w:t>HSCIC</w:t>
            </w:r>
            <w:r w:rsidRPr="00B22352">
              <w:rPr>
                <w:rFonts w:asciiTheme="majorHAnsi" w:hAnsiTheme="majorHAnsi" w:cstheme="majorHAnsi"/>
                <w:sz w:val="22"/>
                <w:szCs w:val="22"/>
              </w:rPr>
              <w:tab/>
              <w:t>Section Head, Clinical Indicators</w:t>
            </w:r>
          </w:p>
          <w:p w14:paraId="7F6CA7F1"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Andy Sutherland</w:t>
            </w:r>
            <w:r w:rsidRPr="00B22352">
              <w:rPr>
                <w:rFonts w:asciiTheme="majorHAnsi" w:hAnsiTheme="majorHAnsi" w:cstheme="majorHAnsi"/>
                <w:sz w:val="22"/>
                <w:szCs w:val="22"/>
              </w:rPr>
              <w:tab/>
              <w:t>HSCIC</w:t>
            </w:r>
            <w:r w:rsidRPr="00B22352">
              <w:rPr>
                <w:rFonts w:asciiTheme="majorHAnsi" w:hAnsiTheme="majorHAnsi" w:cstheme="majorHAnsi"/>
                <w:sz w:val="22"/>
                <w:szCs w:val="22"/>
              </w:rPr>
              <w:tab/>
              <w:t xml:space="preserve">Statistics Head </w:t>
            </w:r>
            <w:proofErr w:type="gramStart"/>
            <w:r w:rsidRPr="00B22352">
              <w:rPr>
                <w:rFonts w:asciiTheme="majorHAnsi" w:hAnsiTheme="majorHAnsi" w:cstheme="majorHAnsi"/>
                <w:sz w:val="22"/>
                <w:szCs w:val="22"/>
              </w:rPr>
              <w:t>Of</w:t>
            </w:r>
            <w:proofErr w:type="gramEnd"/>
            <w:r w:rsidRPr="00B22352">
              <w:rPr>
                <w:rFonts w:asciiTheme="majorHAnsi" w:hAnsiTheme="majorHAnsi" w:cstheme="majorHAnsi"/>
                <w:sz w:val="22"/>
                <w:szCs w:val="22"/>
              </w:rPr>
              <w:t xml:space="preserve"> Profession</w:t>
            </w:r>
          </w:p>
          <w:p w14:paraId="0673C503"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Irene </w:t>
            </w:r>
            <w:proofErr w:type="spellStart"/>
            <w:r w:rsidRPr="00B22352">
              <w:rPr>
                <w:rFonts w:asciiTheme="majorHAnsi" w:hAnsiTheme="majorHAnsi" w:cstheme="majorHAnsi"/>
                <w:sz w:val="22"/>
                <w:szCs w:val="22"/>
              </w:rPr>
              <w:t>Begaj</w:t>
            </w:r>
            <w:proofErr w:type="spellEnd"/>
            <w:r w:rsidRPr="00B22352">
              <w:rPr>
                <w:rFonts w:asciiTheme="majorHAnsi" w:hAnsiTheme="majorHAnsi" w:cstheme="majorHAnsi"/>
                <w:sz w:val="22"/>
                <w:szCs w:val="22"/>
              </w:rPr>
              <w:t xml:space="preserve">               UHB          Statistical Intelligence Analyst</w:t>
            </w:r>
          </w:p>
          <w:p w14:paraId="2259AC54"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Paul </w:t>
            </w:r>
            <w:proofErr w:type="spellStart"/>
            <w:r w:rsidRPr="00B22352">
              <w:rPr>
                <w:rFonts w:asciiTheme="majorHAnsi" w:hAnsiTheme="majorHAnsi" w:cstheme="majorHAnsi"/>
                <w:sz w:val="22"/>
                <w:szCs w:val="22"/>
              </w:rPr>
              <w:t>Iggulden</w:t>
            </w:r>
            <w:proofErr w:type="spellEnd"/>
            <w:r w:rsidRPr="00B22352">
              <w:rPr>
                <w:rFonts w:asciiTheme="majorHAnsi" w:hAnsiTheme="majorHAnsi" w:cstheme="majorHAnsi"/>
                <w:sz w:val="22"/>
                <w:szCs w:val="22"/>
              </w:rPr>
              <w:tab/>
              <w:t>HSCIC</w:t>
            </w:r>
            <w:r w:rsidRPr="00B22352">
              <w:rPr>
                <w:rFonts w:asciiTheme="majorHAnsi" w:hAnsiTheme="majorHAnsi" w:cstheme="majorHAnsi"/>
                <w:sz w:val="22"/>
                <w:szCs w:val="22"/>
              </w:rPr>
              <w:tab/>
              <w:t xml:space="preserve">Interim Head of Clinical Analysis, Research &amp;   </w:t>
            </w:r>
          </w:p>
          <w:p w14:paraId="6534DABF" w14:textId="77777777" w:rsidR="00B22352" w:rsidRPr="00B22352" w:rsidRDefault="00B22352" w:rsidP="00B22352">
            <w:pPr>
              <w:ind w:left="2160"/>
              <w:rPr>
                <w:rFonts w:asciiTheme="majorHAnsi" w:hAnsiTheme="majorHAnsi" w:cstheme="majorHAnsi"/>
                <w:sz w:val="22"/>
                <w:szCs w:val="22"/>
              </w:rPr>
            </w:pPr>
            <w:r w:rsidRPr="00B22352">
              <w:rPr>
                <w:rFonts w:asciiTheme="majorHAnsi" w:hAnsiTheme="majorHAnsi" w:cstheme="majorHAnsi"/>
                <w:sz w:val="22"/>
                <w:szCs w:val="22"/>
              </w:rPr>
              <w:t>Development</w:t>
            </w:r>
          </w:p>
          <w:p w14:paraId="0DDB27A2" w14:textId="37B8AF1F"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Jonathon Hope        HSCIC       Principal Analyst, Clinical Audit</w:t>
            </w:r>
          </w:p>
        </w:tc>
      </w:tr>
      <w:tr w:rsidR="00B22352" w:rsidRPr="00B22352" w14:paraId="0E9C086F" w14:textId="77777777" w:rsidTr="00B22352">
        <w:tc>
          <w:tcPr>
            <w:tcW w:w="2116" w:type="dxa"/>
          </w:tcPr>
          <w:p w14:paraId="097C589E"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 xml:space="preserve">Summary of MRG discussions: </w:t>
            </w:r>
          </w:p>
        </w:tc>
        <w:tc>
          <w:tcPr>
            <w:tcW w:w="7807" w:type="dxa"/>
          </w:tcPr>
          <w:p w14:paraId="02606757" w14:textId="77777777" w:rsidR="00B22352" w:rsidRPr="00B22352" w:rsidRDefault="00B22352" w:rsidP="00B22352">
            <w:pPr>
              <w:rPr>
                <w:rFonts w:asciiTheme="majorHAnsi" w:hAnsiTheme="majorHAnsi" w:cstheme="majorHAnsi"/>
                <w:i/>
                <w:sz w:val="22"/>
                <w:szCs w:val="22"/>
              </w:rPr>
            </w:pPr>
            <w:r w:rsidRPr="00B22352">
              <w:rPr>
                <w:rFonts w:asciiTheme="majorHAnsi" w:hAnsiTheme="majorHAnsi" w:cstheme="majorHAnsi"/>
                <w:sz w:val="22"/>
                <w:szCs w:val="22"/>
              </w:rPr>
              <w:t xml:space="preserve">The indicator was presented and discussed alongside application </w:t>
            </w:r>
            <w:r w:rsidRPr="00B22352">
              <w:rPr>
                <w:rFonts w:asciiTheme="majorHAnsi" w:hAnsiTheme="majorHAnsi" w:cstheme="majorHAnsi"/>
                <w:i/>
                <w:sz w:val="22"/>
                <w:szCs w:val="22"/>
              </w:rPr>
              <w:t>IAP00332: Alcohol-specific hospital admissions.</w:t>
            </w:r>
          </w:p>
          <w:p w14:paraId="47692216" w14:textId="77777777" w:rsidR="00B22352" w:rsidRPr="00B22352" w:rsidRDefault="00B22352" w:rsidP="00B22352">
            <w:pPr>
              <w:rPr>
                <w:rFonts w:asciiTheme="majorHAnsi" w:hAnsiTheme="majorHAnsi" w:cstheme="majorHAnsi"/>
                <w:sz w:val="22"/>
                <w:szCs w:val="22"/>
              </w:rPr>
            </w:pPr>
          </w:p>
          <w:p w14:paraId="274D89A7" w14:textId="77777777" w:rsidR="00B22352" w:rsidRPr="00B22352" w:rsidRDefault="00B22352" w:rsidP="00B22352">
            <w:pPr>
              <w:pStyle w:val="ListParagraph"/>
              <w:numPr>
                <w:ilvl w:val="0"/>
                <w:numId w:val="12"/>
              </w:numPr>
              <w:spacing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 xml:space="preserve">MRG was informed that NICE supported the view that ‘alcohol-specific’ admissions are the most appropriate measure for the CCG indicator set, as the use of alcohol-attributable fractions would create issues with admission and readmission selection in the indicator </w:t>
            </w:r>
            <w:r w:rsidRPr="00B22352">
              <w:rPr>
                <w:rFonts w:asciiTheme="majorHAnsi" w:hAnsiTheme="majorHAnsi" w:cstheme="majorHAnsi"/>
                <w:i/>
                <w:sz w:val="22"/>
                <w:szCs w:val="22"/>
              </w:rPr>
              <w:t>Alcohol-specific readmission to any hospital within 30 days after the last previous discharge following an alcohol-specific admission (IAP00333)</w:t>
            </w:r>
            <w:r w:rsidRPr="00B22352">
              <w:rPr>
                <w:rFonts w:asciiTheme="majorHAnsi" w:hAnsiTheme="majorHAnsi" w:cstheme="majorHAnsi"/>
                <w:sz w:val="22"/>
                <w:szCs w:val="22"/>
              </w:rPr>
              <w:t xml:space="preserve">. To maintain consistency between the two indicators, alcohol-specific admissions are used.  </w:t>
            </w:r>
          </w:p>
          <w:p w14:paraId="64A6861C" w14:textId="77777777" w:rsidR="00B22352" w:rsidRPr="00B22352" w:rsidRDefault="00B22352" w:rsidP="00B22352">
            <w:pPr>
              <w:rPr>
                <w:rFonts w:asciiTheme="majorHAnsi" w:hAnsiTheme="majorHAnsi" w:cstheme="majorHAnsi"/>
                <w:sz w:val="22"/>
                <w:szCs w:val="22"/>
              </w:rPr>
            </w:pPr>
          </w:p>
          <w:p w14:paraId="6373D416" w14:textId="77777777" w:rsidR="00B22352" w:rsidRPr="00B22352" w:rsidRDefault="00B22352" w:rsidP="00B22352">
            <w:pPr>
              <w:pStyle w:val="ListParagraph"/>
              <w:numPr>
                <w:ilvl w:val="0"/>
                <w:numId w:val="12"/>
              </w:numPr>
              <w:spacing w:after="12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MRG members queried the removal of ICD 10 code T51.1 (Toxic effect of alcohol, Methanol) from the original application as a subjective issue, citing that this group could include those people producing their own alcohol where things go wrong and a high methanol content is produced as a result.</w:t>
            </w:r>
          </w:p>
          <w:p w14:paraId="6D9C29C1" w14:textId="77777777" w:rsidR="00B22352" w:rsidRPr="00B22352" w:rsidRDefault="00B22352" w:rsidP="00B22352">
            <w:pPr>
              <w:pStyle w:val="ListParagraph"/>
              <w:numPr>
                <w:ilvl w:val="0"/>
                <w:numId w:val="12"/>
              </w:numPr>
              <w:spacing w:before="120" w:after="0"/>
              <w:contextualSpacing/>
              <w:textboxTightWrap w:val="none"/>
              <w:rPr>
                <w:rFonts w:asciiTheme="majorHAnsi" w:hAnsiTheme="majorHAnsi" w:cstheme="majorHAnsi"/>
                <w:sz w:val="22"/>
                <w:szCs w:val="22"/>
              </w:rPr>
            </w:pPr>
            <w:proofErr w:type="gramStart"/>
            <w:r w:rsidRPr="00B22352">
              <w:rPr>
                <w:rFonts w:asciiTheme="majorHAnsi" w:hAnsiTheme="majorHAnsi" w:cstheme="majorHAnsi"/>
                <w:sz w:val="22"/>
                <w:szCs w:val="22"/>
              </w:rPr>
              <w:t>Additionally</w:t>
            </w:r>
            <w:proofErr w:type="gramEnd"/>
            <w:r w:rsidRPr="00B22352">
              <w:rPr>
                <w:rFonts w:asciiTheme="majorHAnsi" w:hAnsiTheme="majorHAnsi" w:cstheme="majorHAnsi"/>
                <w:sz w:val="22"/>
                <w:szCs w:val="22"/>
              </w:rPr>
              <w:t xml:space="preserve"> MRG felt that to maintain consistency with other definitions and what is contained in the Local Alcohol Profiles, it should be retained unless a very good reason could be found for its exclusion. </w:t>
            </w:r>
          </w:p>
          <w:p w14:paraId="1AFAC22F" w14:textId="77777777" w:rsidR="00B22352" w:rsidRPr="00B22352" w:rsidRDefault="00B22352" w:rsidP="00B22352">
            <w:pPr>
              <w:pStyle w:val="ListParagraph"/>
              <w:numPr>
                <w:ilvl w:val="0"/>
                <w:numId w:val="12"/>
              </w:numPr>
              <w:spacing w:before="120"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 xml:space="preserve">Subsequently the ICD-10 diagnosis codes for alcohol-specific admissions have been aligned with the conditions defined by the North West Public Health Observatory as alcohol-specific i.e. wholly-attributable to alcohol. </w:t>
            </w:r>
          </w:p>
          <w:p w14:paraId="20F83C4C" w14:textId="77777777" w:rsidR="00B22352" w:rsidRPr="00B22352" w:rsidRDefault="00B22352" w:rsidP="00B22352">
            <w:pPr>
              <w:rPr>
                <w:rFonts w:asciiTheme="majorHAnsi" w:hAnsiTheme="majorHAnsi" w:cstheme="majorHAnsi"/>
                <w:sz w:val="22"/>
                <w:szCs w:val="22"/>
              </w:rPr>
            </w:pPr>
          </w:p>
          <w:p w14:paraId="6E2E046D" w14:textId="77777777" w:rsidR="00B22352" w:rsidRPr="00B22352" w:rsidRDefault="00B22352" w:rsidP="00B22352">
            <w:pPr>
              <w:pStyle w:val="ListParagraph"/>
              <w:numPr>
                <w:ilvl w:val="0"/>
                <w:numId w:val="12"/>
              </w:numPr>
              <w:spacing w:before="60"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 xml:space="preserve">MRG members felt that clarification should be provided in the metadata for the differences in definitions for this indicator in comparison to other similar public health indicators. </w:t>
            </w:r>
          </w:p>
          <w:p w14:paraId="766CBB1C" w14:textId="77777777" w:rsidR="00B22352" w:rsidRPr="00B22352" w:rsidRDefault="00B22352" w:rsidP="00B22352">
            <w:pPr>
              <w:spacing w:before="60"/>
              <w:rPr>
                <w:rFonts w:asciiTheme="majorHAnsi" w:hAnsiTheme="majorHAnsi" w:cstheme="majorHAnsi"/>
                <w:sz w:val="22"/>
                <w:szCs w:val="22"/>
              </w:rPr>
            </w:pPr>
          </w:p>
          <w:p w14:paraId="44532891" w14:textId="77777777" w:rsidR="00B22352" w:rsidRPr="00B22352" w:rsidRDefault="00B22352" w:rsidP="00B22352">
            <w:pPr>
              <w:pStyle w:val="ListParagraph"/>
              <w:numPr>
                <w:ilvl w:val="0"/>
                <w:numId w:val="12"/>
              </w:numPr>
              <w:spacing w:before="60"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 xml:space="preserve">There was discussion as to whether the indicator looked at only the primary diagnosis,  and whether there was a possibility that codes such as </w:t>
            </w:r>
            <w:r w:rsidRPr="00B22352">
              <w:rPr>
                <w:rFonts w:asciiTheme="majorHAnsi" w:hAnsiTheme="majorHAnsi" w:cstheme="majorHAnsi"/>
                <w:sz w:val="22"/>
                <w:szCs w:val="22"/>
              </w:rPr>
              <w:lastRenderedPageBreak/>
              <w:t>F10 (Mental and behavioural disorder due to use of alcohol) would not be coded as a primary diagnosis and therefore likely to be missed.</w:t>
            </w:r>
          </w:p>
          <w:p w14:paraId="45482535" w14:textId="77777777" w:rsidR="00B22352" w:rsidRPr="00B22352" w:rsidRDefault="00B22352" w:rsidP="00B22352">
            <w:pPr>
              <w:pStyle w:val="ListParagraph"/>
              <w:numPr>
                <w:ilvl w:val="0"/>
                <w:numId w:val="12"/>
              </w:numPr>
              <w:spacing w:before="60"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MRG concluded that F10 can be used as a primary diagnosis code, and that the intent of the indicator was to count alcohol admissions, not secondary reasons. In this case, admissions are being used as a proxy for burden on acute services rather than the full burden of alcohol.</w:t>
            </w:r>
          </w:p>
          <w:p w14:paraId="7BC8369F" w14:textId="77777777" w:rsidR="00B22352" w:rsidRPr="00B22352" w:rsidRDefault="00B22352" w:rsidP="00B22352">
            <w:pPr>
              <w:spacing w:before="60"/>
              <w:rPr>
                <w:rFonts w:asciiTheme="majorHAnsi" w:hAnsiTheme="majorHAnsi" w:cstheme="majorHAnsi"/>
                <w:sz w:val="22"/>
                <w:szCs w:val="22"/>
              </w:rPr>
            </w:pPr>
          </w:p>
          <w:p w14:paraId="4AE45FD5" w14:textId="77777777" w:rsidR="00B22352" w:rsidRPr="00B22352" w:rsidRDefault="00B22352" w:rsidP="00B22352">
            <w:pPr>
              <w:pStyle w:val="ListParagraph"/>
              <w:numPr>
                <w:ilvl w:val="0"/>
                <w:numId w:val="12"/>
              </w:numPr>
              <w:spacing w:before="60"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 xml:space="preserve">With regards as to whether to include just emergency readmissions or all readmissions, the developer proposed that they did not want to include those patients who were scheduled to return to hospital for further treatment. It was acknowledged by the group that although just including emergency readmissions would bring numbers down, there would be enough records for a valid indicator. </w:t>
            </w:r>
          </w:p>
          <w:p w14:paraId="363D41C6" w14:textId="77777777" w:rsidR="00B22352" w:rsidRPr="00B22352" w:rsidRDefault="00B22352" w:rsidP="00B22352">
            <w:pPr>
              <w:pStyle w:val="ListParagraph"/>
              <w:numPr>
                <w:ilvl w:val="0"/>
                <w:numId w:val="12"/>
              </w:numPr>
              <w:spacing w:before="60"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Using only emergency readmissions for this indicator will maintain consistency with existing readmission indicators in the HSCIC Indicator Portal, which each use emergency readmissions in the numerator. The following filter will be included in the numerator: CIP_SPELL_ADMIMETH in (21, 22, 23, 24, 28).</w:t>
            </w:r>
          </w:p>
          <w:p w14:paraId="67112923" w14:textId="77777777" w:rsidR="00B22352" w:rsidRPr="00B22352" w:rsidRDefault="00B22352" w:rsidP="00B22352">
            <w:pPr>
              <w:pStyle w:val="ListParagraph"/>
              <w:numPr>
                <w:ilvl w:val="0"/>
                <w:numId w:val="12"/>
              </w:numPr>
              <w:spacing w:before="60"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An explanation of the use of emergency readmissions only will be included in the Quality Statement.</w:t>
            </w:r>
          </w:p>
          <w:p w14:paraId="18640640" w14:textId="77777777" w:rsidR="00B22352" w:rsidRPr="00B22352" w:rsidRDefault="00B22352" w:rsidP="00B22352">
            <w:pPr>
              <w:spacing w:before="60"/>
              <w:rPr>
                <w:rFonts w:asciiTheme="majorHAnsi" w:hAnsiTheme="majorHAnsi" w:cstheme="majorHAnsi"/>
                <w:sz w:val="22"/>
                <w:szCs w:val="22"/>
              </w:rPr>
            </w:pPr>
          </w:p>
          <w:p w14:paraId="50507341" w14:textId="77777777" w:rsidR="00B22352" w:rsidRPr="00B22352" w:rsidRDefault="00B22352" w:rsidP="00B22352">
            <w:pPr>
              <w:pStyle w:val="ListParagraph"/>
              <w:numPr>
                <w:ilvl w:val="0"/>
                <w:numId w:val="12"/>
              </w:numPr>
              <w:spacing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MRG felt that the proposal to indirectly standardise due to small numbers in some age bands is appropriate, but it was noted that going forward, a statement should be produced as to why the readmissions use indirect standardisation and the admissions indicator uses direct standardisation to assist users.</w:t>
            </w:r>
          </w:p>
          <w:p w14:paraId="396272AF" w14:textId="77777777" w:rsidR="00B22352" w:rsidRPr="00B22352" w:rsidRDefault="00B22352" w:rsidP="00B22352">
            <w:pPr>
              <w:pStyle w:val="ListParagraph"/>
              <w:numPr>
                <w:ilvl w:val="0"/>
                <w:numId w:val="12"/>
              </w:numPr>
              <w:spacing w:before="60" w:after="0"/>
              <w:contextualSpacing/>
              <w:textboxTightWrap w:val="none"/>
              <w:rPr>
                <w:rFonts w:asciiTheme="majorHAnsi" w:hAnsiTheme="majorHAnsi" w:cstheme="majorHAnsi"/>
                <w:sz w:val="22"/>
                <w:szCs w:val="22"/>
              </w:rPr>
            </w:pPr>
            <w:r w:rsidRPr="00B22352">
              <w:rPr>
                <w:rFonts w:asciiTheme="majorHAnsi" w:hAnsiTheme="majorHAnsi" w:cstheme="majorHAnsi"/>
                <w:sz w:val="22"/>
                <w:szCs w:val="22"/>
              </w:rPr>
              <w:t>Updated confidence interval methodology was provided to the group on request. Confidence intervals will be calculated as specified in ‘Commonly used public health statistics and their confidence intervals’ (APHO, March 2008).</w:t>
            </w:r>
          </w:p>
          <w:p w14:paraId="10D676E6" w14:textId="77777777" w:rsidR="00B22352" w:rsidRPr="00B22352" w:rsidRDefault="00B22352" w:rsidP="00B22352">
            <w:pPr>
              <w:spacing w:before="60" w:after="60"/>
              <w:rPr>
                <w:rFonts w:asciiTheme="majorHAnsi" w:hAnsiTheme="majorHAnsi" w:cstheme="majorHAnsi"/>
                <w:sz w:val="22"/>
                <w:szCs w:val="22"/>
              </w:rPr>
            </w:pPr>
          </w:p>
        </w:tc>
      </w:tr>
      <w:tr w:rsidR="00B22352" w:rsidRPr="00B22352" w14:paraId="62B01A28" w14:textId="77777777" w:rsidTr="00B22352">
        <w:trPr>
          <w:trHeight w:val="230"/>
        </w:trPr>
        <w:tc>
          <w:tcPr>
            <w:tcW w:w="2116" w:type="dxa"/>
          </w:tcPr>
          <w:p w14:paraId="12FC4A9E" w14:textId="77777777" w:rsidR="00B22352" w:rsidRPr="00B22352" w:rsidRDefault="00B22352" w:rsidP="00B22352">
            <w:pPr>
              <w:rPr>
                <w:rFonts w:asciiTheme="majorHAnsi" w:hAnsiTheme="majorHAnsi" w:cstheme="majorHAnsi"/>
                <w:i/>
                <w:sz w:val="22"/>
                <w:szCs w:val="22"/>
              </w:rPr>
            </w:pPr>
            <w:r w:rsidRPr="00B22352">
              <w:rPr>
                <w:rFonts w:asciiTheme="majorHAnsi" w:hAnsiTheme="majorHAnsi" w:cstheme="majorHAnsi"/>
                <w:i/>
                <w:sz w:val="22"/>
                <w:szCs w:val="22"/>
              </w:rPr>
              <w:lastRenderedPageBreak/>
              <w:t>Outcome of MRG consideration:</w:t>
            </w:r>
          </w:p>
        </w:tc>
        <w:tc>
          <w:tcPr>
            <w:tcW w:w="7807" w:type="dxa"/>
          </w:tcPr>
          <w:p w14:paraId="3D7D2722" w14:textId="430DFDAA"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b/>
                <w:sz w:val="22"/>
                <w:szCs w:val="22"/>
              </w:rPr>
              <w:t>No significant issues identified</w:t>
            </w:r>
          </w:p>
        </w:tc>
      </w:tr>
      <w:tr w:rsidR="00B22352" w:rsidRPr="00B22352" w14:paraId="32E415F7" w14:textId="77777777" w:rsidTr="00B22352">
        <w:trPr>
          <w:trHeight w:val="805"/>
        </w:trPr>
        <w:tc>
          <w:tcPr>
            <w:tcW w:w="2116" w:type="dxa"/>
          </w:tcPr>
          <w:p w14:paraId="7AE44F53" w14:textId="77777777" w:rsidR="00B22352" w:rsidRPr="00B22352" w:rsidRDefault="00B22352" w:rsidP="00B22352">
            <w:pPr>
              <w:rPr>
                <w:rFonts w:asciiTheme="majorHAnsi" w:hAnsiTheme="majorHAnsi" w:cstheme="majorHAnsi"/>
                <w:sz w:val="22"/>
                <w:szCs w:val="22"/>
              </w:rPr>
            </w:pPr>
            <w:r w:rsidRPr="00B22352">
              <w:rPr>
                <w:rFonts w:asciiTheme="majorHAnsi" w:hAnsiTheme="majorHAnsi" w:cstheme="majorHAnsi"/>
                <w:sz w:val="22"/>
                <w:szCs w:val="22"/>
              </w:rPr>
              <w:t>MRG statement of recommendation:</w:t>
            </w:r>
          </w:p>
        </w:tc>
        <w:tc>
          <w:tcPr>
            <w:tcW w:w="7807" w:type="dxa"/>
          </w:tcPr>
          <w:p w14:paraId="23C40AEE" w14:textId="77777777" w:rsidR="00B22352" w:rsidRPr="00B22352" w:rsidRDefault="00B22352" w:rsidP="00B22352">
            <w:pPr>
              <w:rPr>
                <w:rFonts w:asciiTheme="majorHAnsi" w:hAnsiTheme="majorHAnsi" w:cstheme="majorHAnsi"/>
                <w:b/>
                <w:sz w:val="22"/>
                <w:szCs w:val="22"/>
              </w:rPr>
            </w:pPr>
            <w:r w:rsidRPr="00B22352">
              <w:rPr>
                <w:rFonts w:asciiTheme="majorHAnsi" w:hAnsiTheme="majorHAnsi" w:cstheme="majorHAnsi"/>
                <w:sz w:val="22"/>
                <w:szCs w:val="22"/>
              </w:rPr>
              <w:t>This indicator was recommended for discussion by IGB on completion of the above recommendations.</w:t>
            </w:r>
          </w:p>
        </w:tc>
      </w:tr>
    </w:tbl>
    <w:p w14:paraId="732B85D6" w14:textId="77777777" w:rsidR="00E10446" w:rsidRPr="00B22352" w:rsidRDefault="00E10446" w:rsidP="007F3739">
      <w:pPr>
        <w:ind w:left="-851"/>
        <w:rPr>
          <w:rFonts w:asciiTheme="majorHAnsi" w:hAnsiTheme="majorHAnsi" w:cstheme="majorHAnsi"/>
          <w:sz w:val="22"/>
          <w:szCs w:val="22"/>
        </w:rPr>
      </w:pPr>
    </w:p>
    <w:p w14:paraId="67BA4C2A" w14:textId="77777777" w:rsidR="00E10446" w:rsidRPr="00B22352" w:rsidRDefault="00E10446" w:rsidP="00B22352">
      <w:pPr>
        <w:ind w:left="-851" w:firstLine="851"/>
        <w:rPr>
          <w:rFonts w:asciiTheme="majorHAnsi" w:hAnsiTheme="majorHAnsi" w:cstheme="majorHAnsi"/>
          <w:sz w:val="22"/>
          <w:szCs w:val="22"/>
        </w:rPr>
      </w:pPr>
      <w:r w:rsidRPr="00B22352">
        <w:rPr>
          <w:rFonts w:asciiTheme="majorHAnsi" w:hAnsiTheme="majorHAnsi" w:cstheme="majorHAnsi"/>
          <w:sz w:val="22"/>
          <w:szCs w:val="22"/>
        </w:rPr>
        <w:t>Review:</w:t>
      </w:r>
    </w:p>
    <w:tbl>
      <w:tblPr>
        <w:tblStyle w:val="TableGrid"/>
        <w:tblW w:w="9923" w:type="dxa"/>
        <w:tblLayout w:type="fixed"/>
        <w:tblLook w:val="01E0" w:firstRow="1" w:lastRow="1" w:firstColumn="1" w:lastColumn="1" w:noHBand="0" w:noVBand="0"/>
      </w:tblPr>
      <w:tblGrid>
        <w:gridCol w:w="2127"/>
        <w:gridCol w:w="7796"/>
      </w:tblGrid>
      <w:tr w:rsidR="00B22352" w:rsidRPr="00B22352" w14:paraId="13106740" w14:textId="77777777" w:rsidTr="00B22352">
        <w:trPr>
          <w:trHeight w:val="285"/>
        </w:trPr>
        <w:tc>
          <w:tcPr>
            <w:tcW w:w="2127" w:type="dxa"/>
          </w:tcPr>
          <w:p w14:paraId="0D3172D7" w14:textId="2C5162C0" w:rsidR="00B22352" w:rsidRPr="00B22352" w:rsidRDefault="00161249" w:rsidP="007F3739">
            <w:pPr>
              <w:rPr>
                <w:rFonts w:asciiTheme="majorHAnsi" w:hAnsiTheme="majorHAnsi" w:cstheme="majorHAnsi"/>
                <w:sz w:val="22"/>
                <w:szCs w:val="22"/>
              </w:rPr>
            </w:pPr>
            <w:r w:rsidRPr="00B22352">
              <w:rPr>
                <w:rFonts w:asciiTheme="majorHAnsi" w:hAnsiTheme="majorHAnsi" w:cstheme="majorHAnsi"/>
                <w:sz w:val="22"/>
                <w:szCs w:val="22"/>
              </w:rPr>
              <w:t>Review Timescale</w:t>
            </w:r>
          </w:p>
        </w:tc>
        <w:tc>
          <w:tcPr>
            <w:tcW w:w="7796" w:type="dxa"/>
          </w:tcPr>
          <w:p w14:paraId="3D0F67DD" w14:textId="0CF984EE" w:rsidR="00B22352" w:rsidRPr="00B22352" w:rsidRDefault="00161249" w:rsidP="007F3739">
            <w:pPr>
              <w:rPr>
                <w:rFonts w:asciiTheme="majorHAnsi" w:hAnsiTheme="majorHAnsi" w:cstheme="majorHAnsi"/>
                <w:sz w:val="22"/>
                <w:szCs w:val="22"/>
              </w:rPr>
            </w:pPr>
            <w:r>
              <w:rPr>
                <w:rFonts w:asciiTheme="majorHAnsi" w:hAnsiTheme="majorHAnsi" w:cstheme="majorHAnsi"/>
                <w:sz w:val="22"/>
                <w:szCs w:val="22"/>
              </w:rPr>
              <w:t>3 years / other</w:t>
            </w:r>
          </w:p>
        </w:tc>
      </w:tr>
      <w:tr w:rsidR="00B22352" w:rsidRPr="00B22352" w14:paraId="60BDA918" w14:textId="77777777" w:rsidTr="00B22352">
        <w:trPr>
          <w:trHeight w:val="285"/>
        </w:trPr>
        <w:tc>
          <w:tcPr>
            <w:tcW w:w="2127" w:type="dxa"/>
          </w:tcPr>
          <w:p w14:paraId="737D85DC" w14:textId="52CF6D95" w:rsidR="00B22352" w:rsidRPr="00B22352" w:rsidRDefault="00161249" w:rsidP="007F3739">
            <w:pPr>
              <w:rPr>
                <w:rFonts w:asciiTheme="majorHAnsi" w:hAnsiTheme="majorHAnsi" w:cstheme="majorHAnsi"/>
                <w:sz w:val="22"/>
                <w:szCs w:val="22"/>
              </w:rPr>
            </w:pPr>
            <w:r w:rsidRPr="00B22352">
              <w:rPr>
                <w:rFonts w:asciiTheme="majorHAnsi" w:hAnsiTheme="majorHAnsi" w:cstheme="majorHAnsi"/>
                <w:sz w:val="22"/>
                <w:szCs w:val="22"/>
              </w:rPr>
              <w:t xml:space="preserve">Rationale         </w:t>
            </w:r>
          </w:p>
        </w:tc>
        <w:tc>
          <w:tcPr>
            <w:tcW w:w="7796" w:type="dxa"/>
          </w:tcPr>
          <w:p w14:paraId="51DB3C8A" w14:textId="77777777" w:rsidR="00161249" w:rsidRPr="00B22352" w:rsidRDefault="00161249" w:rsidP="00161249">
            <w:pPr>
              <w:rPr>
                <w:rFonts w:asciiTheme="majorHAnsi" w:hAnsiTheme="majorHAnsi" w:cstheme="majorHAnsi"/>
                <w:sz w:val="22"/>
                <w:szCs w:val="22"/>
              </w:rPr>
            </w:pPr>
            <w:r w:rsidRPr="00B22352">
              <w:rPr>
                <w:rFonts w:asciiTheme="majorHAnsi" w:hAnsiTheme="majorHAnsi" w:cstheme="majorHAnsi"/>
                <w:sz w:val="22"/>
                <w:szCs w:val="22"/>
              </w:rPr>
              <w:t xml:space="preserve">[Issues to </w:t>
            </w:r>
            <w:proofErr w:type="gramStart"/>
            <w:r w:rsidRPr="00B22352">
              <w:rPr>
                <w:rFonts w:asciiTheme="majorHAnsi" w:hAnsiTheme="majorHAnsi" w:cstheme="majorHAnsi"/>
                <w:sz w:val="22"/>
                <w:szCs w:val="22"/>
              </w:rPr>
              <w:t>consider  –</w:t>
            </w:r>
            <w:proofErr w:type="gramEnd"/>
            <w:r w:rsidRPr="00B22352">
              <w:rPr>
                <w:rFonts w:asciiTheme="majorHAnsi" w:hAnsiTheme="majorHAnsi" w:cstheme="majorHAnsi"/>
                <w:sz w:val="22"/>
                <w:szCs w:val="22"/>
              </w:rPr>
              <w:t xml:space="preserve"> Changes to process, policy data source, coding definitions HES definitions ]</w:t>
            </w:r>
          </w:p>
          <w:p w14:paraId="3185453B" w14:textId="2BED7C99" w:rsidR="00B22352" w:rsidRPr="00B22352" w:rsidRDefault="00161249" w:rsidP="007F3739">
            <w:pPr>
              <w:rPr>
                <w:rFonts w:asciiTheme="majorHAnsi" w:hAnsiTheme="majorHAnsi" w:cstheme="majorHAnsi"/>
                <w:sz w:val="22"/>
                <w:szCs w:val="22"/>
              </w:rPr>
            </w:pPr>
            <w:r w:rsidRPr="00B22352">
              <w:rPr>
                <w:rFonts w:asciiTheme="majorHAnsi" w:hAnsiTheme="majorHAnsi" w:cstheme="majorHAnsi"/>
                <w:sz w:val="22"/>
                <w:szCs w:val="22"/>
              </w:rPr>
              <w:t>The indicator is recommended for review in three years on the basis that no changes in the data source or rationale is expected</w:t>
            </w:r>
          </w:p>
        </w:tc>
      </w:tr>
    </w:tbl>
    <w:p w14:paraId="28B4199A" w14:textId="77777777" w:rsidR="00E10446" w:rsidRPr="00B22352" w:rsidRDefault="00E10446" w:rsidP="007F3739">
      <w:pPr>
        <w:tabs>
          <w:tab w:val="left" w:pos="2830"/>
        </w:tabs>
        <w:ind w:left="-851"/>
        <w:rPr>
          <w:rFonts w:asciiTheme="majorHAnsi" w:hAnsiTheme="majorHAnsi" w:cstheme="majorHAnsi"/>
          <w:sz w:val="22"/>
          <w:szCs w:val="22"/>
        </w:rPr>
      </w:pPr>
    </w:p>
    <w:p w14:paraId="2046EE8E" w14:textId="4489B433" w:rsidR="00E10446" w:rsidRPr="00B22352" w:rsidRDefault="00B22352" w:rsidP="007F3739">
      <w:pPr>
        <w:tabs>
          <w:tab w:val="left" w:pos="2830"/>
        </w:tabs>
        <w:ind w:left="-851"/>
        <w:rPr>
          <w:rFonts w:asciiTheme="majorHAnsi" w:hAnsiTheme="majorHAnsi" w:cstheme="majorHAnsi"/>
          <w:sz w:val="22"/>
          <w:szCs w:val="22"/>
        </w:rPr>
      </w:pPr>
      <w:r>
        <w:rPr>
          <w:rFonts w:asciiTheme="majorHAnsi" w:hAnsiTheme="majorHAnsi" w:cstheme="majorHAnsi"/>
          <w:sz w:val="22"/>
          <w:szCs w:val="22"/>
        </w:rPr>
        <w:t xml:space="preserve">              </w:t>
      </w:r>
      <w:r w:rsidR="00E10446" w:rsidRPr="00B22352">
        <w:rPr>
          <w:rFonts w:asciiTheme="majorHAnsi" w:hAnsiTheme="majorHAnsi" w:cstheme="majorHAnsi"/>
          <w:sz w:val="22"/>
          <w:szCs w:val="22"/>
        </w:rPr>
        <w:t xml:space="preserve">IGB Sign-off: </w:t>
      </w:r>
    </w:p>
    <w:tbl>
      <w:tblPr>
        <w:tblStyle w:val="TableGrid"/>
        <w:tblW w:w="9923" w:type="dxa"/>
        <w:tblLayout w:type="fixed"/>
        <w:tblLook w:val="01E0" w:firstRow="1" w:lastRow="1" w:firstColumn="1" w:lastColumn="1" w:noHBand="0" w:noVBand="0"/>
      </w:tblPr>
      <w:tblGrid>
        <w:gridCol w:w="2124"/>
        <w:gridCol w:w="7799"/>
      </w:tblGrid>
      <w:tr w:rsidR="00161249" w:rsidRPr="00B22352" w14:paraId="56EDE201" w14:textId="77777777" w:rsidTr="00161249">
        <w:trPr>
          <w:trHeight w:val="230"/>
        </w:trPr>
        <w:tc>
          <w:tcPr>
            <w:tcW w:w="2124" w:type="dxa"/>
          </w:tcPr>
          <w:p w14:paraId="7F050E73" w14:textId="6D193CF2" w:rsidR="00161249" w:rsidRPr="00B22352" w:rsidRDefault="00161249" w:rsidP="007F3739">
            <w:pPr>
              <w:rPr>
                <w:rFonts w:asciiTheme="majorHAnsi" w:hAnsiTheme="majorHAnsi" w:cstheme="majorHAnsi"/>
                <w:i/>
                <w:sz w:val="22"/>
                <w:szCs w:val="22"/>
              </w:rPr>
            </w:pPr>
            <w:r w:rsidRPr="00B22352">
              <w:rPr>
                <w:rFonts w:asciiTheme="majorHAnsi" w:hAnsiTheme="majorHAnsi" w:cstheme="majorHAnsi"/>
                <w:b/>
                <w:sz w:val="22"/>
                <w:szCs w:val="22"/>
              </w:rPr>
              <w:t>Indicator Assurance Process Output</w:t>
            </w:r>
          </w:p>
        </w:tc>
        <w:tc>
          <w:tcPr>
            <w:tcW w:w="7799" w:type="dxa"/>
          </w:tcPr>
          <w:p w14:paraId="00083BE1" w14:textId="6D0BECC4" w:rsidR="00161249" w:rsidRPr="00B22352" w:rsidRDefault="00161249" w:rsidP="00161249">
            <w:pPr>
              <w:pStyle w:val="ListParagraph"/>
              <w:spacing w:after="0"/>
              <w:ind w:left="360" w:firstLine="0"/>
              <w:contextualSpacing/>
              <w:textboxTightWrap w:val="none"/>
              <w:rPr>
                <w:rFonts w:asciiTheme="majorHAnsi" w:hAnsiTheme="majorHAnsi" w:cstheme="majorHAnsi"/>
                <w:b/>
                <w:sz w:val="22"/>
                <w:szCs w:val="22"/>
              </w:rPr>
            </w:pPr>
            <w:r w:rsidRPr="00B22352">
              <w:rPr>
                <w:rFonts w:asciiTheme="majorHAnsi" w:hAnsiTheme="majorHAnsi" w:cstheme="majorHAnsi"/>
                <w:i/>
                <w:sz w:val="22"/>
                <w:szCs w:val="22"/>
              </w:rPr>
              <w:t>Final Appraisal Status</w:t>
            </w:r>
          </w:p>
        </w:tc>
      </w:tr>
      <w:tr w:rsidR="00161249" w:rsidRPr="00B22352" w14:paraId="41F69F4B" w14:textId="77777777" w:rsidTr="00161249">
        <w:trPr>
          <w:trHeight w:val="230"/>
        </w:trPr>
        <w:tc>
          <w:tcPr>
            <w:tcW w:w="2124" w:type="dxa"/>
          </w:tcPr>
          <w:p w14:paraId="24694E2B" w14:textId="49FF9535" w:rsidR="00161249" w:rsidRPr="00B22352" w:rsidRDefault="00161249" w:rsidP="007F3739">
            <w:pPr>
              <w:rPr>
                <w:rFonts w:asciiTheme="majorHAnsi" w:hAnsiTheme="majorHAnsi" w:cstheme="majorHAnsi"/>
                <w:i/>
                <w:sz w:val="22"/>
                <w:szCs w:val="22"/>
              </w:rPr>
            </w:pPr>
          </w:p>
        </w:tc>
        <w:tc>
          <w:tcPr>
            <w:tcW w:w="7799" w:type="dxa"/>
          </w:tcPr>
          <w:p w14:paraId="76E89458" w14:textId="77777777" w:rsidR="00161249" w:rsidRPr="00B22352" w:rsidRDefault="00161249" w:rsidP="00E10446">
            <w:pPr>
              <w:pStyle w:val="ListParagraph"/>
              <w:numPr>
                <w:ilvl w:val="0"/>
                <w:numId w:val="15"/>
              </w:numPr>
              <w:spacing w:after="0"/>
              <w:contextualSpacing/>
              <w:textboxTightWrap w:val="none"/>
              <w:rPr>
                <w:rFonts w:asciiTheme="majorHAnsi" w:hAnsiTheme="majorHAnsi" w:cstheme="majorHAnsi"/>
                <w:b/>
                <w:sz w:val="22"/>
                <w:szCs w:val="22"/>
              </w:rPr>
            </w:pPr>
            <w:r w:rsidRPr="00B22352">
              <w:rPr>
                <w:rFonts w:asciiTheme="majorHAnsi" w:hAnsiTheme="majorHAnsi" w:cstheme="majorHAnsi"/>
                <w:b/>
                <w:sz w:val="22"/>
                <w:szCs w:val="22"/>
              </w:rPr>
              <w:t>Assured</w:t>
            </w:r>
          </w:p>
        </w:tc>
      </w:tr>
      <w:tr w:rsidR="00161249" w:rsidRPr="00B22352" w14:paraId="3E2DA02C" w14:textId="77777777" w:rsidTr="00161249">
        <w:trPr>
          <w:trHeight w:val="234"/>
        </w:trPr>
        <w:tc>
          <w:tcPr>
            <w:tcW w:w="2124" w:type="dxa"/>
          </w:tcPr>
          <w:p w14:paraId="2D49CA5A" w14:textId="77777777" w:rsidR="00161249" w:rsidRPr="00B22352" w:rsidRDefault="00161249" w:rsidP="007F3739">
            <w:pPr>
              <w:rPr>
                <w:rFonts w:asciiTheme="majorHAnsi" w:hAnsiTheme="majorHAnsi" w:cstheme="majorHAnsi"/>
                <w:sz w:val="22"/>
                <w:szCs w:val="22"/>
              </w:rPr>
            </w:pPr>
          </w:p>
        </w:tc>
        <w:tc>
          <w:tcPr>
            <w:tcW w:w="7799" w:type="dxa"/>
          </w:tcPr>
          <w:p w14:paraId="02E4AAD4" w14:textId="77777777" w:rsidR="00161249" w:rsidRPr="00B22352" w:rsidRDefault="00161249" w:rsidP="00E10446">
            <w:pPr>
              <w:pStyle w:val="ListParagraph"/>
              <w:numPr>
                <w:ilvl w:val="0"/>
                <w:numId w:val="15"/>
              </w:numPr>
              <w:spacing w:after="0"/>
              <w:contextualSpacing/>
              <w:textboxTightWrap w:val="none"/>
              <w:rPr>
                <w:rFonts w:asciiTheme="majorHAnsi" w:hAnsiTheme="majorHAnsi" w:cstheme="majorHAnsi"/>
                <w:b/>
                <w:sz w:val="22"/>
                <w:szCs w:val="22"/>
              </w:rPr>
            </w:pPr>
            <w:r w:rsidRPr="00B22352">
              <w:rPr>
                <w:rFonts w:asciiTheme="majorHAnsi" w:hAnsiTheme="majorHAnsi" w:cstheme="majorHAnsi"/>
                <w:b/>
                <w:sz w:val="22"/>
                <w:szCs w:val="22"/>
              </w:rPr>
              <w:t>Assured with Comments</w:t>
            </w:r>
          </w:p>
        </w:tc>
      </w:tr>
      <w:tr w:rsidR="00161249" w:rsidRPr="00B22352" w14:paraId="3EFE35A4" w14:textId="77777777" w:rsidTr="00161249">
        <w:trPr>
          <w:trHeight w:val="228"/>
        </w:trPr>
        <w:tc>
          <w:tcPr>
            <w:tcW w:w="2124" w:type="dxa"/>
          </w:tcPr>
          <w:p w14:paraId="77669950" w14:textId="77777777" w:rsidR="00161249" w:rsidRPr="00B22352" w:rsidRDefault="00161249" w:rsidP="007F3739">
            <w:pPr>
              <w:rPr>
                <w:rFonts w:asciiTheme="majorHAnsi" w:hAnsiTheme="majorHAnsi" w:cstheme="majorHAnsi"/>
                <w:sz w:val="22"/>
                <w:szCs w:val="22"/>
              </w:rPr>
            </w:pPr>
          </w:p>
        </w:tc>
        <w:tc>
          <w:tcPr>
            <w:tcW w:w="7799" w:type="dxa"/>
          </w:tcPr>
          <w:p w14:paraId="36149064" w14:textId="77777777" w:rsidR="00161249" w:rsidRPr="00B22352" w:rsidRDefault="00161249" w:rsidP="00E10446">
            <w:pPr>
              <w:pStyle w:val="ListParagraph"/>
              <w:numPr>
                <w:ilvl w:val="0"/>
                <w:numId w:val="15"/>
              </w:numPr>
              <w:spacing w:after="0"/>
              <w:contextualSpacing/>
              <w:textboxTightWrap w:val="none"/>
              <w:rPr>
                <w:rFonts w:asciiTheme="majorHAnsi" w:hAnsiTheme="majorHAnsi" w:cstheme="majorHAnsi"/>
                <w:b/>
                <w:sz w:val="22"/>
                <w:szCs w:val="22"/>
              </w:rPr>
            </w:pPr>
            <w:r w:rsidRPr="00B22352">
              <w:rPr>
                <w:rFonts w:asciiTheme="majorHAnsi" w:hAnsiTheme="majorHAnsi" w:cstheme="majorHAnsi"/>
                <w:b/>
                <w:sz w:val="22"/>
                <w:szCs w:val="22"/>
              </w:rPr>
              <w:t>Failed Assurance</w:t>
            </w:r>
          </w:p>
        </w:tc>
      </w:tr>
      <w:tr w:rsidR="00B22352" w:rsidRPr="00B22352" w14:paraId="1D30F397" w14:textId="77777777" w:rsidTr="00B22352">
        <w:tc>
          <w:tcPr>
            <w:tcW w:w="2124" w:type="dxa"/>
          </w:tcPr>
          <w:p w14:paraId="395CAC65" w14:textId="77777777" w:rsidR="00E10446" w:rsidRPr="00B22352" w:rsidRDefault="00E10446" w:rsidP="007F3739">
            <w:pPr>
              <w:rPr>
                <w:rFonts w:asciiTheme="majorHAnsi" w:hAnsiTheme="majorHAnsi" w:cstheme="majorHAnsi"/>
                <w:sz w:val="22"/>
                <w:szCs w:val="22"/>
              </w:rPr>
            </w:pPr>
            <w:r w:rsidRPr="00B22352">
              <w:rPr>
                <w:rFonts w:asciiTheme="majorHAnsi" w:hAnsiTheme="majorHAnsi" w:cstheme="majorHAnsi"/>
                <w:sz w:val="22"/>
                <w:szCs w:val="22"/>
              </w:rPr>
              <w:t>Basis of Sign-off</w:t>
            </w:r>
          </w:p>
          <w:p w14:paraId="334E7409" w14:textId="77777777" w:rsidR="00E10446" w:rsidRPr="00B22352" w:rsidRDefault="00E10446" w:rsidP="007F3739">
            <w:pPr>
              <w:rPr>
                <w:rFonts w:asciiTheme="majorHAnsi" w:hAnsiTheme="majorHAnsi" w:cstheme="majorHAnsi"/>
                <w:sz w:val="22"/>
                <w:szCs w:val="22"/>
              </w:rPr>
            </w:pPr>
            <w:r w:rsidRPr="00B22352">
              <w:rPr>
                <w:rFonts w:asciiTheme="majorHAnsi" w:hAnsiTheme="majorHAnsi" w:cstheme="majorHAnsi"/>
                <w:sz w:val="22"/>
                <w:szCs w:val="22"/>
              </w:rPr>
              <w:t>[Detail caveats and limitations ]</w:t>
            </w:r>
          </w:p>
        </w:tc>
        <w:tc>
          <w:tcPr>
            <w:tcW w:w="7799" w:type="dxa"/>
          </w:tcPr>
          <w:p w14:paraId="63C652D6" w14:textId="77777777" w:rsidR="00E10446" w:rsidRPr="00B22352" w:rsidRDefault="00E10446" w:rsidP="007F3739">
            <w:pPr>
              <w:rPr>
                <w:rFonts w:asciiTheme="majorHAnsi" w:hAnsiTheme="majorHAnsi" w:cstheme="majorHAnsi"/>
                <w:sz w:val="22"/>
                <w:szCs w:val="22"/>
              </w:rPr>
            </w:pPr>
          </w:p>
          <w:p w14:paraId="4A64C637" w14:textId="77777777" w:rsidR="00E10446" w:rsidRPr="00B22352" w:rsidRDefault="00E10446" w:rsidP="007F3739">
            <w:pPr>
              <w:rPr>
                <w:rFonts w:asciiTheme="majorHAnsi" w:hAnsiTheme="majorHAnsi" w:cstheme="majorHAnsi"/>
                <w:sz w:val="22"/>
                <w:szCs w:val="22"/>
              </w:rPr>
            </w:pPr>
          </w:p>
          <w:p w14:paraId="17150A18" w14:textId="77777777" w:rsidR="00E10446" w:rsidRPr="00B22352" w:rsidRDefault="00E10446" w:rsidP="007F3739">
            <w:pPr>
              <w:rPr>
                <w:rFonts w:asciiTheme="majorHAnsi" w:hAnsiTheme="majorHAnsi" w:cstheme="majorHAnsi"/>
                <w:sz w:val="22"/>
                <w:szCs w:val="22"/>
              </w:rPr>
            </w:pPr>
          </w:p>
        </w:tc>
      </w:tr>
      <w:tr w:rsidR="00B22352" w:rsidRPr="00B22352" w14:paraId="3AE58140" w14:textId="77777777" w:rsidTr="00B22352">
        <w:tc>
          <w:tcPr>
            <w:tcW w:w="2124" w:type="dxa"/>
          </w:tcPr>
          <w:p w14:paraId="79FDBC85" w14:textId="77777777" w:rsidR="00E10446" w:rsidRPr="00B22352" w:rsidRDefault="00E10446" w:rsidP="007F3739">
            <w:pPr>
              <w:rPr>
                <w:rFonts w:asciiTheme="majorHAnsi" w:hAnsiTheme="majorHAnsi" w:cstheme="majorHAnsi"/>
                <w:sz w:val="22"/>
                <w:szCs w:val="22"/>
              </w:rPr>
            </w:pPr>
            <w:r w:rsidRPr="00B22352">
              <w:rPr>
                <w:rFonts w:asciiTheme="majorHAnsi" w:hAnsiTheme="majorHAnsi" w:cstheme="majorHAnsi"/>
                <w:sz w:val="22"/>
                <w:szCs w:val="22"/>
              </w:rPr>
              <w:t>Sign-off Date</w:t>
            </w:r>
          </w:p>
        </w:tc>
        <w:tc>
          <w:tcPr>
            <w:tcW w:w="7799" w:type="dxa"/>
          </w:tcPr>
          <w:p w14:paraId="16364443" w14:textId="77777777" w:rsidR="00E10446" w:rsidRPr="00B22352" w:rsidRDefault="00E10446" w:rsidP="007F3739">
            <w:pPr>
              <w:rPr>
                <w:rFonts w:asciiTheme="majorHAnsi" w:hAnsiTheme="majorHAnsi" w:cstheme="majorHAnsi"/>
                <w:sz w:val="22"/>
                <w:szCs w:val="22"/>
              </w:rPr>
            </w:pPr>
          </w:p>
        </w:tc>
      </w:tr>
    </w:tbl>
    <w:p w14:paraId="119C55F6" w14:textId="77777777" w:rsidR="00E10446" w:rsidRPr="00B22352" w:rsidRDefault="00E10446" w:rsidP="007F3739">
      <w:pPr>
        <w:rPr>
          <w:rFonts w:asciiTheme="majorHAnsi" w:hAnsiTheme="majorHAnsi" w:cstheme="majorHAnsi"/>
          <w:sz w:val="22"/>
          <w:szCs w:val="22"/>
        </w:rPr>
      </w:pPr>
    </w:p>
    <w:p w14:paraId="65665108" w14:textId="77777777" w:rsidR="005D06DD" w:rsidRPr="00B22352" w:rsidRDefault="005D06DD" w:rsidP="001D243C">
      <w:pPr>
        <w:rPr>
          <w:rFonts w:asciiTheme="majorHAnsi" w:hAnsiTheme="majorHAnsi" w:cstheme="majorHAnsi"/>
          <w:sz w:val="22"/>
          <w:szCs w:val="22"/>
        </w:rPr>
      </w:pPr>
    </w:p>
    <w:sectPr w:rsidR="005D06DD" w:rsidRPr="00B22352" w:rsidSect="000C24AF">
      <w:headerReference w:type="default" r:id="rId18"/>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7F3739" w:rsidRDefault="007F3739" w:rsidP="000C24AF">
      <w:pPr>
        <w:spacing w:after="0"/>
      </w:pPr>
      <w:r>
        <w:separator/>
      </w:r>
    </w:p>
  </w:endnote>
  <w:endnote w:type="continuationSeparator" w:id="0">
    <w:p w14:paraId="6C367D29" w14:textId="77777777" w:rsidR="007F3739" w:rsidRDefault="007F3739"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7F3739" w:rsidRDefault="007F3739" w:rsidP="000C24AF">
      <w:pPr>
        <w:spacing w:after="0"/>
      </w:pPr>
      <w:r>
        <w:separator/>
      </w:r>
    </w:p>
  </w:footnote>
  <w:footnote w:type="continuationSeparator" w:id="0">
    <w:p w14:paraId="6C367D27" w14:textId="77777777" w:rsidR="007F3739" w:rsidRDefault="007F3739" w:rsidP="000C24AF">
      <w:pPr>
        <w:spacing w:after="0"/>
      </w:pPr>
      <w:r>
        <w:continuationSeparator/>
      </w:r>
    </w:p>
  </w:footnote>
  <w:footnote w:id="1">
    <w:p w14:paraId="6DCEA1C0" w14:textId="77777777" w:rsidR="00B22352" w:rsidRDefault="00B22352" w:rsidP="00D1278A">
      <w:pPr>
        <w:pStyle w:val="FootnoteText"/>
      </w:pPr>
    </w:p>
  </w:footnote>
  <w:footnote w:id="2">
    <w:p w14:paraId="2B20468D" w14:textId="77777777" w:rsidR="00B22352" w:rsidRDefault="00B223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DD86" w14:textId="77777777" w:rsidR="007F3739" w:rsidRPr="00252316" w:rsidRDefault="007F3739" w:rsidP="00252316">
    <w:pPr>
      <w:tabs>
        <w:tab w:val="center" w:pos="4153"/>
        <w:tab w:val="right" w:pos="8306"/>
      </w:tabs>
      <w:spacing w:after="0"/>
      <w:jc w:val="center"/>
      <w:textboxTightWrap w:val="none"/>
      <w:rPr>
        <w:rFonts w:cs="Arial"/>
        <w:b/>
        <w:bCs/>
        <w:lang w:eastAsia="en-GB"/>
      </w:rPr>
    </w:pPr>
    <w:r w:rsidRPr="00252316">
      <w:rPr>
        <w:rFonts w:cs="Arial"/>
        <w:b/>
        <w:bCs/>
        <w:lang w:eastAsia="en-GB"/>
      </w:rPr>
      <w:t>NICE inherited this indicator and all its supporting documentation from NHS Digital on 1 April 2020</w:t>
    </w:r>
  </w:p>
  <w:p w14:paraId="6C367D32" w14:textId="41378E10" w:rsidR="007F3739" w:rsidRPr="00252316" w:rsidRDefault="007F3739" w:rsidP="00252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C54"/>
    <w:multiLevelType w:val="hybridMultilevel"/>
    <w:tmpl w:val="4BD20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56616"/>
    <w:multiLevelType w:val="hybridMultilevel"/>
    <w:tmpl w:val="648E3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B55CF"/>
    <w:multiLevelType w:val="hybridMultilevel"/>
    <w:tmpl w:val="39980F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926F90"/>
    <w:multiLevelType w:val="hybridMultilevel"/>
    <w:tmpl w:val="85266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E03FA"/>
    <w:multiLevelType w:val="hybridMultilevel"/>
    <w:tmpl w:val="2DB61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43F4D"/>
    <w:multiLevelType w:val="hybridMultilevel"/>
    <w:tmpl w:val="661CD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D1334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613A97"/>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E2C6431"/>
    <w:multiLevelType w:val="hybridMultilevel"/>
    <w:tmpl w:val="947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B9424E"/>
    <w:multiLevelType w:val="hybridMultilevel"/>
    <w:tmpl w:val="B8D8E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9"/>
  </w:num>
  <w:num w:numId="4">
    <w:abstractNumId w:val="12"/>
  </w:num>
  <w:num w:numId="5">
    <w:abstractNumId w:val="8"/>
  </w:num>
  <w:num w:numId="6">
    <w:abstractNumId w:val="5"/>
  </w:num>
  <w:num w:numId="7">
    <w:abstractNumId w:val="4"/>
  </w:num>
  <w:num w:numId="8">
    <w:abstractNumId w:val="13"/>
  </w:num>
  <w:num w:numId="9">
    <w:abstractNumId w:val="2"/>
  </w:num>
  <w:num w:numId="10">
    <w:abstractNumId w:val="11"/>
  </w:num>
  <w:num w:numId="11">
    <w:abstractNumId w:val="0"/>
  </w:num>
  <w:num w:numId="12">
    <w:abstractNumId w:val="3"/>
  </w:num>
  <w:num w:numId="13">
    <w:abstractNumId w:val="6"/>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ocumentProtection w:edit="readOnly"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77F8"/>
    <w:rsid w:val="00095621"/>
    <w:rsid w:val="00096ED3"/>
    <w:rsid w:val="000C24AF"/>
    <w:rsid w:val="0010192E"/>
    <w:rsid w:val="0010571A"/>
    <w:rsid w:val="00110985"/>
    <w:rsid w:val="00127A48"/>
    <w:rsid w:val="001453B1"/>
    <w:rsid w:val="0015258C"/>
    <w:rsid w:val="00161249"/>
    <w:rsid w:val="001757E3"/>
    <w:rsid w:val="00187604"/>
    <w:rsid w:val="001A5F3E"/>
    <w:rsid w:val="001C3565"/>
    <w:rsid w:val="001C53D7"/>
    <w:rsid w:val="001D243C"/>
    <w:rsid w:val="00216D85"/>
    <w:rsid w:val="00246037"/>
    <w:rsid w:val="00252316"/>
    <w:rsid w:val="00274F7A"/>
    <w:rsid w:val="002A7E9E"/>
    <w:rsid w:val="002C1D57"/>
    <w:rsid w:val="002C446A"/>
    <w:rsid w:val="0033715E"/>
    <w:rsid w:val="003D3A42"/>
    <w:rsid w:val="00414403"/>
    <w:rsid w:val="00420E7F"/>
    <w:rsid w:val="00435C46"/>
    <w:rsid w:val="00472D8E"/>
    <w:rsid w:val="004E445F"/>
    <w:rsid w:val="00514083"/>
    <w:rsid w:val="00546DBB"/>
    <w:rsid w:val="005D06DD"/>
    <w:rsid w:val="00616632"/>
    <w:rsid w:val="0062039B"/>
    <w:rsid w:val="006B3E0F"/>
    <w:rsid w:val="006D5658"/>
    <w:rsid w:val="00702B4D"/>
    <w:rsid w:val="0071497F"/>
    <w:rsid w:val="00763FA3"/>
    <w:rsid w:val="00772A5C"/>
    <w:rsid w:val="007D6E37"/>
    <w:rsid w:val="007E4138"/>
    <w:rsid w:val="007F3739"/>
    <w:rsid w:val="008022CE"/>
    <w:rsid w:val="008144A7"/>
    <w:rsid w:val="00814828"/>
    <w:rsid w:val="00856A34"/>
    <w:rsid w:val="008C6900"/>
    <w:rsid w:val="008D5953"/>
    <w:rsid w:val="008F12DF"/>
    <w:rsid w:val="00947F4C"/>
    <w:rsid w:val="009B4AB9"/>
    <w:rsid w:val="00A268E2"/>
    <w:rsid w:val="00A57320"/>
    <w:rsid w:val="00A73E11"/>
    <w:rsid w:val="00AA3392"/>
    <w:rsid w:val="00AD2BEF"/>
    <w:rsid w:val="00B22352"/>
    <w:rsid w:val="00B674CD"/>
    <w:rsid w:val="00B77C41"/>
    <w:rsid w:val="00BD2300"/>
    <w:rsid w:val="00C950BA"/>
    <w:rsid w:val="00CB3E10"/>
    <w:rsid w:val="00CC0C0F"/>
    <w:rsid w:val="00D1278A"/>
    <w:rsid w:val="00D86600"/>
    <w:rsid w:val="00D93D0D"/>
    <w:rsid w:val="00DC7D44"/>
    <w:rsid w:val="00DD7C30"/>
    <w:rsid w:val="00DF5AE3"/>
    <w:rsid w:val="00E05A15"/>
    <w:rsid w:val="00E10446"/>
    <w:rsid w:val="00E1167B"/>
    <w:rsid w:val="00E45C31"/>
    <w:rsid w:val="00E5704B"/>
    <w:rsid w:val="00E60528"/>
    <w:rsid w:val="00E60E30"/>
    <w:rsid w:val="00EB1195"/>
    <w:rsid w:val="00ED3649"/>
    <w:rsid w:val="00F02A7E"/>
    <w:rsid w:val="00F175BD"/>
    <w:rsid w:val="00F20FDC"/>
    <w:rsid w:val="00FB5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iPriority w:val="99"/>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7F3739"/>
    <w:pPr>
      <w:jc w:val="center"/>
    </w:pPr>
    <w:rPr>
      <w:b/>
      <w:sz w:val="28"/>
      <w:szCs w:val="28"/>
    </w:rPr>
  </w:style>
  <w:style w:type="character" w:customStyle="1" w:styleId="FrontpagesubheadChar">
    <w:name w:val="Frontpage_subhead Char"/>
    <w:basedOn w:val="DefaultParagraphFont"/>
    <w:link w:val="Frontpagesubhead"/>
    <w:rsid w:val="007F3739"/>
    <w:rPr>
      <w:rFonts w:ascii="Arial" w:hAnsi="Arial"/>
      <w:b/>
      <w:sz w:val="28"/>
      <w:szCs w:val="28"/>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iPriority w:val="99"/>
    <w:semiHidden/>
    <w:unhideWhenUsed/>
    <w:rsid w:val="00216D85"/>
    <w:rPr>
      <w:sz w:val="16"/>
      <w:szCs w:val="16"/>
    </w:rPr>
  </w:style>
  <w:style w:type="paragraph" w:styleId="CommentText">
    <w:name w:val="annotation text"/>
    <w:basedOn w:val="Normal"/>
    <w:link w:val="CommentTextChar"/>
    <w:uiPriority w:val="99"/>
    <w:semiHidden/>
    <w:unhideWhenUsed/>
    <w:rsid w:val="00216D85"/>
    <w:rPr>
      <w:sz w:val="20"/>
      <w:szCs w:val="20"/>
    </w:rPr>
  </w:style>
  <w:style w:type="character" w:customStyle="1" w:styleId="CommentTextChar">
    <w:name w:val="Comment Text Char"/>
    <w:basedOn w:val="DefaultParagraphFont"/>
    <w:link w:val="CommentText"/>
    <w:uiPriority w:val="99"/>
    <w:semiHidden/>
    <w:rsid w:val="00216D85"/>
    <w:rPr>
      <w:rFonts w:ascii="Arial" w:hAnsi="Arial"/>
    </w:rPr>
  </w:style>
  <w:style w:type="paragraph" w:styleId="CommentSubject">
    <w:name w:val="annotation subject"/>
    <w:basedOn w:val="CommentText"/>
    <w:next w:val="CommentText"/>
    <w:link w:val="CommentSubjectChar"/>
    <w:uiPriority w:val="99"/>
    <w:semiHidden/>
    <w:unhideWhenUsed/>
    <w:rsid w:val="00216D85"/>
    <w:rPr>
      <w:b/>
      <w:bCs/>
    </w:rPr>
  </w:style>
  <w:style w:type="character" w:customStyle="1" w:styleId="CommentSubjectChar">
    <w:name w:val="Comment Subject Char"/>
    <w:basedOn w:val="CommentTextChar"/>
    <w:link w:val="CommentSubject"/>
    <w:uiPriority w:val="99"/>
    <w:semiHidden/>
    <w:rsid w:val="00216D85"/>
    <w:rPr>
      <w:rFonts w:ascii="Arial" w:hAnsi="Arial"/>
      <w:b/>
      <w:bCs/>
    </w:rPr>
  </w:style>
  <w:style w:type="character" w:styleId="FollowedHyperlink">
    <w:name w:val="FollowedHyperlink"/>
    <w:basedOn w:val="DefaultParagraphFont"/>
    <w:uiPriority w:val="99"/>
    <w:semiHidden/>
    <w:unhideWhenUsed/>
    <w:rsid w:val="00947F4C"/>
    <w:rPr>
      <w:color w:val="701870" w:themeColor="followedHyperlink"/>
      <w:u w:val="single"/>
    </w:rPr>
  </w:style>
  <w:style w:type="paragraph" w:styleId="FootnoteText">
    <w:name w:val="footnote text"/>
    <w:basedOn w:val="Normal"/>
    <w:link w:val="FootnoteTextChar"/>
    <w:uiPriority w:val="99"/>
    <w:semiHidden/>
    <w:unhideWhenUsed/>
    <w:rsid w:val="00D1278A"/>
    <w:pPr>
      <w:spacing w:after="0"/>
    </w:pPr>
    <w:rPr>
      <w:sz w:val="20"/>
      <w:szCs w:val="20"/>
    </w:rPr>
  </w:style>
  <w:style w:type="character" w:customStyle="1" w:styleId="FootnoteTextChar">
    <w:name w:val="Footnote Text Char"/>
    <w:basedOn w:val="DefaultParagraphFont"/>
    <w:link w:val="FootnoteText"/>
    <w:uiPriority w:val="99"/>
    <w:semiHidden/>
    <w:rsid w:val="00D1278A"/>
    <w:rPr>
      <w:rFonts w:ascii="Arial" w:hAnsi="Arial"/>
    </w:rPr>
  </w:style>
  <w:style w:type="character" w:styleId="PageNumber">
    <w:name w:val="page number"/>
    <w:basedOn w:val="DefaultParagraphFont"/>
    <w:rsid w:val="00252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4763">
      <w:bodyDiv w:val="1"/>
      <w:marLeft w:val="0"/>
      <w:marRight w:val="0"/>
      <w:marTop w:val="0"/>
      <w:marBottom w:val="0"/>
      <w:divBdr>
        <w:top w:val="none" w:sz="0" w:space="0" w:color="auto"/>
        <w:left w:val="none" w:sz="0" w:space="0" w:color="auto"/>
        <w:bottom w:val="none" w:sz="0" w:space="0" w:color="auto"/>
        <w:right w:val="none" w:sz="0" w:space="0" w:color="auto"/>
      </w:divBdr>
    </w:div>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783503687">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 w:id="202724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t.digital.nhs.uk/media/11859/Provider-SpellsMethodology/pdf/Spells_Methodology.pdf"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enquiries@nhsdigital.nhs.uk" TargetMode="External"/><Relationship Id="rId2" Type="http://schemas.openxmlformats.org/officeDocument/2006/relationships/numbering" Target="numbering.xml"/><Relationship Id="rId16" Type="http://schemas.openxmlformats.org/officeDocument/2006/relationships/hyperlink" Target="http://www.phoutcomes.inf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nhs.uk/ccgois"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igital.nhs.uk/searchcatalogue?q=title%3a%22Hospital+Episode+Statistics%2c+Admitted+patient+care+-+England%22&amp;sort=Most+recent&amp;size=10&amp;page=1" TargetMode="External"/><Relationship Id="rId14" Type="http://schemas.openxmlformats.org/officeDocument/2006/relationships/image" Target="media/image4.png"/></Relationship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FB8AB-8FC9-48EC-983F-5519EDBC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FD32D2F8</Template>
  <TotalTime>0</TotalTime>
  <Pages>20</Pages>
  <Words>5232</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2020-03-09T17:52:00Z</dcterms:created>
  <dcterms:modified xsi:type="dcterms:W3CDTF">2020-03-09T17:52:00Z</dcterms:modified>
</cp:coreProperties>
</file>