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DC5C7" w14:textId="77777777" w:rsidR="00B36910" w:rsidRPr="00B36910" w:rsidRDefault="00B36910" w:rsidP="00B36910">
      <w:pPr>
        <w:jc w:val="center"/>
        <w:rPr>
          <w:b/>
          <w:bCs/>
          <w:sz w:val="28"/>
          <w:szCs w:val="28"/>
        </w:rPr>
      </w:pPr>
      <w:r w:rsidRPr="00B36910">
        <w:rPr>
          <w:b/>
          <w:bCs/>
          <w:sz w:val="28"/>
          <w:szCs w:val="28"/>
        </w:rPr>
        <w:t>NHS Digital</w:t>
      </w:r>
    </w:p>
    <w:p w14:paraId="07A90623" w14:textId="77777777" w:rsidR="00B36910" w:rsidRPr="00B36910" w:rsidRDefault="00B36910" w:rsidP="00B36910">
      <w:pPr>
        <w:jc w:val="center"/>
        <w:rPr>
          <w:b/>
          <w:bCs/>
          <w:sz w:val="28"/>
          <w:szCs w:val="28"/>
        </w:rPr>
      </w:pPr>
      <w:r w:rsidRPr="00B36910">
        <w:rPr>
          <w:b/>
          <w:bCs/>
          <w:sz w:val="28"/>
          <w:szCs w:val="28"/>
        </w:rPr>
        <w:t>Indicator Supporting Documentation</w:t>
      </w:r>
    </w:p>
    <w:p w14:paraId="7A5D31F2" w14:textId="1D7FFE03" w:rsidR="00B36910" w:rsidRPr="00B36910" w:rsidRDefault="00B36910" w:rsidP="00B36910">
      <w:pPr>
        <w:jc w:val="center"/>
        <w:rPr>
          <w:b/>
          <w:bCs/>
          <w:sz w:val="28"/>
          <w:szCs w:val="28"/>
        </w:rPr>
      </w:pPr>
      <w:r w:rsidRPr="00B36910">
        <w:rPr>
          <w:b/>
          <w:bCs/>
          <w:sz w:val="28"/>
          <w:szCs w:val="28"/>
        </w:rPr>
        <w:t>IAP00335 Patients who have had an acute stroke who spend 90% or more of their stay on a stroke unit</w:t>
      </w:r>
    </w:p>
    <w:p w14:paraId="645AC53E" w14:textId="77777777" w:rsidR="00B36910" w:rsidRPr="00B36910" w:rsidRDefault="00B36910"/>
    <w:tbl>
      <w:tblPr>
        <w:tblStyle w:val="ListTable3-Accent1"/>
        <w:tblW w:w="15593" w:type="dxa"/>
        <w:tblInd w:w="-856" w:type="dxa"/>
        <w:tblLayout w:type="fixed"/>
        <w:tblLook w:val="04A0" w:firstRow="1" w:lastRow="0" w:firstColumn="1" w:lastColumn="0" w:noHBand="0" w:noVBand="1"/>
      </w:tblPr>
      <w:tblGrid>
        <w:gridCol w:w="1763"/>
        <w:gridCol w:w="13830"/>
      </w:tblGrid>
      <w:tr w:rsidR="00B36910" w:rsidRPr="00B36910" w14:paraId="61E7FAC6" w14:textId="77777777" w:rsidTr="002D36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tcPr>
          <w:p w14:paraId="22A05EAB" w14:textId="62BFCDDA" w:rsidR="00BD69FE" w:rsidRPr="00B36910" w:rsidRDefault="00BD69FE" w:rsidP="00B36910">
            <w:pPr>
              <w:rPr>
                <w:b w:val="0"/>
                <w:color w:val="auto"/>
                <w:sz w:val="24"/>
                <w:szCs w:val="24"/>
              </w:rPr>
            </w:pPr>
            <w:r w:rsidRPr="00B36910">
              <w:rPr>
                <w:b w:val="0"/>
                <w:color w:val="auto"/>
                <w:sz w:val="24"/>
                <w:szCs w:val="24"/>
              </w:rPr>
              <w:t>FIELD</w:t>
            </w:r>
          </w:p>
        </w:tc>
        <w:tc>
          <w:tcPr>
            <w:tcW w:w="13830" w:type="dxa"/>
            <w:tcBorders>
              <w:bottom w:val="single" w:sz="4" w:space="0" w:color="4F81BD" w:themeColor="accent1"/>
            </w:tcBorders>
          </w:tcPr>
          <w:p w14:paraId="7D5C885B" w14:textId="7C99E994" w:rsidR="00BD69FE" w:rsidRPr="00B36910" w:rsidRDefault="00BD69FE" w:rsidP="00B36910">
            <w:pPr>
              <w:cnfStyle w:val="100000000000" w:firstRow="1" w:lastRow="0" w:firstColumn="0" w:lastColumn="0" w:oddVBand="0" w:evenVBand="0" w:oddHBand="0" w:evenHBand="0" w:firstRowFirstColumn="0" w:firstRowLastColumn="0" w:lastRowFirstColumn="0" w:lastRowLastColumn="0"/>
              <w:rPr>
                <w:color w:val="auto"/>
                <w:sz w:val="24"/>
                <w:szCs w:val="24"/>
              </w:rPr>
            </w:pPr>
            <w:r w:rsidRPr="00B36910">
              <w:rPr>
                <w:color w:val="auto"/>
                <w:sz w:val="24"/>
                <w:szCs w:val="24"/>
              </w:rPr>
              <w:t>CONTENTS</w:t>
            </w:r>
          </w:p>
        </w:tc>
      </w:tr>
      <w:tr w:rsidR="00B36910" w:rsidRPr="00B36910" w14:paraId="5489D00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C6EE05F" w14:textId="3079C9EF" w:rsidR="00BD69FE" w:rsidRPr="00B36910" w:rsidRDefault="00BD69FE" w:rsidP="00B36910">
            <w:pPr>
              <w:rPr>
                <w:b w:val="0"/>
                <w:sz w:val="24"/>
                <w:szCs w:val="24"/>
              </w:rPr>
            </w:pPr>
            <w:r w:rsidRPr="00B36910">
              <w:rPr>
                <w:sz w:val="24"/>
                <w:szCs w:val="24"/>
              </w:rPr>
              <w:t>IAP</w:t>
            </w:r>
            <w:r w:rsidR="004C64BB" w:rsidRPr="00B36910">
              <w:rPr>
                <w:sz w:val="24"/>
                <w:szCs w:val="24"/>
              </w:rPr>
              <w:t xml:space="preserve"> </w:t>
            </w:r>
            <w:r w:rsidRPr="00B36910">
              <w:rPr>
                <w:sz w:val="24"/>
                <w:szCs w:val="24"/>
              </w:rPr>
              <w:t>Code</w:t>
            </w:r>
          </w:p>
        </w:tc>
        <w:tc>
          <w:tcPr>
            <w:tcW w:w="13830" w:type="dxa"/>
            <w:tcBorders>
              <w:left w:val="single" w:sz="4" w:space="0" w:color="auto"/>
            </w:tcBorders>
          </w:tcPr>
          <w:p w14:paraId="34A261AC" w14:textId="057ADB7F" w:rsidR="00BD69FE" w:rsidRPr="00B36910" w:rsidRDefault="00F1531F" w:rsidP="00B36910">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IAP00</w:t>
            </w:r>
            <w:r w:rsidR="000245D2" w:rsidRPr="00B36910">
              <w:rPr>
                <w:sz w:val="24"/>
                <w:szCs w:val="24"/>
              </w:rPr>
              <w:t>335</w:t>
            </w:r>
          </w:p>
        </w:tc>
      </w:tr>
      <w:tr w:rsidR="00B36910" w:rsidRPr="00B36910" w14:paraId="6629A3E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997C39" w14:textId="77777777" w:rsidR="00BD69FE" w:rsidRPr="00B36910" w:rsidRDefault="00BD69FE" w:rsidP="00B36910">
            <w:pPr>
              <w:rPr>
                <w:b w:val="0"/>
                <w:sz w:val="24"/>
                <w:szCs w:val="24"/>
              </w:rPr>
            </w:pPr>
            <w:r w:rsidRPr="00B36910">
              <w:rPr>
                <w:sz w:val="24"/>
                <w:szCs w:val="24"/>
              </w:rPr>
              <w:t>Title</w:t>
            </w:r>
          </w:p>
        </w:tc>
        <w:tc>
          <w:tcPr>
            <w:tcW w:w="13830" w:type="dxa"/>
            <w:tcBorders>
              <w:left w:val="single" w:sz="4" w:space="0" w:color="auto"/>
            </w:tcBorders>
          </w:tcPr>
          <w:p w14:paraId="523F6C46" w14:textId="090EE7DC" w:rsidR="00BD69FE" w:rsidRPr="00B36910" w:rsidRDefault="00504B27" w:rsidP="00B36910">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Patients who have had an acute stroke who spend 90% or more of their stay on a stroke unit</w:t>
            </w:r>
          </w:p>
        </w:tc>
      </w:tr>
      <w:tr w:rsidR="00B36910" w:rsidRPr="00B36910" w14:paraId="28621C4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052110F3" w14:textId="77777777" w:rsidR="00BD69FE" w:rsidRPr="00B36910" w:rsidRDefault="00BD69FE" w:rsidP="00B36910">
            <w:pPr>
              <w:rPr>
                <w:b w:val="0"/>
                <w:sz w:val="24"/>
                <w:szCs w:val="24"/>
              </w:rPr>
            </w:pPr>
            <w:r w:rsidRPr="00B36910">
              <w:rPr>
                <w:sz w:val="24"/>
                <w:szCs w:val="24"/>
              </w:rPr>
              <w:t>Published by</w:t>
            </w:r>
          </w:p>
        </w:tc>
        <w:tc>
          <w:tcPr>
            <w:tcW w:w="13830" w:type="dxa"/>
            <w:tcBorders>
              <w:left w:val="single" w:sz="4" w:space="0" w:color="auto"/>
            </w:tcBorders>
          </w:tcPr>
          <w:p w14:paraId="6093FD1D" w14:textId="5B75D0FC" w:rsidR="00BD69FE" w:rsidRPr="00B36910" w:rsidRDefault="00E47E82" w:rsidP="00B36910">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 xml:space="preserve">Department of Health and Social </w:t>
            </w:r>
            <w:r w:rsidR="00E7285A" w:rsidRPr="00B36910">
              <w:rPr>
                <w:sz w:val="24"/>
                <w:szCs w:val="24"/>
              </w:rPr>
              <w:t>C</w:t>
            </w:r>
            <w:r w:rsidRPr="00B36910">
              <w:rPr>
                <w:sz w:val="24"/>
                <w:szCs w:val="24"/>
              </w:rPr>
              <w:t>are</w:t>
            </w:r>
          </w:p>
        </w:tc>
      </w:tr>
      <w:tr w:rsidR="00B36910" w:rsidRPr="00B36910" w14:paraId="5181966B"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CFA607F" w14:textId="77777777" w:rsidR="00BD69FE" w:rsidRPr="00B36910" w:rsidRDefault="00BD69FE" w:rsidP="00B36910">
            <w:pPr>
              <w:rPr>
                <w:b w:val="0"/>
                <w:sz w:val="24"/>
                <w:szCs w:val="24"/>
              </w:rPr>
            </w:pPr>
            <w:r w:rsidRPr="00B36910">
              <w:rPr>
                <w:sz w:val="24"/>
                <w:szCs w:val="24"/>
              </w:rPr>
              <w:t>Reporting period</w:t>
            </w:r>
          </w:p>
        </w:tc>
        <w:tc>
          <w:tcPr>
            <w:tcW w:w="13830" w:type="dxa"/>
            <w:tcBorders>
              <w:left w:val="single" w:sz="4" w:space="0" w:color="auto"/>
            </w:tcBorders>
          </w:tcPr>
          <w:p w14:paraId="2C54EFD5" w14:textId="796FC58C" w:rsidR="00BD69FE" w:rsidRPr="00B36910" w:rsidRDefault="00117176" w:rsidP="00B36910">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Annua</w:t>
            </w:r>
            <w:r w:rsidR="00AB5C38" w:rsidRPr="00B36910">
              <w:rPr>
                <w:sz w:val="24"/>
                <w:szCs w:val="24"/>
              </w:rPr>
              <w:t>l</w:t>
            </w:r>
          </w:p>
        </w:tc>
      </w:tr>
      <w:tr w:rsidR="00B36910" w:rsidRPr="00B36910" w14:paraId="1B9AB23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4ECB6F" w14:textId="77777777" w:rsidR="00BD69FE" w:rsidRPr="00B36910" w:rsidRDefault="00BD69FE" w:rsidP="00B36910">
            <w:pPr>
              <w:rPr>
                <w:b w:val="0"/>
                <w:sz w:val="24"/>
                <w:szCs w:val="24"/>
              </w:rPr>
            </w:pPr>
            <w:r w:rsidRPr="00B36910">
              <w:rPr>
                <w:sz w:val="24"/>
                <w:szCs w:val="24"/>
              </w:rPr>
              <w:t>Geographical Coverage</w:t>
            </w:r>
          </w:p>
        </w:tc>
        <w:tc>
          <w:tcPr>
            <w:tcW w:w="13830" w:type="dxa"/>
            <w:tcBorders>
              <w:left w:val="single" w:sz="4" w:space="0" w:color="auto"/>
            </w:tcBorders>
          </w:tcPr>
          <w:p w14:paraId="50DF24FC" w14:textId="57392D02" w:rsidR="00BD69FE" w:rsidRPr="00B36910" w:rsidRDefault="00AB5C38" w:rsidP="00B36910">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England</w:t>
            </w:r>
          </w:p>
        </w:tc>
      </w:tr>
      <w:tr w:rsidR="00B36910" w:rsidRPr="00B36910" w14:paraId="64620C9C"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55C73694" w14:textId="77777777" w:rsidR="00BD69FE" w:rsidRPr="00B36910" w:rsidRDefault="00BD69FE" w:rsidP="00B36910">
            <w:pPr>
              <w:rPr>
                <w:b w:val="0"/>
                <w:sz w:val="24"/>
                <w:szCs w:val="24"/>
              </w:rPr>
            </w:pPr>
            <w:r w:rsidRPr="00B36910">
              <w:rPr>
                <w:sz w:val="24"/>
                <w:szCs w:val="24"/>
              </w:rPr>
              <w:t>Reporting level(s)</w:t>
            </w:r>
          </w:p>
        </w:tc>
        <w:tc>
          <w:tcPr>
            <w:tcW w:w="13830" w:type="dxa"/>
            <w:tcBorders>
              <w:left w:val="single" w:sz="4" w:space="0" w:color="auto"/>
            </w:tcBorders>
          </w:tcPr>
          <w:p w14:paraId="5685C1A0" w14:textId="03937D4E" w:rsidR="00BD69FE" w:rsidRPr="00B36910" w:rsidRDefault="009A6A53" w:rsidP="00B36910">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National</w:t>
            </w:r>
          </w:p>
        </w:tc>
      </w:tr>
      <w:tr w:rsidR="00B36910" w:rsidRPr="00B36910" w14:paraId="7A68395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C73D882" w14:textId="77777777" w:rsidR="005F36B2" w:rsidRPr="00B36910" w:rsidRDefault="005F36B2" w:rsidP="005F36B2">
            <w:pPr>
              <w:rPr>
                <w:b w:val="0"/>
                <w:sz w:val="24"/>
                <w:szCs w:val="24"/>
              </w:rPr>
            </w:pPr>
            <w:r w:rsidRPr="00B36910">
              <w:rPr>
                <w:sz w:val="24"/>
                <w:szCs w:val="24"/>
              </w:rPr>
              <w:t>Based on data from</w:t>
            </w:r>
          </w:p>
        </w:tc>
        <w:tc>
          <w:tcPr>
            <w:tcW w:w="13830" w:type="dxa"/>
            <w:tcBorders>
              <w:left w:val="single" w:sz="4" w:space="0" w:color="auto"/>
            </w:tcBorders>
          </w:tcPr>
          <w:p w14:paraId="1345DE27" w14:textId="59F60207" w:rsidR="00CD39AF" w:rsidRPr="00B36910" w:rsidRDefault="00504B27" w:rsidP="000242E0">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Royal College of Physicians' Sentinel Stroke National Audit (RCP SSNAP)</w:t>
            </w:r>
          </w:p>
        </w:tc>
      </w:tr>
      <w:tr w:rsidR="00B36910" w:rsidRPr="00B36910" w14:paraId="1B0918A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7B4A4E" w14:textId="77777777" w:rsidR="00BD69FE" w:rsidRPr="00B36910" w:rsidRDefault="00BD69FE" w:rsidP="00B36910">
            <w:pPr>
              <w:rPr>
                <w:b w:val="0"/>
                <w:sz w:val="24"/>
                <w:szCs w:val="24"/>
              </w:rPr>
            </w:pPr>
            <w:r w:rsidRPr="00B36910">
              <w:rPr>
                <w:sz w:val="24"/>
                <w:szCs w:val="24"/>
              </w:rPr>
              <w:t>Contact Author Name</w:t>
            </w:r>
          </w:p>
        </w:tc>
        <w:tc>
          <w:tcPr>
            <w:tcW w:w="13830" w:type="dxa"/>
            <w:tcBorders>
              <w:left w:val="single" w:sz="4" w:space="0" w:color="auto"/>
            </w:tcBorders>
          </w:tcPr>
          <w:p w14:paraId="7BDE5252" w14:textId="0E421F4D" w:rsidR="00BD69FE" w:rsidRPr="00B36910" w:rsidRDefault="00504B27" w:rsidP="00B36910">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Alison Roe, Senior Service Delivery Manager, HSCIC</w:t>
            </w:r>
          </w:p>
        </w:tc>
      </w:tr>
      <w:tr w:rsidR="00B36910" w:rsidRPr="00B36910" w14:paraId="12572889"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6C94C25" w14:textId="77777777" w:rsidR="00BD69FE" w:rsidRPr="00B36910" w:rsidRDefault="00BD69FE" w:rsidP="00B36910">
            <w:pPr>
              <w:rPr>
                <w:b w:val="0"/>
                <w:sz w:val="24"/>
                <w:szCs w:val="24"/>
              </w:rPr>
            </w:pPr>
            <w:r w:rsidRPr="00B36910">
              <w:rPr>
                <w:sz w:val="24"/>
                <w:szCs w:val="24"/>
              </w:rPr>
              <w:t>Contact Author Email</w:t>
            </w:r>
          </w:p>
        </w:tc>
        <w:tc>
          <w:tcPr>
            <w:tcW w:w="13830" w:type="dxa"/>
            <w:tcBorders>
              <w:left w:val="single" w:sz="4" w:space="0" w:color="auto"/>
            </w:tcBorders>
          </w:tcPr>
          <w:p w14:paraId="337B0AB9" w14:textId="50271C8F" w:rsidR="00BD69FE" w:rsidRPr="00B36910" w:rsidRDefault="00504B27" w:rsidP="00B36910">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ccgois@hscic.gov.uk</w:t>
            </w:r>
          </w:p>
        </w:tc>
      </w:tr>
      <w:tr w:rsidR="00B36910" w:rsidRPr="00B36910" w14:paraId="146CE663"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471F2F3" w14:textId="77777777" w:rsidR="00BD69FE" w:rsidRPr="00B36910" w:rsidRDefault="00BD69FE" w:rsidP="00B36910">
            <w:pPr>
              <w:rPr>
                <w:b w:val="0"/>
                <w:sz w:val="24"/>
                <w:szCs w:val="24"/>
              </w:rPr>
            </w:pPr>
            <w:r w:rsidRPr="00B36910">
              <w:rPr>
                <w:sz w:val="24"/>
                <w:szCs w:val="24"/>
              </w:rPr>
              <w:t>Rating</w:t>
            </w:r>
          </w:p>
        </w:tc>
        <w:tc>
          <w:tcPr>
            <w:tcW w:w="13830" w:type="dxa"/>
            <w:tcBorders>
              <w:left w:val="single" w:sz="4" w:space="0" w:color="auto"/>
            </w:tcBorders>
          </w:tcPr>
          <w:p w14:paraId="42821BAF" w14:textId="7D64F668" w:rsidR="00BD69FE" w:rsidRPr="00B36910" w:rsidRDefault="006C20DD" w:rsidP="00B36910">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Fit for use</w:t>
            </w:r>
            <w:r w:rsidR="00504B27" w:rsidRPr="00B36910">
              <w:rPr>
                <w:sz w:val="24"/>
                <w:szCs w:val="24"/>
              </w:rPr>
              <w:t xml:space="preserve"> with caveats.</w:t>
            </w:r>
          </w:p>
        </w:tc>
      </w:tr>
      <w:tr w:rsidR="00B36910" w:rsidRPr="00B36910" w14:paraId="36C90CD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DDE63CB" w14:textId="77777777" w:rsidR="00BD69FE" w:rsidRPr="00B36910" w:rsidRDefault="00BD69FE" w:rsidP="00B36910">
            <w:pPr>
              <w:rPr>
                <w:b w:val="0"/>
                <w:sz w:val="24"/>
                <w:szCs w:val="24"/>
              </w:rPr>
            </w:pPr>
            <w:r w:rsidRPr="00B36910">
              <w:rPr>
                <w:sz w:val="24"/>
                <w:szCs w:val="24"/>
              </w:rPr>
              <w:t>Assurance date</w:t>
            </w:r>
          </w:p>
        </w:tc>
        <w:tc>
          <w:tcPr>
            <w:tcW w:w="13830" w:type="dxa"/>
            <w:tcBorders>
              <w:left w:val="single" w:sz="4" w:space="0" w:color="auto"/>
            </w:tcBorders>
          </w:tcPr>
          <w:p w14:paraId="07A7432F" w14:textId="64FE90C5" w:rsidR="006C20DD" w:rsidRPr="00B36910" w:rsidRDefault="00504B27" w:rsidP="00B36910">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01</w:t>
            </w:r>
            <w:r w:rsidR="00455ABB" w:rsidRPr="00B36910">
              <w:rPr>
                <w:sz w:val="24"/>
                <w:szCs w:val="24"/>
              </w:rPr>
              <w:t>/12/201</w:t>
            </w:r>
            <w:r w:rsidRPr="00B36910">
              <w:rPr>
                <w:sz w:val="24"/>
                <w:szCs w:val="24"/>
              </w:rPr>
              <w:t>5</w:t>
            </w:r>
          </w:p>
        </w:tc>
      </w:tr>
      <w:tr w:rsidR="00B36910" w:rsidRPr="00B36910" w14:paraId="2FD2A140"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1690B01" w14:textId="77777777" w:rsidR="00BD69FE" w:rsidRPr="00B36910" w:rsidRDefault="00BD69FE" w:rsidP="00B36910">
            <w:pPr>
              <w:rPr>
                <w:b w:val="0"/>
                <w:sz w:val="24"/>
                <w:szCs w:val="24"/>
              </w:rPr>
            </w:pPr>
            <w:r w:rsidRPr="00B36910">
              <w:rPr>
                <w:sz w:val="24"/>
                <w:szCs w:val="24"/>
              </w:rPr>
              <w:t>Review date</w:t>
            </w:r>
          </w:p>
        </w:tc>
        <w:tc>
          <w:tcPr>
            <w:tcW w:w="13830" w:type="dxa"/>
            <w:tcBorders>
              <w:left w:val="single" w:sz="4" w:space="0" w:color="auto"/>
            </w:tcBorders>
          </w:tcPr>
          <w:p w14:paraId="65D82364" w14:textId="2DAE64F2" w:rsidR="00BD69FE" w:rsidRPr="00B36910" w:rsidRDefault="00504B27" w:rsidP="00B36910">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01</w:t>
            </w:r>
            <w:r w:rsidR="005A0891" w:rsidRPr="00B36910">
              <w:rPr>
                <w:sz w:val="24"/>
                <w:szCs w:val="24"/>
              </w:rPr>
              <w:t>/12/201</w:t>
            </w:r>
            <w:r w:rsidRPr="00B36910">
              <w:rPr>
                <w:sz w:val="24"/>
                <w:szCs w:val="24"/>
              </w:rPr>
              <w:t>8</w:t>
            </w:r>
          </w:p>
        </w:tc>
      </w:tr>
      <w:tr w:rsidR="00B36910" w:rsidRPr="00B36910" w14:paraId="5F25EAD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54752B2" w14:textId="77777777" w:rsidR="00BD69FE" w:rsidRPr="00B36910" w:rsidRDefault="00BD69FE" w:rsidP="00B36910">
            <w:pPr>
              <w:rPr>
                <w:b w:val="0"/>
                <w:sz w:val="24"/>
                <w:szCs w:val="24"/>
              </w:rPr>
            </w:pPr>
            <w:r w:rsidRPr="00B36910">
              <w:rPr>
                <w:sz w:val="24"/>
                <w:szCs w:val="24"/>
              </w:rPr>
              <w:t>Indicator set</w:t>
            </w:r>
          </w:p>
        </w:tc>
        <w:tc>
          <w:tcPr>
            <w:tcW w:w="13830" w:type="dxa"/>
            <w:tcBorders>
              <w:left w:val="single" w:sz="4" w:space="0" w:color="auto"/>
            </w:tcBorders>
          </w:tcPr>
          <w:p w14:paraId="6C3C44BD" w14:textId="308A18AB" w:rsidR="00BD69FE" w:rsidRPr="00B36910" w:rsidRDefault="001B753E" w:rsidP="00B36910">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 xml:space="preserve">CCG Outcomes Indicator Set (OIS) </w:t>
            </w:r>
            <w:r w:rsidR="00504B27" w:rsidRPr="00B36910">
              <w:rPr>
                <w:sz w:val="24"/>
                <w:szCs w:val="24"/>
              </w:rPr>
              <w:t>3.9</w:t>
            </w:r>
          </w:p>
        </w:tc>
      </w:tr>
      <w:tr w:rsidR="00B36910" w:rsidRPr="00B36910" w14:paraId="6F4A3701"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2EBDFE1" w14:textId="77777777" w:rsidR="00BD69FE" w:rsidRPr="00B36910" w:rsidRDefault="00BD69FE" w:rsidP="00B36910">
            <w:pPr>
              <w:rPr>
                <w:b w:val="0"/>
                <w:sz w:val="24"/>
                <w:szCs w:val="24"/>
              </w:rPr>
            </w:pPr>
            <w:r w:rsidRPr="00B36910">
              <w:rPr>
                <w:sz w:val="24"/>
                <w:szCs w:val="24"/>
              </w:rPr>
              <w:t xml:space="preserve">Brief Description </w:t>
            </w:r>
          </w:p>
          <w:p w14:paraId="71948065" w14:textId="12F4584B" w:rsidR="00BD69FE" w:rsidRPr="00B36910" w:rsidRDefault="00BD69FE" w:rsidP="00B36910">
            <w:pPr>
              <w:rPr>
                <w:b w:val="0"/>
                <w:sz w:val="24"/>
                <w:szCs w:val="24"/>
              </w:rPr>
            </w:pPr>
            <w:r w:rsidRPr="00B36910">
              <w:rPr>
                <w:sz w:val="24"/>
                <w:szCs w:val="24"/>
              </w:rPr>
              <w:lastRenderedPageBreak/>
              <w:t>[This appears as a blurb in search results]</w:t>
            </w:r>
          </w:p>
        </w:tc>
        <w:tc>
          <w:tcPr>
            <w:tcW w:w="13830" w:type="dxa"/>
            <w:tcBorders>
              <w:left w:val="single" w:sz="4" w:space="0" w:color="auto"/>
            </w:tcBorders>
          </w:tcPr>
          <w:p w14:paraId="690E93D5" w14:textId="28364D9E" w:rsidR="006C20DD" w:rsidRPr="00B36910" w:rsidRDefault="00504B27" w:rsidP="00A60CBB">
            <w:pPr>
              <w:cnfStyle w:val="000000000000" w:firstRow="0" w:lastRow="0" w:firstColumn="0" w:lastColumn="0" w:oddVBand="0" w:evenVBand="0" w:oddHBand="0" w:evenHBand="0" w:firstRowFirstColumn="0" w:firstRowLastColumn="0" w:lastRowFirstColumn="0" w:lastRowLastColumn="0"/>
              <w:rPr>
                <w:sz w:val="24"/>
                <w:szCs w:val="24"/>
                <w:shd w:val="clear" w:color="auto" w:fill="F0F4F5"/>
              </w:rPr>
            </w:pPr>
            <w:r w:rsidRPr="00B36910">
              <w:rPr>
                <w:sz w:val="24"/>
                <w:szCs w:val="24"/>
              </w:rPr>
              <w:lastRenderedPageBreak/>
              <w:t>This indicator is the percentage of acute stroke patients that spend 90% or more of their hospital inpatient stay on a stroke unit.</w:t>
            </w:r>
          </w:p>
        </w:tc>
      </w:tr>
      <w:tr w:rsidR="00B36910" w:rsidRPr="00B36910" w14:paraId="30049EB2"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DB2E955" w14:textId="77777777" w:rsidR="00BD69FE" w:rsidRPr="00B36910" w:rsidRDefault="00BD69FE" w:rsidP="00B36910">
            <w:pPr>
              <w:rPr>
                <w:b w:val="0"/>
                <w:sz w:val="24"/>
                <w:szCs w:val="24"/>
              </w:rPr>
            </w:pPr>
            <w:r w:rsidRPr="00B36910">
              <w:rPr>
                <w:sz w:val="24"/>
                <w:szCs w:val="24"/>
              </w:rPr>
              <w:t>Purpose</w:t>
            </w:r>
          </w:p>
        </w:tc>
        <w:tc>
          <w:tcPr>
            <w:tcW w:w="13830" w:type="dxa"/>
            <w:tcBorders>
              <w:left w:val="single" w:sz="4" w:space="0" w:color="auto"/>
            </w:tcBorders>
          </w:tcPr>
          <w:p w14:paraId="34C6DB03" w14:textId="77777777" w:rsidR="00504B27"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Stroke units are able to offer the best quality of stroke care both acutely and in the long-term. Management of eligible patients in a stroke unit will result in long-term reductions in death, dependency and the need for institutional care.</w:t>
            </w:r>
          </w:p>
          <w:p w14:paraId="4BCCD928" w14:textId="77777777" w:rsidR="00504B27"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p>
          <w:p w14:paraId="63AE47C8" w14:textId="0CB3AFEC" w:rsidR="006500CF"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The indicator is, therefore, an important measure to show that patients are spending the majority of their stay on a stroke unit. It should be used in conjunction with Clinical Commissioning Group Outcome Indicator Set (CCG OIS) 3.5 (People with stroke admitted to an acute stroke unit within 4 hours of arrival to hospital) to provide an overall picture of patients’ transfer and time spent on a stroke unit.</w:t>
            </w:r>
          </w:p>
        </w:tc>
      </w:tr>
      <w:tr w:rsidR="00B36910" w:rsidRPr="00B36910" w14:paraId="54849C45"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0E47248" w14:textId="77777777" w:rsidR="00BD69FE" w:rsidRPr="00B36910" w:rsidRDefault="00BD69FE" w:rsidP="00B36910">
            <w:pPr>
              <w:rPr>
                <w:bCs w:val="0"/>
                <w:sz w:val="24"/>
                <w:szCs w:val="24"/>
              </w:rPr>
            </w:pPr>
            <w:r w:rsidRPr="00B36910">
              <w:rPr>
                <w:bCs w:val="0"/>
                <w:sz w:val="24"/>
                <w:szCs w:val="24"/>
              </w:rPr>
              <w:t>Definition</w:t>
            </w:r>
          </w:p>
        </w:tc>
        <w:tc>
          <w:tcPr>
            <w:tcW w:w="13830" w:type="dxa"/>
            <w:tcBorders>
              <w:left w:val="single" w:sz="4" w:space="0" w:color="auto"/>
            </w:tcBorders>
          </w:tcPr>
          <w:p w14:paraId="07013616" w14:textId="6E82ACCD" w:rsidR="006500CF" w:rsidRPr="00B36910" w:rsidRDefault="00504B27" w:rsidP="006C20DD">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Of the people who have had an acute stroke, the percentage that spend 90% or more of their hospital inpatient stay on a stroke unit.</w:t>
            </w:r>
          </w:p>
        </w:tc>
      </w:tr>
      <w:tr w:rsidR="00B36910" w:rsidRPr="00B36910" w14:paraId="6E1036B1"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3CE98FA2" w14:textId="77777777" w:rsidR="003F156D" w:rsidRPr="00B36910" w:rsidRDefault="003F156D" w:rsidP="003F156D">
            <w:pPr>
              <w:rPr>
                <w:b w:val="0"/>
                <w:sz w:val="24"/>
                <w:szCs w:val="24"/>
              </w:rPr>
            </w:pPr>
            <w:r w:rsidRPr="00B36910">
              <w:rPr>
                <w:sz w:val="24"/>
                <w:szCs w:val="24"/>
              </w:rPr>
              <w:t>Data Source</w:t>
            </w:r>
          </w:p>
        </w:tc>
        <w:tc>
          <w:tcPr>
            <w:tcW w:w="13830" w:type="dxa"/>
            <w:tcBorders>
              <w:left w:val="single" w:sz="4" w:space="0" w:color="auto"/>
            </w:tcBorders>
          </w:tcPr>
          <w:p w14:paraId="6738187C" w14:textId="37A0F2EF" w:rsidR="003F156D" w:rsidRPr="00B36910" w:rsidRDefault="00504B27" w:rsidP="00BC310E">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RCP SSNAP</w:t>
            </w:r>
          </w:p>
        </w:tc>
      </w:tr>
      <w:tr w:rsidR="00B36910" w:rsidRPr="00B36910" w14:paraId="1EF5CCA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5E42FA3" w14:textId="77777777" w:rsidR="003F156D" w:rsidRPr="00B36910" w:rsidRDefault="003F156D" w:rsidP="003F156D">
            <w:pPr>
              <w:rPr>
                <w:b w:val="0"/>
                <w:sz w:val="24"/>
                <w:szCs w:val="24"/>
              </w:rPr>
            </w:pPr>
            <w:r w:rsidRPr="00B36910">
              <w:rPr>
                <w:sz w:val="24"/>
                <w:szCs w:val="24"/>
              </w:rPr>
              <w:t>Numerator</w:t>
            </w:r>
          </w:p>
        </w:tc>
        <w:tc>
          <w:tcPr>
            <w:tcW w:w="13830" w:type="dxa"/>
            <w:tcBorders>
              <w:left w:val="single" w:sz="4" w:space="0" w:color="auto"/>
            </w:tcBorders>
          </w:tcPr>
          <w:p w14:paraId="4E048882" w14:textId="3197C7EB" w:rsidR="003F156D" w:rsidRPr="00B36910" w:rsidRDefault="00504B27" w:rsidP="00F01683">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Of the denominator, the number of patients who spend 90% or more of their stay on a stroke unit.</w:t>
            </w:r>
          </w:p>
        </w:tc>
      </w:tr>
      <w:tr w:rsidR="00B36910" w:rsidRPr="00B36910" w14:paraId="22216F2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B547D53" w14:textId="77777777" w:rsidR="003F156D" w:rsidRPr="00B36910" w:rsidRDefault="003F156D" w:rsidP="003F156D">
            <w:pPr>
              <w:rPr>
                <w:b w:val="0"/>
                <w:sz w:val="24"/>
                <w:szCs w:val="24"/>
              </w:rPr>
            </w:pPr>
            <w:r w:rsidRPr="00B36910">
              <w:rPr>
                <w:sz w:val="24"/>
                <w:szCs w:val="24"/>
              </w:rPr>
              <w:t>Denominator</w:t>
            </w:r>
          </w:p>
        </w:tc>
        <w:tc>
          <w:tcPr>
            <w:tcW w:w="13830" w:type="dxa"/>
            <w:tcBorders>
              <w:left w:val="single" w:sz="4" w:space="0" w:color="auto"/>
            </w:tcBorders>
          </w:tcPr>
          <w:p w14:paraId="2358D649" w14:textId="706C7C2B" w:rsidR="003F156D" w:rsidRPr="00B36910" w:rsidRDefault="00504B27" w:rsidP="006C20DD">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The number of patients entered into the Stroke Sentinel National Audit Programme (SSNAP) with a primary diagnosis of stroke. It excludes those whose first ward of admission was Intensive Treatment Unit (ITU), Critical Care Unite (CCU) or High Dependency Unit (HDU) and those who died on the same day as arrival/onset of symptoms.</w:t>
            </w:r>
          </w:p>
        </w:tc>
      </w:tr>
      <w:tr w:rsidR="00B36910" w:rsidRPr="00B36910" w14:paraId="5FC03589"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1F9D9B3" w14:textId="6258CCEF" w:rsidR="003F156D" w:rsidRPr="00B36910" w:rsidRDefault="00F01683" w:rsidP="003F156D">
            <w:pPr>
              <w:rPr>
                <w:sz w:val="24"/>
                <w:szCs w:val="24"/>
              </w:rPr>
            </w:pPr>
            <w:r w:rsidRPr="00B36910">
              <w:rPr>
                <w:sz w:val="24"/>
                <w:szCs w:val="24"/>
              </w:rPr>
              <w:t>Calculation</w:t>
            </w:r>
          </w:p>
        </w:tc>
        <w:tc>
          <w:tcPr>
            <w:tcW w:w="13830" w:type="dxa"/>
            <w:tcBorders>
              <w:left w:val="single" w:sz="4" w:space="0" w:color="auto"/>
            </w:tcBorders>
          </w:tcPr>
          <w:p w14:paraId="09215B82" w14:textId="4A8B0601" w:rsidR="006500CF" w:rsidRPr="00B36910" w:rsidRDefault="00504B27" w:rsidP="001B753E">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The indicator is calculated by dividing the numerator by the denominator and multiplying by 100 to produce a percentage indicator value. 95% confidence intervals are then calculated using the Wilson Score method.</w:t>
            </w:r>
          </w:p>
        </w:tc>
      </w:tr>
      <w:tr w:rsidR="00B36910" w:rsidRPr="00B36910" w14:paraId="4E697DFD"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31E676E" w14:textId="77777777" w:rsidR="003F156D" w:rsidRPr="00B36910" w:rsidRDefault="003F156D" w:rsidP="003F156D">
            <w:pPr>
              <w:rPr>
                <w:b w:val="0"/>
                <w:sz w:val="24"/>
                <w:szCs w:val="24"/>
              </w:rPr>
            </w:pPr>
            <w:r w:rsidRPr="00B36910">
              <w:rPr>
                <w:sz w:val="24"/>
                <w:szCs w:val="24"/>
              </w:rPr>
              <w:t>Interpretation Guidelines</w:t>
            </w:r>
          </w:p>
        </w:tc>
        <w:tc>
          <w:tcPr>
            <w:tcW w:w="13830" w:type="dxa"/>
            <w:tcBorders>
              <w:left w:val="single" w:sz="4" w:space="0" w:color="auto"/>
            </w:tcBorders>
          </w:tcPr>
          <w:p w14:paraId="4B70396B" w14:textId="77777777" w:rsidR="00504B27"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A high percentage of stroke patients entered into the Stroke Sentinel National Audit Programme (SSNAP) with a primary diagnosis of acute stroke who spend 90% or more of their stay on a stroke unit is desirable.</w:t>
            </w:r>
          </w:p>
          <w:p w14:paraId="2B579398" w14:textId="77777777" w:rsidR="00504B27"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p>
          <w:p w14:paraId="59C5E55D" w14:textId="77777777" w:rsidR="00504B27"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t>This indicator acknowledges that for a small percentage of patients, direct admission to a stroke unit is not appropriate. It differentiates between those who admitted to an acceptable alternative location, for example intensive care, and those who go to a '</w:t>
            </w:r>
            <w:proofErr w:type="gramStart"/>
            <w:r w:rsidRPr="00B36910">
              <w:rPr>
                <w:sz w:val="24"/>
                <w:szCs w:val="24"/>
              </w:rPr>
              <w:t>non acceptable</w:t>
            </w:r>
            <w:proofErr w:type="gramEnd"/>
            <w:r w:rsidRPr="00B36910">
              <w:rPr>
                <w:sz w:val="24"/>
                <w:szCs w:val="24"/>
              </w:rPr>
              <w:t xml:space="preserve">' location, for example a generic admissions unit. Those transferred to an acceptable location are excluded </w:t>
            </w:r>
            <w:proofErr w:type="spellStart"/>
            <w:r w:rsidRPr="00B36910">
              <w:rPr>
                <w:sz w:val="24"/>
                <w:szCs w:val="24"/>
              </w:rPr>
              <w:t>form</w:t>
            </w:r>
            <w:proofErr w:type="spellEnd"/>
            <w:r w:rsidRPr="00B36910">
              <w:rPr>
                <w:sz w:val="24"/>
                <w:szCs w:val="24"/>
              </w:rPr>
              <w:t xml:space="preserve"> the indicator.</w:t>
            </w:r>
          </w:p>
          <w:p w14:paraId="17FD1500" w14:textId="77777777" w:rsidR="00504B27"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p>
          <w:p w14:paraId="0072C7D9" w14:textId="077F7704" w:rsidR="006500CF" w:rsidRPr="00B36910" w:rsidRDefault="00504B27" w:rsidP="00504B27">
            <w:pPr>
              <w:cnfStyle w:val="000000100000" w:firstRow="0" w:lastRow="0" w:firstColumn="0" w:lastColumn="0" w:oddVBand="0" w:evenVBand="0" w:oddHBand="1" w:evenHBand="0" w:firstRowFirstColumn="0" w:firstRowLastColumn="0" w:lastRowFirstColumn="0" w:lastRowLastColumn="0"/>
              <w:rPr>
                <w:sz w:val="24"/>
                <w:szCs w:val="24"/>
              </w:rPr>
            </w:pPr>
            <w:r w:rsidRPr="00B36910">
              <w:rPr>
                <w:sz w:val="24"/>
                <w:szCs w:val="24"/>
              </w:rPr>
              <w:lastRenderedPageBreak/>
              <w:t>This indicator requires careful interpretation and should not be viewed in isolation but instead be considered alongside information from other indicators and alternative sources. Examples include Clinical Commissioning Group Outcomes Indicator Set (CCG OIS) 3.5 'People with stroke admitted to an acute stroke unit within 4 hours of arrival to hospital' and the CCG level SSNAP stroke unit key indicators. When evaluated together, these will help to provide a comprehensive view of CCG outcomes and provide a more complete overview of the impact of the CCGs’ processes on outcomes.</w:t>
            </w:r>
          </w:p>
        </w:tc>
      </w:tr>
      <w:tr w:rsidR="00B36910" w:rsidRPr="00B36910" w14:paraId="0E3B777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26D945" w14:textId="77777777" w:rsidR="003F156D" w:rsidRPr="00B36910" w:rsidRDefault="003F156D" w:rsidP="003F156D">
            <w:pPr>
              <w:rPr>
                <w:b w:val="0"/>
                <w:sz w:val="24"/>
                <w:szCs w:val="24"/>
              </w:rPr>
            </w:pPr>
            <w:r w:rsidRPr="00B36910">
              <w:rPr>
                <w:sz w:val="24"/>
                <w:szCs w:val="24"/>
              </w:rPr>
              <w:lastRenderedPageBreak/>
              <w:t>Caveats</w:t>
            </w:r>
          </w:p>
        </w:tc>
        <w:tc>
          <w:tcPr>
            <w:tcW w:w="13830" w:type="dxa"/>
            <w:tcBorders>
              <w:left w:val="single" w:sz="4" w:space="0" w:color="auto"/>
            </w:tcBorders>
          </w:tcPr>
          <w:p w14:paraId="0895E178" w14:textId="77777777" w:rsidR="00504B27" w:rsidRPr="00B36910" w:rsidRDefault="00504B27" w:rsidP="00504B27">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The patterns of providing care may vary between organisations in terms of hospital inpatient admission practices and policies.</w:t>
            </w:r>
          </w:p>
          <w:p w14:paraId="78F75BE2" w14:textId="77777777" w:rsidR="00504B27" w:rsidRPr="00B36910" w:rsidRDefault="00504B27" w:rsidP="00504B27">
            <w:pPr>
              <w:cnfStyle w:val="000000000000" w:firstRow="0" w:lastRow="0" w:firstColumn="0" w:lastColumn="0" w:oddVBand="0" w:evenVBand="0" w:oddHBand="0" w:evenHBand="0" w:firstRowFirstColumn="0" w:firstRowLastColumn="0" w:lastRowFirstColumn="0" w:lastRowLastColumn="0"/>
              <w:rPr>
                <w:sz w:val="24"/>
                <w:szCs w:val="24"/>
              </w:rPr>
            </w:pPr>
          </w:p>
          <w:p w14:paraId="2469E9CF" w14:textId="448CE7A6" w:rsidR="006500CF" w:rsidRPr="00B36910" w:rsidRDefault="00504B27" w:rsidP="00504B27">
            <w:pPr>
              <w:cnfStyle w:val="000000000000" w:firstRow="0" w:lastRow="0" w:firstColumn="0" w:lastColumn="0" w:oddVBand="0" w:evenVBand="0" w:oddHBand="0" w:evenHBand="0" w:firstRowFirstColumn="0" w:firstRowLastColumn="0" w:lastRowFirstColumn="0" w:lastRowLastColumn="0"/>
              <w:rPr>
                <w:sz w:val="24"/>
                <w:szCs w:val="24"/>
              </w:rPr>
            </w:pPr>
            <w:r w:rsidRPr="00B36910">
              <w:rPr>
                <w:sz w:val="24"/>
                <w:szCs w:val="24"/>
              </w:rPr>
              <w:t>There may be variation in the prevalence of stroke due to differing levels of deprivation, for other regional or demographic reasons or between patients of different ethnic heritages.</w:t>
            </w:r>
          </w:p>
        </w:tc>
      </w:tr>
    </w:tbl>
    <w:p w14:paraId="0F0CA932" w14:textId="7D614343" w:rsidR="00173180" w:rsidRPr="00B36910" w:rsidRDefault="00173180" w:rsidP="00BD69FE">
      <w:pPr>
        <w:rPr>
          <w:b/>
          <w:sz w:val="24"/>
          <w:szCs w:val="24"/>
        </w:rPr>
      </w:pPr>
    </w:p>
    <w:p w14:paraId="175E4DFD" w14:textId="17E2A513" w:rsidR="006B00E7" w:rsidRPr="00B36910" w:rsidRDefault="006B00E7" w:rsidP="00BD69FE">
      <w:pPr>
        <w:rPr>
          <w:b/>
          <w:sz w:val="24"/>
          <w:szCs w:val="24"/>
        </w:rPr>
      </w:pPr>
    </w:p>
    <w:p w14:paraId="6CE38C49" w14:textId="7089CA2C" w:rsidR="006B00E7" w:rsidRPr="00B36910" w:rsidRDefault="006B00E7" w:rsidP="00BD69FE">
      <w:pPr>
        <w:rPr>
          <w:b/>
          <w:sz w:val="24"/>
          <w:szCs w:val="24"/>
        </w:rPr>
      </w:pPr>
    </w:p>
    <w:p w14:paraId="711DEB59" w14:textId="23DAAECB" w:rsidR="006B00E7" w:rsidRPr="00B36910" w:rsidRDefault="006B00E7" w:rsidP="00BD69FE">
      <w:pPr>
        <w:rPr>
          <w:b/>
          <w:sz w:val="24"/>
          <w:szCs w:val="24"/>
        </w:rPr>
      </w:pPr>
    </w:p>
    <w:p w14:paraId="17706629" w14:textId="4E0BE027" w:rsidR="006B00E7" w:rsidRPr="00B36910" w:rsidRDefault="006B00E7" w:rsidP="00BD69FE">
      <w:pPr>
        <w:rPr>
          <w:b/>
          <w:sz w:val="24"/>
          <w:szCs w:val="24"/>
        </w:rPr>
      </w:pPr>
    </w:p>
    <w:p w14:paraId="38A306EB" w14:textId="614D3B89" w:rsidR="006B00E7" w:rsidRPr="00B36910" w:rsidRDefault="006B00E7" w:rsidP="00BD69FE">
      <w:pPr>
        <w:rPr>
          <w:b/>
          <w:sz w:val="24"/>
          <w:szCs w:val="24"/>
        </w:rPr>
      </w:pPr>
    </w:p>
    <w:p w14:paraId="6AF1F2A0" w14:textId="5EF5C7A1" w:rsidR="006B00E7" w:rsidRPr="00B36910" w:rsidRDefault="006B00E7" w:rsidP="00BD69FE">
      <w:pPr>
        <w:rPr>
          <w:b/>
          <w:sz w:val="24"/>
          <w:szCs w:val="24"/>
        </w:rPr>
      </w:pPr>
    </w:p>
    <w:p w14:paraId="15F84DB9" w14:textId="71CA6AB3" w:rsidR="006B00E7" w:rsidRPr="00B36910" w:rsidRDefault="006B00E7" w:rsidP="00BD69FE">
      <w:pPr>
        <w:rPr>
          <w:b/>
          <w:sz w:val="24"/>
          <w:szCs w:val="24"/>
        </w:rPr>
      </w:pPr>
    </w:p>
    <w:p w14:paraId="7D6C5394" w14:textId="3FCF4D07" w:rsidR="006B00E7" w:rsidRPr="00B36910" w:rsidRDefault="006B00E7" w:rsidP="00BD69FE">
      <w:pPr>
        <w:rPr>
          <w:b/>
          <w:sz w:val="24"/>
          <w:szCs w:val="24"/>
        </w:rPr>
      </w:pPr>
    </w:p>
    <w:p w14:paraId="0ECACD8D" w14:textId="153C630E" w:rsidR="006B00E7" w:rsidRPr="00B36910" w:rsidRDefault="006B00E7" w:rsidP="00BD69FE">
      <w:pPr>
        <w:rPr>
          <w:b/>
          <w:sz w:val="24"/>
          <w:szCs w:val="24"/>
        </w:rPr>
      </w:pPr>
    </w:p>
    <w:p w14:paraId="69E6C2BE" w14:textId="77777777" w:rsidR="006B00E7" w:rsidRPr="00B36910" w:rsidRDefault="006B00E7" w:rsidP="006B00E7">
      <w:pPr>
        <w:pStyle w:val="Frontpagesubhead"/>
        <w:rPr>
          <w:rFonts w:cs="Arial"/>
          <w:noProof/>
          <w:color w:val="auto"/>
          <w:lang w:eastAsia="en-GB"/>
        </w:rPr>
      </w:pPr>
    </w:p>
    <w:p w14:paraId="54C9D4BB" w14:textId="77777777" w:rsidR="006B00E7" w:rsidRPr="00B36910" w:rsidRDefault="006B00E7" w:rsidP="006B00E7">
      <w:pPr>
        <w:pStyle w:val="Frontpagesubhead"/>
        <w:rPr>
          <w:rFonts w:cs="Arial"/>
          <w:noProof/>
          <w:color w:val="auto"/>
          <w:lang w:eastAsia="en-GB"/>
        </w:rPr>
      </w:pPr>
    </w:p>
    <w:p w14:paraId="5DF2DE60" w14:textId="24B762F1" w:rsidR="006B00E7" w:rsidRPr="00B36910" w:rsidRDefault="006B00E7" w:rsidP="006B00E7">
      <w:pPr>
        <w:pStyle w:val="Frontpagesubhead"/>
        <w:rPr>
          <w:rFonts w:cs="Arial"/>
          <w:color w:val="auto"/>
        </w:rPr>
      </w:pPr>
    </w:p>
    <w:p w14:paraId="4949FDEA" w14:textId="77777777" w:rsidR="006B00E7" w:rsidRPr="00B36910" w:rsidRDefault="006B00E7" w:rsidP="006B00E7">
      <w:pPr>
        <w:pStyle w:val="Frontpagesubhead"/>
        <w:rPr>
          <w:rFonts w:cs="Arial"/>
          <w:color w:val="auto"/>
        </w:rPr>
        <w:sectPr w:rsidR="006B00E7" w:rsidRPr="00B36910" w:rsidSect="00B36910">
          <w:headerReference w:type="default" r:id="rId7"/>
          <w:footerReference w:type="default" r:id="rId8"/>
          <w:headerReference w:type="first" r:id="rId9"/>
          <w:pgSz w:w="16838" w:h="11906" w:orient="landscape"/>
          <w:pgMar w:top="1021" w:right="1021" w:bottom="1021" w:left="1021" w:header="454" w:footer="680" w:gutter="0"/>
          <w:cols w:space="708"/>
          <w:docGrid w:linePitch="360"/>
        </w:sectPr>
      </w:pPr>
    </w:p>
    <w:p w14:paraId="6CDF05F6" w14:textId="4DE8F232" w:rsidR="007B0C3E" w:rsidRDefault="007B0C3E">
      <w:r>
        <w:lastRenderedPageBreak/>
        <w:t>Section 1 Introduction /Overview</w:t>
      </w:r>
    </w:p>
    <w:tbl>
      <w:tblPr>
        <w:tblStyle w:val="TableGrid1"/>
        <w:tblW w:w="0" w:type="auto"/>
        <w:tblLayout w:type="fixed"/>
        <w:tblLook w:val="04A0" w:firstRow="1" w:lastRow="0" w:firstColumn="1" w:lastColumn="0" w:noHBand="0" w:noVBand="1"/>
      </w:tblPr>
      <w:tblGrid>
        <w:gridCol w:w="2607"/>
        <w:gridCol w:w="6853"/>
      </w:tblGrid>
      <w:tr w:rsidR="007B0C3E" w:rsidRPr="00B36910" w14:paraId="7FBE5442" w14:textId="77777777" w:rsidTr="00B36910">
        <w:tc>
          <w:tcPr>
            <w:tcW w:w="2607" w:type="dxa"/>
          </w:tcPr>
          <w:p w14:paraId="704F6A0B" w14:textId="4D852158" w:rsidR="007B0C3E" w:rsidRPr="00B36910" w:rsidRDefault="007B0C3E" w:rsidP="00B36910">
            <w:pPr>
              <w:spacing w:before="240"/>
              <w:rPr>
                <w:b/>
              </w:rPr>
            </w:pPr>
            <w:permStart w:id="288822947" w:edGrp="everyone" w:colFirst="1" w:colLast="1"/>
            <w:r>
              <w:rPr>
                <w:b/>
              </w:rPr>
              <w:t xml:space="preserve">1.1 </w:t>
            </w:r>
            <w:r w:rsidRPr="00B36910">
              <w:rPr>
                <w:b/>
              </w:rPr>
              <w:t>Title</w:t>
            </w:r>
          </w:p>
        </w:tc>
        <w:tc>
          <w:tcPr>
            <w:tcW w:w="6853" w:type="dxa"/>
          </w:tcPr>
          <w:p w14:paraId="31A41B76" w14:textId="21224A6A" w:rsidR="007B0C3E" w:rsidRPr="00B36910" w:rsidRDefault="007B0C3E" w:rsidP="00B36910">
            <w:pPr>
              <w:spacing w:before="240"/>
            </w:pPr>
          </w:p>
        </w:tc>
      </w:tr>
      <w:tr w:rsidR="007B0C3E" w:rsidRPr="00B36910" w14:paraId="183D097F" w14:textId="77777777" w:rsidTr="00B36910">
        <w:tc>
          <w:tcPr>
            <w:tcW w:w="2607" w:type="dxa"/>
          </w:tcPr>
          <w:p w14:paraId="516C0404" w14:textId="4D6CCB19" w:rsidR="007B0C3E" w:rsidRPr="00B36910" w:rsidRDefault="007B0C3E" w:rsidP="00B36910">
            <w:pPr>
              <w:spacing w:before="240"/>
              <w:rPr>
                <w:b/>
              </w:rPr>
            </w:pPr>
            <w:permStart w:id="18493382" w:edGrp="everyone" w:colFirst="1" w:colLast="1"/>
            <w:permEnd w:id="288822947"/>
            <w:r>
              <w:rPr>
                <w:b/>
              </w:rPr>
              <w:t xml:space="preserve">1.2 </w:t>
            </w:r>
            <w:r w:rsidRPr="00B36910">
              <w:rPr>
                <w:b/>
              </w:rPr>
              <w:t>Set or domain</w:t>
            </w:r>
          </w:p>
        </w:tc>
        <w:tc>
          <w:tcPr>
            <w:tcW w:w="6853" w:type="dxa"/>
          </w:tcPr>
          <w:p w14:paraId="37E2F0CF" w14:textId="77777777" w:rsidR="007B0C3E" w:rsidRPr="00B36910" w:rsidRDefault="007B0C3E" w:rsidP="00B36910">
            <w:pPr>
              <w:spacing w:before="240"/>
            </w:pPr>
            <w:r w:rsidRPr="00B36910">
              <w:t>CCG Outcomes Indicator Set (OIS) 3.9</w:t>
            </w:r>
          </w:p>
        </w:tc>
      </w:tr>
      <w:tr w:rsidR="007B0C3E" w:rsidRPr="00B36910" w14:paraId="66FF3A80" w14:textId="77777777" w:rsidTr="00B36910">
        <w:tc>
          <w:tcPr>
            <w:tcW w:w="2607" w:type="dxa"/>
          </w:tcPr>
          <w:p w14:paraId="7BFB21D0" w14:textId="78FC7D75" w:rsidR="007B0C3E" w:rsidRPr="00B36910" w:rsidRDefault="007B0C3E" w:rsidP="00B36910">
            <w:pPr>
              <w:spacing w:before="240"/>
              <w:rPr>
                <w:b/>
              </w:rPr>
            </w:pPr>
            <w:permStart w:id="219970034" w:edGrp="everyone" w:colFirst="1" w:colLast="1"/>
            <w:permEnd w:id="18493382"/>
            <w:r>
              <w:rPr>
                <w:b/>
              </w:rPr>
              <w:t xml:space="preserve">1.3 </w:t>
            </w:r>
            <w:r w:rsidRPr="00B36910">
              <w:rPr>
                <w:b/>
              </w:rPr>
              <w:t>Topic area</w:t>
            </w:r>
          </w:p>
        </w:tc>
        <w:tc>
          <w:tcPr>
            <w:tcW w:w="6853" w:type="dxa"/>
          </w:tcPr>
          <w:p w14:paraId="6C4D27DD" w14:textId="77777777" w:rsidR="007B0C3E" w:rsidRPr="00B36910" w:rsidRDefault="007B0C3E" w:rsidP="00B36910">
            <w:pPr>
              <w:spacing w:before="240"/>
            </w:pPr>
            <w:r w:rsidRPr="00B36910">
              <w:t>Cardiovascular</w:t>
            </w:r>
          </w:p>
        </w:tc>
      </w:tr>
      <w:tr w:rsidR="007B0C3E" w:rsidRPr="00B36910" w14:paraId="2EE46F32" w14:textId="77777777" w:rsidTr="00B36910">
        <w:tc>
          <w:tcPr>
            <w:tcW w:w="2607" w:type="dxa"/>
          </w:tcPr>
          <w:p w14:paraId="4BC9AEC2" w14:textId="2E511863" w:rsidR="007B0C3E" w:rsidRPr="00B36910" w:rsidRDefault="007B0C3E" w:rsidP="00B36910">
            <w:pPr>
              <w:spacing w:before="240"/>
              <w:rPr>
                <w:b/>
              </w:rPr>
            </w:pPr>
            <w:permStart w:id="1912868747" w:edGrp="everyone" w:colFirst="1" w:colLast="1"/>
            <w:permEnd w:id="219970034"/>
            <w:r>
              <w:rPr>
                <w:b/>
              </w:rPr>
              <w:t>1.4</w:t>
            </w:r>
            <w:r w:rsidRPr="00B36910">
              <w:rPr>
                <w:b/>
              </w:rPr>
              <w:t>Definition</w:t>
            </w:r>
          </w:p>
        </w:tc>
        <w:tc>
          <w:tcPr>
            <w:tcW w:w="6853" w:type="dxa"/>
          </w:tcPr>
          <w:p w14:paraId="13421462" w14:textId="77777777" w:rsidR="007B0C3E" w:rsidRPr="00B36910" w:rsidRDefault="007B0C3E" w:rsidP="00B36910">
            <w:pPr>
              <w:spacing w:before="240"/>
            </w:pPr>
            <w:r w:rsidRPr="00B36910">
              <w:t>Of the people who have had an acute stroke, the percentage that spend 90% or more of their hospital inpatient stay on a stroke unit.</w:t>
            </w:r>
          </w:p>
          <w:p w14:paraId="6914A726" w14:textId="77777777" w:rsidR="007B0C3E" w:rsidRPr="00B36910" w:rsidRDefault="007B0C3E" w:rsidP="00B36910">
            <w:pPr>
              <w:spacing w:before="240"/>
            </w:pPr>
            <w:r w:rsidRPr="00B36910">
              <w:t>Technical description: Of the number of patients entered into SSNAP with a primary diagnosis of stroke (except for those whose first ward of admission was ITU, CCU or HDU and those who died on the same day as arrival/onset of symptoms), the percentage of patients who spend 90% or more of their stay on a stroke unit.</w:t>
            </w:r>
          </w:p>
          <w:p w14:paraId="585D5BCF" w14:textId="77777777" w:rsidR="007B0C3E" w:rsidRPr="00B36910" w:rsidRDefault="007B0C3E" w:rsidP="00B36910">
            <w:pPr>
              <w:spacing w:before="240"/>
            </w:pPr>
            <w:r w:rsidRPr="00B36910">
              <w:t xml:space="preserve"> (ITU = Intensive Treatment Unit, CCU = Critical Care Unit, HDU = High Dependency Unit)</w:t>
            </w:r>
          </w:p>
          <w:p w14:paraId="1097E979" w14:textId="77777777" w:rsidR="007B0C3E" w:rsidRPr="00B36910" w:rsidRDefault="007B0C3E" w:rsidP="00B36910">
            <w:pPr>
              <w:spacing w:before="240"/>
            </w:pPr>
            <w:r w:rsidRPr="00B36910">
              <w:t>The indicator is published annually in December for each CCG in England. It was published for the first time in December 2014 (2013/14 data).</w:t>
            </w:r>
          </w:p>
        </w:tc>
      </w:tr>
      <w:tr w:rsidR="007B0C3E" w:rsidRPr="00B36910" w14:paraId="0B519DE1" w14:textId="77777777" w:rsidTr="00B36910">
        <w:tc>
          <w:tcPr>
            <w:tcW w:w="2607" w:type="dxa"/>
          </w:tcPr>
          <w:p w14:paraId="3C2B956D" w14:textId="3D1D1FA3" w:rsidR="007B0C3E" w:rsidRPr="00B36910" w:rsidRDefault="007B0C3E" w:rsidP="00B36910">
            <w:pPr>
              <w:spacing w:before="240"/>
              <w:rPr>
                <w:b/>
              </w:rPr>
            </w:pPr>
            <w:permStart w:id="1111777127" w:edGrp="everyone" w:colFirst="1" w:colLast="1"/>
            <w:permEnd w:id="1912868747"/>
            <w:r>
              <w:rPr>
                <w:b/>
              </w:rPr>
              <w:t xml:space="preserve">1.5 </w:t>
            </w:r>
            <w:r w:rsidRPr="00B36910">
              <w:rPr>
                <w:b/>
              </w:rPr>
              <w:t>Indicator owner &amp; contact details</w:t>
            </w:r>
          </w:p>
        </w:tc>
        <w:tc>
          <w:tcPr>
            <w:tcW w:w="6853" w:type="dxa"/>
          </w:tcPr>
          <w:p w14:paraId="6F10595A" w14:textId="77777777" w:rsidR="007B0C3E" w:rsidRPr="00B36910" w:rsidRDefault="007B0C3E" w:rsidP="00B36910">
            <w:pPr>
              <w:spacing w:before="240"/>
            </w:pPr>
            <w:r w:rsidRPr="00B36910">
              <w:t>Alison Roe, Senior Service Delivery Manager, HSCIC</w:t>
            </w:r>
          </w:p>
          <w:p w14:paraId="6140BAF8" w14:textId="77777777" w:rsidR="007B0C3E" w:rsidRPr="00B36910" w:rsidRDefault="007B0C3E" w:rsidP="00B36910">
            <w:pPr>
              <w:spacing w:before="240"/>
            </w:pPr>
            <w:hyperlink r:id="rId10" w:history="1">
              <w:r w:rsidRPr="00B36910">
                <w:rPr>
                  <w:rStyle w:val="Hyperlink"/>
                  <w:color w:val="auto"/>
                </w:rPr>
                <w:t>ccgois@hscic.gov.uk</w:t>
              </w:r>
            </w:hyperlink>
          </w:p>
        </w:tc>
      </w:tr>
      <w:tr w:rsidR="007B0C3E" w:rsidRPr="00B36910" w14:paraId="0D3C0CF0" w14:textId="77777777" w:rsidTr="00B36910">
        <w:tc>
          <w:tcPr>
            <w:tcW w:w="2607" w:type="dxa"/>
          </w:tcPr>
          <w:p w14:paraId="260D90F0" w14:textId="05A2FB16" w:rsidR="007B0C3E" w:rsidRPr="00B36910" w:rsidRDefault="007B0C3E" w:rsidP="00B36910">
            <w:pPr>
              <w:spacing w:before="240"/>
              <w:rPr>
                <w:b/>
              </w:rPr>
            </w:pPr>
            <w:permStart w:id="1807120301" w:edGrp="everyone" w:colFirst="1" w:colLast="1"/>
            <w:permEnd w:id="1111777127"/>
            <w:r>
              <w:rPr>
                <w:b/>
              </w:rPr>
              <w:t>1.6</w:t>
            </w:r>
            <w:r w:rsidRPr="00B36910">
              <w:rPr>
                <w:b/>
              </w:rPr>
              <w:t>Publication status</w:t>
            </w:r>
          </w:p>
        </w:tc>
        <w:sdt>
          <w:sdtPr>
            <w:alias w:val="Publication status"/>
            <w:tag w:val="Publication status"/>
            <w:id w:val="-694159432"/>
            <w:placeholder>
              <w:docPart w:val="BCDDBE88DDA14BC2B81474B7830DAEFF"/>
            </w:placeholder>
            <w:comboBox>
              <w:listItem w:value="Choose an item."/>
              <w:listItem w:displayText="Currently in publication" w:value="Currently in publication"/>
              <w:listItem w:displayText="Not currently in publication" w:value="Not currently in publication"/>
            </w:comboBox>
          </w:sdtPr>
          <w:sdtContent>
            <w:tc>
              <w:tcPr>
                <w:tcW w:w="6853" w:type="dxa"/>
              </w:tcPr>
              <w:p w14:paraId="717E16C2" w14:textId="77777777" w:rsidR="007B0C3E" w:rsidRPr="00B36910" w:rsidRDefault="007B0C3E" w:rsidP="00B36910">
                <w:pPr>
                  <w:spacing w:before="240"/>
                </w:pPr>
                <w:r w:rsidRPr="00B36910">
                  <w:t>Currently in publication</w:t>
                </w:r>
              </w:p>
            </w:tc>
          </w:sdtContent>
        </w:sdt>
      </w:tr>
    </w:tbl>
    <w:permEnd w:id="1807120301"/>
    <w:p w14:paraId="4D5D558F" w14:textId="14BB34A3" w:rsidR="007B0C3E" w:rsidRDefault="007B0C3E">
      <w:r>
        <w:t>Section 2 Rationale</w:t>
      </w:r>
    </w:p>
    <w:tbl>
      <w:tblPr>
        <w:tblStyle w:val="TableGrid1"/>
        <w:tblW w:w="0" w:type="auto"/>
        <w:tblLayout w:type="fixed"/>
        <w:tblLook w:val="04A0" w:firstRow="1" w:lastRow="0" w:firstColumn="1" w:lastColumn="0" w:noHBand="0" w:noVBand="1"/>
      </w:tblPr>
      <w:tblGrid>
        <w:gridCol w:w="2607"/>
        <w:gridCol w:w="6853"/>
      </w:tblGrid>
      <w:tr w:rsidR="007B0C3E" w:rsidRPr="00B36910" w14:paraId="54FCC46C" w14:textId="77777777" w:rsidTr="00B36910">
        <w:tc>
          <w:tcPr>
            <w:tcW w:w="2607" w:type="dxa"/>
          </w:tcPr>
          <w:p w14:paraId="0DB62E82" w14:textId="7313596A" w:rsidR="007B0C3E" w:rsidRPr="00B36910" w:rsidRDefault="007B0C3E" w:rsidP="00B36910">
            <w:pPr>
              <w:spacing w:before="240"/>
              <w:rPr>
                <w:b/>
              </w:rPr>
            </w:pPr>
            <w:permStart w:id="1395095315" w:edGrp="everyone" w:colFirst="1" w:colLast="1"/>
            <w:r>
              <w:rPr>
                <w:b/>
              </w:rPr>
              <w:t xml:space="preserve">2.1 </w:t>
            </w:r>
            <w:r w:rsidRPr="00B36910">
              <w:rPr>
                <w:b/>
              </w:rPr>
              <w:t>Purpose</w:t>
            </w:r>
          </w:p>
        </w:tc>
        <w:tc>
          <w:tcPr>
            <w:tcW w:w="6853" w:type="dxa"/>
          </w:tcPr>
          <w:p w14:paraId="2122F424" w14:textId="77777777" w:rsidR="007B0C3E" w:rsidRPr="00B36910" w:rsidRDefault="007B0C3E" w:rsidP="00B36910">
            <w:pPr>
              <w:spacing w:before="240"/>
            </w:pPr>
            <w:r w:rsidRPr="00B36910">
              <w:t xml:space="preserve">Stroke units are able to offer the best quality of stroke care both acutely and in the long-term. Management of eligible patients in a stroke unit will result in long-term reductions in death, dependency and the need for institutional care. The indicator is therefore an important measure to show that patients are spending the majority of their stay on a stroke unit. It should be used in conjunction with CCG OIS 3.5 (People with stroke admitted to an acute stroke unit </w:t>
            </w:r>
            <w:r w:rsidRPr="00B36910">
              <w:lastRenderedPageBreak/>
              <w:t>within 4 hours of arrival to hospital) to provide an overall picture of patients’ transfer and time spent on a stroke unit.</w:t>
            </w:r>
          </w:p>
        </w:tc>
      </w:tr>
      <w:tr w:rsidR="007B0C3E" w:rsidRPr="00B36910" w14:paraId="133FC403" w14:textId="77777777" w:rsidTr="00B36910">
        <w:tc>
          <w:tcPr>
            <w:tcW w:w="2607" w:type="dxa"/>
          </w:tcPr>
          <w:p w14:paraId="564CDCE2" w14:textId="124F84D9" w:rsidR="007B0C3E" w:rsidRPr="00B36910" w:rsidRDefault="007B0C3E" w:rsidP="00B36910">
            <w:pPr>
              <w:spacing w:before="240"/>
              <w:rPr>
                <w:b/>
              </w:rPr>
            </w:pPr>
            <w:permStart w:id="102841477" w:edGrp="everyone" w:colFirst="1" w:colLast="1"/>
            <w:permEnd w:id="1395095315"/>
            <w:r>
              <w:rPr>
                <w:b/>
              </w:rPr>
              <w:lastRenderedPageBreak/>
              <w:t xml:space="preserve">2.2 </w:t>
            </w:r>
            <w:r w:rsidRPr="00B36910">
              <w:rPr>
                <w:b/>
              </w:rPr>
              <w:t>Sponsor</w:t>
            </w:r>
          </w:p>
        </w:tc>
        <w:tc>
          <w:tcPr>
            <w:tcW w:w="6853" w:type="dxa"/>
          </w:tcPr>
          <w:p w14:paraId="5DC2BFAA" w14:textId="77777777" w:rsidR="007B0C3E" w:rsidRPr="00B36910" w:rsidRDefault="007B0C3E" w:rsidP="00B36910">
            <w:pPr>
              <w:spacing w:before="240"/>
            </w:pPr>
            <w:r w:rsidRPr="00B36910">
              <w:t>NHS England, named contact TBC</w:t>
            </w:r>
          </w:p>
        </w:tc>
      </w:tr>
      <w:tr w:rsidR="007B0C3E" w:rsidRPr="00B36910" w14:paraId="3D861BF9" w14:textId="77777777" w:rsidTr="00B36910">
        <w:tc>
          <w:tcPr>
            <w:tcW w:w="2607" w:type="dxa"/>
          </w:tcPr>
          <w:p w14:paraId="510CEA6E" w14:textId="0B6BCDE7" w:rsidR="007B0C3E" w:rsidRPr="00B36910" w:rsidRDefault="007B0C3E" w:rsidP="00B36910">
            <w:pPr>
              <w:spacing w:before="240"/>
              <w:rPr>
                <w:b/>
              </w:rPr>
            </w:pPr>
            <w:permStart w:id="505438114" w:edGrp="everyone" w:colFirst="1" w:colLast="1"/>
            <w:permEnd w:id="102841477"/>
            <w:r>
              <w:rPr>
                <w:b/>
              </w:rPr>
              <w:t xml:space="preserve">2.3 </w:t>
            </w:r>
            <w:r w:rsidRPr="00B36910">
              <w:rPr>
                <w:b/>
              </w:rPr>
              <w:t>Endorsement</w:t>
            </w:r>
          </w:p>
        </w:tc>
        <w:tc>
          <w:tcPr>
            <w:tcW w:w="6853" w:type="dxa"/>
          </w:tcPr>
          <w:p w14:paraId="778A68E1" w14:textId="77777777" w:rsidR="007B0C3E" w:rsidRPr="00B36910" w:rsidRDefault="007B0C3E" w:rsidP="00B36910">
            <w:pPr>
              <w:spacing w:before="240"/>
            </w:pPr>
            <w:r w:rsidRPr="00B36910">
              <w:t xml:space="preserve">The indicator was constructed following consultation with the following clinical and stroke data experts: </w:t>
            </w:r>
          </w:p>
          <w:p w14:paraId="13E687A9" w14:textId="3F69E92E" w:rsidR="007B0C3E" w:rsidRPr="00B36910" w:rsidRDefault="007B0C3E" w:rsidP="006B00E7">
            <w:pPr>
              <w:pStyle w:val="ListParagraph"/>
              <w:numPr>
                <w:ilvl w:val="0"/>
                <w:numId w:val="21"/>
              </w:numPr>
              <w:spacing w:before="240" w:after="180" w:line="240" w:lineRule="auto"/>
              <w:contextualSpacing w:val="0"/>
              <w:textboxTightWrap w:val="lastLineOnly"/>
              <w:rPr>
                <w:rFonts w:ascii="Arial" w:hAnsi="Arial" w:cs="Arial"/>
              </w:rPr>
            </w:pPr>
            <w:r w:rsidRPr="00B36910">
              <w:rPr>
                <w:rFonts w:ascii="Arial" w:hAnsi="Arial" w:cs="Arial"/>
              </w:rPr>
              <w:t>Professor Anthony Rudd, Chair of the Intercollegiate Stroke Working Party, Associate Director for Stroke, Consultant Stroke Physician</w:t>
            </w:r>
          </w:p>
          <w:p w14:paraId="0DEF250E" w14:textId="77777777" w:rsidR="007B0C3E" w:rsidRPr="00B36910" w:rsidRDefault="007B0C3E" w:rsidP="006B00E7">
            <w:pPr>
              <w:pStyle w:val="ListParagraph"/>
              <w:numPr>
                <w:ilvl w:val="0"/>
                <w:numId w:val="21"/>
              </w:numPr>
              <w:spacing w:before="240" w:after="180" w:line="240" w:lineRule="auto"/>
              <w:contextualSpacing w:val="0"/>
              <w:textboxTightWrap w:val="lastLineOnly"/>
              <w:rPr>
                <w:rFonts w:ascii="Arial" w:hAnsi="Arial" w:cs="Arial"/>
              </w:rPr>
            </w:pPr>
            <w:r w:rsidRPr="00B36910">
              <w:rPr>
                <w:rFonts w:ascii="Arial" w:hAnsi="Arial" w:cs="Arial"/>
              </w:rPr>
              <w:t xml:space="preserve">James </w:t>
            </w:r>
            <w:proofErr w:type="gramStart"/>
            <w:r w:rsidRPr="00B36910">
              <w:rPr>
                <w:rFonts w:ascii="Arial" w:hAnsi="Arial" w:cs="Arial"/>
              </w:rPr>
              <w:t>Campbell,  Sentinel</w:t>
            </w:r>
            <w:proofErr w:type="gramEnd"/>
            <w:r w:rsidRPr="00B36910">
              <w:rPr>
                <w:rFonts w:ascii="Arial" w:hAnsi="Arial" w:cs="Arial"/>
              </w:rPr>
              <w:t xml:space="preserve"> Stroke National Audit Programme (SSNAP) Intelligence Programme Manager, Royal College of Physicians (RCP) </w:t>
            </w:r>
          </w:p>
          <w:p w14:paraId="2A6D4894" w14:textId="77777777" w:rsidR="007B0C3E" w:rsidRPr="00B36910" w:rsidRDefault="007B0C3E" w:rsidP="006B00E7">
            <w:pPr>
              <w:pStyle w:val="ListParagraph"/>
              <w:numPr>
                <w:ilvl w:val="0"/>
                <w:numId w:val="21"/>
              </w:numPr>
              <w:spacing w:before="240" w:after="180" w:line="240" w:lineRule="auto"/>
              <w:contextualSpacing w:val="0"/>
              <w:textboxTightWrap w:val="lastLineOnly"/>
              <w:rPr>
                <w:rFonts w:ascii="Arial" w:hAnsi="Arial" w:cs="Arial"/>
              </w:rPr>
            </w:pPr>
            <w:proofErr w:type="spellStart"/>
            <w:r w:rsidRPr="00B36910">
              <w:rPr>
                <w:rFonts w:ascii="Arial" w:hAnsi="Arial" w:cs="Arial"/>
              </w:rPr>
              <w:t>Lizz</w:t>
            </w:r>
            <w:proofErr w:type="spellEnd"/>
            <w:r w:rsidRPr="00B36910">
              <w:rPr>
                <w:rFonts w:ascii="Arial" w:hAnsi="Arial" w:cs="Arial"/>
              </w:rPr>
              <w:t xml:space="preserve"> Paley, Acting Stroke Programme Intelligence Manager – Data, RCP</w:t>
            </w:r>
          </w:p>
        </w:tc>
      </w:tr>
      <w:tr w:rsidR="007B0C3E" w:rsidRPr="00B36910" w14:paraId="47DCAF6C" w14:textId="77777777" w:rsidTr="00B36910">
        <w:tc>
          <w:tcPr>
            <w:tcW w:w="2607" w:type="dxa"/>
          </w:tcPr>
          <w:p w14:paraId="64E9FD38" w14:textId="25ED621F" w:rsidR="007B0C3E" w:rsidRPr="00B36910" w:rsidRDefault="007B0C3E" w:rsidP="00B36910">
            <w:pPr>
              <w:spacing w:before="240"/>
              <w:rPr>
                <w:b/>
              </w:rPr>
            </w:pPr>
            <w:permStart w:id="1530886484" w:edGrp="everyone" w:colFirst="1" w:colLast="1"/>
            <w:permEnd w:id="505438114"/>
            <w:r>
              <w:rPr>
                <w:b/>
              </w:rPr>
              <w:t xml:space="preserve">2.4 </w:t>
            </w:r>
            <w:r w:rsidRPr="00B36910">
              <w:rPr>
                <w:b/>
              </w:rPr>
              <w:t>Evidence and Policy base</w:t>
            </w:r>
          </w:p>
          <w:p w14:paraId="7FA42C80" w14:textId="77777777" w:rsidR="007B0C3E" w:rsidRPr="00B36910" w:rsidRDefault="007B0C3E" w:rsidP="00B36910">
            <w:r w:rsidRPr="00B36910">
              <w:t>Including related national incentives, critical business question, NICE quality standard and set or domain rationale, if appropriate</w:t>
            </w:r>
          </w:p>
        </w:tc>
        <w:tc>
          <w:tcPr>
            <w:tcW w:w="6853" w:type="dxa"/>
          </w:tcPr>
          <w:p w14:paraId="584C1E90" w14:textId="77777777" w:rsidR="007B0C3E" w:rsidRPr="00B36910" w:rsidRDefault="007B0C3E" w:rsidP="00B36910">
            <w:pPr>
              <w:spacing w:before="240"/>
            </w:pPr>
            <w:r w:rsidRPr="00B36910">
              <w:t>This indicator supports the Quality Standard for stroke (QS</w:t>
            </w:r>
            <w:proofErr w:type="gramStart"/>
            <w:r w:rsidRPr="00B36910">
              <w:t>2)¹</w:t>
            </w:r>
            <w:proofErr w:type="gramEnd"/>
            <w:r w:rsidRPr="00B36910">
              <w:t xml:space="preserve"> which covers care provided to adult stroke patients by healthcare staff during diagnosis and initial management, acute-phase care, rehabilitation and long-term management.</w:t>
            </w:r>
          </w:p>
          <w:p w14:paraId="7B3D6216" w14:textId="77777777" w:rsidR="007B0C3E" w:rsidRPr="00B36910" w:rsidRDefault="007B0C3E" w:rsidP="00B36910">
            <w:pPr>
              <w:spacing w:before="240"/>
            </w:pPr>
            <w:r w:rsidRPr="00B36910">
              <w:t>Patients who receive organised stroke unit care are more likely to survive their stroke, return home and make a good recovery</w:t>
            </w:r>
            <w:r w:rsidRPr="00B36910">
              <w:rPr>
                <w:vertAlign w:val="superscript"/>
              </w:rPr>
              <w:t>2</w:t>
            </w:r>
            <w:r w:rsidRPr="00B36910">
              <w:t xml:space="preserve">. According to the Department of Health’s National Stroke Strategy, stroke unit care is the single biggest factor that can improve a person’s outcomes following a stroke. Successful stroke units are </w:t>
            </w:r>
            <w:r w:rsidRPr="00B36910">
              <w:lastRenderedPageBreak/>
              <w:t>built around a stroke-skilled multidisciplinary team that is able to meet the needs of the individuals</w:t>
            </w:r>
            <w:r w:rsidRPr="00B36910">
              <w:rPr>
                <w:vertAlign w:val="superscript"/>
              </w:rPr>
              <w:t>3</w:t>
            </w:r>
            <w:r w:rsidRPr="00B36910">
              <w:t>.</w:t>
            </w:r>
          </w:p>
          <w:p w14:paraId="7CE8D5C8" w14:textId="77777777" w:rsidR="007B0C3E" w:rsidRPr="00B36910" w:rsidRDefault="007B0C3E" w:rsidP="00B36910">
            <w:pPr>
              <w:spacing w:before="240"/>
            </w:pPr>
            <w:r w:rsidRPr="00B36910">
              <w:t>This indicator is also supported by the RCP National Clinical Guideline for stroke which includes the following Quality Marker (QM9): ‘All stroke patients have prompt access to an acute stroke unit and spend the majority of their time at hospital in a stroke unit with high-quality stroke specialist care’</w:t>
            </w:r>
            <w:r w:rsidRPr="00B36910">
              <w:rPr>
                <w:vertAlign w:val="superscript"/>
              </w:rPr>
              <w:t>4;5</w:t>
            </w:r>
            <w:r w:rsidRPr="00B36910">
              <w:t>.</w:t>
            </w:r>
          </w:p>
          <w:p w14:paraId="0B5E5A29" w14:textId="77777777" w:rsidR="007B0C3E" w:rsidRPr="00B36910" w:rsidRDefault="007B0C3E" w:rsidP="00B36910">
            <w:pPr>
              <w:spacing w:before="240"/>
            </w:pPr>
            <w:r w:rsidRPr="00B36910">
              <w:t>Studies that have tested the effectiveness of stroke units have found that they help in reducing mortality. Stroke unit care as provided in routine clinical practice in England, Wales, and Northern Ireland reduces case fatality by ~25%, which is in line with the figures obtained from systematic analysis of stroke unit trial data</w:t>
            </w:r>
            <w:r w:rsidRPr="00B36910">
              <w:rPr>
                <w:vertAlign w:val="superscript"/>
              </w:rPr>
              <w:t>6</w:t>
            </w:r>
            <w:r w:rsidRPr="00B36910">
              <w:t>. In routine practice, stroke unit admission is associated with a greater likelihood of discharge home and with lower mortality up to 1 year</w:t>
            </w:r>
            <w:r w:rsidRPr="00B36910">
              <w:rPr>
                <w:vertAlign w:val="superscript"/>
              </w:rPr>
              <w:t>7</w:t>
            </w:r>
            <w:r w:rsidRPr="00B36910">
              <w:t>. Similar results have also been seen in a systematic review of observational studies of stroke unit implementation</w:t>
            </w:r>
            <w:r w:rsidRPr="00B36910">
              <w:rPr>
                <w:vertAlign w:val="superscript"/>
              </w:rPr>
              <w:t>8</w:t>
            </w:r>
            <w:r w:rsidRPr="00B36910">
              <w:t>, evidence that the benefit of stroke units translates across into trials more closely approximated with usual care. Studies also show that stroke units appear to reduce the risk of death following a stroke through the prevention and treatment of complications, in particular infections</w:t>
            </w:r>
            <w:r w:rsidRPr="00B36910">
              <w:rPr>
                <w:vertAlign w:val="superscript"/>
              </w:rPr>
              <w:t>9</w:t>
            </w:r>
            <w:r w:rsidRPr="00B36910">
              <w:t>.</w:t>
            </w:r>
          </w:p>
          <w:p w14:paraId="3DB59E27" w14:textId="77777777" w:rsidR="007B0C3E" w:rsidRPr="00B36910" w:rsidRDefault="007B0C3E" w:rsidP="00B36910">
            <w:pPr>
              <w:spacing w:before="240"/>
              <w:rPr>
                <w:sz w:val="18"/>
                <w:szCs w:val="18"/>
              </w:rPr>
            </w:pPr>
            <w:r w:rsidRPr="00B36910">
              <w:rPr>
                <w:sz w:val="18"/>
                <w:szCs w:val="18"/>
              </w:rPr>
              <w:t xml:space="preserve">1.Quality Standard for Stroke (QS2), NICE, June 2010 </w:t>
            </w:r>
            <w:hyperlink r:id="rId11" w:history="1">
              <w:r w:rsidRPr="00B36910">
                <w:rPr>
                  <w:rStyle w:val="Hyperlink"/>
                  <w:color w:val="auto"/>
                </w:rPr>
                <w:t>https://www.nice.org.uk/guidance/qs2/chapter/Introduction-and-overview</w:t>
              </w:r>
            </w:hyperlink>
            <w:r w:rsidRPr="00B36910">
              <w:rPr>
                <w:sz w:val="18"/>
                <w:szCs w:val="18"/>
              </w:rPr>
              <w:t xml:space="preserve"> </w:t>
            </w:r>
          </w:p>
          <w:p w14:paraId="7B810E0A" w14:textId="77777777" w:rsidR="007B0C3E" w:rsidRPr="00B36910" w:rsidRDefault="007B0C3E" w:rsidP="00B36910">
            <w:pPr>
              <w:spacing w:before="240"/>
              <w:rPr>
                <w:sz w:val="18"/>
                <w:szCs w:val="18"/>
              </w:rPr>
            </w:pPr>
            <w:r w:rsidRPr="00B36910">
              <w:rPr>
                <w:sz w:val="18"/>
                <w:szCs w:val="18"/>
              </w:rPr>
              <w:t xml:space="preserve">2. Stroke Unit Trialists' Collaboration, Organised inpatient (stroke unit) care for stroke, 2007 </w:t>
            </w:r>
            <w:hyperlink r:id="rId12" w:history="1">
              <w:r w:rsidRPr="00B36910">
                <w:rPr>
                  <w:rStyle w:val="Hyperlink"/>
                  <w:color w:val="auto"/>
                </w:rPr>
                <w:t>http://www.ncbi.nlm.nih.gov/pubmed/17943737</w:t>
              </w:r>
            </w:hyperlink>
            <w:r w:rsidRPr="00B36910">
              <w:rPr>
                <w:sz w:val="18"/>
                <w:szCs w:val="18"/>
              </w:rPr>
              <w:t xml:space="preserve"> </w:t>
            </w:r>
          </w:p>
          <w:p w14:paraId="2104879A" w14:textId="77777777" w:rsidR="007B0C3E" w:rsidRPr="00B36910" w:rsidRDefault="007B0C3E" w:rsidP="00B36910">
            <w:pPr>
              <w:spacing w:before="240"/>
              <w:rPr>
                <w:rStyle w:val="Hyperlink"/>
                <w:color w:val="auto"/>
              </w:rPr>
            </w:pPr>
            <w:r w:rsidRPr="00B36910">
              <w:rPr>
                <w:sz w:val="18"/>
                <w:szCs w:val="18"/>
              </w:rPr>
              <w:t xml:space="preserve">3. National Stroke Strategy, Department of Health, Dec 2007 </w:t>
            </w:r>
            <w:hyperlink r:id="rId13" w:history="1">
              <w:r w:rsidRPr="00B36910">
                <w:rPr>
                  <w:rStyle w:val="Hyperlink"/>
                  <w:color w:val="auto"/>
                </w:rPr>
                <w:t>http://clahrc-gm.nihr.ac.uk/cms/wp-content/uploads/DoH-National-Stroke-Strategy-2007.pdf</w:t>
              </w:r>
            </w:hyperlink>
          </w:p>
          <w:p w14:paraId="45D2DD10" w14:textId="77777777" w:rsidR="007B0C3E" w:rsidRPr="00B36910" w:rsidRDefault="007B0C3E" w:rsidP="00B36910">
            <w:pPr>
              <w:spacing w:before="240"/>
              <w:rPr>
                <w:sz w:val="18"/>
                <w:szCs w:val="18"/>
              </w:rPr>
            </w:pPr>
            <w:r w:rsidRPr="00B36910">
              <w:rPr>
                <w:sz w:val="18"/>
                <w:szCs w:val="18"/>
              </w:rPr>
              <w:t>4. National Clinical Guideline for Stroke, Intercollegiate Stroke Working Party, RCP 4</w:t>
            </w:r>
            <w:r w:rsidRPr="00B36910">
              <w:rPr>
                <w:sz w:val="18"/>
                <w:szCs w:val="18"/>
                <w:vertAlign w:val="superscript"/>
              </w:rPr>
              <w:t>th</w:t>
            </w:r>
            <w:r w:rsidRPr="00B36910">
              <w:rPr>
                <w:sz w:val="18"/>
                <w:szCs w:val="18"/>
              </w:rPr>
              <w:t xml:space="preserve"> ed. 2012 </w:t>
            </w:r>
            <w:r w:rsidRPr="00B36910">
              <w:rPr>
                <w:sz w:val="18"/>
                <w:szCs w:val="18"/>
              </w:rPr>
              <w:fldChar w:fldCharType="begin"/>
            </w:r>
            <w:r w:rsidRPr="00B36910">
              <w:rPr>
                <w:sz w:val="18"/>
                <w:szCs w:val="18"/>
              </w:rPr>
              <w:instrText xml:space="preserve"> HYPERLINK "http://www.rcplondon.ac.uk/sites/default/files/national-clinical-guidelines-for-stroke-fourth-edition.pdf </w:instrText>
            </w:r>
          </w:p>
          <w:p w14:paraId="4577788B" w14:textId="77777777" w:rsidR="007B0C3E" w:rsidRPr="00B36910" w:rsidRDefault="007B0C3E" w:rsidP="00B36910">
            <w:pPr>
              <w:spacing w:before="240"/>
              <w:rPr>
                <w:rStyle w:val="Hyperlink"/>
                <w:color w:val="auto"/>
              </w:rPr>
            </w:pPr>
            <w:r w:rsidRPr="00B36910">
              <w:rPr>
                <w:sz w:val="18"/>
                <w:szCs w:val="18"/>
              </w:rPr>
              <w:instrText xml:space="preserve">5" </w:instrText>
            </w:r>
            <w:r w:rsidRPr="00B36910">
              <w:rPr>
                <w:rFonts w:eastAsia="Times New Roman"/>
                <w:sz w:val="18"/>
                <w:szCs w:val="18"/>
              </w:rPr>
              <w:fldChar w:fldCharType="separate"/>
            </w:r>
            <w:r w:rsidRPr="00B36910">
              <w:rPr>
                <w:rStyle w:val="Hyperlink"/>
                <w:color w:val="auto"/>
              </w:rPr>
              <w:t xml:space="preserve">http://www.rcplondon.ac.uk/sites/default/files/national-clinical-guidelines-for-stroke-fourth-edition.pdf </w:t>
            </w:r>
          </w:p>
          <w:p w14:paraId="13583C26" w14:textId="77777777" w:rsidR="007B0C3E" w:rsidRPr="00B36910" w:rsidRDefault="007B0C3E" w:rsidP="00B36910">
            <w:pPr>
              <w:spacing w:before="240"/>
              <w:rPr>
                <w:sz w:val="18"/>
                <w:szCs w:val="18"/>
              </w:rPr>
            </w:pPr>
            <w:r w:rsidRPr="00B36910">
              <w:rPr>
                <w:rStyle w:val="Hyperlink"/>
                <w:color w:val="auto"/>
              </w:rPr>
              <w:t>5</w:t>
            </w:r>
            <w:r w:rsidRPr="00B36910">
              <w:rPr>
                <w:sz w:val="18"/>
                <w:szCs w:val="18"/>
              </w:rPr>
              <w:fldChar w:fldCharType="end"/>
            </w:r>
            <w:r w:rsidRPr="00B36910">
              <w:rPr>
                <w:sz w:val="18"/>
                <w:szCs w:val="18"/>
              </w:rPr>
              <w:t xml:space="preserve">. Cardiovascular Disease Outcomes Strategy, Department of Health, March 2013 </w:t>
            </w:r>
            <w:hyperlink r:id="rId14" w:history="1">
              <w:r w:rsidRPr="00B36910">
                <w:rPr>
                  <w:rStyle w:val="Hyperlink"/>
                  <w:color w:val="auto"/>
                </w:rPr>
                <w:t>https://www.gov.uk/government/uploads/system/uploads/attachment_data/file/214895/9387-2900853-CVD-Outcomes_web1.pdf</w:t>
              </w:r>
            </w:hyperlink>
            <w:r w:rsidRPr="00B36910">
              <w:rPr>
                <w:sz w:val="18"/>
                <w:szCs w:val="18"/>
              </w:rPr>
              <w:t xml:space="preserve"> </w:t>
            </w:r>
          </w:p>
          <w:p w14:paraId="3B083481" w14:textId="77777777" w:rsidR="007B0C3E" w:rsidRPr="00B36910" w:rsidRDefault="007B0C3E" w:rsidP="00B36910">
            <w:pPr>
              <w:spacing w:before="240"/>
              <w:rPr>
                <w:rStyle w:val="Hyperlink"/>
                <w:color w:val="auto"/>
              </w:rPr>
            </w:pPr>
            <w:r w:rsidRPr="00B36910">
              <w:rPr>
                <w:sz w:val="18"/>
                <w:szCs w:val="18"/>
              </w:rPr>
              <w:t xml:space="preserve">6. National Sentinel Audit of Stroke, Stroke Unit Care and Outcome, Jan 2005 </w:t>
            </w:r>
            <w:hyperlink r:id="rId15" w:history="1">
              <w:r w:rsidRPr="00B36910">
                <w:rPr>
                  <w:rStyle w:val="Hyperlink"/>
                  <w:color w:val="auto"/>
                </w:rPr>
                <w:t>http://stroke.ahajournals.org/content/36/1/103.full.pdf</w:t>
              </w:r>
            </w:hyperlink>
          </w:p>
          <w:p w14:paraId="44D30344" w14:textId="77777777" w:rsidR="007B0C3E" w:rsidRPr="00B36910" w:rsidRDefault="007B0C3E" w:rsidP="00B36910">
            <w:pPr>
              <w:spacing w:before="240"/>
              <w:rPr>
                <w:rStyle w:val="Hyperlink"/>
                <w:color w:val="auto"/>
              </w:rPr>
            </w:pPr>
            <w:r w:rsidRPr="00B36910">
              <w:rPr>
                <w:sz w:val="18"/>
                <w:szCs w:val="18"/>
              </w:rPr>
              <w:t>7.</w:t>
            </w:r>
            <w:r w:rsidRPr="00B36910">
              <w:t xml:space="preserve"> </w:t>
            </w:r>
            <w:r w:rsidRPr="00B36910">
              <w:rPr>
                <w:sz w:val="18"/>
                <w:szCs w:val="18"/>
              </w:rPr>
              <w:t xml:space="preserve">Journal of Neurology, Neurosurgery and Psychiatry,  The impact of stroke unit care on outcome in a Scottish stroke population, taking into account case mix and selection bias, June 2014 </w:t>
            </w:r>
            <w:hyperlink r:id="rId16" w:history="1">
              <w:r w:rsidRPr="00B36910">
                <w:rPr>
                  <w:rStyle w:val="Hyperlink"/>
                  <w:color w:val="auto"/>
                </w:rPr>
                <w:t>http://jnnp.bmj.com/content/early/2014/06/25/jnnp-2013-307478.full</w:t>
              </w:r>
            </w:hyperlink>
          </w:p>
          <w:p w14:paraId="6E312FB3" w14:textId="77777777" w:rsidR="007B0C3E" w:rsidRPr="00B36910" w:rsidRDefault="007B0C3E" w:rsidP="00B36910">
            <w:pPr>
              <w:spacing w:before="240"/>
              <w:rPr>
                <w:sz w:val="18"/>
                <w:szCs w:val="18"/>
              </w:rPr>
            </w:pPr>
            <w:r w:rsidRPr="00B36910">
              <w:rPr>
                <w:sz w:val="18"/>
                <w:szCs w:val="18"/>
              </w:rPr>
              <w:t xml:space="preserve">8. </w:t>
            </w:r>
            <w:proofErr w:type="spellStart"/>
            <w:r w:rsidRPr="00B36910">
              <w:rPr>
                <w:sz w:val="18"/>
                <w:szCs w:val="18"/>
              </w:rPr>
              <w:t>Seenan</w:t>
            </w:r>
            <w:proofErr w:type="spellEnd"/>
            <w:r w:rsidRPr="00B36910">
              <w:rPr>
                <w:sz w:val="18"/>
                <w:szCs w:val="18"/>
              </w:rPr>
              <w:t xml:space="preserve"> et al, Stroke units in their natural habitat: systematic review of observational studies, 2007 </w:t>
            </w:r>
            <w:hyperlink r:id="rId17" w:history="1">
              <w:r w:rsidRPr="00B36910">
                <w:rPr>
                  <w:rStyle w:val="Hyperlink"/>
                  <w:color w:val="auto"/>
                </w:rPr>
                <w:t>http://www.ncbi.nlm.nih.gov/pubmed/17463308</w:t>
              </w:r>
            </w:hyperlink>
            <w:r w:rsidRPr="00B36910">
              <w:rPr>
                <w:sz w:val="18"/>
                <w:szCs w:val="18"/>
              </w:rPr>
              <w:t xml:space="preserve"> </w:t>
            </w:r>
          </w:p>
          <w:p w14:paraId="6FFFEAB9" w14:textId="77777777" w:rsidR="007B0C3E" w:rsidRPr="00B36910" w:rsidRDefault="007B0C3E" w:rsidP="00B36910">
            <w:pPr>
              <w:spacing w:before="240"/>
              <w:rPr>
                <w:sz w:val="18"/>
                <w:szCs w:val="18"/>
              </w:rPr>
            </w:pPr>
            <w:r w:rsidRPr="00B36910">
              <w:rPr>
                <w:sz w:val="18"/>
                <w:szCs w:val="18"/>
              </w:rPr>
              <w:t xml:space="preserve">9. Govan et al, Does the Prevention of Complications Explain the Survival Benefit of Organized Inpatient (Stroke Unit) Care? 2007 </w:t>
            </w:r>
            <w:hyperlink r:id="rId18" w:history="1">
              <w:r w:rsidRPr="00B36910">
                <w:rPr>
                  <w:rStyle w:val="Hyperlink"/>
                  <w:color w:val="auto"/>
                </w:rPr>
                <w:t>http://stroke.ahajournals.org/content/38/9/2536</w:t>
              </w:r>
            </w:hyperlink>
          </w:p>
        </w:tc>
      </w:tr>
    </w:tbl>
    <w:permEnd w:id="1530886484"/>
    <w:p w14:paraId="48F10C36" w14:textId="74A47DE5" w:rsidR="00B36910" w:rsidRDefault="00B36910">
      <w:r>
        <w:lastRenderedPageBreak/>
        <w:t>Section 3 Data</w:t>
      </w:r>
    </w:p>
    <w:tbl>
      <w:tblPr>
        <w:tblStyle w:val="TableGrid1"/>
        <w:tblW w:w="0" w:type="auto"/>
        <w:tblLayout w:type="fixed"/>
        <w:tblLook w:val="04A0" w:firstRow="1" w:lastRow="0" w:firstColumn="1" w:lastColumn="0" w:noHBand="0" w:noVBand="1"/>
      </w:tblPr>
      <w:tblGrid>
        <w:gridCol w:w="851"/>
        <w:gridCol w:w="2268"/>
        <w:gridCol w:w="6853"/>
      </w:tblGrid>
      <w:tr w:rsidR="00B36910" w:rsidRPr="00B36910" w14:paraId="5329D6FD" w14:textId="77777777" w:rsidTr="00B36910">
        <w:tc>
          <w:tcPr>
            <w:tcW w:w="851" w:type="dxa"/>
          </w:tcPr>
          <w:p w14:paraId="7206363F" w14:textId="77777777" w:rsidR="006B00E7" w:rsidRPr="00B36910" w:rsidRDefault="006B00E7" w:rsidP="006B00E7">
            <w:pPr>
              <w:numPr>
                <w:ilvl w:val="1"/>
                <w:numId w:val="9"/>
              </w:numPr>
              <w:spacing w:before="240" w:after="180"/>
              <w:ind w:left="459" w:hanging="425"/>
              <w:textboxTightWrap w:val="lastLineOnly"/>
              <w:rPr>
                <w:b/>
              </w:rPr>
            </w:pPr>
            <w:permStart w:id="1581994051" w:edGrp="everyone" w:colFirst="2" w:colLast="2"/>
          </w:p>
        </w:tc>
        <w:tc>
          <w:tcPr>
            <w:tcW w:w="2268" w:type="dxa"/>
          </w:tcPr>
          <w:p w14:paraId="735C0353" w14:textId="2AE740F1" w:rsidR="006B00E7" w:rsidRPr="00B36910" w:rsidRDefault="00B36910" w:rsidP="00B36910">
            <w:pPr>
              <w:spacing w:before="240"/>
              <w:ind w:left="34"/>
              <w:rPr>
                <w:b/>
              </w:rPr>
            </w:pPr>
            <w:r>
              <w:rPr>
                <w:b/>
              </w:rPr>
              <w:t xml:space="preserve">3.1 </w:t>
            </w:r>
            <w:r w:rsidR="006B00E7" w:rsidRPr="00B36910">
              <w:rPr>
                <w:b/>
              </w:rPr>
              <w:t>Data source</w:t>
            </w:r>
          </w:p>
        </w:tc>
        <w:tc>
          <w:tcPr>
            <w:tcW w:w="6853" w:type="dxa"/>
          </w:tcPr>
          <w:p w14:paraId="2BF86B7C" w14:textId="77777777" w:rsidR="006B00E7" w:rsidRPr="00B36910" w:rsidRDefault="006B00E7" w:rsidP="00B36910">
            <w:pPr>
              <w:spacing w:before="240"/>
            </w:pPr>
            <w:r w:rsidRPr="00B36910">
              <w:t>RCP SSNAP</w:t>
            </w:r>
          </w:p>
          <w:p w14:paraId="74402FE9" w14:textId="77777777" w:rsidR="006B00E7" w:rsidRPr="00B36910" w:rsidRDefault="006B00E7" w:rsidP="00B36910">
            <w:pPr>
              <w:spacing w:before="240"/>
            </w:pPr>
            <w:r w:rsidRPr="00B36910">
              <w:t>The SSNAP is guided by the Intercollegiate Stroke Working Party (ICSWP) and delivered by the Stroke Programme within the Clinical Effectiveness and Evaluation Unit in the RCP. It is centrally funded by the Healthcare Quality Improvement Partnership (HQIP) on behalf of NHS England as part of the National Clinical Audit and Patient Outcomes Programme (NCAPOP).</w:t>
            </w:r>
          </w:p>
          <w:p w14:paraId="5D7B02DE" w14:textId="77777777" w:rsidR="006B00E7" w:rsidRPr="00B36910" w:rsidRDefault="00B36910" w:rsidP="00B36910">
            <w:pPr>
              <w:spacing w:before="240"/>
            </w:pPr>
            <w:hyperlink r:id="rId19" w:history="1">
              <w:r w:rsidR="006B00E7" w:rsidRPr="00B36910">
                <w:rPr>
                  <w:rStyle w:val="Hyperlink"/>
                  <w:color w:val="auto"/>
                </w:rPr>
                <w:t>http://www.rcplondon.ac.uk/projects/sentinel-stroke-national-audit-programme</w:t>
              </w:r>
            </w:hyperlink>
          </w:p>
        </w:tc>
      </w:tr>
      <w:tr w:rsidR="00B36910" w:rsidRPr="00B36910" w14:paraId="500DF299" w14:textId="77777777" w:rsidTr="00B36910">
        <w:tc>
          <w:tcPr>
            <w:tcW w:w="851" w:type="dxa"/>
          </w:tcPr>
          <w:p w14:paraId="072987AC" w14:textId="77777777" w:rsidR="006B00E7" w:rsidRPr="00B36910" w:rsidRDefault="006B00E7" w:rsidP="006B00E7">
            <w:pPr>
              <w:numPr>
                <w:ilvl w:val="1"/>
                <w:numId w:val="9"/>
              </w:numPr>
              <w:spacing w:before="240" w:after="180"/>
              <w:ind w:left="459" w:hanging="425"/>
              <w:textboxTightWrap w:val="lastLineOnly"/>
              <w:rPr>
                <w:b/>
              </w:rPr>
            </w:pPr>
            <w:permStart w:id="1684946920" w:edGrp="everyone" w:colFirst="2" w:colLast="2"/>
            <w:permEnd w:id="1581994051"/>
          </w:p>
        </w:tc>
        <w:tc>
          <w:tcPr>
            <w:tcW w:w="2268" w:type="dxa"/>
          </w:tcPr>
          <w:p w14:paraId="5F468A34" w14:textId="66D91AE3" w:rsidR="006B00E7" w:rsidRPr="00B36910" w:rsidRDefault="00B36910" w:rsidP="00B36910">
            <w:pPr>
              <w:spacing w:before="240"/>
              <w:ind w:left="34"/>
              <w:rPr>
                <w:b/>
              </w:rPr>
            </w:pPr>
            <w:r>
              <w:rPr>
                <w:b/>
              </w:rPr>
              <w:t>3.2</w:t>
            </w:r>
            <w:r w:rsidR="006B00E7" w:rsidRPr="00B36910">
              <w:rPr>
                <w:b/>
              </w:rPr>
              <w:t>Justification of source and others considered</w:t>
            </w:r>
          </w:p>
        </w:tc>
        <w:tc>
          <w:tcPr>
            <w:tcW w:w="6853" w:type="dxa"/>
          </w:tcPr>
          <w:p w14:paraId="3030D9FD" w14:textId="77777777" w:rsidR="006B00E7" w:rsidRPr="00B36910" w:rsidRDefault="006B00E7" w:rsidP="00B36910">
            <w:pPr>
              <w:spacing w:before="240"/>
            </w:pPr>
            <w:r w:rsidRPr="00B36910">
              <w:t>The SSNAP is the single source of data on stroke services, processes of care and outcomes. It provides the data for other statutory data collections in England, including the NICE Quality Standard and the five other CCG OIS stroke measures; it is also due to be used for the NHS Outcomes Framework. SSNAP metrics are aligned with those in the Cardiovascular Disease Outcomes Strategy.</w:t>
            </w:r>
          </w:p>
          <w:p w14:paraId="5D27845E" w14:textId="77777777" w:rsidR="006B00E7" w:rsidRPr="00B36910" w:rsidRDefault="006B00E7" w:rsidP="00B36910">
            <w:pPr>
              <w:spacing w:before="240"/>
            </w:pPr>
            <w:r w:rsidRPr="00B36910">
              <w:t xml:space="preserve">Hospital Episode Statistics (HES) was considered as a data source for this indicator; </w:t>
            </w:r>
            <w:proofErr w:type="gramStart"/>
            <w:r w:rsidRPr="00B36910">
              <w:t>however</w:t>
            </w:r>
            <w:proofErr w:type="gramEnd"/>
            <w:r w:rsidRPr="00B36910">
              <w:t xml:space="preserve"> it does not contain the necessary detail required to measure stroke unit stay.</w:t>
            </w:r>
          </w:p>
        </w:tc>
      </w:tr>
      <w:tr w:rsidR="00B36910" w:rsidRPr="00B36910" w14:paraId="03F1A3F7" w14:textId="77777777" w:rsidTr="00B36910">
        <w:tc>
          <w:tcPr>
            <w:tcW w:w="851" w:type="dxa"/>
          </w:tcPr>
          <w:p w14:paraId="4220B95D" w14:textId="77777777" w:rsidR="006B00E7" w:rsidRPr="00B36910" w:rsidRDefault="006B00E7" w:rsidP="006B00E7">
            <w:pPr>
              <w:numPr>
                <w:ilvl w:val="1"/>
                <w:numId w:val="9"/>
              </w:numPr>
              <w:spacing w:before="240" w:after="180"/>
              <w:ind w:left="459" w:hanging="425"/>
              <w:textboxTightWrap w:val="lastLineOnly"/>
              <w:rPr>
                <w:b/>
              </w:rPr>
            </w:pPr>
            <w:permStart w:id="204023036" w:edGrp="everyone" w:colFirst="2" w:colLast="2"/>
            <w:permEnd w:id="1684946920"/>
          </w:p>
        </w:tc>
        <w:tc>
          <w:tcPr>
            <w:tcW w:w="2268" w:type="dxa"/>
          </w:tcPr>
          <w:p w14:paraId="7C740032" w14:textId="17E0B5F5" w:rsidR="006B00E7" w:rsidRPr="00B36910" w:rsidRDefault="00B36910" w:rsidP="00B36910">
            <w:pPr>
              <w:spacing w:before="240"/>
              <w:ind w:left="34"/>
              <w:rPr>
                <w:b/>
              </w:rPr>
            </w:pPr>
            <w:r>
              <w:rPr>
                <w:b/>
              </w:rPr>
              <w:t xml:space="preserve">3.3 </w:t>
            </w:r>
            <w:r w:rsidR="006B00E7" w:rsidRPr="00B36910">
              <w:rPr>
                <w:b/>
              </w:rPr>
              <w:t>Data availability</w:t>
            </w:r>
          </w:p>
        </w:tc>
        <w:tc>
          <w:tcPr>
            <w:tcW w:w="6853" w:type="dxa"/>
          </w:tcPr>
          <w:p w14:paraId="09386F16" w14:textId="77777777" w:rsidR="006B00E7" w:rsidRPr="00B36910" w:rsidRDefault="006B00E7" w:rsidP="00B36910">
            <w:pPr>
              <w:spacing w:before="240"/>
            </w:pPr>
            <w:r w:rsidRPr="00B36910">
              <w:t xml:space="preserve">CCG OIS indicators are published annually. SSNAP data for the full financial year is available to produce the indicator approximately 8 months after the financial year end; </w:t>
            </w:r>
            <w:proofErr w:type="gramStart"/>
            <w:r w:rsidRPr="00B36910">
              <w:t>therefore</w:t>
            </w:r>
            <w:proofErr w:type="gramEnd"/>
            <w:r w:rsidRPr="00B36910">
              <w:t xml:space="preserve"> the indicator is published each year in December.</w:t>
            </w:r>
          </w:p>
          <w:p w14:paraId="550A4847" w14:textId="77777777" w:rsidR="006B00E7" w:rsidRPr="00B36910" w:rsidRDefault="006B00E7" w:rsidP="00B36910">
            <w:pPr>
              <w:spacing w:before="240"/>
            </w:pPr>
            <w:r w:rsidRPr="00B36910">
              <w:t>CCG OIS indicators are official statistics and the publication date is pre-announced. There is no gap between the planned and actual publication date.</w:t>
            </w:r>
          </w:p>
          <w:p w14:paraId="0683A8DC" w14:textId="77777777" w:rsidR="006B00E7" w:rsidRPr="00B36910" w:rsidRDefault="006B00E7" w:rsidP="00B36910">
            <w:pPr>
              <w:spacing w:before="240"/>
              <w:rPr>
                <w:sz w:val="20"/>
                <w:szCs w:val="20"/>
              </w:rPr>
            </w:pPr>
            <w:r w:rsidRPr="00B36910">
              <w:t>The RCP make this indicator, along with a number of others, accessible to the public via RCP reporting, including an Easy Access Version aimed at stroke survivors and carers. It is available via Excel spreadsheets and other formats including graphical representation.</w:t>
            </w:r>
          </w:p>
        </w:tc>
      </w:tr>
      <w:tr w:rsidR="00B36910" w:rsidRPr="00B36910" w14:paraId="6C2198C2" w14:textId="77777777" w:rsidTr="00B36910">
        <w:tc>
          <w:tcPr>
            <w:tcW w:w="851" w:type="dxa"/>
          </w:tcPr>
          <w:p w14:paraId="682BFC5E" w14:textId="77777777" w:rsidR="006B00E7" w:rsidRPr="00B36910" w:rsidRDefault="006B00E7" w:rsidP="006B00E7">
            <w:pPr>
              <w:numPr>
                <w:ilvl w:val="1"/>
                <w:numId w:val="9"/>
              </w:numPr>
              <w:spacing w:before="240" w:after="180"/>
              <w:ind w:left="459" w:hanging="425"/>
              <w:textboxTightWrap w:val="lastLineOnly"/>
              <w:rPr>
                <w:b/>
              </w:rPr>
            </w:pPr>
            <w:permStart w:id="502939906" w:edGrp="everyone" w:colFirst="2" w:colLast="2"/>
          </w:p>
        </w:tc>
        <w:permEnd w:id="204023036"/>
        <w:tc>
          <w:tcPr>
            <w:tcW w:w="2268" w:type="dxa"/>
          </w:tcPr>
          <w:p w14:paraId="7A7D807B" w14:textId="2D840F0D" w:rsidR="006B00E7" w:rsidRPr="00B36910" w:rsidRDefault="00B36910" w:rsidP="00B36910">
            <w:pPr>
              <w:spacing w:before="240"/>
              <w:ind w:left="34"/>
              <w:rPr>
                <w:b/>
              </w:rPr>
            </w:pPr>
            <w:r>
              <w:rPr>
                <w:b/>
              </w:rPr>
              <w:t xml:space="preserve">3.4 </w:t>
            </w:r>
            <w:r w:rsidR="006B00E7" w:rsidRPr="00B36910">
              <w:rPr>
                <w:b/>
              </w:rPr>
              <w:t>Data quality</w:t>
            </w:r>
          </w:p>
        </w:tc>
        <w:tc>
          <w:tcPr>
            <w:tcW w:w="6853" w:type="dxa"/>
          </w:tcPr>
          <w:p w14:paraId="3BB6E2D3" w14:textId="77777777" w:rsidR="006B00E7" w:rsidRPr="00B36910" w:rsidRDefault="006B00E7" w:rsidP="00B36910">
            <w:pPr>
              <w:spacing w:before="240"/>
            </w:pPr>
            <w:r w:rsidRPr="00B36910">
              <w:t>The indicator is published in the context of case ascertainment between SSNAP and HES. This is the percentage of patients with primary ICD-10 codes I61, I63 and I64 in HES who are included in SSNAP for the same time period.</w:t>
            </w:r>
          </w:p>
          <w:p w14:paraId="7228811B" w14:textId="77777777" w:rsidR="006B00E7" w:rsidRPr="00B36910" w:rsidRDefault="006B00E7" w:rsidP="00B36910">
            <w:pPr>
              <w:spacing w:before="240"/>
            </w:pPr>
            <w:r w:rsidRPr="00B36910">
              <w:t>The SSNAP is a mandatory collection and overall case ascertainment increased from 72% in Quarter 1 to 95% in Quarter 4, 2013/14 (Quarter 2: 83%, Quarter 3: 90%). It has further improved to 97% by Quarter 4, 2014/15. Case ascertainment is reported alongside the indicator for all CCGs in the published CCG OIS data files. 18 CCGs (8.5%) had their percentages suppressed in the published 2013/14 data due to less than 50% case ascertainment with HES.</w:t>
            </w:r>
          </w:p>
          <w:p w14:paraId="16EDDB74" w14:textId="77777777" w:rsidR="006B00E7" w:rsidRPr="00B36910" w:rsidRDefault="006B00E7" w:rsidP="00B36910">
            <w:pPr>
              <w:spacing w:before="240"/>
            </w:pPr>
            <w:r w:rsidRPr="00B36910">
              <w:t>Patient records are only included in audit analyses if they include the minimum requirements of completion of mandatory fields. The minimum includes all of the fields required to calculate this indicator. Case ascertainment is reported publicly at hospital level and therefore there is a strong incentive for hospitals to ensure they have submitted all of their patients to the audit and completed the mandatory fields. The data is received via a secure web tool which has strong built-in validation meaning that data is fully complete.</w:t>
            </w:r>
          </w:p>
          <w:p w14:paraId="3E08A152" w14:textId="77777777" w:rsidR="006B00E7" w:rsidRPr="00B36910" w:rsidRDefault="006B00E7" w:rsidP="00B36910">
            <w:pPr>
              <w:spacing w:before="240"/>
            </w:pPr>
            <w:r w:rsidRPr="00B36910">
              <w:t>Patients are mapped to a CCG using patient postcode. National level figures are published including patients that could not be mapped to a CCG and therefore the total of the individual CCGs does not match the national level figure. Over 99% of patients are matched to a CCG across each of the CCG OIS stroke indicators.</w:t>
            </w:r>
          </w:p>
        </w:tc>
      </w:tr>
      <w:tr w:rsidR="00B36910" w:rsidRPr="00B36910" w14:paraId="58618F1E" w14:textId="77777777" w:rsidTr="00B36910">
        <w:tc>
          <w:tcPr>
            <w:tcW w:w="851" w:type="dxa"/>
          </w:tcPr>
          <w:p w14:paraId="5FEE3FBD" w14:textId="77777777" w:rsidR="006B00E7" w:rsidRPr="00B36910" w:rsidRDefault="006B00E7" w:rsidP="006B00E7">
            <w:pPr>
              <w:numPr>
                <w:ilvl w:val="1"/>
                <w:numId w:val="9"/>
              </w:numPr>
              <w:spacing w:before="240" w:after="180"/>
              <w:ind w:left="459" w:hanging="425"/>
              <w:textboxTightWrap w:val="lastLineOnly"/>
              <w:rPr>
                <w:b/>
              </w:rPr>
            </w:pPr>
            <w:permStart w:id="1136214188" w:edGrp="everyone" w:colFirst="2" w:colLast="2"/>
            <w:permStart w:id="1619875364" w:edGrp="everyone" w:colFirst="2" w:colLast="2"/>
            <w:permEnd w:id="502939906"/>
          </w:p>
        </w:tc>
        <w:tc>
          <w:tcPr>
            <w:tcW w:w="2268" w:type="dxa"/>
          </w:tcPr>
          <w:p w14:paraId="521019D7" w14:textId="26030171" w:rsidR="006B00E7" w:rsidRPr="00B36910" w:rsidRDefault="00B36910" w:rsidP="00B36910">
            <w:pPr>
              <w:spacing w:before="240"/>
              <w:ind w:left="34"/>
              <w:rPr>
                <w:b/>
              </w:rPr>
            </w:pPr>
            <w:r>
              <w:rPr>
                <w:b/>
              </w:rPr>
              <w:t>3.5</w:t>
            </w:r>
            <w:r w:rsidR="006B00E7" w:rsidRPr="00B36910">
              <w:rPr>
                <w:b/>
              </w:rPr>
              <w:t>Quality assurance</w:t>
            </w:r>
          </w:p>
        </w:tc>
        <w:tc>
          <w:tcPr>
            <w:tcW w:w="6853" w:type="dxa"/>
          </w:tcPr>
          <w:p w14:paraId="4EBC2153" w14:textId="77777777" w:rsidR="006B00E7" w:rsidRPr="00B36910" w:rsidRDefault="006B00E7" w:rsidP="00B36910">
            <w:pPr>
              <w:spacing w:before="240"/>
            </w:pPr>
            <w:r w:rsidRPr="00B36910">
              <w:t>As SSNAP data is subject to strong built-in validation via the secure web tool, it means that it is not possible for providers to enter illogical timings; however, this is double checked during analysis and therefore the accuracy of the indicator is very high. No assumptions are made regarding the arrival and discharge times, apart from when a patient died in hospital.</w:t>
            </w:r>
          </w:p>
          <w:p w14:paraId="22574D4A" w14:textId="77777777" w:rsidR="006B00E7" w:rsidRPr="00B36910" w:rsidRDefault="006B00E7" w:rsidP="00B36910">
            <w:pPr>
              <w:spacing w:before="240"/>
            </w:pPr>
            <w:r w:rsidRPr="00B36910">
              <w:t xml:space="preserve">When submitting SSNAP data, security and confidentiality are maintained through the use of passwords and a person specific registration process. A dedicated helpdesk is in place to answer queries from SSNAP participants, helping to ensure questions are interpreted consistently (which informs updates to FAQs and data set help notes). Users can register for their team on the SSNAP web tool and input data for their team. Once records are complete and </w:t>
            </w:r>
            <w:proofErr w:type="gramStart"/>
            <w:r w:rsidRPr="00B36910">
              <w:t>correct</w:t>
            </w:r>
            <w:proofErr w:type="gramEnd"/>
            <w:r w:rsidRPr="00B36910">
              <w:t xml:space="preserve"> they can be ‘locked’ at different levels. Records can be ‘locked’ to 72 hours once this information is completed, they can then be locked to discharge once this is applicable. Locking confirms that all data have been clinically signed off and are ready for central analysis. The ‘Lead clinical contact’ role is responsible for ensuring that the overall system of data collection and entry onto the web tool is accurate, robust and functioning. The SSNAP encourage the lead to routinely check data. Only complete and locked to 72 hours records go into data analysis for the </w:t>
            </w:r>
            <w:proofErr w:type="gramStart"/>
            <w:r w:rsidRPr="00B36910">
              <w:t>72 hour</w:t>
            </w:r>
            <w:proofErr w:type="gramEnd"/>
            <w:r w:rsidRPr="00B36910">
              <w:t xml:space="preserve"> section and complete and locked to discharge records go into data analysis for the post-72h section.</w:t>
            </w:r>
          </w:p>
          <w:p w14:paraId="0A3CC516" w14:textId="77777777" w:rsidR="006B00E7" w:rsidRPr="00B36910" w:rsidRDefault="006B00E7" w:rsidP="00B36910">
            <w:pPr>
              <w:spacing w:before="240"/>
            </w:pPr>
            <w:r w:rsidRPr="00B36910">
              <w:t>Eligibility criteria are applied to determine which records can be included in the audit. The criteria are: ICD-10 codes I61, I63, I64, but hospitals have means of checking for eligible patients other than their coding system and participants are encouraged to enter cases prospectively meaning the stroke team have more control over selecting records to be included and can also refer to their stroke register, should they have one.</w:t>
            </w:r>
          </w:p>
        </w:tc>
      </w:tr>
      <w:permEnd w:id="1136214188"/>
      <w:tr w:rsidR="00B36910" w:rsidRPr="00B36910" w14:paraId="68261FC8" w14:textId="77777777" w:rsidTr="00B36910">
        <w:tc>
          <w:tcPr>
            <w:tcW w:w="851" w:type="dxa"/>
          </w:tcPr>
          <w:p w14:paraId="31BC5F98" w14:textId="77777777" w:rsidR="006B00E7" w:rsidRPr="00B36910" w:rsidRDefault="006B00E7" w:rsidP="006B00E7">
            <w:pPr>
              <w:numPr>
                <w:ilvl w:val="1"/>
                <w:numId w:val="9"/>
              </w:numPr>
              <w:spacing w:before="240" w:after="180"/>
              <w:ind w:left="459" w:hanging="425"/>
              <w:textboxTightWrap w:val="lastLineOnly"/>
              <w:rPr>
                <w:b/>
              </w:rPr>
            </w:pPr>
          </w:p>
        </w:tc>
        <w:tc>
          <w:tcPr>
            <w:tcW w:w="2268" w:type="dxa"/>
          </w:tcPr>
          <w:p w14:paraId="22AC2110" w14:textId="7806EA52" w:rsidR="006B00E7" w:rsidRPr="00B36910" w:rsidRDefault="00B36910" w:rsidP="00B36910">
            <w:pPr>
              <w:spacing w:before="240"/>
              <w:ind w:left="34"/>
              <w:rPr>
                <w:b/>
              </w:rPr>
            </w:pPr>
            <w:r>
              <w:rPr>
                <w:b/>
              </w:rPr>
              <w:t>3.6</w:t>
            </w:r>
            <w:r w:rsidR="006B00E7" w:rsidRPr="00B36910">
              <w:rPr>
                <w:b/>
              </w:rPr>
              <w:t xml:space="preserve">Quality improvement plan </w:t>
            </w:r>
          </w:p>
          <w:p w14:paraId="407D2A4B" w14:textId="77777777" w:rsidR="006B00E7" w:rsidRPr="00B36910" w:rsidRDefault="006B00E7" w:rsidP="00B36910">
            <w:pPr>
              <w:ind w:left="34"/>
            </w:pPr>
            <w:r w:rsidRPr="00B36910">
              <w:t>If appropriate</w:t>
            </w:r>
          </w:p>
        </w:tc>
        <w:tc>
          <w:tcPr>
            <w:tcW w:w="6853" w:type="dxa"/>
          </w:tcPr>
          <w:p w14:paraId="1CCC6407" w14:textId="77777777" w:rsidR="006B00E7" w:rsidRPr="00B36910" w:rsidRDefault="006B00E7" w:rsidP="00B36910">
            <w:pPr>
              <w:spacing w:before="240"/>
            </w:pPr>
            <w:r w:rsidRPr="00B36910">
              <w:t>N/A</w:t>
            </w:r>
          </w:p>
        </w:tc>
      </w:tr>
      <w:tr w:rsidR="00B36910" w:rsidRPr="00B36910" w14:paraId="053CBEB7" w14:textId="77777777" w:rsidTr="00B36910">
        <w:tc>
          <w:tcPr>
            <w:tcW w:w="851" w:type="dxa"/>
          </w:tcPr>
          <w:p w14:paraId="199E2130" w14:textId="77777777" w:rsidR="006B00E7" w:rsidRPr="00B36910" w:rsidRDefault="006B00E7" w:rsidP="006B00E7">
            <w:pPr>
              <w:numPr>
                <w:ilvl w:val="1"/>
                <w:numId w:val="9"/>
              </w:numPr>
              <w:spacing w:before="240" w:after="180"/>
              <w:ind w:left="459" w:hanging="425"/>
              <w:textboxTightWrap w:val="lastLineOnly"/>
              <w:rPr>
                <w:b/>
              </w:rPr>
            </w:pPr>
            <w:permStart w:id="385961876" w:edGrp="everyone" w:colFirst="2" w:colLast="2"/>
            <w:permEnd w:id="1619875364"/>
          </w:p>
        </w:tc>
        <w:tc>
          <w:tcPr>
            <w:tcW w:w="2268" w:type="dxa"/>
          </w:tcPr>
          <w:p w14:paraId="626BE6A2" w14:textId="1005D764" w:rsidR="006B00E7" w:rsidRPr="00B36910" w:rsidRDefault="00B36910" w:rsidP="00B36910">
            <w:pPr>
              <w:spacing w:before="240"/>
              <w:ind w:left="34"/>
              <w:rPr>
                <w:b/>
              </w:rPr>
            </w:pPr>
            <w:r>
              <w:rPr>
                <w:b/>
              </w:rPr>
              <w:t>3.7</w:t>
            </w:r>
            <w:r w:rsidR="006B00E7" w:rsidRPr="00B36910">
              <w:rPr>
                <w:b/>
              </w:rPr>
              <w:t>Data linkage</w:t>
            </w:r>
          </w:p>
        </w:tc>
        <w:tc>
          <w:tcPr>
            <w:tcW w:w="6853" w:type="dxa"/>
          </w:tcPr>
          <w:p w14:paraId="607BB788" w14:textId="77777777" w:rsidR="006B00E7" w:rsidRPr="00B36910" w:rsidRDefault="006B00E7" w:rsidP="00B36910">
            <w:pPr>
              <w:spacing w:before="240"/>
            </w:pPr>
            <w:r w:rsidRPr="00B36910">
              <w:t>None.</w:t>
            </w:r>
          </w:p>
        </w:tc>
      </w:tr>
      <w:tr w:rsidR="00B36910" w:rsidRPr="00B36910" w14:paraId="109781D5" w14:textId="77777777" w:rsidTr="00B36910">
        <w:tc>
          <w:tcPr>
            <w:tcW w:w="851" w:type="dxa"/>
          </w:tcPr>
          <w:p w14:paraId="066D31F3" w14:textId="77777777" w:rsidR="006B00E7" w:rsidRPr="00B36910" w:rsidRDefault="006B00E7" w:rsidP="006B00E7">
            <w:pPr>
              <w:numPr>
                <w:ilvl w:val="1"/>
                <w:numId w:val="9"/>
              </w:numPr>
              <w:spacing w:before="240" w:after="180"/>
              <w:ind w:left="459" w:hanging="425"/>
              <w:textboxTightWrap w:val="lastLineOnly"/>
              <w:rPr>
                <w:b/>
              </w:rPr>
            </w:pPr>
            <w:permStart w:id="914114862" w:edGrp="everyone" w:colFirst="2" w:colLast="2"/>
            <w:permEnd w:id="385961876"/>
          </w:p>
        </w:tc>
        <w:tc>
          <w:tcPr>
            <w:tcW w:w="2268" w:type="dxa"/>
          </w:tcPr>
          <w:p w14:paraId="2621E4FC" w14:textId="790382E0" w:rsidR="006B00E7" w:rsidRPr="00B36910" w:rsidRDefault="00B36910" w:rsidP="00B36910">
            <w:pPr>
              <w:spacing w:before="240"/>
              <w:ind w:left="34"/>
              <w:rPr>
                <w:b/>
              </w:rPr>
            </w:pPr>
            <w:r>
              <w:rPr>
                <w:b/>
              </w:rPr>
              <w:t xml:space="preserve">3.8 </w:t>
            </w:r>
            <w:r w:rsidR="006B00E7" w:rsidRPr="00B36910">
              <w:rPr>
                <w:b/>
              </w:rPr>
              <w:t>Quality of data linkage</w:t>
            </w:r>
          </w:p>
        </w:tc>
        <w:tc>
          <w:tcPr>
            <w:tcW w:w="6853" w:type="dxa"/>
          </w:tcPr>
          <w:p w14:paraId="7D5A69BD" w14:textId="77777777" w:rsidR="006B00E7" w:rsidRPr="00B36910" w:rsidRDefault="006B00E7" w:rsidP="00B36910">
            <w:pPr>
              <w:spacing w:before="240"/>
            </w:pPr>
            <w:r w:rsidRPr="00B36910">
              <w:t>N/A</w:t>
            </w:r>
          </w:p>
        </w:tc>
      </w:tr>
      <w:tr w:rsidR="00B36910" w:rsidRPr="00B36910" w14:paraId="756F794C" w14:textId="77777777" w:rsidTr="00B36910">
        <w:tc>
          <w:tcPr>
            <w:tcW w:w="851" w:type="dxa"/>
          </w:tcPr>
          <w:p w14:paraId="1F5C79C2" w14:textId="77777777" w:rsidR="006B00E7" w:rsidRPr="00B36910" w:rsidRDefault="006B00E7" w:rsidP="006B00E7">
            <w:pPr>
              <w:numPr>
                <w:ilvl w:val="1"/>
                <w:numId w:val="9"/>
              </w:numPr>
              <w:spacing w:before="240" w:after="180"/>
              <w:ind w:left="459" w:hanging="425"/>
              <w:textboxTightWrap w:val="lastLineOnly"/>
              <w:rPr>
                <w:b/>
              </w:rPr>
            </w:pPr>
            <w:permStart w:id="746487006" w:edGrp="everyone" w:colFirst="2" w:colLast="2"/>
            <w:permEnd w:id="914114862"/>
          </w:p>
        </w:tc>
        <w:tc>
          <w:tcPr>
            <w:tcW w:w="2268" w:type="dxa"/>
          </w:tcPr>
          <w:p w14:paraId="39B7D5DA" w14:textId="42D65461" w:rsidR="006B00E7" w:rsidRPr="00B36910" w:rsidRDefault="00B36910" w:rsidP="00B36910">
            <w:pPr>
              <w:spacing w:before="240"/>
              <w:ind w:left="34"/>
              <w:rPr>
                <w:b/>
              </w:rPr>
            </w:pPr>
            <w:r>
              <w:rPr>
                <w:b/>
              </w:rPr>
              <w:t xml:space="preserve">3.9 </w:t>
            </w:r>
            <w:r w:rsidR="006B00E7" w:rsidRPr="00B36910">
              <w:rPr>
                <w:b/>
              </w:rPr>
              <w:t>Data fields</w:t>
            </w:r>
          </w:p>
        </w:tc>
        <w:tc>
          <w:tcPr>
            <w:tcW w:w="6853" w:type="dxa"/>
          </w:tcPr>
          <w:p w14:paraId="5C93E5E2" w14:textId="77777777" w:rsidR="006B00E7" w:rsidRPr="00B36910" w:rsidRDefault="006B00E7" w:rsidP="00B36910">
            <w:pPr>
              <w:spacing w:before="240"/>
            </w:pPr>
            <w:r w:rsidRPr="00B36910">
              <w:t xml:space="preserve">The data fields supplied by the RCP are as follows: </w:t>
            </w:r>
          </w:p>
          <w:p w14:paraId="30E6F934" w14:textId="77777777" w:rsidR="006B00E7" w:rsidRPr="00B36910" w:rsidRDefault="006B00E7" w:rsidP="00B36910">
            <w:r w:rsidRPr="00B36910">
              <w:t>1. Number of records in SSNAP</w:t>
            </w:r>
          </w:p>
          <w:p w14:paraId="27F2FB29" w14:textId="77777777" w:rsidR="006B00E7" w:rsidRPr="00B36910" w:rsidRDefault="006B00E7" w:rsidP="00B36910">
            <w:r w:rsidRPr="00B36910">
              <w:t>2. Estimated expected number (from HES)</w:t>
            </w:r>
          </w:p>
          <w:p w14:paraId="2F9A215F" w14:textId="77777777" w:rsidR="006B00E7" w:rsidRPr="00B36910" w:rsidRDefault="006B00E7" w:rsidP="00B36910">
            <w:r w:rsidRPr="00B36910">
              <w:t>3. Case ascertainment band</w:t>
            </w:r>
          </w:p>
          <w:p w14:paraId="46FF0C4F" w14:textId="77777777" w:rsidR="006B00E7" w:rsidRPr="00B36910" w:rsidRDefault="006B00E7" w:rsidP="00B36910">
            <w:r w:rsidRPr="00B36910">
              <w:t>4. Numerator</w:t>
            </w:r>
          </w:p>
          <w:p w14:paraId="41880186" w14:textId="77777777" w:rsidR="006B00E7" w:rsidRPr="00B36910" w:rsidRDefault="006B00E7" w:rsidP="00B36910">
            <w:r w:rsidRPr="00B36910">
              <w:t>5. Denominator</w:t>
            </w:r>
          </w:p>
          <w:p w14:paraId="19AF4ED1" w14:textId="77777777" w:rsidR="006B00E7" w:rsidRPr="00B36910" w:rsidRDefault="006B00E7" w:rsidP="00B36910">
            <w:pPr>
              <w:rPr>
                <w:sz w:val="23"/>
                <w:szCs w:val="23"/>
              </w:rPr>
            </w:pPr>
            <w:r w:rsidRPr="00B36910">
              <w:t>6. Percentage of applicable patients who spend over 90% of their inpatient stay on a stroke unit</w:t>
            </w:r>
          </w:p>
        </w:tc>
      </w:tr>
      <w:tr w:rsidR="00B36910" w:rsidRPr="00B36910" w14:paraId="44C51D35" w14:textId="77777777" w:rsidTr="00B36910">
        <w:trPr>
          <w:trHeight w:val="1691"/>
        </w:trPr>
        <w:tc>
          <w:tcPr>
            <w:tcW w:w="851" w:type="dxa"/>
          </w:tcPr>
          <w:p w14:paraId="508D3C7D" w14:textId="77777777" w:rsidR="006B00E7" w:rsidRPr="00B36910" w:rsidRDefault="006B00E7" w:rsidP="006B00E7">
            <w:pPr>
              <w:numPr>
                <w:ilvl w:val="1"/>
                <w:numId w:val="9"/>
              </w:numPr>
              <w:spacing w:before="240" w:after="180"/>
              <w:ind w:left="459" w:hanging="425"/>
              <w:textboxTightWrap w:val="lastLineOnly"/>
              <w:rPr>
                <w:b/>
              </w:rPr>
            </w:pPr>
            <w:permStart w:id="1032001958" w:edGrp="everyone" w:colFirst="2" w:colLast="2"/>
          </w:p>
        </w:tc>
        <w:permEnd w:id="746487006"/>
        <w:tc>
          <w:tcPr>
            <w:tcW w:w="2268" w:type="dxa"/>
          </w:tcPr>
          <w:p w14:paraId="55566632" w14:textId="057C538A" w:rsidR="006B00E7" w:rsidRPr="00B36910" w:rsidRDefault="00B36910" w:rsidP="00B36910">
            <w:pPr>
              <w:spacing w:before="240"/>
              <w:ind w:left="34"/>
              <w:rPr>
                <w:b/>
              </w:rPr>
            </w:pPr>
            <w:r>
              <w:rPr>
                <w:b/>
              </w:rPr>
              <w:t xml:space="preserve">3.10 </w:t>
            </w:r>
            <w:r w:rsidR="006B00E7" w:rsidRPr="00B36910">
              <w:rPr>
                <w:b/>
              </w:rPr>
              <w:t>Data filters</w:t>
            </w:r>
          </w:p>
        </w:tc>
        <w:tc>
          <w:tcPr>
            <w:tcW w:w="6853" w:type="dxa"/>
          </w:tcPr>
          <w:p w14:paraId="6E9B5D62" w14:textId="77777777" w:rsidR="006B00E7" w:rsidRPr="00B36910" w:rsidRDefault="006B00E7" w:rsidP="00B36910">
            <w:pPr>
              <w:spacing w:before="240"/>
            </w:pPr>
            <w:r w:rsidRPr="00B36910">
              <w:t>The SSNAP questions used in the construction of this indicator are as follows:</w:t>
            </w:r>
          </w:p>
          <w:p w14:paraId="595A74E8" w14:textId="77777777" w:rsidR="006B00E7" w:rsidRPr="00B36910" w:rsidRDefault="006B00E7" w:rsidP="00B36910">
            <w:r w:rsidRPr="00B36910">
              <w:t>Q1.9 What was the diagnosis?</w:t>
            </w:r>
          </w:p>
          <w:p w14:paraId="7E43CF4E" w14:textId="77777777" w:rsidR="006B00E7" w:rsidRPr="00B36910" w:rsidRDefault="006B00E7" w:rsidP="00B36910">
            <w:r w:rsidRPr="00B36910">
              <w:t>Q1.11 Date/time of onset/awareness of symptoms</w:t>
            </w:r>
          </w:p>
          <w:p w14:paraId="0A74DA2D" w14:textId="77777777" w:rsidR="006B00E7" w:rsidRPr="00B36910" w:rsidRDefault="006B00E7" w:rsidP="00B36910">
            <w:r w:rsidRPr="00B36910">
              <w:t>Q1.13 Date/ time patient arrived at first hospital</w:t>
            </w:r>
          </w:p>
          <w:p w14:paraId="3FE2A71F" w14:textId="77777777" w:rsidR="006B00E7" w:rsidRPr="00B36910" w:rsidRDefault="006B00E7" w:rsidP="00B36910">
            <w:r w:rsidRPr="00B36910">
              <w:t>Q1.14 Which was the first ward the patient was admitted to?</w:t>
            </w:r>
          </w:p>
          <w:p w14:paraId="753221A2" w14:textId="77777777" w:rsidR="006B00E7" w:rsidRPr="00B36910" w:rsidRDefault="006B00E7" w:rsidP="00B36910">
            <w:r w:rsidRPr="00B36910">
              <w:t>Q4.2 Which was the first ward the patient was admitted to in this hospital?</w:t>
            </w:r>
          </w:p>
          <w:p w14:paraId="1F4127BC" w14:textId="77777777" w:rsidR="006B00E7" w:rsidRPr="00B36910" w:rsidRDefault="006B00E7" w:rsidP="00B36910">
            <w:r w:rsidRPr="00B36910">
              <w:t>Q4.3 Date/time patient arrived on stroke unit at this hospital or Did not stay on stroke unit</w:t>
            </w:r>
          </w:p>
          <w:p w14:paraId="219E0FB8" w14:textId="77777777" w:rsidR="006B00E7" w:rsidRPr="00B36910" w:rsidRDefault="006B00E7" w:rsidP="00B36910">
            <w:r w:rsidRPr="00B36910">
              <w:t>Q7.1 The patient:</w:t>
            </w:r>
          </w:p>
          <w:p w14:paraId="47CDD711" w14:textId="77777777" w:rsidR="006B00E7" w:rsidRPr="00B36910" w:rsidRDefault="006B00E7" w:rsidP="00B36910">
            <w:r w:rsidRPr="00B36910">
              <w:t>Q7.1.1 If patient died, what was the date of death?</w:t>
            </w:r>
          </w:p>
          <w:p w14:paraId="3EC07D1E" w14:textId="77777777" w:rsidR="006B00E7" w:rsidRPr="00B36910" w:rsidRDefault="006B00E7" w:rsidP="00B36910">
            <w:r w:rsidRPr="00B36910">
              <w:t>Q7.1.2 Did the patient die in a stroke unit?</w:t>
            </w:r>
          </w:p>
          <w:p w14:paraId="798CCED9" w14:textId="77777777" w:rsidR="006B00E7" w:rsidRPr="00B36910" w:rsidRDefault="006B00E7" w:rsidP="00B36910">
            <w:r w:rsidRPr="00B36910">
              <w:t>Q7.2 Date/time of discharge from stroke unit</w:t>
            </w:r>
          </w:p>
          <w:p w14:paraId="29E84AB4" w14:textId="77777777" w:rsidR="006B00E7" w:rsidRPr="00B36910" w:rsidRDefault="006B00E7" w:rsidP="00B36910">
            <w:r w:rsidRPr="00B36910">
              <w:t>Q7.3 Date/time of discharge/transfer from team</w:t>
            </w:r>
          </w:p>
          <w:p w14:paraId="4F869635" w14:textId="77777777" w:rsidR="006B00E7" w:rsidRPr="00B36910" w:rsidRDefault="006B00E7" w:rsidP="00B36910">
            <w:pPr>
              <w:spacing w:before="240"/>
              <w:rPr>
                <w:u w:val="single"/>
              </w:rPr>
            </w:pPr>
            <w:r w:rsidRPr="00B36910">
              <w:rPr>
                <w:u w:val="single"/>
              </w:rPr>
              <w:t>Denominator</w:t>
            </w:r>
          </w:p>
          <w:p w14:paraId="793D5FA5" w14:textId="77777777" w:rsidR="006B00E7" w:rsidRPr="00B36910" w:rsidRDefault="006B00E7" w:rsidP="00B36910">
            <w:pPr>
              <w:spacing w:before="240"/>
            </w:pPr>
            <w:r w:rsidRPr="00B36910">
              <w:t>Patients with a primary diagnosis of stroke (SSNAP Audit Question 1.9 recorded as ‘Stroke’), except those who went directly to ITU/CCU/HDU at any inpatient provider during their stay in hospital (where Q1.14 or Q4.2 is answered ‘ITU/CCU/HDU’ on any of the patient’s records) and those who died on the same day as arrival/onset of symptoms (Q7.1.1 is the same as Q1.13/Q1.11).</w:t>
            </w:r>
          </w:p>
          <w:p w14:paraId="428B2877" w14:textId="77777777" w:rsidR="006B00E7" w:rsidRPr="00B36910" w:rsidRDefault="006B00E7" w:rsidP="00B36910">
            <w:pPr>
              <w:spacing w:before="240"/>
              <w:rPr>
                <w:u w:val="single"/>
              </w:rPr>
            </w:pPr>
            <w:r w:rsidRPr="00B36910">
              <w:rPr>
                <w:u w:val="single"/>
              </w:rPr>
              <w:t>Numerator</w:t>
            </w:r>
          </w:p>
          <w:p w14:paraId="6F9C29E1" w14:textId="77777777" w:rsidR="006B00E7" w:rsidRPr="00B36910" w:rsidRDefault="006B00E7" w:rsidP="00B36910">
            <w:pPr>
              <w:spacing w:before="240"/>
            </w:pPr>
            <w:r w:rsidRPr="00B36910">
              <w:t xml:space="preserve">Date and time of hospital </w:t>
            </w:r>
            <w:proofErr w:type="gramStart"/>
            <w:r w:rsidRPr="00B36910">
              <w:t>discharge;</w:t>
            </w:r>
            <w:proofErr w:type="gramEnd"/>
          </w:p>
          <w:p w14:paraId="54FF95F9" w14:textId="77777777" w:rsidR="006B00E7" w:rsidRPr="00B36910" w:rsidRDefault="006B00E7" w:rsidP="00B36910">
            <w:pPr>
              <w:spacing w:before="240"/>
            </w:pPr>
            <w:r w:rsidRPr="00B36910">
              <w:t>• In order to calculate the date and time of hospital discharge, the final inpatient record for each patient is used (SSNAP Audit Question 7.1 is not ‘Was transferred to another inpatient care team’).</w:t>
            </w:r>
          </w:p>
          <w:p w14:paraId="6C294766" w14:textId="77777777" w:rsidR="006B00E7" w:rsidRPr="00B36910" w:rsidRDefault="006B00E7" w:rsidP="00B36910">
            <w:pPr>
              <w:spacing w:before="240"/>
            </w:pPr>
            <w:r w:rsidRPr="00B36910">
              <w:t>• For patients who are discharged alive from inpatient care, the date and time of hospital discharge is Q7.3 (Date and time of discharge/transfer from team).</w:t>
            </w:r>
          </w:p>
          <w:p w14:paraId="06A4FB03" w14:textId="77777777" w:rsidR="006B00E7" w:rsidRPr="00B36910" w:rsidRDefault="006B00E7" w:rsidP="00B36910">
            <w:pPr>
              <w:spacing w:before="240"/>
            </w:pPr>
            <w:r w:rsidRPr="00B36910">
              <w:t>• For patients who die in a stroke unit (Q7.1.2 is answered ‘Yes’), the date and time of hospital discharge is calculated as the date component given in Q7.1.1 (What was the date of death?) with an assumed time component of 23:59.</w:t>
            </w:r>
          </w:p>
          <w:p w14:paraId="023E4563" w14:textId="77777777" w:rsidR="006B00E7" w:rsidRPr="00B36910" w:rsidRDefault="006B00E7" w:rsidP="00B36910">
            <w:pPr>
              <w:spacing w:before="240"/>
            </w:pPr>
            <w:r w:rsidRPr="00B36910">
              <w:t>• For patients who died in hospital, but not on a stroke unit (Q7.1.2 is answered ‘No’), and who were discharged from the stroke unit on the same day as the day of death (the date component of Q7.2 is the same as Q7.1.1) the date and time of hospital discharge is calculated as the date and time of stroke unit discharge (Q7.2).</w:t>
            </w:r>
          </w:p>
          <w:p w14:paraId="29F88949" w14:textId="77777777" w:rsidR="006B00E7" w:rsidRPr="00B36910" w:rsidRDefault="006B00E7" w:rsidP="00B36910">
            <w:pPr>
              <w:spacing w:before="240"/>
            </w:pPr>
            <w:r w:rsidRPr="00B36910">
              <w:t>• For patients who died in hospital, but not on a stroke unit (Q7.1.2 is answered ‘No’ or Q4.3 is answered ‘Did not stay on stroke unit’), and who were discharged from the stroke unit on a previous day to the day of death (the date component of Q7.2 is before Q7.1.1) the date and time of hospital discharge is calculated as the date component given in Q7.1.1 (What was the date of death?) with a time component of 00:00.</w:t>
            </w:r>
          </w:p>
          <w:p w14:paraId="3EB77057" w14:textId="77777777" w:rsidR="006B00E7" w:rsidRPr="00B36910" w:rsidRDefault="006B00E7" w:rsidP="00B36910">
            <w:pPr>
              <w:spacing w:before="240"/>
              <w:rPr>
                <w:u w:val="single"/>
              </w:rPr>
            </w:pPr>
            <w:r w:rsidRPr="00B36910">
              <w:rPr>
                <w:u w:val="single"/>
              </w:rPr>
              <w:t xml:space="preserve">Length of stay in </w:t>
            </w:r>
            <w:proofErr w:type="gramStart"/>
            <w:r w:rsidRPr="00B36910">
              <w:rPr>
                <w:u w:val="single"/>
              </w:rPr>
              <w:t>hospital;</w:t>
            </w:r>
            <w:proofErr w:type="gramEnd"/>
          </w:p>
          <w:p w14:paraId="1E5D9AA4" w14:textId="77777777" w:rsidR="006B00E7" w:rsidRPr="00B36910" w:rsidRDefault="006B00E7" w:rsidP="00B36910">
            <w:pPr>
              <w:spacing w:before="240"/>
            </w:pPr>
            <w:r w:rsidRPr="00B36910">
              <w:t>• Length of stay in hospital is calculated as the difference between the date and time of hospital discharge as calculated above and either Q1.13 (date and time of arrival) or Q1.11 (date and time of symptom onset) for newly arrived patients or patients already in hospital at time of stroke, respectively minus 4 hours (which allows the inclusion of patients with short length of stays feasible for this indicator). In order to calculate the length of stay on a stroke unit, information from each inpatient record from all the teams a patient has been with must be combined.</w:t>
            </w:r>
          </w:p>
          <w:p w14:paraId="080241AD" w14:textId="77777777" w:rsidR="006B00E7" w:rsidRPr="00B36910" w:rsidRDefault="006B00E7" w:rsidP="00B36910">
            <w:pPr>
              <w:spacing w:before="240"/>
            </w:pPr>
            <w:r w:rsidRPr="00B36910">
              <w:t>• For patients who are discharged alive from the team, the length of stay on the stroke unit is the difference between Q4.3 (date and time the patient arrived on stroke unit at this hospital) and Q7.2 (date and time of discharge from stroke unit).</w:t>
            </w:r>
          </w:p>
          <w:p w14:paraId="599E30E2" w14:textId="77777777" w:rsidR="006B00E7" w:rsidRPr="00B36910" w:rsidRDefault="006B00E7" w:rsidP="00B36910">
            <w:pPr>
              <w:spacing w:before="240"/>
            </w:pPr>
            <w:r w:rsidRPr="00B36910">
              <w:t>• For patients who die in a stroke unit (Q7.1.2 is answered “Yes”), the length of stay on the stroke unit is the difference between Q4.3 (date and time the patient arrived on stroke unit at this hospital) and the date component given in Q7.1.1 (What was the date of death?) with a time component of 23:59.</w:t>
            </w:r>
          </w:p>
          <w:p w14:paraId="24C6404B" w14:textId="77777777" w:rsidR="006B00E7" w:rsidRPr="00B36910" w:rsidRDefault="006B00E7" w:rsidP="00B36910">
            <w:pPr>
              <w:spacing w:before="240"/>
            </w:pPr>
            <w:r w:rsidRPr="00B36910">
              <w:t>• For patients who died in hospital, but not on a stroke unit (Q7.1.2 is answered “No”), the length of stay on the stroke unit is the difference between Q4.3 (date and time the patient arrived on stroke unit at this hospital) and Q7.2 (date and time of discharge from stroke unit).</w:t>
            </w:r>
          </w:p>
          <w:p w14:paraId="649D5031" w14:textId="77777777" w:rsidR="006B00E7" w:rsidRPr="00B36910" w:rsidRDefault="006B00E7" w:rsidP="00B36910">
            <w:pPr>
              <w:spacing w:before="240"/>
            </w:pPr>
            <w:r w:rsidRPr="00B36910">
              <w:t>• For patients who did not stay on a stroke unit at a given team (Q4.3 is answered “Did not stay on a stroke unit”) the length of stay on the stroke unit is 0 minutes.</w:t>
            </w:r>
          </w:p>
          <w:p w14:paraId="021A4491" w14:textId="77777777" w:rsidR="006B00E7" w:rsidRPr="00B36910" w:rsidRDefault="006B00E7" w:rsidP="00B36910">
            <w:pPr>
              <w:spacing w:before="240"/>
            </w:pPr>
            <w:r w:rsidRPr="00B36910">
              <w:t>• Overall length of stay on a stroke unit per patient is calculated by summing the length of stay on stroke unit per team as calculated above.</w:t>
            </w:r>
          </w:p>
        </w:tc>
      </w:tr>
      <w:tr w:rsidR="00B36910" w:rsidRPr="00B36910" w14:paraId="739DF210" w14:textId="77777777" w:rsidTr="00B36910">
        <w:tc>
          <w:tcPr>
            <w:tcW w:w="851" w:type="dxa"/>
          </w:tcPr>
          <w:p w14:paraId="58FE4C60" w14:textId="77777777" w:rsidR="006B00E7" w:rsidRPr="00B36910" w:rsidRDefault="006B00E7" w:rsidP="006B00E7">
            <w:pPr>
              <w:numPr>
                <w:ilvl w:val="1"/>
                <w:numId w:val="9"/>
              </w:numPr>
              <w:spacing w:before="240" w:after="180"/>
              <w:ind w:left="459" w:hanging="425"/>
              <w:textboxTightWrap w:val="lastLineOnly"/>
              <w:rPr>
                <w:b/>
              </w:rPr>
            </w:pPr>
            <w:permStart w:id="408030625" w:edGrp="everyone" w:colFirst="2" w:colLast="2"/>
            <w:permEnd w:id="1032001958"/>
          </w:p>
        </w:tc>
        <w:tc>
          <w:tcPr>
            <w:tcW w:w="2268" w:type="dxa"/>
          </w:tcPr>
          <w:p w14:paraId="2EC4F2B7" w14:textId="7934A24F" w:rsidR="006B00E7" w:rsidRPr="00B36910" w:rsidRDefault="00B36910" w:rsidP="00B36910">
            <w:pPr>
              <w:spacing w:before="240"/>
              <w:ind w:left="34"/>
              <w:rPr>
                <w:b/>
              </w:rPr>
            </w:pPr>
            <w:r>
              <w:rPr>
                <w:b/>
              </w:rPr>
              <w:t xml:space="preserve">3.11 </w:t>
            </w:r>
            <w:r w:rsidR="006B00E7" w:rsidRPr="00B36910">
              <w:rPr>
                <w:b/>
              </w:rPr>
              <w:t xml:space="preserve">Justifications of inclusions and exclusions </w:t>
            </w:r>
          </w:p>
          <w:p w14:paraId="54A02946" w14:textId="77777777" w:rsidR="006B00E7" w:rsidRPr="00B36910" w:rsidRDefault="006B00E7" w:rsidP="00B36910">
            <w:pPr>
              <w:ind w:left="34"/>
            </w:pPr>
            <w:r w:rsidRPr="00B36910">
              <w:t>and how these adhere to standard definitions</w:t>
            </w:r>
          </w:p>
        </w:tc>
        <w:tc>
          <w:tcPr>
            <w:tcW w:w="6853" w:type="dxa"/>
          </w:tcPr>
          <w:p w14:paraId="1F5C579F" w14:textId="77777777" w:rsidR="006B00E7" w:rsidRPr="00B36910" w:rsidRDefault="006B00E7" w:rsidP="00B36910">
            <w:pPr>
              <w:spacing w:before="240"/>
            </w:pPr>
            <w:r w:rsidRPr="00B36910">
              <w:t xml:space="preserve">See section 3.10. </w:t>
            </w:r>
          </w:p>
          <w:p w14:paraId="349A2589" w14:textId="77777777" w:rsidR="006B00E7" w:rsidRPr="00B36910" w:rsidRDefault="006B00E7" w:rsidP="00B36910">
            <w:pPr>
              <w:spacing w:before="240"/>
            </w:pPr>
            <w:r w:rsidRPr="00B36910">
              <w:t>As further information in regard to the denominator, some patients’ conditions are sufficiently serious that the most appropriate place to meet their needs is ITU, CCU or HDU. The reason for the audit having these exclusions is to prevent any perverse incentives to have all patients on a stroke unit even if they are better off being treated elsewhere.</w:t>
            </w:r>
          </w:p>
          <w:p w14:paraId="189ECA25" w14:textId="77777777" w:rsidR="006B00E7" w:rsidRPr="00B36910" w:rsidRDefault="006B00E7" w:rsidP="00B36910">
            <w:pPr>
              <w:spacing w:before="240"/>
            </w:pPr>
            <w:r w:rsidRPr="00B36910">
              <w:t>The SSNAP uses the following ICD-10 diagnosis codes to identify stroke patients:</w:t>
            </w:r>
          </w:p>
          <w:p w14:paraId="1EBDAAF6" w14:textId="77777777" w:rsidR="006B00E7" w:rsidRPr="00B36910" w:rsidRDefault="006B00E7" w:rsidP="006B00E7">
            <w:pPr>
              <w:pStyle w:val="ListParagraph"/>
              <w:numPr>
                <w:ilvl w:val="0"/>
                <w:numId w:val="10"/>
              </w:numPr>
              <w:spacing w:before="240" w:after="180" w:line="240" w:lineRule="auto"/>
              <w:contextualSpacing w:val="0"/>
              <w:textboxTightWrap w:val="lastLineOnly"/>
              <w:rPr>
                <w:rFonts w:ascii="Arial" w:hAnsi="Arial" w:cs="Arial"/>
              </w:rPr>
            </w:pPr>
            <w:r w:rsidRPr="00B36910">
              <w:rPr>
                <w:rFonts w:ascii="Arial" w:hAnsi="Arial" w:cs="Arial"/>
              </w:rPr>
              <w:t>I61 - Intracerebral haemorrhage</w:t>
            </w:r>
          </w:p>
          <w:p w14:paraId="6D5457B6" w14:textId="77777777" w:rsidR="006B00E7" w:rsidRPr="00B36910" w:rsidRDefault="006B00E7" w:rsidP="006B00E7">
            <w:pPr>
              <w:pStyle w:val="ListParagraph"/>
              <w:numPr>
                <w:ilvl w:val="0"/>
                <w:numId w:val="10"/>
              </w:numPr>
              <w:spacing w:before="240" w:after="180" w:line="240" w:lineRule="auto"/>
              <w:contextualSpacing w:val="0"/>
              <w:textboxTightWrap w:val="lastLineOnly"/>
              <w:rPr>
                <w:rFonts w:ascii="Arial" w:hAnsi="Arial" w:cs="Arial"/>
              </w:rPr>
            </w:pPr>
            <w:r w:rsidRPr="00B36910">
              <w:rPr>
                <w:rFonts w:ascii="Arial" w:hAnsi="Arial" w:cs="Arial"/>
              </w:rPr>
              <w:t>I63 - Cerebral infarction</w:t>
            </w:r>
          </w:p>
          <w:p w14:paraId="57B5D1BC" w14:textId="77777777" w:rsidR="006B00E7" w:rsidRPr="00B36910" w:rsidRDefault="006B00E7" w:rsidP="006B00E7">
            <w:pPr>
              <w:pStyle w:val="ListParagraph"/>
              <w:numPr>
                <w:ilvl w:val="0"/>
                <w:numId w:val="10"/>
              </w:numPr>
              <w:spacing w:before="240" w:after="180" w:line="240" w:lineRule="auto"/>
              <w:contextualSpacing w:val="0"/>
              <w:textboxTightWrap w:val="lastLineOnly"/>
              <w:rPr>
                <w:rFonts w:ascii="Arial" w:hAnsi="Arial" w:cs="Arial"/>
              </w:rPr>
            </w:pPr>
            <w:r w:rsidRPr="00B36910">
              <w:rPr>
                <w:rFonts w:ascii="Arial" w:hAnsi="Arial" w:cs="Arial"/>
              </w:rPr>
              <w:t>I64 - Stroke, not specified as haemorrhage or infarction</w:t>
            </w:r>
          </w:p>
          <w:p w14:paraId="753BF36F" w14:textId="77777777" w:rsidR="006B00E7" w:rsidRPr="00B36910" w:rsidRDefault="006B00E7" w:rsidP="00B36910">
            <w:pPr>
              <w:spacing w:before="240"/>
            </w:pPr>
            <w:r w:rsidRPr="00B36910">
              <w:t>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p w14:paraId="17F6D6DF" w14:textId="77777777" w:rsidR="006B00E7" w:rsidRPr="00B36910" w:rsidRDefault="006B00E7" w:rsidP="00B36910">
            <w:pPr>
              <w:spacing w:before="240"/>
            </w:pPr>
            <w:r w:rsidRPr="00B36910">
              <w:t xml:space="preserve">The evidence base for the standards that informed the development of this measure are contained within the Stroke National Clinical Guidelines (4th Edition, 2012) Appendix 3 National Stroke Strategy Quality Markers QM9 Treatment: All stroke patients have prompt access to an acute stroke unit and spend the majority of their time at hospital in a stroke unit with high-quality stroke specialist care.  (page 187)  </w:t>
            </w:r>
            <w:hyperlink r:id="rId20" w:history="1">
              <w:r w:rsidRPr="00B36910">
                <w:rPr>
                  <w:rStyle w:val="Hyperlink"/>
                  <w:color w:val="auto"/>
                </w:rPr>
                <w:t>http://www.rcplondon.ac.uk/resources/stroke-guidelines</w:t>
              </w:r>
            </w:hyperlink>
            <w:r w:rsidRPr="00B36910">
              <w:t xml:space="preserve">     </w:t>
            </w:r>
          </w:p>
        </w:tc>
      </w:tr>
      <w:tr w:rsidR="00B36910" w:rsidRPr="00B36910" w14:paraId="6806C630" w14:textId="77777777" w:rsidTr="00B36910">
        <w:tc>
          <w:tcPr>
            <w:tcW w:w="851" w:type="dxa"/>
          </w:tcPr>
          <w:p w14:paraId="0D5C53D7" w14:textId="77777777" w:rsidR="006B00E7" w:rsidRPr="00B36910" w:rsidRDefault="006B00E7" w:rsidP="006B00E7">
            <w:pPr>
              <w:numPr>
                <w:ilvl w:val="1"/>
                <w:numId w:val="9"/>
              </w:numPr>
              <w:spacing w:before="240" w:after="180"/>
              <w:ind w:left="459" w:hanging="425"/>
              <w:textboxTightWrap w:val="lastLineOnly"/>
              <w:rPr>
                <w:b/>
              </w:rPr>
            </w:pPr>
            <w:permStart w:id="1912027439" w:edGrp="everyone" w:colFirst="2" w:colLast="2"/>
            <w:permEnd w:id="408030625"/>
          </w:p>
        </w:tc>
        <w:tc>
          <w:tcPr>
            <w:tcW w:w="2268" w:type="dxa"/>
          </w:tcPr>
          <w:p w14:paraId="2A0914AE" w14:textId="628F04AB" w:rsidR="006B00E7" w:rsidRPr="00B36910" w:rsidRDefault="00B36910" w:rsidP="00B36910">
            <w:pPr>
              <w:spacing w:before="240"/>
              <w:ind w:left="34"/>
              <w:rPr>
                <w:b/>
              </w:rPr>
            </w:pPr>
            <w:r>
              <w:rPr>
                <w:b/>
              </w:rPr>
              <w:t xml:space="preserve">3.12 </w:t>
            </w:r>
            <w:r w:rsidR="006B00E7" w:rsidRPr="00B36910">
              <w:rPr>
                <w:b/>
              </w:rPr>
              <w:t>Data processing</w:t>
            </w:r>
          </w:p>
        </w:tc>
        <w:tc>
          <w:tcPr>
            <w:tcW w:w="6853" w:type="dxa"/>
          </w:tcPr>
          <w:p w14:paraId="396B2C2E" w14:textId="77777777" w:rsidR="006B00E7" w:rsidRPr="00B36910" w:rsidRDefault="006B00E7" w:rsidP="00B36910">
            <w:pPr>
              <w:spacing w:before="240"/>
            </w:pPr>
            <w:r w:rsidRPr="00B36910">
              <w:t>The calculated CCG level indicator is provided by the RCP and includes the percentage, numerator, denominator and contextual information. It is provided with any necessary data suppression.</w:t>
            </w:r>
          </w:p>
          <w:p w14:paraId="5F8AB9CD" w14:textId="77777777" w:rsidR="006B00E7" w:rsidRPr="00B36910" w:rsidRDefault="006B00E7" w:rsidP="00B36910">
            <w:pPr>
              <w:spacing w:before="240"/>
            </w:pPr>
            <w:r w:rsidRPr="00B36910">
              <w:t>A 95% confidence interval is calculated by Clinical Indicators for each CCG prior to publication</w:t>
            </w:r>
          </w:p>
        </w:tc>
      </w:tr>
      <w:permEnd w:id="1912027439"/>
    </w:tbl>
    <w:p w14:paraId="66EDFBAC" w14:textId="77777777" w:rsidR="006B00E7" w:rsidRPr="00B36910" w:rsidRDefault="006B00E7" w:rsidP="006B00E7">
      <w:r w:rsidRPr="00B36910">
        <w:br w:type="page"/>
      </w:r>
    </w:p>
    <w:p w14:paraId="6C97802E" w14:textId="575091AA" w:rsidR="00B36910" w:rsidRDefault="00B36910">
      <w:r>
        <w:t>Section 4 Construction</w:t>
      </w:r>
    </w:p>
    <w:tbl>
      <w:tblPr>
        <w:tblStyle w:val="TableGrid1"/>
        <w:tblW w:w="9920" w:type="dxa"/>
        <w:tblLayout w:type="fixed"/>
        <w:tblLook w:val="04A0" w:firstRow="1" w:lastRow="0" w:firstColumn="1" w:lastColumn="0" w:noHBand="0" w:noVBand="1"/>
      </w:tblPr>
      <w:tblGrid>
        <w:gridCol w:w="799"/>
        <w:gridCol w:w="2268"/>
        <w:gridCol w:w="6853"/>
      </w:tblGrid>
      <w:tr w:rsidR="00B36910" w:rsidRPr="00B36910" w14:paraId="0C17F4FF" w14:textId="77777777" w:rsidTr="00B36910">
        <w:tc>
          <w:tcPr>
            <w:tcW w:w="799" w:type="dxa"/>
          </w:tcPr>
          <w:p w14:paraId="76A19879" w14:textId="77777777" w:rsidR="006B00E7" w:rsidRPr="00B36910" w:rsidRDefault="006B00E7" w:rsidP="006B00E7">
            <w:pPr>
              <w:numPr>
                <w:ilvl w:val="1"/>
                <w:numId w:val="9"/>
              </w:numPr>
              <w:spacing w:before="240" w:after="180"/>
              <w:ind w:left="459" w:hanging="425"/>
              <w:textboxTightWrap w:val="lastLineOnly"/>
              <w:rPr>
                <w:b/>
              </w:rPr>
            </w:pPr>
            <w:permStart w:id="508189755" w:edGrp="everyone" w:colFirst="2" w:colLast="2"/>
          </w:p>
        </w:tc>
        <w:tc>
          <w:tcPr>
            <w:tcW w:w="2268" w:type="dxa"/>
          </w:tcPr>
          <w:p w14:paraId="30634E79" w14:textId="39786378" w:rsidR="006B00E7" w:rsidRPr="00B36910" w:rsidRDefault="00B36910" w:rsidP="00B36910">
            <w:pPr>
              <w:spacing w:before="240"/>
              <w:ind w:left="34"/>
              <w:rPr>
                <w:b/>
              </w:rPr>
            </w:pPr>
            <w:r>
              <w:rPr>
                <w:b/>
              </w:rPr>
              <w:t xml:space="preserve">4.1 </w:t>
            </w:r>
            <w:r w:rsidR="006B00E7" w:rsidRPr="00B36910">
              <w:rPr>
                <w:b/>
              </w:rPr>
              <w:t>Numerator</w:t>
            </w:r>
          </w:p>
        </w:tc>
        <w:tc>
          <w:tcPr>
            <w:tcW w:w="6853" w:type="dxa"/>
          </w:tcPr>
          <w:p w14:paraId="6CC63CD0" w14:textId="77777777" w:rsidR="006B00E7" w:rsidRPr="00B36910" w:rsidRDefault="006B00E7" w:rsidP="00B36910">
            <w:pPr>
              <w:spacing w:before="240"/>
            </w:pPr>
            <w:r w:rsidRPr="00B36910">
              <w:t>Of the denominator, the number of patients who spend 90% or more of their stay on a stroke unit.</w:t>
            </w:r>
          </w:p>
        </w:tc>
      </w:tr>
      <w:tr w:rsidR="00B36910" w:rsidRPr="00B36910" w14:paraId="6B3248A8" w14:textId="77777777" w:rsidTr="00B36910">
        <w:tc>
          <w:tcPr>
            <w:tcW w:w="799" w:type="dxa"/>
          </w:tcPr>
          <w:p w14:paraId="0E1E90D0" w14:textId="77777777" w:rsidR="006B00E7" w:rsidRPr="00B36910" w:rsidRDefault="006B00E7" w:rsidP="006B00E7">
            <w:pPr>
              <w:numPr>
                <w:ilvl w:val="1"/>
                <w:numId w:val="9"/>
              </w:numPr>
              <w:spacing w:before="240" w:after="180"/>
              <w:ind w:left="459" w:hanging="425"/>
              <w:textboxTightWrap w:val="lastLineOnly"/>
              <w:rPr>
                <w:b/>
              </w:rPr>
            </w:pPr>
            <w:permStart w:id="1211640335" w:edGrp="everyone" w:colFirst="2" w:colLast="2"/>
            <w:permEnd w:id="508189755"/>
          </w:p>
        </w:tc>
        <w:tc>
          <w:tcPr>
            <w:tcW w:w="2268" w:type="dxa"/>
          </w:tcPr>
          <w:p w14:paraId="45A63B8D" w14:textId="313D9084" w:rsidR="006B00E7" w:rsidRPr="00B36910" w:rsidRDefault="00B36910" w:rsidP="00B36910">
            <w:pPr>
              <w:spacing w:before="240"/>
              <w:ind w:left="34"/>
              <w:rPr>
                <w:b/>
              </w:rPr>
            </w:pPr>
            <w:r>
              <w:rPr>
                <w:b/>
              </w:rPr>
              <w:t xml:space="preserve">4.2 </w:t>
            </w:r>
            <w:r w:rsidR="006B00E7" w:rsidRPr="00B36910">
              <w:rPr>
                <w:b/>
              </w:rPr>
              <w:t>Denominator</w:t>
            </w:r>
          </w:p>
        </w:tc>
        <w:tc>
          <w:tcPr>
            <w:tcW w:w="6853" w:type="dxa"/>
          </w:tcPr>
          <w:p w14:paraId="15476EB6" w14:textId="77777777" w:rsidR="006B00E7" w:rsidRPr="00B36910" w:rsidRDefault="006B00E7" w:rsidP="00B36910">
            <w:pPr>
              <w:spacing w:before="240"/>
            </w:pPr>
            <w:r w:rsidRPr="00B36910">
              <w:t>The number of patients entered into SSNAP with a primary diagnosis of stroke, except for those whose first ward of admission was ITU, CCU or HDU and those who died on the same day as arrival/onset of symptoms.</w:t>
            </w:r>
          </w:p>
          <w:p w14:paraId="706EF177" w14:textId="77777777" w:rsidR="006B00E7" w:rsidRPr="00B36910" w:rsidRDefault="006B00E7" w:rsidP="00B36910">
            <w:pPr>
              <w:spacing w:before="240"/>
            </w:pPr>
            <w:r w:rsidRPr="00B36910">
              <w:t>(ITU = Intensive Treatment Unit, CCU = Critical Care Unit, HDU = High Dependency Unit)</w:t>
            </w:r>
          </w:p>
        </w:tc>
      </w:tr>
      <w:tr w:rsidR="00B36910" w:rsidRPr="00B36910" w14:paraId="0AE1556D" w14:textId="77777777" w:rsidTr="00B36910">
        <w:tc>
          <w:tcPr>
            <w:tcW w:w="799" w:type="dxa"/>
          </w:tcPr>
          <w:p w14:paraId="031A3A90" w14:textId="77777777" w:rsidR="006B00E7" w:rsidRPr="00B36910" w:rsidRDefault="006B00E7" w:rsidP="006B00E7">
            <w:pPr>
              <w:numPr>
                <w:ilvl w:val="1"/>
                <w:numId w:val="9"/>
              </w:numPr>
              <w:spacing w:before="240" w:after="180"/>
              <w:ind w:left="459" w:hanging="425"/>
              <w:textboxTightWrap w:val="lastLineOnly"/>
              <w:rPr>
                <w:b/>
              </w:rPr>
            </w:pPr>
            <w:permStart w:id="1874746673" w:edGrp="everyone" w:colFirst="2" w:colLast="2"/>
            <w:permEnd w:id="1211640335"/>
          </w:p>
        </w:tc>
        <w:tc>
          <w:tcPr>
            <w:tcW w:w="2268" w:type="dxa"/>
          </w:tcPr>
          <w:p w14:paraId="20455E96" w14:textId="23086C20" w:rsidR="006B00E7" w:rsidRPr="00B36910" w:rsidRDefault="00B36910" w:rsidP="00B36910">
            <w:pPr>
              <w:spacing w:before="240"/>
              <w:ind w:left="34"/>
              <w:rPr>
                <w:b/>
              </w:rPr>
            </w:pPr>
            <w:r>
              <w:rPr>
                <w:b/>
              </w:rPr>
              <w:t xml:space="preserve">4.3 </w:t>
            </w:r>
            <w:r w:rsidR="006B00E7" w:rsidRPr="00B36910">
              <w:rPr>
                <w:b/>
              </w:rPr>
              <w:t>Computation</w:t>
            </w:r>
          </w:p>
        </w:tc>
        <w:tc>
          <w:tcPr>
            <w:tcW w:w="6853" w:type="dxa"/>
          </w:tcPr>
          <w:p w14:paraId="204A63C8" w14:textId="77777777" w:rsidR="006B00E7" w:rsidRPr="00B36910" w:rsidRDefault="006B00E7" w:rsidP="00B36910">
            <w:pPr>
              <w:spacing w:before="240"/>
            </w:pPr>
            <w:r w:rsidRPr="00B36910">
              <w:t xml:space="preserve">The percentage </w:t>
            </w:r>
            <w:r w:rsidRPr="00B36910">
              <w:rPr>
                <w:i/>
              </w:rPr>
              <w:t>p</w:t>
            </w:r>
            <w:r w:rsidRPr="00B36910">
              <w:t xml:space="preserve"> is given by:</w:t>
            </w:r>
            <w:r w:rsidRPr="00B36910">
              <w:tab/>
            </w:r>
            <w:r w:rsidRPr="00B36910">
              <w:tab/>
            </w:r>
            <w:r w:rsidRPr="00B36910">
              <w:tab/>
            </w:r>
          </w:p>
          <w:p w14:paraId="60E2BE7B" w14:textId="77777777" w:rsidR="006B00E7" w:rsidRPr="00B36910" w:rsidRDefault="006B00E7" w:rsidP="00B36910">
            <w:pPr>
              <w:rPr>
                <w:i/>
              </w:rPr>
            </w:pPr>
            <m:oMathPara>
              <m:oMath>
                <m:r>
                  <w:rPr>
                    <w:rFonts w:ascii="Cambria Math" w:hAnsi="Cambria Math"/>
                  </w:rPr>
                  <m:t>p=</m:t>
                </m:r>
                <m:f>
                  <m:fPr>
                    <m:ctrlPr>
                      <w:rPr>
                        <w:rFonts w:ascii="Cambria Math" w:hAnsi="Cambria Math"/>
                        <w:i/>
                      </w:rPr>
                    </m:ctrlPr>
                  </m:fPr>
                  <m:num>
                    <m:r>
                      <w:rPr>
                        <w:rFonts w:ascii="Cambria Math" w:hAnsi="Cambria Math"/>
                      </w:rPr>
                      <m:t>O</m:t>
                    </m:r>
                  </m:num>
                  <m:den>
                    <m:r>
                      <w:rPr>
                        <w:rFonts w:ascii="Cambria Math" w:hAnsi="Cambria Math"/>
                      </w:rPr>
                      <m:t>n</m:t>
                    </m:r>
                  </m:den>
                </m:f>
                <m:r>
                  <w:rPr>
                    <w:rFonts w:ascii="Cambria Math" w:hAnsi="Cambria Math"/>
                  </w:rPr>
                  <m:t>×100</m:t>
                </m:r>
              </m:oMath>
            </m:oMathPara>
          </w:p>
          <w:p w14:paraId="75B251D1" w14:textId="77777777" w:rsidR="006B00E7" w:rsidRPr="00B36910" w:rsidRDefault="006B00E7" w:rsidP="00B36910">
            <w:r w:rsidRPr="00B36910">
              <w:t>where:</w:t>
            </w:r>
            <w:r w:rsidRPr="00B36910">
              <w:tab/>
            </w:r>
            <w:r w:rsidRPr="00B36910">
              <w:tab/>
            </w:r>
            <w:r w:rsidRPr="00B36910">
              <w:tab/>
            </w:r>
          </w:p>
          <w:p w14:paraId="54F9B6A9" w14:textId="77777777" w:rsidR="006B00E7" w:rsidRPr="00B36910" w:rsidRDefault="006B00E7" w:rsidP="00B36910">
            <w:pPr>
              <w:spacing w:before="240"/>
            </w:pPr>
            <w:r w:rsidRPr="00B36910">
              <w:rPr>
                <w:i/>
              </w:rPr>
              <w:t>O</w:t>
            </w:r>
            <w:r w:rsidRPr="00B36910">
              <w:t xml:space="preserve"> is the numerator and </w:t>
            </w:r>
            <w:r w:rsidRPr="00B36910">
              <w:rPr>
                <w:i/>
              </w:rPr>
              <w:t>n</w:t>
            </w:r>
            <w:r w:rsidRPr="00B36910">
              <w:t xml:space="preserve"> </w:t>
            </w:r>
            <w:proofErr w:type="gramStart"/>
            <w:r w:rsidRPr="00B36910">
              <w:t>is</w:t>
            </w:r>
            <w:proofErr w:type="gramEnd"/>
            <w:r w:rsidRPr="00B36910">
              <w:t xml:space="preserve"> the denominator.</w:t>
            </w:r>
          </w:p>
        </w:tc>
      </w:tr>
      <w:tr w:rsidR="00B36910" w:rsidRPr="00B36910" w14:paraId="527A545E" w14:textId="77777777" w:rsidTr="00B36910">
        <w:tc>
          <w:tcPr>
            <w:tcW w:w="799" w:type="dxa"/>
          </w:tcPr>
          <w:p w14:paraId="0196FCE2" w14:textId="77777777" w:rsidR="006B00E7" w:rsidRPr="00B36910" w:rsidRDefault="006B00E7" w:rsidP="006B00E7">
            <w:pPr>
              <w:numPr>
                <w:ilvl w:val="1"/>
                <w:numId w:val="9"/>
              </w:numPr>
              <w:spacing w:before="240" w:after="180"/>
              <w:ind w:left="459" w:hanging="425"/>
              <w:textboxTightWrap w:val="lastLineOnly"/>
              <w:rPr>
                <w:b/>
              </w:rPr>
            </w:pPr>
            <w:permStart w:id="737938756" w:edGrp="everyone" w:colFirst="2" w:colLast="2"/>
            <w:permEnd w:id="1874746673"/>
          </w:p>
        </w:tc>
        <w:tc>
          <w:tcPr>
            <w:tcW w:w="2268" w:type="dxa"/>
          </w:tcPr>
          <w:p w14:paraId="18702C1E" w14:textId="1D76945D" w:rsidR="006B00E7" w:rsidRPr="00B36910" w:rsidRDefault="00B36910" w:rsidP="00B36910">
            <w:pPr>
              <w:spacing w:before="240"/>
              <w:ind w:left="34"/>
              <w:rPr>
                <w:b/>
              </w:rPr>
            </w:pPr>
            <w:r>
              <w:rPr>
                <w:b/>
              </w:rPr>
              <w:t xml:space="preserve">4.4 </w:t>
            </w:r>
            <w:r w:rsidR="006B00E7" w:rsidRPr="00B36910">
              <w:rPr>
                <w:b/>
              </w:rPr>
              <w:t>Risk adjustment or standardisation type and methodology</w:t>
            </w:r>
          </w:p>
        </w:tc>
        <w:tc>
          <w:tcPr>
            <w:tcW w:w="6853" w:type="dxa"/>
          </w:tcPr>
          <w:p w14:paraId="22592F5A" w14:textId="77777777" w:rsidR="006B00E7" w:rsidRPr="00B36910" w:rsidRDefault="006B00E7" w:rsidP="00B36910">
            <w:pPr>
              <w:spacing w:before="240"/>
            </w:pPr>
            <w:r w:rsidRPr="00B36910">
              <w:t xml:space="preserve">The indicator is not </w:t>
            </w:r>
            <w:proofErr w:type="gramStart"/>
            <w:r w:rsidRPr="00B36910">
              <w:t>standardised</w:t>
            </w:r>
            <w:proofErr w:type="gramEnd"/>
            <w:r w:rsidRPr="00B36910">
              <w:t xml:space="preserve"> or risk adjusted.</w:t>
            </w:r>
          </w:p>
        </w:tc>
      </w:tr>
      <w:tr w:rsidR="00B36910" w:rsidRPr="00B36910" w14:paraId="7BCF47AA" w14:textId="77777777" w:rsidTr="00B36910">
        <w:tc>
          <w:tcPr>
            <w:tcW w:w="799" w:type="dxa"/>
          </w:tcPr>
          <w:p w14:paraId="3A0372FA" w14:textId="77777777" w:rsidR="006B00E7" w:rsidRPr="00B36910" w:rsidRDefault="006B00E7" w:rsidP="006B00E7">
            <w:pPr>
              <w:numPr>
                <w:ilvl w:val="1"/>
                <w:numId w:val="9"/>
              </w:numPr>
              <w:spacing w:before="240" w:after="180"/>
              <w:ind w:left="459" w:hanging="425"/>
              <w:textboxTightWrap w:val="lastLineOnly"/>
              <w:rPr>
                <w:b/>
              </w:rPr>
            </w:pPr>
            <w:permStart w:id="1926829867" w:edGrp="everyone" w:colFirst="2" w:colLast="2"/>
            <w:permEnd w:id="737938756"/>
          </w:p>
        </w:tc>
        <w:tc>
          <w:tcPr>
            <w:tcW w:w="2268" w:type="dxa"/>
          </w:tcPr>
          <w:p w14:paraId="315EB44B" w14:textId="68DAAE07" w:rsidR="006B00E7" w:rsidRPr="00B36910" w:rsidRDefault="00B36910" w:rsidP="00B36910">
            <w:pPr>
              <w:spacing w:before="240"/>
              <w:ind w:left="34"/>
              <w:rPr>
                <w:b/>
              </w:rPr>
            </w:pPr>
            <w:r>
              <w:rPr>
                <w:b/>
              </w:rPr>
              <w:t xml:space="preserve">4.5 </w:t>
            </w:r>
            <w:r w:rsidR="006B00E7" w:rsidRPr="00B36910">
              <w:rPr>
                <w:b/>
              </w:rPr>
              <w:t>Justification of risk adjustment type and variables</w:t>
            </w:r>
          </w:p>
          <w:p w14:paraId="19376210" w14:textId="77777777" w:rsidR="006B00E7" w:rsidRPr="00B36910" w:rsidRDefault="006B00E7" w:rsidP="00B36910">
            <w:pPr>
              <w:ind w:left="34"/>
            </w:pPr>
            <w:r w:rsidRPr="00B36910">
              <w:t>or why risk adjustment is not used</w:t>
            </w:r>
          </w:p>
        </w:tc>
        <w:tc>
          <w:tcPr>
            <w:tcW w:w="6853" w:type="dxa"/>
          </w:tcPr>
          <w:p w14:paraId="7CB9B7DB" w14:textId="77777777" w:rsidR="006B00E7" w:rsidRPr="00B36910" w:rsidRDefault="006B00E7" w:rsidP="00B36910">
            <w:pPr>
              <w:spacing w:before="240"/>
            </w:pPr>
            <w:r w:rsidRPr="00B36910">
              <w:t>All eligible patients should spend the majority of their stay on a stroke unit.</w:t>
            </w:r>
          </w:p>
        </w:tc>
      </w:tr>
      <w:tr w:rsidR="00B36910" w:rsidRPr="00B36910" w14:paraId="4A2FA1A8" w14:textId="77777777" w:rsidTr="00B36910">
        <w:tc>
          <w:tcPr>
            <w:tcW w:w="799" w:type="dxa"/>
          </w:tcPr>
          <w:p w14:paraId="59FD2F61" w14:textId="77777777" w:rsidR="006B00E7" w:rsidRPr="00B36910" w:rsidRDefault="006B00E7" w:rsidP="006B00E7">
            <w:pPr>
              <w:numPr>
                <w:ilvl w:val="1"/>
                <w:numId w:val="9"/>
              </w:numPr>
              <w:spacing w:before="240" w:after="180"/>
              <w:ind w:left="459" w:hanging="425"/>
              <w:textboxTightWrap w:val="lastLineOnly"/>
              <w:rPr>
                <w:b/>
              </w:rPr>
            </w:pPr>
            <w:permStart w:id="1299594859" w:edGrp="everyone" w:colFirst="2" w:colLast="2"/>
          </w:p>
        </w:tc>
        <w:permEnd w:id="1926829867"/>
        <w:tc>
          <w:tcPr>
            <w:tcW w:w="2268" w:type="dxa"/>
          </w:tcPr>
          <w:p w14:paraId="610F885C" w14:textId="02649F4F" w:rsidR="006B00E7" w:rsidRPr="00B36910" w:rsidRDefault="00B36910" w:rsidP="00B36910">
            <w:pPr>
              <w:spacing w:before="240"/>
              <w:ind w:left="34"/>
              <w:rPr>
                <w:b/>
              </w:rPr>
            </w:pPr>
            <w:r>
              <w:rPr>
                <w:b/>
              </w:rPr>
              <w:t xml:space="preserve">4.6 </w:t>
            </w:r>
            <w:r w:rsidR="006B00E7" w:rsidRPr="00B36910">
              <w:rPr>
                <w:b/>
              </w:rPr>
              <w:t>Confidence interval / control limit use and methodology</w:t>
            </w:r>
          </w:p>
        </w:tc>
        <w:tc>
          <w:tcPr>
            <w:tcW w:w="6853" w:type="dxa"/>
          </w:tcPr>
          <w:sdt>
            <w:sdtPr>
              <w:alias w:val="Confidence Interval/control limit use"/>
              <w:tag w:val="Confidence Interval/control limit use"/>
              <w:id w:val="1287858884"/>
              <w:placeholder>
                <w:docPart w:val="12BA8E88B33D431F8248A9C644222D2D"/>
              </w:placeholder>
              <w:dropDownList>
                <w:listItem w:value="Choose an item."/>
                <w:listItem w:displayText="Confidence Intervals" w:value="Confidence Intervals"/>
                <w:listItem w:displayText="Control Limits" w:value="Control Limits"/>
                <w:listItem w:displayText="None" w:value="None"/>
              </w:dropDownList>
            </w:sdtPr>
            <w:sdtContent>
              <w:p w14:paraId="2BEF0F62" w14:textId="77777777" w:rsidR="006B00E7" w:rsidRPr="00B36910" w:rsidRDefault="006B00E7" w:rsidP="00B36910">
                <w:pPr>
                  <w:spacing w:before="240"/>
                </w:pPr>
                <w:r w:rsidRPr="00B36910">
                  <w:t>Confidence Intervals</w:t>
                </w:r>
              </w:p>
            </w:sdtContent>
          </w:sdt>
          <w:p w14:paraId="0D2DF3E7" w14:textId="77777777" w:rsidR="006B00E7" w:rsidRPr="00B36910" w:rsidRDefault="006B00E7" w:rsidP="00B36910">
            <w:pPr>
              <w:spacing w:before="240"/>
            </w:pPr>
            <w:r w:rsidRPr="00B36910">
              <w:t xml:space="preserve">Confidence intervals are calculated using the Wilson Score method, as specified in “Commonly used public health statistics and their confidence intervals” (Public Health England (PHE), March 2008 </w:t>
            </w:r>
            <w:hyperlink r:id="rId21" w:history="1">
              <w:r w:rsidRPr="00B36910">
                <w:rPr>
                  <w:rStyle w:val="Hyperlink"/>
                  <w:color w:val="auto"/>
                </w:rPr>
                <w:t>http://www.apho.org.uk/resource/view.aspx?RID=48617</w:t>
              </w:r>
            </w:hyperlink>
            <w:r w:rsidRPr="00B36910">
              <w:t>).</w:t>
            </w:r>
          </w:p>
          <w:p w14:paraId="36F29B77" w14:textId="77777777" w:rsidR="006B00E7" w:rsidRPr="00B36910" w:rsidRDefault="006B00E7" w:rsidP="00B36910">
            <w:pPr>
              <w:spacing w:before="240"/>
            </w:pPr>
            <w:r w:rsidRPr="00B36910">
              <w:t xml:space="preserve">The formulae for the 100(1 – </w:t>
            </w:r>
            <w:proofErr w:type="gramStart"/>
            <w:r w:rsidRPr="00B36910">
              <w:t>α)%</w:t>
            </w:r>
            <w:proofErr w:type="gramEnd"/>
            <w:r w:rsidRPr="00B36910">
              <w:t xml:space="preserve"> confidence interval limits for the proportion p are:</w:t>
            </w:r>
          </w:p>
          <w:p w14:paraId="14430710" w14:textId="77777777" w:rsidR="006B00E7" w:rsidRPr="00B36910" w:rsidRDefault="00B36910" w:rsidP="00B36910">
            <w:pPr>
              <w:spacing w:before="240"/>
            </w:pPr>
            <m:oMathPara>
              <m:oMath>
                <m:sSub>
                  <m:sSubPr>
                    <m:ctrlPr>
                      <w:rPr>
                        <w:rFonts w:ascii="Cambria Math" w:hAnsi="Cambria Math"/>
                        <w:i/>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6A72BAB1" w14:textId="77777777" w:rsidR="006B00E7" w:rsidRPr="00B36910" w:rsidRDefault="00B36910" w:rsidP="00B36910">
            <w:pPr>
              <w:spacing w:before="240"/>
            </w:pPr>
            <m:oMathPara>
              <m:oMath>
                <m:sSub>
                  <m:sSubPr>
                    <m:ctrlPr>
                      <w:rPr>
                        <w:rFonts w:ascii="Cambria Math" w:hAnsi="Cambria Math"/>
                        <w:i/>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4E70F5E3" w14:textId="77777777" w:rsidR="006B00E7" w:rsidRPr="00B36910" w:rsidRDefault="006B00E7" w:rsidP="00B36910">
            <w:pPr>
              <w:spacing w:before="240"/>
            </w:pPr>
            <w:r w:rsidRPr="00B36910">
              <w:t>where:</w:t>
            </w:r>
          </w:p>
          <w:p w14:paraId="5E95DA48" w14:textId="77777777" w:rsidR="006B00E7" w:rsidRPr="00B36910" w:rsidRDefault="006B00E7" w:rsidP="00B36910">
            <w:pPr>
              <w:spacing w:before="240"/>
            </w:pPr>
            <w:r w:rsidRPr="00B36910">
              <w:rPr>
                <w:i/>
              </w:rPr>
              <w:t>O</w:t>
            </w:r>
            <w:r w:rsidRPr="00B36910">
              <w:t xml:space="preserve"> is the observed number of individuals in the sample/population having the specified characteristic (i.e., the numerator</w:t>
            </w:r>
            <w:proofErr w:type="gramStart"/>
            <w:r w:rsidRPr="00B36910">
              <w:t>);</w:t>
            </w:r>
            <w:proofErr w:type="gramEnd"/>
          </w:p>
          <w:p w14:paraId="35E3EDAC" w14:textId="77777777" w:rsidR="006B00E7" w:rsidRPr="00B36910" w:rsidRDefault="006B00E7" w:rsidP="00B36910">
            <w:pPr>
              <w:spacing w:before="240"/>
            </w:pPr>
            <w:r w:rsidRPr="00B36910">
              <w:rPr>
                <w:i/>
              </w:rPr>
              <w:t>n</w:t>
            </w:r>
            <w:r w:rsidRPr="00B36910">
              <w:t xml:space="preserve"> is the total number of individuals in the sample/population (i.e., the denominator</w:t>
            </w:r>
            <w:proofErr w:type="gramStart"/>
            <w:r w:rsidRPr="00B36910">
              <w:t>);</w:t>
            </w:r>
            <w:proofErr w:type="gramEnd"/>
          </w:p>
          <w:p w14:paraId="0421C072" w14:textId="77777777" w:rsidR="006B00E7" w:rsidRPr="00B36910" w:rsidRDefault="006B00E7" w:rsidP="00B36910">
            <w:pPr>
              <w:spacing w:before="240"/>
            </w:pPr>
            <w:r w:rsidRPr="00B36910">
              <w:rPr>
                <w:i/>
              </w:rPr>
              <w:t>q</w:t>
            </w:r>
            <w:r w:rsidRPr="00B36910">
              <w:t xml:space="preserve"> = (1 – </w:t>
            </w:r>
            <w:r w:rsidRPr="00B36910">
              <w:rPr>
                <w:i/>
              </w:rPr>
              <w:t>p</w:t>
            </w:r>
            <w:r w:rsidRPr="00B36910">
              <w:t xml:space="preserve">) is the proportion without the specified </w:t>
            </w:r>
            <w:proofErr w:type="gramStart"/>
            <w:r w:rsidRPr="00B36910">
              <w:t>characteristic;</w:t>
            </w:r>
            <w:proofErr w:type="gramEnd"/>
          </w:p>
          <w:p w14:paraId="1DE08A8A" w14:textId="77777777" w:rsidR="006B00E7" w:rsidRPr="00B36910" w:rsidRDefault="006B00E7" w:rsidP="00B36910">
            <w:pPr>
              <w:spacing w:before="240"/>
            </w:pPr>
            <w:r w:rsidRPr="00B36910">
              <w:rPr>
                <w:i/>
              </w:rPr>
              <w:t>z</w:t>
            </w:r>
            <w:r w:rsidRPr="00B36910">
              <w:t xml:space="preserve"> is the 100(1 – </w:t>
            </w:r>
            <w:r w:rsidRPr="00B36910">
              <w:rPr>
                <w:i/>
              </w:rPr>
              <w:t>α</w:t>
            </w:r>
            <w:r w:rsidRPr="00B36910">
              <w:t>/</w:t>
            </w:r>
            <w:proofErr w:type="gramStart"/>
            <w:r w:rsidRPr="00B36910">
              <w:t>2)</w:t>
            </w:r>
            <w:proofErr w:type="spellStart"/>
            <w:r w:rsidRPr="00B36910">
              <w:rPr>
                <w:vertAlign w:val="superscript"/>
              </w:rPr>
              <w:t>th</w:t>
            </w:r>
            <w:proofErr w:type="spellEnd"/>
            <w:proofErr w:type="gramEnd"/>
            <w:r w:rsidRPr="00B36910">
              <w:t xml:space="preserve"> percentile value from the Standard Normal distribution. For </w:t>
            </w:r>
            <w:proofErr w:type="gramStart"/>
            <w:r w:rsidRPr="00B36910">
              <w:t>example</w:t>
            </w:r>
            <w:proofErr w:type="gramEnd"/>
            <w:r w:rsidRPr="00B36910">
              <w:t xml:space="preserve"> for a 95% confidence interval, </w:t>
            </w:r>
            <w:r w:rsidRPr="00B36910">
              <w:rPr>
                <w:i/>
              </w:rPr>
              <w:t>α</w:t>
            </w:r>
            <w:r w:rsidRPr="00B36910">
              <w:t xml:space="preserve"> = 0.05, and </w:t>
            </w:r>
            <w:r w:rsidRPr="00B36910">
              <w:rPr>
                <w:i/>
              </w:rPr>
              <w:t>z</w:t>
            </w:r>
            <w:r w:rsidRPr="00B36910">
              <w:t xml:space="preserve"> = 1.96 (i.e. the 97.5th percentile value from the Standard Normal distribution).</w:t>
            </w:r>
          </w:p>
        </w:tc>
      </w:tr>
      <w:tr w:rsidR="00B36910" w:rsidRPr="00B36910" w14:paraId="7BB81E76" w14:textId="77777777" w:rsidTr="00B36910">
        <w:tc>
          <w:tcPr>
            <w:tcW w:w="799" w:type="dxa"/>
          </w:tcPr>
          <w:p w14:paraId="2059757C" w14:textId="77777777" w:rsidR="006B00E7" w:rsidRPr="00B36910" w:rsidRDefault="006B00E7" w:rsidP="006B00E7">
            <w:pPr>
              <w:numPr>
                <w:ilvl w:val="1"/>
                <w:numId w:val="9"/>
              </w:numPr>
              <w:spacing w:before="240" w:after="180"/>
              <w:ind w:left="459" w:hanging="425"/>
              <w:textboxTightWrap w:val="lastLineOnly"/>
              <w:rPr>
                <w:b/>
              </w:rPr>
            </w:pPr>
            <w:permStart w:id="367295386" w:edGrp="everyone" w:colFirst="2" w:colLast="2"/>
            <w:permEnd w:id="1299594859"/>
          </w:p>
        </w:tc>
        <w:tc>
          <w:tcPr>
            <w:tcW w:w="2268" w:type="dxa"/>
          </w:tcPr>
          <w:p w14:paraId="22FCEC84" w14:textId="549B525B" w:rsidR="006B00E7" w:rsidRPr="00B36910" w:rsidRDefault="00B36910" w:rsidP="00B36910">
            <w:pPr>
              <w:spacing w:before="240"/>
              <w:ind w:left="34"/>
              <w:rPr>
                <w:b/>
              </w:rPr>
            </w:pPr>
            <w:r>
              <w:rPr>
                <w:b/>
              </w:rPr>
              <w:t>4.7</w:t>
            </w:r>
            <w:r w:rsidR="006B00E7" w:rsidRPr="00B36910">
              <w:rPr>
                <w:b/>
              </w:rPr>
              <w:t>Justification of confidence intervals / control limits used</w:t>
            </w:r>
          </w:p>
        </w:tc>
        <w:tc>
          <w:tcPr>
            <w:tcW w:w="6853" w:type="dxa"/>
          </w:tcPr>
          <w:p w14:paraId="5C0A4EF4" w14:textId="77777777" w:rsidR="006B00E7" w:rsidRPr="00B36910" w:rsidRDefault="006B00E7" w:rsidP="00B36910">
            <w:pPr>
              <w:spacing w:before="240"/>
            </w:pPr>
            <w:r w:rsidRPr="00B36910">
              <w:t>The preferred PHE confidence interval method for proportions is the Wilson Score method</w:t>
            </w:r>
            <w:r w:rsidRPr="00B36910">
              <w:rPr>
                <w:vertAlign w:val="superscript"/>
              </w:rPr>
              <w:t>8</w:t>
            </w:r>
            <w:r w:rsidRPr="00B36910">
              <w:t xml:space="preserve"> which has been evaluated and recommended by Newcombe and Altman</w:t>
            </w:r>
            <w:r w:rsidRPr="00B36910">
              <w:rPr>
                <w:vertAlign w:val="superscript"/>
              </w:rPr>
              <w:t>9;10</w:t>
            </w:r>
            <w:r w:rsidRPr="00B36910">
              <w:t>. It can be used with any data values and, unlike some methods, it does not fail to give an interval when the numerator count, and therefore the proportion, is zero</w:t>
            </w:r>
            <w:r w:rsidRPr="00B36910">
              <w:rPr>
                <w:vertAlign w:val="superscript"/>
              </w:rPr>
              <w:t>11</w:t>
            </w:r>
            <w:r w:rsidRPr="00B36910">
              <w:t>.</w:t>
            </w:r>
          </w:p>
          <w:p w14:paraId="1283E007" w14:textId="77777777" w:rsidR="006B00E7" w:rsidRPr="00B36910" w:rsidRDefault="006B00E7" w:rsidP="00B36910">
            <w:pPr>
              <w:spacing w:before="240"/>
              <w:rPr>
                <w:sz w:val="18"/>
                <w:szCs w:val="18"/>
              </w:rPr>
            </w:pPr>
            <w:r w:rsidRPr="00B36910">
              <w:rPr>
                <w:sz w:val="18"/>
                <w:szCs w:val="18"/>
              </w:rPr>
              <w:t>8. Wilson EB. Probable inference, the law of succession, and statistical inference. J Am Stat Assoc 1927.</w:t>
            </w:r>
          </w:p>
          <w:p w14:paraId="683629E8" w14:textId="77777777" w:rsidR="006B00E7" w:rsidRPr="00B36910" w:rsidRDefault="006B00E7" w:rsidP="00B36910">
            <w:pPr>
              <w:spacing w:before="240"/>
              <w:rPr>
                <w:sz w:val="18"/>
                <w:szCs w:val="18"/>
              </w:rPr>
            </w:pPr>
            <w:r w:rsidRPr="00B36910">
              <w:rPr>
                <w:sz w:val="18"/>
                <w:szCs w:val="18"/>
              </w:rPr>
              <w:t>9. Newcombe RG. Two-sided confidence intervals for the single proportion: comparison of seven methods. Stat Med 1998.</w:t>
            </w:r>
          </w:p>
          <w:p w14:paraId="00F2A06C" w14:textId="77777777" w:rsidR="006B00E7" w:rsidRPr="00B36910" w:rsidRDefault="006B00E7" w:rsidP="00B36910">
            <w:pPr>
              <w:spacing w:before="240"/>
              <w:rPr>
                <w:sz w:val="18"/>
                <w:szCs w:val="18"/>
              </w:rPr>
            </w:pPr>
            <w:r w:rsidRPr="00B36910">
              <w:rPr>
                <w:sz w:val="18"/>
                <w:szCs w:val="18"/>
              </w:rPr>
              <w:t xml:space="preserve">10. Newcombe RG, Altman DG. Proportions and their differences. In Altman DG et al. (eds). Statistics with confidence (2nd </w:t>
            </w:r>
            <w:proofErr w:type="spellStart"/>
            <w:r w:rsidRPr="00B36910">
              <w:rPr>
                <w:sz w:val="18"/>
                <w:szCs w:val="18"/>
              </w:rPr>
              <w:t>edn</w:t>
            </w:r>
            <w:proofErr w:type="spellEnd"/>
            <w:r w:rsidRPr="00B36910">
              <w:rPr>
                <w:sz w:val="18"/>
                <w:szCs w:val="18"/>
              </w:rPr>
              <w:t>). London: BMJ Books; 2000.</w:t>
            </w:r>
          </w:p>
          <w:p w14:paraId="7700FB5D" w14:textId="77777777" w:rsidR="006B00E7" w:rsidRPr="00B36910" w:rsidRDefault="006B00E7" w:rsidP="00B36910">
            <w:pPr>
              <w:spacing w:before="240"/>
            </w:pPr>
            <w:r w:rsidRPr="00B36910">
              <w:rPr>
                <w:sz w:val="18"/>
                <w:szCs w:val="18"/>
              </w:rPr>
              <w:t xml:space="preserve">11. </w:t>
            </w:r>
            <w:proofErr w:type="spellStart"/>
            <w:r w:rsidRPr="00B36910">
              <w:rPr>
                <w:sz w:val="18"/>
                <w:szCs w:val="18"/>
              </w:rPr>
              <w:t>Agresti</w:t>
            </w:r>
            <w:proofErr w:type="spellEnd"/>
            <w:r w:rsidRPr="00B36910">
              <w:rPr>
                <w:sz w:val="18"/>
                <w:szCs w:val="18"/>
              </w:rPr>
              <w:t xml:space="preserve"> A, </w:t>
            </w:r>
            <w:proofErr w:type="spellStart"/>
            <w:r w:rsidRPr="00B36910">
              <w:rPr>
                <w:sz w:val="18"/>
                <w:szCs w:val="18"/>
              </w:rPr>
              <w:t>Coull</w:t>
            </w:r>
            <w:proofErr w:type="spellEnd"/>
            <w:r w:rsidRPr="00B36910">
              <w:rPr>
                <w:sz w:val="18"/>
                <w:szCs w:val="18"/>
              </w:rPr>
              <w:t xml:space="preserve"> BA. Approximate is better than ‘exact’ for interval estimation of binomial proportions. Am Stat 1998</w:t>
            </w:r>
          </w:p>
        </w:tc>
      </w:tr>
    </w:tbl>
    <w:permEnd w:id="367295386"/>
    <w:p w14:paraId="3BF81B36" w14:textId="0A3F1C5A" w:rsidR="00B36910" w:rsidRDefault="00B36910">
      <w:r>
        <w:t>Section 5 Presentation and Interpretation</w:t>
      </w:r>
    </w:p>
    <w:p w14:paraId="32AEC5BA" w14:textId="03F8DB24" w:rsidR="00B36910" w:rsidRDefault="00B36910">
      <w:r>
        <w:t>Presentation</w:t>
      </w:r>
    </w:p>
    <w:tbl>
      <w:tblPr>
        <w:tblStyle w:val="TableGrid1"/>
        <w:tblW w:w="9353" w:type="dxa"/>
        <w:tblLayout w:type="fixed"/>
        <w:tblLook w:val="04A0" w:firstRow="1" w:lastRow="0" w:firstColumn="1" w:lastColumn="0" w:noHBand="0" w:noVBand="1"/>
      </w:tblPr>
      <w:tblGrid>
        <w:gridCol w:w="2500"/>
        <w:gridCol w:w="6853"/>
      </w:tblGrid>
      <w:tr w:rsidR="00B36910" w:rsidRPr="00B36910" w14:paraId="4231780D" w14:textId="77777777" w:rsidTr="00B36910">
        <w:tc>
          <w:tcPr>
            <w:tcW w:w="2500" w:type="dxa"/>
          </w:tcPr>
          <w:p w14:paraId="460074D5" w14:textId="046DC467" w:rsidR="00B36910" w:rsidRPr="00B36910" w:rsidRDefault="00B36910" w:rsidP="00B36910">
            <w:pPr>
              <w:spacing w:before="240"/>
              <w:ind w:left="34"/>
              <w:rPr>
                <w:b/>
              </w:rPr>
            </w:pPr>
            <w:permStart w:id="1798003560" w:edGrp="everyone" w:colFirst="2" w:colLast="2"/>
            <w:permStart w:id="1540977300" w:edGrp="everyone" w:colFirst="1" w:colLast="1"/>
            <w:r>
              <w:rPr>
                <w:b/>
              </w:rPr>
              <w:t xml:space="preserve">5.1 </w:t>
            </w:r>
            <w:r w:rsidRPr="00B36910">
              <w:rPr>
                <w:b/>
              </w:rPr>
              <w:t>Presentation of indicator</w:t>
            </w:r>
          </w:p>
        </w:tc>
        <w:tc>
          <w:tcPr>
            <w:tcW w:w="6853" w:type="dxa"/>
          </w:tcPr>
          <w:p w14:paraId="1A8EEB78" w14:textId="77777777" w:rsidR="00B36910" w:rsidRPr="00B36910" w:rsidRDefault="00B36910" w:rsidP="00B36910">
            <w:pPr>
              <w:spacing w:before="240"/>
            </w:pPr>
            <w:r w:rsidRPr="00B36910">
              <w:t xml:space="preserve">The indicator is presented on the HSCIC Indicator Portal in a consistent format to other CCG OIS indicators. It is accompanied by indicator specification and quality statement documents, which provide details of indicator construction, data quality, statistical methods and interpretation considerations </w:t>
            </w:r>
            <w:hyperlink r:id="rId22" w:history="1">
              <w:r w:rsidRPr="00B36910">
                <w:rPr>
                  <w:rStyle w:val="Hyperlink"/>
                  <w:color w:val="auto"/>
                </w:rPr>
                <w:t>http://indicators.ic.nhs.uk/webview</w:t>
              </w:r>
            </w:hyperlink>
            <w:r w:rsidRPr="00B36910">
              <w:t>.</w:t>
            </w:r>
          </w:p>
          <w:p w14:paraId="77EC1722" w14:textId="77777777" w:rsidR="00B36910" w:rsidRPr="00B36910" w:rsidRDefault="00B36910" w:rsidP="00B36910">
            <w:pPr>
              <w:spacing w:before="240"/>
            </w:pPr>
            <w:r w:rsidRPr="00B36910">
              <w:t>The data is presented with a detailed header including information on the statistic presented, the reporting period, level of coverage, publication date, data source, and any further notes to be aware of. The customer is also able to make use of drop-down filtering.</w:t>
            </w:r>
          </w:p>
          <w:p w14:paraId="31B9DBC9" w14:textId="77777777" w:rsidR="00B36910" w:rsidRPr="00B36910" w:rsidRDefault="00B36910" w:rsidP="00B36910">
            <w:pPr>
              <w:spacing w:before="240"/>
            </w:pPr>
          </w:p>
        </w:tc>
      </w:tr>
      <w:permEnd w:id="1540977300"/>
    </w:tbl>
    <w:p w14:paraId="633D0F50" w14:textId="38816ACC" w:rsidR="007B0C3E" w:rsidRDefault="007B0C3E"/>
    <w:tbl>
      <w:tblPr>
        <w:tblStyle w:val="TableGrid1"/>
        <w:tblW w:w="0" w:type="auto"/>
        <w:tblLayout w:type="fixed"/>
        <w:tblLook w:val="0020" w:firstRow="1" w:lastRow="0" w:firstColumn="0" w:lastColumn="0" w:noHBand="0" w:noVBand="0"/>
      </w:tblPr>
      <w:tblGrid>
        <w:gridCol w:w="3005"/>
        <w:gridCol w:w="3622"/>
      </w:tblGrid>
      <w:tr w:rsidR="007B0C3E" w:rsidRPr="00B36910" w14:paraId="03CF1579" w14:textId="77777777" w:rsidTr="007B0C3E">
        <w:trPr>
          <w:trHeight w:val="103"/>
        </w:trPr>
        <w:tc>
          <w:tcPr>
            <w:tcW w:w="3005" w:type="dxa"/>
          </w:tcPr>
          <w:p w14:paraId="655433C4" w14:textId="77777777" w:rsidR="007B0C3E" w:rsidRPr="00B36910" w:rsidRDefault="007B0C3E" w:rsidP="00B06C11">
            <w:r w:rsidRPr="00B36910">
              <w:rPr>
                <w:b/>
                <w:bCs/>
              </w:rPr>
              <w:t xml:space="preserve">Column name </w:t>
            </w:r>
          </w:p>
        </w:tc>
        <w:tc>
          <w:tcPr>
            <w:tcW w:w="3622" w:type="dxa"/>
          </w:tcPr>
          <w:p w14:paraId="6A52C150" w14:textId="77777777" w:rsidR="007B0C3E" w:rsidRPr="00B36910" w:rsidRDefault="007B0C3E" w:rsidP="00B06C11">
            <w:r w:rsidRPr="00B36910">
              <w:rPr>
                <w:b/>
                <w:bCs/>
              </w:rPr>
              <w:t xml:space="preserve">Output </w:t>
            </w:r>
          </w:p>
        </w:tc>
      </w:tr>
      <w:tr w:rsidR="007B0C3E" w:rsidRPr="00B36910" w14:paraId="38B5D1F4" w14:textId="77777777" w:rsidTr="007B0C3E">
        <w:trPr>
          <w:trHeight w:val="103"/>
        </w:trPr>
        <w:tc>
          <w:tcPr>
            <w:tcW w:w="3005" w:type="dxa"/>
          </w:tcPr>
          <w:p w14:paraId="3A777CA7" w14:textId="77777777" w:rsidR="007B0C3E" w:rsidRPr="00B36910" w:rsidRDefault="007B0C3E" w:rsidP="00B06C11">
            <w:r w:rsidRPr="00B36910">
              <w:t xml:space="preserve">Reporting period </w:t>
            </w:r>
          </w:p>
        </w:tc>
        <w:tc>
          <w:tcPr>
            <w:tcW w:w="3622" w:type="dxa"/>
          </w:tcPr>
          <w:p w14:paraId="14F5E744" w14:textId="77777777" w:rsidR="007B0C3E" w:rsidRPr="00B36910" w:rsidRDefault="007B0C3E" w:rsidP="00B06C11">
            <w:r w:rsidRPr="00B36910">
              <w:t xml:space="preserve">Financial year </w:t>
            </w:r>
          </w:p>
        </w:tc>
      </w:tr>
      <w:tr w:rsidR="007B0C3E" w:rsidRPr="00B36910" w14:paraId="6087CF00" w14:textId="77777777" w:rsidTr="007B0C3E">
        <w:trPr>
          <w:trHeight w:val="103"/>
        </w:trPr>
        <w:tc>
          <w:tcPr>
            <w:tcW w:w="3005" w:type="dxa"/>
          </w:tcPr>
          <w:p w14:paraId="32444499" w14:textId="77777777" w:rsidR="007B0C3E" w:rsidRPr="00B36910" w:rsidRDefault="007B0C3E" w:rsidP="00B06C11">
            <w:r w:rsidRPr="00B36910">
              <w:t xml:space="preserve">Breakdown </w:t>
            </w:r>
          </w:p>
        </w:tc>
        <w:tc>
          <w:tcPr>
            <w:tcW w:w="3622" w:type="dxa"/>
          </w:tcPr>
          <w:p w14:paraId="00087BF3" w14:textId="77777777" w:rsidR="007B0C3E" w:rsidRPr="00B36910" w:rsidRDefault="007B0C3E" w:rsidP="00B06C11">
            <w:r w:rsidRPr="00B36910">
              <w:t xml:space="preserve">England, CCG </w:t>
            </w:r>
          </w:p>
        </w:tc>
      </w:tr>
      <w:tr w:rsidR="007B0C3E" w:rsidRPr="00B36910" w14:paraId="04DA91EB" w14:textId="77777777" w:rsidTr="007B0C3E">
        <w:trPr>
          <w:trHeight w:val="103"/>
        </w:trPr>
        <w:tc>
          <w:tcPr>
            <w:tcW w:w="3005" w:type="dxa"/>
          </w:tcPr>
          <w:p w14:paraId="551D15E8" w14:textId="77777777" w:rsidR="007B0C3E" w:rsidRPr="00B36910" w:rsidRDefault="007B0C3E" w:rsidP="00B06C11">
            <w:r w:rsidRPr="00B36910">
              <w:t xml:space="preserve">Level </w:t>
            </w:r>
          </w:p>
        </w:tc>
        <w:tc>
          <w:tcPr>
            <w:tcW w:w="3622" w:type="dxa"/>
          </w:tcPr>
          <w:p w14:paraId="57DE43C4" w14:textId="77777777" w:rsidR="007B0C3E" w:rsidRPr="00B36910" w:rsidRDefault="007B0C3E" w:rsidP="00B06C11">
            <w:r w:rsidRPr="00B36910">
              <w:t xml:space="preserve">CCG Code </w:t>
            </w:r>
          </w:p>
        </w:tc>
      </w:tr>
      <w:tr w:rsidR="007B0C3E" w:rsidRPr="00B36910" w14:paraId="3E7F78E2" w14:textId="77777777" w:rsidTr="007B0C3E">
        <w:trPr>
          <w:trHeight w:val="103"/>
        </w:trPr>
        <w:tc>
          <w:tcPr>
            <w:tcW w:w="3005" w:type="dxa"/>
          </w:tcPr>
          <w:p w14:paraId="501CA46F" w14:textId="77777777" w:rsidR="007B0C3E" w:rsidRPr="00B36910" w:rsidRDefault="007B0C3E" w:rsidP="00B06C11">
            <w:r w:rsidRPr="00B36910">
              <w:t xml:space="preserve">Level description </w:t>
            </w:r>
          </w:p>
        </w:tc>
        <w:tc>
          <w:tcPr>
            <w:tcW w:w="3622" w:type="dxa"/>
          </w:tcPr>
          <w:p w14:paraId="75DD1BC6" w14:textId="77777777" w:rsidR="007B0C3E" w:rsidRPr="00B36910" w:rsidRDefault="007B0C3E" w:rsidP="00B06C11">
            <w:r w:rsidRPr="00B36910">
              <w:t xml:space="preserve">CCG Name </w:t>
            </w:r>
          </w:p>
        </w:tc>
      </w:tr>
      <w:tr w:rsidR="007B0C3E" w:rsidRPr="00B36910" w14:paraId="47383712" w14:textId="77777777" w:rsidTr="007B0C3E">
        <w:trPr>
          <w:trHeight w:val="103"/>
        </w:trPr>
        <w:tc>
          <w:tcPr>
            <w:tcW w:w="3005" w:type="dxa"/>
          </w:tcPr>
          <w:p w14:paraId="3B4D5CFB" w14:textId="77777777" w:rsidR="007B0C3E" w:rsidRPr="00B36910" w:rsidRDefault="007B0C3E" w:rsidP="00B06C11">
            <w:r w:rsidRPr="00B36910">
              <w:t>Percentage</w:t>
            </w:r>
          </w:p>
        </w:tc>
        <w:tc>
          <w:tcPr>
            <w:tcW w:w="3622" w:type="dxa"/>
          </w:tcPr>
          <w:p w14:paraId="21F4CBB9" w14:textId="77777777" w:rsidR="007B0C3E" w:rsidRPr="00B36910" w:rsidRDefault="007B0C3E" w:rsidP="00B06C11">
            <w:r w:rsidRPr="00B36910">
              <w:t>The indicator percentage calculation</w:t>
            </w:r>
          </w:p>
        </w:tc>
      </w:tr>
      <w:tr w:rsidR="007B0C3E" w:rsidRPr="00B36910" w14:paraId="46F36CD7" w14:textId="77777777" w:rsidTr="007B0C3E">
        <w:trPr>
          <w:trHeight w:val="103"/>
        </w:trPr>
        <w:tc>
          <w:tcPr>
            <w:tcW w:w="3005" w:type="dxa"/>
          </w:tcPr>
          <w:p w14:paraId="52A59696" w14:textId="77777777" w:rsidR="007B0C3E" w:rsidRPr="00B36910" w:rsidRDefault="007B0C3E" w:rsidP="00B06C11">
            <w:r w:rsidRPr="00B36910">
              <w:t xml:space="preserve">CI lower </w:t>
            </w:r>
          </w:p>
        </w:tc>
        <w:tc>
          <w:tcPr>
            <w:tcW w:w="3622" w:type="dxa"/>
          </w:tcPr>
          <w:p w14:paraId="358EEBA8" w14:textId="77777777" w:rsidR="007B0C3E" w:rsidRPr="00B36910" w:rsidRDefault="007B0C3E" w:rsidP="00B06C11">
            <w:r w:rsidRPr="00B36910">
              <w:t xml:space="preserve">Lower 95% confidence interval </w:t>
            </w:r>
          </w:p>
        </w:tc>
      </w:tr>
      <w:tr w:rsidR="007B0C3E" w:rsidRPr="00B36910" w14:paraId="7E0A93CF" w14:textId="77777777" w:rsidTr="007B0C3E">
        <w:trPr>
          <w:trHeight w:val="103"/>
        </w:trPr>
        <w:tc>
          <w:tcPr>
            <w:tcW w:w="3005" w:type="dxa"/>
          </w:tcPr>
          <w:p w14:paraId="03A341A9" w14:textId="77777777" w:rsidR="007B0C3E" w:rsidRPr="00B36910" w:rsidRDefault="007B0C3E" w:rsidP="00B06C11">
            <w:r w:rsidRPr="00B36910">
              <w:t xml:space="preserve">CI upper </w:t>
            </w:r>
          </w:p>
        </w:tc>
        <w:tc>
          <w:tcPr>
            <w:tcW w:w="3622" w:type="dxa"/>
          </w:tcPr>
          <w:p w14:paraId="291AA3CC" w14:textId="77777777" w:rsidR="007B0C3E" w:rsidRPr="00B36910" w:rsidRDefault="007B0C3E" w:rsidP="00B06C11">
            <w:r w:rsidRPr="00B36910">
              <w:t xml:space="preserve">Upper 95% confidence interval </w:t>
            </w:r>
          </w:p>
        </w:tc>
      </w:tr>
      <w:tr w:rsidR="007B0C3E" w:rsidRPr="00B36910" w14:paraId="33C1F977" w14:textId="77777777" w:rsidTr="007B0C3E">
        <w:trPr>
          <w:trHeight w:val="229"/>
        </w:trPr>
        <w:tc>
          <w:tcPr>
            <w:tcW w:w="3005" w:type="dxa"/>
          </w:tcPr>
          <w:p w14:paraId="76D57012" w14:textId="77777777" w:rsidR="007B0C3E" w:rsidRPr="00B36910" w:rsidRDefault="007B0C3E" w:rsidP="00B06C11">
            <w:r w:rsidRPr="00B36910">
              <w:t>Denominator</w:t>
            </w:r>
          </w:p>
        </w:tc>
        <w:tc>
          <w:tcPr>
            <w:tcW w:w="3622" w:type="dxa"/>
          </w:tcPr>
          <w:p w14:paraId="753956C0" w14:textId="77777777" w:rsidR="007B0C3E" w:rsidRPr="00B36910" w:rsidRDefault="007B0C3E" w:rsidP="00B06C11">
            <w:r w:rsidRPr="00B36910">
              <w:t>The number of eligible patients entered into the SSNAP audit with a primary diagnosis of acute stroke</w:t>
            </w:r>
          </w:p>
        </w:tc>
      </w:tr>
      <w:tr w:rsidR="007B0C3E" w:rsidRPr="00B36910" w14:paraId="3EB47CDF" w14:textId="77777777" w:rsidTr="007B0C3E">
        <w:trPr>
          <w:trHeight w:val="229"/>
        </w:trPr>
        <w:tc>
          <w:tcPr>
            <w:tcW w:w="3005" w:type="dxa"/>
          </w:tcPr>
          <w:p w14:paraId="338C0B7E" w14:textId="77777777" w:rsidR="007B0C3E" w:rsidRPr="00B36910" w:rsidRDefault="007B0C3E" w:rsidP="00B06C11">
            <w:r w:rsidRPr="00B36910">
              <w:t xml:space="preserve">Numerator </w:t>
            </w:r>
          </w:p>
        </w:tc>
        <w:tc>
          <w:tcPr>
            <w:tcW w:w="3622" w:type="dxa"/>
          </w:tcPr>
          <w:p w14:paraId="1EA1C2A2" w14:textId="77777777" w:rsidR="007B0C3E" w:rsidRPr="00B36910" w:rsidRDefault="007B0C3E" w:rsidP="00B06C11">
            <w:r w:rsidRPr="00B36910">
              <w:t>Of the denominator, the number of patients who spend 90% or more of their stay on a stroke unit.</w:t>
            </w:r>
          </w:p>
        </w:tc>
      </w:tr>
      <w:tr w:rsidR="007B0C3E" w:rsidRPr="00B36910" w14:paraId="53CCD85B" w14:textId="77777777" w:rsidTr="007B0C3E">
        <w:trPr>
          <w:trHeight w:val="229"/>
        </w:trPr>
        <w:tc>
          <w:tcPr>
            <w:tcW w:w="3005" w:type="dxa"/>
          </w:tcPr>
          <w:p w14:paraId="2D273D72" w14:textId="77777777" w:rsidR="007B0C3E" w:rsidRPr="00B36910" w:rsidRDefault="007B0C3E" w:rsidP="00B06C11">
            <w:r w:rsidRPr="00B36910">
              <w:t>Number of records in SSNAP (care delivered between 72hrs and discharge from inpatient care)</w:t>
            </w:r>
          </w:p>
        </w:tc>
        <w:tc>
          <w:tcPr>
            <w:tcW w:w="3622" w:type="dxa"/>
          </w:tcPr>
          <w:p w14:paraId="556D0E5D" w14:textId="77777777" w:rsidR="007B0C3E" w:rsidRPr="00B36910" w:rsidRDefault="007B0C3E" w:rsidP="00B06C11">
            <w:r w:rsidRPr="00B36910">
              <w:t>The number of cases in SSNAP for the ‘care delivered between 72hrs and discharge from inpatient care’ cohort of stroke patients</w:t>
            </w:r>
          </w:p>
        </w:tc>
      </w:tr>
      <w:tr w:rsidR="007B0C3E" w:rsidRPr="00B36910" w14:paraId="18D8360F" w14:textId="77777777" w:rsidTr="007B0C3E">
        <w:trPr>
          <w:trHeight w:val="103"/>
        </w:trPr>
        <w:tc>
          <w:tcPr>
            <w:tcW w:w="3005" w:type="dxa"/>
          </w:tcPr>
          <w:p w14:paraId="7494FB57" w14:textId="77777777" w:rsidR="007B0C3E" w:rsidRPr="00B36910" w:rsidRDefault="007B0C3E" w:rsidP="00B06C11">
            <w:r w:rsidRPr="00B36910">
              <w:t>Estimated expected number of patients (from HES)</w:t>
            </w:r>
          </w:p>
        </w:tc>
        <w:tc>
          <w:tcPr>
            <w:tcW w:w="3622" w:type="dxa"/>
          </w:tcPr>
          <w:p w14:paraId="127B221C" w14:textId="77777777" w:rsidR="007B0C3E" w:rsidRPr="00B36910" w:rsidRDefault="007B0C3E" w:rsidP="00B06C11">
            <w:r w:rsidRPr="00B36910">
              <w:t>The number of cases in HES</w:t>
            </w:r>
          </w:p>
        </w:tc>
      </w:tr>
      <w:tr w:rsidR="007B0C3E" w:rsidRPr="00B36910" w14:paraId="5BCA0FE3" w14:textId="77777777" w:rsidTr="007B0C3E">
        <w:trPr>
          <w:trHeight w:val="103"/>
        </w:trPr>
        <w:tc>
          <w:tcPr>
            <w:tcW w:w="3005" w:type="dxa"/>
          </w:tcPr>
          <w:p w14:paraId="399EA588" w14:textId="77777777" w:rsidR="007B0C3E" w:rsidRPr="00B36910" w:rsidRDefault="007B0C3E" w:rsidP="00B06C11">
            <w:r w:rsidRPr="00B36910">
              <w:t>Case ascertainment band</w:t>
            </w:r>
          </w:p>
        </w:tc>
        <w:tc>
          <w:tcPr>
            <w:tcW w:w="3622" w:type="dxa"/>
          </w:tcPr>
          <w:p w14:paraId="16412235" w14:textId="77777777" w:rsidR="007B0C3E" w:rsidRPr="00B36910" w:rsidRDefault="007B0C3E" w:rsidP="00B06C11">
            <w:r w:rsidRPr="00B36910">
              <w:t>Case ascertainment between SSNAP and HES</w:t>
            </w:r>
          </w:p>
        </w:tc>
      </w:tr>
    </w:tbl>
    <w:p w14:paraId="57EADBD1" w14:textId="7CCEE846" w:rsidR="007B0C3E" w:rsidRDefault="007B0C3E"/>
    <w:p w14:paraId="28B1BFCA" w14:textId="461773B0" w:rsidR="007B0C3E" w:rsidRDefault="007B0C3E"/>
    <w:p w14:paraId="0CBDEF79" w14:textId="6D98A1D6" w:rsidR="007B0C3E" w:rsidRDefault="007B0C3E"/>
    <w:p w14:paraId="13858761" w14:textId="04A758CD" w:rsidR="007B0C3E" w:rsidRDefault="007B0C3E"/>
    <w:p w14:paraId="23066BAB" w14:textId="77777777" w:rsidR="007B0C3E" w:rsidRDefault="007B0C3E"/>
    <w:tbl>
      <w:tblPr>
        <w:tblStyle w:val="TableGrid1"/>
        <w:tblW w:w="9353" w:type="dxa"/>
        <w:tblLayout w:type="fixed"/>
        <w:tblLook w:val="04A0" w:firstRow="1" w:lastRow="0" w:firstColumn="1" w:lastColumn="0" w:noHBand="0" w:noVBand="1"/>
      </w:tblPr>
      <w:tblGrid>
        <w:gridCol w:w="2500"/>
        <w:gridCol w:w="6853"/>
      </w:tblGrid>
      <w:tr w:rsidR="00B36910" w:rsidRPr="00B36910" w14:paraId="3932540A" w14:textId="77777777" w:rsidTr="00B36910">
        <w:tc>
          <w:tcPr>
            <w:tcW w:w="2500" w:type="dxa"/>
          </w:tcPr>
          <w:p w14:paraId="25205DAE" w14:textId="0E425CD2" w:rsidR="00B36910" w:rsidRPr="00B36910" w:rsidRDefault="00B36910" w:rsidP="00B36910">
            <w:pPr>
              <w:spacing w:before="240"/>
              <w:ind w:left="34"/>
              <w:rPr>
                <w:b/>
              </w:rPr>
            </w:pPr>
            <w:r>
              <w:rPr>
                <w:b/>
              </w:rPr>
              <w:t xml:space="preserve">5.2 </w:t>
            </w:r>
            <w:r w:rsidRPr="00B36910">
              <w:rPr>
                <w:b/>
              </w:rPr>
              <w:t>Contextual information provided alongside indicator</w:t>
            </w:r>
          </w:p>
          <w:p w14:paraId="65B6A843" w14:textId="77777777" w:rsidR="00B36910" w:rsidRPr="00B36910" w:rsidRDefault="00B36910" w:rsidP="00B36910">
            <w:pPr>
              <w:ind w:left="34"/>
            </w:pPr>
            <w:r w:rsidRPr="00B36910">
              <w:t>with justification</w:t>
            </w:r>
          </w:p>
        </w:tc>
        <w:tc>
          <w:tcPr>
            <w:tcW w:w="6853" w:type="dxa"/>
          </w:tcPr>
          <w:p w14:paraId="2B61FA31" w14:textId="77777777" w:rsidR="00B36910" w:rsidRPr="00B36910" w:rsidRDefault="00B36910" w:rsidP="00B36910">
            <w:pPr>
              <w:spacing w:before="240"/>
            </w:pPr>
            <w:r w:rsidRPr="00B36910">
              <w:t>Alongside the numerator, denominator and percentage, the number of records in SSNAP (care delivered within first 72hrs) is provided for each CCG as contextual information.</w:t>
            </w:r>
          </w:p>
          <w:p w14:paraId="68C7FA32" w14:textId="77777777" w:rsidR="00B36910" w:rsidRPr="00B36910" w:rsidRDefault="00B36910" w:rsidP="00B36910">
            <w:pPr>
              <w:spacing w:before="240"/>
            </w:pPr>
            <w:r w:rsidRPr="00B36910">
              <w:t>The indicator is published in the context of case ascertainment between SSNAP and HES. This is the proportion of patients per CCG with primary ICD-10 codes I61, I63 and I64 in HES who are included in SSNAP for the same time period. Case ascertainment is reported alongside the indicator for all CCGs to highlight audit coverage against HES. MRG requested this further analysis in the original assurance process.</w:t>
            </w:r>
          </w:p>
          <w:p w14:paraId="5AD64C8B" w14:textId="77777777" w:rsidR="00B36910" w:rsidRPr="00B36910" w:rsidRDefault="00B36910" w:rsidP="00B36910">
            <w:pPr>
              <w:spacing w:before="240"/>
            </w:pPr>
            <w:r w:rsidRPr="00B36910">
              <w:t>Case ascertainment is reported within the context of the ‘care delivered between 72hrs and discharge from inpatient care’ cohort of stroke patients for this indicator. The ‘Case ascertainment band’ column in the published output uses the following bandings:</w:t>
            </w:r>
          </w:p>
          <w:p w14:paraId="6A435E6A" w14:textId="77777777" w:rsidR="00B36910" w:rsidRPr="00B36910" w:rsidRDefault="00B36910" w:rsidP="006B00E7">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B36910">
              <w:rPr>
                <w:rFonts w:ascii="Arial" w:hAnsi="Arial" w:cs="Arial"/>
              </w:rPr>
              <w:t>90%+</w:t>
            </w:r>
          </w:p>
          <w:p w14:paraId="3589F441" w14:textId="77777777" w:rsidR="00B36910" w:rsidRPr="00B36910" w:rsidRDefault="00B36910" w:rsidP="006B00E7">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B36910">
              <w:rPr>
                <w:rFonts w:ascii="Arial" w:hAnsi="Arial" w:cs="Arial"/>
              </w:rPr>
              <w:t>80-89%</w:t>
            </w:r>
          </w:p>
          <w:p w14:paraId="086C4319" w14:textId="77777777" w:rsidR="00B36910" w:rsidRPr="00B36910" w:rsidRDefault="00B36910" w:rsidP="006B00E7">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B36910">
              <w:rPr>
                <w:rFonts w:ascii="Arial" w:hAnsi="Arial" w:cs="Arial"/>
              </w:rPr>
              <w:t>70-79%</w:t>
            </w:r>
          </w:p>
          <w:p w14:paraId="3C56D59F" w14:textId="77777777" w:rsidR="00B36910" w:rsidRPr="00B36910" w:rsidRDefault="00B36910" w:rsidP="006B00E7">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B36910">
              <w:rPr>
                <w:rFonts w:ascii="Arial" w:hAnsi="Arial" w:cs="Arial"/>
              </w:rPr>
              <w:t>50-69%</w:t>
            </w:r>
          </w:p>
          <w:p w14:paraId="6A4E0FCC" w14:textId="77777777" w:rsidR="00B36910" w:rsidRPr="00B36910" w:rsidRDefault="00B36910" w:rsidP="006B00E7">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B36910">
              <w:rPr>
                <w:rFonts w:ascii="Arial" w:hAnsi="Arial" w:cs="Arial"/>
              </w:rPr>
              <w:t>Less than 50%</w:t>
            </w:r>
          </w:p>
          <w:p w14:paraId="4FC0F98C" w14:textId="77777777" w:rsidR="00B36910" w:rsidRPr="00B36910" w:rsidRDefault="00B36910" w:rsidP="00B36910">
            <w:pPr>
              <w:spacing w:before="120" w:after="120"/>
            </w:pPr>
            <w:r w:rsidRPr="00B36910">
              <w:t>The indicator is not reported for any CCGs with lower than 50% case ascertainment or for those with fewer than 20 patients.</w:t>
            </w:r>
          </w:p>
        </w:tc>
      </w:tr>
      <w:tr w:rsidR="00B36910" w:rsidRPr="00B36910" w14:paraId="789D97C1" w14:textId="77777777" w:rsidTr="00B36910">
        <w:tc>
          <w:tcPr>
            <w:tcW w:w="2500" w:type="dxa"/>
          </w:tcPr>
          <w:p w14:paraId="4C3BA654" w14:textId="163B7BC7" w:rsidR="00B36910" w:rsidRPr="00B36910" w:rsidRDefault="00B36910" w:rsidP="00B36910">
            <w:pPr>
              <w:spacing w:before="240"/>
              <w:ind w:left="34"/>
              <w:rPr>
                <w:b/>
              </w:rPr>
            </w:pPr>
            <w:permStart w:id="1799298132" w:edGrp="everyone" w:colFirst="1" w:colLast="1"/>
            <w:permEnd w:id="1798003560"/>
            <w:r>
              <w:rPr>
                <w:b/>
              </w:rPr>
              <w:t xml:space="preserve">5.3 </w:t>
            </w:r>
            <w:r w:rsidRPr="00B36910">
              <w:rPr>
                <w:b/>
              </w:rPr>
              <w:t>Calculation and data source of contextual information</w:t>
            </w:r>
          </w:p>
        </w:tc>
        <w:tc>
          <w:tcPr>
            <w:tcW w:w="6853" w:type="dxa"/>
          </w:tcPr>
          <w:p w14:paraId="2768C014" w14:textId="77777777" w:rsidR="00B36910" w:rsidRPr="00B36910" w:rsidRDefault="00B36910" w:rsidP="00B36910">
            <w:pPr>
              <w:spacing w:before="240"/>
            </w:pPr>
            <w:r w:rsidRPr="00B36910">
              <w:t>The contextual information is sourced from the SSNAP and provided by the RCP.</w:t>
            </w:r>
          </w:p>
        </w:tc>
      </w:tr>
      <w:tr w:rsidR="00B36910" w:rsidRPr="00B36910" w14:paraId="17DBD2B0" w14:textId="77777777" w:rsidTr="00B36910">
        <w:tc>
          <w:tcPr>
            <w:tcW w:w="2500" w:type="dxa"/>
          </w:tcPr>
          <w:p w14:paraId="64CC400A" w14:textId="1414A2F4" w:rsidR="00B36910" w:rsidRPr="00B36910" w:rsidRDefault="00B36910" w:rsidP="00B36910">
            <w:pPr>
              <w:spacing w:before="240"/>
              <w:ind w:left="34"/>
              <w:rPr>
                <w:b/>
              </w:rPr>
            </w:pPr>
            <w:permStart w:id="145824482" w:edGrp="everyone" w:colFirst="1" w:colLast="1"/>
            <w:permEnd w:id="1799298132"/>
            <w:r>
              <w:rPr>
                <w:b/>
              </w:rPr>
              <w:t xml:space="preserve">5.4 </w:t>
            </w:r>
            <w:r w:rsidRPr="00B36910">
              <w:rPr>
                <w:b/>
              </w:rPr>
              <w:t>Use of bandings, benchmarks or targets</w:t>
            </w:r>
          </w:p>
          <w:p w14:paraId="0AC1AD7B" w14:textId="77777777" w:rsidR="00B36910" w:rsidRPr="00B36910" w:rsidRDefault="00B36910" w:rsidP="00B36910">
            <w:pPr>
              <w:ind w:left="34"/>
            </w:pPr>
            <w:r w:rsidRPr="00B36910">
              <w:t>with justification</w:t>
            </w:r>
          </w:p>
        </w:tc>
        <w:tc>
          <w:tcPr>
            <w:tcW w:w="6853" w:type="dxa"/>
          </w:tcPr>
          <w:p w14:paraId="43290619" w14:textId="77777777" w:rsidR="00B36910" w:rsidRPr="00B36910" w:rsidRDefault="00B36910" w:rsidP="00B36910">
            <w:pPr>
              <w:spacing w:before="240"/>
            </w:pPr>
            <w:r w:rsidRPr="00B36910">
              <w:t>None. If a CCG believes their figure to be disproportionately low, the factors contributing to this can be investigated and appropriate action can be taken.</w:t>
            </w:r>
          </w:p>
        </w:tc>
      </w:tr>
      <w:tr w:rsidR="00B36910" w:rsidRPr="00B36910" w14:paraId="610A55AB" w14:textId="77777777" w:rsidTr="00B36910">
        <w:tc>
          <w:tcPr>
            <w:tcW w:w="2500" w:type="dxa"/>
          </w:tcPr>
          <w:p w14:paraId="7A82E900" w14:textId="4AE100DC" w:rsidR="00B36910" w:rsidRPr="00B36910" w:rsidRDefault="00B36910" w:rsidP="00B36910">
            <w:pPr>
              <w:spacing w:before="240"/>
              <w:ind w:left="34"/>
              <w:rPr>
                <w:b/>
              </w:rPr>
            </w:pPr>
            <w:permStart w:id="1553016766" w:edGrp="everyone" w:colFirst="1" w:colLast="1"/>
            <w:permEnd w:id="145824482"/>
            <w:r>
              <w:rPr>
                <w:b/>
              </w:rPr>
              <w:t xml:space="preserve">5.5 </w:t>
            </w:r>
            <w:r w:rsidRPr="00B36910">
              <w:rPr>
                <w:b/>
              </w:rPr>
              <w:t>Banding, benchmark or target methodology</w:t>
            </w:r>
          </w:p>
          <w:p w14:paraId="0B31AE0C" w14:textId="77777777" w:rsidR="00B36910" w:rsidRPr="00B36910" w:rsidRDefault="00B36910" w:rsidP="00B36910">
            <w:pPr>
              <w:spacing w:before="240"/>
              <w:ind w:left="34"/>
            </w:pPr>
            <w:r w:rsidRPr="00B36910">
              <w:t>if appropriate</w:t>
            </w:r>
          </w:p>
        </w:tc>
        <w:tc>
          <w:tcPr>
            <w:tcW w:w="6853" w:type="dxa"/>
          </w:tcPr>
          <w:p w14:paraId="0BEEBE61" w14:textId="77777777" w:rsidR="00B36910" w:rsidRPr="00B36910" w:rsidRDefault="00B36910" w:rsidP="00B36910">
            <w:pPr>
              <w:spacing w:before="240"/>
            </w:pPr>
            <w:r w:rsidRPr="00B36910">
              <w:t>N/A</w:t>
            </w:r>
          </w:p>
        </w:tc>
      </w:tr>
    </w:tbl>
    <w:permEnd w:id="1553016766"/>
    <w:p w14:paraId="0E4C9012" w14:textId="114C2EDE" w:rsidR="00B36910" w:rsidRDefault="00B36910">
      <w:r>
        <w:t>Interpretation</w:t>
      </w:r>
    </w:p>
    <w:tbl>
      <w:tblPr>
        <w:tblStyle w:val="TableGrid1"/>
        <w:tblW w:w="9920" w:type="dxa"/>
        <w:tblLayout w:type="fixed"/>
        <w:tblLook w:val="04A0" w:firstRow="1" w:lastRow="0" w:firstColumn="1" w:lastColumn="0" w:noHBand="0" w:noVBand="1"/>
      </w:tblPr>
      <w:tblGrid>
        <w:gridCol w:w="567"/>
        <w:gridCol w:w="2500"/>
        <w:gridCol w:w="6853"/>
      </w:tblGrid>
      <w:tr w:rsidR="00B36910" w:rsidRPr="00B36910" w14:paraId="12D813BD" w14:textId="77777777" w:rsidTr="00B36910">
        <w:tc>
          <w:tcPr>
            <w:tcW w:w="567" w:type="dxa"/>
          </w:tcPr>
          <w:p w14:paraId="12BFC47A" w14:textId="77777777" w:rsidR="006B00E7" w:rsidRPr="00B36910" w:rsidRDefault="006B00E7" w:rsidP="006B00E7">
            <w:pPr>
              <w:numPr>
                <w:ilvl w:val="1"/>
                <w:numId w:val="9"/>
              </w:numPr>
              <w:spacing w:before="240" w:after="180"/>
              <w:ind w:left="459" w:hanging="425"/>
              <w:textboxTightWrap w:val="lastLineOnly"/>
              <w:rPr>
                <w:b/>
              </w:rPr>
            </w:pPr>
            <w:permStart w:id="2085383808" w:edGrp="everyone" w:colFirst="2" w:colLast="2"/>
            <w:permStart w:id="364199993" w:edGrp="everyone" w:colFirst="2" w:colLast="2"/>
          </w:p>
        </w:tc>
        <w:tc>
          <w:tcPr>
            <w:tcW w:w="2500" w:type="dxa"/>
          </w:tcPr>
          <w:p w14:paraId="61E13F87" w14:textId="38211A91" w:rsidR="006B00E7" w:rsidRPr="00B36910" w:rsidRDefault="00B36910" w:rsidP="00B36910">
            <w:pPr>
              <w:spacing w:before="240"/>
              <w:ind w:left="34"/>
              <w:rPr>
                <w:b/>
              </w:rPr>
            </w:pPr>
            <w:r>
              <w:rPr>
                <w:b/>
              </w:rPr>
              <w:t xml:space="preserve">5.6 </w:t>
            </w:r>
            <w:r w:rsidR="006B00E7" w:rsidRPr="00B36910">
              <w:rPr>
                <w:b/>
              </w:rPr>
              <w:t>Interpretation guidelines</w:t>
            </w:r>
          </w:p>
        </w:tc>
        <w:tc>
          <w:tcPr>
            <w:tcW w:w="6853" w:type="dxa"/>
          </w:tcPr>
          <w:p w14:paraId="194F1BA0" w14:textId="77777777" w:rsidR="006B00E7" w:rsidRPr="00B36910" w:rsidRDefault="006B00E7" w:rsidP="00B36910">
            <w:pPr>
              <w:spacing w:before="240"/>
            </w:pPr>
            <w:r w:rsidRPr="00B36910">
              <w:t>A high percentage of stroke patients entered into the SSNAP audit with a primary diagnosis of acute stroke who spend 90% or more of their stay on a stroke unit is desirable.</w:t>
            </w:r>
          </w:p>
          <w:p w14:paraId="0AE38D17" w14:textId="77777777" w:rsidR="006B00E7" w:rsidRPr="00B36910" w:rsidRDefault="006B00E7" w:rsidP="00B36910">
            <w:pPr>
              <w:spacing w:before="240"/>
            </w:pPr>
            <w:r w:rsidRPr="00B36910">
              <w:t xml:space="preserve">This indicator acknowledges that for a small percentage of </w:t>
            </w:r>
            <w:proofErr w:type="gramStart"/>
            <w:r w:rsidRPr="00B36910">
              <w:t>patients</w:t>
            </w:r>
            <w:proofErr w:type="gramEnd"/>
            <w:r w:rsidRPr="00B36910">
              <w:t xml:space="preserve"> direct admission to a stroke unit is not appropriate. It differentiates between those who go to an acceptable other location (i.e. people transferred to intensive care are excluded from the indicator) compared to a ‘</w:t>
            </w:r>
            <w:proofErr w:type="gramStart"/>
            <w:r w:rsidRPr="00B36910">
              <w:t>non acceptable</w:t>
            </w:r>
            <w:proofErr w:type="gramEnd"/>
            <w:r w:rsidRPr="00B36910">
              <w:t>’ location (e.g. generic admissions unit).</w:t>
            </w:r>
          </w:p>
          <w:p w14:paraId="56A8552A" w14:textId="77777777" w:rsidR="006B00E7" w:rsidRPr="00B36910" w:rsidRDefault="006B00E7" w:rsidP="00B36910">
            <w:pPr>
              <w:spacing w:before="240"/>
            </w:pPr>
            <w:r w:rsidRPr="00B36910">
              <w:t>This indicator requires careful interpretation and should not be viewed in isolation but instead be considered alongside information from other indicators and alternative sources, such as CCG OIS 3.5 (People with stroke admitted to an acute stroke unit within 4 hours of arrival to hospital) and the CCG level SSNAP stroke unit key indicators. When evaluated together, these will help to provide a holistic view of CCG outcomes and provide a more complete overview of the impact of the CCGs’ processes on outcomes.</w:t>
            </w:r>
          </w:p>
        </w:tc>
      </w:tr>
      <w:tr w:rsidR="00B36910" w:rsidRPr="00B36910" w14:paraId="6A85871E" w14:textId="77777777" w:rsidTr="00B36910">
        <w:tc>
          <w:tcPr>
            <w:tcW w:w="567" w:type="dxa"/>
          </w:tcPr>
          <w:p w14:paraId="0679E738" w14:textId="77777777" w:rsidR="006B00E7" w:rsidRPr="00B36910" w:rsidRDefault="006B00E7" w:rsidP="006B00E7">
            <w:pPr>
              <w:numPr>
                <w:ilvl w:val="1"/>
                <w:numId w:val="9"/>
              </w:numPr>
              <w:spacing w:before="240" w:after="180"/>
              <w:ind w:left="459" w:hanging="425"/>
              <w:textboxTightWrap w:val="lastLineOnly"/>
              <w:rPr>
                <w:b/>
              </w:rPr>
            </w:pPr>
            <w:permStart w:id="602211919" w:edGrp="everyone" w:colFirst="2" w:colLast="2"/>
            <w:permEnd w:id="2085383808"/>
          </w:p>
        </w:tc>
        <w:tc>
          <w:tcPr>
            <w:tcW w:w="2500" w:type="dxa"/>
          </w:tcPr>
          <w:p w14:paraId="0DA8139B" w14:textId="305CE6B3" w:rsidR="006B00E7" w:rsidRPr="00B36910" w:rsidRDefault="00B36910" w:rsidP="00B36910">
            <w:pPr>
              <w:spacing w:before="240"/>
              <w:ind w:left="34"/>
              <w:rPr>
                <w:b/>
              </w:rPr>
            </w:pPr>
            <w:r>
              <w:rPr>
                <w:b/>
              </w:rPr>
              <w:t>5.7</w:t>
            </w:r>
            <w:r w:rsidR="006B00E7" w:rsidRPr="00B36910">
              <w:rPr>
                <w:b/>
              </w:rPr>
              <w:t>Limitations and potential bias</w:t>
            </w:r>
          </w:p>
        </w:tc>
        <w:tc>
          <w:tcPr>
            <w:tcW w:w="6853" w:type="dxa"/>
          </w:tcPr>
          <w:p w14:paraId="0404E6FF" w14:textId="77777777" w:rsidR="006B00E7" w:rsidRPr="00B36910" w:rsidRDefault="006B00E7" w:rsidP="00B36910">
            <w:pPr>
              <w:spacing w:before="240"/>
            </w:pPr>
            <w:r w:rsidRPr="00B36910">
              <w:t>The patterns of providing care may vary between organisations in terms of hospital inpatient admission practices and policies.</w:t>
            </w:r>
          </w:p>
          <w:p w14:paraId="4B1E7544" w14:textId="77777777" w:rsidR="006B00E7" w:rsidRPr="00B36910" w:rsidRDefault="006B00E7" w:rsidP="00B36910">
            <w:pPr>
              <w:spacing w:before="240"/>
            </w:pPr>
            <w:r w:rsidRPr="00B36910">
              <w:t>There may be variation in the prevalence of stroke due to differing levels of deprivation, for other geo-demographic reasons or between patients of different ethnic heritages.</w:t>
            </w:r>
          </w:p>
        </w:tc>
      </w:tr>
      <w:tr w:rsidR="00B36910" w:rsidRPr="00B36910" w14:paraId="0163AD15" w14:textId="77777777" w:rsidTr="00B36910">
        <w:tc>
          <w:tcPr>
            <w:tcW w:w="567" w:type="dxa"/>
          </w:tcPr>
          <w:p w14:paraId="1F9D8CCD" w14:textId="77777777" w:rsidR="006B00E7" w:rsidRPr="00B36910" w:rsidRDefault="006B00E7" w:rsidP="006B00E7">
            <w:pPr>
              <w:numPr>
                <w:ilvl w:val="1"/>
                <w:numId w:val="9"/>
              </w:numPr>
              <w:spacing w:before="240" w:after="180"/>
              <w:ind w:left="459" w:hanging="425"/>
              <w:textboxTightWrap w:val="lastLineOnly"/>
              <w:rPr>
                <w:b/>
              </w:rPr>
            </w:pPr>
            <w:permStart w:id="198784583" w:edGrp="everyone" w:colFirst="2" w:colLast="2"/>
            <w:permEnd w:id="602211919"/>
          </w:p>
        </w:tc>
        <w:tc>
          <w:tcPr>
            <w:tcW w:w="2500" w:type="dxa"/>
          </w:tcPr>
          <w:p w14:paraId="7A2F5475" w14:textId="707D247A" w:rsidR="006B00E7" w:rsidRPr="00B36910" w:rsidRDefault="00B36910" w:rsidP="00B36910">
            <w:pPr>
              <w:spacing w:before="240"/>
              <w:ind w:left="34"/>
              <w:rPr>
                <w:b/>
              </w:rPr>
            </w:pPr>
            <w:r>
              <w:rPr>
                <w:b/>
              </w:rPr>
              <w:t xml:space="preserve">5.8 </w:t>
            </w:r>
            <w:r w:rsidR="006B00E7" w:rsidRPr="00B36910">
              <w:rPr>
                <w:b/>
              </w:rPr>
              <w:t>Improvement actions</w:t>
            </w:r>
          </w:p>
        </w:tc>
        <w:tc>
          <w:tcPr>
            <w:tcW w:w="6853" w:type="dxa"/>
          </w:tcPr>
          <w:p w14:paraId="04C8115B" w14:textId="77777777" w:rsidR="006B00E7" w:rsidRPr="00B36910" w:rsidRDefault="006B00E7" w:rsidP="00B36910">
            <w:pPr>
              <w:spacing w:before="240"/>
            </w:pPr>
            <w:r w:rsidRPr="00B36910">
              <w:t>It is expected that CCGs will use this indicator to identify improvements in care and how they can be delivered.</w:t>
            </w:r>
          </w:p>
          <w:p w14:paraId="0A4E857C" w14:textId="77777777" w:rsidR="006B00E7" w:rsidRPr="00B36910" w:rsidRDefault="006B00E7" w:rsidP="00B36910">
            <w:pPr>
              <w:spacing w:before="240"/>
            </w:pPr>
            <w:r w:rsidRPr="00B36910">
              <w:t>Improvements could be made by enhancing aspects of the services CCGs commission for patients. This could come in the form of better recognition and assessment of the symptoms of stroke, particularly for those already in hospital, and an established process to transfer those people to a stroke unit in a timely manner.</w:t>
            </w:r>
          </w:p>
        </w:tc>
      </w:tr>
      <w:permEnd w:id="198784583"/>
      <w:tr w:rsidR="00B36910" w:rsidRPr="00B36910" w14:paraId="7BEAA945" w14:textId="77777777" w:rsidTr="00B36910">
        <w:trPr>
          <w:trHeight w:val="4527"/>
        </w:trPr>
        <w:tc>
          <w:tcPr>
            <w:tcW w:w="567" w:type="dxa"/>
          </w:tcPr>
          <w:p w14:paraId="67F3B998" w14:textId="77777777" w:rsidR="006B00E7" w:rsidRPr="00B36910" w:rsidRDefault="006B00E7" w:rsidP="006B00E7">
            <w:pPr>
              <w:numPr>
                <w:ilvl w:val="1"/>
                <w:numId w:val="9"/>
              </w:numPr>
              <w:spacing w:before="240" w:after="180"/>
              <w:ind w:left="459" w:hanging="425"/>
              <w:textboxTightWrap w:val="lastLineOnly"/>
              <w:rPr>
                <w:b/>
              </w:rPr>
            </w:pPr>
          </w:p>
        </w:tc>
        <w:tc>
          <w:tcPr>
            <w:tcW w:w="2500" w:type="dxa"/>
          </w:tcPr>
          <w:p w14:paraId="0C23FA8D" w14:textId="65CB3DCB" w:rsidR="006B00E7" w:rsidRPr="00B36910" w:rsidRDefault="00B36910" w:rsidP="00B36910">
            <w:pPr>
              <w:spacing w:before="240"/>
              <w:ind w:left="34"/>
              <w:rPr>
                <w:b/>
              </w:rPr>
            </w:pPr>
            <w:r>
              <w:rPr>
                <w:b/>
              </w:rPr>
              <w:t xml:space="preserve">5.9 </w:t>
            </w:r>
            <w:r w:rsidR="006B00E7" w:rsidRPr="00B36910">
              <w:rPr>
                <w:b/>
              </w:rPr>
              <w:t>Evidence of variability</w:t>
            </w:r>
          </w:p>
        </w:tc>
        <w:tc>
          <w:tcPr>
            <w:tcW w:w="6853" w:type="dxa"/>
          </w:tcPr>
          <w:p w14:paraId="5B4FBB9A" w14:textId="77777777" w:rsidR="006B00E7" w:rsidRPr="00B36910" w:rsidRDefault="006B00E7" w:rsidP="00B36910">
            <w:pPr>
              <w:spacing w:before="240"/>
            </w:pPr>
            <w:r w:rsidRPr="00B36910">
              <w:t xml:space="preserve">The data within this section is taken from the December 2014 CCG OIS publication. </w:t>
            </w:r>
          </w:p>
          <w:p w14:paraId="1CDCEE9F" w14:textId="77777777" w:rsidR="006B00E7" w:rsidRPr="00B36910" w:rsidRDefault="006B00E7" w:rsidP="00B36910">
            <w:pPr>
              <w:spacing w:before="240"/>
            </w:pPr>
            <w:r w:rsidRPr="00B36910">
              <w:t>During the financial year 2013/14 there were 62,703 patients entered into SSNAP with a primary diagnosis of stroke (excluding those whose first ward of admission was ITU, CCU or HDU and those who died on the same day as arrival/onset of symptoms). Of these, 52,427 spent 90% or more of their stay on a stroke unit.</w:t>
            </w:r>
          </w:p>
          <w:p w14:paraId="62BAFDE9" w14:textId="77777777" w:rsidR="006B00E7" w:rsidRPr="00B36910" w:rsidRDefault="006B00E7" w:rsidP="00B36910">
            <w:pPr>
              <w:spacing w:before="240"/>
            </w:pPr>
            <w:r w:rsidRPr="00B36910">
              <w:t>The data below shows the ten CCGs with the lowest and the ten CCGs with the highest percentages in 2013/14. 18 CCGs have been suppressed due to insufficient case ascertainment between SSNAP and HES and are not included within the data below.</w:t>
            </w:r>
          </w:p>
          <w:p w14:paraId="6A4BE059" w14:textId="46E20919" w:rsidR="006B00E7" w:rsidRPr="00B36910" w:rsidRDefault="006B00E7" w:rsidP="00B36910">
            <w:pPr>
              <w:spacing w:before="240"/>
            </w:pPr>
          </w:p>
        </w:tc>
      </w:tr>
      <w:permEnd w:id="364199993"/>
    </w:tbl>
    <w:p w14:paraId="61FF55A8" w14:textId="77777777" w:rsidR="007B0C3E" w:rsidRDefault="007B0C3E"/>
    <w:tbl>
      <w:tblPr>
        <w:tblStyle w:val="TableGrid"/>
        <w:tblW w:w="6601" w:type="dxa"/>
        <w:tblLayout w:type="fixed"/>
        <w:tblLook w:val="04A0" w:firstRow="1" w:lastRow="0" w:firstColumn="1" w:lastColumn="0" w:noHBand="0" w:noVBand="1"/>
      </w:tblPr>
      <w:tblGrid>
        <w:gridCol w:w="839"/>
        <w:gridCol w:w="528"/>
        <w:gridCol w:w="759"/>
        <w:gridCol w:w="759"/>
        <w:gridCol w:w="608"/>
        <w:gridCol w:w="572"/>
        <w:gridCol w:w="857"/>
        <w:gridCol w:w="857"/>
        <w:gridCol w:w="822"/>
      </w:tblGrid>
      <w:tr w:rsidR="007B0C3E" w:rsidRPr="00B36910" w14:paraId="1E9C0241" w14:textId="77777777" w:rsidTr="00B06C11">
        <w:trPr>
          <w:trHeight w:val="480"/>
        </w:trPr>
        <w:tc>
          <w:tcPr>
            <w:tcW w:w="839" w:type="dxa"/>
          </w:tcPr>
          <w:p w14:paraId="58AF3E07" w14:textId="77777777" w:rsidR="007B0C3E" w:rsidRPr="00B36910" w:rsidRDefault="007B0C3E" w:rsidP="00B06C11">
            <w:pPr>
              <w:jc w:val="center"/>
              <w:rPr>
                <w:b/>
                <w:bCs/>
                <w:sz w:val="16"/>
                <w:szCs w:val="16"/>
              </w:rPr>
            </w:pPr>
            <w:r w:rsidRPr="00B36910">
              <w:rPr>
                <w:b/>
                <w:bCs/>
                <w:sz w:val="16"/>
                <w:szCs w:val="16"/>
              </w:rPr>
              <w:t>CCG</w:t>
            </w:r>
          </w:p>
        </w:tc>
        <w:tc>
          <w:tcPr>
            <w:tcW w:w="528" w:type="dxa"/>
          </w:tcPr>
          <w:p w14:paraId="55EB76A5" w14:textId="77777777" w:rsidR="007B0C3E" w:rsidRPr="00B36910" w:rsidRDefault="007B0C3E" w:rsidP="00B06C11">
            <w:pPr>
              <w:jc w:val="center"/>
              <w:rPr>
                <w:b/>
                <w:bCs/>
                <w:sz w:val="16"/>
                <w:szCs w:val="16"/>
              </w:rPr>
            </w:pPr>
            <w:r w:rsidRPr="00B36910">
              <w:rPr>
                <w:b/>
                <w:bCs/>
                <w:sz w:val="16"/>
                <w:szCs w:val="16"/>
              </w:rPr>
              <w:t>%</w:t>
            </w:r>
          </w:p>
        </w:tc>
        <w:tc>
          <w:tcPr>
            <w:tcW w:w="759" w:type="dxa"/>
          </w:tcPr>
          <w:p w14:paraId="45338B8E" w14:textId="77777777" w:rsidR="007B0C3E" w:rsidRPr="00B36910" w:rsidRDefault="007B0C3E" w:rsidP="00B06C11">
            <w:pPr>
              <w:jc w:val="center"/>
              <w:rPr>
                <w:b/>
                <w:bCs/>
                <w:sz w:val="16"/>
                <w:szCs w:val="16"/>
              </w:rPr>
            </w:pPr>
            <w:r w:rsidRPr="00B36910">
              <w:rPr>
                <w:b/>
                <w:bCs/>
                <w:sz w:val="16"/>
                <w:szCs w:val="16"/>
              </w:rPr>
              <w:t>LCI</w:t>
            </w:r>
          </w:p>
        </w:tc>
        <w:tc>
          <w:tcPr>
            <w:tcW w:w="759" w:type="dxa"/>
          </w:tcPr>
          <w:p w14:paraId="657DAAD7" w14:textId="77777777" w:rsidR="007B0C3E" w:rsidRPr="00B36910" w:rsidRDefault="007B0C3E" w:rsidP="00B06C11">
            <w:pPr>
              <w:jc w:val="center"/>
              <w:rPr>
                <w:b/>
                <w:bCs/>
                <w:sz w:val="16"/>
                <w:szCs w:val="16"/>
              </w:rPr>
            </w:pPr>
            <w:r w:rsidRPr="00B36910">
              <w:rPr>
                <w:b/>
                <w:bCs/>
                <w:sz w:val="16"/>
                <w:szCs w:val="16"/>
              </w:rPr>
              <w:t>UCI</w:t>
            </w:r>
          </w:p>
        </w:tc>
        <w:tc>
          <w:tcPr>
            <w:tcW w:w="608" w:type="dxa"/>
          </w:tcPr>
          <w:p w14:paraId="210FD54C" w14:textId="77777777" w:rsidR="007B0C3E" w:rsidRPr="00B36910" w:rsidRDefault="007B0C3E" w:rsidP="00B06C11">
            <w:pPr>
              <w:jc w:val="center"/>
              <w:rPr>
                <w:b/>
                <w:bCs/>
                <w:sz w:val="16"/>
                <w:szCs w:val="16"/>
              </w:rPr>
            </w:pPr>
            <w:r w:rsidRPr="00B36910">
              <w:rPr>
                <w:b/>
                <w:bCs/>
                <w:sz w:val="16"/>
                <w:szCs w:val="16"/>
              </w:rPr>
              <w:t>Den</w:t>
            </w:r>
          </w:p>
        </w:tc>
        <w:tc>
          <w:tcPr>
            <w:tcW w:w="572" w:type="dxa"/>
          </w:tcPr>
          <w:p w14:paraId="77767A41" w14:textId="77777777" w:rsidR="007B0C3E" w:rsidRPr="00B36910" w:rsidRDefault="007B0C3E" w:rsidP="00B06C11">
            <w:pPr>
              <w:jc w:val="center"/>
              <w:rPr>
                <w:b/>
                <w:bCs/>
                <w:sz w:val="16"/>
                <w:szCs w:val="16"/>
              </w:rPr>
            </w:pPr>
            <w:proofErr w:type="spellStart"/>
            <w:r w:rsidRPr="00B36910">
              <w:rPr>
                <w:b/>
                <w:bCs/>
                <w:sz w:val="16"/>
                <w:szCs w:val="16"/>
              </w:rPr>
              <w:t>Num</w:t>
            </w:r>
            <w:proofErr w:type="spellEnd"/>
          </w:p>
        </w:tc>
        <w:tc>
          <w:tcPr>
            <w:tcW w:w="857" w:type="dxa"/>
          </w:tcPr>
          <w:p w14:paraId="173D11EB" w14:textId="77777777" w:rsidR="007B0C3E" w:rsidRPr="00B36910" w:rsidRDefault="007B0C3E" w:rsidP="00B06C11">
            <w:pPr>
              <w:jc w:val="center"/>
              <w:rPr>
                <w:b/>
                <w:bCs/>
                <w:sz w:val="16"/>
                <w:szCs w:val="16"/>
              </w:rPr>
            </w:pPr>
            <w:r w:rsidRPr="00B36910">
              <w:rPr>
                <w:b/>
                <w:bCs/>
                <w:sz w:val="16"/>
                <w:szCs w:val="16"/>
              </w:rPr>
              <w:t>Records in SSNAP</w:t>
            </w:r>
          </w:p>
        </w:tc>
        <w:tc>
          <w:tcPr>
            <w:tcW w:w="857" w:type="dxa"/>
          </w:tcPr>
          <w:p w14:paraId="1CE5130E" w14:textId="77777777" w:rsidR="007B0C3E" w:rsidRPr="00B36910" w:rsidRDefault="007B0C3E" w:rsidP="00B06C11">
            <w:pPr>
              <w:jc w:val="center"/>
              <w:rPr>
                <w:b/>
                <w:bCs/>
                <w:sz w:val="16"/>
                <w:szCs w:val="16"/>
              </w:rPr>
            </w:pPr>
            <w:r w:rsidRPr="00B36910">
              <w:rPr>
                <w:b/>
                <w:bCs/>
                <w:sz w:val="16"/>
                <w:szCs w:val="16"/>
              </w:rPr>
              <w:t>Records in HES</w:t>
            </w:r>
          </w:p>
        </w:tc>
        <w:tc>
          <w:tcPr>
            <w:tcW w:w="822" w:type="dxa"/>
          </w:tcPr>
          <w:p w14:paraId="1B18B9C9" w14:textId="77777777" w:rsidR="007B0C3E" w:rsidRPr="00B36910" w:rsidRDefault="007B0C3E" w:rsidP="00B06C11">
            <w:pPr>
              <w:jc w:val="center"/>
              <w:rPr>
                <w:b/>
                <w:bCs/>
                <w:sz w:val="16"/>
                <w:szCs w:val="16"/>
              </w:rPr>
            </w:pPr>
            <w:r w:rsidRPr="00B36910">
              <w:rPr>
                <w:b/>
                <w:bCs/>
                <w:sz w:val="16"/>
                <w:szCs w:val="16"/>
              </w:rPr>
              <w:t>Case ascertainment</w:t>
            </w:r>
          </w:p>
        </w:tc>
      </w:tr>
      <w:tr w:rsidR="007B0C3E" w:rsidRPr="00B36910" w14:paraId="004714CF" w14:textId="77777777" w:rsidTr="00B06C11">
        <w:trPr>
          <w:trHeight w:val="300"/>
        </w:trPr>
        <w:tc>
          <w:tcPr>
            <w:tcW w:w="839" w:type="dxa"/>
          </w:tcPr>
          <w:p w14:paraId="620F2DDC" w14:textId="77777777" w:rsidR="007B0C3E" w:rsidRPr="00B36910" w:rsidRDefault="007B0C3E" w:rsidP="00B06C11">
            <w:pPr>
              <w:jc w:val="center"/>
              <w:rPr>
                <w:b/>
                <w:bCs/>
                <w:sz w:val="16"/>
                <w:szCs w:val="16"/>
              </w:rPr>
            </w:pPr>
            <w:r w:rsidRPr="00B36910">
              <w:rPr>
                <w:b/>
                <w:bCs/>
                <w:sz w:val="16"/>
                <w:szCs w:val="16"/>
              </w:rPr>
              <w:t>CCG1</w:t>
            </w:r>
          </w:p>
        </w:tc>
        <w:tc>
          <w:tcPr>
            <w:tcW w:w="528" w:type="dxa"/>
          </w:tcPr>
          <w:p w14:paraId="7B5F3E3D" w14:textId="77777777" w:rsidR="007B0C3E" w:rsidRPr="00B36910" w:rsidRDefault="007B0C3E" w:rsidP="00B06C11">
            <w:pPr>
              <w:jc w:val="right"/>
              <w:rPr>
                <w:sz w:val="16"/>
                <w:szCs w:val="16"/>
              </w:rPr>
            </w:pPr>
            <w:r w:rsidRPr="00B36910">
              <w:rPr>
                <w:sz w:val="16"/>
                <w:szCs w:val="16"/>
              </w:rPr>
              <w:t>65.9</w:t>
            </w:r>
          </w:p>
        </w:tc>
        <w:tc>
          <w:tcPr>
            <w:tcW w:w="759" w:type="dxa"/>
          </w:tcPr>
          <w:p w14:paraId="0FE3AAE4" w14:textId="77777777" w:rsidR="007B0C3E" w:rsidRPr="00B36910" w:rsidRDefault="007B0C3E" w:rsidP="00B06C11">
            <w:pPr>
              <w:jc w:val="right"/>
              <w:rPr>
                <w:sz w:val="16"/>
                <w:szCs w:val="16"/>
              </w:rPr>
            </w:pPr>
            <w:r w:rsidRPr="00B36910">
              <w:rPr>
                <w:sz w:val="16"/>
                <w:szCs w:val="16"/>
              </w:rPr>
              <w:t>55.5</w:t>
            </w:r>
          </w:p>
        </w:tc>
        <w:tc>
          <w:tcPr>
            <w:tcW w:w="759" w:type="dxa"/>
          </w:tcPr>
          <w:p w14:paraId="2C1FA2B4" w14:textId="77777777" w:rsidR="007B0C3E" w:rsidRPr="00B36910" w:rsidRDefault="007B0C3E" w:rsidP="00B06C11">
            <w:pPr>
              <w:jc w:val="right"/>
              <w:rPr>
                <w:sz w:val="16"/>
                <w:szCs w:val="16"/>
              </w:rPr>
            </w:pPr>
            <w:r w:rsidRPr="00B36910">
              <w:rPr>
                <w:sz w:val="16"/>
                <w:szCs w:val="16"/>
              </w:rPr>
              <w:t>75.0</w:t>
            </w:r>
          </w:p>
        </w:tc>
        <w:tc>
          <w:tcPr>
            <w:tcW w:w="608" w:type="dxa"/>
          </w:tcPr>
          <w:p w14:paraId="54B19DDE" w14:textId="77777777" w:rsidR="007B0C3E" w:rsidRPr="00B36910" w:rsidRDefault="007B0C3E" w:rsidP="00B06C11">
            <w:pPr>
              <w:jc w:val="right"/>
              <w:rPr>
                <w:sz w:val="16"/>
                <w:szCs w:val="16"/>
              </w:rPr>
            </w:pPr>
            <w:r w:rsidRPr="00B36910">
              <w:rPr>
                <w:sz w:val="16"/>
                <w:szCs w:val="16"/>
              </w:rPr>
              <w:t>88</w:t>
            </w:r>
          </w:p>
        </w:tc>
        <w:tc>
          <w:tcPr>
            <w:tcW w:w="572" w:type="dxa"/>
          </w:tcPr>
          <w:p w14:paraId="3D023C9E" w14:textId="77777777" w:rsidR="007B0C3E" w:rsidRPr="00B36910" w:rsidRDefault="007B0C3E" w:rsidP="00B06C11">
            <w:pPr>
              <w:jc w:val="right"/>
              <w:rPr>
                <w:sz w:val="16"/>
                <w:szCs w:val="16"/>
              </w:rPr>
            </w:pPr>
            <w:r w:rsidRPr="00B36910">
              <w:rPr>
                <w:sz w:val="16"/>
                <w:szCs w:val="16"/>
              </w:rPr>
              <w:t>58</w:t>
            </w:r>
          </w:p>
        </w:tc>
        <w:tc>
          <w:tcPr>
            <w:tcW w:w="857" w:type="dxa"/>
          </w:tcPr>
          <w:p w14:paraId="19DC539D" w14:textId="77777777" w:rsidR="007B0C3E" w:rsidRPr="00B36910" w:rsidRDefault="007B0C3E" w:rsidP="00B06C11">
            <w:pPr>
              <w:jc w:val="right"/>
              <w:rPr>
                <w:sz w:val="16"/>
                <w:szCs w:val="16"/>
              </w:rPr>
            </w:pPr>
            <w:r w:rsidRPr="00B36910">
              <w:rPr>
                <w:sz w:val="16"/>
                <w:szCs w:val="16"/>
              </w:rPr>
              <w:t>93</w:t>
            </w:r>
          </w:p>
        </w:tc>
        <w:tc>
          <w:tcPr>
            <w:tcW w:w="857" w:type="dxa"/>
          </w:tcPr>
          <w:p w14:paraId="34807C30" w14:textId="77777777" w:rsidR="007B0C3E" w:rsidRPr="00B36910" w:rsidRDefault="007B0C3E" w:rsidP="00B06C11">
            <w:pPr>
              <w:jc w:val="right"/>
              <w:rPr>
                <w:sz w:val="16"/>
                <w:szCs w:val="16"/>
              </w:rPr>
            </w:pPr>
            <w:r w:rsidRPr="00B36910">
              <w:rPr>
                <w:sz w:val="16"/>
                <w:szCs w:val="16"/>
              </w:rPr>
              <w:t>147</w:t>
            </w:r>
          </w:p>
        </w:tc>
        <w:tc>
          <w:tcPr>
            <w:tcW w:w="822" w:type="dxa"/>
          </w:tcPr>
          <w:p w14:paraId="40290239" w14:textId="77777777" w:rsidR="007B0C3E" w:rsidRPr="00B36910" w:rsidRDefault="007B0C3E" w:rsidP="00B06C11">
            <w:pPr>
              <w:jc w:val="right"/>
              <w:rPr>
                <w:sz w:val="16"/>
                <w:szCs w:val="16"/>
              </w:rPr>
            </w:pPr>
            <w:r w:rsidRPr="00B36910">
              <w:rPr>
                <w:sz w:val="16"/>
                <w:szCs w:val="16"/>
              </w:rPr>
              <w:t>50-69%</w:t>
            </w:r>
          </w:p>
        </w:tc>
      </w:tr>
      <w:tr w:rsidR="007B0C3E" w:rsidRPr="00B36910" w14:paraId="5F02779A" w14:textId="77777777" w:rsidTr="00B06C11">
        <w:trPr>
          <w:trHeight w:val="300"/>
        </w:trPr>
        <w:tc>
          <w:tcPr>
            <w:tcW w:w="839" w:type="dxa"/>
          </w:tcPr>
          <w:p w14:paraId="41F60358" w14:textId="77777777" w:rsidR="007B0C3E" w:rsidRPr="00B36910" w:rsidRDefault="007B0C3E" w:rsidP="00B06C11">
            <w:pPr>
              <w:jc w:val="center"/>
              <w:rPr>
                <w:b/>
                <w:bCs/>
                <w:sz w:val="16"/>
                <w:szCs w:val="16"/>
              </w:rPr>
            </w:pPr>
            <w:r w:rsidRPr="00B36910">
              <w:rPr>
                <w:b/>
                <w:bCs/>
                <w:sz w:val="16"/>
                <w:szCs w:val="16"/>
              </w:rPr>
              <w:t>CCG2</w:t>
            </w:r>
          </w:p>
        </w:tc>
        <w:tc>
          <w:tcPr>
            <w:tcW w:w="528" w:type="dxa"/>
          </w:tcPr>
          <w:p w14:paraId="15EB1F04" w14:textId="77777777" w:rsidR="007B0C3E" w:rsidRPr="00B36910" w:rsidRDefault="007B0C3E" w:rsidP="00B06C11">
            <w:pPr>
              <w:jc w:val="right"/>
              <w:rPr>
                <w:sz w:val="16"/>
                <w:szCs w:val="16"/>
              </w:rPr>
            </w:pPr>
            <w:r w:rsidRPr="00B36910">
              <w:rPr>
                <w:sz w:val="16"/>
                <w:szCs w:val="16"/>
              </w:rPr>
              <w:t>69.0</w:t>
            </w:r>
          </w:p>
        </w:tc>
        <w:tc>
          <w:tcPr>
            <w:tcW w:w="759" w:type="dxa"/>
          </w:tcPr>
          <w:p w14:paraId="7811885C" w14:textId="77777777" w:rsidR="007B0C3E" w:rsidRPr="00B36910" w:rsidRDefault="007B0C3E" w:rsidP="00B06C11">
            <w:pPr>
              <w:jc w:val="right"/>
              <w:rPr>
                <w:sz w:val="16"/>
                <w:szCs w:val="16"/>
              </w:rPr>
            </w:pPr>
            <w:r w:rsidRPr="00B36910">
              <w:rPr>
                <w:sz w:val="16"/>
                <w:szCs w:val="16"/>
              </w:rPr>
              <w:t>64.0</w:t>
            </w:r>
          </w:p>
        </w:tc>
        <w:tc>
          <w:tcPr>
            <w:tcW w:w="759" w:type="dxa"/>
          </w:tcPr>
          <w:p w14:paraId="53A91C32" w14:textId="77777777" w:rsidR="007B0C3E" w:rsidRPr="00B36910" w:rsidRDefault="007B0C3E" w:rsidP="00B06C11">
            <w:pPr>
              <w:jc w:val="right"/>
              <w:rPr>
                <w:sz w:val="16"/>
                <w:szCs w:val="16"/>
              </w:rPr>
            </w:pPr>
            <w:r w:rsidRPr="00B36910">
              <w:rPr>
                <w:sz w:val="16"/>
                <w:szCs w:val="16"/>
              </w:rPr>
              <w:t>73.5</w:t>
            </w:r>
          </w:p>
        </w:tc>
        <w:tc>
          <w:tcPr>
            <w:tcW w:w="608" w:type="dxa"/>
          </w:tcPr>
          <w:p w14:paraId="19AB7DDD" w14:textId="77777777" w:rsidR="007B0C3E" w:rsidRPr="00B36910" w:rsidRDefault="007B0C3E" w:rsidP="00B06C11">
            <w:pPr>
              <w:jc w:val="right"/>
              <w:rPr>
                <w:sz w:val="16"/>
                <w:szCs w:val="16"/>
              </w:rPr>
            </w:pPr>
            <w:r w:rsidRPr="00B36910">
              <w:rPr>
                <w:sz w:val="16"/>
                <w:szCs w:val="16"/>
              </w:rPr>
              <w:t>361</w:t>
            </w:r>
          </w:p>
        </w:tc>
        <w:tc>
          <w:tcPr>
            <w:tcW w:w="572" w:type="dxa"/>
          </w:tcPr>
          <w:p w14:paraId="630836A3" w14:textId="77777777" w:rsidR="007B0C3E" w:rsidRPr="00B36910" w:rsidRDefault="007B0C3E" w:rsidP="00B06C11">
            <w:pPr>
              <w:jc w:val="right"/>
              <w:rPr>
                <w:sz w:val="16"/>
                <w:szCs w:val="16"/>
              </w:rPr>
            </w:pPr>
            <w:r w:rsidRPr="00B36910">
              <w:rPr>
                <w:sz w:val="16"/>
                <w:szCs w:val="16"/>
              </w:rPr>
              <w:t>249</w:t>
            </w:r>
          </w:p>
        </w:tc>
        <w:tc>
          <w:tcPr>
            <w:tcW w:w="857" w:type="dxa"/>
          </w:tcPr>
          <w:p w14:paraId="4D2503A0" w14:textId="77777777" w:rsidR="007B0C3E" w:rsidRPr="00B36910" w:rsidRDefault="007B0C3E" w:rsidP="00B06C11">
            <w:pPr>
              <w:jc w:val="right"/>
              <w:rPr>
                <w:sz w:val="16"/>
                <w:szCs w:val="16"/>
              </w:rPr>
            </w:pPr>
            <w:r w:rsidRPr="00B36910">
              <w:rPr>
                <w:sz w:val="16"/>
                <w:szCs w:val="16"/>
              </w:rPr>
              <w:t>362</w:t>
            </w:r>
          </w:p>
        </w:tc>
        <w:tc>
          <w:tcPr>
            <w:tcW w:w="857" w:type="dxa"/>
          </w:tcPr>
          <w:p w14:paraId="2008E6FF" w14:textId="77777777" w:rsidR="007B0C3E" w:rsidRPr="00B36910" w:rsidRDefault="007B0C3E" w:rsidP="00B06C11">
            <w:pPr>
              <w:jc w:val="right"/>
              <w:rPr>
                <w:sz w:val="16"/>
                <w:szCs w:val="16"/>
              </w:rPr>
            </w:pPr>
            <w:r w:rsidRPr="00B36910">
              <w:rPr>
                <w:sz w:val="16"/>
                <w:szCs w:val="16"/>
              </w:rPr>
              <w:t>536</w:t>
            </w:r>
          </w:p>
        </w:tc>
        <w:tc>
          <w:tcPr>
            <w:tcW w:w="822" w:type="dxa"/>
          </w:tcPr>
          <w:p w14:paraId="10927E43" w14:textId="77777777" w:rsidR="007B0C3E" w:rsidRPr="00B36910" w:rsidRDefault="007B0C3E" w:rsidP="00B06C11">
            <w:pPr>
              <w:jc w:val="right"/>
              <w:rPr>
                <w:sz w:val="16"/>
                <w:szCs w:val="16"/>
              </w:rPr>
            </w:pPr>
            <w:r w:rsidRPr="00B36910">
              <w:rPr>
                <w:sz w:val="16"/>
                <w:szCs w:val="16"/>
              </w:rPr>
              <w:t>50-69%</w:t>
            </w:r>
          </w:p>
        </w:tc>
      </w:tr>
      <w:tr w:rsidR="007B0C3E" w:rsidRPr="00B36910" w14:paraId="1775835E" w14:textId="77777777" w:rsidTr="00B06C11">
        <w:trPr>
          <w:trHeight w:val="300"/>
        </w:trPr>
        <w:tc>
          <w:tcPr>
            <w:tcW w:w="839" w:type="dxa"/>
          </w:tcPr>
          <w:p w14:paraId="7CB32FAD" w14:textId="77777777" w:rsidR="007B0C3E" w:rsidRPr="00B36910" w:rsidRDefault="007B0C3E" w:rsidP="00B06C11">
            <w:pPr>
              <w:jc w:val="center"/>
              <w:rPr>
                <w:b/>
                <w:bCs/>
                <w:sz w:val="16"/>
                <w:szCs w:val="16"/>
              </w:rPr>
            </w:pPr>
            <w:r w:rsidRPr="00B36910">
              <w:rPr>
                <w:b/>
                <w:bCs/>
                <w:sz w:val="16"/>
                <w:szCs w:val="16"/>
              </w:rPr>
              <w:t>CCG3</w:t>
            </w:r>
          </w:p>
        </w:tc>
        <w:tc>
          <w:tcPr>
            <w:tcW w:w="528" w:type="dxa"/>
          </w:tcPr>
          <w:p w14:paraId="0138ECCC" w14:textId="77777777" w:rsidR="007B0C3E" w:rsidRPr="00B36910" w:rsidRDefault="007B0C3E" w:rsidP="00B06C11">
            <w:pPr>
              <w:jc w:val="right"/>
              <w:rPr>
                <w:sz w:val="16"/>
                <w:szCs w:val="16"/>
              </w:rPr>
            </w:pPr>
            <w:r w:rsidRPr="00B36910">
              <w:rPr>
                <w:sz w:val="16"/>
                <w:szCs w:val="16"/>
              </w:rPr>
              <w:t>69.5</w:t>
            </w:r>
          </w:p>
        </w:tc>
        <w:tc>
          <w:tcPr>
            <w:tcW w:w="759" w:type="dxa"/>
          </w:tcPr>
          <w:p w14:paraId="7FE105C7" w14:textId="77777777" w:rsidR="007B0C3E" w:rsidRPr="00B36910" w:rsidRDefault="007B0C3E" w:rsidP="00B06C11">
            <w:pPr>
              <w:jc w:val="right"/>
              <w:rPr>
                <w:sz w:val="16"/>
                <w:szCs w:val="16"/>
              </w:rPr>
            </w:pPr>
            <w:r w:rsidRPr="00B36910">
              <w:rPr>
                <w:sz w:val="16"/>
                <w:szCs w:val="16"/>
              </w:rPr>
              <w:t>63.4</w:t>
            </w:r>
          </w:p>
        </w:tc>
        <w:tc>
          <w:tcPr>
            <w:tcW w:w="759" w:type="dxa"/>
          </w:tcPr>
          <w:p w14:paraId="76A7A1EC" w14:textId="77777777" w:rsidR="007B0C3E" w:rsidRPr="00B36910" w:rsidRDefault="007B0C3E" w:rsidP="00B06C11">
            <w:pPr>
              <w:jc w:val="right"/>
              <w:rPr>
                <w:sz w:val="16"/>
                <w:szCs w:val="16"/>
              </w:rPr>
            </w:pPr>
            <w:r w:rsidRPr="00B36910">
              <w:rPr>
                <w:sz w:val="16"/>
                <w:szCs w:val="16"/>
              </w:rPr>
              <w:t>74.9</w:t>
            </w:r>
          </w:p>
        </w:tc>
        <w:tc>
          <w:tcPr>
            <w:tcW w:w="608" w:type="dxa"/>
          </w:tcPr>
          <w:p w14:paraId="17FBBF11" w14:textId="77777777" w:rsidR="007B0C3E" w:rsidRPr="00B36910" w:rsidRDefault="007B0C3E" w:rsidP="00B06C11">
            <w:pPr>
              <w:jc w:val="right"/>
              <w:rPr>
                <w:sz w:val="16"/>
                <w:szCs w:val="16"/>
              </w:rPr>
            </w:pPr>
            <w:r w:rsidRPr="00B36910">
              <w:rPr>
                <w:sz w:val="16"/>
                <w:szCs w:val="16"/>
              </w:rPr>
              <w:t>239</w:t>
            </w:r>
          </w:p>
        </w:tc>
        <w:tc>
          <w:tcPr>
            <w:tcW w:w="572" w:type="dxa"/>
          </w:tcPr>
          <w:p w14:paraId="2FDDAB0B" w14:textId="77777777" w:rsidR="007B0C3E" w:rsidRPr="00B36910" w:rsidRDefault="007B0C3E" w:rsidP="00B06C11">
            <w:pPr>
              <w:jc w:val="right"/>
              <w:rPr>
                <w:sz w:val="16"/>
                <w:szCs w:val="16"/>
              </w:rPr>
            </w:pPr>
            <w:r w:rsidRPr="00B36910">
              <w:rPr>
                <w:sz w:val="16"/>
                <w:szCs w:val="16"/>
              </w:rPr>
              <w:t>166</w:t>
            </w:r>
          </w:p>
        </w:tc>
        <w:tc>
          <w:tcPr>
            <w:tcW w:w="857" w:type="dxa"/>
          </w:tcPr>
          <w:p w14:paraId="65F7A3DA" w14:textId="77777777" w:rsidR="007B0C3E" w:rsidRPr="00B36910" w:rsidRDefault="007B0C3E" w:rsidP="00B06C11">
            <w:pPr>
              <w:jc w:val="right"/>
              <w:rPr>
                <w:sz w:val="16"/>
                <w:szCs w:val="16"/>
              </w:rPr>
            </w:pPr>
            <w:r w:rsidRPr="00B36910">
              <w:rPr>
                <w:sz w:val="16"/>
                <w:szCs w:val="16"/>
              </w:rPr>
              <w:t>241</w:t>
            </w:r>
          </w:p>
        </w:tc>
        <w:tc>
          <w:tcPr>
            <w:tcW w:w="857" w:type="dxa"/>
          </w:tcPr>
          <w:p w14:paraId="6855E0BF" w14:textId="77777777" w:rsidR="007B0C3E" w:rsidRPr="00B36910" w:rsidRDefault="007B0C3E" w:rsidP="00B06C11">
            <w:pPr>
              <w:jc w:val="right"/>
              <w:rPr>
                <w:sz w:val="16"/>
                <w:szCs w:val="16"/>
              </w:rPr>
            </w:pPr>
            <w:r w:rsidRPr="00B36910">
              <w:rPr>
                <w:sz w:val="16"/>
                <w:szCs w:val="16"/>
              </w:rPr>
              <w:t>274</w:t>
            </w:r>
          </w:p>
        </w:tc>
        <w:tc>
          <w:tcPr>
            <w:tcW w:w="822" w:type="dxa"/>
          </w:tcPr>
          <w:p w14:paraId="419BF792" w14:textId="77777777" w:rsidR="007B0C3E" w:rsidRPr="00B36910" w:rsidRDefault="007B0C3E" w:rsidP="00B06C11">
            <w:pPr>
              <w:jc w:val="right"/>
              <w:rPr>
                <w:sz w:val="16"/>
                <w:szCs w:val="16"/>
              </w:rPr>
            </w:pPr>
            <w:r w:rsidRPr="00B36910">
              <w:rPr>
                <w:sz w:val="16"/>
                <w:szCs w:val="16"/>
              </w:rPr>
              <w:t>80-89%</w:t>
            </w:r>
          </w:p>
        </w:tc>
      </w:tr>
      <w:tr w:rsidR="007B0C3E" w:rsidRPr="00B36910" w14:paraId="5E3C350F" w14:textId="77777777" w:rsidTr="00B06C11">
        <w:trPr>
          <w:trHeight w:val="300"/>
        </w:trPr>
        <w:tc>
          <w:tcPr>
            <w:tcW w:w="839" w:type="dxa"/>
          </w:tcPr>
          <w:p w14:paraId="123D7322" w14:textId="77777777" w:rsidR="007B0C3E" w:rsidRPr="00B36910" w:rsidRDefault="007B0C3E" w:rsidP="00B06C11">
            <w:pPr>
              <w:jc w:val="center"/>
              <w:rPr>
                <w:b/>
                <w:bCs/>
                <w:sz w:val="16"/>
                <w:szCs w:val="16"/>
              </w:rPr>
            </w:pPr>
            <w:r w:rsidRPr="00B36910">
              <w:rPr>
                <w:b/>
                <w:bCs/>
                <w:sz w:val="16"/>
                <w:szCs w:val="16"/>
              </w:rPr>
              <w:t>CCG4</w:t>
            </w:r>
          </w:p>
        </w:tc>
        <w:tc>
          <w:tcPr>
            <w:tcW w:w="528" w:type="dxa"/>
          </w:tcPr>
          <w:p w14:paraId="5A76ABDA" w14:textId="77777777" w:rsidR="007B0C3E" w:rsidRPr="00B36910" w:rsidRDefault="007B0C3E" w:rsidP="00B06C11">
            <w:pPr>
              <w:jc w:val="right"/>
              <w:rPr>
                <w:sz w:val="16"/>
                <w:szCs w:val="16"/>
              </w:rPr>
            </w:pPr>
            <w:r w:rsidRPr="00B36910">
              <w:rPr>
                <w:sz w:val="16"/>
                <w:szCs w:val="16"/>
              </w:rPr>
              <w:t>70.1</w:t>
            </w:r>
          </w:p>
        </w:tc>
        <w:tc>
          <w:tcPr>
            <w:tcW w:w="759" w:type="dxa"/>
          </w:tcPr>
          <w:p w14:paraId="15ABB57F" w14:textId="77777777" w:rsidR="007B0C3E" w:rsidRPr="00B36910" w:rsidRDefault="007B0C3E" w:rsidP="00B06C11">
            <w:pPr>
              <w:jc w:val="right"/>
              <w:rPr>
                <w:sz w:val="16"/>
                <w:szCs w:val="16"/>
              </w:rPr>
            </w:pPr>
            <w:r w:rsidRPr="00B36910">
              <w:rPr>
                <w:sz w:val="16"/>
                <w:szCs w:val="16"/>
              </w:rPr>
              <w:t>61.9</w:t>
            </w:r>
          </w:p>
        </w:tc>
        <w:tc>
          <w:tcPr>
            <w:tcW w:w="759" w:type="dxa"/>
          </w:tcPr>
          <w:p w14:paraId="775E80CE" w14:textId="77777777" w:rsidR="007B0C3E" w:rsidRPr="00B36910" w:rsidRDefault="007B0C3E" w:rsidP="00B06C11">
            <w:pPr>
              <w:jc w:val="right"/>
              <w:rPr>
                <w:sz w:val="16"/>
                <w:szCs w:val="16"/>
              </w:rPr>
            </w:pPr>
            <w:r w:rsidRPr="00B36910">
              <w:rPr>
                <w:sz w:val="16"/>
                <w:szCs w:val="16"/>
              </w:rPr>
              <w:t>77.1</w:t>
            </w:r>
          </w:p>
        </w:tc>
        <w:tc>
          <w:tcPr>
            <w:tcW w:w="608" w:type="dxa"/>
          </w:tcPr>
          <w:p w14:paraId="7F805D76" w14:textId="77777777" w:rsidR="007B0C3E" w:rsidRPr="00B36910" w:rsidRDefault="007B0C3E" w:rsidP="00B06C11">
            <w:pPr>
              <w:jc w:val="right"/>
              <w:rPr>
                <w:sz w:val="16"/>
                <w:szCs w:val="16"/>
              </w:rPr>
            </w:pPr>
            <w:r w:rsidRPr="00B36910">
              <w:rPr>
                <w:sz w:val="16"/>
                <w:szCs w:val="16"/>
              </w:rPr>
              <w:t>137</w:t>
            </w:r>
          </w:p>
        </w:tc>
        <w:tc>
          <w:tcPr>
            <w:tcW w:w="572" w:type="dxa"/>
          </w:tcPr>
          <w:p w14:paraId="7A8E772B" w14:textId="77777777" w:rsidR="007B0C3E" w:rsidRPr="00B36910" w:rsidRDefault="007B0C3E" w:rsidP="00B06C11">
            <w:pPr>
              <w:jc w:val="right"/>
              <w:rPr>
                <w:sz w:val="16"/>
                <w:szCs w:val="16"/>
              </w:rPr>
            </w:pPr>
            <w:r w:rsidRPr="00B36910">
              <w:rPr>
                <w:sz w:val="16"/>
                <w:szCs w:val="16"/>
              </w:rPr>
              <w:t>96</w:t>
            </w:r>
          </w:p>
        </w:tc>
        <w:tc>
          <w:tcPr>
            <w:tcW w:w="857" w:type="dxa"/>
          </w:tcPr>
          <w:p w14:paraId="467E9DD6" w14:textId="77777777" w:rsidR="007B0C3E" w:rsidRPr="00B36910" w:rsidRDefault="007B0C3E" w:rsidP="00B06C11">
            <w:pPr>
              <w:jc w:val="right"/>
              <w:rPr>
                <w:sz w:val="16"/>
                <w:szCs w:val="16"/>
              </w:rPr>
            </w:pPr>
            <w:r w:rsidRPr="00B36910">
              <w:rPr>
                <w:sz w:val="16"/>
                <w:szCs w:val="16"/>
              </w:rPr>
              <w:t>144</w:t>
            </w:r>
          </w:p>
        </w:tc>
        <w:tc>
          <w:tcPr>
            <w:tcW w:w="857" w:type="dxa"/>
          </w:tcPr>
          <w:p w14:paraId="027A0645" w14:textId="77777777" w:rsidR="007B0C3E" w:rsidRPr="00B36910" w:rsidRDefault="007B0C3E" w:rsidP="00B06C11">
            <w:pPr>
              <w:jc w:val="right"/>
              <w:rPr>
                <w:sz w:val="16"/>
                <w:szCs w:val="16"/>
              </w:rPr>
            </w:pPr>
            <w:r w:rsidRPr="00B36910">
              <w:rPr>
                <w:sz w:val="16"/>
                <w:szCs w:val="16"/>
              </w:rPr>
              <w:t>161</w:t>
            </w:r>
          </w:p>
        </w:tc>
        <w:tc>
          <w:tcPr>
            <w:tcW w:w="822" w:type="dxa"/>
          </w:tcPr>
          <w:p w14:paraId="1E4F2B48" w14:textId="77777777" w:rsidR="007B0C3E" w:rsidRPr="00B36910" w:rsidRDefault="007B0C3E" w:rsidP="00B06C11">
            <w:pPr>
              <w:jc w:val="right"/>
              <w:rPr>
                <w:sz w:val="16"/>
                <w:szCs w:val="16"/>
              </w:rPr>
            </w:pPr>
            <w:r w:rsidRPr="00B36910">
              <w:rPr>
                <w:sz w:val="16"/>
                <w:szCs w:val="16"/>
              </w:rPr>
              <w:t>80-89%</w:t>
            </w:r>
          </w:p>
        </w:tc>
      </w:tr>
      <w:tr w:rsidR="007B0C3E" w:rsidRPr="00B36910" w14:paraId="533AFDA4" w14:textId="77777777" w:rsidTr="00B06C11">
        <w:trPr>
          <w:trHeight w:val="300"/>
        </w:trPr>
        <w:tc>
          <w:tcPr>
            <w:tcW w:w="839" w:type="dxa"/>
          </w:tcPr>
          <w:p w14:paraId="46CC715E" w14:textId="77777777" w:rsidR="007B0C3E" w:rsidRPr="00B36910" w:rsidRDefault="007B0C3E" w:rsidP="00B06C11">
            <w:pPr>
              <w:jc w:val="center"/>
              <w:rPr>
                <w:b/>
                <w:bCs/>
                <w:sz w:val="16"/>
                <w:szCs w:val="16"/>
              </w:rPr>
            </w:pPr>
            <w:r w:rsidRPr="00B36910">
              <w:rPr>
                <w:b/>
                <w:bCs/>
                <w:sz w:val="16"/>
                <w:szCs w:val="16"/>
              </w:rPr>
              <w:t>CCG5</w:t>
            </w:r>
          </w:p>
        </w:tc>
        <w:tc>
          <w:tcPr>
            <w:tcW w:w="528" w:type="dxa"/>
          </w:tcPr>
          <w:p w14:paraId="2C25F2B9" w14:textId="77777777" w:rsidR="007B0C3E" w:rsidRPr="00B36910" w:rsidRDefault="007B0C3E" w:rsidP="00B06C11">
            <w:pPr>
              <w:jc w:val="right"/>
              <w:rPr>
                <w:sz w:val="16"/>
                <w:szCs w:val="16"/>
              </w:rPr>
            </w:pPr>
            <w:r w:rsidRPr="00B36910">
              <w:rPr>
                <w:sz w:val="16"/>
                <w:szCs w:val="16"/>
              </w:rPr>
              <w:t>70.5</w:t>
            </w:r>
          </w:p>
        </w:tc>
        <w:tc>
          <w:tcPr>
            <w:tcW w:w="759" w:type="dxa"/>
          </w:tcPr>
          <w:p w14:paraId="46DD794D" w14:textId="77777777" w:rsidR="007B0C3E" w:rsidRPr="00B36910" w:rsidRDefault="007B0C3E" w:rsidP="00B06C11">
            <w:pPr>
              <w:jc w:val="right"/>
              <w:rPr>
                <w:sz w:val="16"/>
                <w:szCs w:val="16"/>
              </w:rPr>
            </w:pPr>
            <w:r w:rsidRPr="00B36910">
              <w:rPr>
                <w:sz w:val="16"/>
                <w:szCs w:val="16"/>
              </w:rPr>
              <w:t>64.0</w:t>
            </w:r>
          </w:p>
        </w:tc>
        <w:tc>
          <w:tcPr>
            <w:tcW w:w="759" w:type="dxa"/>
          </w:tcPr>
          <w:p w14:paraId="39834D80" w14:textId="77777777" w:rsidR="007B0C3E" w:rsidRPr="00B36910" w:rsidRDefault="007B0C3E" w:rsidP="00B06C11">
            <w:pPr>
              <w:jc w:val="right"/>
              <w:rPr>
                <w:sz w:val="16"/>
                <w:szCs w:val="16"/>
              </w:rPr>
            </w:pPr>
            <w:r w:rsidRPr="00B36910">
              <w:rPr>
                <w:sz w:val="16"/>
                <w:szCs w:val="16"/>
              </w:rPr>
              <w:t>76.3</w:t>
            </w:r>
          </w:p>
        </w:tc>
        <w:tc>
          <w:tcPr>
            <w:tcW w:w="608" w:type="dxa"/>
          </w:tcPr>
          <w:p w14:paraId="7D40E8C2" w14:textId="77777777" w:rsidR="007B0C3E" w:rsidRPr="00B36910" w:rsidRDefault="007B0C3E" w:rsidP="00B06C11">
            <w:pPr>
              <w:jc w:val="right"/>
              <w:rPr>
                <w:sz w:val="16"/>
                <w:szCs w:val="16"/>
              </w:rPr>
            </w:pPr>
            <w:r w:rsidRPr="00B36910">
              <w:rPr>
                <w:sz w:val="16"/>
                <w:szCs w:val="16"/>
              </w:rPr>
              <w:t>207</w:t>
            </w:r>
          </w:p>
        </w:tc>
        <w:tc>
          <w:tcPr>
            <w:tcW w:w="572" w:type="dxa"/>
          </w:tcPr>
          <w:p w14:paraId="3E2E62B2" w14:textId="77777777" w:rsidR="007B0C3E" w:rsidRPr="00B36910" w:rsidRDefault="007B0C3E" w:rsidP="00B06C11">
            <w:pPr>
              <w:jc w:val="right"/>
              <w:rPr>
                <w:sz w:val="16"/>
                <w:szCs w:val="16"/>
              </w:rPr>
            </w:pPr>
            <w:r w:rsidRPr="00B36910">
              <w:rPr>
                <w:sz w:val="16"/>
                <w:szCs w:val="16"/>
              </w:rPr>
              <w:t>146</w:t>
            </w:r>
          </w:p>
        </w:tc>
        <w:tc>
          <w:tcPr>
            <w:tcW w:w="857" w:type="dxa"/>
          </w:tcPr>
          <w:p w14:paraId="148D2933" w14:textId="77777777" w:rsidR="007B0C3E" w:rsidRPr="00B36910" w:rsidRDefault="007B0C3E" w:rsidP="00B06C11">
            <w:pPr>
              <w:jc w:val="right"/>
              <w:rPr>
                <w:sz w:val="16"/>
                <w:szCs w:val="16"/>
              </w:rPr>
            </w:pPr>
            <w:r w:rsidRPr="00B36910">
              <w:rPr>
                <w:sz w:val="16"/>
                <w:szCs w:val="16"/>
              </w:rPr>
              <w:t>211</w:t>
            </w:r>
          </w:p>
        </w:tc>
        <w:tc>
          <w:tcPr>
            <w:tcW w:w="857" w:type="dxa"/>
          </w:tcPr>
          <w:p w14:paraId="0672378A" w14:textId="77777777" w:rsidR="007B0C3E" w:rsidRPr="00B36910" w:rsidRDefault="007B0C3E" w:rsidP="00B06C11">
            <w:pPr>
              <w:jc w:val="right"/>
              <w:rPr>
                <w:sz w:val="16"/>
                <w:szCs w:val="16"/>
              </w:rPr>
            </w:pPr>
            <w:r w:rsidRPr="00B36910">
              <w:rPr>
                <w:sz w:val="16"/>
                <w:szCs w:val="16"/>
              </w:rPr>
              <w:t>195</w:t>
            </w:r>
          </w:p>
        </w:tc>
        <w:tc>
          <w:tcPr>
            <w:tcW w:w="822" w:type="dxa"/>
          </w:tcPr>
          <w:p w14:paraId="66C94A79" w14:textId="77777777" w:rsidR="007B0C3E" w:rsidRPr="00B36910" w:rsidRDefault="007B0C3E" w:rsidP="00B06C11">
            <w:pPr>
              <w:jc w:val="right"/>
              <w:rPr>
                <w:sz w:val="16"/>
                <w:szCs w:val="16"/>
              </w:rPr>
            </w:pPr>
            <w:r w:rsidRPr="00B36910">
              <w:rPr>
                <w:sz w:val="16"/>
                <w:szCs w:val="16"/>
              </w:rPr>
              <w:t>90%+</w:t>
            </w:r>
          </w:p>
        </w:tc>
      </w:tr>
      <w:tr w:rsidR="007B0C3E" w:rsidRPr="00B36910" w14:paraId="6E33D95E" w14:textId="77777777" w:rsidTr="00B06C11">
        <w:trPr>
          <w:trHeight w:val="300"/>
        </w:trPr>
        <w:tc>
          <w:tcPr>
            <w:tcW w:w="839" w:type="dxa"/>
          </w:tcPr>
          <w:p w14:paraId="192155D2" w14:textId="77777777" w:rsidR="007B0C3E" w:rsidRPr="00B36910" w:rsidRDefault="007B0C3E" w:rsidP="00B06C11">
            <w:pPr>
              <w:jc w:val="center"/>
              <w:rPr>
                <w:b/>
                <w:bCs/>
                <w:sz w:val="16"/>
                <w:szCs w:val="16"/>
              </w:rPr>
            </w:pPr>
            <w:r w:rsidRPr="00B36910">
              <w:rPr>
                <w:b/>
                <w:bCs/>
                <w:sz w:val="16"/>
                <w:szCs w:val="16"/>
              </w:rPr>
              <w:t>CCG6</w:t>
            </w:r>
          </w:p>
        </w:tc>
        <w:tc>
          <w:tcPr>
            <w:tcW w:w="528" w:type="dxa"/>
          </w:tcPr>
          <w:p w14:paraId="2EE61994" w14:textId="77777777" w:rsidR="007B0C3E" w:rsidRPr="00B36910" w:rsidRDefault="007B0C3E" w:rsidP="00B06C11">
            <w:pPr>
              <w:jc w:val="right"/>
              <w:rPr>
                <w:sz w:val="16"/>
                <w:szCs w:val="16"/>
              </w:rPr>
            </w:pPr>
            <w:r w:rsidRPr="00B36910">
              <w:rPr>
                <w:sz w:val="16"/>
                <w:szCs w:val="16"/>
              </w:rPr>
              <w:t>70.6</w:t>
            </w:r>
          </w:p>
        </w:tc>
        <w:tc>
          <w:tcPr>
            <w:tcW w:w="759" w:type="dxa"/>
          </w:tcPr>
          <w:p w14:paraId="4C7016C3" w14:textId="77777777" w:rsidR="007B0C3E" w:rsidRPr="00B36910" w:rsidRDefault="007B0C3E" w:rsidP="00B06C11">
            <w:pPr>
              <w:jc w:val="right"/>
              <w:rPr>
                <w:sz w:val="16"/>
                <w:szCs w:val="16"/>
              </w:rPr>
            </w:pPr>
            <w:r w:rsidRPr="00B36910">
              <w:rPr>
                <w:sz w:val="16"/>
                <w:szCs w:val="16"/>
              </w:rPr>
              <w:t>67.5</w:t>
            </w:r>
          </w:p>
        </w:tc>
        <w:tc>
          <w:tcPr>
            <w:tcW w:w="759" w:type="dxa"/>
          </w:tcPr>
          <w:p w14:paraId="03260212" w14:textId="77777777" w:rsidR="007B0C3E" w:rsidRPr="00B36910" w:rsidRDefault="007B0C3E" w:rsidP="00B06C11">
            <w:pPr>
              <w:jc w:val="right"/>
              <w:rPr>
                <w:sz w:val="16"/>
                <w:szCs w:val="16"/>
              </w:rPr>
            </w:pPr>
            <w:r w:rsidRPr="00B36910">
              <w:rPr>
                <w:sz w:val="16"/>
                <w:szCs w:val="16"/>
              </w:rPr>
              <w:t>73.4</w:t>
            </w:r>
          </w:p>
        </w:tc>
        <w:tc>
          <w:tcPr>
            <w:tcW w:w="608" w:type="dxa"/>
          </w:tcPr>
          <w:p w14:paraId="642A2E19" w14:textId="77777777" w:rsidR="007B0C3E" w:rsidRPr="00B36910" w:rsidRDefault="007B0C3E" w:rsidP="00B06C11">
            <w:pPr>
              <w:jc w:val="right"/>
              <w:rPr>
                <w:sz w:val="16"/>
                <w:szCs w:val="16"/>
              </w:rPr>
            </w:pPr>
            <w:r w:rsidRPr="00B36910">
              <w:rPr>
                <w:sz w:val="16"/>
                <w:szCs w:val="16"/>
              </w:rPr>
              <w:t>907</w:t>
            </w:r>
          </w:p>
        </w:tc>
        <w:tc>
          <w:tcPr>
            <w:tcW w:w="572" w:type="dxa"/>
          </w:tcPr>
          <w:p w14:paraId="413772D0" w14:textId="77777777" w:rsidR="007B0C3E" w:rsidRPr="00B36910" w:rsidRDefault="007B0C3E" w:rsidP="00B06C11">
            <w:pPr>
              <w:jc w:val="right"/>
              <w:rPr>
                <w:sz w:val="16"/>
                <w:szCs w:val="16"/>
              </w:rPr>
            </w:pPr>
            <w:r w:rsidRPr="00B36910">
              <w:rPr>
                <w:sz w:val="16"/>
                <w:szCs w:val="16"/>
              </w:rPr>
              <w:t>640</w:t>
            </w:r>
          </w:p>
        </w:tc>
        <w:tc>
          <w:tcPr>
            <w:tcW w:w="857" w:type="dxa"/>
          </w:tcPr>
          <w:p w14:paraId="073C7E77" w14:textId="77777777" w:rsidR="007B0C3E" w:rsidRPr="00B36910" w:rsidRDefault="007B0C3E" w:rsidP="00B06C11">
            <w:pPr>
              <w:jc w:val="right"/>
              <w:rPr>
                <w:sz w:val="16"/>
                <w:szCs w:val="16"/>
              </w:rPr>
            </w:pPr>
            <w:r w:rsidRPr="00B36910">
              <w:rPr>
                <w:sz w:val="16"/>
                <w:szCs w:val="16"/>
              </w:rPr>
              <w:t>915</w:t>
            </w:r>
          </w:p>
        </w:tc>
        <w:tc>
          <w:tcPr>
            <w:tcW w:w="857" w:type="dxa"/>
          </w:tcPr>
          <w:p w14:paraId="36CC5A19" w14:textId="77777777" w:rsidR="007B0C3E" w:rsidRPr="00B36910" w:rsidRDefault="007B0C3E" w:rsidP="00B06C11">
            <w:pPr>
              <w:jc w:val="right"/>
              <w:rPr>
                <w:sz w:val="16"/>
                <w:szCs w:val="16"/>
              </w:rPr>
            </w:pPr>
            <w:r w:rsidRPr="00B36910">
              <w:rPr>
                <w:sz w:val="16"/>
                <w:szCs w:val="16"/>
              </w:rPr>
              <w:t>878</w:t>
            </w:r>
          </w:p>
        </w:tc>
        <w:tc>
          <w:tcPr>
            <w:tcW w:w="822" w:type="dxa"/>
          </w:tcPr>
          <w:p w14:paraId="58A933C4" w14:textId="77777777" w:rsidR="007B0C3E" w:rsidRPr="00B36910" w:rsidRDefault="007B0C3E" w:rsidP="00B06C11">
            <w:pPr>
              <w:jc w:val="right"/>
              <w:rPr>
                <w:sz w:val="16"/>
                <w:szCs w:val="16"/>
              </w:rPr>
            </w:pPr>
            <w:r w:rsidRPr="00B36910">
              <w:rPr>
                <w:sz w:val="16"/>
                <w:szCs w:val="16"/>
              </w:rPr>
              <w:t>90%+</w:t>
            </w:r>
          </w:p>
        </w:tc>
      </w:tr>
      <w:tr w:rsidR="007B0C3E" w:rsidRPr="00B36910" w14:paraId="547B046C" w14:textId="77777777" w:rsidTr="00B06C11">
        <w:trPr>
          <w:trHeight w:val="300"/>
        </w:trPr>
        <w:tc>
          <w:tcPr>
            <w:tcW w:w="839" w:type="dxa"/>
          </w:tcPr>
          <w:p w14:paraId="5626CBF4" w14:textId="77777777" w:rsidR="007B0C3E" w:rsidRPr="00B36910" w:rsidRDefault="007B0C3E" w:rsidP="00B06C11">
            <w:pPr>
              <w:jc w:val="center"/>
              <w:rPr>
                <w:b/>
                <w:bCs/>
                <w:sz w:val="16"/>
                <w:szCs w:val="16"/>
              </w:rPr>
            </w:pPr>
            <w:r w:rsidRPr="00B36910">
              <w:rPr>
                <w:b/>
                <w:bCs/>
                <w:sz w:val="16"/>
                <w:szCs w:val="16"/>
              </w:rPr>
              <w:t>CCG7</w:t>
            </w:r>
          </w:p>
        </w:tc>
        <w:tc>
          <w:tcPr>
            <w:tcW w:w="528" w:type="dxa"/>
          </w:tcPr>
          <w:p w14:paraId="296B438E" w14:textId="77777777" w:rsidR="007B0C3E" w:rsidRPr="00B36910" w:rsidRDefault="007B0C3E" w:rsidP="00B06C11">
            <w:pPr>
              <w:jc w:val="right"/>
              <w:rPr>
                <w:sz w:val="16"/>
                <w:szCs w:val="16"/>
              </w:rPr>
            </w:pPr>
            <w:r w:rsidRPr="00B36910">
              <w:rPr>
                <w:sz w:val="16"/>
                <w:szCs w:val="16"/>
              </w:rPr>
              <w:t>71.6</w:t>
            </w:r>
          </w:p>
        </w:tc>
        <w:tc>
          <w:tcPr>
            <w:tcW w:w="759" w:type="dxa"/>
          </w:tcPr>
          <w:p w14:paraId="130B785A" w14:textId="77777777" w:rsidR="007B0C3E" w:rsidRPr="00B36910" w:rsidRDefault="007B0C3E" w:rsidP="00B06C11">
            <w:pPr>
              <w:jc w:val="right"/>
              <w:rPr>
                <w:sz w:val="16"/>
                <w:szCs w:val="16"/>
              </w:rPr>
            </w:pPr>
            <w:r w:rsidRPr="00B36910">
              <w:rPr>
                <w:sz w:val="16"/>
                <w:szCs w:val="16"/>
              </w:rPr>
              <w:t>67.1</w:t>
            </w:r>
          </w:p>
        </w:tc>
        <w:tc>
          <w:tcPr>
            <w:tcW w:w="759" w:type="dxa"/>
          </w:tcPr>
          <w:p w14:paraId="3A14DF66" w14:textId="77777777" w:rsidR="007B0C3E" w:rsidRPr="00B36910" w:rsidRDefault="007B0C3E" w:rsidP="00B06C11">
            <w:pPr>
              <w:jc w:val="right"/>
              <w:rPr>
                <w:sz w:val="16"/>
                <w:szCs w:val="16"/>
              </w:rPr>
            </w:pPr>
            <w:r w:rsidRPr="00B36910">
              <w:rPr>
                <w:sz w:val="16"/>
                <w:szCs w:val="16"/>
              </w:rPr>
              <w:t>75.8</w:t>
            </w:r>
          </w:p>
        </w:tc>
        <w:tc>
          <w:tcPr>
            <w:tcW w:w="608" w:type="dxa"/>
          </w:tcPr>
          <w:p w14:paraId="4DCB2991" w14:textId="77777777" w:rsidR="007B0C3E" w:rsidRPr="00B36910" w:rsidRDefault="007B0C3E" w:rsidP="00B06C11">
            <w:pPr>
              <w:jc w:val="right"/>
              <w:rPr>
                <w:sz w:val="16"/>
                <w:szCs w:val="16"/>
              </w:rPr>
            </w:pPr>
            <w:r w:rsidRPr="00B36910">
              <w:rPr>
                <w:sz w:val="16"/>
                <w:szCs w:val="16"/>
              </w:rPr>
              <w:t>416</w:t>
            </w:r>
          </w:p>
        </w:tc>
        <w:tc>
          <w:tcPr>
            <w:tcW w:w="572" w:type="dxa"/>
          </w:tcPr>
          <w:p w14:paraId="06066D88" w14:textId="77777777" w:rsidR="007B0C3E" w:rsidRPr="00B36910" w:rsidRDefault="007B0C3E" w:rsidP="00B06C11">
            <w:pPr>
              <w:jc w:val="right"/>
              <w:rPr>
                <w:sz w:val="16"/>
                <w:szCs w:val="16"/>
              </w:rPr>
            </w:pPr>
            <w:r w:rsidRPr="00B36910">
              <w:rPr>
                <w:sz w:val="16"/>
                <w:szCs w:val="16"/>
              </w:rPr>
              <w:t>298</w:t>
            </w:r>
          </w:p>
        </w:tc>
        <w:tc>
          <w:tcPr>
            <w:tcW w:w="857" w:type="dxa"/>
          </w:tcPr>
          <w:p w14:paraId="3FA4A351" w14:textId="77777777" w:rsidR="007B0C3E" w:rsidRPr="00B36910" w:rsidRDefault="007B0C3E" w:rsidP="00B06C11">
            <w:pPr>
              <w:jc w:val="right"/>
              <w:rPr>
                <w:sz w:val="16"/>
                <w:szCs w:val="16"/>
              </w:rPr>
            </w:pPr>
            <w:r w:rsidRPr="00B36910">
              <w:rPr>
                <w:sz w:val="16"/>
                <w:szCs w:val="16"/>
              </w:rPr>
              <w:t>418</w:t>
            </w:r>
          </w:p>
        </w:tc>
        <w:tc>
          <w:tcPr>
            <w:tcW w:w="857" w:type="dxa"/>
          </w:tcPr>
          <w:p w14:paraId="2A1A3B03" w14:textId="77777777" w:rsidR="007B0C3E" w:rsidRPr="00B36910" w:rsidRDefault="007B0C3E" w:rsidP="00B06C11">
            <w:pPr>
              <w:jc w:val="right"/>
              <w:rPr>
                <w:sz w:val="16"/>
                <w:szCs w:val="16"/>
              </w:rPr>
            </w:pPr>
            <w:r w:rsidRPr="00B36910">
              <w:rPr>
                <w:sz w:val="16"/>
                <w:szCs w:val="16"/>
              </w:rPr>
              <w:t>371</w:t>
            </w:r>
          </w:p>
        </w:tc>
        <w:tc>
          <w:tcPr>
            <w:tcW w:w="822" w:type="dxa"/>
          </w:tcPr>
          <w:p w14:paraId="4B569ABC" w14:textId="77777777" w:rsidR="007B0C3E" w:rsidRPr="00B36910" w:rsidRDefault="007B0C3E" w:rsidP="00B06C11">
            <w:pPr>
              <w:jc w:val="right"/>
              <w:rPr>
                <w:sz w:val="16"/>
                <w:szCs w:val="16"/>
              </w:rPr>
            </w:pPr>
            <w:r w:rsidRPr="00B36910">
              <w:rPr>
                <w:sz w:val="16"/>
                <w:szCs w:val="16"/>
              </w:rPr>
              <w:t>90%+</w:t>
            </w:r>
          </w:p>
        </w:tc>
      </w:tr>
      <w:tr w:rsidR="007B0C3E" w:rsidRPr="00B36910" w14:paraId="334C2F25" w14:textId="77777777" w:rsidTr="00B06C11">
        <w:trPr>
          <w:trHeight w:val="300"/>
        </w:trPr>
        <w:tc>
          <w:tcPr>
            <w:tcW w:w="839" w:type="dxa"/>
          </w:tcPr>
          <w:p w14:paraId="0E65932E" w14:textId="77777777" w:rsidR="007B0C3E" w:rsidRPr="00B36910" w:rsidRDefault="007B0C3E" w:rsidP="00B06C11">
            <w:pPr>
              <w:jc w:val="center"/>
              <w:rPr>
                <w:b/>
                <w:bCs/>
                <w:sz w:val="16"/>
                <w:szCs w:val="16"/>
              </w:rPr>
            </w:pPr>
            <w:r w:rsidRPr="00B36910">
              <w:rPr>
                <w:b/>
                <w:bCs/>
                <w:sz w:val="16"/>
                <w:szCs w:val="16"/>
              </w:rPr>
              <w:t>CCG8</w:t>
            </w:r>
          </w:p>
        </w:tc>
        <w:tc>
          <w:tcPr>
            <w:tcW w:w="528" w:type="dxa"/>
          </w:tcPr>
          <w:p w14:paraId="69CC0D6C" w14:textId="77777777" w:rsidR="007B0C3E" w:rsidRPr="00B36910" w:rsidRDefault="007B0C3E" w:rsidP="00B06C11">
            <w:pPr>
              <w:jc w:val="right"/>
              <w:rPr>
                <w:sz w:val="16"/>
                <w:szCs w:val="16"/>
              </w:rPr>
            </w:pPr>
            <w:r w:rsidRPr="00B36910">
              <w:rPr>
                <w:sz w:val="16"/>
                <w:szCs w:val="16"/>
              </w:rPr>
              <w:t>71.7</w:t>
            </w:r>
          </w:p>
        </w:tc>
        <w:tc>
          <w:tcPr>
            <w:tcW w:w="759" w:type="dxa"/>
          </w:tcPr>
          <w:p w14:paraId="542BCD89" w14:textId="77777777" w:rsidR="007B0C3E" w:rsidRPr="00B36910" w:rsidRDefault="007B0C3E" w:rsidP="00B06C11">
            <w:pPr>
              <w:jc w:val="right"/>
              <w:rPr>
                <w:sz w:val="16"/>
                <w:szCs w:val="16"/>
              </w:rPr>
            </w:pPr>
            <w:r w:rsidRPr="00B36910">
              <w:rPr>
                <w:sz w:val="16"/>
                <w:szCs w:val="16"/>
              </w:rPr>
              <w:t>68.4</w:t>
            </w:r>
          </w:p>
        </w:tc>
        <w:tc>
          <w:tcPr>
            <w:tcW w:w="759" w:type="dxa"/>
          </w:tcPr>
          <w:p w14:paraId="2F78F0CA" w14:textId="77777777" w:rsidR="007B0C3E" w:rsidRPr="00B36910" w:rsidRDefault="007B0C3E" w:rsidP="00B06C11">
            <w:pPr>
              <w:jc w:val="right"/>
              <w:rPr>
                <w:sz w:val="16"/>
                <w:szCs w:val="16"/>
              </w:rPr>
            </w:pPr>
            <w:r w:rsidRPr="00B36910">
              <w:rPr>
                <w:sz w:val="16"/>
                <w:szCs w:val="16"/>
              </w:rPr>
              <w:t>74.7</w:t>
            </w:r>
          </w:p>
        </w:tc>
        <w:tc>
          <w:tcPr>
            <w:tcW w:w="608" w:type="dxa"/>
          </w:tcPr>
          <w:p w14:paraId="4DBA3E10" w14:textId="77777777" w:rsidR="007B0C3E" w:rsidRPr="00B36910" w:rsidRDefault="007B0C3E" w:rsidP="00B06C11">
            <w:pPr>
              <w:jc w:val="right"/>
              <w:rPr>
                <w:sz w:val="16"/>
                <w:szCs w:val="16"/>
              </w:rPr>
            </w:pPr>
            <w:r w:rsidRPr="00B36910">
              <w:rPr>
                <w:sz w:val="16"/>
                <w:szCs w:val="16"/>
              </w:rPr>
              <w:t>787</w:t>
            </w:r>
          </w:p>
        </w:tc>
        <w:tc>
          <w:tcPr>
            <w:tcW w:w="572" w:type="dxa"/>
          </w:tcPr>
          <w:p w14:paraId="7CEBCCFE" w14:textId="77777777" w:rsidR="007B0C3E" w:rsidRPr="00B36910" w:rsidRDefault="007B0C3E" w:rsidP="00B06C11">
            <w:pPr>
              <w:jc w:val="right"/>
              <w:rPr>
                <w:sz w:val="16"/>
                <w:szCs w:val="16"/>
              </w:rPr>
            </w:pPr>
            <w:r w:rsidRPr="00B36910">
              <w:rPr>
                <w:sz w:val="16"/>
                <w:szCs w:val="16"/>
              </w:rPr>
              <w:t>564</w:t>
            </w:r>
          </w:p>
        </w:tc>
        <w:tc>
          <w:tcPr>
            <w:tcW w:w="857" w:type="dxa"/>
          </w:tcPr>
          <w:p w14:paraId="7D241CAA" w14:textId="77777777" w:rsidR="007B0C3E" w:rsidRPr="00B36910" w:rsidRDefault="007B0C3E" w:rsidP="00B06C11">
            <w:pPr>
              <w:jc w:val="right"/>
              <w:rPr>
                <w:sz w:val="16"/>
                <w:szCs w:val="16"/>
              </w:rPr>
            </w:pPr>
            <w:r w:rsidRPr="00B36910">
              <w:rPr>
                <w:sz w:val="16"/>
                <w:szCs w:val="16"/>
              </w:rPr>
              <w:t>838</w:t>
            </w:r>
          </w:p>
        </w:tc>
        <w:tc>
          <w:tcPr>
            <w:tcW w:w="857" w:type="dxa"/>
          </w:tcPr>
          <w:p w14:paraId="6D6C9147" w14:textId="77777777" w:rsidR="007B0C3E" w:rsidRPr="00B36910" w:rsidRDefault="007B0C3E" w:rsidP="00B06C11">
            <w:pPr>
              <w:jc w:val="right"/>
              <w:rPr>
                <w:sz w:val="16"/>
                <w:szCs w:val="16"/>
              </w:rPr>
            </w:pPr>
            <w:r w:rsidRPr="00B36910">
              <w:rPr>
                <w:sz w:val="16"/>
                <w:szCs w:val="16"/>
              </w:rPr>
              <w:t>1401</w:t>
            </w:r>
          </w:p>
        </w:tc>
        <w:tc>
          <w:tcPr>
            <w:tcW w:w="822" w:type="dxa"/>
          </w:tcPr>
          <w:p w14:paraId="790E43CE" w14:textId="77777777" w:rsidR="007B0C3E" w:rsidRPr="00B36910" w:rsidRDefault="007B0C3E" w:rsidP="00B06C11">
            <w:pPr>
              <w:jc w:val="right"/>
              <w:rPr>
                <w:sz w:val="16"/>
                <w:szCs w:val="16"/>
              </w:rPr>
            </w:pPr>
            <w:r w:rsidRPr="00B36910">
              <w:rPr>
                <w:sz w:val="16"/>
                <w:szCs w:val="16"/>
              </w:rPr>
              <w:t>50-69%</w:t>
            </w:r>
          </w:p>
        </w:tc>
      </w:tr>
      <w:tr w:rsidR="007B0C3E" w:rsidRPr="00B36910" w14:paraId="7C0CF118" w14:textId="77777777" w:rsidTr="00B06C11">
        <w:trPr>
          <w:trHeight w:val="300"/>
        </w:trPr>
        <w:tc>
          <w:tcPr>
            <w:tcW w:w="839" w:type="dxa"/>
          </w:tcPr>
          <w:p w14:paraId="0CB97B48" w14:textId="77777777" w:rsidR="007B0C3E" w:rsidRPr="00B36910" w:rsidRDefault="007B0C3E" w:rsidP="00B06C11">
            <w:pPr>
              <w:jc w:val="center"/>
              <w:rPr>
                <w:b/>
                <w:bCs/>
                <w:sz w:val="16"/>
                <w:szCs w:val="16"/>
              </w:rPr>
            </w:pPr>
            <w:r w:rsidRPr="00B36910">
              <w:rPr>
                <w:b/>
                <w:bCs/>
                <w:sz w:val="16"/>
                <w:szCs w:val="16"/>
              </w:rPr>
              <w:t>CCG9</w:t>
            </w:r>
          </w:p>
        </w:tc>
        <w:tc>
          <w:tcPr>
            <w:tcW w:w="528" w:type="dxa"/>
          </w:tcPr>
          <w:p w14:paraId="42BB2EA8" w14:textId="77777777" w:rsidR="007B0C3E" w:rsidRPr="00B36910" w:rsidRDefault="007B0C3E" w:rsidP="00B06C11">
            <w:pPr>
              <w:jc w:val="right"/>
              <w:rPr>
                <w:sz w:val="16"/>
                <w:szCs w:val="16"/>
              </w:rPr>
            </w:pPr>
            <w:r w:rsidRPr="00B36910">
              <w:rPr>
                <w:sz w:val="16"/>
                <w:szCs w:val="16"/>
              </w:rPr>
              <w:t>72.0</w:t>
            </w:r>
          </w:p>
        </w:tc>
        <w:tc>
          <w:tcPr>
            <w:tcW w:w="759" w:type="dxa"/>
          </w:tcPr>
          <w:p w14:paraId="21F9B109" w14:textId="77777777" w:rsidR="007B0C3E" w:rsidRPr="00B36910" w:rsidRDefault="007B0C3E" w:rsidP="00B06C11">
            <w:pPr>
              <w:jc w:val="right"/>
              <w:rPr>
                <w:sz w:val="16"/>
                <w:szCs w:val="16"/>
              </w:rPr>
            </w:pPr>
            <w:r w:rsidRPr="00B36910">
              <w:rPr>
                <w:sz w:val="16"/>
                <w:szCs w:val="16"/>
              </w:rPr>
              <w:t>64.2</w:t>
            </w:r>
          </w:p>
        </w:tc>
        <w:tc>
          <w:tcPr>
            <w:tcW w:w="759" w:type="dxa"/>
          </w:tcPr>
          <w:p w14:paraId="03095D1F" w14:textId="77777777" w:rsidR="007B0C3E" w:rsidRPr="00B36910" w:rsidRDefault="007B0C3E" w:rsidP="00B06C11">
            <w:pPr>
              <w:jc w:val="right"/>
              <w:rPr>
                <w:sz w:val="16"/>
                <w:szCs w:val="16"/>
              </w:rPr>
            </w:pPr>
            <w:r w:rsidRPr="00B36910">
              <w:rPr>
                <w:sz w:val="16"/>
                <w:szCs w:val="16"/>
              </w:rPr>
              <w:t>78.7</w:t>
            </w:r>
          </w:p>
        </w:tc>
        <w:tc>
          <w:tcPr>
            <w:tcW w:w="608" w:type="dxa"/>
          </w:tcPr>
          <w:p w14:paraId="1946203E" w14:textId="77777777" w:rsidR="007B0C3E" w:rsidRPr="00B36910" w:rsidRDefault="007B0C3E" w:rsidP="00B06C11">
            <w:pPr>
              <w:jc w:val="right"/>
              <w:rPr>
                <w:sz w:val="16"/>
                <w:szCs w:val="16"/>
              </w:rPr>
            </w:pPr>
            <w:r w:rsidRPr="00B36910">
              <w:rPr>
                <w:sz w:val="16"/>
                <w:szCs w:val="16"/>
              </w:rPr>
              <w:t>143</w:t>
            </w:r>
          </w:p>
        </w:tc>
        <w:tc>
          <w:tcPr>
            <w:tcW w:w="572" w:type="dxa"/>
          </w:tcPr>
          <w:p w14:paraId="324FA3EC" w14:textId="77777777" w:rsidR="007B0C3E" w:rsidRPr="00B36910" w:rsidRDefault="007B0C3E" w:rsidP="00B06C11">
            <w:pPr>
              <w:jc w:val="right"/>
              <w:rPr>
                <w:sz w:val="16"/>
                <w:szCs w:val="16"/>
              </w:rPr>
            </w:pPr>
            <w:r w:rsidRPr="00B36910">
              <w:rPr>
                <w:sz w:val="16"/>
                <w:szCs w:val="16"/>
              </w:rPr>
              <w:t>103</w:t>
            </w:r>
          </w:p>
        </w:tc>
        <w:tc>
          <w:tcPr>
            <w:tcW w:w="857" w:type="dxa"/>
          </w:tcPr>
          <w:p w14:paraId="34506476" w14:textId="77777777" w:rsidR="007B0C3E" w:rsidRPr="00B36910" w:rsidRDefault="007B0C3E" w:rsidP="00B06C11">
            <w:pPr>
              <w:jc w:val="right"/>
              <w:rPr>
                <w:sz w:val="16"/>
                <w:szCs w:val="16"/>
              </w:rPr>
            </w:pPr>
            <w:r w:rsidRPr="00B36910">
              <w:rPr>
                <w:sz w:val="16"/>
                <w:szCs w:val="16"/>
              </w:rPr>
              <w:t>155</w:t>
            </w:r>
          </w:p>
        </w:tc>
        <w:tc>
          <w:tcPr>
            <w:tcW w:w="857" w:type="dxa"/>
          </w:tcPr>
          <w:p w14:paraId="0B2AC089" w14:textId="77777777" w:rsidR="007B0C3E" w:rsidRPr="00B36910" w:rsidRDefault="007B0C3E" w:rsidP="00B06C11">
            <w:pPr>
              <w:jc w:val="right"/>
              <w:rPr>
                <w:sz w:val="16"/>
                <w:szCs w:val="16"/>
              </w:rPr>
            </w:pPr>
            <w:r w:rsidRPr="00B36910">
              <w:rPr>
                <w:sz w:val="16"/>
                <w:szCs w:val="16"/>
              </w:rPr>
              <w:t>230</w:t>
            </w:r>
          </w:p>
        </w:tc>
        <w:tc>
          <w:tcPr>
            <w:tcW w:w="822" w:type="dxa"/>
          </w:tcPr>
          <w:p w14:paraId="02290E0E" w14:textId="77777777" w:rsidR="007B0C3E" w:rsidRPr="00B36910" w:rsidRDefault="007B0C3E" w:rsidP="00B06C11">
            <w:pPr>
              <w:jc w:val="right"/>
              <w:rPr>
                <w:sz w:val="16"/>
                <w:szCs w:val="16"/>
              </w:rPr>
            </w:pPr>
            <w:r w:rsidRPr="00B36910">
              <w:rPr>
                <w:sz w:val="16"/>
                <w:szCs w:val="16"/>
              </w:rPr>
              <w:t>50-69%</w:t>
            </w:r>
          </w:p>
        </w:tc>
      </w:tr>
      <w:tr w:rsidR="007B0C3E" w:rsidRPr="00B36910" w14:paraId="4FB5A89A" w14:textId="77777777" w:rsidTr="00B06C11">
        <w:trPr>
          <w:trHeight w:val="300"/>
        </w:trPr>
        <w:tc>
          <w:tcPr>
            <w:tcW w:w="839" w:type="dxa"/>
          </w:tcPr>
          <w:p w14:paraId="178A26E6" w14:textId="77777777" w:rsidR="007B0C3E" w:rsidRPr="00B36910" w:rsidRDefault="007B0C3E" w:rsidP="00B06C11">
            <w:pPr>
              <w:jc w:val="center"/>
              <w:rPr>
                <w:b/>
                <w:bCs/>
                <w:sz w:val="16"/>
                <w:szCs w:val="16"/>
              </w:rPr>
            </w:pPr>
            <w:r w:rsidRPr="00B36910">
              <w:rPr>
                <w:b/>
                <w:bCs/>
                <w:sz w:val="16"/>
                <w:szCs w:val="16"/>
              </w:rPr>
              <w:t>CCG10</w:t>
            </w:r>
          </w:p>
        </w:tc>
        <w:tc>
          <w:tcPr>
            <w:tcW w:w="528" w:type="dxa"/>
          </w:tcPr>
          <w:p w14:paraId="2A0315CE" w14:textId="77777777" w:rsidR="007B0C3E" w:rsidRPr="00B36910" w:rsidRDefault="007B0C3E" w:rsidP="00B06C11">
            <w:pPr>
              <w:jc w:val="right"/>
              <w:rPr>
                <w:sz w:val="16"/>
                <w:szCs w:val="16"/>
              </w:rPr>
            </w:pPr>
            <w:r w:rsidRPr="00B36910">
              <w:rPr>
                <w:sz w:val="16"/>
                <w:szCs w:val="16"/>
              </w:rPr>
              <w:t>73.4</w:t>
            </w:r>
          </w:p>
        </w:tc>
        <w:tc>
          <w:tcPr>
            <w:tcW w:w="759" w:type="dxa"/>
          </w:tcPr>
          <w:p w14:paraId="536847EB" w14:textId="77777777" w:rsidR="007B0C3E" w:rsidRPr="00B36910" w:rsidRDefault="007B0C3E" w:rsidP="00B06C11">
            <w:pPr>
              <w:jc w:val="right"/>
              <w:rPr>
                <w:sz w:val="16"/>
                <w:szCs w:val="16"/>
              </w:rPr>
            </w:pPr>
            <w:r w:rsidRPr="00B36910">
              <w:rPr>
                <w:sz w:val="16"/>
                <w:szCs w:val="16"/>
              </w:rPr>
              <w:t>68.7</w:t>
            </w:r>
          </w:p>
        </w:tc>
        <w:tc>
          <w:tcPr>
            <w:tcW w:w="759" w:type="dxa"/>
          </w:tcPr>
          <w:p w14:paraId="629BD22B" w14:textId="77777777" w:rsidR="007B0C3E" w:rsidRPr="00B36910" w:rsidRDefault="007B0C3E" w:rsidP="00B06C11">
            <w:pPr>
              <w:jc w:val="right"/>
              <w:rPr>
                <w:sz w:val="16"/>
                <w:szCs w:val="16"/>
              </w:rPr>
            </w:pPr>
            <w:r w:rsidRPr="00B36910">
              <w:rPr>
                <w:sz w:val="16"/>
                <w:szCs w:val="16"/>
              </w:rPr>
              <w:t>77.7</w:t>
            </w:r>
          </w:p>
        </w:tc>
        <w:tc>
          <w:tcPr>
            <w:tcW w:w="608" w:type="dxa"/>
          </w:tcPr>
          <w:p w14:paraId="0EDAA69F" w14:textId="77777777" w:rsidR="007B0C3E" w:rsidRPr="00B36910" w:rsidRDefault="007B0C3E" w:rsidP="00B06C11">
            <w:pPr>
              <w:jc w:val="right"/>
              <w:rPr>
                <w:sz w:val="16"/>
                <w:szCs w:val="16"/>
              </w:rPr>
            </w:pPr>
            <w:r w:rsidRPr="00B36910">
              <w:rPr>
                <w:sz w:val="16"/>
                <w:szCs w:val="16"/>
              </w:rPr>
              <w:t>369</w:t>
            </w:r>
          </w:p>
        </w:tc>
        <w:tc>
          <w:tcPr>
            <w:tcW w:w="572" w:type="dxa"/>
          </w:tcPr>
          <w:p w14:paraId="7536E3EC" w14:textId="77777777" w:rsidR="007B0C3E" w:rsidRPr="00B36910" w:rsidRDefault="007B0C3E" w:rsidP="00B06C11">
            <w:pPr>
              <w:jc w:val="right"/>
              <w:rPr>
                <w:sz w:val="16"/>
                <w:szCs w:val="16"/>
              </w:rPr>
            </w:pPr>
            <w:r w:rsidRPr="00B36910">
              <w:rPr>
                <w:sz w:val="16"/>
                <w:szCs w:val="16"/>
              </w:rPr>
              <w:t>271</w:t>
            </w:r>
          </w:p>
        </w:tc>
        <w:tc>
          <w:tcPr>
            <w:tcW w:w="857" w:type="dxa"/>
          </w:tcPr>
          <w:p w14:paraId="55D2BD7C" w14:textId="77777777" w:rsidR="007B0C3E" w:rsidRPr="00B36910" w:rsidRDefault="007B0C3E" w:rsidP="00B06C11">
            <w:pPr>
              <w:jc w:val="right"/>
              <w:rPr>
                <w:sz w:val="16"/>
                <w:szCs w:val="16"/>
              </w:rPr>
            </w:pPr>
            <w:r w:rsidRPr="00B36910">
              <w:rPr>
                <w:sz w:val="16"/>
                <w:szCs w:val="16"/>
              </w:rPr>
              <w:t>373</w:t>
            </w:r>
          </w:p>
        </w:tc>
        <w:tc>
          <w:tcPr>
            <w:tcW w:w="857" w:type="dxa"/>
          </w:tcPr>
          <w:p w14:paraId="10BC157E" w14:textId="77777777" w:rsidR="007B0C3E" w:rsidRPr="00B36910" w:rsidRDefault="007B0C3E" w:rsidP="00B06C11">
            <w:pPr>
              <w:jc w:val="right"/>
              <w:rPr>
                <w:sz w:val="16"/>
                <w:szCs w:val="16"/>
              </w:rPr>
            </w:pPr>
            <w:r w:rsidRPr="00B36910">
              <w:rPr>
                <w:sz w:val="16"/>
                <w:szCs w:val="16"/>
              </w:rPr>
              <w:t>463</w:t>
            </w:r>
          </w:p>
        </w:tc>
        <w:tc>
          <w:tcPr>
            <w:tcW w:w="822" w:type="dxa"/>
          </w:tcPr>
          <w:p w14:paraId="1A913547" w14:textId="77777777" w:rsidR="007B0C3E" w:rsidRPr="00B36910" w:rsidRDefault="007B0C3E" w:rsidP="00B06C11">
            <w:pPr>
              <w:jc w:val="right"/>
              <w:rPr>
                <w:sz w:val="16"/>
                <w:szCs w:val="16"/>
              </w:rPr>
            </w:pPr>
            <w:r w:rsidRPr="00B36910">
              <w:rPr>
                <w:sz w:val="16"/>
                <w:szCs w:val="16"/>
              </w:rPr>
              <w:t>80-89%</w:t>
            </w:r>
          </w:p>
        </w:tc>
      </w:tr>
      <w:tr w:rsidR="007B0C3E" w:rsidRPr="00B36910" w14:paraId="0B5A097B" w14:textId="77777777" w:rsidTr="00B06C11">
        <w:trPr>
          <w:trHeight w:val="300"/>
        </w:trPr>
        <w:tc>
          <w:tcPr>
            <w:tcW w:w="839" w:type="dxa"/>
            <w:noWrap/>
            <w:hideMark/>
          </w:tcPr>
          <w:p w14:paraId="0712048D" w14:textId="77777777" w:rsidR="007B0C3E" w:rsidRPr="00B36910" w:rsidRDefault="007B0C3E" w:rsidP="00B06C11">
            <w:pPr>
              <w:jc w:val="center"/>
              <w:rPr>
                <w:sz w:val="16"/>
                <w:szCs w:val="16"/>
              </w:rPr>
            </w:pPr>
          </w:p>
        </w:tc>
        <w:tc>
          <w:tcPr>
            <w:tcW w:w="528" w:type="dxa"/>
            <w:noWrap/>
            <w:hideMark/>
          </w:tcPr>
          <w:p w14:paraId="59453837" w14:textId="77777777" w:rsidR="007B0C3E" w:rsidRPr="00B36910" w:rsidRDefault="007B0C3E" w:rsidP="00B06C11">
            <w:pPr>
              <w:jc w:val="center"/>
              <w:rPr>
                <w:sz w:val="16"/>
                <w:szCs w:val="16"/>
              </w:rPr>
            </w:pPr>
          </w:p>
        </w:tc>
        <w:tc>
          <w:tcPr>
            <w:tcW w:w="759" w:type="dxa"/>
            <w:noWrap/>
            <w:hideMark/>
          </w:tcPr>
          <w:p w14:paraId="4F8A6926" w14:textId="77777777" w:rsidR="007B0C3E" w:rsidRPr="00B36910" w:rsidRDefault="007B0C3E" w:rsidP="00B06C11">
            <w:pPr>
              <w:jc w:val="center"/>
              <w:rPr>
                <w:sz w:val="16"/>
                <w:szCs w:val="16"/>
              </w:rPr>
            </w:pPr>
          </w:p>
        </w:tc>
        <w:tc>
          <w:tcPr>
            <w:tcW w:w="759" w:type="dxa"/>
            <w:noWrap/>
            <w:hideMark/>
          </w:tcPr>
          <w:p w14:paraId="0BF0C879" w14:textId="77777777" w:rsidR="007B0C3E" w:rsidRPr="00B36910" w:rsidRDefault="007B0C3E" w:rsidP="00B06C11">
            <w:pPr>
              <w:jc w:val="center"/>
              <w:rPr>
                <w:sz w:val="16"/>
                <w:szCs w:val="16"/>
              </w:rPr>
            </w:pPr>
          </w:p>
        </w:tc>
        <w:tc>
          <w:tcPr>
            <w:tcW w:w="608" w:type="dxa"/>
            <w:noWrap/>
            <w:hideMark/>
          </w:tcPr>
          <w:p w14:paraId="2F47927D" w14:textId="77777777" w:rsidR="007B0C3E" w:rsidRPr="00B36910" w:rsidRDefault="007B0C3E" w:rsidP="00B06C11">
            <w:pPr>
              <w:jc w:val="center"/>
              <w:rPr>
                <w:sz w:val="16"/>
                <w:szCs w:val="16"/>
              </w:rPr>
            </w:pPr>
          </w:p>
        </w:tc>
        <w:tc>
          <w:tcPr>
            <w:tcW w:w="572" w:type="dxa"/>
          </w:tcPr>
          <w:p w14:paraId="67CB98A7" w14:textId="77777777" w:rsidR="007B0C3E" w:rsidRPr="00B36910" w:rsidRDefault="007B0C3E" w:rsidP="00B06C11">
            <w:pPr>
              <w:jc w:val="center"/>
              <w:rPr>
                <w:sz w:val="16"/>
                <w:szCs w:val="16"/>
              </w:rPr>
            </w:pPr>
          </w:p>
        </w:tc>
        <w:tc>
          <w:tcPr>
            <w:tcW w:w="857" w:type="dxa"/>
          </w:tcPr>
          <w:p w14:paraId="08AC374E" w14:textId="77777777" w:rsidR="007B0C3E" w:rsidRPr="00B36910" w:rsidRDefault="007B0C3E" w:rsidP="00B06C11">
            <w:pPr>
              <w:jc w:val="center"/>
              <w:rPr>
                <w:sz w:val="16"/>
                <w:szCs w:val="16"/>
              </w:rPr>
            </w:pPr>
          </w:p>
        </w:tc>
        <w:tc>
          <w:tcPr>
            <w:tcW w:w="857" w:type="dxa"/>
          </w:tcPr>
          <w:p w14:paraId="51D26FBF" w14:textId="77777777" w:rsidR="007B0C3E" w:rsidRPr="00B36910" w:rsidRDefault="007B0C3E" w:rsidP="00B06C11">
            <w:pPr>
              <w:jc w:val="center"/>
              <w:rPr>
                <w:sz w:val="16"/>
                <w:szCs w:val="16"/>
              </w:rPr>
            </w:pPr>
          </w:p>
        </w:tc>
        <w:tc>
          <w:tcPr>
            <w:tcW w:w="822" w:type="dxa"/>
          </w:tcPr>
          <w:p w14:paraId="1115C603" w14:textId="77777777" w:rsidR="007B0C3E" w:rsidRPr="00B36910" w:rsidRDefault="007B0C3E" w:rsidP="00B06C11">
            <w:pPr>
              <w:jc w:val="center"/>
              <w:rPr>
                <w:sz w:val="16"/>
                <w:szCs w:val="16"/>
              </w:rPr>
            </w:pPr>
          </w:p>
        </w:tc>
      </w:tr>
      <w:tr w:rsidR="007B0C3E" w:rsidRPr="00B36910" w14:paraId="3CD0389A" w14:textId="77777777" w:rsidTr="00B06C11">
        <w:trPr>
          <w:trHeight w:val="556"/>
        </w:trPr>
        <w:tc>
          <w:tcPr>
            <w:tcW w:w="839" w:type="dxa"/>
          </w:tcPr>
          <w:p w14:paraId="182A637E" w14:textId="77777777" w:rsidR="007B0C3E" w:rsidRPr="00B36910" w:rsidRDefault="007B0C3E" w:rsidP="00B06C11">
            <w:pPr>
              <w:jc w:val="center"/>
              <w:rPr>
                <w:b/>
                <w:bCs/>
                <w:sz w:val="16"/>
                <w:szCs w:val="16"/>
              </w:rPr>
            </w:pPr>
            <w:r w:rsidRPr="00B36910">
              <w:rPr>
                <w:b/>
                <w:bCs/>
                <w:sz w:val="16"/>
                <w:szCs w:val="16"/>
              </w:rPr>
              <w:t>CCG</w:t>
            </w:r>
          </w:p>
        </w:tc>
        <w:tc>
          <w:tcPr>
            <w:tcW w:w="528" w:type="dxa"/>
          </w:tcPr>
          <w:p w14:paraId="2D3787E8" w14:textId="77777777" w:rsidR="007B0C3E" w:rsidRPr="00B36910" w:rsidRDefault="007B0C3E" w:rsidP="00B06C11">
            <w:pPr>
              <w:jc w:val="center"/>
              <w:rPr>
                <w:b/>
                <w:bCs/>
                <w:sz w:val="16"/>
                <w:szCs w:val="16"/>
              </w:rPr>
            </w:pPr>
            <w:r w:rsidRPr="00B36910">
              <w:rPr>
                <w:b/>
                <w:bCs/>
                <w:sz w:val="16"/>
                <w:szCs w:val="16"/>
              </w:rPr>
              <w:t>%</w:t>
            </w:r>
          </w:p>
        </w:tc>
        <w:tc>
          <w:tcPr>
            <w:tcW w:w="759" w:type="dxa"/>
          </w:tcPr>
          <w:p w14:paraId="46658C6C" w14:textId="77777777" w:rsidR="007B0C3E" w:rsidRPr="00B36910" w:rsidRDefault="007B0C3E" w:rsidP="00B06C11">
            <w:pPr>
              <w:jc w:val="center"/>
              <w:rPr>
                <w:b/>
                <w:bCs/>
                <w:sz w:val="16"/>
                <w:szCs w:val="16"/>
              </w:rPr>
            </w:pPr>
            <w:r w:rsidRPr="00B36910">
              <w:rPr>
                <w:b/>
                <w:bCs/>
                <w:sz w:val="16"/>
                <w:szCs w:val="16"/>
              </w:rPr>
              <w:t>LCI</w:t>
            </w:r>
          </w:p>
        </w:tc>
        <w:tc>
          <w:tcPr>
            <w:tcW w:w="759" w:type="dxa"/>
          </w:tcPr>
          <w:p w14:paraId="40C8ED77" w14:textId="77777777" w:rsidR="007B0C3E" w:rsidRPr="00B36910" w:rsidRDefault="007B0C3E" w:rsidP="00B06C11">
            <w:pPr>
              <w:jc w:val="center"/>
              <w:rPr>
                <w:b/>
                <w:bCs/>
                <w:sz w:val="16"/>
                <w:szCs w:val="16"/>
              </w:rPr>
            </w:pPr>
            <w:r w:rsidRPr="00B36910">
              <w:rPr>
                <w:b/>
                <w:bCs/>
                <w:sz w:val="16"/>
                <w:szCs w:val="16"/>
              </w:rPr>
              <w:t>UCI</w:t>
            </w:r>
          </w:p>
        </w:tc>
        <w:tc>
          <w:tcPr>
            <w:tcW w:w="608" w:type="dxa"/>
          </w:tcPr>
          <w:p w14:paraId="774ACD16" w14:textId="77777777" w:rsidR="007B0C3E" w:rsidRPr="00B36910" w:rsidRDefault="007B0C3E" w:rsidP="00B06C11">
            <w:pPr>
              <w:jc w:val="center"/>
              <w:rPr>
                <w:b/>
                <w:bCs/>
                <w:sz w:val="16"/>
                <w:szCs w:val="16"/>
              </w:rPr>
            </w:pPr>
            <w:r w:rsidRPr="00B36910">
              <w:rPr>
                <w:b/>
                <w:bCs/>
                <w:sz w:val="16"/>
                <w:szCs w:val="16"/>
              </w:rPr>
              <w:t>Den</w:t>
            </w:r>
          </w:p>
        </w:tc>
        <w:tc>
          <w:tcPr>
            <w:tcW w:w="572" w:type="dxa"/>
          </w:tcPr>
          <w:p w14:paraId="0BAAC38D" w14:textId="77777777" w:rsidR="007B0C3E" w:rsidRPr="00B36910" w:rsidRDefault="007B0C3E" w:rsidP="00B06C11">
            <w:pPr>
              <w:jc w:val="center"/>
              <w:rPr>
                <w:b/>
                <w:bCs/>
                <w:sz w:val="16"/>
                <w:szCs w:val="16"/>
              </w:rPr>
            </w:pPr>
            <w:proofErr w:type="spellStart"/>
            <w:r w:rsidRPr="00B36910">
              <w:rPr>
                <w:b/>
                <w:bCs/>
                <w:sz w:val="16"/>
                <w:szCs w:val="16"/>
              </w:rPr>
              <w:t>Num</w:t>
            </w:r>
            <w:proofErr w:type="spellEnd"/>
          </w:p>
        </w:tc>
        <w:tc>
          <w:tcPr>
            <w:tcW w:w="857" w:type="dxa"/>
          </w:tcPr>
          <w:p w14:paraId="311CA3C2" w14:textId="77777777" w:rsidR="007B0C3E" w:rsidRPr="00B36910" w:rsidRDefault="007B0C3E" w:rsidP="00B06C11">
            <w:pPr>
              <w:jc w:val="center"/>
              <w:rPr>
                <w:b/>
                <w:bCs/>
                <w:sz w:val="16"/>
                <w:szCs w:val="16"/>
              </w:rPr>
            </w:pPr>
            <w:r w:rsidRPr="00B36910">
              <w:rPr>
                <w:b/>
                <w:bCs/>
                <w:sz w:val="16"/>
                <w:szCs w:val="16"/>
              </w:rPr>
              <w:t>Records in SSNAP</w:t>
            </w:r>
          </w:p>
        </w:tc>
        <w:tc>
          <w:tcPr>
            <w:tcW w:w="857" w:type="dxa"/>
          </w:tcPr>
          <w:p w14:paraId="32C31169" w14:textId="77777777" w:rsidR="007B0C3E" w:rsidRPr="00B36910" w:rsidRDefault="007B0C3E" w:rsidP="00B06C11">
            <w:pPr>
              <w:jc w:val="center"/>
              <w:rPr>
                <w:b/>
                <w:bCs/>
                <w:sz w:val="16"/>
                <w:szCs w:val="16"/>
              </w:rPr>
            </w:pPr>
            <w:r w:rsidRPr="00B36910">
              <w:rPr>
                <w:b/>
                <w:bCs/>
                <w:sz w:val="16"/>
                <w:szCs w:val="16"/>
              </w:rPr>
              <w:t>Records in HES</w:t>
            </w:r>
          </w:p>
        </w:tc>
        <w:tc>
          <w:tcPr>
            <w:tcW w:w="822" w:type="dxa"/>
          </w:tcPr>
          <w:p w14:paraId="007FAB03" w14:textId="77777777" w:rsidR="007B0C3E" w:rsidRPr="00B36910" w:rsidRDefault="007B0C3E" w:rsidP="00B06C11">
            <w:pPr>
              <w:jc w:val="center"/>
              <w:rPr>
                <w:b/>
                <w:bCs/>
                <w:sz w:val="16"/>
                <w:szCs w:val="16"/>
              </w:rPr>
            </w:pPr>
            <w:r w:rsidRPr="00B36910">
              <w:rPr>
                <w:b/>
                <w:bCs/>
                <w:sz w:val="16"/>
                <w:szCs w:val="16"/>
              </w:rPr>
              <w:t>Case ascertainment</w:t>
            </w:r>
          </w:p>
        </w:tc>
      </w:tr>
      <w:tr w:rsidR="007B0C3E" w:rsidRPr="00B36910" w14:paraId="0702A751" w14:textId="77777777" w:rsidTr="00B06C11">
        <w:trPr>
          <w:trHeight w:val="300"/>
        </w:trPr>
        <w:tc>
          <w:tcPr>
            <w:tcW w:w="839" w:type="dxa"/>
          </w:tcPr>
          <w:p w14:paraId="1B1853BA" w14:textId="77777777" w:rsidR="007B0C3E" w:rsidRPr="00B36910" w:rsidRDefault="007B0C3E" w:rsidP="00B06C11">
            <w:pPr>
              <w:jc w:val="center"/>
              <w:rPr>
                <w:b/>
                <w:bCs/>
                <w:sz w:val="16"/>
                <w:szCs w:val="16"/>
              </w:rPr>
            </w:pPr>
            <w:r w:rsidRPr="00B36910">
              <w:rPr>
                <w:b/>
                <w:bCs/>
                <w:sz w:val="16"/>
                <w:szCs w:val="16"/>
              </w:rPr>
              <w:t>CCG184</w:t>
            </w:r>
          </w:p>
        </w:tc>
        <w:tc>
          <w:tcPr>
            <w:tcW w:w="528" w:type="dxa"/>
          </w:tcPr>
          <w:p w14:paraId="0F50B51B" w14:textId="77777777" w:rsidR="007B0C3E" w:rsidRPr="00B36910" w:rsidRDefault="007B0C3E" w:rsidP="00B06C11">
            <w:pPr>
              <w:jc w:val="right"/>
              <w:rPr>
                <w:sz w:val="16"/>
                <w:szCs w:val="16"/>
              </w:rPr>
            </w:pPr>
            <w:r w:rsidRPr="00B36910">
              <w:rPr>
                <w:sz w:val="16"/>
                <w:szCs w:val="16"/>
              </w:rPr>
              <w:t>93.5</w:t>
            </w:r>
          </w:p>
        </w:tc>
        <w:tc>
          <w:tcPr>
            <w:tcW w:w="759" w:type="dxa"/>
          </w:tcPr>
          <w:p w14:paraId="26407892" w14:textId="77777777" w:rsidR="007B0C3E" w:rsidRPr="00B36910" w:rsidRDefault="007B0C3E" w:rsidP="00B06C11">
            <w:pPr>
              <w:jc w:val="right"/>
              <w:rPr>
                <w:sz w:val="16"/>
                <w:szCs w:val="16"/>
              </w:rPr>
            </w:pPr>
            <w:r w:rsidRPr="00B36910">
              <w:rPr>
                <w:sz w:val="16"/>
                <w:szCs w:val="16"/>
              </w:rPr>
              <w:t>90.0</w:t>
            </w:r>
          </w:p>
        </w:tc>
        <w:tc>
          <w:tcPr>
            <w:tcW w:w="759" w:type="dxa"/>
          </w:tcPr>
          <w:p w14:paraId="125E2F84" w14:textId="77777777" w:rsidR="007B0C3E" w:rsidRPr="00B36910" w:rsidRDefault="007B0C3E" w:rsidP="00B06C11">
            <w:pPr>
              <w:jc w:val="right"/>
              <w:rPr>
                <w:sz w:val="16"/>
                <w:szCs w:val="16"/>
              </w:rPr>
            </w:pPr>
            <w:r w:rsidRPr="00B36910">
              <w:rPr>
                <w:sz w:val="16"/>
                <w:szCs w:val="16"/>
              </w:rPr>
              <w:t>95.9</w:t>
            </w:r>
          </w:p>
        </w:tc>
        <w:tc>
          <w:tcPr>
            <w:tcW w:w="608" w:type="dxa"/>
          </w:tcPr>
          <w:p w14:paraId="42519074" w14:textId="77777777" w:rsidR="007B0C3E" w:rsidRPr="00B36910" w:rsidRDefault="007B0C3E" w:rsidP="00B06C11">
            <w:pPr>
              <w:jc w:val="right"/>
              <w:rPr>
                <w:sz w:val="16"/>
                <w:szCs w:val="16"/>
              </w:rPr>
            </w:pPr>
            <w:r w:rsidRPr="00B36910">
              <w:rPr>
                <w:sz w:val="16"/>
                <w:szCs w:val="16"/>
              </w:rPr>
              <w:t>278</w:t>
            </w:r>
          </w:p>
        </w:tc>
        <w:tc>
          <w:tcPr>
            <w:tcW w:w="572" w:type="dxa"/>
          </w:tcPr>
          <w:p w14:paraId="4E1F8024" w14:textId="77777777" w:rsidR="007B0C3E" w:rsidRPr="00B36910" w:rsidRDefault="007B0C3E" w:rsidP="00B06C11">
            <w:pPr>
              <w:jc w:val="right"/>
              <w:rPr>
                <w:sz w:val="16"/>
                <w:szCs w:val="16"/>
              </w:rPr>
            </w:pPr>
            <w:r w:rsidRPr="00B36910">
              <w:rPr>
                <w:sz w:val="16"/>
                <w:szCs w:val="16"/>
              </w:rPr>
              <w:t>260</w:t>
            </w:r>
          </w:p>
        </w:tc>
        <w:tc>
          <w:tcPr>
            <w:tcW w:w="857" w:type="dxa"/>
          </w:tcPr>
          <w:p w14:paraId="2983C24A" w14:textId="77777777" w:rsidR="007B0C3E" w:rsidRPr="00B36910" w:rsidRDefault="007B0C3E" w:rsidP="00B06C11">
            <w:pPr>
              <w:jc w:val="right"/>
              <w:rPr>
                <w:sz w:val="16"/>
                <w:szCs w:val="16"/>
              </w:rPr>
            </w:pPr>
            <w:r w:rsidRPr="00B36910">
              <w:rPr>
                <w:sz w:val="16"/>
                <w:szCs w:val="16"/>
              </w:rPr>
              <w:t>279</w:t>
            </w:r>
          </w:p>
        </w:tc>
        <w:tc>
          <w:tcPr>
            <w:tcW w:w="857" w:type="dxa"/>
          </w:tcPr>
          <w:p w14:paraId="3EC16939" w14:textId="77777777" w:rsidR="007B0C3E" w:rsidRPr="00B36910" w:rsidRDefault="007B0C3E" w:rsidP="00B06C11">
            <w:pPr>
              <w:jc w:val="right"/>
              <w:rPr>
                <w:sz w:val="16"/>
                <w:szCs w:val="16"/>
              </w:rPr>
            </w:pPr>
            <w:r w:rsidRPr="00B36910">
              <w:rPr>
                <w:sz w:val="16"/>
                <w:szCs w:val="16"/>
              </w:rPr>
              <w:t>300</w:t>
            </w:r>
          </w:p>
        </w:tc>
        <w:tc>
          <w:tcPr>
            <w:tcW w:w="822" w:type="dxa"/>
          </w:tcPr>
          <w:p w14:paraId="1CEE8F78" w14:textId="77777777" w:rsidR="007B0C3E" w:rsidRPr="00B36910" w:rsidRDefault="007B0C3E" w:rsidP="00B06C11">
            <w:pPr>
              <w:jc w:val="right"/>
              <w:rPr>
                <w:sz w:val="16"/>
                <w:szCs w:val="16"/>
              </w:rPr>
            </w:pPr>
            <w:r w:rsidRPr="00B36910">
              <w:rPr>
                <w:sz w:val="16"/>
                <w:szCs w:val="16"/>
              </w:rPr>
              <w:t>90%+</w:t>
            </w:r>
          </w:p>
        </w:tc>
      </w:tr>
      <w:tr w:rsidR="007B0C3E" w:rsidRPr="00B36910" w14:paraId="0D4930A7" w14:textId="77777777" w:rsidTr="00B06C11">
        <w:trPr>
          <w:trHeight w:val="300"/>
        </w:trPr>
        <w:tc>
          <w:tcPr>
            <w:tcW w:w="839" w:type="dxa"/>
          </w:tcPr>
          <w:p w14:paraId="0BD99529" w14:textId="77777777" w:rsidR="007B0C3E" w:rsidRPr="00B36910" w:rsidRDefault="007B0C3E" w:rsidP="00B06C11">
            <w:pPr>
              <w:jc w:val="center"/>
              <w:rPr>
                <w:b/>
                <w:bCs/>
                <w:sz w:val="16"/>
                <w:szCs w:val="16"/>
              </w:rPr>
            </w:pPr>
            <w:r w:rsidRPr="00B36910">
              <w:rPr>
                <w:b/>
                <w:bCs/>
                <w:sz w:val="16"/>
                <w:szCs w:val="16"/>
              </w:rPr>
              <w:t>CCG185</w:t>
            </w:r>
          </w:p>
        </w:tc>
        <w:tc>
          <w:tcPr>
            <w:tcW w:w="528" w:type="dxa"/>
          </w:tcPr>
          <w:p w14:paraId="353C0B5B" w14:textId="77777777" w:rsidR="007B0C3E" w:rsidRPr="00B36910" w:rsidRDefault="007B0C3E" w:rsidP="00B06C11">
            <w:pPr>
              <w:jc w:val="right"/>
              <w:rPr>
                <w:sz w:val="16"/>
                <w:szCs w:val="16"/>
              </w:rPr>
            </w:pPr>
            <w:r w:rsidRPr="00B36910">
              <w:rPr>
                <w:sz w:val="16"/>
                <w:szCs w:val="16"/>
              </w:rPr>
              <w:t>93.5</w:t>
            </w:r>
          </w:p>
        </w:tc>
        <w:tc>
          <w:tcPr>
            <w:tcW w:w="759" w:type="dxa"/>
          </w:tcPr>
          <w:p w14:paraId="5B8C6425" w14:textId="77777777" w:rsidR="007B0C3E" w:rsidRPr="00B36910" w:rsidRDefault="007B0C3E" w:rsidP="00B06C11">
            <w:pPr>
              <w:jc w:val="right"/>
              <w:rPr>
                <w:sz w:val="16"/>
                <w:szCs w:val="16"/>
              </w:rPr>
            </w:pPr>
            <w:r w:rsidRPr="00B36910">
              <w:rPr>
                <w:sz w:val="16"/>
                <w:szCs w:val="16"/>
              </w:rPr>
              <w:t>88.5</w:t>
            </w:r>
          </w:p>
        </w:tc>
        <w:tc>
          <w:tcPr>
            <w:tcW w:w="759" w:type="dxa"/>
          </w:tcPr>
          <w:p w14:paraId="33EAC139" w14:textId="77777777" w:rsidR="007B0C3E" w:rsidRPr="00B36910" w:rsidRDefault="007B0C3E" w:rsidP="00B06C11">
            <w:pPr>
              <w:jc w:val="right"/>
              <w:rPr>
                <w:sz w:val="16"/>
                <w:szCs w:val="16"/>
              </w:rPr>
            </w:pPr>
            <w:r w:rsidRPr="00B36910">
              <w:rPr>
                <w:sz w:val="16"/>
                <w:szCs w:val="16"/>
              </w:rPr>
              <w:t>96.4</w:t>
            </w:r>
          </w:p>
        </w:tc>
        <w:tc>
          <w:tcPr>
            <w:tcW w:w="608" w:type="dxa"/>
          </w:tcPr>
          <w:p w14:paraId="5003831E" w14:textId="77777777" w:rsidR="007B0C3E" w:rsidRPr="00B36910" w:rsidRDefault="007B0C3E" w:rsidP="00B06C11">
            <w:pPr>
              <w:jc w:val="right"/>
              <w:rPr>
                <w:sz w:val="16"/>
                <w:szCs w:val="16"/>
              </w:rPr>
            </w:pPr>
            <w:r w:rsidRPr="00B36910">
              <w:rPr>
                <w:sz w:val="16"/>
                <w:szCs w:val="16"/>
              </w:rPr>
              <w:t>154</w:t>
            </w:r>
          </w:p>
        </w:tc>
        <w:tc>
          <w:tcPr>
            <w:tcW w:w="572" w:type="dxa"/>
          </w:tcPr>
          <w:p w14:paraId="31CA06D1" w14:textId="77777777" w:rsidR="007B0C3E" w:rsidRPr="00B36910" w:rsidRDefault="007B0C3E" w:rsidP="00B06C11">
            <w:pPr>
              <w:jc w:val="right"/>
              <w:rPr>
                <w:sz w:val="16"/>
                <w:szCs w:val="16"/>
              </w:rPr>
            </w:pPr>
            <w:r w:rsidRPr="00B36910">
              <w:rPr>
                <w:sz w:val="16"/>
                <w:szCs w:val="16"/>
              </w:rPr>
              <w:t>144</w:t>
            </w:r>
          </w:p>
        </w:tc>
        <w:tc>
          <w:tcPr>
            <w:tcW w:w="857" w:type="dxa"/>
          </w:tcPr>
          <w:p w14:paraId="2E744F80" w14:textId="77777777" w:rsidR="007B0C3E" w:rsidRPr="00B36910" w:rsidRDefault="007B0C3E" w:rsidP="00B06C11">
            <w:pPr>
              <w:jc w:val="right"/>
              <w:rPr>
                <w:sz w:val="16"/>
                <w:szCs w:val="16"/>
              </w:rPr>
            </w:pPr>
            <w:r w:rsidRPr="00B36910">
              <w:rPr>
                <w:sz w:val="16"/>
                <w:szCs w:val="16"/>
              </w:rPr>
              <w:t>157</w:t>
            </w:r>
          </w:p>
        </w:tc>
        <w:tc>
          <w:tcPr>
            <w:tcW w:w="857" w:type="dxa"/>
          </w:tcPr>
          <w:p w14:paraId="3F1AB798" w14:textId="77777777" w:rsidR="007B0C3E" w:rsidRPr="00B36910" w:rsidRDefault="007B0C3E" w:rsidP="00B06C11">
            <w:pPr>
              <w:jc w:val="right"/>
              <w:rPr>
                <w:sz w:val="16"/>
                <w:szCs w:val="16"/>
              </w:rPr>
            </w:pPr>
            <w:r w:rsidRPr="00B36910">
              <w:rPr>
                <w:sz w:val="16"/>
                <w:szCs w:val="16"/>
              </w:rPr>
              <w:t>267</w:t>
            </w:r>
          </w:p>
        </w:tc>
        <w:tc>
          <w:tcPr>
            <w:tcW w:w="822" w:type="dxa"/>
          </w:tcPr>
          <w:p w14:paraId="7F0210BD" w14:textId="77777777" w:rsidR="007B0C3E" w:rsidRPr="00B36910" w:rsidRDefault="007B0C3E" w:rsidP="00B06C11">
            <w:pPr>
              <w:jc w:val="right"/>
              <w:rPr>
                <w:sz w:val="16"/>
                <w:szCs w:val="16"/>
              </w:rPr>
            </w:pPr>
            <w:r w:rsidRPr="00B36910">
              <w:rPr>
                <w:sz w:val="16"/>
                <w:szCs w:val="16"/>
              </w:rPr>
              <w:t>50-69%</w:t>
            </w:r>
          </w:p>
        </w:tc>
      </w:tr>
      <w:tr w:rsidR="007B0C3E" w:rsidRPr="00B36910" w14:paraId="3AB62416" w14:textId="77777777" w:rsidTr="00B06C11">
        <w:trPr>
          <w:trHeight w:val="300"/>
        </w:trPr>
        <w:tc>
          <w:tcPr>
            <w:tcW w:w="839" w:type="dxa"/>
          </w:tcPr>
          <w:p w14:paraId="4BDC323C" w14:textId="77777777" w:rsidR="007B0C3E" w:rsidRPr="00B36910" w:rsidRDefault="007B0C3E" w:rsidP="00B06C11">
            <w:pPr>
              <w:jc w:val="center"/>
              <w:rPr>
                <w:b/>
                <w:bCs/>
                <w:sz w:val="16"/>
                <w:szCs w:val="16"/>
              </w:rPr>
            </w:pPr>
            <w:r w:rsidRPr="00B36910">
              <w:rPr>
                <w:b/>
                <w:bCs/>
                <w:sz w:val="16"/>
                <w:szCs w:val="16"/>
              </w:rPr>
              <w:t>CCG186</w:t>
            </w:r>
          </w:p>
        </w:tc>
        <w:tc>
          <w:tcPr>
            <w:tcW w:w="528" w:type="dxa"/>
          </w:tcPr>
          <w:p w14:paraId="59801125" w14:textId="77777777" w:rsidR="007B0C3E" w:rsidRPr="00B36910" w:rsidRDefault="007B0C3E" w:rsidP="00B06C11">
            <w:pPr>
              <w:jc w:val="right"/>
              <w:rPr>
                <w:sz w:val="16"/>
                <w:szCs w:val="16"/>
              </w:rPr>
            </w:pPr>
            <w:r w:rsidRPr="00B36910">
              <w:rPr>
                <w:sz w:val="16"/>
                <w:szCs w:val="16"/>
              </w:rPr>
              <w:t>93.7</w:t>
            </w:r>
          </w:p>
        </w:tc>
        <w:tc>
          <w:tcPr>
            <w:tcW w:w="759" w:type="dxa"/>
          </w:tcPr>
          <w:p w14:paraId="211EA11E" w14:textId="77777777" w:rsidR="007B0C3E" w:rsidRPr="00B36910" w:rsidRDefault="007B0C3E" w:rsidP="00B06C11">
            <w:pPr>
              <w:jc w:val="right"/>
              <w:rPr>
                <w:sz w:val="16"/>
                <w:szCs w:val="16"/>
              </w:rPr>
            </w:pPr>
            <w:r w:rsidRPr="00B36910">
              <w:rPr>
                <w:sz w:val="16"/>
                <w:szCs w:val="16"/>
              </w:rPr>
              <w:t>91.4</w:t>
            </w:r>
          </w:p>
        </w:tc>
        <w:tc>
          <w:tcPr>
            <w:tcW w:w="759" w:type="dxa"/>
          </w:tcPr>
          <w:p w14:paraId="2F17CC39" w14:textId="77777777" w:rsidR="007B0C3E" w:rsidRPr="00B36910" w:rsidRDefault="007B0C3E" w:rsidP="00B06C11">
            <w:pPr>
              <w:jc w:val="right"/>
              <w:rPr>
                <w:sz w:val="16"/>
                <w:szCs w:val="16"/>
              </w:rPr>
            </w:pPr>
            <w:r w:rsidRPr="00B36910">
              <w:rPr>
                <w:sz w:val="16"/>
                <w:szCs w:val="16"/>
              </w:rPr>
              <w:t>95.5</w:t>
            </w:r>
          </w:p>
        </w:tc>
        <w:tc>
          <w:tcPr>
            <w:tcW w:w="608" w:type="dxa"/>
          </w:tcPr>
          <w:p w14:paraId="3F0275C2" w14:textId="77777777" w:rsidR="007B0C3E" w:rsidRPr="00B36910" w:rsidRDefault="007B0C3E" w:rsidP="00B06C11">
            <w:pPr>
              <w:jc w:val="right"/>
              <w:rPr>
                <w:sz w:val="16"/>
                <w:szCs w:val="16"/>
              </w:rPr>
            </w:pPr>
            <w:r w:rsidRPr="00B36910">
              <w:rPr>
                <w:sz w:val="16"/>
                <w:szCs w:val="16"/>
              </w:rPr>
              <w:t>543</w:t>
            </w:r>
          </w:p>
        </w:tc>
        <w:tc>
          <w:tcPr>
            <w:tcW w:w="572" w:type="dxa"/>
          </w:tcPr>
          <w:p w14:paraId="5C6C5F27" w14:textId="77777777" w:rsidR="007B0C3E" w:rsidRPr="00B36910" w:rsidRDefault="007B0C3E" w:rsidP="00B06C11">
            <w:pPr>
              <w:jc w:val="right"/>
              <w:rPr>
                <w:sz w:val="16"/>
                <w:szCs w:val="16"/>
              </w:rPr>
            </w:pPr>
            <w:r w:rsidRPr="00B36910">
              <w:rPr>
                <w:sz w:val="16"/>
                <w:szCs w:val="16"/>
              </w:rPr>
              <w:t>509</w:t>
            </w:r>
          </w:p>
        </w:tc>
        <w:tc>
          <w:tcPr>
            <w:tcW w:w="857" w:type="dxa"/>
          </w:tcPr>
          <w:p w14:paraId="448B468A" w14:textId="77777777" w:rsidR="007B0C3E" w:rsidRPr="00B36910" w:rsidRDefault="007B0C3E" w:rsidP="00B06C11">
            <w:pPr>
              <w:jc w:val="right"/>
              <w:rPr>
                <w:sz w:val="16"/>
                <w:szCs w:val="16"/>
              </w:rPr>
            </w:pPr>
            <w:r w:rsidRPr="00B36910">
              <w:rPr>
                <w:sz w:val="16"/>
                <w:szCs w:val="16"/>
              </w:rPr>
              <w:t>552</w:t>
            </w:r>
          </w:p>
        </w:tc>
        <w:tc>
          <w:tcPr>
            <w:tcW w:w="857" w:type="dxa"/>
          </w:tcPr>
          <w:p w14:paraId="2E1E0123" w14:textId="77777777" w:rsidR="007B0C3E" w:rsidRPr="00B36910" w:rsidRDefault="007B0C3E" w:rsidP="00B06C11">
            <w:pPr>
              <w:jc w:val="right"/>
              <w:rPr>
                <w:sz w:val="16"/>
                <w:szCs w:val="16"/>
              </w:rPr>
            </w:pPr>
            <w:r w:rsidRPr="00B36910">
              <w:rPr>
                <w:sz w:val="16"/>
                <w:szCs w:val="16"/>
              </w:rPr>
              <w:t>648</w:t>
            </w:r>
          </w:p>
        </w:tc>
        <w:tc>
          <w:tcPr>
            <w:tcW w:w="822" w:type="dxa"/>
          </w:tcPr>
          <w:p w14:paraId="501E6FDC" w14:textId="77777777" w:rsidR="007B0C3E" w:rsidRPr="00B36910" w:rsidRDefault="007B0C3E" w:rsidP="00B06C11">
            <w:pPr>
              <w:jc w:val="right"/>
              <w:rPr>
                <w:sz w:val="16"/>
                <w:szCs w:val="16"/>
              </w:rPr>
            </w:pPr>
            <w:r w:rsidRPr="00B36910">
              <w:rPr>
                <w:sz w:val="16"/>
                <w:szCs w:val="16"/>
              </w:rPr>
              <w:t>80-89%</w:t>
            </w:r>
          </w:p>
        </w:tc>
      </w:tr>
      <w:tr w:rsidR="007B0C3E" w:rsidRPr="00B36910" w14:paraId="2E3756C3" w14:textId="77777777" w:rsidTr="00B06C11">
        <w:trPr>
          <w:trHeight w:val="300"/>
        </w:trPr>
        <w:tc>
          <w:tcPr>
            <w:tcW w:w="839" w:type="dxa"/>
          </w:tcPr>
          <w:p w14:paraId="78933FAC" w14:textId="77777777" w:rsidR="007B0C3E" w:rsidRPr="00B36910" w:rsidRDefault="007B0C3E" w:rsidP="00B06C11">
            <w:pPr>
              <w:jc w:val="center"/>
              <w:rPr>
                <w:b/>
                <w:bCs/>
                <w:sz w:val="16"/>
                <w:szCs w:val="16"/>
              </w:rPr>
            </w:pPr>
            <w:r w:rsidRPr="00B36910">
              <w:rPr>
                <w:b/>
                <w:bCs/>
                <w:sz w:val="16"/>
                <w:szCs w:val="16"/>
              </w:rPr>
              <w:t>CCG187</w:t>
            </w:r>
          </w:p>
        </w:tc>
        <w:tc>
          <w:tcPr>
            <w:tcW w:w="528" w:type="dxa"/>
          </w:tcPr>
          <w:p w14:paraId="43FEA7F7" w14:textId="77777777" w:rsidR="007B0C3E" w:rsidRPr="00B36910" w:rsidRDefault="007B0C3E" w:rsidP="00B06C11">
            <w:pPr>
              <w:jc w:val="right"/>
              <w:rPr>
                <w:sz w:val="16"/>
                <w:szCs w:val="16"/>
              </w:rPr>
            </w:pPr>
            <w:r w:rsidRPr="00B36910">
              <w:rPr>
                <w:sz w:val="16"/>
                <w:szCs w:val="16"/>
              </w:rPr>
              <w:t>94.0</w:t>
            </w:r>
          </w:p>
        </w:tc>
        <w:tc>
          <w:tcPr>
            <w:tcW w:w="759" w:type="dxa"/>
          </w:tcPr>
          <w:p w14:paraId="1B7E7996" w14:textId="77777777" w:rsidR="007B0C3E" w:rsidRPr="00B36910" w:rsidRDefault="007B0C3E" w:rsidP="00B06C11">
            <w:pPr>
              <w:jc w:val="right"/>
              <w:rPr>
                <w:sz w:val="16"/>
                <w:szCs w:val="16"/>
              </w:rPr>
            </w:pPr>
            <w:r w:rsidRPr="00B36910">
              <w:rPr>
                <w:sz w:val="16"/>
                <w:szCs w:val="16"/>
              </w:rPr>
              <w:t>91.7</w:t>
            </w:r>
          </w:p>
        </w:tc>
        <w:tc>
          <w:tcPr>
            <w:tcW w:w="759" w:type="dxa"/>
          </w:tcPr>
          <w:p w14:paraId="5E0B3493" w14:textId="77777777" w:rsidR="007B0C3E" w:rsidRPr="00B36910" w:rsidRDefault="007B0C3E" w:rsidP="00B06C11">
            <w:pPr>
              <w:jc w:val="right"/>
              <w:rPr>
                <w:sz w:val="16"/>
                <w:szCs w:val="16"/>
              </w:rPr>
            </w:pPr>
            <w:r w:rsidRPr="00B36910">
              <w:rPr>
                <w:sz w:val="16"/>
                <w:szCs w:val="16"/>
              </w:rPr>
              <w:t>95.7</w:t>
            </w:r>
          </w:p>
        </w:tc>
        <w:tc>
          <w:tcPr>
            <w:tcW w:w="608" w:type="dxa"/>
          </w:tcPr>
          <w:p w14:paraId="6EECD75F" w14:textId="77777777" w:rsidR="007B0C3E" w:rsidRPr="00B36910" w:rsidRDefault="007B0C3E" w:rsidP="00B06C11">
            <w:pPr>
              <w:jc w:val="right"/>
              <w:rPr>
                <w:sz w:val="16"/>
                <w:szCs w:val="16"/>
              </w:rPr>
            </w:pPr>
            <w:r w:rsidRPr="00B36910">
              <w:rPr>
                <w:sz w:val="16"/>
                <w:szCs w:val="16"/>
              </w:rPr>
              <w:t>568</w:t>
            </w:r>
          </w:p>
        </w:tc>
        <w:tc>
          <w:tcPr>
            <w:tcW w:w="572" w:type="dxa"/>
          </w:tcPr>
          <w:p w14:paraId="0F0F4DE7" w14:textId="77777777" w:rsidR="007B0C3E" w:rsidRPr="00B36910" w:rsidRDefault="007B0C3E" w:rsidP="00B06C11">
            <w:pPr>
              <w:jc w:val="right"/>
              <w:rPr>
                <w:sz w:val="16"/>
                <w:szCs w:val="16"/>
              </w:rPr>
            </w:pPr>
            <w:r w:rsidRPr="00B36910">
              <w:rPr>
                <w:sz w:val="16"/>
                <w:szCs w:val="16"/>
              </w:rPr>
              <w:t>534</w:t>
            </w:r>
          </w:p>
        </w:tc>
        <w:tc>
          <w:tcPr>
            <w:tcW w:w="857" w:type="dxa"/>
          </w:tcPr>
          <w:p w14:paraId="592C4A18" w14:textId="77777777" w:rsidR="007B0C3E" w:rsidRPr="00B36910" w:rsidRDefault="007B0C3E" w:rsidP="00B06C11">
            <w:pPr>
              <w:jc w:val="right"/>
              <w:rPr>
                <w:sz w:val="16"/>
                <w:szCs w:val="16"/>
              </w:rPr>
            </w:pPr>
            <w:r w:rsidRPr="00B36910">
              <w:rPr>
                <w:sz w:val="16"/>
                <w:szCs w:val="16"/>
              </w:rPr>
              <w:t>574</w:t>
            </w:r>
          </w:p>
        </w:tc>
        <w:tc>
          <w:tcPr>
            <w:tcW w:w="857" w:type="dxa"/>
          </w:tcPr>
          <w:p w14:paraId="132356E2" w14:textId="77777777" w:rsidR="007B0C3E" w:rsidRPr="00B36910" w:rsidRDefault="007B0C3E" w:rsidP="00B06C11">
            <w:pPr>
              <w:jc w:val="right"/>
              <w:rPr>
                <w:sz w:val="16"/>
                <w:szCs w:val="16"/>
              </w:rPr>
            </w:pPr>
            <w:r w:rsidRPr="00B36910">
              <w:rPr>
                <w:sz w:val="16"/>
                <w:szCs w:val="16"/>
              </w:rPr>
              <w:t>692</w:t>
            </w:r>
          </w:p>
        </w:tc>
        <w:tc>
          <w:tcPr>
            <w:tcW w:w="822" w:type="dxa"/>
          </w:tcPr>
          <w:p w14:paraId="4DC8DF9D" w14:textId="77777777" w:rsidR="007B0C3E" w:rsidRPr="00B36910" w:rsidRDefault="007B0C3E" w:rsidP="00B06C11">
            <w:pPr>
              <w:jc w:val="right"/>
              <w:rPr>
                <w:sz w:val="16"/>
                <w:szCs w:val="16"/>
              </w:rPr>
            </w:pPr>
            <w:r w:rsidRPr="00B36910">
              <w:rPr>
                <w:sz w:val="16"/>
                <w:szCs w:val="16"/>
              </w:rPr>
              <w:t>80-89%</w:t>
            </w:r>
          </w:p>
        </w:tc>
      </w:tr>
      <w:tr w:rsidR="007B0C3E" w:rsidRPr="00B36910" w14:paraId="74557386" w14:textId="77777777" w:rsidTr="00B06C11">
        <w:trPr>
          <w:trHeight w:val="300"/>
        </w:trPr>
        <w:tc>
          <w:tcPr>
            <w:tcW w:w="839" w:type="dxa"/>
          </w:tcPr>
          <w:p w14:paraId="1C0850AE" w14:textId="77777777" w:rsidR="007B0C3E" w:rsidRPr="00B36910" w:rsidRDefault="007B0C3E" w:rsidP="00B06C11">
            <w:pPr>
              <w:jc w:val="center"/>
              <w:rPr>
                <w:b/>
                <w:bCs/>
                <w:sz w:val="16"/>
                <w:szCs w:val="16"/>
              </w:rPr>
            </w:pPr>
            <w:r w:rsidRPr="00B36910">
              <w:rPr>
                <w:b/>
                <w:bCs/>
                <w:sz w:val="16"/>
                <w:szCs w:val="16"/>
              </w:rPr>
              <w:t>CCG188</w:t>
            </w:r>
          </w:p>
        </w:tc>
        <w:tc>
          <w:tcPr>
            <w:tcW w:w="528" w:type="dxa"/>
          </w:tcPr>
          <w:p w14:paraId="060BF4E3" w14:textId="77777777" w:rsidR="007B0C3E" w:rsidRPr="00B36910" w:rsidRDefault="007B0C3E" w:rsidP="00B06C11">
            <w:pPr>
              <w:jc w:val="right"/>
              <w:rPr>
                <w:sz w:val="16"/>
                <w:szCs w:val="16"/>
              </w:rPr>
            </w:pPr>
            <w:r w:rsidRPr="00B36910">
              <w:rPr>
                <w:sz w:val="16"/>
                <w:szCs w:val="16"/>
              </w:rPr>
              <w:t>94.2</w:t>
            </w:r>
          </w:p>
        </w:tc>
        <w:tc>
          <w:tcPr>
            <w:tcW w:w="759" w:type="dxa"/>
          </w:tcPr>
          <w:p w14:paraId="13BE5B7E" w14:textId="77777777" w:rsidR="007B0C3E" w:rsidRPr="00B36910" w:rsidRDefault="007B0C3E" w:rsidP="00B06C11">
            <w:pPr>
              <w:jc w:val="right"/>
              <w:rPr>
                <w:sz w:val="16"/>
                <w:szCs w:val="16"/>
              </w:rPr>
            </w:pPr>
            <w:r w:rsidRPr="00B36910">
              <w:rPr>
                <w:sz w:val="16"/>
                <w:szCs w:val="16"/>
              </w:rPr>
              <w:t>89.3</w:t>
            </w:r>
          </w:p>
        </w:tc>
        <w:tc>
          <w:tcPr>
            <w:tcW w:w="759" w:type="dxa"/>
          </w:tcPr>
          <w:p w14:paraId="08C8BF01" w14:textId="77777777" w:rsidR="007B0C3E" w:rsidRPr="00B36910" w:rsidRDefault="007B0C3E" w:rsidP="00B06C11">
            <w:pPr>
              <w:jc w:val="right"/>
              <w:rPr>
                <w:sz w:val="16"/>
                <w:szCs w:val="16"/>
              </w:rPr>
            </w:pPr>
            <w:r w:rsidRPr="00B36910">
              <w:rPr>
                <w:sz w:val="16"/>
                <w:szCs w:val="16"/>
              </w:rPr>
              <w:t>96.9</w:t>
            </w:r>
          </w:p>
        </w:tc>
        <w:tc>
          <w:tcPr>
            <w:tcW w:w="608" w:type="dxa"/>
          </w:tcPr>
          <w:p w14:paraId="18542EC1" w14:textId="77777777" w:rsidR="007B0C3E" w:rsidRPr="00B36910" w:rsidRDefault="007B0C3E" w:rsidP="00B06C11">
            <w:pPr>
              <w:jc w:val="right"/>
              <w:rPr>
                <w:sz w:val="16"/>
                <w:szCs w:val="16"/>
              </w:rPr>
            </w:pPr>
            <w:r w:rsidRPr="00B36910">
              <w:rPr>
                <w:sz w:val="16"/>
                <w:szCs w:val="16"/>
              </w:rPr>
              <w:t>154</w:t>
            </w:r>
          </w:p>
        </w:tc>
        <w:tc>
          <w:tcPr>
            <w:tcW w:w="572" w:type="dxa"/>
          </w:tcPr>
          <w:p w14:paraId="70926E17" w14:textId="77777777" w:rsidR="007B0C3E" w:rsidRPr="00B36910" w:rsidRDefault="007B0C3E" w:rsidP="00B06C11">
            <w:pPr>
              <w:jc w:val="right"/>
              <w:rPr>
                <w:sz w:val="16"/>
                <w:szCs w:val="16"/>
              </w:rPr>
            </w:pPr>
            <w:r w:rsidRPr="00B36910">
              <w:rPr>
                <w:sz w:val="16"/>
                <w:szCs w:val="16"/>
              </w:rPr>
              <w:t>145</w:t>
            </w:r>
          </w:p>
        </w:tc>
        <w:tc>
          <w:tcPr>
            <w:tcW w:w="857" w:type="dxa"/>
          </w:tcPr>
          <w:p w14:paraId="3C96493D" w14:textId="77777777" w:rsidR="007B0C3E" w:rsidRPr="00B36910" w:rsidRDefault="007B0C3E" w:rsidP="00B06C11">
            <w:pPr>
              <w:jc w:val="right"/>
              <w:rPr>
                <w:sz w:val="16"/>
                <w:szCs w:val="16"/>
              </w:rPr>
            </w:pPr>
            <w:r w:rsidRPr="00B36910">
              <w:rPr>
                <w:sz w:val="16"/>
                <w:szCs w:val="16"/>
              </w:rPr>
              <w:t>155</w:t>
            </w:r>
          </w:p>
        </w:tc>
        <w:tc>
          <w:tcPr>
            <w:tcW w:w="857" w:type="dxa"/>
          </w:tcPr>
          <w:p w14:paraId="6C847DC0" w14:textId="77777777" w:rsidR="007B0C3E" w:rsidRPr="00B36910" w:rsidRDefault="007B0C3E" w:rsidP="00B06C11">
            <w:pPr>
              <w:jc w:val="right"/>
              <w:rPr>
                <w:sz w:val="16"/>
                <w:szCs w:val="16"/>
              </w:rPr>
            </w:pPr>
            <w:r w:rsidRPr="00B36910">
              <w:rPr>
                <w:sz w:val="16"/>
                <w:szCs w:val="16"/>
              </w:rPr>
              <w:t>203</w:t>
            </w:r>
          </w:p>
        </w:tc>
        <w:tc>
          <w:tcPr>
            <w:tcW w:w="822" w:type="dxa"/>
          </w:tcPr>
          <w:p w14:paraId="31D931BA" w14:textId="77777777" w:rsidR="007B0C3E" w:rsidRPr="00B36910" w:rsidRDefault="007B0C3E" w:rsidP="00B06C11">
            <w:pPr>
              <w:jc w:val="right"/>
              <w:rPr>
                <w:sz w:val="16"/>
                <w:szCs w:val="16"/>
              </w:rPr>
            </w:pPr>
            <w:r w:rsidRPr="00B36910">
              <w:rPr>
                <w:sz w:val="16"/>
                <w:szCs w:val="16"/>
              </w:rPr>
              <w:t>70-79%</w:t>
            </w:r>
          </w:p>
        </w:tc>
      </w:tr>
      <w:tr w:rsidR="007B0C3E" w:rsidRPr="00B36910" w14:paraId="39D624D3" w14:textId="77777777" w:rsidTr="00B06C11">
        <w:trPr>
          <w:trHeight w:val="300"/>
        </w:trPr>
        <w:tc>
          <w:tcPr>
            <w:tcW w:w="839" w:type="dxa"/>
          </w:tcPr>
          <w:p w14:paraId="0D3DDC69" w14:textId="77777777" w:rsidR="007B0C3E" w:rsidRPr="00B36910" w:rsidRDefault="007B0C3E" w:rsidP="00B06C11">
            <w:pPr>
              <w:jc w:val="center"/>
              <w:rPr>
                <w:b/>
                <w:bCs/>
                <w:sz w:val="16"/>
                <w:szCs w:val="16"/>
              </w:rPr>
            </w:pPr>
            <w:r w:rsidRPr="00B36910">
              <w:rPr>
                <w:b/>
                <w:bCs/>
                <w:sz w:val="16"/>
                <w:szCs w:val="16"/>
              </w:rPr>
              <w:t>CCG189</w:t>
            </w:r>
          </w:p>
        </w:tc>
        <w:tc>
          <w:tcPr>
            <w:tcW w:w="528" w:type="dxa"/>
          </w:tcPr>
          <w:p w14:paraId="193D5E05" w14:textId="77777777" w:rsidR="007B0C3E" w:rsidRPr="00B36910" w:rsidRDefault="007B0C3E" w:rsidP="00B06C11">
            <w:pPr>
              <w:jc w:val="right"/>
              <w:rPr>
                <w:sz w:val="16"/>
                <w:szCs w:val="16"/>
              </w:rPr>
            </w:pPr>
            <w:r w:rsidRPr="00B36910">
              <w:rPr>
                <w:sz w:val="16"/>
                <w:szCs w:val="16"/>
              </w:rPr>
              <w:t>94.6</w:t>
            </w:r>
          </w:p>
        </w:tc>
        <w:tc>
          <w:tcPr>
            <w:tcW w:w="759" w:type="dxa"/>
          </w:tcPr>
          <w:p w14:paraId="624CB04B" w14:textId="77777777" w:rsidR="007B0C3E" w:rsidRPr="00B36910" w:rsidRDefault="007B0C3E" w:rsidP="00B06C11">
            <w:pPr>
              <w:jc w:val="right"/>
              <w:rPr>
                <w:sz w:val="16"/>
                <w:szCs w:val="16"/>
              </w:rPr>
            </w:pPr>
            <w:r w:rsidRPr="00B36910">
              <w:rPr>
                <w:sz w:val="16"/>
                <w:szCs w:val="16"/>
              </w:rPr>
              <w:t>91.7</w:t>
            </w:r>
          </w:p>
        </w:tc>
        <w:tc>
          <w:tcPr>
            <w:tcW w:w="759" w:type="dxa"/>
          </w:tcPr>
          <w:p w14:paraId="33141C37" w14:textId="77777777" w:rsidR="007B0C3E" w:rsidRPr="00B36910" w:rsidRDefault="007B0C3E" w:rsidP="00B06C11">
            <w:pPr>
              <w:jc w:val="right"/>
              <w:rPr>
                <w:sz w:val="16"/>
                <w:szCs w:val="16"/>
              </w:rPr>
            </w:pPr>
            <w:r w:rsidRPr="00B36910">
              <w:rPr>
                <w:sz w:val="16"/>
                <w:szCs w:val="16"/>
              </w:rPr>
              <w:t>96.6</w:t>
            </w:r>
          </w:p>
        </w:tc>
        <w:tc>
          <w:tcPr>
            <w:tcW w:w="608" w:type="dxa"/>
          </w:tcPr>
          <w:p w14:paraId="258B4432" w14:textId="77777777" w:rsidR="007B0C3E" w:rsidRPr="00B36910" w:rsidRDefault="007B0C3E" w:rsidP="00B06C11">
            <w:pPr>
              <w:jc w:val="right"/>
              <w:rPr>
                <w:sz w:val="16"/>
                <w:szCs w:val="16"/>
              </w:rPr>
            </w:pPr>
            <w:r w:rsidRPr="00B36910">
              <w:rPr>
                <w:sz w:val="16"/>
                <w:szCs w:val="16"/>
              </w:rPr>
              <w:t>336</w:t>
            </w:r>
          </w:p>
        </w:tc>
        <w:tc>
          <w:tcPr>
            <w:tcW w:w="572" w:type="dxa"/>
          </w:tcPr>
          <w:p w14:paraId="6AC40050" w14:textId="77777777" w:rsidR="007B0C3E" w:rsidRPr="00B36910" w:rsidRDefault="007B0C3E" w:rsidP="00B06C11">
            <w:pPr>
              <w:jc w:val="right"/>
              <w:rPr>
                <w:sz w:val="16"/>
                <w:szCs w:val="16"/>
              </w:rPr>
            </w:pPr>
            <w:r w:rsidRPr="00B36910">
              <w:rPr>
                <w:sz w:val="16"/>
                <w:szCs w:val="16"/>
              </w:rPr>
              <w:t>318</w:t>
            </w:r>
          </w:p>
        </w:tc>
        <w:tc>
          <w:tcPr>
            <w:tcW w:w="857" w:type="dxa"/>
          </w:tcPr>
          <w:p w14:paraId="7C4CE835" w14:textId="77777777" w:rsidR="007B0C3E" w:rsidRPr="00B36910" w:rsidRDefault="007B0C3E" w:rsidP="00B06C11">
            <w:pPr>
              <w:jc w:val="right"/>
              <w:rPr>
                <w:sz w:val="16"/>
                <w:szCs w:val="16"/>
              </w:rPr>
            </w:pPr>
            <w:r w:rsidRPr="00B36910">
              <w:rPr>
                <w:sz w:val="16"/>
                <w:szCs w:val="16"/>
              </w:rPr>
              <w:t>341</w:t>
            </w:r>
          </w:p>
        </w:tc>
        <w:tc>
          <w:tcPr>
            <w:tcW w:w="857" w:type="dxa"/>
          </w:tcPr>
          <w:p w14:paraId="2D752FB8" w14:textId="77777777" w:rsidR="007B0C3E" w:rsidRPr="00B36910" w:rsidRDefault="007B0C3E" w:rsidP="00B06C11">
            <w:pPr>
              <w:jc w:val="right"/>
              <w:rPr>
                <w:sz w:val="16"/>
                <w:szCs w:val="16"/>
              </w:rPr>
            </w:pPr>
            <w:r w:rsidRPr="00B36910">
              <w:rPr>
                <w:sz w:val="16"/>
                <w:szCs w:val="16"/>
              </w:rPr>
              <w:t>431</w:t>
            </w:r>
          </w:p>
        </w:tc>
        <w:tc>
          <w:tcPr>
            <w:tcW w:w="822" w:type="dxa"/>
          </w:tcPr>
          <w:p w14:paraId="03B46011" w14:textId="77777777" w:rsidR="007B0C3E" w:rsidRPr="00B36910" w:rsidRDefault="007B0C3E" w:rsidP="00B06C11">
            <w:pPr>
              <w:jc w:val="right"/>
              <w:rPr>
                <w:sz w:val="16"/>
                <w:szCs w:val="16"/>
              </w:rPr>
            </w:pPr>
            <w:r w:rsidRPr="00B36910">
              <w:rPr>
                <w:sz w:val="16"/>
                <w:szCs w:val="16"/>
              </w:rPr>
              <w:t>70-79%</w:t>
            </w:r>
          </w:p>
        </w:tc>
      </w:tr>
      <w:tr w:rsidR="007B0C3E" w:rsidRPr="00B36910" w14:paraId="6A253C90" w14:textId="77777777" w:rsidTr="00B06C11">
        <w:trPr>
          <w:trHeight w:val="300"/>
        </w:trPr>
        <w:tc>
          <w:tcPr>
            <w:tcW w:w="839" w:type="dxa"/>
          </w:tcPr>
          <w:p w14:paraId="674F726A" w14:textId="77777777" w:rsidR="007B0C3E" w:rsidRPr="00B36910" w:rsidRDefault="007B0C3E" w:rsidP="00B06C11">
            <w:pPr>
              <w:jc w:val="center"/>
              <w:rPr>
                <w:b/>
                <w:bCs/>
                <w:sz w:val="16"/>
                <w:szCs w:val="16"/>
              </w:rPr>
            </w:pPr>
            <w:r w:rsidRPr="00B36910">
              <w:rPr>
                <w:b/>
                <w:bCs/>
                <w:sz w:val="16"/>
                <w:szCs w:val="16"/>
              </w:rPr>
              <w:t>CCG190</w:t>
            </w:r>
          </w:p>
        </w:tc>
        <w:tc>
          <w:tcPr>
            <w:tcW w:w="528" w:type="dxa"/>
          </w:tcPr>
          <w:p w14:paraId="6DE53C73" w14:textId="77777777" w:rsidR="007B0C3E" w:rsidRPr="00B36910" w:rsidRDefault="007B0C3E" w:rsidP="00B06C11">
            <w:pPr>
              <w:jc w:val="right"/>
              <w:rPr>
                <w:sz w:val="16"/>
                <w:szCs w:val="16"/>
              </w:rPr>
            </w:pPr>
            <w:r w:rsidRPr="00B36910">
              <w:rPr>
                <w:sz w:val="16"/>
                <w:szCs w:val="16"/>
              </w:rPr>
              <w:t>94.6</w:t>
            </w:r>
          </w:p>
        </w:tc>
        <w:tc>
          <w:tcPr>
            <w:tcW w:w="759" w:type="dxa"/>
          </w:tcPr>
          <w:p w14:paraId="0E4CEFDB" w14:textId="77777777" w:rsidR="007B0C3E" w:rsidRPr="00B36910" w:rsidRDefault="007B0C3E" w:rsidP="00B06C11">
            <w:pPr>
              <w:jc w:val="right"/>
              <w:rPr>
                <w:sz w:val="16"/>
                <w:szCs w:val="16"/>
              </w:rPr>
            </w:pPr>
            <w:r w:rsidRPr="00B36910">
              <w:rPr>
                <w:sz w:val="16"/>
                <w:szCs w:val="16"/>
              </w:rPr>
              <w:t>91.5</w:t>
            </w:r>
          </w:p>
        </w:tc>
        <w:tc>
          <w:tcPr>
            <w:tcW w:w="759" w:type="dxa"/>
          </w:tcPr>
          <w:p w14:paraId="389A6393" w14:textId="77777777" w:rsidR="007B0C3E" w:rsidRPr="00B36910" w:rsidRDefault="007B0C3E" w:rsidP="00B06C11">
            <w:pPr>
              <w:jc w:val="right"/>
              <w:rPr>
                <w:sz w:val="16"/>
                <w:szCs w:val="16"/>
              </w:rPr>
            </w:pPr>
            <w:r w:rsidRPr="00B36910">
              <w:rPr>
                <w:sz w:val="16"/>
                <w:szCs w:val="16"/>
              </w:rPr>
              <w:t>96.7</w:t>
            </w:r>
          </w:p>
        </w:tc>
        <w:tc>
          <w:tcPr>
            <w:tcW w:w="608" w:type="dxa"/>
          </w:tcPr>
          <w:p w14:paraId="15EACF07" w14:textId="77777777" w:rsidR="007B0C3E" w:rsidRPr="00B36910" w:rsidRDefault="007B0C3E" w:rsidP="00B06C11">
            <w:pPr>
              <w:jc w:val="right"/>
              <w:rPr>
                <w:sz w:val="16"/>
                <w:szCs w:val="16"/>
              </w:rPr>
            </w:pPr>
            <w:r w:rsidRPr="00B36910">
              <w:rPr>
                <w:sz w:val="16"/>
                <w:szCs w:val="16"/>
              </w:rPr>
              <w:t>298</w:t>
            </w:r>
          </w:p>
        </w:tc>
        <w:tc>
          <w:tcPr>
            <w:tcW w:w="572" w:type="dxa"/>
          </w:tcPr>
          <w:p w14:paraId="6C15041A" w14:textId="77777777" w:rsidR="007B0C3E" w:rsidRPr="00B36910" w:rsidRDefault="007B0C3E" w:rsidP="00B06C11">
            <w:pPr>
              <w:jc w:val="right"/>
              <w:rPr>
                <w:sz w:val="16"/>
                <w:szCs w:val="16"/>
              </w:rPr>
            </w:pPr>
            <w:r w:rsidRPr="00B36910">
              <w:rPr>
                <w:sz w:val="16"/>
                <w:szCs w:val="16"/>
              </w:rPr>
              <w:t>282</w:t>
            </w:r>
          </w:p>
        </w:tc>
        <w:tc>
          <w:tcPr>
            <w:tcW w:w="857" w:type="dxa"/>
          </w:tcPr>
          <w:p w14:paraId="7D4B3B00" w14:textId="77777777" w:rsidR="007B0C3E" w:rsidRPr="00B36910" w:rsidRDefault="007B0C3E" w:rsidP="00B06C11">
            <w:pPr>
              <w:jc w:val="right"/>
              <w:rPr>
                <w:sz w:val="16"/>
                <w:szCs w:val="16"/>
              </w:rPr>
            </w:pPr>
            <w:r w:rsidRPr="00B36910">
              <w:rPr>
                <w:sz w:val="16"/>
                <w:szCs w:val="16"/>
              </w:rPr>
              <w:t>306</w:t>
            </w:r>
          </w:p>
        </w:tc>
        <w:tc>
          <w:tcPr>
            <w:tcW w:w="857" w:type="dxa"/>
          </w:tcPr>
          <w:p w14:paraId="4A235C05" w14:textId="77777777" w:rsidR="007B0C3E" w:rsidRPr="00B36910" w:rsidRDefault="007B0C3E" w:rsidP="00B06C11">
            <w:pPr>
              <w:jc w:val="right"/>
              <w:rPr>
                <w:sz w:val="16"/>
                <w:szCs w:val="16"/>
              </w:rPr>
            </w:pPr>
            <w:r w:rsidRPr="00B36910">
              <w:rPr>
                <w:sz w:val="16"/>
                <w:szCs w:val="16"/>
              </w:rPr>
              <w:t>470</w:t>
            </w:r>
          </w:p>
        </w:tc>
        <w:tc>
          <w:tcPr>
            <w:tcW w:w="822" w:type="dxa"/>
          </w:tcPr>
          <w:p w14:paraId="498E10BF" w14:textId="77777777" w:rsidR="007B0C3E" w:rsidRPr="00B36910" w:rsidRDefault="007B0C3E" w:rsidP="00B06C11">
            <w:pPr>
              <w:jc w:val="right"/>
              <w:rPr>
                <w:sz w:val="16"/>
                <w:szCs w:val="16"/>
              </w:rPr>
            </w:pPr>
            <w:r w:rsidRPr="00B36910">
              <w:rPr>
                <w:sz w:val="16"/>
                <w:szCs w:val="16"/>
              </w:rPr>
              <w:t>50-69%</w:t>
            </w:r>
          </w:p>
        </w:tc>
      </w:tr>
      <w:tr w:rsidR="007B0C3E" w:rsidRPr="00B36910" w14:paraId="6AC72566" w14:textId="77777777" w:rsidTr="00B06C11">
        <w:trPr>
          <w:trHeight w:val="300"/>
        </w:trPr>
        <w:tc>
          <w:tcPr>
            <w:tcW w:w="839" w:type="dxa"/>
          </w:tcPr>
          <w:p w14:paraId="31913D99" w14:textId="77777777" w:rsidR="007B0C3E" w:rsidRPr="00B36910" w:rsidRDefault="007B0C3E" w:rsidP="00B06C11">
            <w:pPr>
              <w:jc w:val="center"/>
              <w:rPr>
                <w:b/>
                <w:bCs/>
                <w:sz w:val="16"/>
                <w:szCs w:val="16"/>
              </w:rPr>
            </w:pPr>
            <w:r w:rsidRPr="00B36910">
              <w:rPr>
                <w:b/>
                <w:bCs/>
                <w:sz w:val="16"/>
                <w:szCs w:val="16"/>
              </w:rPr>
              <w:t>CCG191</w:t>
            </w:r>
          </w:p>
        </w:tc>
        <w:tc>
          <w:tcPr>
            <w:tcW w:w="528" w:type="dxa"/>
          </w:tcPr>
          <w:p w14:paraId="2BF4F5E4" w14:textId="77777777" w:rsidR="007B0C3E" w:rsidRPr="00B36910" w:rsidRDefault="007B0C3E" w:rsidP="00B06C11">
            <w:pPr>
              <w:jc w:val="right"/>
              <w:rPr>
                <w:sz w:val="16"/>
                <w:szCs w:val="16"/>
              </w:rPr>
            </w:pPr>
            <w:r w:rsidRPr="00B36910">
              <w:rPr>
                <w:sz w:val="16"/>
                <w:szCs w:val="16"/>
              </w:rPr>
              <w:t>94.8</w:t>
            </w:r>
          </w:p>
        </w:tc>
        <w:tc>
          <w:tcPr>
            <w:tcW w:w="759" w:type="dxa"/>
          </w:tcPr>
          <w:p w14:paraId="6F8A0776" w14:textId="77777777" w:rsidR="007B0C3E" w:rsidRPr="00B36910" w:rsidRDefault="007B0C3E" w:rsidP="00B06C11">
            <w:pPr>
              <w:jc w:val="right"/>
              <w:rPr>
                <w:sz w:val="16"/>
                <w:szCs w:val="16"/>
              </w:rPr>
            </w:pPr>
            <w:r w:rsidRPr="00B36910">
              <w:rPr>
                <w:sz w:val="16"/>
                <w:szCs w:val="16"/>
              </w:rPr>
              <w:t>90.4</w:t>
            </w:r>
          </w:p>
        </w:tc>
        <w:tc>
          <w:tcPr>
            <w:tcW w:w="759" w:type="dxa"/>
          </w:tcPr>
          <w:p w14:paraId="1D4D3FB1" w14:textId="77777777" w:rsidR="007B0C3E" w:rsidRPr="00B36910" w:rsidRDefault="007B0C3E" w:rsidP="00B06C11">
            <w:pPr>
              <w:jc w:val="right"/>
              <w:rPr>
                <w:sz w:val="16"/>
                <w:szCs w:val="16"/>
              </w:rPr>
            </w:pPr>
            <w:r w:rsidRPr="00B36910">
              <w:rPr>
                <w:sz w:val="16"/>
                <w:szCs w:val="16"/>
              </w:rPr>
              <w:t>97.2</w:t>
            </w:r>
          </w:p>
        </w:tc>
        <w:tc>
          <w:tcPr>
            <w:tcW w:w="608" w:type="dxa"/>
          </w:tcPr>
          <w:p w14:paraId="37912CAA" w14:textId="77777777" w:rsidR="007B0C3E" w:rsidRPr="00B36910" w:rsidRDefault="007B0C3E" w:rsidP="00B06C11">
            <w:pPr>
              <w:jc w:val="right"/>
              <w:rPr>
                <w:sz w:val="16"/>
                <w:szCs w:val="16"/>
              </w:rPr>
            </w:pPr>
            <w:r w:rsidRPr="00B36910">
              <w:rPr>
                <w:sz w:val="16"/>
                <w:szCs w:val="16"/>
              </w:rPr>
              <w:t>172</w:t>
            </w:r>
          </w:p>
        </w:tc>
        <w:tc>
          <w:tcPr>
            <w:tcW w:w="572" w:type="dxa"/>
          </w:tcPr>
          <w:p w14:paraId="576B348C" w14:textId="77777777" w:rsidR="007B0C3E" w:rsidRPr="00B36910" w:rsidRDefault="007B0C3E" w:rsidP="00B06C11">
            <w:pPr>
              <w:jc w:val="right"/>
              <w:rPr>
                <w:sz w:val="16"/>
                <w:szCs w:val="16"/>
              </w:rPr>
            </w:pPr>
            <w:r w:rsidRPr="00B36910">
              <w:rPr>
                <w:sz w:val="16"/>
                <w:szCs w:val="16"/>
              </w:rPr>
              <w:t>163</w:t>
            </w:r>
          </w:p>
        </w:tc>
        <w:tc>
          <w:tcPr>
            <w:tcW w:w="857" w:type="dxa"/>
          </w:tcPr>
          <w:p w14:paraId="46CBC0F1" w14:textId="77777777" w:rsidR="007B0C3E" w:rsidRPr="00B36910" w:rsidRDefault="007B0C3E" w:rsidP="00B06C11">
            <w:pPr>
              <w:jc w:val="right"/>
              <w:rPr>
                <w:sz w:val="16"/>
                <w:szCs w:val="16"/>
              </w:rPr>
            </w:pPr>
            <w:r w:rsidRPr="00B36910">
              <w:rPr>
                <w:sz w:val="16"/>
                <w:szCs w:val="16"/>
              </w:rPr>
              <w:t>175</w:t>
            </w:r>
          </w:p>
        </w:tc>
        <w:tc>
          <w:tcPr>
            <w:tcW w:w="857" w:type="dxa"/>
          </w:tcPr>
          <w:p w14:paraId="11B5AE7A" w14:textId="77777777" w:rsidR="007B0C3E" w:rsidRPr="00B36910" w:rsidRDefault="007B0C3E" w:rsidP="00B06C11">
            <w:pPr>
              <w:jc w:val="right"/>
              <w:rPr>
                <w:sz w:val="16"/>
                <w:szCs w:val="16"/>
              </w:rPr>
            </w:pPr>
            <w:r w:rsidRPr="00B36910">
              <w:rPr>
                <w:sz w:val="16"/>
                <w:szCs w:val="16"/>
              </w:rPr>
              <w:t>307</w:t>
            </w:r>
          </w:p>
        </w:tc>
        <w:tc>
          <w:tcPr>
            <w:tcW w:w="822" w:type="dxa"/>
          </w:tcPr>
          <w:p w14:paraId="01F33865" w14:textId="77777777" w:rsidR="007B0C3E" w:rsidRPr="00B36910" w:rsidRDefault="007B0C3E" w:rsidP="00B06C11">
            <w:pPr>
              <w:jc w:val="right"/>
              <w:rPr>
                <w:sz w:val="16"/>
                <w:szCs w:val="16"/>
              </w:rPr>
            </w:pPr>
            <w:r w:rsidRPr="00B36910">
              <w:rPr>
                <w:sz w:val="16"/>
                <w:szCs w:val="16"/>
              </w:rPr>
              <w:t>50-69%</w:t>
            </w:r>
          </w:p>
        </w:tc>
      </w:tr>
      <w:tr w:rsidR="007B0C3E" w:rsidRPr="00B36910" w14:paraId="77AF9E9C" w14:textId="77777777" w:rsidTr="00B06C11">
        <w:trPr>
          <w:trHeight w:val="300"/>
        </w:trPr>
        <w:tc>
          <w:tcPr>
            <w:tcW w:w="839" w:type="dxa"/>
          </w:tcPr>
          <w:p w14:paraId="74F2A86C" w14:textId="77777777" w:rsidR="007B0C3E" w:rsidRPr="00B36910" w:rsidRDefault="007B0C3E" w:rsidP="00B06C11">
            <w:pPr>
              <w:jc w:val="center"/>
              <w:rPr>
                <w:b/>
                <w:bCs/>
                <w:sz w:val="16"/>
                <w:szCs w:val="16"/>
              </w:rPr>
            </w:pPr>
            <w:r w:rsidRPr="00B36910">
              <w:rPr>
                <w:b/>
                <w:bCs/>
                <w:sz w:val="16"/>
                <w:szCs w:val="16"/>
              </w:rPr>
              <w:t>CCG192</w:t>
            </w:r>
          </w:p>
        </w:tc>
        <w:tc>
          <w:tcPr>
            <w:tcW w:w="528" w:type="dxa"/>
          </w:tcPr>
          <w:p w14:paraId="1C343D6F" w14:textId="77777777" w:rsidR="007B0C3E" w:rsidRPr="00B36910" w:rsidRDefault="007B0C3E" w:rsidP="00B06C11">
            <w:pPr>
              <w:jc w:val="right"/>
              <w:rPr>
                <w:sz w:val="16"/>
                <w:szCs w:val="16"/>
              </w:rPr>
            </w:pPr>
            <w:r w:rsidRPr="00B36910">
              <w:rPr>
                <w:sz w:val="16"/>
                <w:szCs w:val="16"/>
              </w:rPr>
              <w:t>94.8</w:t>
            </w:r>
          </w:p>
        </w:tc>
        <w:tc>
          <w:tcPr>
            <w:tcW w:w="759" w:type="dxa"/>
          </w:tcPr>
          <w:p w14:paraId="1B258B17" w14:textId="77777777" w:rsidR="007B0C3E" w:rsidRPr="00B36910" w:rsidRDefault="007B0C3E" w:rsidP="00B06C11">
            <w:pPr>
              <w:jc w:val="right"/>
              <w:rPr>
                <w:sz w:val="16"/>
                <w:szCs w:val="16"/>
              </w:rPr>
            </w:pPr>
            <w:r w:rsidRPr="00B36910">
              <w:rPr>
                <w:sz w:val="16"/>
                <w:szCs w:val="16"/>
              </w:rPr>
              <w:t>89.2</w:t>
            </w:r>
          </w:p>
        </w:tc>
        <w:tc>
          <w:tcPr>
            <w:tcW w:w="759" w:type="dxa"/>
          </w:tcPr>
          <w:p w14:paraId="0A55BAF0" w14:textId="77777777" w:rsidR="007B0C3E" w:rsidRPr="00B36910" w:rsidRDefault="007B0C3E" w:rsidP="00B06C11">
            <w:pPr>
              <w:jc w:val="right"/>
              <w:rPr>
                <w:sz w:val="16"/>
                <w:szCs w:val="16"/>
              </w:rPr>
            </w:pPr>
            <w:r w:rsidRPr="00B36910">
              <w:rPr>
                <w:sz w:val="16"/>
                <w:szCs w:val="16"/>
              </w:rPr>
              <w:t>97.6</w:t>
            </w:r>
          </w:p>
        </w:tc>
        <w:tc>
          <w:tcPr>
            <w:tcW w:w="608" w:type="dxa"/>
          </w:tcPr>
          <w:p w14:paraId="15F14AE7" w14:textId="77777777" w:rsidR="007B0C3E" w:rsidRPr="00B36910" w:rsidRDefault="007B0C3E" w:rsidP="00B06C11">
            <w:pPr>
              <w:jc w:val="right"/>
              <w:rPr>
                <w:sz w:val="16"/>
                <w:szCs w:val="16"/>
              </w:rPr>
            </w:pPr>
            <w:r w:rsidRPr="00B36910">
              <w:rPr>
                <w:sz w:val="16"/>
                <w:szCs w:val="16"/>
              </w:rPr>
              <w:t>116</w:t>
            </w:r>
          </w:p>
        </w:tc>
        <w:tc>
          <w:tcPr>
            <w:tcW w:w="572" w:type="dxa"/>
          </w:tcPr>
          <w:p w14:paraId="64D33EDB" w14:textId="77777777" w:rsidR="007B0C3E" w:rsidRPr="00B36910" w:rsidRDefault="007B0C3E" w:rsidP="00B06C11">
            <w:pPr>
              <w:jc w:val="right"/>
              <w:rPr>
                <w:sz w:val="16"/>
                <w:szCs w:val="16"/>
              </w:rPr>
            </w:pPr>
            <w:r w:rsidRPr="00B36910">
              <w:rPr>
                <w:sz w:val="16"/>
                <w:szCs w:val="16"/>
              </w:rPr>
              <w:t>110</w:t>
            </w:r>
          </w:p>
        </w:tc>
        <w:tc>
          <w:tcPr>
            <w:tcW w:w="857" w:type="dxa"/>
          </w:tcPr>
          <w:p w14:paraId="171F4794" w14:textId="77777777" w:rsidR="007B0C3E" w:rsidRPr="00B36910" w:rsidRDefault="007B0C3E" w:rsidP="00B06C11">
            <w:pPr>
              <w:jc w:val="right"/>
              <w:rPr>
                <w:sz w:val="16"/>
                <w:szCs w:val="16"/>
              </w:rPr>
            </w:pPr>
            <w:r w:rsidRPr="00B36910">
              <w:rPr>
                <w:sz w:val="16"/>
                <w:szCs w:val="16"/>
              </w:rPr>
              <w:t>117</w:t>
            </w:r>
          </w:p>
        </w:tc>
        <w:tc>
          <w:tcPr>
            <w:tcW w:w="857" w:type="dxa"/>
          </w:tcPr>
          <w:p w14:paraId="2609C173" w14:textId="77777777" w:rsidR="007B0C3E" w:rsidRPr="00B36910" w:rsidRDefault="007B0C3E" w:rsidP="00B06C11">
            <w:pPr>
              <w:jc w:val="right"/>
              <w:rPr>
                <w:sz w:val="16"/>
                <w:szCs w:val="16"/>
              </w:rPr>
            </w:pPr>
            <w:r w:rsidRPr="00B36910">
              <w:rPr>
                <w:sz w:val="16"/>
                <w:szCs w:val="16"/>
              </w:rPr>
              <w:t>142</w:t>
            </w:r>
          </w:p>
        </w:tc>
        <w:tc>
          <w:tcPr>
            <w:tcW w:w="822" w:type="dxa"/>
          </w:tcPr>
          <w:p w14:paraId="5F4F1398" w14:textId="77777777" w:rsidR="007B0C3E" w:rsidRPr="00B36910" w:rsidRDefault="007B0C3E" w:rsidP="00B06C11">
            <w:pPr>
              <w:jc w:val="right"/>
              <w:rPr>
                <w:sz w:val="16"/>
                <w:szCs w:val="16"/>
              </w:rPr>
            </w:pPr>
            <w:r w:rsidRPr="00B36910">
              <w:rPr>
                <w:sz w:val="16"/>
                <w:szCs w:val="16"/>
              </w:rPr>
              <w:t>80-89%</w:t>
            </w:r>
          </w:p>
        </w:tc>
      </w:tr>
      <w:tr w:rsidR="007B0C3E" w:rsidRPr="00B36910" w14:paraId="46B932D7" w14:textId="77777777" w:rsidTr="00B06C11">
        <w:trPr>
          <w:trHeight w:val="300"/>
        </w:trPr>
        <w:tc>
          <w:tcPr>
            <w:tcW w:w="839" w:type="dxa"/>
          </w:tcPr>
          <w:p w14:paraId="2764B232" w14:textId="77777777" w:rsidR="007B0C3E" w:rsidRPr="00B36910" w:rsidRDefault="007B0C3E" w:rsidP="00B06C11">
            <w:pPr>
              <w:jc w:val="center"/>
              <w:rPr>
                <w:b/>
                <w:bCs/>
                <w:sz w:val="16"/>
                <w:szCs w:val="16"/>
              </w:rPr>
            </w:pPr>
            <w:r w:rsidRPr="00B36910">
              <w:rPr>
                <w:b/>
                <w:bCs/>
                <w:sz w:val="16"/>
                <w:szCs w:val="16"/>
              </w:rPr>
              <w:t>CCG193</w:t>
            </w:r>
          </w:p>
        </w:tc>
        <w:tc>
          <w:tcPr>
            <w:tcW w:w="528" w:type="dxa"/>
          </w:tcPr>
          <w:p w14:paraId="5D14F4D0" w14:textId="77777777" w:rsidR="007B0C3E" w:rsidRPr="00B36910" w:rsidRDefault="007B0C3E" w:rsidP="00B06C11">
            <w:pPr>
              <w:jc w:val="right"/>
              <w:rPr>
                <w:sz w:val="16"/>
                <w:szCs w:val="16"/>
              </w:rPr>
            </w:pPr>
            <w:r w:rsidRPr="00B36910">
              <w:rPr>
                <w:sz w:val="16"/>
                <w:szCs w:val="16"/>
              </w:rPr>
              <w:t>94.9</w:t>
            </w:r>
          </w:p>
        </w:tc>
        <w:tc>
          <w:tcPr>
            <w:tcW w:w="759" w:type="dxa"/>
          </w:tcPr>
          <w:p w14:paraId="0800C8CD" w14:textId="77777777" w:rsidR="007B0C3E" w:rsidRPr="00B36910" w:rsidRDefault="007B0C3E" w:rsidP="00B06C11">
            <w:pPr>
              <w:jc w:val="right"/>
              <w:rPr>
                <w:sz w:val="16"/>
                <w:szCs w:val="16"/>
              </w:rPr>
            </w:pPr>
            <w:r w:rsidRPr="00B36910">
              <w:rPr>
                <w:sz w:val="16"/>
                <w:szCs w:val="16"/>
              </w:rPr>
              <w:t>92.0</w:t>
            </w:r>
          </w:p>
        </w:tc>
        <w:tc>
          <w:tcPr>
            <w:tcW w:w="759" w:type="dxa"/>
          </w:tcPr>
          <w:p w14:paraId="21240FE8" w14:textId="77777777" w:rsidR="007B0C3E" w:rsidRPr="00B36910" w:rsidRDefault="007B0C3E" w:rsidP="00B06C11">
            <w:pPr>
              <w:jc w:val="right"/>
              <w:rPr>
                <w:sz w:val="16"/>
                <w:szCs w:val="16"/>
              </w:rPr>
            </w:pPr>
            <w:r w:rsidRPr="00B36910">
              <w:rPr>
                <w:sz w:val="16"/>
                <w:szCs w:val="16"/>
              </w:rPr>
              <w:t>96.8</w:t>
            </w:r>
          </w:p>
        </w:tc>
        <w:tc>
          <w:tcPr>
            <w:tcW w:w="608" w:type="dxa"/>
          </w:tcPr>
          <w:p w14:paraId="7F82E9EE" w14:textId="77777777" w:rsidR="007B0C3E" w:rsidRPr="00B36910" w:rsidRDefault="007B0C3E" w:rsidP="00B06C11">
            <w:pPr>
              <w:jc w:val="right"/>
              <w:rPr>
                <w:sz w:val="16"/>
                <w:szCs w:val="16"/>
              </w:rPr>
            </w:pPr>
            <w:r w:rsidRPr="00B36910">
              <w:rPr>
                <w:sz w:val="16"/>
                <w:szCs w:val="16"/>
              </w:rPr>
              <w:t>333</w:t>
            </w:r>
          </w:p>
        </w:tc>
        <w:tc>
          <w:tcPr>
            <w:tcW w:w="572" w:type="dxa"/>
          </w:tcPr>
          <w:p w14:paraId="5C554792" w14:textId="77777777" w:rsidR="007B0C3E" w:rsidRPr="00B36910" w:rsidRDefault="007B0C3E" w:rsidP="00B06C11">
            <w:pPr>
              <w:jc w:val="right"/>
              <w:rPr>
                <w:sz w:val="16"/>
                <w:szCs w:val="16"/>
              </w:rPr>
            </w:pPr>
            <w:r w:rsidRPr="00B36910">
              <w:rPr>
                <w:sz w:val="16"/>
                <w:szCs w:val="16"/>
              </w:rPr>
              <w:t>316</w:t>
            </w:r>
          </w:p>
        </w:tc>
        <w:tc>
          <w:tcPr>
            <w:tcW w:w="857" w:type="dxa"/>
          </w:tcPr>
          <w:p w14:paraId="4EA78C79" w14:textId="77777777" w:rsidR="007B0C3E" w:rsidRPr="00B36910" w:rsidRDefault="007B0C3E" w:rsidP="00B06C11">
            <w:pPr>
              <w:jc w:val="right"/>
              <w:rPr>
                <w:sz w:val="16"/>
                <w:szCs w:val="16"/>
              </w:rPr>
            </w:pPr>
            <w:r w:rsidRPr="00B36910">
              <w:rPr>
                <w:sz w:val="16"/>
                <w:szCs w:val="16"/>
              </w:rPr>
              <w:t>336</w:t>
            </w:r>
          </w:p>
        </w:tc>
        <w:tc>
          <w:tcPr>
            <w:tcW w:w="857" w:type="dxa"/>
          </w:tcPr>
          <w:p w14:paraId="0CC4CF08" w14:textId="77777777" w:rsidR="007B0C3E" w:rsidRPr="00B36910" w:rsidRDefault="007B0C3E" w:rsidP="00B06C11">
            <w:pPr>
              <w:jc w:val="right"/>
              <w:rPr>
                <w:sz w:val="16"/>
                <w:szCs w:val="16"/>
              </w:rPr>
            </w:pPr>
            <w:r w:rsidRPr="00B36910">
              <w:rPr>
                <w:sz w:val="16"/>
                <w:szCs w:val="16"/>
              </w:rPr>
              <w:t>428</w:t>
            </w:r>
          </w:p>
        </w:tc>
        <w:tc>
          <w:tcPr>
            <w:tcW w:w="822" w:type="dxa"/>
          </w:tcPr>
          <w:p w14:paraId="75472DE9" w14:textId="77777777" w:rsidR="007B0C3E" w:rsidRPr="00B36910" w:rsidRDefault="007B0C3E" w:rsidP="00B06C11">
            <w:pPr>
              <w:jc w:val="right"/>
              <w:rPr>
                <w:sz w:val="16"/>
                <w:szCs w:val="16"/>
              </w:rPr>
            </w:pPr>
            <w:r w:rsidRPr="00B36910">
              <w:rPr>
                <w:sz w:val="16"/>
                <w:szCs w:val="16"/>
              </w:rPr>
              <w:t>70-79%</w:t>
            </w:r>
          </w:p>
        </w:tc>
      </w:tr>
    </w:tbl>
    <w:p w14:paraId="0080E99D" w14:textId="77777777" w:rsidR="007B0C3E" w:rsidRDefault="007B0C3E"/>
    <w:p w14:paraId="3CD45C49" w14:textId="77777777" w:rsidR="007B0C3E" w:rsidRDefault="007B0C3E"/>
    <w:p w14:paraId="28A581A2" w14:textId="6883CD23" w:rsidR="007B0C3E" w:rsidRDefault="007B0C3E">
      <w:r w:rsidRPr="00B36910">
        <w:rPr>
          <w:noProof/>
          <w:lang w:eastAsia="en-GB"/>
        </w:rPr>
        <w:drawing>
          <wp:inline distT="0" distB="0" distL="0" distR="0" wp14:anchorId="23619561" wp14:editId="2D327A45">
            <wp:extent cx="4143375" cy="2575707"/>
            <wp:effectExtent l="0" t="0" r="0" b="0"/>
            <wp:docPr id="3" name="Picture 3" descr="funnel plot showing achievement of indicator per SNAPP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56470" cy="2583847"/>
                    </a:xfrm>
                    <a:prstGeom prst="rect">
                      <a:avLst/>
                    </a:prstGeom>
                    <a:noFill/>
                  </pic:spPr>
                </pic:pic>
              </a:graphicData>
            </a:graphic>
          </wp:inline>
        </w:drawing>
      </w:r>
    </w:p>
    <w:p w14:paraId="4E467E04" w14:textId="77777777" w:rsidR="007B0C3E" w:rsidRDefault="007B0C3E"/>
    <w:p w14:paraId="6EAB5817" w14:textId="77777777" w:rsidR="007B0C3E" w:rsidRDefault="007B0C3E"/>
    <w:p w14:paraId="597CB26F" w14:textId="015D2D9C" w:rsidR="00B36910" w:rsidRDefault="00B36910">
      <w:r>
        <w:t>Section 6 Risks</w:t>
      </w:r>
    </w:p>
    <w:tbl>
      <w:tblPr>
        <w:tblStyle w:val="TableGrid1"/>
        <w:tblW w:w="9367" w:type="dxa"/>
        <w:tblLayout w:type="fixed"/>
        <w:tblLook w:val="04A0" w:firstRow="1" w:lastRow="0" w:firstColumn="1" w:lastColumn="0" w:noHBand="0" w:noVBand="1"/>
      </w:tblPr>
      <w:tblGrid>
        <w:gridCol w:w="2500"/>
        <w:gridCol w:w="6867"/>
      </w:tblGrid>
      <w:tr w:rsidR="00B36910" w:rsidRPr="00B36910" w14:paraId="11360409" w14:textId="77777777" w:rsidTr="00B36910">
        <w:tc>
          <w:tcPr>
            <w:tcW w:w="2500" w:type="dxa"/>
          </w:tcPr>
          <w:p w14:paraId="0118D500" w14:textId="780FF1C8" w:rsidR="00B36910" w:rsidRPr="00B36910" w:rsidRDefault="00B36910" w:rsidP="00B36910">
            <w:pPr>
              <w:spacing w:before="240"/>
              <w:ind w:left="34"/>
              <w:rPr>
                <w:b/>
              </w:rPr>
            </w:pPr>
            <w:permStart w:id="171909795" w:edGrp="everyone" w:colFirst="1" w:colLast="1"/>
            <w:r>
              <w:rPr>
                <w:b/>
              </w:rPr>
              <w:t xml:space="preserve">6.1 </w:t>
            </w:r>
            <w:r w:rsidRPr="00B36910">
              <w:rPr>
                <w:b/>
              </w:rPr>
              <w:t>Similar existing indicators</w:t>
            </w:r>
          </w:p>
        </w:tc>
        <w:tc>
          <w:tcPr>
            <w:tcW w:w="6867" w:type="dxa"/>
          </w:tcPr>
          <w:p w14:paraId="30B0057E" w14:textId="77777777" w:rsidR="00B36910" w:rsidRPr="00B36910" w:rsidRDefault="00B36910" w:rsidP="00B36910">
            <w:pPr>
              <w:spacing w:before="240"/>
              <w:rPr>
                <w:rStyle w:val="Hyperlink"/>
                <w:color w:val="auto"/>
              </w:rPr>
            </w:pPr>
            <w:r w:rsidRPr="00B36910">
              <w:t xml:space="preserve">This indicator is published in different formats at CCG, trust and stroke team level on the SSNAP results portal </w:t>
            </w:r>
            <w:hyperlink r:id="rId24" w:history="1">
              <w:r w:rsidRPr="00B36910">
                <w:rPr>
                  <w:rStyle w:val="Hyperlink"/>
                  <w:color w:val="auto"/>
                </w:rPr>
                <w:t>http://www.strokeaudit.org/results/Clinical-audit/National-Results.aspx</w:t>
              </w:r>
            </w:hyperlink>
          </w:p>
          <w:p w14:paraId="6BCF77DB" w14:textId="77777777" w:rsidR="00B36910" w:rsidRPr="00B36910" w:rsidRDefault="00B36910" w:rsidP="00B36910">
            <w:pPr>
              <w:spacing w:before="240"/>
            </w:pPr>
            <w:r w:rsidRPr="00B36910">
              <w:t xml:space="preserve">The Accelerating Stroke Improvement National Plan was a national initiative designed to ensure that maximum implementation of the Quality Markers in the National Stroke Strategy </w:t>
            </w:r>
            <w:proofErr w:type="gramStart"/>
            <w:r w:rsidRPr="00B36910">
              <w:t>were</w:t>
            </w:r>
            <w:proofErr w:type="gramEnd"/>
            <w:r w:rsidRPr="00B36910">
              <w:t xml:space="preserve"> achieved before the end of the 2010/11 financial year. One of the measures (measure 4) looked at the proportion of patients spending 90% of their stay on a stroke unit, with the aim of 80% by April 2011 </w:t>
            </w:r>
            <w:hyperlink r:id="rId25" w:history="1">
              <w:r w:rsidRPr="00B36910">
                <w:rPr>
                  <w:rStyle w:val="Hyperlink"/>
                  <w:color w:val="auto"/>
                </w:rPr>
                <w:t>http://www.stroke-in-stoke.info/otherfiles/Accelerating%20Stroke%20Improvement%20National%20Plan.pdf</w:t>
              </w:r>
            </w:hyperlink>
          </w:p>
        </w:tc>
      </w:tr>
      <w:tr w:rsidR="00B36910" w:rsidRPr="00B36910" w14:paraId="6F37A4B6" w14:textId="77777777" w:rsidTr="00B36910">
        <w:tc>
          <w:tcPr>
            <w:tcW w:w="2500" w:type="dxa"/>
          </w:tcPr>
          <w:p w14:paraId="6626A885" w14:textId="2B93E56A" w:rsidR="00B36910" w:rsidRPr="00B36910" w:rsidRDefault="00B36910" w:rsidP="00B36910">
            <w:pPr>
              <w:spacing w:before="240"/>
              <w:ind w:left="34"/>
              <w:rPr>
                <w:b/>
              </w:rPr>
            </w:pPr>
            <w:permStart w:id="147994577" w:edGrp="everyone" w:colFirst="1" w:colLast="1"/>
            <w:permEnd w:id="171909795"/>
            <w:r>
              <w:rPr>
                <w:b/>
              </w:rPr>
              <w:t xml:space="preserve">6.2 </w:t>
            </w:r>
            <w:r w:rsidRPr="00B36910">
              <w:rPr>
                <w:b/>
              </w:rPr>
              <w:t>Coherence and comparability</w:t>
            </w:r>
          </w:p>
        </w:tc>
        <w:tc>
          <w:tcPr>
            <w:tcW w:w="6867" w:type="dxa"/>
          </w:tcPr>
          <w:p w14:paraId="741BF29F" w14:textId="77777777" w:rsidR="00B36910" w:rsidRPr="00B36910" w:rsidRDefault="00B36910" w:rsidP="00B36910">
            <w:pPr>
              <w:spacing w:before="240"/>
            </w:pPr>
            <w:r w:rsidRPr="00B36910">
              <w:t>The methodology and results for this indicator are consistent with the same indicator published on the SSNAP results portal.</w:t>
            </w:r>
          </w:p>
        </w:tc>
      </w:tr>
      <w:tr w:rsidR="00B36910" w:rsidRPr="00B36910" w14:paraId="77C84D4B" w14:textId="77777777" w:rsidTr="00B36910">
        <w:tc>
          <w:tcPr>
            <w:tcW w:w="2500" w:type="dxa"/>
          </w:tcPr>
          <w:p w14:paraId="33756979" w14:textId="6FE9D70F" w:rsidR="00B36910" w:rsidRPr="00B36910" w:rsidRDefault="00B36910" w:rsidP="00B36910">
            <w:pPr>
              <w:spacing w:before="240"/>
              <w:ind w:left="34"/>
              <w:rPr>
                <w:b/>
              </w:rPr>
            </w:pPr>
            <w:permStart w:id="1414668408" w:edGrp="everyone" w:colFirst="1" w:colLast="1"/>
            <w:permEnd w:id="147994577"/>
            <w:r>
              <w:rPr>
                <w:b/>
              </w:rPr>
              <w:t xml:space="preserve">6.3 </w:t>
            </w:r>
            <w:r w:rsidRPr="00B36910">
              <w:rPr>
                <w:b/>
              </w:rPr>
              <w:t>Undesired behaviours and/or gaming</w:t>
            </w:r>
          </w:p>
        </w:tc>
        <w:tc>
          <w:tcPr>
            <w:tcW w:w="6867" w:type="dxa"/>
          </w:tcPr>
          <w:p w14:paraId="3A5C08BF" w14:textId="77777777" w:rsidR="00B36910" w:rsidRPr="00B36910" w:rsidRDefault="00B36910" w:rsidP="00B36910">
            <w:pPr>
              <w:spacing w:before="240"/>
            </w:pPr>
            <w:r w:rsidRPr="00B36910">
              <w:t>Undesired behaviours have been addressed within this indicator by excluding those whose first ward of admission was ITU, CCU or HDU. This is to prevent any perverse incentives to have all patients on a stroke unit even if they are better off being treated elsewhere. Some patients’ conditions are sufficiently serious that the most appropriate place to meet their needs may not be a stroke unit.</w:t>
            </w:r>
          </w:p>
        </w:tc>
      </w:tr>
      <w:tr w:rsidR="00B36910" w:rsidRPr="00B36910" w14:paraId="7E6F0A95" w14:textId="77777777" w:rsidTr="00B36910">
        <w:tc>
          <w:tcPr>
            <w:tcW w:w="2500" w:type="dxa"/>
          </w:tcPr>
          <w:p w14:paraId="690CAE7F" w14:textId="397FB254" w:rsidR="00B36910" w:rsidRPr="00B36910" w:rsidRDefault="00B36910" w:rsidP="00B36910">
            <w:pPr>
              <w:spacing w:before="240"/>
              <w:ind w:left="34"/>
              <w:rPr>
                <w:b/>
              </w:rPr>
            </w:pPr>
            <w:permStart w:id="1959730013" w:edGrp="everyone" w:colFirst="1" w:colLast="1"/>
            <w:permEnd w:id="1414668408"/>
            <w:r>
              <w:rPr>
                <w:b/>
              </w:rPr>
              <w:t xml:space="preserve">6.4 </w:t>
            </w:r>
            <w:r w:rsidRPr="00B36910">
              <w:rPr>
                <w:b/>
              </w:rPr>
              <w:t>Approach to indicator review</w:t>
            </w:r>
          </w:p>
        </w:tc>
        <w:tc>
          <w:tcPr>
            <w:tcW w:w="6867" w:type="dxa"/>
          </w:tcPr>
          <w:p w14:paraId="268F1BCD" w14:textId="77777777" w:rsidR="00B36910" w:rsidRPr="00B36910" w:rsidRDefault="00B36910" w:rsidP="00B36910">
            <w:pPr>
              <w:spacing w:before="240"/>
            </w:pPr>
            <w:r w:rsidRPr="00B36910">
              <w:t>The Indicator Governance Board (IGB) set a review period of one year when the indicator was originally assured, due to the relative immaturity of the SSNAP data set at that time. The time period for the next review will again be set by IGB.</w:t>
            </w:r>
          </w:p>
          <w:p w14:paraId="5B2A3CE5" w14:textId="77777777" w:rsidR="00B36910" w:rsidRPr="00B36910" w:rsidRDefault="00B36910" w:rsidP="00B36910">
            <w:pPr>
              <w:spacing w:before="240"/>
            </w:pPr>
            <w:r w:rsidRPr="00B36910">
              <w:t xml:space="preserve">User feedback and comments on this indicator are welcomed via HSCIC Enquires </w:t>
            </w:r>
            <w:hyperlink r:id="rId26" w:history="1">
              <w:r w:rsidRPr="00B36910">
                <w:rPr>
                  <w:rStyle w:val="Hyperlink"/>
                  <w:color w:val="auto"/>
                </w:rPr>
                <w:t>enquiries@hscic.gov.uk</w:t>
              </w:r>
            </w:hyperlink>
            <w:r w:rsidRPr="00B36910">
              <w:t xml:space="preserve">  or the CCG OIS mailbox </w:t>
            </w:r>
            <w:hyperlink r:id="rId27" w:history="1">
              <w:r w:rsidRPr="00B36910">
                <w:rPr>
                  <w:rStyle w:val="Hyperlink"/>
                  <w:color w:val="auto"/>
                </w:rPr>
                <w:t>ccgois@hscic.gov.uk</w:t>
              </w:r>
            </w:hyperlink>
          </w:p>
        </w:tc>
      </w:tr>
      <w:tr w:rsidR="00B36910" w:rsidRPr="00B36910" w14:paraId="43DD3B7E" w14:textId="77777777" w:rsidTr="00B36910">
        <w:tc>
          <w:tcPr>
            <w:tcW w:w="2500" w:type="dxa"/>
          </w:tcPr>
          <w:p w14:paraId="6C175FB1" w14:textId="6F08ABB0" w:rsidR="00B36910" w:rsidRPr="00B36910" w:rsidRDefault="00B36910" w:rsidP="00B36910">
            <w:pPr>
              <w:spacing w:before="240"/>
              <w:ind w:left="34"/>
              <w:rPr>
                <w:b/>
              </w:rPr>
            </w:pPr>
            <w:permStart w:id="1707607913" w:edGrp="everyone" w:colFirst="1" w:colLast="1"/>
            <w:permEnd w:id="1959730013"/>
            <w:r>
              <w:rPr>
                <w:b/>
              </w:rPr>
              <w:t xml:space="preserve">6.5 </w:t>
            </w:r>
            <w:r w:rsidRPr="00B36910">
              <w:rPr>
                <w:b/>
              </w:rPr>
              <w:t>Disclosure control</w:t>
            </w:r>
          </w:p>
        </w:tc>
        <w:tc>
          <w:tcPr>
            <w:tcW w:w="6867" w:type="dxa"/>
          </w:tcPr>
          <w:p w14:paraId="57BEF38C" w14:textId="77777777" w:rsidR="00B36910" w:rsidRPr="00B36910" w:rsidRDefault="00B36910" w:rsidP="00B36910">
            <w:pPr>
              <w:spacing w:before="240"/>
            </w:pPr>
            <w:r w:rsidRPr="00B36910">
              <w:t xml:space="preserve">Case ascertainment used is the proportion of patients per CCG with primary ICD-10 codes I61, I63 and I64 in HES data who are included in SSNAP for the same time period. </w:t>
            </w:r>
          </w:p>
          <w:p w14:paraId="53923194" w14:textId="77777777" w:rsidR="00B36910" w:rsidRPr="00B36910" w:rsidRDefault="00B36910" w:rsidP="00B36910">
            <w:pPr>
              <w:spacing w:before="240"/>
            </w:pPr>
            <w:r w:rsidRPr="00B36910">
              <w:t xml:space="preserve">Case ascertainment is reported alongside the indicator for all CCGs. The indicator is not reported for any CCGs with lower than 50% case ascertainment or for those with fewer than 20 patients, instead replacing the percentage with ‘*’. </w:t>
            </w:r>
          </w:p>
          <w:p w14:paraId="2A84CDF0" w14:textId="77777777" w:rsidR="00B36910" w:rsidRPr="00B36910" w:rsidRDefault="00B36910" w:rsidP="00B36910">
            <w:pPr>
              <w:spacing w:before="240"/>
            </w:pPr>
            <w:r w:rsidRPr="00B36910">
              <w:t>Percentages are rounded to one decimal place before publication.</w:t>
            </w:r>
          </w:p>
        </w:tc>
      </w:tr>
      <w:tr w:rsidR="00B36910" w:rsidRPr="00B36910" w14:paraId="774359D3" w14:textId="77777777" w:rsidTr="00B36910">
        <w:tc>
          <w:tcPr>
            <w:tcW w:w="2500" w:type="dxa"/>
          </w:tcPr>
          <w:p w14:paraId="4B179895" w14:textId="5851E9A1" w:rsidR="00B36910" w:rsidRPr="00B36910" w:rsidRDefault="00B36910" w:rsidP="00B36910">
            <w:pPr>
              <w:spacing w:before="240"/>
              <w:ind w:left="34"/>
              <w:rPr>
                <w:b/>
              </w:rPr>
            </w:pPr>
            <w:permStart w:id="163938242" w:edGrp="everyone" w:colFirst="1" w:colLast="1"/>
            <w:permEnd w:id="1707607913"/>
            <w:r>
              <w:rPr>
                <w:b/>
              </w:rPr>
              <w:t xml:space="preserve">6.6 </w:t>
            </w:r>
            <w:r w:rsidRPr="00B36910">
              <w:rPr>
                <w:b/>
              </w:rPr>
              <w:t>Copyright</w:t>
            </w:r>
          </w:p>
        </w:tc>
        <w:tc>
          <w:tcPr>
            <w:tcW w:w="6867" w:type="dxa"/>
          </w:tcPr>
          <w:p w14:paraId="63455E66" w14:textId="77777777" w:rsidR="00B36910" w:rsidRPr="00B36910" w:rsidRDefault="00B36910" w:rsidP="00B36910">
            <w:pPr>
              <w:spacing w:before="240"/>
            </w:pPr>
            <w:r w:rsidRPr="00B36910">
              <w:t>There are no restrictions on the use of these data. Any subsequent use or publishing of these data should reference the RCP SSNAP</w:t>
            </w:r>
          </w:p>
        </w:tc>
      </w:tr>
      <w:permEnd w:id="163938242"/>
    </w:tbl>
    <w:p w14:paraId="6DD9EDA2" w14:textId="77777777" w:rsidR="006B00E7" w:rsidRPr="00B36910" w:rsidRDefault="006B00E7" w:rsidP="006B00E7"/>
    <w:p w14:paraId="48B0D8D7" w14:textId="53E7D6D7" w:rsidR="006B00E7" w:rsidRPr="00B36910" w:rsidRDefault="006B00E7" w:rsidP="00BD69FE">
      <w:pPr>
        <w:rPr>
          <w:b/>
          <w:sz w:val="24"/>
          <w:szCs w:val="24"/>
        </w:rPr>
      </w:pPr>
    </w:p>
    <w:p w14:paraId="0029CC5A" w14:textId="1F9A5FFC" w:rsidR="006B00E7" w:rsidRPr="00B36910" w:rsidRDefault="006B00E7" w:rsidP="00BD69FE">
      <w:pPr>
        <w:rPr>
          <w:b/>
          <w:sz w:val="24"/>
          <w:szCs w:val="24"/>
        </w:rPr>
      </w:pPr>
    </w:p>
    <w:p w14:paraId="0060F6BB" w14:textId="22E60F8B" w:rsidR="006B00E7" w:rsidRPr="00B36910" w:rsidRDefault="006B00E7" w:rsidP="00BD69FE">
      <w:pPr>
        <w:rPr>
          <w:b/>
          <w:sz w:val="24"/>
          <w:szCs w:val="24"/>
        </w:rPr>
      </w:pPr>
    </w:p>
    <w:p w14:paraId="6EEF1665" w14:textId="653B132E" w:rsidR="006B00E7" w:rsidRPr="00B36910" w:rsidRDefault="006B00E7" w:rsidP="00BD69FE">
      <w:pPr>
        <w:rPr>
          <w:b/>
          <w:sz w:val="24"/>
          <w:szCs w:val="24"/>
        </w:rPr>
      </w:pPr>
    </w:p>
    <w:p w14:paraId="265BBA88" w14:textId="280FBFAF" w:rsidR="006B00E7" w:rsidRPr="00B36910" w:rsidRDefault="006B00E7" w:rsidP="00BD69FE">
      <w:pPr>
        <w:rPr>
          <w:b/>
          <w:sz w:val="24"/>
          <w:szCs w:val="24"/>
        </w:rPr>
      </w:pPr>
    </w:p>
    <w:p w14:paraId="7F3972F7" w14:textId="59FC5821" w:rsidR="006B00E7" w:rsidRPr="00B36910" w:rsidRDefault="006B00E7" w:rsidP="00BD69FE">
      <w:pPr>
        <w:rPr>
          <w:b/>
          <w:sz w:val="24"/>
          <w:szCs w:val="24"/>
        </w:rPr>
      </w:pPr>
    </w:p>
    <w:p w14:paraId="40CDC121" w14:textId="3076F258" w:rsidR="006B00E7" w:rsidRPr="00B36910" w:rsidRDefault="006B00E7" w:rsidP="00BD69FE">
      <w:pPr>
        <w:rPr>
          <w:b/>
          <w:sz w:val="24"/>
          <w:szCs w:val="24"/>
        </w:rPr>
      </w:pPr>
    </w:p>
    <w:p w14:paraId="5E3BEE43" w14:textId="3C306771" w:rsidR="006B00E7" w:rsidRPr="00B36910" w:rsidRDefault="006B00E7" w:rsidP="00BD69FE">
      <w:pPr>
        <w:rPr>
          <w:b/>
          <w:sz w:val="24"/>
          <w:szCs w:val="24"/>
        </w:rPr>
      </w:pPr>
    </w:p>
    <w:p w14:paraId="27FD317E" w14:textId="376087A4" w:rsidR="006B00E7" w:rsidRPr="00B36910" w:rsidRDefault="006B00E7" w:rsidP="00BD69FE">
      <w:pPr>
        <w:rPr>
          <w:b/>
          <w:sz w:val="24"/>
          <w:szCs w:val="24"/>
        </w:rPr>
      </w:pPr>
    </w:p>
    <w:p w14:paraId="0D406264" w14:textId="7A0B5890" w:rsidR="006B00E7" w:rsidRPr="00B36910" w:rsidRDefault="006B00E7" w:rsidP="00BD69FE">
      <w:pPr>
        <w:rPr>
          <w:b/>
          <w:sz w:val="24"/>
          <w:szCs w:val="24"/>
        </w:rPr>
      </w:pPr>
    </w:p>
    <w:p w14:paraId="20517C08" w14:textId="71101226" w:rsidR="006B00E7" w:rsidRPr="00B36910" w:rsidRDefault="006B00E7" w:rsidP="00BD69FE">
      <w:pPr>
        <w:rPr>
          <w:b/>
          <w:sz w:val="24"/>
          <w:szCs w:val="24"/>
        </w:rPr>
      </w:pPr>
    </w:p>
    <w:p w14:paraId="10953471" w14:textId="4709979C" w:rsidR="006B00E7" w:rsidRPr="00B36910" w:rsidRDefault="006B00E7" w:rsidP="00BD69FE">
      <w:pPr>
        <w:rPr>
          <w:b/>
          <w:sz w:val="24"/>
          <w:szCs w:val="24"/>
        </w:rPr>
      </w:pPr>
    </w:p>
    <w:p w14:paraId="560A1D3A" w14:textId="5D1026F1" w:rsidR="006B00E7" w:rsidRPr="00B36910" w:rsidRDefault="006B00E7" w:rsidP="00BD69FE">
      <w:pPr>
        <w:rPr>
          <w:b/>
          <w:sz w:val="24"/>
          <w:szCs w:val="24"/>
        </w:rPr>
      </w:pPr>
    </w:p>
    <w:p w14:paraId="4FB2C278" w14:textId="17DB440C" w:rsidR="006B00E7" w:rsidRPr="00B36910" w:rsidRDefault="006B00E7" w:rsidP="00BD69FE">
      <w:pPr>
        <w:rPr>
          <w:b/>
          <w:sz w:val="24"/>
          <w:szCs w:val="24"/>
        </w:rPr>
      </w:pPr>
    </w:p>
    <w:p w14:paraId="51CE3AA7" w14:textId="6FACFEA5" w:rsidR="006B00E7" w:rsidRPr="00B36910" w:rsidRDefault="006B00E7" w:rsidP="00BD69FE">
      <w:pPr>
        <w:rPr>
          <w:b/>
          <w:sz w:val="24"/>
          <w:szCs w:val="24"/>
        </w:rPr>
      </w:pPr>
    </w:p>
    <w:p w14:paraId="5AB1E1F2" w14:textId="7535F13B" w:rsidR="006B00E7" w:rsidRPr="00B36910" w:rsidRDefault="006B00E7" w:rsidP="00BD69FE">
      <w:pPr>
        <w:rPr>
          <w:b/>
          <w:sz w:val="24"/>
          <w:szCs w:val="24"/>
        </w:rPr>
      </w:pPr>
    </w:p>
    <w:p w14:paraId="317448FD" w14:textId="5520E2C2" w:rsidR="006B00E7" w:rsidRPr="00B36910" w:rsidRDefault="006B00E7" w:rsidP="00BD69FE">
      <w:pPr>
        <w:rPr>
          <w:b/>
          <w:sz w:val="24"/>
          <w:szCs w:val="24"/>
        </w:rPr>
      </w:pPr>
    </w:p>
    <w:p w14:paraId="69A805F0" w14:textId="6DF8C3BE" w:rsidR="006B00E7" w:rsidRPr="00B36910" w:rsidRDefault="006B00E7" w:rsidP="00BD69FE">
      <w:pPr>
        <w:rPr>
          <w:b/>
          <w:sz w:val="24"/>
          <w:szCs w:val="24"/>
        </w:rPr>
      </w:pPr>
    </w:p>
    <w:p w14:paraId="7B7A3E04" w14:textId="1BAA122C" w:rsidR="006B00E7" w:rsidRPr="00B36910" w:rsidRDefault="006B00E7" w:rsidP="00BD69FE">
      <w:pPr>
        <w:rPr>
          <w:b/>
          <w:sz w:val="24"/>
          <w:szCs w:val="24"/>
        </w:rPr>
      </w:pPr>
    </w:p>
    <w:p w14:paraId="6687D90E" w14:textId="049EDB56" w:rsidR="006B00E7" w:rsidRPr="00B36910" w:rsidRDefault="006B00E7" w:rsidP="00BD69FE">
      <w:pPr>
        <w:rPr>
          <w:b/>
          <w:sz w:val="24"/>
          <w:szCs w:val="24"/>
        </w:rPr>
      </w:pPr>
    </w:p>
    <w:p w14:paraId="5D511F46" w14:textId="0C29A0A4" w:rsidR="006B00E7" w:rsidRPr="00B36910" w:rsidRDefault="006B00E7" w:rsidP="00BD69FE">
      <w:pPr>
        <w:rPr>
          <w:b/>
          <w:sz w:val="24"/>
          <w:szCs w:val="24"/>
        </w:rPr>
      </w:pPr>
    </w:p>
    <w:p w14:paraId="34046FBF" w14:textId="293FC6C2" w:rsidR="006B00E7" w:rsidRPr="00B36910" w:rsidRDefault="006B00E7" w:rsidP="00BD69FE">
      <w:pPr>
        <w:rPr>
          <w:b/>
          <w:sz w:val="24"/>
          <w:szCs w:val="24"/>
        </w:rPr>
      </w:pPr>
    </w:p>
    <w:p w14:paraId="0EB8C830" w14:textId="61E48665" w:rsidR="006B00E7" w:rsidRPr="00B36910" w:rsidRDefault="006B00E7" w:rsidP="00BD69FE">
      <w:pPr>
        <w:rPr>
          <w:b/>
          <w:sz w:val="24"/>
          <w:szCs w:val="24"/>
        </w:rPr>
      </w:pPr>
    </w:p>
    <w:p w14:paraId="1704A9EF" w14:textId="28F7F61D" w:rsidR="006B00E7" w:rsidRPr="00B36910" w:rsidRDefault="006B00E7" w:rsidP="00BD69FE">
      <w:pPr>
        <w:rPr>
          <w:b/>
          <w:sz w:val="24"/>
          <w:szCs w:val="24"/>
        </w:rPr>
      </w:pPr>
    </w:p>
    <w:p w14:paraId="4BA98A88" w14:textId="42344EA2" w:rsidR="006B00E7" w:rsidRPr="00B36910" w:rsidRDefault="006B00E7" w:rsidP="00BD69FE">
      <w:pPr>
        <w:rPr>
          <w:b/>
          <w:sz w:val="24"/>
          <w:szCs w:val="24"/>
        </w:rPr>
      </w:pPr>
    </w:p>
    <w:p w14:paraId="6BB984C6" w14:textId="47279DA9" w:rsidR="006B00E7" w:rsidRPr="00B36910" w:rsidRDefault="006B00E7" w:rsidP="00BD69FE">
      <w:pPr>
        <w:rPr>
          <w:b/>
          <w:sz w:val="24"/>
          <w:szCs w:val="24"/>
        </w:rPr>
      </w:pPr>
    </w:p>
    <w:p w14:paraId="55D82E71" w14:textId="617A7AEB" w:rsidR="006B00E7" w:rsidRPr="00B36910" w:rsidRDefault="006B00E7" w:rsidP="00BD69FE">
      <w:pPr>
        <w:rPr>
          <w:b/>
          <w:sz w:val="24"/>
          <w:szCs w:val="24"/>
        </w:rPr>
      </w:pPr>
    </w:p>
    <w:sdt>
      <w:sdtPr>
        <w:rPr>
          <w:rFonts w:ascii="Arial" w:eastAsiaTheme="majorEastAsia" w:hAnsi="Arial" w:cs="Arial"/>
          <w:caps/>
          <w:lang w:val="en-GB" w:eastAsia="en-US"/>
        </w:rPr>
        <w:id w:val="-28027844"/>
        <w:docPartObj>
          <w:docPartGallery w:val="Cover Pages"/>
          <w:docPartUnique/>
        </w:docPartObj>
      </w:sdtPr>
      <w:sdtEndPr>
        <w:rPr>
          <w:rFonts w:eastAsia="+mn-ea"/>
          <w:b/>
          <w:caps w:val="0"/>
          <w:position w:val="1"/>
          <w:sz w:val="26"/>
          <w:szCs w:val="26"/>
        </w:rPr>
      </w:sdtEndPr>
      <w:sdtContent>
        <w:tbl>
          <w:tblPr>
            <w:tblStyle w:val="TableGrid"/>
            <w:tblW w:w="5000" w:type="pct"/>
            <w:tblLook w:val="04A0" w:firstRow="1" w:lastRow="0" w:firstColumn="1" w:lastColumn="0" w:noHBand="0" w:noVBand="1"/>
          </w:tblPr>
          <w:tblGrid>
            <w:gridCol w:w="14537"/>
          </w:tblGrid>
          <w:tr w:rsidR="00B36910" w:rsidRPr="00B36910" w14:paraId="5830CD49" w14:textId="77777777" w:rsidTr="00B36910">
            <w:trPr>
              <w:trHeight w:val="2880"/>
            </w:trPr>
            <w:tc>
              <w:tcPr>
                <w:tcW w:w="5000" w:type="pct"/>
              </w:tcPr>
              <w:p w14:paraId="1CFA20E9" w14:textId="77777777" w:rsidR="006B00E7" w:rsidRPr="00B36910" w:rsidRDefault="006B00E7" w:rsidP="00B36910">
                <w:pPr>
                  <w:pStyle w:val="NoSpacing"/>
                  <w:jc w:val="center"/>
                  <w:rPr>
                    <w:rFonts w:ascii="Arial" w:eastAsiaTheme="majorEastAsia" w:hAnsi="Arial" w:cs="Arial"/>
                    <w:caps/>
                  </w:rPr>
                </w:pPr>
              </w:p>
              <w:p w14:paraId="42CD4730" w14:textId="77777777" w:rsidR="006B00E7" w:rsidRPr="00B36910" w:rsidRDefault="006B00E7" w:rsidP="00B36910">
                <w:pPr>
                  <w:pStyle w:val="NoSpacing"/>
                  <w:jc w:val="center"/>
                  <w:rPr>
                    <w:rFonts w:ascii="Arial" w:eastAsiaTheme="majorEastAsia" w:hAnsi="Arial" w:cs="Arial"/>
                    <w:caps/>
                  </w:rPr>
                </w:pPr>
                <w:r w:rsidRPr="00B36910">
                  <w:rPr>
                    <w:rFonts w:ascii="Arial" w:eastAsiaTheme="majorEastAsia" w:hAnsi="Arial" w:cs="Arial"/>
                    <w:caps/>
                    <w:noProof/>
                    <w:lang w:val="en-GB" w:eastAsia="en-GB"/>
                  </w:rPr>
                  <w:drawing>
                    <wp:inline distT="0" distB="0" distL="0" distR="0" wp14:anchorId="73BE0F8D" wp14:editId="30747BB2">
                      <wp:extent cx="2705100" cy="1262380"/>
                      <wp:effectExtent l="0" t="0" r="0" b="0"/>
                      <wp:docPr id="7" name="Picture 7" descr="Logo of indicator govern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8">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tc>
          </w:tr>
          <w:tr w:rsidR="00B36910" w:rsidRPr="00B36910" w14:paraId="1B411BF7" w14:textId="77777777" w:rsidTr="00B36910">
            <w:trPr>
              <w:trHeight w:val="1440"/>
            </w:trPr>
            <w:tc>
              <w:tcPr>
                <w:tcW w:w="5000" w:type="pct"/>
              </w:tcPr>
              <w:p w14:paraId="634042FB" w14:textId="77777777" w:rsidR="006B00E7" w:rsidRPr="00B36910" w:rsidRDefault="006B00E7" w:rsidP="00B36910">
                <w:pPr>
                  <w:pStyle w:val="NoSpacing"/>
                  <w:jc w:val="center"/>
                  <w:rPr>
                    <w:rFonts w:ascii="Arial" w:eastAsiaTheme="majorEastAsia" w:hAnsi="Arial" w:cs="Arial"/>
                    <w:sz w:val="72"/>
                    <w:szCs w:val="80"/>
                  </w:rPr>
                </w:pPr>
              </w:p>
              <w:p w14:paraId="335692BE" w14:textId="77777777" w:rsidR="006B00E7" w:rsidRPr="00B36910" w:rsidRDefault="006B00E7" w:rsidP="00B36910">
                <w:pPr>
                  <w:pStyle w:val="NoSpacing"/>
                  <w:jc w:val="center"/>
                  <w:rPr>
                    <w:rFonts w:ascii="Arial" w:eastAsiaTheme="majorEastAsia" w:hAnsi="Arial" w:cs="Arial"/>
                    <w:sz w:val="72"/>
                    <w:szCs w:val="80"/>
                  </w:rPr>
                </w:pPr>
              </w:p>
              <w:p w14:paraId="1B484AA8" w14:textId="77777777" w:rsidR="006B00E7" w:rsidRPr="00B36910" w:rsidRDefault="006B00E7" w:rsidP="00B36910">
                <w:pPr>
                  <w:pStyle w:val="NoSpacing"/>
                  <w:jc w:val="center"/>
                  <w:rPr>
                    <w:rFonts w:ascii="Arial" w:eastAsiaTheme="majorEastAsia" w:hAnsi="Arial" w:cs="Arial"/>
                    <w:sz w:val="72"/>
                    <w:szCs w:val="80"/>
                  </w:rPr>
                </w:pPr>
              </w:p>
              <w:p w14:paraId="3F64DB62" w14:textId="77777777" w:rsidR="006B00E7" w:rsidRPr="00B36910" w:rsidRDefault="006B00E7" w:rsidP="00B36910">
                <w:pPr>
                  <w:pStyle w:val="NoSpacing"/>
                  <w:jc w:val="center"/>
                  <w:rPr>
                    <w:rFonts w:ascii="Arial" w:eastAsiaTheme="majorEastAsia" w:hAnsi="Arial" w:cs="Arial"/>
                    <w:sz w:val="72"/>
                    <w:szCs w:val="80"/>
                  </w:rPr>
                </w:pPr>
                <w:r w:rsidRPr="00B36910">
                  <w:rPr>
                    <w:rFonts w:ascii="Arial" w:eastAsiaTheme="majorEastAsia" w:hAnsi="Arial" w:cs="Arial"/>
                    <w:sz w:val="72"/>
                    <w:szCs w:val="80"/>
                  </w:rPr>
                  <w:t>Indicator Assurance Report</w:t>
                </w:r>
              </w:p>
            </w:tc>
          </w:tr>
          <w:tr w:rsidR="00B36910" w:rsidRPr="00B36910" w14:paraId="2776445F" w14:textId="77777777" w:rsidTr="00B36910">
            <w:trPr>
              <w:trHeight w:val="360"/>
            </w:trPr>
            <w:tc>
              <w:tcPr>
                <w:tcW w:w="5000" w:type="pct"/>
              </w:tcPr>
              <w:p w14:paraId="2BDA92A5" w14:textId="77777777" w:rsidR="006B00E7" w:rsidRPr="00B36910" w:rsidRDefault="006B00E7" w:rsidP="00B36910">
                <w:pPr>
                  <w:pStyle w:val="NormalWeb"/>
                  <w:spacing w:before="0" w:beforeAutospacing="0" w:after="0" w:afterAutospacing="0"/>
                  <w:jc w:val="center"/>
                  <w:rPr>
                    <w:rFonts w:ascii="Arial" w:eastAsia="+mn-ea" w:hAnsi="Arial" w:cs="Arial"/>
                    <w:b/>
                    <w:position w:val="1"/>
                    <w:sz w:val="36"/>
                    <w:szCs w:val="36"/>
                  </w:rPr>
                </w:pPr>
              </w:p>
              <w:p w14:paraId="7B389B74" w14:textId="774EB27D" w:rsidR="006B00E7" w:rsidRPr="00B36910" w:rsidRDefault="006B00E7" w:rsidP="00B36910">
                <w:pPr>
                  <w:pStyle w:val="NormalWeb"/>
                  <w:spacing w:before="0" w:beforeAutospacing="0" w:after="0" w:afterAutospacing="0"/>
                  <w:jc w:val="center"/>
                  <w:rPr>
                    <w:rFonts w:ascii="Arial" w:eastAsia="+mn-ea" w:hAnsi="Arial" w:cs="Arial"/>
                    <w:b/>
                    <w:position w:val="1"/>
                    <w:sz w:val="36"/>
                    <w:szCs w:val="36"/>
                  </w:rPr>
                </w:pPr>
              </w:p>
              <w:p w14:paraId="45B0B756" w14:textId="77777777" w:rsidR="006B00E7" w:rsidRPr="00B36910" w:rsidRDefault="006B00E7" w:rsidP="00B36910">
                <w:pPr>
                  <w:pStyle w:val="NoSpacing"/>
                  <w:jc w:val="center"/>
                  <w:rPr>
                    <w:rFonts w:ascii="Arial" w:hAnsi="Arial" w:cs="Arial"/>
                    <w:sz w:val="36"/>
                    <w:szCs w:val="36"/>
                  </w:rPr>
                </w:pPr>
              </w:p>
            </w:tc>
          </w:tr>
          <w:tr w:rsidR="00B36910" w:rsidRPr="00B36910" w14:paraId="7ED4EC6D" w14:textId="77777777" w:rsidTr="00B36910">
            <w:trPr>
              <w:trHeight w:val="360"/>
            </w:trPr>
            <w:tc>
              <w:tcPr>
                <w:tcW w:w="5000" w:type="pct"/>
              </w:tcPr>
              <w:p w14:paraId="7F29BA16" w14:textId="77777777" w:rsidR="006B00E7" w:rsidRPr="00B36910" w:rsidRDefault="006B00E7" w:rsidP="00B36910">
                <w:pPr>
                  <w:pStyle w:val="NoSpacing"/>
                  <w:jc w:val="center"/>
                  <w:rPr>
                    <w:rFonts w:ascii="Arial" w:hAnsi="Arial" w:cs="Arial"/>
                    <w:b/>
                    <w:bCs/>
                    <w:sz w:val="28"/>
                    <w:szCs w:val="28"/>
                  </w:rPr>
                </w:pPr>
                <w:r w:rsidRPr="00B36910">
                  <w:rPr>
                    <w:rFonts w:ascii="Arial" w:hAnsi="Arial" w:cs="Arial"/>
                    <w:b/>
                    <w:bCs/>
                    <w:sz w:val="28"/>
                    <w:szCs w:val="28"/>
                  </w:rPr>
                  <w:t>IAP00335</w:t>
                </w:r>
              </w:p>
            </w:tc>
          </w:tr>
        </w:tbl>
        <w:p w14:paraId="497F1D57" w14:textId="77777777" w:rsidR="006B00E7" w:rsidRPr="00B36910" w:rsidRDefault="006B00E7" w:rsidP="006B00E7">
          <w:pPr>
            <w:jc w:val="center"/>
          </w:pPr>
        </w:p>
        <w:p w14:paraId="2C95634E" w14:textId="77777777" w:rsidR="006B00E7" w:rsidRPr="00B36910" w:rsidRDefault="006B00E7" w:rsidP="006B00E7"/>
        <w:p w14:paraId="7A0F72DC" w14:textId="77777777" w:rsidR="006B00E7" w:rsidRPr="00B36910" w:rsidRDefault="006B00E7" w:rsidP="006B00E7"/>
        <w:p w14:paraId="3DB665B9" w14:textId="77777777" w:rsidR="006B00E7" w:rsidRPr="00B36910" w:rsidRDefault="006B00E7" w:rsidP="006B00E7">
          <w:pPr>
            <w:rPr>
              <w:rFonts w:eastAsia="+mn-ea"/>
              <w:b/>
              <w:position w:val="1"/>
              <w:sz w:val="26"/>
              <w:szCs w:val="26"/>
              <w:lang w:eastAsia="en-GB"/>
            </w:rPr>
          </w:pPr>
          <w:r w:rsidRPr="00B36910">
            <w:rPr>
              <w:rFonts w:eastAsia="Times New Roman"/>
              <w:noProof/>
              <w:sz w:val="24"/>
              <w:szCs w:val="24"/>
              <w:lang w:eastAsia="en-GB"/>
            </w:rPr>
            <w:drawing>
              <wp:inline distT="0" distB="0" distL="0" distR="0" wp14:anchorId="6A0F0768" wp14:editId="18EA1616">
                <wp:extent cx="6452870" cy="1495425"/>
                <wp:effectExtent l="0" t="0" r="5080" b="9525"/>
                <wp:docPr id="6" name="Picture 6" descr="logos of support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email">
                          <a:extLst>
                            <a:ext uri="{28A0092B-C50C-407E-A947-70E740481C1C}">
                              <a14:useLocalDpi xmlns:a14="http://schemas.microsoft.com/office/drawing/2010/main" val="0"/>
                            </a:ext>
                          </a:extLst>
                        </a:blip>
                        <a:srcRect/>
                        <a:stretch>
                          <a:fillRect/>
                        </a:stretch>
                      </pic:blipFill>
                      <pic:spPr bwMode="auto">
                        <a:xfrm>
                          <a:off x="0" y="0"/>
                          <a:ext cx="6452870" cy="1495425"/>
                        </a:xfrm>
                        <a:prstGeom prst="rect">
                          <a:avLst/>
                        </a:prstGeom>
                        <a:noFill/>
                      </pic:spPr>
                    </pic:pic>
                  </a:graphicData>
                </a:graphic>
              </wp:inline>
            </w:drawing>
          </w:r>
          <w:r w:rsidRPr="00B36910">
            <w:rPr>
              <w:rFonts w:eastAsia="+mn-ea"/>
              <w:b/>
              <w:position w:val="1"/>
              <w:sz w:val="26"/>
              <w:szCs w:val="26"/>
            </w:rPr>
            <w:br w:type="page"/>
          </w:r>
        </w:p>
      </w:sdtContent>
    </w:sdt>
    <w:p w14:paraId="1969312B" w14:textId="77777777" w:rsidR="006B00E7" w:rsidRPr="00B36910" w:rsidRDefault="006B00E7" w:rsidP="006B00E7">
      <w:pPr>
        <w:pStyle w:val="NormalWeb"/>
        <w:spacing w:before="0" w:beforeAutospacing="0" w:after="0" w:afterAutospacing="0"/>
        <w:rPr>
          <w:rFonts w:ascii="Arial" w:eastAsia="+mn-ea" w:hAnsi="Arial" w:cs="Arial"/>
          <w:position w:val="1"/>
          <w:sz w:val="22"/>
          <w:szCs w:val="22"/>
        </w:rPr>
      </w:pPr>
    </w:p>
    <w:p w14:paraId="738FF29E" w14:textId="77777777" w:rsidR="006B00E7" w:rsidRPr="00B36910" w:rsidRDefault="006B00E7" w:rsidP="006B00E7">
      <w:pPr>
        <w:pStyle w:val="NormalWeb"/>
        <w:spacing w:before="0" w:beforeAutospacing="0" w:after="0" w:afterAutospacing="0"/>
        <w:rPr>
          <w:rFonts w:ascii="Arial" w:eastAsia="+mn-ea" w:hAnsi="Arial" w:cs="Arial"/>
          <w:b/>
          <w:position w:val="1"/>
          <w:sz w:val="32"/>
          <w:szCs w:val="26"/>
        </w:rPr>
      </w:pPr>
      <w:r w:rsidRPr="00B36910">
        <w:rPr>
          <w:rFonts w:ascii="Arial" w:eastAsia="+mn-ea" w:hAnsi="Arial" w:cs="Arial"/>
          <w:b/>
          <w:position w:val="1"/>
          <w:sz w:val="32"/>
          <w:szCs w:val="26"/>
        </w:rPr>
        <w:t>Final Assurance Rating from the Indicator Governance Board</w:t>
      </w:r>
    </w:p>
    <w:p w14:paraId="745B99D9"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p>
    <w:tbl>
      <w:tblPr>
        <w:tblStyle w:val="TableGrid1"/>
        <w:tblW w:w="0" w:type="auto"/>
        <w:tblLook w:val="04A0" w:firstRow="1" w:lastRow="0" w:firstColumn="1" w:lastColumn="0" w:noHBand="0" w:noVBand="1"/>
      </w:tblPr>
      <w:tblGrid>
        <w:gridCol w:w="3617"/>
        <w:gridCol w:w="1391"/>
      </w:tblGrid>
      <w:tr w:rsidR="007B0C3E" w:rsidRPr="00B36910" w14:paraId="61C8E075" w14:textId="77777777" w:rsidTr="007B0C3E">
        <w:tc>
          <w:tcPr>
            <w:tcW w:w="3617" w:type="dxa"/>
          </w:tcPr>
          <w:p w14:paraId="5AD48F74" w14:textId="77777777" w:rsidR="007B0C3E" w:rsidRPr="00B36910" w:rsidRDefault="007B0C3E" w:rsidP="00B36910">
            <w:pPr>
              <w:spacing w:before="120" w:after="120"/>
              <w:rPr>
                <w:rFonts w:eastAsia="+mn-ea"/>
                <w:b/>
                <w:position w:val="1"/>
                <w:szCs w:val="40"/>
              </w:rPr>
            </w:pPr>
            <w:r w:rsidRPr="00B36910">
              <w:rPr>
                <w:rFonts w:eastAsia="+mn-ea"/>
                <w:b/>
                <w:position w:val="1"/>
                <w:szCs w:val="40"/>
              </w:rPr>
              <w:t>Clarity</w:t>
            </w:r>
          </w:p>
        </w:tc>
        <w:tc>
          <w:tcPr>
            <w:tcW w:w="1391" w:type="dxa"/>
          </w:tcPr>
          <w:p w14:paraId="27903187" w14:textId="2E8B0EAD" w:rsidR="007B0C3E" w:rsidRPr="00B36910" w:rsidRDefault="007B0C3E" w:rsidP="00B36910">
            <w:pPr>
              <w:jc w:val="center"/>
              <w:rPr>
                <w:rFonts w:eastAsia="+mn-ea"/>
                <w:b/>
                <w:position w:val="1"/>
                <w:sz w:val="32"/>
                <w:szCs w:val="40"/>
              </w:rPr>
            </w:pPr>
            <w:r>
              <w:rPr>
                <w:rFonts w:eastAsia="+mn-ea"/>
                <w:b/>
                <w:position w:val="1"/>
                <w:sz w:val="32"/>
                <w:szCs w:val="40"/>
              </w:rPr>
              <w:t>Fit for use</w:t>
            </w:r>
          </w:p>
        </w:tc>
      </w:tr>
      <w:tr w:rsidR="007B0C3E" w:rsidRPr="00B36910" w14:paraId="278C69F0" w14:textId="77777777" w:rsidTr="007B0C3E">
        <w:tc>
          <w:tcPr>
            <w:tcW w:w="3617" w:type="dxa"/>
          </w:tcPr>
          <w:p w14:paraId="2DB5E566" w14:textId="77777777" w:rsidR="007B0C3E" w:rsidRPr="00B36910" w:rsidRDefault="007B0C3E" w:rsidP="00B36910">
            <w:pPr>
              <w:spacing w:before="120" w:after="120"/>
              <w:rPr>
                <w:rFonts w:eastAsia="+mn-ea"/>
                <w:b/>
                <w:position w:val="1"/>
                <w:szCs w:val="40"/>
              </w:rPr>
            </w:pPr>
            <w:r w:rsidRPr="00B36910">
              <w:rPr>
                <w:rFonts w:eastAsia="+mn-ea"/>
                <w:b/>
                <w:position w:val="1"/>
                <w:szCs w:val="40"/>
              </w:rPr>
              <w:t>Rationale</w:t>
            </w:r>
          </w:p>
        </w:tc>
        <w:tc>
          <w:tcPr>
            <w:tcW w:w="1391" w:type="dxa"/>
          </w:tcPr>
          <w:p w14:paraId="362E4150" w14:textId="27BEC323" w:rsidR="007B0C3E" w:rsidRPr="00B36910" w:rsidRDefault="007B0C3E" w:rsidP="00B36910">
            <w:pPr>
              <w:jc w:val="center"/>
              <w:rPr>
                <w:rFonts w:eastAsia="+mn-ea"/>
                <w:b/>
                <w:position w:val="1"/>
                <w:sz w:val="32"/>
                <w:szCs w:val="40"/>
              </w:rPr>
            </w:pPr>
            <w:r>
              <w:rPr>
                <w:rFonts w:eastAsia="+mn-ea"/>
                <w:b/>
                <w:position w:val="1"/>
                <w:sz w:val="32"/>
                <w:szCs w:val="40"/>
              </w:rPr>
              <w:t>Fit for use with caveats</w:t>
            </w:r>
          </w:p>
        </w:tc>
      </w:tr>
      <w:tr w:rsidR="007B0C3E" w:rsidRPr="00B36910" w14:paraId="1370FB37" w14:textId="77777777" w:rsidTr="007B0C3E">
        <w:tc>
          <w:tcPr>
            <w:tcW w:w="3617" w:type="dxa"/>
          </w:tcPr>
          <w:p w14:paraId="467114C9" w14:textId="77777777" w:rsidR="007B0C3E" w:rsidRPr="00B36910" w:rsidRDefault="007B0C3E" w:rsidP="00B36910">
            <w:pPr>
              <w:spacing w:before="120" w:after="120"/>
              <w:rPr>
                <w:rFonts w:eastAsia="+mn-ea"/>
                <w:b/>
                <w:position w:val="1"/>
                <w:szCs w:val="40"/>
              </w:rPr>
            </w:pPr>
            <w:r w:rsidRPr="00B36910">
              <w:rPr>
                <w:rFonts w:eastAsia="+mn-ea"/>
                <w:b/>
                <w:position w:val="1"/>
                <w:szCs w:val="40"/>
              </w:rPr>
              <w:t>Data</w:t>
            </w:r>
          </w:p>
        </w:tc>
        <w:tc>
          <w:tcPr>
            <w:tcW w:w="1391" w:type="dxa"/>
          </w:tcPr>
          <w:p w14:paraId="7B374C24" w14:textId="5C50E9B5"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 with caveats</w:t>
            </w:r>
          </w:p>
        </w:tc>
      </w:tr>
      <w:tr w:rsidR="007B0C3E" w:rsidRPr="00B36910" w14:paraId="71D48DCF" w14:textId="77777777" w:rsidTr="007B0C3E">
        <w:tc>
          <w:tcPr>
            <w:tcW w:w="3617" w:type="dxa"/>
          </w:tcPr>
          <w:p w14:paraId="7FF6F500" w14:textId="77777777" w:rsidR="007B0C3E" w:rsidRPr="00B36910" w:rsidRDefault="007B0C3E" w:rsidP="00B36910">
            <w:pPr>
              <w:spacing w:before="120" w:after="120"/>
              <w:rPr>
                <w:rFonts w:eastAsia="+mn-ea"/>
                <w:b/>
                <w:position w:val="1"/>
                <w:szCs w:val="40"/>
              </w:rPr>
            </w:pPr>
            <w:r w:rsidRPr="00B36910">
              <w:rPr>
                <w:rFonts w:eastAsia="+mn-ea"/>
                <w:b/>
                <w:position w:val="1"/>
                <w:szCs w:val="40"/>
              </w:rPr>
              <w:t>Construction</w:t>
            </w:r>
          </w:p>
        </w:tc>
        <w:tc>
          <w:tcPr>
            <w:tcW w:w="1391" w:type="dxa"/>
          </w:tcPr>
          <w:p w14:paraId="4021F584" w14:textId="2722B659"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w:t>
            </w:r>
          </w:p>
        </w:tc>
      </w:tr>
      <w:tr w:rsidR="007B0C3E" w:rsidRPr="00B36910" w14:paraId="7FEE3EE2" w14:textId="77777777" w:rsidTr="007B0C3E">
        <w:tc>
          <w:tcPr>
            <w:tcW w:w="3617" w:type="dxa"/>
          </w:tcPr>
          <w:p w14:paraId="01696C07" w14:textId="77777777" w:rsidR="007B0C3E" w:rsidRPr="00B36910" w:rsidRDefault="007B0C3E" w:rsidP="00B36910">
            <w:pPr>
              <w:spacing w:before="120" w:after="120"/>
              <w:rPr>
                <w:rFonts w:eastAsia="+mn-ea"/>
                <w:b/>
                <w:position w:val="1"/>
                <w:szCs w:val="40"/>
              </w:rPr>
            </w:pPr>
            <w:r w:rsidRPr="00B36910">
              <w:rPr>
                <w:rFonts w:eastAsia="+mn-ea"/>
                <w:b/>
                <w:position w:val="1"/>
                <w:szCs w:val="40"/>
              </w:rPr>
              <w:t>Presentation and Interpretation</w:t>
            </w:r>
          </w:p>
        </w:tc>
        <w:tc>
          <w:tcPr>
            <w:tcW w:w="1391" w:type="dxa"/>
          </w:tcPr>
          <w:p w14:paraId="44620889" w14:textId="79BA35E4"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 with caveats</w:t>
            </w:r>
          </w:p>
        </w:tc>
      </w:tr>
      <w:tr w:rsidR="007B0C3E" w:rsidRPr="00B36910" w14:paraId="7D8271A3" w14:textId="77777777" w:rsidTr="007B0C3E">
        <w:tc>
          <w:tcPr>
            <w:tcW w:w="3617" w:type="dxa"/>
          </w:tcPr>
          <w:p w14:paraId="09B6A131" w14:textId="77777777" w:rsidR="007B0C3E" w:rsidRPr="00B36910" w:rsidRDefault="007B0C3E" w:rsidP="00B36910">
            <w:pPr>
              <w:spacing w:before="120" w:after="120"/>
              <w:rPr>
                <w:rFonts w:eastAsia="+mn-ea"/>
                <w:b/>
                <w:position w:val="1"/>
                <w:szCs w:val="40"/>
              </w:rPr>
            </w:pPr>
            <w:r w:rsidRPr="00B36910">
              <w:rPr>
                <w:rFonts w:eastAsia="+mn-ea"/>
                <w:b/>
                <w:position w:val="1"/>
                <w:szCs w:val="40"/>
              </w:rPr>
              <w:t>Risks and Usefulness</w:t>
            </w:r>
          </w:p>
        </w:tc>
        <w:tc>
          <w:tcPr>
            <w:tcW w:w="1391" w:type="dxa"/>
          </w:tcPr>
          <w:p w14:paraId="3E527C97" w14:textId="77B2698E"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w:t>
            </w:r>
          </w:p>
        </w:tc>
      </w:tr>
      <w:tr w:rsidR="007B0C3E" w:rsidRPr="00B36910" w14:paraId="371BBABE" w14:textId="77777777" w:rsidTr="007B0C3E">
        <w:tc>
          <w:tcPr>
            <w:tcW w:w="3617" w:type="dxa"/>
          </w:tcPr>
          <w:p w14:paraId="21B29AD0" w14:textId="26CA1556" w:rsidR="007B0C3E" w:rsidRPr="00B36910" w:rsidRDefault="007B0C3E" w:rsidP="007B0C3E">
            <w:pPr>
              <w:spacing w:before="120" w:after="120"/>
              <w:rPr>
                <w:rFonts w:eastAsia="+mn-ea"/>
                <w:b/>
                <w:position w:val="1"/>
                <w:szCs w:val="40"/>
              </w:rPr>
            </w:pPr>
            <w:r>
              <w:rPr>
                <w:rFonts w:eastAsia="+mn-ea"/>
                <w:b/>
                <w:position w:val="1"/>
                <w:szCs w:val="40"/>
              </w:rPr>
              <w:t>Overall rating</w:t>
            </w:r>
          </w:p>
        </w:tc>
        <w:tc>
          <w:tcPr>
            <w:tcW w:w="1391" w:type="dxa"/>
          </w:tcPr>
          <w:sdt>
            <w:sdtPr>
              <w:rPr>
                <w:rStyle w:val="Style1"/>
                <w:color w:val="auto"/>
              </w:rPr>
              <w:alias w:val="Overall rating"/>
              <w:tag w:val="Overall rating"/>
              <w:id w:val="-197241580"/>
              <w:placeholder>
                <w:docPart w:val="59A93E47FD1A4560AE8DB12AF93EDC26"/>
              </w:placeholder>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dropDownList>
            </w:sdtPr>
            <w:sdtContent>
              <w:p w14:paraId="5BE9E5A4" w14:textId="007D64EF" w:rsidR="007B0C3E" w:rsidRPr="00B36910" w:rsidRDefault="007B0C3E" w:rsidP="007B0C3E">
                <w:pPr>
                  <w:jc w:val="center"/>
                  <w:rPr>
                    <w:rFonts w:eastAsia="+mn-ea"/>
                    <w:b/>
                    <w:noProof/>
                    <w:position w:val="1"/>
                    <w:sz w:val="32"/>
                    <w:szCs w:val="40"/>
                    <w:lang w:eastAsia="en-GB"/>
                  </w:rPr>
                </w:pPr>
                <w:r w:rsidRPr="00B36910">
                  <w:rPr>
                    <w:rStyle w:val="Style1"/>
                    <w:color w:val="auto"/>
                  </w:rPr>
                  <w:t>Fit for use with caveats</w:t>
                </w:r>
              </w:p>
            </w:sdtContent>
          </w:sdt>
        </w:tc>
      </w:tr>
    </w:tbl>
    <w:p w14:paraId="104E70AE"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p>
    <w:p w14:paraId="2C457D6F"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p>
    <w:tbl>
      <w:tblPr>
        <w:tblStyle w:val="TableGrid"/>
        <w:tblW w:w="0" w:type="auto"/>
        <w:tblLook w:val="04A0" w:firstRow="1" w:lastRow="0" w:firstColumn="1" w:lastColumn="0" w:noHBand="0" w:noVBand="1"/>
      </w:tblPr>
      <w:tblGrid>
        <w:gridCol w:w="10280"/>
      </w:tblGrid>
      <w:tr w:rsidR="00B36910" w:rsidRPr="00B36910" w14:paraId="230FE739" w14:textId="77777777" w:rsidTr="00B36910">
        <w:sdt>
          <w:sdtPr>
            <w:rPr>
              <w:rFonts w:ascii="Arial" w:eastAsia="+mn-ea" w:hAnsi="Arial" w:cs="Arial"/>
              <w:b/>
              <w:position w:val="1"/>
              <w:sz w:val="22"/>
              <w:szCs w:val="22"/>
            </w:rPr>
            <w:alias w:val="Library status"/>
            <w:tag w:val="Library status"/>
            <w:id w:val="309832324"/>
            <w:placeholder>
              <w:docPart w:val="BB0BC11583284AA48A86E6BE3507AF91"/>
            </w:placeholder>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tiy Assured Indicators" w:value="This indicator has not been approved for inclusion in the National Library of Qualtiy Assured Indicators"/>
            </w:dropDownList>
          </w:sdtPr>
          <w:sdtContent>
            <w:tc>
              <w:tcPr>
                <w:tcW w:w="10280" w:type="dxa"/>
                <w:tcBorders>
                  <w:top w:val="nil"/>
                  <w:left w:val="nil"/>
                  <w:bottom w:val="nil"/>
                  <w:right w:val="nil"/>
                </w:tcBorders>
                <w:shd w:val="clear" w:color="auto" w:fill="DBE5F1" w:themeFill="accent1" w:themeFillTint="33"/>
              </w:tcPr>
              <w:p w14:paraId="00E9C3F9" w14:textId="77777777" w:rsidR="006B00E7" w:rsidRPr="00B36910" w:rsidRDefault="006B00E7" w:rsidP="00B36910">
                <w:pPr>
                  <w:pStyle w:val="NormalWeb"/>
                  <w:spacing w:before="60" w:beforeAutospacing="0" w:after="60" w:afterAutospacing="0"/>
                  <w:rPr>
                    <w:rFonts w:ascii="Arial" w:eastAsia="+mn-ea" w:hAnsi="Arial" w:cs="Arial"/>
                    <w:b/>
                    <w:position w:val="1"/>
                    <w:sz w:val="22"/>
                    <w:szCs w:val="22"/>
                  </w:rPr>
                </w:pPr>
                <w:r w:rsidRPr="00B36910">
                  <w:rPr>
                    <w:rFonts w:ascii="Arial" w:eastAsia="+mn-ea" w:hAnsi="Arial" w:cs="Arial"/>
                    <w:b/>
                    <w:position w:val="1"/>
                    <w:sz w:val="22"/>
                    <w:szCs w:val="22"/>
                  </w:rPr>
                  <w:t>This indicator has been approved for inclusion in the National Library of Quality Assured Indicators</w:t>
                </w:r>
              </w:p>
            </w:tc>
          </w:sdtContent>
        </w:sdt>
      </w:tr>
    </w:tbl>
    <w:p w14:paraId="34263F4A"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p>
    <w:p w14:paraId="3A56C719" w14:textId="77777777" w:rsidR="006B00E7" w:rsidRPr="00B36910" w:rsidRDefault="006B00E7" w:rsidP="006B00E7">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B36910" w:rsidRPr="00B36910" w14:paraId="3CFEAB84" w14:textId="77777777" w:rsidTr="00B36910">
        <w:tc>
          <w:tcPr>
            <w:tcW w:w="10280" w:type="dxa"/>
            <w:shd w:val="clear" w:color="auto" w:fill="DBE5F1" w:themeFill="accent1" w:themeFillTint="33"/>
          </w:tcPr>
          <w:p w14:paraId="2E20D7AC" w14:textId="77777777" w:rsidR="006B00E7" w:rsidRPr="00B36910" w:rsidRDefault="006B00E7" w:rsidP="00B36910">
            <w:pPr>
              <w:pStyle w:val="NormalWeb"/>
              <w:spacing w:before="0" w:beforeAutospacing="0" w:after="0" w:afterAutospacing="0"/>
              <w:rPr>
                <w:rFonts w:ascii="Arial" w:eastAsia="+mn-ea" w:hAnsi="Arial" w:cs="Arial"/>
                <w:b/>
                <w:position w:val="1"/>
                <w:sz w:val="26"/>
                <w:szCs w:val="26"/>
              </w:rPr>
            </w:pPr>
            <w:r w:rsidRPr="00B36910">
              <w:rPr>
                <w:rFonts w:ascii="Arial" w:eastAsia="+mn-ea" w:hAnsi="Arial" w:cs="Arial"/>
                <w:b/>
                <w:position w:val="1"/>
                <w:sz w:val="26"/>
                <w:szCs w:val="26"/>
              </w:rPr>
              <w:t>Key findings from Assurance</w:t>
            </w:r>
          </w:p>
        </w:tc>
      </w:tr>
      <w:tr w:rsidR="00B36910" w:rsidRPr="00B36910" w14:paraId="4EF81F9A" w14:textId="77777777" w:rsidTr="00B36910">
        <w:tc>
          <w:tcPr>
            <w:tcW w:w="10280" w:type="dxa"/>
          </w:tcPr>
          <w:p w14:paraId="1106AC1D" w14:textId="77777777" w:rsidR="006B00E7" w:rsidRPr="00B36910" w:rsidRDefault="006B00E7" w:rsidP="00B36910">
            <w:pPr>
              <w:pStyle w:val="ListParagraph"/>
              <w:rPr>
                <w:rFonts w:ascii="Arial" w:eastAsia="+mn-ea" w:hAnsi="Arial" w:cs="Arial"/>
                <w:position w:val="1"/>
                <w:lang w:eastAsia="en-GB"/>
              </w:rPr>
            </w:pPr>
          </w:p>
          <w:p w14:paraId="4805A11D" w14:textId="77777777" w:rsidR="006B00E7" w:rsidRPr="00B36910" w:rsidRDefault="006B00E7" w:rsidP="00B36910">
            <w:pPr>
              <w:rPr>
                <w:rFonts w:eastAsia="+mn-ea"/>
                <w:position w:val="1"/>
                <w:lang w:eastAsia="en-GB"/>
              </w:rPr>
            </w:pPr>
          </w:p>
          <w:p w14:paraId="1B02A171" w14:textId="77777777" w:rsidR="006B00E7" w:rsidRPr="00B36910" w:rsidRDefault="006B00E7" w:rsidP="006B00E7">
            <w:pPr>
              <w:pStyle w:val="ListParagraph"/>
              <w:numPr>
                <w:ilvl w:val="0"/>
                <w:numId w:val="22"/>
              </w:numPr>
              <w:spacing w:after="0" w:line="240" w:lineRule="auto"/>
              <w:rPr>
                <w:rFonts w:ascii="Arial" w:eastAsia="+mn-ea" w:hAnsi="Arial" w:cs="Arial"/>
                <w:position w:val="1"/>
                <w:lang w:eastAsia="en-GB"/>
              </w:rPr>
            </w:pPr>
            <w:r w:rsidRPr="00B36910">
              <w:rPr>
                <w:rFonts w:ascii="Arial" w:eastAsia="+mn-ea" w:hAnsi="Arial" w:cs="Arial"/>
                <w:position w:val="1"/>
                <w:lang w:eastAsia="en-GB"/>
              </w:rPr>
              <w:t xml:space="preserve">No additional comments were raised by IGB who accepted the conclusions presented by MRG.  The review date for this indicator has been set at 3 years, at which point IGB will re-consider the indicator’s suitability for inclusion in the Library of Assured indicators. </w:t>
            </w:r>
          </w:p>
        </w:tc>
      </w:tr>
    </w:tbl>
    <w:p w14:paraId="1FE12F96" w14:textId="77777777" w:rsidR="006B00E7" w:rsidRPr="00B36910" w:rsidRDefault="006B00E7" w:rsidP="006B00E7">
      <w:pPr>
        <w:pStyle w:val="NormalWeb"/>
        <w:spacing w:before="0" w:beforeAutospacing="0" w:after="0" w:afterAutospacing="0"/>
        <w:rPr>
          <w:rFonts w:ascii="Arial" w:eastAsia="+mn-ea" w:hAnsi="Arial" w:cs="Arial"/>
          <w:position w:val="1"/>
          <w:sz w:val="22"/>
          <w:szCs w:val="22"/>
        </w:rPr>
      </w:pPr>
    </w:p>
    <w:p w14:paraId="1CEB62C3" w14:textId="77777777" w:rsidR="006B00E7" w:rsidRPr="00B36910" w:rsidRDefault="006B00E7" w:rsidP="006B00E7">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B36910" w:rsidRPr="00B36910" w14:paraId="2D608BE5" w14:textId="77777777" w:rsidTr="00B36910">
        <w:tc>
          <w:tcPr>
            <w:tcW w:w="3369" w:type="dxa"/>
            <w:shd w:val="clear" w:color="auto" w:fill="DBE5F1" w:themeFill="accent1" w:themeFillTint="33"/>
          </w:tcPr>
          <w:p w14:paraId="0D38A171" w14:textId="77777777" w:rsidR="006B00E7" w:rsidRPr="00B36910" w:rsidRDefault="006B00E7" w:rsidP="00B36910">
            <w:pPr>
              <w:pStyle w:val="NormalWeb"/>
              <w:spacing w:before="60" w:beforeAutospacing="0" w:after="60" w:afterAutospacing="0"/>
              <w:rPr>
                <w:rFonts w:ascii="Arial" w:eastAsia="+mn-ea" w:hAnsi="Arial" w:cs="Arial"/>
                <w:b/>
                <w:position w:val="1"/>
                <w:sz w:val="22"/>
                <w:szCs w:val="22"/>
              </w:rPr>
            </w:pPr>
            <w:r w:rsidRPr="00B36910">
              <w:rPr>
                <w:rFonts w:ascii="Arial" w:eastAsia="+mn-ea" w:hAnsi="Arial" w:cs="Arial"/>
                <w:b/>
                <w:position w:val="1"/>
                <w:sz w:val="22"/>
                <w:szCs w:val="22"/>
              </w:rPr>
              <w:t>Approval date</w:t>
            </w:r>
          </w:p>
        </w:tc>
        <w:sdt>
          <w:sdtPr>
            <w:rPr>
              <w:rFonts w:ascii="Arial" w:eastAsia="+mn-ea" w:hAnsi="Arial" w:cs="Arial"/>
              <w:position w:val="1"/>
              <w:sz w:val="22"/>
              <w:szCs w:val="22"/>
            </w:rPr>
            <w:id w:val="1802733087"/>
            <w:placeholder>
              <w:docPart w:val="4FFFCF9BCD4D4CDEB7D4AF3AED83655C"/>
            </w:placeholder>
            <w:date w:fullDate="2015-12-14T00:00:00Z">
              <w:dateFormat w:val="dd/MM/yyyy"/>
              <w:lid w:val="en-GB"/>
              <w:storeMappedDataAs w:val="dateTime"/>
              <w:calendar w:val="gregorian"/>
            </w:date>
          </w:sdtPr>
          <w:sdtContent>
            <w:tc>
              <w:tcPr>
                <w:tcW w:w="6945" w:type="dxa"/>
              </w:tcPr>
              <w:p w14:paraId="50963448" w14:textId="77777777" w:rsidR="006B00E7" w:rsidRPr="00B36910" w:rsidRDefault="006B00E7" w:rsidP="00B36910">
                <w:pPr>
                  <w:pStyle w:val="NormalWeb"/>
                  <w:spacing w:before="60" w:beforeAutospacing="0" w:after="60" w:afterAutospacing="0"/>
                  <w:rPr>
                    <w:rFonts w:ascii="Arial" w:eastAsia="+mn-ea" w:hAnsi="Arial" w:cs="Arial"/>
                    <w:position w:val="1"/>
                    <w:sz w:val="22"/>
                    <w:szCs w:val="22"/>
                  </w:rPr>
                </w:pPr>
                <w:r w:rsidRPr="00B36910">
                  <w:rPr>
                    <w:rFonts w:ascii="Arial" w:eastAsia="+mn-ea" w:hAnsi="Arial" w:cs="Arial"/>
                    <w:position w:val="1"/>
                    <w:sz w:val="22"/>
                    <w:szCs w:val="22"/>
                  </w:rPr>
                  <w:t>14/12/2015</w:t>
                </w:r>
              </w:p>
            </w:tc>
          </w:sdtContent>
        </w:sdt>
      </w:tr>
      <w:tr w:rsidR="00B36910" w:rsidRPr="00B36910" w14:paraId="59FC6633" w14:textId="77777777" w:rsidTr="00B36910">
        <w:tc>
          <w:tcPr>
            <w:tcW w:w="3369" w:type="dxa"/>
            <w:shd w:val="clear" w:color="auto" w:fill="DBE5F1" w:themeFill="accent1" w:themeFillTint="33"/>
          </w:tcPr>
          <w:p w14:paraId="6BE38C95" w14:textId="77777777" w:rsidR="006B00E7" w:rsidRPr="00B36910" w:rsidRDefault="006B00E7" w:rsidP="00B36910">
            <w:pPr>
              <w:pStyle w:val="NormalWeb"/>
              <w:spacing w:before="60" w:beforeAutospacing="0" w:after="60" w:afterAutospacing="0"/>
              <w:rPr>
                <w:rFonts w:ascii="Arial" w:eastAsia="+mn-ea" w:hAnsi="Arial" w:cs="Arial"/>
                <w:b/>
                <w:position w:val="1"/>
                <w:sz w:val="22"/>
                <w:szCs w:val="22"/>
              </w:rPr>
            </w:pPr>
            <w:r w:rsidRPr="00B36910">
              <w:rPr>
                <w:rFonts w:ascii="Arial" w:eastAsia="+mn-ea" w:hAnsi="Arial" w:cs="Arial"/>
                <w:b/>
                <w:position w:val="1"/>
                <w:sz w:val="22"/>
                <w:szCs w:val="22"/>
              </w:rPr>
              <w:t>Review date</w:t>
            </w:r>
          </w:p>
        </w:tc>
        <w:sdt>
          <w:sdtPr>
            <w:rPr>
              <w:rFonts w:ascii="Arial" w:eastAsia="+mn-ea" w:hAnsi="Arial" w:cs="Arial"/>
              <w:position w:val="1"/>
              <w:sz w:val="22"/>
              <w:szCs w:val="22"/>
            </w:rPr>
            <w:id w:val="969868933"/>
            <w:placeholder>
              <w:docPart w:val="4FFFCF9BCD4D4CDEB7D4AF3AED83655C"/>
            </w:placeholder>
            <w:date w:fullDate="2018-12-14T00:00:00Z">
              <w:dateFormat w:val="dd/MM/yyyy"/>
              <w:lid w:val="en-GB"/>
              <w:storeMappedDataAs w:val="dateTime"/>
              <w:calendar w:val="gregorian"/>
            </w:date>
          </w:sdtPr>
          <w:sdtContent>
            <w:tc>
              <w:tcPr>
                <w:tcW w:w="6945" w:type="dxa"/>
              </w:tcPr>
              <w:p w14:paraId="13951968" w14:textId="77777777" w:rsidR="006B00E7" w:rsidRPr="00B36910" w:rsidRDefault="006B00E7" w:rsidP="00B36910">
                <w:pPr>
                  <w:pStyle w:val="NormalWeb"/>
                  <w:spacing w:before="60" w:beforeAutospacing="0" w:after="60" w:afterAutospacing="0"/>
                  <w:rPr>
                    <w:rFonts w:ascii="Arial" w:eastAsia="+mn-ea" w:hAnsi="Arial" w:cs="Arial"/>
                    <w:position w:val="1"/>
                    <w:sz w:val="22"/>
                    <w:szCs w:val="22"/>
                  </w:rPr>
                </w:pPr>
                <w:r w:rsidRPr="00B36910">
                  <w:rPr>
                    <w:rFonts w:ascii="Arial" w:eastAsia="+mn-ea" w:hAnsi="Arial" w:cs="Arial"/>
                    <w:position w:val="1"/>
                    <w:sz w:val="22"/>
                    <w:szCs w:val="22"/>
                  </w:rPr>
                  <w:t>14/12/2018</w:t>
                </w:r>
              </w:p>
            </w:tc>
          </w:sdtContent>
        </w:sdt>
      </w:tr>
    </w:tbl>
    <w:p w14:paraId="42E98DF1" w14:textId="77777777" w:rsidR="006B00E7" w:rsidRPr="00B36910" w:rsidRDefault="006B00E7" w:rsidP="006B00E7">
      <w:pPr>
        <w:pStyle w:val="NormalWeb"/>
        <w:spacing w:before="0" w:beforeAutospacing="0" w:after="0" w:afterAutospacing="0"/>
        <w:rPr>
          <w:rFonts w:ascii="Arial" w:eastAsia="+mn-ea" w:hAnsi="Arial" w:cs="Arial"/>
          <w:position w:val="1"/>
          <w:sz w:val="22"/>
          <w:szCs w:val="22"/>
        </w:rPr>
      </w:pPr>
    </w:p>
    <w:p w14:paraId="14F7211B" w14:textId="77777777" w:rsidR="006B00E7" w:rsidRPr="00B36910" w:rsidRDefault="006B00E7" w:rsidP="006B00E7">
      <w:pPr>
        <w:pStyle w:val="NormalWeb"/>
        <w:spacing w:before="0" w:beforeAutospacing="0" w:after="0" w:afterAutospacing="0"/>
        <w:ind w:left="142" w:hanging="142"/>
        <w:rPr>
          <w:rFonts w:ascii="Arial" w:eastAsia="+mn-ea" w:hAnsi="Arial" w:cs="Arial"/>
          <w:position w:val="1"/>
          <w:sz w:val="22"/>
          <w:szCs w:val="22"/>
        </w:rPr>
      </w:pPr>
    </w:p>
    <w:p w14:paraId="67BDD861" w14:textId="77777777" w:rsidR="006B00E7" w:rsidRPr="00B36910" w:rsidRDefault="006B00E7" w:rsidP="006B00E7">
      <w:r w:rsidRPr="00B36910">
        <w:br w:type="page"/>
      </w:r>
    </w:p>
    <w:p w14:paraId="7922FDB1" w14:textId="77777777" w:rsidR="006B00E7" w:rsidRPr="00B36910" w:rsidRDefault="006B00E7" w:rsidP="006B00E7">
      <w:pPr>
        <w:pStyle w:val="NormalWeb"/>
        <w:spacing w:before="0" w:beforeAutospacing="0" w:after="0" w:afterAutospacing="0"/>
        <w:rPr>
          <w:rFonts w:ascii="Arial" w:eastAsia="+mn-ea" w:hAnsi="Arial" w:cs="Arial"/>
          <w:b/>
          <w:position w:val="1"/>
          <w:sz w:val="32"/>
          <w:szCs w:val="32"/>
        </w:rPr>
      </w:pPr>
      <w:r w:rsidRPr="00B36910">
        <w:rPr>
          <w:rFonts w:ascii="Arial" w:eastAsia="+mn-ea" w:hAnsi="Arial" w:cs="Arial"/>
          <w:b/>
          <w:position w:val="1"/>
          <w:sz w:val="32"/>
          <w:szCs w:val="32"/>
        </w:rPr>
        <w:t xml:space="preserve">Details of Methodology Appraisal - </w:t>
      </w:r>
      <w:sdt>
        <w:sdtPr>
          <w:rPr>
            <w:rFonts w:ascii="Arial" w:eastAsia="+mn-ea" w:hAnsi="Arial" w:cs="Arial"/>
            <w:b/>
            <w:position w:val="1"/>
            <w:sz w:val="32"/>
            <w:szCs w:val="32"/>
          </w:rPr>
          <w:id w:val="-15469250"/>
          <w:placeholder>
            <w:docPart w:val="4FFFCF9BCD4D4CDEB7D4AF3AED83655C"/>
          </w:placeholder>
          <w:date w:fullDate="2015-09-10T00:00:00Z">
            <w:dateFormat w:val="dd/MM/yyyy"/>
            <w:lid w:val="en-GB"/>
            <w:storeMappedDataAs w:val="dateTime"/>
            <w:calendar w:val="gregorian"/>
          </w:date>
        </w:sdtPr>
        <w:sdtContent>
          <w:r w:rsidRPr="00B36910">
            <w:rPr>
              <w:rFonts w:ascii="Arial" w:eastAsia="+mn-ea" w:hAnsi="Arial" w:cs="Arial"/>
              <w:b/>
              <w:position w:val="1"/>
              <w:sz w:val="32"/>
              <w:szCs w:val="32"/>
            </w:rPr>
            <w:t>10/09/2015</w:t>
          </w:r>
        </w:sdtContent>
      </w:sdt>
    </w:p>
    <w:p w14:paraId="4E6B6430"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B36910" w:rsidRPr="00B36910" w14:paraId="4EB2E280" w14:textId="77777777" w:rsidTr="00B36910">
        <w:tc>
          <w:tcPr>
            <w:tcW w:w="3369" w:type="dxa"/>
            <w:shd w:val="clear" w:color="auto" w:fill="DBE5F1" w:themeFill="accent1" w:themeFillTint="33"/>
          </w:tcPr>
          <w:p w14:paraId="08EF6D11" w14:textId="77777777" w:rsidR="006B00E7" w:rsidRPr="00B36910" w:rsidRDefault="006B00E7" w:rsidP="00B36910">
            <w:pPr>
              <w:pStyle w:val="NormalWeb"/>
              <w:spacing w:beforeLines="60" w:before="144" w:beforeAutospacing="0" w:afterLines="60" w:after="144" w:afterAutospacing="0"/>
              <w:rPr>
                <w:rFonts w:ascii="Arial" w:eastAsia="+mn-ea" w:hAnsi="Arial" w:cs="Arial"/>
                <w:b/>
                <w:position w:val="1"/>
                <w:sz w:val="22"/>
                <w:szCs w:val="22"/>
              </w:rPr>
            </w:pPr>
            <w:r w:rsidRPr="00B36910">
              <w:rPr>
                <w:rFonts w:ascii="Arial" w:eastAsia="+mn-ea" w:hAnsi="Arial" w:cs="Arial"/>
                <w:b/>
                <w:position w:val="1"/>
                <w:sz w:val="22"/>
                <w:szCs w:val="22"/>
              </w:rPr>
              <w:t>Methodology appraisal body</w:t>
            </w:r>
          </w:p>
        </w:tc>
        <w:tc>
          <w:tcPr>
            <w:tcW w:w="6945" w:type="dxa"/>
          </w:tcPr>
          <w:p w14:paraId="6437E0AB" w14:textId="77777777" w:rsidR="006B00E7" w:rsidRPr="00B36910" w:rsidRDefault="00B36910" w:rsidP="00B36910">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746196676"/>
                <w:placeholder>
                  <w:docPart w:val="BB0BC11583284AA48A86E6BE3507AF91"/>
                </w:placeholder>
                <w:dropDownList>
                  <w:listItem w:value="Choose an item."/>
                  <w:listItem w:displayText="HSCIC's Indicator &amp; Methodology Assurance Service" w:value="HSCIC's Indicator &amp; Methodology Assurance Service"/>
                </w:dropDownList>
              </w:sdtPr>
              <w:sdtContent>
                <w:r w:rsidR="006B00E7" w:rsidRPr="00B36910">
                  <w:rPr>
                    <w:rFonts w:ascii="Arial" w:eastAsia="+mn-ea" w:hAnsi="Arial" w:cs="Arial"/>
                    <w:position w:val="1"/>
                    <w:sz w:val="22"/>
                    <w:szCs w:val="22"/>
                  </w:rPr>
                  <w:t>HSCIC's Indicator &amp; Methodology Assurance Service</w:t>
                </w:r>
              </w:sdtContent>
            </w:sdt>
          </w:p>
        </w:tc>
      </w:tr>
      <w:tr w:rsidR="00B36910" w:rsidRPr="00B36910" w14:paraId="3FB16485" w14:textId="77777777" w:rsidTr="00B36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3FA8354C" w14:textId="77777777" w:rsidR="006B00E7" w:rsidRPr="00B36910" w:rsidRDefault="006B00E7" w:rsidP="00B36910">
            <w:pPr>
              <w:pStyle w:val="NormalWeb"/>
              <w:spacing w:beforeLines="60" w:before="144" w:beforeAutospacing="0" w:afterLines="60" w:after="144" w:afterAutospacing="0"/>
              <w:rPr>
                <w:rFonts w:ascii="Arial" w:eastAsia="+mn-ea" w:hAnsi="Arial" w:cs="Arial"/>
                <w:position w:val="1"/>
                <w:sz w:val="22"/>
                <w:szCs w:val="22"/>
              </w:rPr>
            </w:pPr>
            <w:r w:rsidRPr="00B36910">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002898441"/>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3311748F" w14:textId="77777777" w:rsidR="006B00E7" w:rsidRPr="00B36910" w:rsidRDefault="006B00E7" w:rsidP="00B36910">
                <w:pPr>
                  <w:pStyle w:val="NormalWeb"/>
                  <w:spacing w:beforeLines="60" w:before="144" w:beforeAutospacing="0" w:afterLines="60" w:after="144" w:afterAutospacing="0"/>
                  <w:rPr>
                    <w:rFonts w:ascii="Arial" w:eastAsia="+mn-ea" w:hAnsi="Arial" w:cs="Arial"/>
                    <w:position w:val="1"/>
                    <w:sz w:val="22"/>
                    <w:szCs w:val="22"/>
                  </w:rPr>
                </w:pPr>
                <w:r w:rsidRPr="00B36910">
                  <w:rPr>
                    <w:rFonts w:ascii="Arial" w:eastAsia="+mn-ea" w:hAnsi="Arial" w:cs="Arial"/>
                    <w:position w:val="1"/>
                    <w:sz w:val="22"/>
                    <w:szCs w:val="22"/>
                  </w:rPr>
                  <w:t>Unscheduled review (similar indicator submitted)</w:t>
                </w:r>
              </w:p>
            </w:tc>
          </w:sdtContent>
        </w:sdt>
      </w:tr>
      <w:tr w:rsidR="00B36910" w:rsidRPr="00B36910" w14:paraId="406DC2E1" w14:textId="77777777" w:rsidTr="00B36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136A229A" w14:textId="77777777" w:rsidR="006B00E7" w:rsidRPr="00B36910" w:rsidRDefault="006B00E7" w:rsidP="00B36910">
            <w:pPr>
              <w:pStyle w:val="NormalWeb"/>
              <w:spacing w:beforeLines="60" w:before="144" w:beforeAutospacing="0" w:afterLines="60" w:after="144" w:afterAutospacing="0"/>
              <w:rPr>
                <w:rFonts w:ascii="Arial" w:eastAsia="+mn-ea" w:hAnsi="Arial" w:cs="Arial"/>
                <w:position w:val="1"/>
                <w:sz w:val="22"/>
                <w:szCs w:val="22"/>
              </w:rPr>
            </w:pPr>
            <w:r w:rsidRPr="00B36910">
              <w:rPr>
                <w:rFonts w:ascii="Arial" w:eastAsia="+mn-ea" w:hAnsi="Arial" w:cs="Arial"/>
                <w:b/>
                <w:position w:val="1"/>
                <w:sz w:val="22"/>
                <w:szCs w:val="22"/>
              </w:rPr>
              <w:t>Iteration</w:t>
            </w:r>
          </w:p>
        </w:tc>
        <w:sdt>
          <w:sdtPr>
            <w:rPr>
              <w:rFonts w:ascii="Arial" w:eastAsia="+mn-ea" w:hAnsi="Arial" w:cs="Arial"/>
              <w:position w:val="1"/>
              <w:sz w:val="22"/>
              <w:szCs w:val="22"/>
            </w:rPr>
            <w:id w:val="1560052994"/>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Content>
            <w:tc>
              <w:tcPr>
                <w:tcW w:w="6945" w:type="dxa"/>
                <w:tcBorders>
                  <w:top w:val="nil"/>
                  <w:left w:val="nil"/>
                  <w:bottom w:val="nil"/>
                  <w:right w:val="nil"/>
                </w:tcBorders>
              </w:tcPr>
              <w:p w14:paraId="69BE3114" w14:textId="77777777" w:rsidR="006B00E7" w:rsidRPr="00B36910" w:rsidRDefault="006B00E7" w:rsidP="00B36910">
                <w:pPr>
                  <w:pStyle w:val="NormalWeb"/>
                  <w:spacing w:beforeLines="60" w:before="144" w:beforeAutospacing="0" w:afterLines="60" w:after="144" w:afterAutospacing="0"/>
                  <w:rPr>
                    <w:rFonts w:ascii="Arial" w:eastAsia="+mn-ea" w:hAnsi="Arial" w:cs="Arial"/>
                    <w:position w:val="1"/>
                    <w:sz w:val="22"/>
                    <w:szCs w:val="22"/>
                  </w:rPr>
                </w:pPr>
                <w:r w:rsidRPr="00B36910">
                  <w:rPr>
                    <w:rFonts w:ascii="Arial" w:eastAsia="+mn-ea" w:hAnsi="Arial" w:cs="Arial"/>
                    <w:position w:val="1"/>
                    <w:sz w:val="22"/>
                    <w:szCs w:val="22"/>
                  </w:rPr>
                  <w:t>1st MRG meeting</w:t>
                </w:r>
              </w:p>
            </w:tc>
          </w:sdtContent>
        </w:sdt>
      </w:tr>
    </w:tbl>
    <w:p w14:paraId="4DD9F9D2" w14:textId="77777777" w:rsidR="006B00E7" w:rsidRPr="00B36910" w:rsidRDefault="006B00E7" w:rsidP="006B00E7"/>
    <w:p w14:paraId="3E51BD17"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r w:rsidRPr="00B36910">
        <w:rPr>
          <w:rFonts w:ascii="Arial" w:eastAsia="+mn-ea" w:hAnsi="Arial" w:cs="Arial"/>
          <w:b/>
          <w:position w:val="1"/>
          <w:sz w:val="26"/>
          <w:szCs w:val="26"/>
        </w:rPr>
        <w:t>Suggested Assurance Rating by Methodology Appraisal Body</w:t>
      </w:r>
    </w:p>
    <w:p w14:paraId="60CFDFFD"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p>
    <w:tbl>
      <w:tblPr>
        <w:tblStyle w:val="TableGrid1"/>
        <w:tblW w:w="0" w:type="auto"/>
        <w:tblLook w:val="04A0" w:firstRow="1" w:lastRow="0" w:firstColumn="1" w:lastColumn="0" w:noHBand="0" w:noVBand="1"/>
      </w:tblPr>
      <w:tblGrid>
        <w:gridCol w:w="3617"/>
        <w:gridCol w:w="1391"/>
      </w:tblGrid>
      <w:tr w:rsidR="007B0C3E" w:rsidRPr="00B36910" w14:paraId="71348517" w14:textId="77777777" w:rsidTr="007B0C3E">
        <w:tc>
          <w:tcPr>
            <w:tcW w:w="3617" w:type="dxa"/>
          </w:tcPr>
          <w:p w14:paraId="6398EC12" w14:textId="77777777" w:rsidR="007B0C3E" w:rsidRPr="00B36910" w:rsidRDefault="007B0C3E" w:rsidP="00B36910">
            <w:pPr>
              <w:spacing w:before="120" w:after="120"/>
              <w:rPr>
                <w:rFonts w:eastAsia="+mn-ea"/>
                <w:b/>
                <w:position w:val="1"/>
                <w:szCs w:val="40"/>
              </w:rPr>
            </w:pPr>
            <w:r w:rsidRPr="00B36910">
              <w:rPr>
                <w:rFonts w:eastAsia="+mn-ea"/>
                <w:b/>
                <w:position w:val="1"/>
                <w:szCs w:val="40"/>
              </w:rPr>
              <w:t>Clarity</w:t>
            </w:r>
          </w:p>
        </w:tc>
        <w:tc>
          <w:tcPr>
            <w:tcW w:w="1391" w:type="dxa"/>
          </w:tcPr>
          <w:p w14:paraId="7CA56C31" w14:textId="675DFBF8" w:rsidR="007B0C3E" w:rsidRPr="00B36910" w:rsidRDefault="007B0C3E" w:rsidP="00B36910">
            <w:pPr>
              <w:jc w:val="center"/>
              <w:rPr>
                <w:rFonts w:eastAsia="+mn-ea"/>
                <w:b/>
                <w:position w:val="1"/>
                <w:sz w:val="32"/>
                <w:szCs w:val="40"/>
              </w:rPr>
            </w:pPr>
            <w:r>
              <w:rPr>
                <w:rFonts w:eastAsia="+mn-ea"/>
                <w:b/>
                <w:position w:val="1"/>
                <w:sz w:val="32"/>
                <w:szCs w:val="40"/>
              </w:rPr>
              <w:t>Fit for use</w:t>
            </w:r>
          </w:p>
        </w:tc>
      </w:tr>
      <w:tr w:rsidR="007B0C3E" w:rsidRPr="00B36910" w14:paraId="13AC89FA" w14:textId="77777777" w:rsidTr="007B0C3E">
        <w:tc>
          <w:tcPr>
            <w:tcW w:w="3617" w:type="dxa"/>
          </w:tcPr>
          <w:p w14:paraId="42642E7E" w14:textId="77777777" w:rsidR="007B0C3E" w:rsidRPr="00B36910" w:rsidRDefault="007B0C3E" w:rsidP="00B36910">
            <w:pPr>
              <w:spacing w:before="120" w:after="120"/>
              <w:rPr>
                <w:rFonts w:eastAsia="+mn-ea"/>
                <w:b/>
                <w:position w:val="1"/>
                <w:szCs w:val="40"/>
              </w:rPr>
            </w:pPr>
            <w:r w:rsidRPr="00B36910">
              <w:rPr>
                <w:rFonts w:eastAsia="+mn-ea"/>
                <w:b/>
                <w:position w:val="1"/>
                <w:szCs w:val="40"/>
              </w:rPr>
              <w:t>Rationale</w:t>
            </w:r>
          </w:p>
        </w:tc>
        <w:tc>
          <w:tcPr>
            <w:tcW w:w="1391" w:type="dxa"/>
          </w:tcPr>
          <w:p w14:paraId="18586F24" w14:textId="1B9838DB" w:rsidR="007B0C3E" w:rsidRPr="00B36910" w:rsidRDefault="007B0C3E" w:rsidP="00B36910">
            <w:pPr>
              <w:jc w:val="center"/>
              <w:rPr>
                <w:rFonts w:eastAsia="+mn-ea"/>
                <w:b/>
                <w:position w:val="1"/>
                <w:sz w:val="32"/>
                <w:szCs w:val="40"/>
              </w:rPr>
            </w:pPr>
            <w:r>
              <w:rPr>
                <w:rFonts w:eastAsia="+mn-ea"/>
                <w:b/>
                <w:position w:val="1"/>
                <w:sz w:val="32"/>
                <w:szCs w:val="40"/>
              </w:rPr>
              <w:t>Fit for use with caveats</w:t>
            </w:r>
          </w:p>
        </w:tc>
      </w:tr>
      <w:tr w:rsidR="007B0C3E" w:rsidRPr="00B36910" w14:paraId="1B33CF98" w14:textId="77777777" w:rsidTr="007B0C3E">
        <w:tc>
          <w:tcPr>
            <w:tcW w:w="3617" w:type="dxa"/>
          </w:tcPr>
          <w:p w14:paraId="7C3AC4F9" w14:textId="77777777" w:rsidR="007B0C3E" w:rsidRPr="00B36910" w:rsidRDefault="007B0C3E" w:rsidP="00B36910">
            <w:pPr>
              <w:spacing w:before="120" w:after="120"/>
              <w:rPr>
                <w:rFonts w:eastAsia="+mn-ea"/>
                <w:b/>
                <w:position w:val="1"/>
                <w:szCs w:val="40"/>
              </w:rPr>
            </w:pPr>
            <w:r w:rsidRPr="00B36910">
              <w:rPr>
                <w:rFonts w:eastAsia="+mn-ea"/>
                <w:b/>
                <w:position w:val="1"/>
                <w:szCs w:val="40"/>
              </w:rPr>
              <w:t>Data</w:t>
            </w:r>
          </w:p>
        </w:tc>
        <w:tc>
          <w:tcPr>
            <w:tcW w:w="1391" w:type="dxa"/>
          </w:tcPr>
          <w:p w14:paraId="75A377B2" w14:textId="39C9E248"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 with caveats</w:t>
            </w:r>
          </w:p>
        </w:tc>
      </w:tr>
      <w:tr w:rsidR="007B0C3E" w:rsidRPr="00B36910" w14:paraId="127AA997" w14:textId="77777777" w:rsidTr="007B0C3E">
        <w:tc>
          <w:tcPr>
            <w:tcW w:w="3617" w:type="dxa"/>
          </w:tcPr>
          <w:p w14:paraId="474B5B79" w14:textId="77777777" w:rsidR="007B0C3E" w:rsidRPr="00B36910" w:rsidRDefault="007B0C3E" w:rsidP="00B36910">
            <w:pPr>
              <w:spacing w:before="120" w:after="120"/>
              <w:rPr>
                <w:rFonts w:eastAsia="+mn-ea"/>
                <w:b/>
                <w:position w:val="1"/>
                <w:szCs w:val="40"/>
              </w:rPr>
            </w:pPr>
            <w:r w:rsidRPr="00B36910">
              <w:rPr>
                <w:rFonts w:eastAsia="+mn-ea"/>
                <w:b/>
                <w:position w:val="1"/>
                <w:szCs w:val="40"/>
              </w:rPr>
              <w:t>Construction</w:t>
            </w:r>
          </w:p>
        </w:tc>
        <w:tc>
          <w:tcPr>
            <w:tcW w:w="1391" w:type="dxa"/>
          </w:tcPr>
          <w:p w14:paraId="31011B22" w14:textId="10FAAAE4"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w:t>
            </w:r>
          </w:p>
        </w:tc>
      </w:tr>
      <w:tr w:rsidR="007B0C3E" w:rsidRPr="00B36910" w14:paraId="48FDBD78" w14:textId="77777777" w:rsidTr="007B0C3E">
        <w:tc>
          <w:tcPr>
            <w:tcW w:w="3617" w:type="dxa"/>
          </w:tcPr>
          <w:p w14:paraId="60C21DC9" w14:textId="77777777" w:rsidR="007B0C3E" w:rsidRPr="00B36910" w:rsidRDefault="007B0C3E" w:rsidP="00B36910">
            <w:pPr>
              <w:spacing w:before="120" w:after="120"/>
              <w:rPr>
                <w:rFonts w:eastAsia="+mn-ea"/>
                <w:b/>
                <w:position w:val="1"/>
                <w:szCs w:val="40"/>
              </w:rPr>
            </w:pPr>
            <w:r w:rsidRPr="00B36910">
              <w:rPr>
                <w:rFonts w:eastAsia="+mn-ea"/>
                <w:b/>
                <w:position w:val="1"/>
                <w:szCs w:val="40"/>
              </w:rPr>
              <w:t>Presentation and Interpretation</w:t>
            </w:r>
          </w:p>
        </w:tc>
        <w:tc>
          <w:tcPr>
            <w:tcW w:w="1391" w:type="dxa"/>
          </w:tcPr>
          <w:p w14:paraId="11FD99B0" w14:textId="7B7AB249"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 with caveats</w:t>
            </w:r>
          </w:p>
        </w:tc>
        <w:bookmarkStart w:id="0" w:name="_GoBack"/>
        <w:bookmarkEnd w:id="0"/>
      </w:tr>
      <w:tr w:rsidR="007B0C3E" w:rsidRPr="00B36910" w14:paraId="3EF9D9ED" w14:textId="77777777" w:rsidTr="007B0C3E">
        <w:tc>
          <w:tcPr>
            <w:tcW w:w="3617" w:type="dxa"/>
          </w:tcPr>
          <w:p w14:paraId="2EB44561" w14:textId="77777777" w:rsidR="007B0C3E" w:rsidRPr="00B36910" w:rsidRDefault="007B0C3E" w:rsidP="00B36910">
            <w:pPr>
              <w:spacing w:before="120" w:after="120"/>
              <w:rPr>
                <w:rFonts w:eastAsia="+mn-ea"/>
                <w:b/>
                <w:position w:val="1"/>
                <w:szCs w:val="40"/>
              </w:rPr>
            </w:pPr>
            <w:r w:rsidRPr="00B36910">
              <w:rPr>
                <w:rFonts w:eastAsia="+mn-ea"/>
                <w:b/>
                <w:position w:val="1"/>
                <w:szCs w:val="40"/>
              </w:rPr>
              <w:t>Risks and Usefulness</w:t>
            </w:r>
          </w:p>
        </w:tc>
        <w:tc>
          <w:tcPr>
            <w:tcW w:w="1391" w:type="dxa"/>
          </w:tcPr>
          <w:p w14:paraId="54D65EA6" w14:textId="2D1682F9" w:rsidR="007B0C3E" w:rsidRPr="00B36910" w:rsidRDefault="007B0C3E" w:rsidP="00B36910">
            <w:pPr>
              <w:jc w:val="center"/>
              <w:rPr>
                <w:rFonts w:eastAsia="+mn-ea"/>
                <w:b/>
                <w:position w:val="1"/>
                <w:sz w:val="32"/>
                <w:szCs w:val="40"/>
              </w:rPr>
            </w:pPr>
            <w:r>
              <w:rPr>
                <w:rFonts w:eastAsia="+mn-ea"/>
                <w:b/>
                <w:position w:val="1"/>
                <w:sz w:val="32"/>
                <w:szCs w:val="40"/>
              </w:rPr>
              <w:t xml:space="preserve"> </w:t>
            </w:r>
            <w:r>
              <w:rPr>
                <w:rFonts w:eastAsia="+mn-ea"/>
                <w:b/>
                <w:position w:val="1"/>
                <w:sz w:val="32"/>
                <w:szCs w:val="40"/>
              </w:rPr>
              <w:t>Fit for use</w:t>
            </w:r>
          </w:p>
        </w:tc>
      </w:tr>
      <w:tr w:rsidR="007B0C3E" w:rsidRPr="00B36910" w14:paraId="4DE4120D" w14:textId="77777777" w:rsidTr="007B0C3E">
        <w:tc>
          <w:tcPr>
            <w:tcW w:w="3617" w:type="dxa"/>
          </w:tcPr>
          <w:p w14:paraId="06BA702C" w14:textId="5B6094F4" w:rsidR="007B0C3E" w:rsidRPr="00B36910" w:rsidRDefault="007B0C3E" w:rsidP="007B0C3E">
            <w:pPr>
              <w:spacing w:before="120" w:after="120"/>
              <w:rPr>
                <w:rFonts w:eastAsia="+mn-ea"/>
                <w:b/>
                <w:position w:val="1"/>
                <w:szCs w:val="40"/>
              </w:rPr>
            </w:pPr>
            <w:r>
              <w:rPr>
                <w:rFonts w:eastAsia="+mn-ea"/>
                <w:b/>
                <w:position w:val="1"/>
                <w:szCs w:val="40"/>
              </w:rPr>
              <w:t>Overall rating</w:t>
            </w:r>
          </w:p>
        </w:tc>
        <w:tc>
          <w:tcPr>
            <w:tcW w:w="1391" w:type="dxa"/>
          </w:tcPr>
          <w:sdt>
            <w:sdtPr>
              <w:rPr>
                <w:rStyle w:val="Style1"/>
                <w:color w:val="auto"/>
              </w:rPr>
              <w:alias w:val="Overall rating"/>
              <w:tag w:val="Overall rating"/>
              <w:id w:val="-1028943525"/>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dropDownList>
            </w:sdtPr>
            <w:sdtContent>
              <w:p w14:paraId="396E0C8B" w14:textId="16976F4C" w:rsidR="007B0C3E" w:rsidRPr="00B36910" w:rsidRDefault="007B0C3E" w:rsidP="007B0C3E">
                <w:pPr>
                  <w:jc w:val="center"/>
                  <w:rPr>
                    <w:rFonts w:eastAsia="+mn-ea"/>
                    <w:b/>
                    <w:noProof/>
                    <w:position w:val="1"/>
                    <w:sz w:val="32"/>
                    <w:szCs w:val="40"/>
                    <w:lang w:eastAsia="en-GB"/>
                  </w:rPr>
                </w:pPr>
                <w:r w:rsidRPr="00B36910">
                  <w:rPr>
                    <w:rStyle w:val="Style1"/>
                    <w:color w:val="auto"/>
                  </w:rPr>
                  <w:t>Fit for use with caveats</w:t>
                </w:r>
              </w:p>
            </w:sdtContent>
          </w:sdt>
        </w:tc>
      </w:tr>
    </w:tbl>
    <w:p w14:paraId="122A27DA" w14:textId="77777777" w:rsidR="006B00E7" w:rsidRPr="00B36910" w:rsidRDefault="006B00E7" w:rsidP="006B00E7">
      <w:pPr>
        <w:pStyle w:val="NormalWeb"/>
        <w:spacing w:before="0" w:beforeAutospacing="0" w:after="0" w:afterAutospacing="0"/>
        <w:rPr>
          <w:rFonts w:ascii="Arial" w:eastAsia="+mn-ea" w:hAnsi="Arial" w:cs="Arial"/>
          <w:b/>
          <w:position w:val="1"/>
          <w:sz w:val="26"/>
          <w:szCs w:val="26"/>
        </w:rPr>
      </w:pPr>
    </w:p>
    <w:p w14:paraId="764785FF" w14:textId="77777777" w:rsidR="006B00E7" w:rsidRPr="00B36910" w:rsidRDefault="006B00E7" w:rsidP="006B00E7">
      <w:pPr>
        <w:spacing w:before="240"/>
        <w:rPr>
          <w:rFonts w:eastAsia="+mn-ea"/>
          <w:b/>
          <w:position w:val="1"/>
          <w:sz w:val="24"/>
          <w:szCs w:val="40"/>
        </w:rPr>
      </w:pPr>
      <w:r w:rsidRPr="00B36910">
        <w:rPr>
          <w:rFonts w:eastAsia="+mn-ea"/>
          <w:b/>
          <w:position w:val="1"/>
          <w:sz w:val="24"/>
          <w:szCs w:val="40"/>
        </w:rPr>
        <w:t>Summary Recommendation to Applicant:</w:t>
      </w:r>
    </w:p>
    <w:sdt>
      <w:sdtPr>
        <w:rPr>
          <w:rFonts w:eastAsia="Times New Roman"/>
          <w:szCs w:val="23"/>
          <w:lang w:eastAsia="en-GB"/>
        </w:rPr>
        <w:id w:val="692660743"/>
        <w:text w:multiLine="1"/>
      </w:sdtPr>
      <w:sdtContent>
        <w:p w14:paraId="30EC837F" w14:textId="77777777" w:rsidR="006B00E7" w:rsidRPr="00B36910" w:rsidRDefault="006B00E7" w:rsidP="006B00E7">
          <w:pPr>
            <w:spacing w:before="240"/>
            <w:rPr>
              <w:rFonts w:eastAsia="+mn-ea"/>
              <w:position w:val="1"/>
            </w:rPr>
          </w:pPr>
          <w:r w:rsidRPr="00B36910">
            <w:rPr>
              <w:rFonts w:eastAsia="Times New Roman"/>
              <w:szCs w:val="23"/>
              <w:lang w:eastAsia="en-GB"/>
            </w:rPr>
            <w:t xml:space="preserve">MRG noted that the indicator has been previously assured as suitable for inclusion in the Library of Quality Assured Indicators, however this was under an earlier iteration of the assurance process.  Members thanked the applicant for the “uplift” in documentation which has allowed the indicator to be assessed against the standard criteria assessment and “levels of assurance”.  </w:t>
          </w:r>
          <w:r w:rsidRPr="00B36910">
            <w:rPr>
              <w:rFonts w:eastAsia="Times New Roman"/>
              <w:szCs w:val="23"/>
              <w:lang w:eastAsia="en-GB"/>
            </w:rPr>
            <w:br/>
          </w:r>
          <w:r w:rsidRPr="00B36910">
            <w:rPr>
              <w:rFonts w:eastAsia="Times New Roman"/>
              <w:szCs w:val="23"/>
              <w:lang w:eastAsia="en-GB"/>
            </w:rPr>
            <w:br/>
            <w:t xml:space="preserve">Upon review the indicator has been given an overall rating of “fit for purpose with caveats” and as such MRG are endorsing its inclusion in the Library of Quality Assured Indicators. However, there are improvements which could be made to the indicator, </w:t>
          </w:r>
          <w:proofErr w:type="gramStart"/>
          <w:r w:rsidRPr="00B36910">
            <w:rPr>
              <w:rFonts w:eastAsia="Times New Roman"/>
              <w:szCs w:val="23"/>
              <w:lang w:eastAsia="en-GB"/>
            </w:rPr>
            <w:t>which  can</w:t>
          </w:r>
          <w:proofErr w:type="gramEnd"/>
          <w:r w:rsidRPr="00B36910">
            <w:rPr>
              <w:rFonts w:eastAsia="Times New Roman"/>
              <w:szCs w:val="23"/>
              <w:lang w:eastAsia="en-GB"/>
            </w:rPr>
            <w:t xml:space="preserve"> be found in the appraisal log below.</w:t>
          </w:r>
        </w:p>
      </w:sdtContent>
    </w:sdt>
    <w:p w14:paraId="7C7D5C5A" w14:textId="77777777" w:rsidR="006B00E7" w:rsidRPr="00B36910" w:rsidRDefault="006B00E7" w:rsidP="006B00E7">
      <w:pPr>
        <w:spacing w:before="240"/>
        <w:rPr>
          <w:rFonts w:eastAsia="+mn-ea"/>
          <w:b/>
          <w:position w:val="1"/>
          <w:sz w:val="24"/>
          <w:szCs w:val="40"/>
        </w:rPr>
      </w:pPr>
      <w:r w:rsidRPr="00B36910">
        <w:rPr>
          <w:rFonts w:eastAsia="+mn-ea"/>
          <w:b/>
          <w:position w:val="1"/>
          <w:sz w:val="24"/>
          <w:szCs w:val="40"/>
        </w:rPr>
        <w:t>Summary Recommendation to IGB:</w:t>
      </w:r>
    </w:p>
    <w:sdt>
      <w:sdtPr>
        <w:rPr>
          <w:rFonts w:eastAsia="Times New Roman"/>
          <w:szCs w:val="23"/>
          <w:lang w:eastAsia="en-GB"/>
        </w:rPr>
        <w:alias w:val="Summary Recommendation to IGB"/>
        <w:tag w:val="Summary Recommendation to IGB"/>
        <w:id w:val="2031983090"/>
        <w:text w:multiLine="1"/>
      </w:sdtPr>
      <w:sdtContent>
        <w:p w14:paraId="704CD1E4" w14:textId="77777777" w:rsidR="006B00E7" w:rsidRPr="00B36910" w:rsidRDefault="006B00E7" w:rsidP="006B00E7">
          <w:pPr>
            <w:spacing w:before="240"/>
            <w:rPr>
              <w:lang w:eastAsia="en-GB"/>
            </w:rPr>
          </w:pPr>
          <w:r w:rsidRPr="00B36910">
            <w:rPr>
              <w:rFonts w:eastAsia="Times New Roman"/>
              <w:szCs w:val="23"/>
              <w:lang w:eastAsia="en-GB"/>
            </w:rPr>
            <w:t>MRG endorse the indicator for inclusion in the Library, however there are small improvements which could be made to the metadata, specifically around the justification of measuring more than 90% specifically, justification of the data source, how and why HES is used to measure case ascertainment, and the interpretation guidelines. In addition, there is currently no named sponsor for the indicator.</w:t>
          </w:r>
        </w:p>
      </w:sdtContent>
    </w:sdt>
    <w:p w14:paraId="4E1D18EE" w14:textId="77777777" w:rsidR="006B00E7" w:rsidRPr="00B36910" w:rsidRDefault="006B00E7" w:rsidP="006B00E7">
      <w:r w:rsidRPr="00B36910">
        <w:t xml:space="preserve"> </w:t>
      </w:r>
    </w:p>
    <w:p w14:paraId="4D523B1A" w14:textId="77777777" w:rsidR="006B00E7" w:rsidRPr="00B36910" w:rsidRDefault="006B00E7" w:rsidP="006B00E7">
      <w:pPr>
        <w:rPr>
          <w:b/>
          <w:spacing w:val="5"/>
          <w:kern w:val="28"/>
          <w:szCs w:val="52"/>
        </w:rPr>
      </w:pPr>
      <w:r w:rsidRPr="00B36910">
        <w:rPr>
          <w:b/>
        </w:rPr>
        <w:t>Please find a detailed description of recommendations and actions in the appraisal log at the end of the document.</w:t>
      </w:r>
      <w:r w:rsidRPr="00B36910">
        <w:rPr>
          <w:rFonts w:eastAsia="+mn-ea"/>
          <w:sz w:val="40"/>
        </w:rPr>
        <w:br w:type="page"/>
      </w:r>
    </w:p>
    <w:p w14:paraId="66B229B6" w14:textId="77777777" w:rsidR="006B00E7" w:rsidRPr="00B36910" w:rsidRDefault="006B00E7" w:rsidP="006B00E7">
      <w:pPr>
        <w:pStyle w:val="NormalWeb"/>
        <w:spacing w:before="0" w:beforeAutospacing="0" w:after="0" w:afterAutospacing="0"/>
        <w:rPr>
          <w:rFonts w:ascii="Arial" w:eastAsia="+mn-ea" w:hAnsi="Arial" w:cs="Arial"/>
          <w:b/>
          <w:position w:val="1"/>
          <w:sz w:val="32"/>
          <w:szCs w:val="32"/>
        </w:rPr>
      </w:pPr>
      <w:r w:rsidRPr="00B36910">
        <w:rPr>
          <w:rFonts w:ascii="Arial" w:eastAsia="+mn-ea" w:hAnsi="Arial" w:cs="Arial"/>
          <w:b/>
          <w:position w:val="1"/>
          <w:sz w:val="32"/>
          <w:szCs w:val="32"/>
        </w:rPr>
        <w:t>What do the Assurance Ratings mean?</w:t>
      </w:r>
    </w:p>
    <w:p w14:paraId="5BF72014" w14:textId="77777777" w:rsidR="006B00E7" w:rsidRPr="00B36910" w:rsidRDefault="006B00E7" w:rsidP="006B00E7"/>
    <w:tbl>
      <w:tblPr>
        <w:tblStyle w:val="TableGrid1"/>
        <w:tblW w:w="0" w:type="auto"/>
        <w:tblLook w:val="04A0" w:firstRow="1" w:lastRow="0" w:firstColumn="1" w:lastColumn="0" w:noHBand="0" w:noVBand="1"/>
      </w:tblPr>
      <w:tblGrid>
        <w:gridCol w:w="2693"/>
        <w:gridCol w:w="6095"/>
      </w:tblGrid>
      <w:tr w:rsidR="007B0C3E" w:rsidRPr="00B36910" w14:paraId="342BA84E" w14:textId="77777777" w:rsidTr="007B0C3E">
        <w:tc>
          <w:tcPr>
            <w:tcW w:w="2693" w:type="dxa"/>
          </w:tcPr>
          <w:p w14:paraId="79227D17" w14:textId="1D631F69" w:rsidR="007B0C3E" w:rsidRPr="00B36910" w:rsidRDefault="007B0C3E" w:rsidP="00B36910">
            <w:pPr>
              <w:spacing w:before="120" w:after="120"/>
              <w:rPr>
                <w:b/>
              </w:rPr>
            </w:pPr>
            <w:r w:rsidRPr="00B36910">
              <w:rPr>
                <w:b/>
                <w:sz w:val="28"/>
                <w:szCs w:val="28"/>
              </w:rPr>
              <w:t>Rating</w:t>
            </w:r>
          </w:p>
        </w:tc>
        <w:tc>
          <w:tcPr>
            <w:tcW w:w="6095" w:type="dxa"/>
          </w:tcPr>
          <w:p w14:paraId="3B25CCB9" w14:textId="386A62EB" w:rsidR="007B0C3E" w:rsidRPr="00B36910" w:rsidRDefault="007B0C3E" w:rsidP="00B36910">
            <w:pPr>
              <w:spacing w:before="120" w:after="120"/>
            </w:pPr>
            <w:r w:rsidRPr="00B36910">
              <w:rPr>
                <w:b/>
                <w:sz w:val="28"/>
                <w:szCs w:val="28"/>
              </w:rPr>
              <w:t>Description</w:t>
            </w:r>
          </w:p>
        </w:tc>
      </w:tr>
      <w:tr w:rsidR="007B0C3E" w:rsidRPr="00B36910" w14:paraId="7B65B6AA" w14:textId="77777777" w:rsidTr="007B0C3E">
        <w:tc>
          <w:tcPr>
            <w:tcW w:w="2693" w:type="dxa"/>
          </w:tcPr>
          <w:p w14:paraId="5CD013F3" w14:textId="77777777" w:rsidR="007B0C3E" w:rsidRPr="00B36910" w:rsidRDefault="007B0C3E" w:rsidP="00B36910">
            <w:pPr>
              <w:spacing w:before="120" w:after="120"/>
              <w:rPr>
                <w:b/>
              </w:rPr>
            </w:pPr>
            <w:r w:rsidRPr="00B36910">
              <w:rPr>
                <w:b/>
              </w:rPr>
              <w:t>Fit for use</w:t>
            </w:r>
          </w:p>
        </w:tc>
        <w:tc>
          <w:tcPr>
            <w:tcW w:w="6095" w:type="dxa"/>
          </w:tcPr>
          <w:p w14:paraId="359A4C16" w14:textId="77777777" w:rsidR="007B0C3E" w:rsidRPr="00B36910" w:rsidRDefault="007B0C3E" w:rsidP="00B36910">
            <w:pPr>
              <w:spacing w:before="120" w:after="120"/>
            </w:pPr>
            <w:r w:rsidRPr="00B36910">
              <w:t>This indicator can be used with confidence that it is constructed in a sound manner that is fit for purpose.</w:t>
            </w:r>
          </w:p>
        </w:tc>
      </w:tr>
      <w:tr w:rsidR="007B0C3E" w:rsidRPr="00B36910" w14:paraId="7F2D5080" w14:textId="77777777" w:rsidTr="007B0C3E">
        <w:tc>
          <w:tcPr>
            <w:tcW w:w="2693" w:type="dxa"/>
          </w:tcPr>
          <w:p w14:paraId="70C35C7A" w14:textId="77777777" w:rsidR="007B0C3E" w:rsidRPr="00B36910" w:rsidRDefault="007B0C3E" w:rsidP="00B36910">
            <w:pPr>
              <w:spacing w:before="120" w:after="120"/>
              <w:rPr>
                <w:b/>
              </w:rPr>
            </w:pPr>
            <w:r w:rsidRPr="00B36910">
              <w:rPr>
                <w:b/>
              </w:rPr>
              <w:t>Fit for use with caveats</w:t>
            </w:r>
          </w:p>
        </w:tc>
        <w:tc>
          <w:tcPr>
            <w:tcW w:w="6095" w:type="dxa"/>
          </w:tcPr>
          <w:p w14:paraId="11BF9E6C" w14:textId="77777777" w:rsidR="007B0C3E" w:rsidRPr="00B36910" w:rsidRDefault="007B0C3E" w:rsidP="00B36910">
            <w:pPr>
              <w:spacing w:before="120" w:after="120"/>
            </w:pPr>
            <w:r w:rsidRPr="00B36910">
              <w:t xml:space="preserve">The indicator is fit for </w:t>
            </w:r>
            <w:proofErr w:type="gramStart"/>
            <w:r w:rsidRPr="00B36910">
              <w:t>use,</w:t>
            </w:r>
            <w:proofErr w:type="gramEnd"/>
            <w:r w:rsidRPr="00B36910">
              <w:t xml:space="preserve"> however users should be aware of caveats and/or recommendations for improvement that have been identified during the assurance process.</w:t>
            </w:r>
          </w:p>
        </w:tc>
      </w:tr>
      <w:tr w:rsidR="007B0C3E" w:rsidRPr="00B36910" w14:paraId="3C323771" w14:textId="77777777" w:rsidTr="007B0C3E">
        <w:tc>
          <w:tcPr>
            <w:tcW w:w="2693" w:type="dxa"/>
          </w:tcPr>
          <w:p w14:paraId="3976068D" w14:textId="77777777" w:rsidR="007B0C3E" w:rsidRPr="00B36910" w:rsidRDefault="007B0C3E" w:rsidP="00B36910">
            <w:pPr>
              <w:spacing w:before="120" w:after="120"/>
              <w:rPr>
                <w:b/>
              </w:rPr>
            </w:pPr>
            <w:r w:rsidRPr="00B36910">
              <w:rPr>
                <w:b/>
              </w:rPr>
              <w:t>Use with caution</w:t>
            </w:r>
          </w:p>
        </w:tc>
        <w:tc>
          <w:tcPr>
            <w:tcW w:w="6095" w:type="dxa"/>
          </w:tcPr>
          <w:p w14:paraId="7FE62BFB" w14:textId="77777777" w:rsidR="007B0C3E" w:rsidRPr="00B36910" w:rsidRDefault="007B0C3E" w:rsidP="00B36910">
            <w:pPr>
              <w:spacing w:before="120" w:after="120"/>
            </w:pPr>
            <w:r w:rsidRPr="00B36910">
              <w:t xml:space="preserve">The indicator is based on a sound methodology for which the assurance process </w:t>
            </w:r>
            <w:proofErr w:type="gramStart"/>
            <w:r w:rsidRPr="00B36910">
              <w:t>endorse</w:t>
            </w:r>
            <w:proofErr w:type="gramEnd"/>
            <w:r w:rsidRPr="00B36910">
              <w:t xml:space="preserve"> the use, however issues have been identified with the national data source which have implications for its use as an indicator.</w:t>
            </w:r>
          </w:p>
        </w:tc>
      </w:tr>
      <w:tr w:rsidR="007B0C3E" w:rsidRPr="00B36910" w14:paraId="4F583A5F" w14:textId="77777777" w:rsidTr="007B0C3E">
        <w:tc>
          <w:tcPr>
            <w:tcW w:w="2693" w:type="dxa"/>
          </w:tcPr>
          <w:p w14:paraId="3E93A0B1" w14:textId="77777777" w:rsidR="007B0C3E" w:rsidRPr="00B36910" w:rsidRDefault="007B0C3E" w:rsidP="00B36910">
            <w:pPr>
              <w:spacing w:before="120" w:after="120"/>
              <w:rPr>
                <w:b/>
              </w:rPr>
            </w:pPr>
            <w:r w:rsidRPr="00B36910">
              <w:rPr>
                <w:b/>
              </w:rPr>
              <w:t>Not fit for use</w:t>
            </w:r>
          </w:p>
        </w:tc>
        <w:tc>
          <w:tcPr>
            <w:tcW w:w="6095" w:type="dxa"/>
          </w:tcPr>
          <w:p w14:paraId="40887E0B" w14:textId="77777777" w:rsidR="007B0C3E" w:rsidRPr="00B36910" w:rsidRDefault="007B0C3E" w:rsidP="00B36910">
            <w:pPr>
              <w:spacing w:before="120" w:after="120"/>
            </w:pPr>
            <w:r w:rsidRPr="00B36910">
              <w:t>Issues have been identified with the indicator which have resulted in the assurance process currently not endorsing its use as a quality indicator.</w:t>
            </w:r>
          </w:p>
        </w:tc>
      </w:tr>
      <w:tr w:rsidR="007B0C3E" w:rsidRPr="00B36910" w14:paraId="2B1DB4F4" w14:textId="77777777" w:rsidTr="007B0C3E">
        <w:tc>
          <w:tcPr>
            <w:tcW w:w="2693" w:type="dxa"/>
          </w:tcPr>
          <w:p w14:paraId="2E4716A1" w14:textId="77777777" w:rsidR="007B0C3E" w:rsidRPr="00B36910" w:rsidRDefault="007B0C3E" w:rsidP="00B36910">
            <w:pPr>
              <w:spacing w:before="120" w:after="120"/>
              <w:rPr>
                <w:b/>
              </w:rPr>
            </w:pPr>
            <w:r w:rsidRPr="00B36910">
              <w:rPr>
                <w:b/>
              </w:rPr>
              <w:t>Not enough information provided</w:t>
            </w:r>
          </w:p>
        </w:tc>
        <w:tc>
          <w:tcPr>
            <w:tcW w:w="6095" w:type="dxa"/>
          </w:tcPr>
          <w:p w14:paraId="783BD9C1" w14:textId="77777777" w:rsidR="007B0C3E" w:rsidRPr="00B36910" w:rsidRDefault="007B0C3E" w:rsidP="00B36910">
            <w:pPr>
              <w:spacing w:before="120" w:after="120"/>
            </w:pPr>
            <w:r w:rsidRPr="00B36910">
              <w:t>There has not been enough information supplied to the assurance process to be able to accurately give the indicator a level of assurance.</w:t>
            </w:r>
          </w:p>
        </w:tc>
      </w:tr>
    </w:tbl>
    <w:p w14:paraId="2DB3C796" w14:textId="77777777" w:rsidR="006B00E7" w:rsidRPr="00B36910" w:rsidRDefault="006B00E7" w:rsidP="006B00E7">
      <w:pPr>
        <w:pStyle w:val="NormalWeb"/>
        <w:spacing w:before="0" w:beforeAutospacing="0" w:after="0" w:afterAutospacing="0"/>
        <w:rPr>
          <w:rFonts w:ascii="Arial" w:eastAsia="+mn-ea" w:hAnsi="Arial" w:cs="Arial"/>
          <w:sz w:val="40"/>
        </w:rPr>
      </w:pPr>
      <w:r w:rsidRPr="00B36910">
        <w:rPr>
          <w:rFonts w:ascii="Arial" w:eastAsia="+mn-ea" w:hAnsi="Arial" w:cs="Arial"/>
          <w:sz w:val="40"/>
        </w:rPr>
        <w:br w:type="page"/>
      </w:r>
    </w:p>
    <w:p w14:paraId="64FCA240" w14:textId="77777777" w:rsidR="006B00E7" w:rsidRPr="00B36910" w:rsidRDefault="006B00E7" w:rsidP="006B00E7">
      <w:pPr>
        <w:spacing w:before="240"/>
        <w:rPr>
          <w:rFonts w:eastAsia="+mn-ea"/>
          <w:b/>
          <w:position w:val="1"/>
          <w:sz w:val="32"/>
          <w:szCs w:val="40"/>
          <w:lang w:eastAsia="en-GB"/>
        </w:rPr>
        <w:sectPr w:rsidR="006B00E7" w:rsidRPr="00B36910" w:rsidSect="00B36910">
          <w:pgSz w:w="16838" w:h="11906" w:orient="landscape"/>
          <w:pgMar w:top="851" w:right="851" w:bottom="991" w:left="1440" w:header="567" w:footer="708" w:gutter="0"/>
          <w:pgNumType w:start="0"/>
          <w:cols w:space="708"/>
          <w:titlePg/>
          <w:docGrid w:linePitch="360"/>
        </w:sectPr>
      </w:pPr>
    </w:p>
    <w:p w14:paraId="4AE96C82" w14:textId="77777777" w:rsidR="006B00E7" w:rsidRPr="00B36910" w:rsidRDefault="006B00E7" w:rsidP="006B00E7">
      <w:pPr>
        <w:pStyle w:val="NormalWeb"/>
        <w:spacing w:before="0" w:beforeAutospacing="0" w:after="0" w:afterAutospacing="0"/>
        <w:rPr>
          <w:rFonts w:ascii="Arial" w:eastAsia="+mn-ea" w:hAnsi="Arial" w:cs="Arial"/>
          <w:b/>
          <w:position w:val="1"/>
          <w:sz w:val="32"/>
          <w:szCs w:val="26"/>
        </w:rPr>
      </w:pPr>
      <w:r w:rsidRPr="00B36910">
        <w:rPr>
          <w:rFonts w:ascii="Arial" w:eastAsia="+mn-ea" w:hAnsi="Arial" w:cs="Arial"/>
          <w:b/>
          <w:position w:val="1"/>
          <w:sz w:val="32"/>
          <w:szCs w:val="26"/>
        </w:rPr>
        <w:t xml:space="preserve">Appraisal Log </w:t>
      </w:r>
    </w:p>
    <w:p w14:paraId="77F48958" w14:textId="42E86EAE" w:rsidR="006B00E7" w:rsidRPr="00B36910" w:rsidRDefault="007B0C3E" w:rsidP="006B00E7">
      <w:pPr>
        <w:pStyle w:val="NormalWeb"/>
        <w:spacing w:before="0" w:beforeAutospacing="0" w:after="0" w:afterAutospacing="0"/>
        <w:rPr>
          <w:rFonts w:ascii="Arial" w:eastAsia="+mn-ea" w:hAnsi="Arial" w:cs="Arial"/>
          <w:b/>
          <w:position w:val="1"/>
          <w:sz w:val="32"/>
          <w:szCs w:val="26"/>
        </w:rPr>
      </w:pPr>
      <w:r w:rsidRPr="00B36910">
        <w:rPr>
          <w:b/>
          <w:sz w:val="28"/>
          <w:szCs w:val="28"/>
        </w:rPr>
        <w:t>Clarity</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B36910" w:rsidRPr="00B36910" w14:paraId="23228845" w14:textId="77777777" w:rsidTr="007B0C3E">
        <w:tc>
          <w:tcPr>
            <w:tcW w:w="298" w:type="pct"/>
          </w:tcPr>
          <w:p w14:paraId="489AF3FE" w14:textId="77777777" w:rsidR="006B00E7" w:rsidRPr="00B36910" w:rsidRDefault="006B00E7" w:rsidP="00B36910">
            <w:pPr>
              <w:rPr>
                <w:b/>
                <w:i/>
              </w:rPr>
            </w:pPr>
            <w:r w:rsidRPr="00B36910">
              <w:rPr>
                <w:b/>
                <w:i/>
              </w:rPr>
              <w:t>Rec. no</w:t>
            </w:r>
          </w:p>
        </w:tc>
        <w:tc>
          <w:tcPr>
            <w:tcW w:w="1460" w:type="pct"/>
          </w:tcPr>
          <w:p w14:paraId="7B8F3754" w14:textId="77777777" w:rsidR="006B00E7" w:rsidRPr="00B36910" w:rsidRDefault="006B00E7" w:rsidP="00B36910">
            <w:pPr>
              <w:rPr>
                <w:b/>
                <w:i/>
              </w:rPr>
            </w:pPr>
            <w:r w:rsidRPr="00B36910">
              <w:rPr>
                <w:b/>
                <w:i/>
              </w:rPr>
              <w:t>Issue or recommendation</w:t>
            </w:r>
          </w:p>
        </w:tc>
        <w:tc>
          <w:tcPr>
            <w:tcW w:w="406" w:type="pct"/>
          </w:tcPr>
          <w:p w14:paraId="404A8C79" w14:textId="77777777" w:rsidR="006B00E7" w:rsidRPr="00B36910" w:rsidRDefault="006B00E7" w:rsidP="00B36910">
            <w:pPr>
              <w:rPr>
                <w:b/>
                <w:i/>
              </w:rPr>
            </w:pPr>
            <w:r w:rsidRPr="00B36910">
              <w:rPr>
                <w:b/>
                <w:i/>
              </w:rPr>
              <w:t>Raised by / Date</w:t>
            </w:r>
          </w:p>
        </w:tc>
        <w:tc>
          <w:tcPr>
            <w:tcW w:w="1555" w:type="pct"/>
          </w:tcPr>
          <w:p w14:paraId="06FBDAA6" w14:textId="77777777" w:rsidR="006B00E7" w:rsidRPr="00B36910" w:rsidRDefault="006B00E7" w:rsidP="00B36910">
            <w:pPr>
              <w:rPr>
                <w:b/>
                <w:i/>
              </w:rPr>
            </w:pPr>
            <w:r w:rsidRPr="00B36910">
              <w:rPr>
                <w:b/>
                <w:i/>
              </w:rPr>
              <w:t>Response or Action taken by applicant</w:t>
            </w:r>
          </w:p>
        </w:tc>
        <w:tc>
          <w:tcPr>
            <w:tcW w:w="435" w:type="pct"/>
          </w:tcPr>
          <w:p w14:paraId="06FFB9DF" w14:textId="77777777" w:rsidR="006B00E7" w:rsidRPr="00B36910" w:rsidRDefault="006B00E7" w:rsidP="00B36910">
            <w:pPr>
              <w:rPr>
                <w:b/>
                <w:i/>
              </w:rPr>
            </w:pPr>
            <w:r w:rsidRPr="00B36910">
              <w:rPr>
                <w:b/>
                <w:i/>
              </w:rPr>
              <w:t>Response date</w:t>
            </w:r>
          </w:p>
        </w:tc>
        <w:tc>
          <w:tcPr>
            <w:tcW w:w="410" w:type="pct"/>
          </w:tcPr>
          <w:p w14:paraId="1B8A4FE5" w14:textId="77777777" w:rsidR="006B00E7" w:rsidRPr="00B36910" w:rsidRDefault="006B00E7" w:rsidP="00B36910">
            <w:pPr>
              <w:rPr>
                <w:b/>
                <w:i/>
              </w:rPr>
            </w:pPr>
            <w:r w:rsidRPr="00B36910">
              <w:rPr>
                <w:b/>
                <w:i/>
              </w:rPr>
              <w:t>Resolved</w:t>
            </w:r>
          </w:p>
        </w:tc>
        <w:tc>
          <w:tcPr>
            <w:tcW w:w="436" w:type="pct"/>
          </w:tcPr>
          <w:p w14:paraId="2427BA4B" w14:textId="77777777" w:rsidR="006B00E7" w:rsidRPr="00B36910" w:rsidRDefault="006B00E7" w:rsidP="00B36910">
            <w:pPr>
              <w:rPr>
                <w:b/>
                <w:i/>
              </w:rPr>
            </w:pPr>
            <w:r w:rsidRPr="00B36910">
              <w:rPr>
                <w:b/>
                <w:i/>
              </w:rPr>
              <w:t>Sign off by / Date</w:t>
            </w:r>
          </w:p>
        </w:tc>
      </w:tr>
      <w:tr w:rsidR="00B36910" w:rsidRPr="00B36910" w14:paraId="3DCA96C2" w14:textId="77777777" w:rsidTr="007B0C3E">
        <w:tc>
          <w:tcPr>
            <w:tcW w:w="298" w:type="pct"/>
          </w:tcPr>
          <w:p w14:paraId="7ED27B4E" w14:textId="77777777" w:rsidR="006B00E7" w:rsidRPr="00B36910" w:rsidRDefault="006B00E7" w:rsidP="00B36910">
            <w:r w:rsidRPr="00B36910">
              <w:t>1a</w:t>
            </w:r>
          </w:p>
        </w:tc>
        <w:tc>
          <w:tcPr>
            <w:tcW w:w="1460" w:type="pct"/>
          </w:tcPr>
          <w:p w14:paraId="6BD16109" w14:textId="77777777" w:rsidR="006B00E7" w:rsidRPr="00B36910" w:rsidRDefault="006B00E7" w:rsidP="00B36910">
            <w:r w:rsidRPr="00B36910">
              <w:t>Ensure the documentation is consistent and uses “end diagnosis of stroke” OR “primary diagnosis of stroke”.</w:t>
            </w:r>
          </w:p>
        </w:tc>
        <w:tc>
          <w:tcPr>
            <w:tcW w:w="406" w:type="pct"/>
          </w:tcPr>
          <w:p w14:paraId="5A84804B" w14:textId="77777777" w:rsidR="006B00E7" w:rsidRPr="00B36910" w:rsidRDefault="006B00E7" w:rsidP="00B36910">
            <w:r w:rsidRPr="00B36910">
              <w:t>MRG</w:t>
            </w:r>
          </w:p>
          <w:p w14:paraId="283A97FC" w14:textId="77777777" w:rsidR="006B00E7" w:rsidRPr="00B36910" w:rsidRDefault="006B00E7" w:rsidP="00B36910"/>
          <w:p w14:paraId="6AE5771C" w14:textId="77777777" w:rsidR="006B00E7" w:rsidRPr="00B36910" w:rsidRDefault="006B00E7" w:rsidP="00B36910">
            <w:r w:rsidRPr="00B36910">
              <w:t>18/10/13</w:t>
            </w:r>
          </w:p>
        </w:tc>
        <w:tc>
          <w:tcPr>
            <w:tcW w:w="1555" w:type="pct"/>
          </w:tcPr>
          <w:p w14:paraId="001761D7" w14:textId="77777777" w:rsidR="006B00E7" w:rsidRPr="00B36910" w:rsidRDefault="006B00E7" w:rsidP="00B36910">
            <w:pPr>
              <w:spacing w:before="120" w:after="120"/>
            </w:pPr>
            <w:r w:rsidRPr="00B36910">
              <w:t>The indicator specification and quality statement documents are consistent and refer to ‘primary diagnosis of stroke’.</w:t>
            </w:r>
          </w:p>
        </w:tc>
        <w:tc>
          <w:tcPr>
            <w:tcW w:w="435" w:type="pct"/>
          </w:tcPr>
          <w:p w14:paraId="1C11218A" w14:textId="77777777" w:rsidR="006B00E7" w:rsidRPr="00B36910" w:rsidRDefault="006B00E7" w:rsidP="00B36910">
            <w:r w:rsidRPr="00B36910">
              <w:t>During initial assurance</w:t>
            </w:r>
          </w:p>
        </w:tc>
        <w:sdt>
          <w:sdtPr>
            <w:id w:val="1726257741"/>
            <w14:checkbox>
              <w14:checked w14:val="1"/>
              <w14:checkedState w14:val="00FE" w14:font="Wingdings"/>
              <w14:uncheckedState w14:val="006F" w14:font="Wingdings"/>
            </w14:checkbox>
          </w:sdtPr>
          <w:sdtContent>
            <w:tc>
              <w:tcPr>
                <w:tcW w:w="410" w:type="pct"/>
              </w:tcPr>
              <w:p w14:paraId="584079F5" w14:textId="77777777" w:rsidR="006B00E7" w:rsidRPr="00B36910" w:rsidRDefault="006B00E7" w:rsidP="00B36910">
                <w:pPr>
                  <w:jc w:val="center"/>
                </w:pPr>
                <w:r w:rsidRPr="00B36910">
                  <w:sym w:font="Wingdings" w:char="F0FE"/>
                </w:r>
              </w:p>
            </w:tc>
          </w:sdtContent>
        </w:sdt>
        <w:tc>
          <w:tcPr>
            <w:tcW w:w="436" w:type="pct"/>
          </w:tcPr>
          <w:p w14:paraId="3C9396C7" w14:textId="77777777" w:rsidR="006B00E7" w:rsidRPr="00B36910" w:rsidRDefault="006B00E7" w:rsidP="00B36910">
            <w:r w:rsidRPr="00B36910">
              <w:t>MRG</w:t>
            </w:r>
          </w:p>
          <w:p w14:paraId="050C23EB" w14:textId="77777777" w:rsidR="006B00E7" w:rsidRPr="00B36910" w:rsidRDefault="006B00E7" w:rsidP="00B36910">
            <w:r w:rsidRPr="00B36910">
              <w:t>10/09/15</w:t>
            </w:r>
          </w:p>
        </w:tc>
      </w:tr>
      <w:tr w:rsidR="006B00E7" w:rsidRPr="00B36910" w14:paraId="27B92CD3" w14:textId="77777777" w:rsidTr="007B0C3E">
        <w:tc>
          <w:tcPr>
            <w:tcW w:w="298" w:type="pct"/>
          </w:tcPr>
          <w:p w14:paraId="200666A5" w14:textId="77777777" w:rsidR="006B00E7" w:rsidRPr="00B36910" w:rsidRDefault="006B00E7" w:rsidP="00B36910">
            <w:r w:rsidRPr="00B36910">
              <w:t>1b</w:t>
            </w:r>
          </w:p>
        </w:tc>
        <w:tc>
          <w:tcPr>
            <w:tcW w:w="1460" w:type="pct"/>
          </w:tcPr>
          <w:p w14:paraId="309C9D70" w14:textId="77777777" w:rsidR="006B00E7" w:rsidRPr="00B36910" w:rsidRDefault="006B00E7" w:rsidP="00B36910">
            <w:r w:rsidRPr="00B36910">
              <w:t>Explanations of the principles would be helpful and should be included in the metadata, for example when discharge times have to be inferred when a patient has died.</w:t>
            </w:r>
          </w:p>
        </w:tc>
        <w:tc>
          <w:tcPr>
            <w:tcW w:w="406" w:type="pct"/>
          </w:tcPr>
          <w:p w14:paraId="03508ED5" w14:textId="77777777" w:rsidR="006B00E7" w:rsidRPr="00B36910" w:rsidRDefault="006B00E7" w:rsidP="00B36910">
            <w:r w:rsidRPr="00B36910">
              <w:t>MRG</w:t>
            </w:r>
          </w:p>
          <w:p w14:paraId="44843D3F" w14:textId="77777777" w:rsidR="006B00E7" w:rsidRPr="00B36910" w:rsidRDefault="006B00E7" w:rsidP="00B36910"/>
          <w:p w14:paraId="202E78C0" w14:textId="77777777" w:rsidR="006B00E7" w:rsidRPr="00B36910" w:rsidRDefault="006B00E7" w:rsidP="00B36910">
            <w:r w:rsidRPr="00B36910">
              <w:t>18/10/13</w:t>
            </w:r>
          </w:p>
        </w:tc>
        <w:tc>
          <w:tcPr>
            <w:tcW w:w="1555" w:type="pct"/>
          </w:tcPr>
          <w:p w14:paraId="31DB2695" w14:textId="77777777" w:rsidR="006B00E7" w:rsidRPr="00B36910" w:rsidRDefault="006B00E7" w:rsidP="00B36910">
            <w:pPr>
              <w:spacing w:before="120" w:after="120"/>
            </w:pPr>
            <w:r w:rsidRPr="00B36910">
              <w:t xml:space="preserve">An explanation of arrival and discharge times is included in the Indicator Quality Statement: </w:t>
            </w:r>
          </w:p>
          <w:p w14:paraId="3F63EAE2" w14:textId="77777777" w:rsidR="006B00E7" w:rsidRPr="00B36910" w:rsidRDefault="006B00E7" w:rsidP="00B36910">
            <w:pPr>
              <w:spacing w:before="120" w:after="120"/>
            </w:pPr>
            <w:r w:rsidRPr="00B36910">
              <w:t xml:space="preserve">‘The data is received via a secure web tool which has strong built-in validation meaning </w:t>
            </w:r>
            <w:proofErr w:type="gramStart"/>
            <w:r w:rsidRPr="00B36910">
              <w:t>that  data</w:t>
            </w:r>
            <w:proofErr w:type="gramEnd"/>
            <w:r w:rsidRPr="00B36910">
              <w:t xml:space="preserve"> is fully complete. No assumptions are made regarding the arrival and discharge times, apart from when a patient died in hospital. When calculating hospital discharges the indicator uses an assumed time component for time of death, for example 23:59. Firstly, this is due to information governance reasons as it was felt that it would be excessive  to capture the exact time of death of patients. Secondly, clinicians need to feel confident that there will not be any negative consequences to providing the most suitable care when their patient is dying. </w:t>
            </w:r>
            <w:proofErr w:type="spellStart"/>
            <w:r w:rsidRPr="00B36910">
              <w:t>Clincially</w:t>
            </w:r>
            <w:proofErr w:type="spellEnd"/>
            <w:r w:rsidRPr="00B36910">
              <w:t xml:space="preserve">, it may be best </w:t>
            </w:r>
            <w:proofErr w:type="gramStart"/>
            <w:r w:rsidRPr="00B36910">
              <w:t>for  the</w:t>
            </w:r>
            <w:proofErr w:type="gramEnd"/>
            <w:r w:rsidRPr="00B36910">
              <w:t xml:space="preserve"> patient  to be on another ward for their last few hours, which would negatively impact on the indicator if exact times were used.’</w:t>
            </w:r>
          </w:p>
        </w:tc>
        <w:tc>
          <w:tcPr>
            <w:tcW w:w="435" w:type="pct"/>
          </w:tcPr>
          <w:p w14:paraId="7736C840" w14:textId="77777777" w:rsidR="006B00E7" w:rsidRPr="00B36910" w:rsidRDefault="006B00E7" w:rsidP="00B36910">
            <w:r w:rsidRPr="00B36910">
              <w:rPr>
                <w:rFonts w:eastAsia="Times New Roman"/>
                <w:lang w:eastAsia="en-GB"/>
              </w:rPr>
              <w:t>13/08/15</w:t>
            </w:r>
          </w:p>
        </w:tc>
        <w:sdt>
          <w:sdtPr>
            <w:id w:val="461855014"/>
            <w14:checkbox>
              <w14:checked w14:val="1"/>
              <w14:checkedState w14:val="00FE" w14:font="Wingdings"/>
              <w14:uncheckedState w14:val="006F" w14:font="Wingdings"/>
            </w14:checkbox>
          </w:sdtPr>
          <w:sdtContent>
            <w:tc>
              <w:tcPr>
                <w:tcW w:w="410" w:type="pct"/>
              </w:tcPr>
              <w:p w14:paraId="0BAD2B86" w14:textId="77777777" w:rsidR="006B00E7" w:rsidRPr="00B36910" w:rsidRDefault="006B00E7" w:rsidP="00B36910">
                <w:pPr>
                  <w:jc w:val="center"/>
                </w:pPr>
                <w:r w:rsidRPr="00B36910">
                  <w:sym w:font="Wingdings" w:char="F0FE"/>
                </w:r>
              </w:p>
            </w:tc>
          </w:sdtContent>
        </w:sdt>
        <w:tc>
          <w:tcPr>
            <w:tcW w:w="436" w:type="pct"/>
          </w:tcPr>
          <w:p w14:paraId="0D6B794B" w14:textId="77777777" w:rsidR="006B00E7" w:rsidRPr="00B36910" w:rsidRDefault="006B00E7" w:rsidP="00B36910">
            <w:r w:rsidRPr="00B36910">
              <w:t>MRG</w:t>
            </w:r>
          </w:p>
          <w:p w14:paraId="6F18DBE7" w14:textId="77777777" w:rsidR="006B00E7" w:rsidRPr="00B36910" w:rsidRDefault="006B00E7" w:rsidP="00B36910">
            <w:r w:rsidRPr="00B36910">
              <w:t>10/09/15</w:t>
            </w:r>
          </w:p>
        </w:tc>
      </w:tr>
    </w:tbl>
    <w:p w14:paraId="05F95088" w14:textId="694C58EF" w:rsidR="006B00E7" w:rsidRPr="00B36910" w:rsidRDefault="007B0C3E" w:rsidP="006B00E7">
      <w:r w:rsidRPr="00B36910">
        <w:rPr>
          <w:b/>
          <w:sz w:val="28"/>
          <w:szCs w:val="28"/>
        </w:rPr>
        <w:t>Rationale</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B36910" w:rsidRPr="00B36910" w14:paraId="1481DD02" w14:textId="77777777" w:rsidTr="007B0C3E">
        <w:tc>
          <w:tcPr>
            <w:tcW w:w="298" w:type="pct"/>
          </w:tcPr>
          <w:p w14:paraId="13D290BC" w14:textId="77777777" w:rsidR="006B00E7" w:rsidRPr="00B36910" w:rsidRDefault="006B00E7" w:rsidP="00B36910">
            <w:pPr>
              <w:rPr>
                <w:b/>
                <w:i/>
              </w:rPr>
            </w:pPr>
            <w:r w:rsidRPr="00B36910">
              <w:rPr>
                <w:b/>
                <w:i/>
              </w:rPr>
              <w:t>Rec. no</w:t>
            </w:r>
          </w:p>
        </w:tc>
        <w:tc>
          <w:tcPr>
            <w:tcW w:w="1460" w:type="pct"/>
          </w:tcPr>
          <w:p w14:paraId="10074A73" w14:textId="77777777" w:rsidR="006B00E7" w:rsidRPr="00B36910" w:rsidRDefault="006B00E7" w:rsidP="00B36910">
            <w:pPr>
              <w:rPr>
                <w:b/>
                <w:i/>
              </w:rPr>
            </w:pPr>
            <w:r w:rsidRPr="00B36910">
              <w:rPr>
                <w:b/>
                <w:i/>
              </w:rPr>
              <w:t>Issue or recommendation</w:t>
            </w:r>
          </w:p>
        </w:tc>
        <w:tc>
          <w:tcPr>
            <w:tcW w:w="406" w:type="pct"/>
          </w:tcPr>
          <w:p w14:paraId="02BFE291" w14:textId="77777777" w:rsidR="006B00E7" w:rsidRPr="00B36910" w:rsidRDefault="006B00E7" w:rsidP="00B36910">
            <w:pPr>
              <w:rPr>
                <w:b/>
                <w:i/>
              </w:rPr>
            </w:pPr>
            <w:r w:rsidRPr="00B36910">
              <w:rPr>
                <w:b/>
                <w:i/>
              </w:rPr>
              <w:t>Raised by / Date</w:t>
            </w:r>
          </w:p>
        </w:tc>
        <w:tc>
          <w:tcPr>
            <w:tcW w:w="1555" w:type="pct"/>
          </w:tcPr>
          <w:p w14:paraId="16637E6A" w14:textId="77777777" w:rsidR="006B00E7" w:rsidRPr="00B36910" w:rsidRDefault="006B00E7" w:rsidP="00B36910">
            <w:pPr>
              <w:rPr>
                <w:b/>
                <w:i/>
              </w:rPr>
            </w:pPr>
            <w:r w:rsidRPr="00B36910">
              <w:rPr>
                <w:b/>
                <w:i/>
              </w:rPr>
              <w:t>Response or Action taken by applicant</w:t>
            </w:r>
          </w:p>
        </w:tc>
        <w:tc>
          <w:tcPr>
            <w:tcW w:w="435" w:type="pct"/>
          </w:tcPr>
          <w:p w14:paraId="01F562A9" w14:textId="77777777" w:rsidR="006B00E7" w:rsidRPr="00B36910" w:rsidRDefault="006B00E7" w:rsidP="00B36910">
            <w:pPr>
              <w:rPr>
                <w:b/>
                <w:i/>
              </w:rPr>
            </w:pPr>
            <w:r w:rsidRPr="00B36910">
              <w:rPr>
                <w:b/>
                <w:i/>
              </w:rPr>
              <w:t>Response date</w:t>
            </w:r>
          </w:p>
        </w:tc>
        <w:tc>
          <w:tcPr>
            <w:tcW w:w="410" w:type="pct"/>
          </w:tcPr>
          <w:p w14:paraId="3DD68FB6" w14:textId="77777777" w:rsidR="006B00E7" w:rsidRPr="00B36910" w:rsidRDefault="006B00E7" w:rsidP="00B36910">
            <w:pPr>
              <w:rPr>
                <w:b/>
                <w:i/>
              </w:rPr>
            </w:pPr>
            <w:r w:rsidRPr="00B36910">
              <w:rPr>
                <w:b/>
                <w:i/>
              </w:rPr>
              <w:t>Resolved</w:t>
            </w:r>
          </w:p>
        </w:tc>
        <w:tc>
          <w:tcPr>
            <w:tcW w:w="436" w:type="pct"/>
          </w:tcPr>
          <w:p w14:paraId="6B541A4D" w14:textId="77777777" w:rsidR="006B00E7" w:rsidRPr="00B36910" w:rsidRDefault="006B00E7" w:rsidP="00B36910">
            <w:pPr>
              <w:rPr>
                <w:b/>
                <w:i/>
              </w:rPr>
            </w:pPr>
            <w:r w:rsidRPr="00B36910">
              <w:rPr>
                <w:b/>
                <w:i/>
              </w:rPr>
              <w:t>Sign off by / Date</w:t>
            </w:r>
          </w:p>
        </w:tc>
      </w:tr>
      <w:tr w:rsidR="00B36910" w:rsidRPr="00B36910" w14:paraId="3CE97685" w14:textId="77777777" w:rsidTr="007B0C3E">
        <w:tc>
          <w:tcPr>
            <w:tcW w:w="298" w:type="pct"/>
          </w:tcPr>
          <w:p w14:paraId="550851E5" w14:textId="77777777" w:rsidR="006B00E7" w:rsidRPr="00B36910" w:rsidRDefault="006B00E7" w:rsidP="00B36910">
            <w:r w:rsidRPr="00B36910">
              <w:t>2a</w:t>
            </w:r>
          </w:p>
        </w:tc>
        <w:tc>
          <w:tcPr>
            <w:tcW w:w="1460" w:type="pct"/>
          </w:tcPr>
          <w:p w14:paraId="3B3A9290" w14:textId="77777777" w:rsidR="006B00E7" w:rsidRPr="00B36910" w:rsidRDefault="006B00E7" w:rsidP="00B36910">
            <w:r w:rsidRPr="00B36910">
              <w:t>A sponsor for the indicator needs to be identified.</w:t>
            </w:r>
          </w:p>
        </w:tc>
        <w:tc>
          <w:tcPr>
            <w:tcW w:w="406" w:type="pct"/>
          </w:tcPr>
          <w:p w14:paraId="51156605" w14:textId="77777777" w:rsidR="006B00E7" w:rsidRPr="00B36910" w:rsidRDefault="006B00E7" w:rsidP="00B36910">
            <w:r w:rsidRPr="00B36910">
              <w:t>MRG</w:t>
            </w:r>
          </w:p>
          <w:p w14:paraId="3CF7A123" w14:textId="77777777" w:rsidR="006B00E7" w:rsidRPr="00B36910" w:rsidRDefault="006B00E7" w:rsidP="00B36910"/>
          <w:p w14:paraId="02ED94F5" w14:textId="77777777" w:rsidR="006B00E7" w:rsidRPr="00B36910" w:rsidRDefault="006B00E7" w:rsidP="00B36910">
            <w:r w:rsidRPr="00B36910">
              <w:t>10/09/15</w:t>
            </w:r>
          </w:p>
        </w:tc>
        <w:tc>
          <w:tcPr>
            <w:tcW w:w="1555" w:type="pct"/>
          </w:tcPr>
          <w:p w14:paraId="6F783B4A" w14:textId="77777777" w:rsidR="006B00E7" w:rsidRPr="00B36910" w:rsidRDefault="006B00E7" w:rsidP="00B36910">
            <w:pPr>
              <w:spacing w:before="120" w:after="120"/>
            </w:pPr>
            <w:r w:rsidRPr="00B36910">
              <w:t>The sponsor of the CCG OIS is Richard Owen, Outcomes Strategy Lead, NHS Medical Directorate, NHS England.</w:t>
            </w:r>
          </w:p>
        </w:tc>
        <w:tc>
          <w:tcPr>
            <w:tcW w:w="435" w:type="pct"/>
          </w:tcPr>
          <w:p w14:paraId="7287803E" w14:textId="77777777" w:rsidR="006B00E7" w:rsidRPr="00B36910" w:rsidRDefault="006B00E7" w:rsidP="00B36910">
            <w:pPr>
              <w:jc w:val="center"/>
            </w:pPr>
          </w:p>
        </w:tc>
        <w:sdt>
          <w:sdtPr>
            <w:id w:val="-1105881597"/>
            <w14:checkbox>
              <w14:checked w14:val="0"/>
              <w14:checkedState w14:val="00FE" w14:font="Wingdings"/>
              <w14:uncheckedState w14:val="006F" w14:font="Wingdings"/>
            </w14:checkbox>
          </w:sdtPr>
          <w:sdtContent>
            <w:tc>
              <w:tcPr>
                <w:tcW w:w="410" w:type="pct"/>
              </w:tcPr>
              <w:p w14:paraId="534FACC1" w14:textId="77777777" w:rsidR="006B00E7" w:rsidRPr="00B36910" w:rsidRDefault="006B00E7" w:rsidP="00B36910">
                <w:pPr>
                  <w:jc w:val="center"/>
                </w:pPr>
                <w:r w:rsidRPr="00B36910">
                  <w:sym w:font="Wingdings" w:char="F06F"/>
                </w:r>
              </w:p>
            </w:tc>
          </w:sdtContent>
        </w:sdt>
        <w:tc>
          <w:tcPr>
            <w:tcW w:w="436" w:type="pct"/>
          </w:tcPr>
          <w:p w14:paraId="32A3470C" w14:textId="77777777" w:rsidR="006B00E7" w:rsidRPr="00B36910" w:rsidRDefault="006B00E7" w:rsidP="00B36910"/>
        </w:tc>
      </w:tr>
      <w:tr w:rsidR="00B36910" w:rsidRPr="00B36910" w14:paraId="6C40F757" w14:textId="77777777" w:rsidTr="007B0C3E">
        <w:tc>
          <w:tcPr>
            <w:tcW w:w="298" w:type="pct"/>
          </w:tcPr>
          <w:p w14:paraId="63749A04" w14:textId="77777777" w:rsidR="006B00E7" w:rsidRPr="00B36910" w:rsidRDefault="006B00E7" w:rsidP="00B36910">
            <w:r w:rsidRPr="00B36910">
              <w:t>2b</w:t>
            </w:r>
          </w:p>
        </w:tc>
        <w:tc>
          <w:tcPr>
            <w:tcW w:w="1460" w:type="pct"/>
          </w:tcPr>
          <w:p w14:paraId="0B457328" w14:textId="77777777" w:rsidR="006B00E7" w:rsidRPr="00B36910" w:rsidRDefault="006B00E7" w:rsidP="00B36910">
            <w:r w:rsidRPr="00B36910">
              <w:t>The definition should be clear as to the types of stroke included in the indicator.</w:t>
            </w:r>
          </w:p>
        </w:tc>
        <w:tc>
          <w:tcPr>
            <w:tcW w:w="406" w:type="pct"/>
          </w:tcPr>
          <w:p w14:paraId="025F87FF" w14:textId="77777777" w:rsidR="006B00E7" w:rsidRPr="00B36910" w:rsidRDefault="006B00E7" w:rsidP="00B36910">
            <w:r w:rsidRPr="00B36910">
              <w:t>MRG</w:t>
            </w:r>
          </w:p>
          <w:p w14:paraId="25F0F989" w14:textId="77777777" w:rsidR="006B00E7" w:rsidRPr="00B36910" w:rsidRDefault="006B00E7" w:rsidP="00B36910"/>
          <w:p w14:paraId="28A1C395" w14:textId="77777777" w:rsidR="006B00E7" w:rsidRPr="00B36910" w:rsidRDefault="006B00E7" w:rsidP="00B36910">
            <w:r w:rsidRPr="00B36910">
              <w:t>10/09/15</w:t>
            </w:r>
          </w:p>
        </w:tc>
        <w:tc>
          <w:tcPr>
            <w:tcW w:w="1555" w:type="pct"/>
          </w:tcPr>
          <w:p w14:paraId="60D8E832" w14:textId="77777777" w:rsidR="006B00E7" w:rsidRPr="00B36910" w:rsidRDefault="006B00E7" w:rsidP="00B36910">
            <w:pPr>
              <w:spacing w:before="120" w:after="120"/>
            </w:pPr>
            <w:r w:rsidRPr="00B36910">
              <w:t>A sentence is included in the definition section of the IAS application form and Indicator Quality Statement, stating: Stroke is defined within this indicator as intracerebral haemorrhage (ICD-10 code: I61), cerebral infarction (I63) and stroke, not specified as haemorrhage or infarction (I64).</w:t>
            </w:r>
          </w:p>
        </w:tc>
        <w:tc>
          <w:tcPr>
            <w:tcW w:w="435" w:type="pct"/>
          </w:tcPr>
          <w:p w14:paraId="7C50A16C" w14:textId="77777777" w:rsidR="006B00E7" w:rsidRPr="00B36910" w:rsidRDefault="006B00E7" w:rsidP="00B36910">
            <w:pPr>
              <w:jc w:val="center"/>
            </w:pPr>
          </w:p>
        </w:tc>
        <w:sdt>
          <w:sdtPr>
            <w:id w:val="-834139063"/>
            <w14:checkbox>
              <w14:checked w14:val="0"/>
              <w14:checkedState w14:val="00FE" w14:font="Wingdings"/>
              <w14:uncheckedState w14:val="006F" w14:font="Wingdings"/>
            </w14:checkbox>
          </w:sdtPr>
          <w:sdtContent>
            <w:tc>
              <w:tcPr>
                <w:tcW w:w="410" w:type="pct"/>
              </w:tcPr>
              <w:p w14:paraId="3C4DB594" w14:textId="77777777" w:rsidR="006B00E7" w:rsidRPr="00B36910" w:rsidRDefault="006B00E7" w:rsidP="00B36910">
                <w:pPr>
                  <w:jc w:val="center"/>
                </w:pPr>
                <w:r w:rsidRPr="00B36910">
                  <w:sym w:font="Wingdings" w:char="F06F"/>
                </w:r>
              </w:p>
            </w:tc>
          </w:sdtContent>
        </w:sdt>
        <w:tc>
          <w:tcPr>
            <w:tcW w:w="436" w:type="pct"/>
          </w:tcPr>
          <w:p w14:paraId="0C3BC6A9" w14:textId="77777777" w:rsidR="006B00E7" w:rsidRPr="00B36910" w:rsidRDefault="006B00E7" w:rsidP="00B36910"/>
        </w:tc>
      </w:tr>
      <w:tr w:rsidR="006B00E7" w:rsidRPr="00B36910" w14:paraId="5F1AC64D" w14:textId="77777777" w:rsidTr="007B0C3E">
        <w:tc>
          <w:tcPr>
            <w:tcW w:w="298" w:type="pct"/>
          </w:tcPr>
          <w:p w14:paraId="135DBC6B" w14:textId="77777777" w:rsidR="006B00E7" w:rsidRPr="00B36910" w:rsidRDefault="006B00E7" w:rsidP="00B36910">
            <w:r w:rsidRPr="00B36910">
              <w:t>2d</w:t>
            </w:r>
          </w:p>
        </w:tc>
        <w:tc>
          <w:tcPr>
            <w:tcW w:w="1460" w:type="pct"/>
          </w:tcPr>
          <w:p w14:paraId="0E12196F" w14:textId="77777777" w:rsidR="006B00E7" w:rsidRPr="00B36910" w:rsidRDefault="006B00E7" w:rsidP="00B36910">
            <w:r w:rsidRPr="00B36910">
              <w:t xml:space="preserve">Section 2 of the application form should state why the indicator is measuring the proportion of stroke patients who spend specifically </w:t>
            </w:r>
            <w:r w:rsidRPr="00B36910">
              <w:rPr>
                <w:b/>
              </w:rPr>
              <w:t>more than 90%</w:t>
            </w:r>
            <w:r w:rsidRPr="00B36910">
              <w:t xml:space="preserve"> of their time on the stroke ward.</w:t>
            </w:r>
          </w:p>
        </w:tc>
        <w:tc>
          <w:tcPr>
            <w:tcW w:w="406" w:type="pct"/>
          </w:tcPr>
          <w:p w14:paraId="67667284" w14:textId="77777777" w:rsidR="006B00E7" w:rsidRPr="00B36910" w:rsidRDefault="006B00E7" w:rsidP="00B36910">
            <w:r w:rsidRPr="00B36910">
              <w:t>MRG</w:t>
            </w:r>
          </w:p>
          <w:p w14:paraId="60441ED3" w14:textId="77777777" w:rsidR="006B00E7" w:rsidRPr="00B36910" w:rsidRDefault="006B00E7" w:rsidP="00B36910"/>
          <w:p w14:paraId="305F5B92" w14:textId="77777777" w:rsidR="006B00E7" w:rsidRPr="00B36910" w:rsidRDefault="006B00E7" w:rsidP="00B36910">
            <w:r w:rsidRPr="00B36910">
              <w:t>10/09/15</w:t>
            </w:r>
          </w:p>
        </w:tc>
        <w:tc>
          <w:tcPr>
            <w:tcW w:w="1555" w:type="pct"/>
          </w:tcPr>
          <w:p w14:paraId="5548BE7D" w14:textId="77777777" w:rsidR="006B00E7" w:rsidRPr="00B36910" w:rsidRDefault="006B00E7" w:rsidP="00B36910">
            <w:pPr>
              <w:spacing w:before="120" w:after="120"/>
            </w:pPr>
            <w:r w:rsidRPr="00B36910">
              <w:t>The measurement of 90% of a patient’s stay is on a stroke unit is a legacy indicator and has clinical currency, which is based upon clinical expertise. It reflects the idea that patients should be spending the majority of their time on a stroke unit but that there are legitimate periods of time, such as transfer from an emergency department and being seen on other wards, which may be spent off the unit.</w:t>
            </w:r>
          </w:p>
        </w:tc>
        <w:tc>
          <w:tcPr>
            <w:tcW w:w="435" w:type="pct"/>
          </w:tcPr>
          <w:p w14:paraId="62C0A211" w14:textId="77777777" w:rsidR="006B00E7" w:rsidRPr="00B36910" w:rsidRDefault="006B00E7" w:rsidP="00B36910">
            <w:pPr>
              <w:jc w:val="center"/>
            </w:pPr>
          </w:p>
        </w:tc>
        <w:sdt>
          <w:sdtPr>
            <w:id w:val="-1430115203"/>
            <w14:checkbox>
              <w14:checked w14:val="0"/>
              <w14:checkedState w14:val="00FE" w14:font="Wingdings"/>
              <w14:uncheckedState w14:val="006F" w14:font="Wingdings"/>
            </w14:checkbox>
          </w:sdtPr>
          <w:sdtContent>
            <w:tc>
              <w:tcPr>
                <w:tcW w:w="410" w:type="pct"/>
              </w:tcPr>
              <w:p w14:paraId="13164C28" w14:textId="77777777" w:rsidR="006B00E7" w:rsidRPr="00B36910" w:rsidRDefault="006B00E7" w:rsidP="00B36910">
                <w:pPr>
                  <w:jc w:val="center"/>
                </w:pPr>
                <w:r w:rsidRPr="00B36910">
                  <w:sym w:font="Wingdings" w:char="F06F"/>
                </w:r>
              </w:p>
            </w:tc>
          </w:sdtContent>
        </w:sdt>
        <w:tc>
          <w:tcPr>
            <w:tcW w:w="436" w:type="pct"/>
          </w:tcPr>
          <w:p w14:paraId="5974562C" w14:textId="77777777" w:rsidR="006B00E7" w:rsidRPr="00B36910" w:rsidRDefault="006B00E7" w:rsidP="00B36910"/>
        </w:tc>
      </w:tr>
    </w:tbl>
    <w:p w14:paraId="21365C87" w14:textId="77777777" w:rsidR="006B00E7" w:rsidRPr="00B36910" w:rsidRDefault="006B00E7" w:rsidP="006B00E7"/>
    <w:p w14:paraId="12964E5C" w14:textId="26B35EAF" w:rsidR="007B0C3E" w:rsidRDefault="007B0C3E">
      <w:r>
        <w:t>Data</w:t>
      </w:r>
    </w:p>
    <w:tbl>
      <w:tblPr>
        <w:tblStyle w:val="TableGrid1"/>
        <w:tblW w:w="5000" w:type="pct"/>
        <w:tblLook w:val="04A0" w:firstRow="1" w:lastRow="0" w:firstColumn="1" w:lastColumn="0" w:noHBand="0" w:noVBand="1"/>
      </w:tblPr>
      <w:tblGrid>
        <w:gridCol w:w="681"/>
        <w:gridCol w:w="4011"/>
        <w:gridCol w:w="1158"/>
        <w:gridCol w:w="5181"/>
        <w:gridCol w:w="1268"/>
        <w:gridCol w:w="1195"/>
        <w:gridCol w:w="1074"/>
      </w:tblGrid>
      <w:tr w:rsidR="00B36910" w:rsidRPr="00B36910" w14:paraId="4C2F5E35" w14:textId="77777777" w:rsidTr="007B0C3E">
        <w:tc>
          <w:tcPr>
            <w:tcW w:w="234" w:type="pct"/>
          </w:tcPr>
          <w:p w14:paraId="723821A8" w14:textId="77777777" w:rsidR="006B00E7" w:rsidRPr="00B36910" w:rsidRDefault="006B00E7" w:rsidP="00B36910">
            <w:pPr>
              <w:rPr>
                <w:b/>
                <w:i/>
              </w:rPr>
            </w:pPr>
            <w:r w:rsidRPr="00B36910">
              <w:rPr>
                <w:b/>
                <w:i/>
              </w:rPr>
              <w:t>Rec. no</w:t>
            </w:r>
          </w:p>
        </w:tc>
        <w:tc>
          <w:tcPr>
            <w:tcW w:w="1377" w:type="pct"/>
          </w:tcPr>
          <w:p w14:paraId="6E701746" w14:textId="77777777" w:rsidR="006B00E7" w:rsidRPr="00B36910" w:rsidRDefault="006B00E7" w:rsidP="00B36910">
            <w:pPr>
              <w:rPr>
                <w:b/>
                <w:i/>
              </w:rPr>
            </w:pPr>
            <w:r w:rsidRPr="00B36910">
              <w:rPr>
                <w:b/>
                <w:i/>
              </w:rPr>
              <w:t>Issue or recommendation</w:t>
            </w:r>
          </w:p>
        </w:tc>
        <w:tc>
          <w:tcPr>
            <w:tcW w:w="397" w:type="pct"/>
          </w:tcPr>
          <w:p w14:paraId="5D39D256" w14:textId="77777777" w:rsidR="006B00E7" w:rsidRPr="00B36910" w:rsidRDefault="006B00E7" w:rsidP="00B36910">
            <w:pPr>
              <w:rPr>
                <w:b/>
                <w:i/>
              </w:rPr>
            </w:pPr>
            <w:r w:rsidRPr="00B36910">
              <w:rPr>
                <w:b/>
                <w:i/>
              </w:rPr>
              <w:t>Raised by / Date</w:t>
            </w:r>
          </w:p>
        </w:tc>
        <w:tc>
          <w:tcPr>
            <w:tcW w:w="1778" w:type="pct"/>
          </w:tcPr>
          <w:p w14:paraId="0E471B77" w14:textId="77777777" w:rsidR="006B00E7" w:rsidRPr="00B36910" w:rsidRDefault="006B00E7" w:rsidP="00B36910">
            <w:pPr>
              <w:rPr>
                <w:b/>
                <w:i/>
              </w:rPr>
            </w:pPr>
            <w:r w:rsidRPr="00B36910">
              <w:rPr>
                <w:b/>
                <w:i/>
              </w:rPr>
              <w:t>Response or Action taken by applicant</w:t>
            </w:r>
          </w:p>
        </w:tc>
        <w:tc>
          <w:tcPr>
            <w:tcW w:w="435" w:type="pct"/>
          </w:tcPr>
          <w:p w14:paraId="58F55F1F" w14:textId="77777777" w:rsidR="006B00E7" w:rsidRPr="00B36910" w:rsidRDefault="006B00E7" w:rsidP="00B36910">
            <w:pPr>
              <w:rPr>
                <w:b/>
                <w:i/>
              </w:rPr>
            </w:pPr>
            <w:r w:rsidRPr="00B36910">
              <w:rPr>
                <w:b/>
                <w:i/>
              </w:rPr>
              <w:t>Response date</w:t>
            </w:r>
          </w:p>
        </w:tc>
        <w:tc>
          <w:tcPr>
            <w:tcW w:w="410" w:type="pct"/>
          </w:tcPr>
          <w:p w14:paraId="584F1F9F" w14:textId="77777777" w:rsidR="006B00E7" w:rsidRPr="00B36910" w:rsidRDefault="006B00E7" w:rsidP="00B36910">
            <w:pPr>
              <w:rPr>
                <w:b/>
                <w:i/>
              </w:rPr>
            </w:pPr>
            <w:r w:rsidRPr="00B36910">
              <w:rPr>
                <w:b/>
                <w:i/>
              </w:rPr>
              <w:t>Resolved</w:t>
            </w:r>
          </w:p>
        </w:tc>
        <w:tc>
          <w:tcPr>
            <w:tcW w:w="369" w:type="pct"/>
          </w:tcPr>
          <w:p w14:paraId="6E7CFE29" w14:textId="77777777" w:rsidR="006B00E7" w:rsidRPr="00B36910" w:rsidRDefault="006B00E7" w:rsidP="00B36910">
            <w:pPr>
              <w:rPr>
                <w:b/>
                <w:i/>
              </w:rPr>
            </w:pPr>
            <w:r w:rsidRPr="00B36910">
              <w:rPr>
                <w:b/>
                <w:i/>
              </w:rPr>
              <w:t>Sign off by / Date</w:t>
            </w:r>
          </w:p>
        </w:tc>
      </w:tr>
      <w:tr w:rsidR="00B36910" w:rsidRPr="00B36910" w14:paraId="200A9A56" w14:textId="77777777" w:rsidTr="007B0C3E">
        <w:tc>
          <w:tcPr>
            <w:tcW w:w="234" w:type="pct"/>
          </w:tcPr>
          <w:p w14:paraId="503E0612" w14:textId="77777777" w:rsidR="006B00E7" w:rsidRPr="00B36910" w:rsidRDefault="006B00E7" w:rsidP="00B36910">
            <w:pPr>
              <w:rPr>
                <w:rFonts w:eastAsia="Times New Roman"/>
                <w:lang w:eastAsia="en-GB"/>
              </w:rPr>
            </w:pPr>
            <w:r w:rsidRPr="00B36910">
              <w:rPr>
                <w:rFonts w:eastAsia="Times New Roman"/>
                <w:lang w:eastAsia="en-GB"/>
              </w:rPr>
              <w:t>3a</w:t>
            </w:r>
          </w:p>
        </w:tc>
        <w:tc>
          <w:tcPr>
            <w:tcW w:w="1377" w:type="pct"/>
          </w:tcPr>
          <w:p w14:paraId="767BD32D" w14:textId="77777777" w:rsidR="006B00E7" w:rsidRPr="00B36910" w:rsidRDefault="006B00E7" w:rsidP="00B36910">
            <w:pPr>
              <w:rPr>
                <w:rFonts w:eastAsia="Times New Roman"/>
                <w:lang w:eastAsia="en-GB"/>
              </w:rPr>
            </w:pPr>
            <w:r w:rsidRPr="00B36910">
              <w:rPr>
                <w:rFonts w:eastAsia="Times New Roman"/>
                <w:lang w:eastAsia="en-GB"/>
              </w:rPr>
              <w:t>Further detail is requested as to how the exclusion criteria was devised with evidence of the policy / standards that informed the developers decisions around exclusions.</w:t>
            </w:r>
          </w:p>
        </w:tc>
        <w:tc>
          <w:tcPr>
            <w:tcW w:w="397" w:type="pct"/>
          </w:tcPr>
          <w:p w14:paraId="0761621B" w14:textId="77777777" w:rsidR="006B00E7" w:rsidRPr="00B36910" w:rsidRDefault="006B00E7" w:rsidP="00B36910">
            <w:pPr>
              <w:rPr>
                <w:rFonts w:eastAsia="Times New Roman"/>
                <w:lang w:eastAsia="en-GB"/>
              </w:rPr>
            </w:pPr>
            <w:r w:rsidRPr="00B36910">
              <w:rPr>
                <w:rFonts w:eastAsia="Times New Roman"/>
                <w:lang w:eastAsia="en-GB"/>
              </w:rPr>
              <w:t xml:space="preserve">IGB </w:t>
            </w:r>
          </w:p>
          <w:p w14:paraId="3DFD69EB" w14:textId="77777777" w:rsidR="006B00E7" w:rsidRPr="00B36910" w:rsidRDefault="006B00E7" w:rsidP="00B36910">
            <w:pPr>
              <w:rPr>
                <w:rFonts w:eastAsia="Times New Roman"/>
                <w:lang w:eastAsia="en-GB"/>
              </w:rPr>
            </w:pPr>
          </w:p>
          <w:p w14:paraId="3DD53A7B" w14:textId="77777777" w:rsidR="006B00E7" w:rsidRPr="00B36910" w:rsidRDefault="006B00E7" w:rsidP="00B36910">
            <w:pPr>
              <w:rPr>
                <w:rFonts w:eastAsia="Times New Roman"/>
                <w:lang w:eastAsia="en-GB"/>
              </w:rPr>
            </w:pPr>
            <w:r w:rsidRPr="00B36910">
              <w:rPr>
                <w:rFonts w:eastAsia="Times New Roman"/>
                <w:lang w:eastAsia="en-GB"/>
              </w:rPr>
              <w:t>16/1/14</w:t>
            </w:r>
          </w:p>
        </w:tc>
        <w:tc>
          <w:tcPr>
            <w:tcW w:w="1778" w:type="pct"/>
          </w:tcPr>
          <w:p w14:paraId="38315FEB" w14:textId="77777777" w:rsidR="006B00E7" w:rsidRPr="00B36910" w:rsidRDefault="006B00E7" w:rsidP="00B36910">
            <w:pPr>
              <w:spacing w:before="120" w:after="120"/>
              <w:rPr>
                <w:rFonts w:eastAsia="Times New Roman"/>
                <w:lang w:eastAsia="en-GB"/>
              </w:rPr>
            </w:pPr>
            <w:r w:rsidRPr="00B36910">
              <w:rPr>
                <w:rFonts w:eastAsia="Times New Roman"/>
                <w:lang w:eastAsia="en-GB"/>
              </w:rPr>
              <w:t>The exclusion criteria are stated in the denominator, which is defined as follows: </w:t>
            </w:r>
          </w:p>
          <w:p w14:paraId="59398F0A" w14:textId="77777777" w:rsidR="006B00E7" w:rsidRPr="00B36910" w:rsidRDefault="006B00E7" w:rsidP="00B36910">
            <w:pPr>
              <w:spacing w:before="120" w:after="120"/>
              <w:rPr>
                <w:rFonts w:eastAsia="Times New Roman"/>
                <w:lang w:eastAsia="en-GB"/>
              </w:rPr>
            </w:pPr>
            <w:r w:rsidRPr="00B36910">
              <w:rPr>
                <w:rFonts w:eastAsia="Times New Roman"/>
                <w:lang w:eastAsia="en-GB"/>
              </w:rPr>
              <w:t>“</w:t>
            </w:r>
            <w:r w:rsidRPr="00B36910">
              <w:rPr>
                <w:rFonts w:eastAsia="Times New Roman"/>
                <w:i/>
                <w:iCs/>
                <w:lang w:eastAsia="en-GB"/>
              </w:rPr>
              <w:t>All patients entered into SSNAP with a primary diagnosis of stroke, except for those whose first ward of admission was ITU, CCU or HDU and those who died on the same day as arrival/onset of symptoms</w:t>
            </w:r>
            <w:r w:rsidRPr="00B36910">
              <w:rPr>
                <w:rFonts w:eastAsia="Times New Roman"/>
                <w:lang w:eastAsia="en-GB"/>
              </w:rPr>
              <w:t>.”</w:t>
            </w:r>
          </w:p>
          <w:p w14:paraId="10315637" w14:textId="77777777" w:rsidR="006B00E7" w:rsidRPr="00B36910" w:rsidRDefault="006B00E7" w:rsidP="00B36910">
            <w:pPr>
              <w:spacing w:before="120" w:after="120"/>
              <w:rPr>
                <w:rFonts w:eastAsia="Times New Roman"/>
                <w:i/>
                <w:lang w:eastAsia="en-GB"/>
              </w:rPr>
            </w:pPr>
            <w:r w:rsidRPr="00B36910">
              <w:rPr>
                <w:rFonts w:eastAsia="Times New Roman"/>
                <w:i/>
                <w:lang w:eastAsia="en-GB"/>
              </w:rPr>
              <w:t>(ITU = Intensive Treatment Unit, CCU = Critical Care Unit, HDU = High Dependency Unit)</w:t>
            </w:r>
          </w:p>
          <w:p w14:paraId="4FC53ED1" w14:textId="77777777" w:rsidR="006B00E7" w:rsidRPr="00B36910" w:rsidRDefault="006B00E7" w:rsidP="00B36910">
            <w:pPr>
              <w:spacing w:before="120" w:after="120"/>
              <w:rPr>
                <w:rFonts w:eastAsia="Times New Roman"/>
                <w:lang w:eastAsia="en-GB"/>
              </w:rPr>
            </w:pPr>
            <w:r w:rsidRPr="00B36910">
              <w:rPr>
                <w:rFonts w:eastAsia="Times New Roman"/>
                <w:lang w:eastAsia="en-GB"/>
              </w:rPr>
              <w:t xml:space="preserve">The RCP have confirmed that the reason for these exclusions are that some patients’ condition is sufficiently serious that the most appropriate place to meet their needs </w:t>
            </w:r>
            <w:proofErr w:type="gramStart"/>
            <w:r w:rsidRPr="00B36910">
              <w:rPr>
                <w:rFonts w:eastAsia="Times New Roman"/>
                <w:lang w:eastAsia="en-GB"/>
              </w:rPr>
              <w:t>is  ITU</w:t>
            </w:r>
            <w:proofErr w:type="gramEnd"/>
            <w:r w:rsidRPr="00B36910">
              <w:rPr>
                <w:rFonts w:eastAsia="Times New Roman"/>
                <w:lang w:eastAsia="en-GB"/>
              </w:rPr>
              <w:t>, CCU or HDU. The reason for the audit having these exclusions is to prevent any perverse incentives to have all patients on a stroke unit even if they are better off being treated elsewhere.</w:t>
            </w:r>
          </w:p>
          <w:p w14:paraId="5D07B2AA" w14:textId="77777777" w:rsidR="006B00E7" w:rsidRPr="00B36910" w:rsidRDefault="006B00E7" w:rsidP="00B36910">
            <w:pPr>
              <w:spacing w:before="120" w:after="120"/>
              <w:rPr>
                <w:rFonts w:eastAsia="Times New Roman"/>
                <w:lang w:eastAsia="en-GB"/>
              </w:rPr>
            </w:pPr>
            <w:r w:rsidRPr="00B36910">
              <w:rPr>
                <w:rFonts w:eastAsia="Times New Roman"/>
                <w:lang w:eastAsia="en-GB"/>
              </w:rPr>
              <w:t xml:space="preserve">The evidence base for the standards that informed the development of this measure are contained within the Stroke National Clinical Guidelines (4th Edition, 2012) Appendix 3 National Stroke Strategy Quality Markers QM9 Treatment : All stroke patients have prompt access to an acute stroke unit and spend the majority of their time at hospital in a stroke unit with high-quality stroke specialist care.  (page 187)  </w:t>
            </w:r>
            <w:hyperlink r:id="rId30" w:history="1">
              <w:r w:rsidRPr="00B36910">
                <w:rPr>
                  <w:rStyle w:val="Hyperlink"/>
                  <w:rFonts w:eastAsia="Times New Roman"/>
                  <w:color w:val="auto"/>
                  <w:lang w:eastAsia="en-GB"/>
                </w:rPr>
                <w:t>http://www.rcplondon.ac.uk/resources/stroke-guidelines</w:t>
              </w:r>
            </w:hyperlink>
            <w:r w:rsidRPr="00B36910">
              <w:rPr>
                <w:rFonts w:eastAsia="Times New Roman"/>
                <w:lang w:eastAsia="en-GB"/>
              </w:rPr>
              <w:t xml:space="preserve">    </w:t>
            </w:r>
          </w:p>
        </w:tc>
        <w:tc>
          <w:tcPr>
            <w:tcW w:w="435" w:type="pct"/>
          </w:tcPr>
          <w:p w14:paraId="0B5DFC54" w14:textId="77777777" w:rsidR="006B00E7" w:rsidRPr="00B36910" w:rsidRDefault="006B00E7" w:rsidP="00B36910">
            <w:pPr>
              <w:jc w:val="center"/>
              <w:rPr>
                <w:rFonts w:eastAsia="Times New Roman"/>
                <w:lang w:eastAsia="en-GB"/>
              </w:rPr>
            </w:pPr>
            <w:r w:rsidRPr="00B36910">
              <w:rPr>
                <w:rFonts w:eastAsia="Times New Roman"/>
                <w:lang w:eastAsia="en-GB"/>
              </w:rPr>
              <w:t>13/08/15</w:t>
            </w:r>
          </w:p>
        </w:tc>
        <w:sdt>
          <w:sdtPr>
            <w:id w:val="1493914746"/>
            <w14:checkbox>
              <w14:checked w14:val="1"/>
              <w14:checkedState w14:val="00FE" w14:font="Wingdings"/>
              <w14:uncheckedState w14:val="006F" w14:font="Wingdings"/>
            </w14:checkbox>
          </w:sdtPr>
          <w:sdtContent>
            <w:tc>
              <w:tcPr>
                <w:tcW w:w="410" w:type="pct"/>
              </w:tcPr>
              <w:p w14:paraId="2FA5CA74" w14:textId="77777777" w:rsidR="006B00E7" w:rsidRPr="00B36910" w:rsidRDefault="006B00E7" w:rsidP="00B36910">
                <w:pPr>
                  <w:jc w:val="center"/>
                  <w:rPr>
                    <w:rFonts w:eastAsia="Times New Roman"/>
                    <w:lang w:eastAsia="en-GB"/>
                  </w:rPr>
                </w:pPr>
                <w:r w:rsidRPr="00B36910">
                  <w:sym w:font="Wingdings" w:char="F0FE"/>
                </w:r>
              </w:p>
            </w:tc>
          </w:sdtContent>
        </w:sdt>
        <w:tc>
          <w:tcPr>
            <w:tcW w:w="369" w:type="pct"/>
          </w:tcPr>
          <w:p w14:paraId="065496DE" w14:textId="77777777" w:rsidR="006B00E7" w:rsidRPr="00B36910" w:rsidRDefault="006B00E7" w:rsidP="00B36910">
            <w:r w:rsidRPr="00B36910">
              <w:t>MRG</w:t>
            </w:r>
          </w:p>
          <w:p w14:paraId="762C6423" w14:textId="77777777" w:rsidR="006B00E7" w:rsidRPr="00B36910" w:rsidRDefault="006B00E7" w:rsidP="00B36910">
            <w:pPr>
              <w:rPr>
                <w:rFonts w:eastAsia="Times New Roman"/>
                <w:lang w:eastAsia="en-GB"/>
              </w:rPr>
            </w:pPr>
            <w:r w:rsidRPr="00B36910">
              <w:t>10/09/15</w:t>
            </w:r>
          </w:p>
        </w:tc>
      </w:tr>
      <w:tr w:rsidR="00B36910" w:rsidRPr="00B36910" w14:paraId="177B1683" w14:textId="77777777" w:rsidTr="007B0C3E">
        <w:tc>
          <w:tcPr>
            <w:tcW w:w="234" w:type="pct"/>
          </w:tcPr>
          <w:p w14:paraId="51CFA664" w14:textId="77777777" w:rsidR="006B00E7" w:rsidRPr="00B36910" w:rsidRDefault="006B00E7" w:rsidP="00B36910">
            <w:pPr>
              <w:rPr>
                <w:rFonts w:eastAsia="Times New Roman"/>
                <w:lang w:eastAsia="en-GB"/>
              </w:rPr>
            </w:pPr>
            <w:r w:rsidRPr="00B36910">
              <w:rPr>
                <w:rFonts w:eastAsia="Times New Roman"/>
                <w:lang w:eastAsia="en-GB"/>
              </w:rPr>
              <w:t>3c</w:t>
            </w:r>
          </w:p>
        </w:tc>
        <w:tc>
          <w:tcPr>
            <w:tcW w:w="1377" w:type="pct"/>
          </w:tcPr>
          <w:p w14:paraId="262F194E" w14:textId="77777777" w:rsidR="006B00E7" w:rsidRPr="00B36910" w:rsidRDefault="006B00E7" w:rsidP="00B36910">
            <w:pPr>
              <w:rPr>
                <w:rFonts w:eastAsia="Times New Roman"/>
                <w:lang w:eastAsia="en-GB"/>
              </w:rPr>
            </w:pPr>
            <w:r w:rsidRPr="00B36910">
              <w:rPr>
                <w:rFonts w:eastAsia="Times New Roman"/>
                <w:lang w:eastAsia="en-GB"/>
              </w:rPr>
              <w:t>The rationale for selecting the ICD-10 codes used to identify stroke patients should be clearly stated in the documentation for each indicator.</w:t>
            </w:r>
          </w:p>
          <w:p w14:paraId="77EA8A0B" w14:textId="77777777" w:rsidR="006B00E7" w:rsidRPr="00B36910" w:rsidRDefault="006B00E7" w:rsidP="00B36910">
            <w:pPr>
              <w:rPr>
                <w:rFonts w:eastAsia="Times New Roman"/>
                <w:lang w:eastAsia="en-GB"/>
              </w:rPr>
            </w:pPr>
          </w:p>
          <w:p w14:paraId="7BBEB77C" w14:textId="77777777" w:rsidR="006B00E7" w:rsidRPr="00B36910" w:rsidRDefault="006B00E7" w:rsidP="00B36910">
            <w:pPr>
              <w:rPr>
                <w:rFonts w:eastAsia="Times New Roman"/>
                <w:lang w:eastAsia="en-GB"/>
              </w:rPr>
            </w:pPr>
          </w:p>
          <w:p w14:paraId="5E921B0A" w14:textId="77777777" w:rsidR="006B00E7" w:rsidRPr="00B36910" w:rsidRDefault="006B00E7" w:rsidP="00B36910">
            <w:pPr>
              <w:rPr>
                <w:rFonts w:eastAsia="Times New Roman"/>
                <w:lang w:eastAsia="en-GB"/>
              </w:rPr>
            </w:pPr>
          </w:p>
          <w:p w14:paraId="26242660" w14:textId="77777777" w:rsidR="006B00E7" w:rsidRPr="00B36910" w:rsidRDefault="006B00E7" w:rsidP="00B36910">
            <w:pPr>
              <w:rPr>
                <w:rFonts w:eastAsia="Times New Roman"/>
                <w:lang w:eastAsia="en-GB"/>
              </w:rPr>
            </w:pPr>
          </w:p>
          <w:p w14:paraId="53E0FF40" w14:textId="77777777" w:rsidR="006B00E7" w:rsidRPr="00B36910" w:rsidRDefault="006B00E7" w:rsidP="00B36910">
            <w:pPr>
              <w:rPr>
                <w:rFonts w:eastAsia="Times New Roman"/>
                <w:lang w:eastAsia="en-GB"/>
              </w:rPr>
            </w:pPr>
          </w:p>
          <w:p w14:paraId="79AD13F0" w14:textId="77777777" w:rsidR="006B00E7" w:rsidRPr="00B36910" w:rsidRDefault="006B00E7" w:rsidP="00B36910">
            <w:pPr>
              <w:rPr>
                <w:rFonts w:eastAsia="Times New Roman"/>
                <w:lang w:eastAsia="en-GB"/>
              </w:rPr>
            </w:pPr>
          </w:p>
          <w:p w14:paraId="7FE2C848" w14:textId="77777777" w:rsidR="006B00E7" w:rsidRPr="00B36910" w:rsidRDefault="006B00E7" w:rsidP="00B36910">
            <w:pPr>
              <w:rPr>
                <w:rFonts w:eastAsia="Times New Roman"/>
                <w:lang w:eastAsia="en-GB"/>
              </w:rPr>
            </w:pPr>
          </w:p>
          <w:p w14:paraId="3A2A7A27" w14:textId="77777777" w:rsidR="006B00E7" w:rsidRPr="00B36910" w:rsidRDefault="006B00E7" w:rsidP="00B36910">
            <w:pPr>
              <w:rPr>
                <w:rFonts w:eastAsia="Times New Roman"/>
                <w:lang w:eastAsia="en-GB"/>
              </w:rPr>
            </w:pPr>
          </w:p>
          <w:p w14:paraId="0A9CF7B9" w14:textId="77777777" w:rsidR="006B00E7" w:rsidRPr="00B36910" w:rsidRDefault="006B00E7" w:rsidP="00B36910">
            <w:pPr>
              <w:rPr>
                <w:rFonts w:eastAsia="Times New Roman"/>
                <w:lang w:eastAsia="en-GB"/>
              </w:rPr>
            </w:pPr>
          </w:p>
          <w:p w14:paraId="42D8279C" w14:textId="77777777" w:rsidR="006B00E7" w:rsidRPr="00B36910" w:rsidRDefault="006B00E7" w:rsidP="00B36910">
            <w:pPr>
              <w:rPr>
                <w:rFonts w:eastAsia="Times New Roman"/>
                <w:lang w:eastAsia="en-GB"/>
              </w:rPr>
            </w:pPr>
          </w:p>
          <w:p w14:paraId="7974565F" w14:textId="77777777" w:rsidR="006B00E7" w:rsidRPr="00B36910" w:rsidRDefault="006B00E7" w:rsidP="00B36910">
            <w:pPr>
              <w:rPr>
                <w:rFonts w:eastAsia="Times New Roman"/>
                <w:lang w:eastAsia="en-GB"/>
              </w:rPr>
            </w:pPr>
          </w:p>
          <w:p w14:paraId="7F227E62" w14:textId="77777777" w:rsidR="006B00E7" w:rsidRPr="00B36910" w:rsidRDefault="006B00E7" w:rsidP="00B36910">
            <w:pPr>
              <w:rPr>
                <w:rFonts w:eastAsia="Times New Roman"/>
                <w:lang w:eastAsia="en-GB"/>
              </w:rPr>
            </w:pPr>
          </w:p>
          <w:p w14:paraId="695769D0" w14:textId="77777777" w:rsidR="006B00E7" w:rsidRPr="00B36910" w:rsidRDefault="006B00E7" w:rsidP="00B36910">
            <w:pPr>
              <w:rPr>
                <w:rFonts w:eastAsia="Times New Roman"/>
                <w:lang w:eastAsia="en-GB"/>
              </w:rPr>
            </w:pPr>
            <w:r w:rsidRPr="00B36910">
              <w:rPr>
                <w:rFonts w:eastAsia="Times New Roman"/>
                <w:lang w:eastAsia="en-GB"/>
              </w:rPr>
              <w:t>Update:</w:t>
            </w:r>
          </w:p>
          <w:p w14:paraId="59834646" w14:textId="77777777" w:rsidR="006B00E7" w:rsidRPr="00B36910" w:rsidRDefault="006B00E7" w:rsidP="00B36910">
            <w:pPr>
              <w:rPr>
                <w:rFonts w:eastAsia="Times New Roman"/>
                <w:lang w:eastAsia="en-GB"/>
              </w:rPr>
            </w:pPr>
            <w:r w:rsidRPr="00B36910">
              <w:rPr>
                <w:rFonts w:eastAsia="Times New Roman"/>
                <w:lang w:eastAsia="en-GB"/>
              </w:rPr>
              <w:t>There is a discrepancy between what SSNAP and the clinical classifications service consider a stroke, therefore further justification for the codes used is required and the definition should be updated (as stated in recommendation 2b).</w:t>
            </w:r>
          </w:p>
        </w:tc>
        <w:tc>
          <w:tcPr>
            <w:tcW w:w="397" w:type="pct"/>
          </w:tcPr>
          <w:p w14:paraId="1C2BD2FC" w14:textId="77777777" w:rsidR="006B00E7" w:rsidRPr="00B36910" w:rsidRDefault="006B00E7" w:rsidP="00B36910">
            <w:pPr>
              <w:rPr>
                <w:rFonts w:eastAsia="Times New Roman"/>
                <w:lang w:eastAsia="en-GB"/>
              </w:rPr>
            </w:pPr>
            <w:r w:rsidRPr="00B36910">
              <w:rPr>
                <w:rFonts w:eastAsia="Times New Roman"/>
                <w:lang w:eastAsia="en-GB"/>
              </w:rPr>
              <w:t>MRG</w:t>
            </w:r>
            <w:r w:rsidRPr="00B36910">
              <w:rPr>
                <w:rFonts w:eastAsia="Times New Roman"/>
                <w:lang w:eastAsia="en-GB"/>
              </w:rPr>
              <w:br/>
              <w:t>- During initial appraisal of similar indicators</w:t>
            </w:r>
          </w:p>
          <w:p w14:paraId="5849C212" w14:textId="77777777" w:rsidR="006B00E7" w:rsidRPr="00B36910" w:rsidRDefault="006B00E7" w:rsidP="00B36910">
            <w:pPr>
              <w:rPr>
                <w:rFonts w:eastAsia="Times New Roman"/>
                <w:lang w:eastAsia="en-GB"/>
              </w:rPr>
            </w:pPr>
          </w:p>
          <w:p w14:paraId="20A7130B" w14:textId="77777777" w:rsidR="006B00E7" w:rsidRPr="00B36910" w:rsidRDefault="006B00E7" w:rsidP="00B36910">
            <w:pPr>
              <w:rPr>
                <w:rFonts w:eastAsia="Times New Roman"/>
                <w:lang w:eastAsia="en-GB"/>
              </w:rPr>
            </w:pPr>
          </w:p>
          <w:p w14:paraId="4492530E" w14:textId="77777777" w:rsidR="006B00E7" w:rsidRPr="00B36910" w:rsidRDefault="006B00E7" w:rsidP="00B36910">
            <w:pPr>
              <w:rPr>
                <w:rFonts w:eastAsia="Times New Roman"/>
                <w:lang w:eastAsia="en-GB"/>
              </w:rPr>
            </w:pPr>
          </w:p>
          <w:p w14:paraId="3C89138E" w14:textId="77777777" w:rsidR="006B00E7" w:rsidRPr="00B36910" w:rsidRDefault="006B00E7" w:rsidP="00B36910">
            <w:pPr>
              <w:rPr>
                <w:rFonts w:eastAsia="Times New Roman"/>
                <w:lang w:eastAsia="en-GB"/>
              </w:rPr>
            </w:pPr>
          </w:p>
          <w:p w14:paraId="71C015C2" w14:textId="77777777" w:rsidR="006B00E7" w:rsidRPr="00B36910" w:rsidRDefault="006B00E7" w:rsidP="00B36910">
            <w:pPr>
              <w:rPr>
                <w:rFonts w:eastAsia="Times New Roman"/>
                <w:lang w:eastAsia="en-GB"/>
              </w:rPr>
            </w:pPr>
          </w:p>
          <w:p w14:paraId="710FB83F" w14:textId="77777777" w:rsidR="006B00E7" w:rsidRPr="00B36910" w:rsidRDefault="006B00E7" w:rsidP="00B36910">
            <w:pPr>
              <w:rPr>
                <w:rFonts w:eastAsia="Times New Roman"/>
                <w:lang w:eastAsia="en-GB"/>
              </w:rPr>
            </w:pPr>
          </w:p>
          <w:p w14:paraId="031C43FF" w14:textId="77777777" w:rsidR="006B00E7" w:rsidRPr="00B36910" w:rsidRDefault="006B00E7" w:rsidP="00B36910">
            <w:pPr>
              <w:rPr>
                <w:rFonts w:eastAsia="Times New Roman"/>
                <w:lang w:eastAsia="en-GB"/>
              </w:rPr>
            </w:pPr>
          </w:p>
          <w:p w14:paraId="6E6951E5" w14:textId="77777777" w:rsidR="006B00E7" w:rsidRPr="00B36910" w:rsidRDefault="006B00E7" w:rsidP="00B36910">
            <w:pPr>
              <w:rPr>
                <w:rFonts w:eastAsia="Times New Roman"/>
                <w:lang w:eastAsia="en-GB"/>
              </w:rPr>
            </w:pPr>
          </w:p>
          <w:p w14:paraId="5977AA3D" w14:textId="77777777" w:rsidR="006B00E7" w:rsidRPr="00B36910" w:rsidRDefault="006B00E7" w:rsidP="00B36910">
            <w:pPr>
              <w:rPr>
                <w:rFonts w:eastAsia="Times New Roman"/>
                <w:lang w:eastAsia="en-GB"/>
              </w:rPr>
            </w:pPr>
            <w:r w:rsidRPr="00B36910">
              <w:rPr>
                <w:rFonts w:eastAsia="Times New Roman"/>
                <w:lang w:eastAsia="en-GB"/>
              </w:rPr>
              <w:t>MRG</w:t>
            </w:r>
          </w:p>
          <w:p w14:paraId="5ECAD43A" w14:textId="77777777" w:rsidR="006B00E7" w:rsidRPr="00B36910" w:rsidRDefault="006B00E7" w:rsidP="00B36910">
            <w:pPr>
              <w:rPr>
                <w:rFonts w:eastAsia="Times New Roman"/>
                <w:lang w:eastAsia="en-GB"/>
              </w:rPr>
            </w:pPr>
          </w:p>
          <w:p w14:paraId="263CAEC1" w14:textId="77777777" w:rsidR="006B00E7" w:rsidRPr="00B36910" w:rsidRDefault="006B00E7" w:rsidP="00B36910">
            <w:pPr>
              <w:rPr>
                <w:rFonts w:eastAsia="Times New Roman"/>
                <w:lang w:eastAsia="en-GB"/>
              </w:rPr>
            </w:pPr>
            <w:r w:rsidRPr="00B36910">
              <w:rPr>
                <w:rFonts w:eastAsia="Times New Roman"/>
                <w:lang w:eastAsia="en-GB"/>
              </w:rPr>
              <w:t>10/09/15</w:t>
            </w:r>
          </w:p>
        </w:tc>
        <w:tc>
          <w:tcPr>
            <w:tcW w:w="1778" w:type="pct"/>
          </w:tcPr>
          <w:p w14:paraId="0108FB5B" w14:textId="77777777" w:rsidR="006B00E7" w:rsidRPr="00B36910" w:rsidRDefault="006B00E7" w:rsidP="00B36910">
            <w:pPr>
              <w:spacing w:before="120" w:after="120"/>
              <w:rPr>
                <w:rFonts w:eastAsia="Times New Roman"/>
                <w:lang w:eastAsia="en-GB"/>
              </w:rPr>
            </w:pPr>
            <w:r w:rsidRPr="00B36910">
              <w:rPr>
                <w:rFonts w:eastAsia="Times New Roman"/>
                <w:lang w:eastAsia="en-GB"/>
              </w:rPr>
              <w:t>The SSNAP uses the following ICD-10 diagnosis codes to identify stroke patients:</w:t>
            </w:r>
          </w:p>
          <w:p w14:paraId="509F9259" w14:textId="77777777" w:rsidR="006B00E7" w:rsidRPr="00B36910" w:rsidRDefault="006B00E7" w:rsidP="006B00E7">
            <w:pPr>
              <w:pStyle w:val="ListParagraph"/>
              <w:numPr>
                <w:ilvl w:val="0"/>
                <w:numId w:val="23"/>
              </w:numPr>
              <w:spacing w:before="120" w:after="120" w:line="240" w:lineRule="auto"/>
              <w:rPr>
                <w:rFonts w:ascii="Arial" w:eastAsia="Times New Roman" w:hAnsi="Arial" w:cs="Arial"/>
                <w:lang w:eastAsia="en-GB"/>
              </w:rPr>
            </w:pPr>
            <w:r w:rsidRPr="00B36910">
              <w:rPr>
                <w:rFonts w:ascii="Arial" w:eastAsia="Times New Roman" w:hAnsi="Arial" w:cs="Arial"/>
                <w:lang w:eastAsia="en-GB"/>
              </w:rPr>
              <w:t>I61 - Intracerebral haemorrhage</w:t>
            </w:r>
          </w:p>
          <w:p w14:paraId="14BE3455" w14:textId="77777777" w:rsidR="006B00E7" w:rsidRPr="00B36910" w:rsidRDefault="006B00E7" w:rsidP="006B00E7">
            <w:pPr>
              <w:pStyle w:val="ListParagraph"/>
              <w:numPr>
                <w:ilvl w:val="0"/>
                <w:numId w:val="23"/>
              </w:numPr>
              <w:spacing w:before="120" w:after="120" w:line="240" w:lineRule="auto"/>
              <w:rPr>
                <w:rFonts w:ascii="Arial" w:eastAsia="Times New Roman" w:hAnsi="Arial" w:cs="Arial"/>
                <w:lang w:eastAsia="en-GB"/>
              </w:rPr>
            </w:pPr>
            <w:r w:rsidRPr="00B36910">
              <w:rPr>
                <w:rFonts w:ascii="Arial" w:eastAsia="Times New Roman" w:hAnsi="Arial" w:cs="Arial"/>
                <w:lang w:eastAsia="en-GB"/>
              </w:rPr>
              <w:t>I63 - Cerebral infarction</w:t>
            </w:r>
          </w:p>
          <w:p w14:paraId="5FEA5135" w14:textId="77777777" w:rsidR="006B00E7" w:rsidRPr="00B36910" w:rsidRDefault="006B00E7" w:rsidP="006B00E7">
            <w:pPr>
              <w:pStyle w:val="ListParagraph"/>
              <w:numPr>
                <w:ilvl w:val="0"/>
                <w:numId w:val="23"/>
              </w:numPr>
              <w:spacing w:before="120" w:after="120" w:line="240" w:lineRule="auto"/>
              <w:rPr>
                <w:rFonts w:ascii="Arial" w:eastAsia="Times New Roman" w:hAnsi="Arial" w:cs="Arial"/>
                <w:lang w:eastAsia="en-GB"/>
              </w:rPr>
            </w:pPr>
            <w:r w:rsidRPr="00B36910">
              <w:rPr>
                <w:rFonts w:ascii="Arial" w:eastAsia="Times New Roman" w:hAnsi="Arial" w:cs="Arial"/>
                <w:lang w:eastAsia="en-GB"/>
              </w:rPr>
              <w:t>I64 - Stroke, not specified as haemorrhage or infarction</w:t>
            </w:r>
          </w:p>
          <w:p w14:paraId="3B3A3E2A" w14:textId="77777777" w:rsidR="006B00E7" w:rsidRPr="00B36910" w:rsidRDefault="006B00E7" w:rsidP="00B36910">
            <w:pPr>
              <w:spacing w:before="120" w:after="120"/>
              <w:rPr>
                <w:rFonts w:eastAsia="Times New Roman"/>
                <w:lang w:eastAsia="en-GB"/>
              </w:rPr>
            </w:pPr>
            <w:r w:rsidRPr="00B36910">
              <w:rPr>
                <w:rFonts w:eastAsia="Times New Roman"/>
                <w:lang w:eastAsia="en-GB"/>
              </w:rPr>
              <w:t>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p w14:paraId="446F97EA" w14:textId="77777777" w:rsidR="006B00E7" w:rsidRPr="00B36910" w:rsidRDefault="006B00E7" w:rsidP="00B36910">
            <w:pPr>
              <w:spacing w:before="120" w:after="120"/>
              <w:rPr>
                <w:rFonts w:eastAsia="Times New Roman"/>
                <w:lang w:eastAsia="en-GB"/>
              </w:rPr>
            </w:pPr>
          </w:p>
          <w:p w14:paraId="0823D0DD" w14:textId="77777777" w:rsidR="006B00E7" w:rsidRPr="00B36910" w:rsidRDefault="006B00E7" w:rsidP="00B36910">
            <w:pPr>
              <w:rPr>
                <w:rFonts w:eastAsia="Times New Roman"/>
                <w:lang w:eastAsia="en-GB"/>
              </w:rPr>
            </w:pPr>
            <w:r w:rsidRPr="00B36910">
              <w:rPr>
                <w:rFonts w:eastAsia="Times New Roman"/>
                <w:lang w:eastAsia="en-GB"/>
              </w:rPr>
              <w:t>Update:</w:t>
            </w:r>
          </w:p>
          <w:p w14:paraId="6110747E" w14:textId="77777777" w:rsidR="006B00E7" w:rsidRPr="00B36910" w:rsidRDefault="006B00E7" w:rsidP="00B36910">
            <w:pPr>
              <w:spacing w:before="120" w:after="120"/>
              <w:rPr>
                <w:rFonts w:eastAsia="Times New Roman"/>
                <w:lang w:eastAsia="en-GB"/>
              </w:rPr>
            </w:pPr>
            <w:r w:rsidRPr="00B36910">
              <w:rPr>
                <w:rFonts w:eastAsia="Times New Roman"/>
                <w:lang w:eastAsia="en-GB"/>
              </w:rPr>
              <w:t>Subarachnoid haemorrhages and other non-traumatic intracranial haemorrhages are routinely and nearly always managed entirely outside of the stroke unit by neurosurgeons or by interventional neuroradiologists, which is what is recommended in national guidelines for these cases. The indicators need to reflect the care given on appropriate clinical pathways, not arbitrary groupings.</w:t>
            </w:r>
          </w:p>
        </w:tc>
        <w:tc>
          <w:tcPr>
            <w:tcW w:w="435" w:type="pct"/>
          </w:tcPr>
          <w:p w14:paraId="4F51E72E" w14:textId="77777777" w:rsidR="006B00E7" w:rsidRPr="00B36910" w:rsidRDefault="006B00E7" w:rsidP="00B36910">
            <w:pPr>
              <w:jc w:val="center"/>
              <w:rPr>
                <w:rFonts w:eastAsia="Times New Roman"/>
                <w:lang w:eastAsia="en-GB"/>
              </w:rPr>
            </w:pPr>
            <w:r w:rsidRPr="00B36910">
              <w:rPr>
                <w:rFonts w:eastAsia="Times New Roman"/>
                <w:lang w:eastAsia="en-GB"/>
              </w:rPr>
              <w:t>During initial appraisal of similar indicators</w:t>
            </w:r>
          </w:p>
          <w:p w14:paraId="141EAEA6" w14:textId="77777777" w:rsidR="006B00E7" w:rsidRPr="00B36910" w:rsidRDefault="006B00E7" w:rsidP="00B36910">
            <w:pPr>
              <w:jc w:val="center"/>
              <w:rPr>
                <w:rFonts w:eastAsia="Times New Roman"/>
                <w:lang w:eastAsia="en-GB"/>
              </w:rPr>
            </w:pPr>
          </w:p>
          <w:p w14:paraId="781ECF19" w14:textId="77777777" w:rsidR="006B00E7" w:rsidRPr="00B36910" w:rsidRDefault="006B00E7" w:rsidP="00B36910">
            <w:pPr>
              <w:jc w:val="center"/>
              <w:rPr>
                <w:rFonts w:eastAsia="Times New Roman"/>
                <w:lang w:eastAsia="en-GB"/>
              </w:rPr>
            </w:pPr>
          </w:p>
          <w:p w14:paraId="50FBE625" w14:textId="77777777" w:rsidR="006B00E7" w:rsidRPr="00B36910" w:rsidRDefault="006B00E7" w:rsidP="00B36910">
            <w:pPr>
              <w:jc w:val="center"/>
              <w:rPr>
                <w:rFonts w:eastAsia="Times New Roman"/>
                <w:lang w:eastAsia="en-GB"/>
              </w:rPr>
            </w:pPr>
          </w:p>
          <w:p w14:paraId="6AB90137" w14:textId="77777777" w:rsidR="006B00E7" w:rsidRPr="00B36910" w:rsidRDefault="006B00E7" w:rsidP="00B36910">
            <w:pPr>
              <w:jc w:val="center"/>
              <w:rPr>
                <w:rFonts w:eastAsia="Times New Roman"/>
                <w:lang w:eastAsia="en-GB"/>
              </w:rPr>
            </w:pPr>
          </w:p>
          <w:p w14:paraId="56708AC6" w14:textId="77777777" w:rsidR="006B00E7" w:rsidRPr="00B36910" w:rsidRDefault="006B00E7" w:rsidP="00B36910">
            <w:pPr>
              <w:jc w:val="center"/>
              <w:rPr>
                <w:rFonts w:eastAsia="Times New Roman"/>
                <w:lang w:eastAsia="en-GB"/>
              </w:rPr>
            </w:pPr>
          </w:p>
          <w:p w14:paraId="3688A812" w14:textId="77777777" w:rsidR="006B00E7" w:rsidRPr="00B36910" w:rsidRDefault="006B00E7" w:rsidP="00B36910">
            <w:pPr>
              <w:jc w:val="center"/>
              <w:rPr>
                <w:rFonts w:eastAsia="Times New Roman"/>
                <w:lang w:eastAsia="en-GB"/>
              </w:rPr>
            </w:pPr>
          </w:p>
          <w:p w14:paraId="33A481B9" w14:textId="77777777" w:rsidR="006B00E7" w:rsidRPr="00B36910" w:rsidRDefault="006B00E7" w:rsidP="00B36910">
            <w:pPr>
              <w:jc w:val="center"/>
              <w:rPr>
                <w:rFonts w:eastAsia="Times New Roman"/>
                <w:lang w:eastAsia="en-GB"/>
              </w:rPr>
            </w:pPr>
          </w:p>
          <w:p w14:paraId="49115F1D" w14:textId="77777777" w:rsidR="006B00E7" w:rsidRPr="00B36910" w:rsidRDefault="006B00E7" w:rsidP="00B36910">
            <w:pPr>
              <w:jc w:val="center"/>
              <w:rPr>
                <w:rFonts w:eastAsia="Times New Roman"/>
                <w:lang w:eastAsia="en-GB"/>
              </w:rPr>
            </w:pPr>
          </w:p>
          <w:p w14:paraId="3A7AAB42" w14:textId="77777777" w:rsidR="006B00E7" w:rsidRPr="00B36910" w:rsidRDefault="006B00E7" w:rsidP="00B36910">
            <w:pPr>
              <w:jc w:val="center"/>
              <w:rPr>
                <w:rFonts w:eastAsia="Times New Roman"/>
                <w:lang w:eastAsia="en-GB"/>
              </w:rPr>
            </w:pPr>
          </w:p>
          <w:p w14:paraId="0F08E702" w14:textId="77777777" w:rsidR="006B00E7" w:rsidRPr="00B36910" w:rsidRDefault="006B00E7" w:rsidP="00B36910">
            <w:pPr>
              <w:jc w:val="center"/>
              <w:rPr>
                <w:rFonts w:eastAsia="Times New Roman"/>
                <w:lang w:eastAsia="en-GB"/>
              </w:rPr>
            </w:pPr>
          </w:p>
          <w:p w14:paraId="6392FE02" w14:textId="77777777" w:rsidR="006B00E7" w:rsidRPr="00B36910" w:rsidRDefault="006B00E7" w:rsidP="00B36910">
            <w:pPr>
              <w:rPr>
                <w:rFonts w:eastAsia="Times New Roman"/>
                <w:lang w:eastAsia="en-GB"/>
              </w:rPr>
            </w:pPr>
          </w:p>
        </w:tc>
        <w:sdt>
          <w:sdtPr>
            <w:id w:val="50124116"/>
            <w14:checkbox>
              <w14:checked w14:val="1"/>
              <w14:checkedState w14:val="00FE" w14:font="Wingdings"/>
              <w14:uncheckedState w14:val="006F" w14:font="Wingdings"/>
            </w14:checkbox>
          </w:sdtPr>
          <w:sdtContent>
            <w:tc>
              <w:tcPr>
                <w:tcW w:w="410" w:type="pct"/>
              </w:tcPr>
              <w:p w14:paraId="19277B1B" w14:textId="77777777" w:rsidR="006B00E7" w:rsidRPr="00B36910" w:rsidRDefault="006B00E7" w:rsidP="00B36910">
                <w:pPr>
                  <w:jc w:val="center"/>
                </w:pPr>
                <w:r w:rsidRPr="00B36910">
                  <w:sym w:font="Wingdings" w:char="F0FE"/>
                </w:r>
              </w:p>
            </w:tc>
          </w:sdtContent>
        </w:sdt>
        <w:tc>
          <w:tcPr>
            <w:tcW w:w="369" w:type="pct"/>
          </w:tcPr>
          <w:p w14:paraId="1AAA6F43" w14:textId="77777777" w:rsidR="006B00E7" w:rsidRPr="00B36910" w:rsidRDefault="006B00E7" w:rsidP="00B36910">
            <w:pPr>
              <w:rPr>
                <w:rFonts w:eastAsia="Times New Roman"/>
                <w:lang w:eastAsia="en-GB"/>
              </w:rPr>
            </w:pPr>
          </w:p>
        </w:tc>
      </w:tr>
      <w:tr w:rsidR="00B36910" w:rsidRPr="00B36910" w14:paraId="58B6504D" w14:textId="77777777" w:rsidTr="007B0C3E">
        <w:tc>
          <w:tcPr>
            <w:tcW w:w="234" w:type="pct"/>
          </w:tcPr>
          <w:p w14:paraId="681B69C4" w14:textId="77777777" w:rsidR="006B00E7" w:rsidRPr="00B36910" w:rsidRDefault="006B00E7" w:rsidP="00B36910">
            <w:pPr>
              <w:rPr>
                <w:rFonts w:eastAsia="Times New Roman"/>
                <w:lang w:eastAsia="en-GB"/>
              </w:rPr>
            </w:pPr>
            <w:r w:rsidRPr="00B36910">
              <w:rPr>
                <w:rFonts w:eastAsia="Times New Roman"/>
                <w:lang w:eastAsia="en-GB"/>
              </w:rPr>
              <w:t>3d</w:t>
            </w:r>
          </w:p>
        </w:tc>
        <w:tc>
          <w:tcPr>
            <w:tcW w:w="1377" w:type="pct"/>
          </w:tcPr>
          <w:p w14:paraId="7EB57DA9" w14:textId="77777777" w:rsidR="006B00E7" w:rsidRPr="00B36910" w:rsidRDefault="006B00E7" w:rsidP="00B36910">
            <w:pPr>
              <w:rPr>
                <w:rFonts w:eastAsia="Times New Roman"/>
                <w:lang w:eastAsia="en-GB"/>
              </w:rPr>
            </w:pPr>
            <w:r w:rsidRPr="00B36910">
              <w:rPr>
                <w:rFonts w:eastAsia="Times New Roman"/>
                <w:lang w:eastAsia="en-GB"/>
              </w:rPr>
              <w:t>The narrative around why SSNAP is being used as opposed to HES should be strengthened.  The application states that over-coding occurs in HES, however the results in section 5.9 show that case “ascertainment” against HES is over 100%.</w:t>
            </w:r>
          </w:p>
        </w:tc>
        <w:tc>
          <w:tcPr>
            <w:tcW w:w="397" w:type="pct"/>
          </w:tcPr>
          <w:p w14:paraId="13A2A718" w14:textId="77777777" w:rsidR="006B00E7" w:rsidRPr="00B36910" w:rsidRDefault="006B00E7" w:rsidP="00B36910">
            <w:pPr>
              <w:rPr>
                <w:rFonts w:eastAsia="Times New Roman"/>
                <w:lang w:eastAsia="en-GB"/>
              </w:rPr>
            </w:pPr>
            <w:r w:rsidRPr="00B36910">
              <w:rPr>
                <w:rFonts w:eastAsia="Times New Roman"/>
                <w:lang w:eastAsia="en-GB"/>
              </w:rPr>
              <w:t>MRG</w:t>
            </w:r>
          </w:p>
          <w:p w14:paraId="61F1105E" w14:textId="77777777" w:rsidR="006B00E7" w:rsidRPr="00B36910" w:rsidRDefault="006B00E7" w:rsidP="00B36910">
            <w:pPr>
              <w:rPr>
                <w:rFonts w:eastAsia="Times New Roman"/>
                <w:lang w:eastAsia="en-GB"/>
              </w:rPr>
            </w:pPr>
          </w:p>
          <w:p w14:paraId="780DDF61" w14:textId="77777777" w:rsidR="006B00E7" w:rsidRPr="00B36910" w:rsidRDefault="006B00E7" w:rsidP="00B36910">
            <w:pPr>
              <w:rPr>
                <w:rFonts w:eastAsia="Times New Roman"/>
                <w:lang w:eastAsia="en-GB"/>
              </w:rPr>
            </w:pPr>
            <w:r w:rsidRPr="00B36910">
              <w:rPr>
                <w:rFonts w:eastAsia="Times New Roman"/>
                <w:lang w:eastAsia="en-GB"/>
              </w:rPr>
              <w:t>10/09/15</w:t>
            </w:r>
          </w:p>
        </w:tc>
        <w:tc>
          <w:tcPr>
            <w:tcW w:w="1778" w:type="pct"/>
          </w:tcPr>
          <w:p w14:paraId="473F8865" w14:textId="77777777" w:rsidR="006B00E7" w:rsidRPr="00B36910" w:rsidRDefault="006B00E7" w:rsidP="00B36910">
            <w:pPr>
              <w:rPr>
                <w:rFonts w:eastAsia="Times New Roman"/>
                <w:lang w:eastAsia="en-GB"/>
              </w:rPr>
            </w:pPr>
            <w:r w:rsidRPr="00B36910">
              <w:rPr>
                <w:rFonts w:eastAsia="Times New Roman"/>
                <w:lang w:eastAsia="en-GB"/>
              </w:rPr>
              <w:t>The application for this indicator did not state that over-coding occurs in HES. The application stated that HES does not contain the necessary detail required to measure this indicator.</w:t>
            </w:r>
          </w:p>
        </w:tc>
        <w:tc>
          <w:tcPr>
            <w:tcW w:w="435" w:type="pct"/>
          </w:tcPr>
          <w:p w14:paraId="6B6063C7" w14:textId="77777777" w:rsidR="006B00E7" w:rsidRPr="00B36910" w:rsidRDefault="006B00E7" w:rsidP="00B36910">
            <w:pPr>
              <w:jc w:val="center"/>
              <w:rPr>
                <w:rFonts w:eastAsia="Times New Roman"/>
                <w:lang w:eastAsia="en-GB"/>
              </w:rPr>
            </w:pPr>
          </w:p>
        </w:tc>
        <w:sdt>
          <w:sdtPr>
            <w:id w:val="-816418278"/>
            <w14:checkbox>
              <w14:checked w14:val="0"/>
              <w14:checkedState w14:val="00FE" w14:font="Wingdings"/>
              <w14:uncheckedState w14:val="006F" w14:font="Wingdings"/>
            </w14:checkbox>
          </w:sdtPr>
          <w:sdtContent>
            <w:tc>
              <w:tcPr>
                <w:tcW w:w="410" w:type="pct"/>
              </w:tcPr>
              <w:p w14:paraId="6BE0C85E" w14:textId="77777777" w:rsidR="006B00E7" w:rsidRPr="00B36910" w:rsidRDefault="006B00E7" w:rsidP="00B36910">
                <w:pPr>
                  <w:jc w:val="center"/>
                </w:pPr>
                <w:r w:rsidRPr="00B36910">
                  <w:sym w:font="Wingdings" w:char="F06F"/>
                </w:r>
              </w:p>
            </w:tc>
          </w:sdtContent>
        </w:sdt>
        <w:tc>
          <w:tcPr>
            <w:tcW w:w="369" w:type="pct"/>
          </w:tcPr>
          <w:p w14:paraId="2973C0C0" w14:textId="77777777" w:rsidR="006B00E7" w:rsidRPr="00B36910" w:rsidRDefault="006B00E7" w:rsidP="00B36910">
            <w:pPr>
              <w:rPr>
                <w:rFonts w:eastAsia="Times New Roman"/>
                <w:lang w:eastAsia="en-GB"/>
              </w:rPr>
            </w:pPr>
          </w:p>
        </w:tc>
      </w:tr>
      <w:tr w:rsidR="006B00E7" w:rsidRPr="00B36910" w14:paraId="15639C75" w14:textId="77777777" w:rsidTr="007B0C3E">
        <w:tc>
          <w:tcPr>
            <w:tcW w:w="234" w:type="pct"/>
          </w:tcPr>
          <w:p w14:paraId="65338FE8" w14:textId="77777777" w:rsidR="006B00E7" w:rsidRPr="00B36910" w:rsidRDefault="006B00E7" w:rsidP="00B36910">
            <w:pPr>
              <w:rPr>
                <w:rFonts w:eastAsia="Times New Roman"/>
                <w:lang w:eastAsia="en-GB"/>
              </w:rPr>
            </w:pPr>
            <w:r w:rsidRPr="00B36910">
              <w:rPr>
                <w:rFonts w:eastAsia="Times New Roman"/>
                <w:lang w:eastAsia="en-GB"/>
              </w:rPr>
              <w:t>3e</w:t>
            </w:r>
          </w:p>
        </w:tc>
        <w:tc>
          <w:tcPr>
            <w:tcW w:w="1377" w:type="pct"/>
          </w:tcPr>
          <w:p w14:paraId="0624B3BE" w14:textId="77777777" w:rsidR="006B00E7" w:rsidRPr="00B36910" w:rsidRDefault="006B00E7" w:rsidP="00B36910">
            <w:pPr>
              <w:rPr>
                <w:rFonts w:eastAsia="Times New Roman"/>
                <w:lang w:eastAsia="en-GB"/>
              </w:rPr>
            </w:pPr>
            <w:r w:rsidRPr="00B36910">
              <w:rPr>
                <w:rFonts w:eastAsia="Times New Roman"/>
                <w:lang w:eastAsia="en-GB"/>
              </w:rPr>
              <w:t>The applicant should consider how useful it is to provide case ascertainment against HES data, since it is recognised that over-coding occurs in HES, making the figure hard to interpret. If the figure is to be presented, MRG recommend changing the name from “case ascertainment” to “case comparison” and to present bands above 90+%.</w:t>
            </w:r>
          </w:p>
        </w:tc>
        <w:tc>
          <w:tcPr>
            <w:tcW w:w="397" w:type="pct"/>
          </w:tcPr>
          <w:p w14:paraId="4910282F" w14:textId="77777777" w:rsidR="006B00E7" w:rsidRPr="00B36910" w:rsidRDefault="006B00E7" w:rsidP="00B36910">
            <w:pPr>
              <w:rPr>
                <w:rFonts w:eastAsia="Times New Roman"/>
                <w:lang w:eastAsia="en-GB"/>
              </w:rPr>
            </w:pPr>
            <w:r w:rsidRPr="00B36910">
              <w:rPr>
                <w:rFonts w:eastAsia="Times New Roman"/>
                <w:lang w:eastAsia="en-GB"/>
              </w:rPr>
              <w:t>MRG</w:t>
            </w:r>
          </w:p>
          <w:p w14:paraId="0BE27AB4" w14:textId="77777777" w:rsidR="006B00E7" w:rsidRPr="00B36910" w:rsidRDefault="006B00E7" w:rsidP="00B36910">
            <w:pPr>
              <w:rPr>
                <w:rFonts w:eastAsia="Times New Roman"/>
                <w:lang w:eastAsia="en-GB"/>
              </w:rPr>
            </w:pPr>
          </w:p>
          <w:p w14:paraId="0A8A06E3" w14:textId="77777777" w:rsidR="006B00E7" w:rsidRPr="00B36910" w:rsidRDefault="006B00E7" w:rsidP="00B36910">
            <w:pPr>
              <w:rPr>
                <w:rFonts w:eastAsia="Times New Roman"/>
                <w:lang w:eastAsia="en-GB"/>
              </w:rPr>
            </w:pPr>
            <w:r w:rsidRPr="00B36910">
              <w:rPr>
                <w:rFonts w:eastAsia="Times New Roman"/>
                <w:lang w:eastAsia="en-GB"/>
              </w:rPr>
              <w:t>10/09/15</w:t>
            </w:r>
          </w:p>
        </w:tc>
        <w:tc>
          <w:tcPr>
            <w:tcW w:w="1778" w:type="pct"/>
          </w:tcPr>
          <w:p w14:paraId="6C36EE7B" w14:textId="77777777" w:rsidR="006B00E7" w:rsidRPr="00B36910" w:rsidRDefault="006B00E7" w:rsidP="00B36910">
            <w:pPr>
              <w:spacing w:before="120" w:after="120"/>
              <w:rPr>
                <w:rFonts w:eastAsia="Times New Roman"/>
                <w:lang w:eastAsia="en-GB"/>
              </w:rPr>
            </w:pPr>
            <w:r w:rsidRPr="00B36910">
              <w:rPr>
                <w:rFonts w:eastAsia="Times New Roman"/>
                <w:lang w:eastAsia="en-GB"/>
              </w:rPr>
              <w:t xml:space="preserve">This contextual case ascertainment information aligns to the information and bandings presented in the RCP SSNAP publication. The RCP view is that it is not case comparison as it is not comparing the same year’s HES with SSNAP. Since the purpose of including case ascertainment is to highlight CCGs with low case ascertainment indicating that hospitals within the CCG have not been entering in all their patients onto SSNAP (and the results may therefore not reflect the care that all the CCGs patients received), having bands above 100% would not be useful. HES is not the ‘gold standard’, but it is a useful indication of case selection. </w:t>
            </w:r>
          </w:p>
          <w:p w14:paraId="1267D17C" w14:textId="77777777" w:rsidR="006B00E7" w:rsidRPr="00B36910" w:rsidRDefault="006B00E7" w:rsidP="00B36910">
            <w:pPr>
              <w:spacing w:before="120" w:after="120"/>
              <w:rPr>
                <w:rFonts w:eastAsia="Times New Roman"/>
                <w:lang w:eastAsia="en-GB"/>
              </w:rPr>
            </w:pPr>
            <w:r w:rsidRPr="00B36910">
              <w:rPr>
                <w:rFonts w:eastAsia="Times New Roman"/>
                <w:lang w:eastAsia="en-GB"/>
              </w:rPr>
              <w:t>The HES case ascertainment figure (‘Estimated expected number of patients from HES’) is the number of patients who have been coded as a primary diagnosis of stroke during their admission in a year’s worth of HES, split by the patient’s CCG recorded in the HES record. The indicator is not reported for CCGs with less than 50% case ascertainment.</w:t>
            </w:r>
          </w:p>
        </w:tc>
        <w:tc>
          <w:tcPr>
            <w:tcW w:w="435" w:type="pct"/>
          </w:tcPr>
          <w:p w14:paraId="33DC2BA2" w14:textId="77777777" w:rsidR="006B00E7" w:rsidRPr="00B36910" w:rsidRDefault="006B00E7" w:rsidP="00B36910">
            <w:pPr>
              <w:jc w:val="center"/>
              <w:rPr>
                <w:rFonts w:eastAsia="Times New Roman"/>
                <w:lang w:eastAsia="en-GB"/>
              </w:rPr>
            </w:pPr>
          </w:p>
        </w:tc>
        <w:sdt>
          <w:sdtPr>
            <w:id w:val="-1267067775"/>
            <w14:checkbox>
              <w14:checked w14:val="0"/>
              <w14:checkedState w14:val="00FE" w14:font="Wingdings"/>
              <w14:uncheckedState w14:val="006F" w14:font="Wingdings"/>
            </w14:checkbox>
          </w:sdtPr>
          <w:sdtContent>
            <w:tc>
              <w:tcPr>
                <w:tcW w:w="410" w:type="pct"/>
              </w:tcPr>
              <w:p w14:paraId="2082B86D" w14:textId="77777777" w:rsidR="006B00E7" w:rsidRPr="00B36910" w:rsidRDefault="006B00E7" w:rsidP="00B36910">
                <w:pPr>
                  <w:jc w:val="center"/>
                </w:pPr>
                <w:r w:rsidRPr="00B36910">
                  <w:sym w:font="Wingdings" w:char="F06F"/>
                </w:r>
              </w:p>
            </w:tc>
          </w:sdtContent>
        </w:sdt>
        <w:tc>
          <w:tcPr>
            <w:tcW w:w="369" w:type="pct"/>
          </w:tcPr>
          <w:p w14:paraId="51E9E784" w14:textId="77777777" w:rsidR="006B00E7" w:rsidRPr="00B36910" w:rsidRDefault="006B00E7" w:rsidP="00B36910">
            <w:pPr>
              <w:rPr>
                <w:rFonts w:eastAsia="Times New Roman"/>
                <w:lang w:eastAsia="en-GB"/>
              </w:rPr>
            </w:pPr>
          </w:p>
        </w:tc>
      </w:tr>
    </w:tbl>
    <w:p w14:paraId="2975DE64" w14:textId="0D3CC46F" w:rsidR="006B00E7" w:rsidRPr="00B36910" w:rsidRDefault="007B0C3E" w:rsidP="006B00E7">
      <w:r w:rsidRPr="00B36910">
        <w:rPr>
          <w:b/>
          <w:sz w:val="28"/>
          <w:szCs w:val="28"/>
        </w:rPr>
        <w:t>Construction</w:t>
      </w:r>
    </w:p>
    <w:tbl>
      <w:tblPr>
        <w:tblStyle w:val="TableGrid1"/>
        <w:tblW w:w="5000" w:type="pct"/>
        <w:tblLook w:val="04A0" w:firstRow="1" w:lastRow="0" w:firstColumn="1" w:lastColumn="0" w:noHBand="0" w:noVBand="1"/>
      </w:tblPr>
      <w:tblGrid>
        <w:gridCol w:w="682"/>
        <w:gridCol w:w="3490"/>
        <w:gridCol w:w="1073"/>
        <w:gridCol w:w="5787"/>
        <w:gridCol w:w="1268"/>
        <w:gridCol w:w="1195"/>
        <w:gridCol w:w="1073"/>
      </w:tblGrid>
      <w:tr w:rsidR="00B36910" w:rsidRPr="00B36910" w14:paraId="598E3100" w14:textId="77777777" w:rsidTr="007B0C3E">
        <w:tc>
          <w:tcPr>
            <w:tcW w:w="234" w:type="pct"/>
          </w:tcPr>
          <w:p w14:paraId="146FC18D" w14:textId="77777777" w:rsidR="006B00E7" w:rsidRPr="00B36910" w:rsidRDefault="006B00E7" w:rsidP="00B36910">
            <w:pPr>
              <w:rPr>
                <w:b/>
                <w:i/>
              </w:rPr>
            </w:pPr>
            <w:r w:rsidRPr="00B36910">
              <w:rPr>
                <w:b/>
                <w:i/>
              </w:rPr>
              <w:t>Rec. no</w:t>
            </w:r>
          </w:p>
        </w:tc>
        <w:tc>
          <w:tcPr>
            <w:tcW w:w="1198" w:type="pct"/>
          </w:tcPr>
          <w:p w14:paraId="1E610063" w14:textId="77777777" w:rsidR="006B00E7" w:rsidRPr="00B36910" w:rsidRDefault="006B00E7" w:rsidP="00B36910">
            <w:pPr>
              <w:rPr>
                <w:b/>
                <w:i/>
              </w:rPr>
            </w:pPr>
            <w:r w:rsidRPr="00B36910">
              <w:rPr>
                <w:b/>
                <w:i/>
              </w:rPr>
              <w:t>Issue or recommendation</w:t>
            </w:r>
          </w:p>
        </w:tc>
        <w:tc>
          <w:tcPr>
            <w:tcW w:w="368" w:type="pct"/>
          </w:tcPr>
          <w:p w14:paraId="0A58985B" w14:textId="77777777" w:rsidR="006B00E7" w:rsidRPr="00B36910" w:rsidRDefault="006B00E7" w:rsidP="00B36910">
            <w:pPr>
              <w:rPr>
                <w:b/>
                <w:i/>
              </w:rPr>
            </w:pPr>
            <w:r w:rsidRPr="00B36910">
              <w:rPr>
                <w:b/>
                <w:i/>
              </w:rPr>
              <w:t>Raised by / Date</w:t>
            </w:r>
          </w:p>
        </w:tc>
        <w:tc>
          <w:tcPr>
            <w:tcW w:w="1986" w:type="pct"/>
          </w:tcPr>
          <w:p w14:paraId="03D98BFE" w14:textId="77777777" w:rsidR="006B00E7" w:rsidRPr="00B36910" w:rsidRDefault="006B00E7" w:rsidP="00B36910">
            <w:pPr>
              <w:rPr>
                <w:b/>
                <w:i/>
              </w:rPr>
            </w:pPr>
            <w:r w:rsidRPr="00B36910">
              <w:rPr>
                <w:b/>
                <w:i/>
              </w:rPr>
              <w:t>Response or Action taken by applicant</w:t>
            </w:r>
          </w:p>
        </w:tc>
        <w:tc>
          <w:tcPr>
            <w:tcW w:w="435" w:type="pct"/>
          </w:tcPr>
          <w:p w14:paraId="4BDC33D7" w14:textId="77777777" w:rsidR="006B00E7" w:rsidRPr="00B36910" w:rsidRDefault="006B00E7" w:rsidP="00B36910">
            <w:pPr>
              <w:rPr>
                <w:b/>
                <w:i/>
              </w:rPr>
            </w:pPr>
            <w:r w:rsidRPr="00B36910">
              <w:rPr>
                <w:b/>
                <w:i/>
              </w:rPr>
              <w:t>Response date</w:t>
            </w:r>
          </w:p>
        </w:tc>
        <w:tc>
          <w:tcPr>
            <w:tcW w:w="410" w:type="pct"/>
          </w:tcPr>
          <w:p w14:paraId="59BD8B28" w14:textId="77777777" w:rsidR="006B00E7" w:rsidRPr="00B36910" w:rsidRDefault="006B00E7" w:rsidP="00B36910">
            <w:pPr>
              <w:rPr>
                <w:b/>
                <w:i/>
              </w:rPr>
            </w:pPr>
            <w:r w:rsidRPr="00B36910">
              <w:rPr>
                <w:b/>
                <w:i/>
              </w:rPr>
              <w:t>Resolved</w:t>
            </w:r>
          </w:p>
        </w:tc>
        <w:tc>
          <w:tcPr>
            <w:tcW w:w="368" w:type="pct"/>
          </w:tcPr>
          <w:p w14:paraId="57906561" w14:textId="77777777" w:rsidR="006B00E7" w:rsidRPr="00B36910" w:rsidRDefault="006B00E7" w:rsidP="00B36910">
            <w:pPr>
              <w:rPr>
                <w:b/>
                <w:i/>
              </w:rPr>
            </w:pPr>
            <w:r w:rsidRPr="00B36910">
              <w:rPr>
                <w:b/>
                <w:i/>
              </w:rPr>
              <w:t>Sign off by / Date</w:t>
            </w:r>
          </w:p>
        </w:tc>
      </w:tr>
      <w:tr w:rsidR="00B36910" w:rsidRPr="00B36910" w14:paraId="749123AE" w14:textId="77777777" w:rsidTr="007B0C3E">
        <w:tc>
          <w:tcPr>
            <w:tcW w:w="234" w:type="pct"/>
          </w:tcPr>
          <w:p w14:paraId="3EFAA305" w14:textId="77777777" w:rsidR="006B00E7" w:rsidRPr="00B36910" w:rsidRDefault="006B00E7" w:rsidP="00B36910">
            <w:pPr>
              <w:rPr>
                <w:rFonts w:eastAsia="Times New Roman"/>
                <w:lang w:eastAsia="en-GB"/>
              </w:rPr>
            </w:pPr>
            <w:r w:rsidRPr="00B36910">
              <w:rPr>
                <w:rFonts w:eastAsia="Times New Roman"/>
                <w:lang w:eastAsia="en-GB"/>
              </w:rPr>
              <w:t>4a</w:t>
            </w:r>
          </w:p>
        </w:tc>
        <w:tc>
          <w:tcPr>
            <w:tcW w:w="1198" w:type="pct"/>
          </w:tcPr>
          <w:p w14:paraId="304CBE60" w14:textId="77777777" w:rsidR="006B00E7" w:rsidRPr="00B36910" w:rsidRDefault="006B00E7" w:rsidP="00B36910">
            <w:pPr>
              <w:rPr>
                <w:rFonts w:eastAsia="Times New Roman"/>
                <w:lang w:eastAsia="en-GB"/>
              </w:rPr>
            </w:pPr>
            <w:r w:rsidRPr="00B36910">
              <w:rPr>
                <w:rFonts w:eastAsia="Times New Roman"/>
                <w:lang w:eastAsia="en-GB"/>
              </w:rPr>
              <w:t>Reference to confidence interval methodology needed.</w:t>
            </w:r>
          </w:p>
        </w:tc>
        <w:tc>
          <w:tcPr>
            <w:tcW w:w="368" w:type="pct"/>
          </w:tcPr>
          <w:p w14:paraId="0B302E43" w14:textId="77777777" w:rsidR="006B00E7" w:rsidRPr="00B36910" w:rsidRDefault="006B00E7" w:rsidP="00B36910">
            <w:r w:rsidRPr="00B36910">
              <w:t>MRG</w:t>
            </w:r>
          </w:p>
          <w:p w14:paraId="526B7B75" w14:textId="77777777" w:rsidR="006B00E7" w:rsidRPr="00B36910" w:rsidRDefault="006B00E7" w:rsidP="00B36910"/>
          <w:p w14:paraId="006C1D69" w14:textId="77777777" w:rsidR="006B00E7" w:rsidRPr="00B36910" w:rsidRDefault="006B00E7" w:rsidP="00B36910">
            <w:pPr>
              <w:rPr>
                <w:rFonts w:eastAsia="Times New Roman"/>
                <w:lang w:eastAsia="en-GB"/>
              </w:rPr>
            </w:pPr>
            <w:r w:rsidRPr="00B36910">
              <w:t>18/10/13</w:t>
            </w:r>
          </w:p>
        </w:tc>
        <w:tc>
          <w:tcPr>
            <w:tcW w:w="1986" w:type="pct"/>
          </w:tcPr>
          <w:p w14:paraId="4EB0F9D2" w14:textId="77777777" w:rsidR="006B00E7" w:rsidRPr="00B36910" w:rsidRDefault="006B00E7" w:rsidP="00B36910">
            <w:pPr>
              <w:spacing w:before="120" w:after="120"/>
            </w:pPr>
            <w:r w:rsidRPr="00B36910">
              <w:rPr>
                <w:rFonts w:eastAsia="Times New Roman"/>
                <w:lang w:eastAsia="en-GB"/>
              </w:rPr>
              <w:t>Confidence intervals are calculated using the Wilson Score method, as specified in “Commonly used public health statistics and their confidence intervals” (Public Health England (PHE), March 2008</w:t>
            </w:r>
            <w:r w:rsidRPr="00B36910">
              <w:t xml:space="preserve"> </w:t>
            </w:r>
            <w:hyperlink r:id="rId31" w:history="1">
              <w:r w:rsidRPr="00B36910">
                <w:rPr>
                  <w:rStyle w:val="Hyperlink"/>
                  <w:color w:val="auto"/>
                </w:rPr>
                <w:t>http://www.apho.org.uk/resource/view.aspx?RID=48617</w:t>
              </w:r>
            </w:hyperlink>
            <w:r w:rsidRPr="00B36910">
              <w:t>).</w:t>
            </w:r>
          </w:p>
          <w:p w14:paraId="766CBB5D" w14:textId="77777777" w:rsidR="006B00E7" w:rsidRPr="00B36910" w:rsidRDefault="006B00E7" w:rsidP="00B36910">
            <w:pPr>
              <w:spacing w:before="120" w:after="120"/>
            </w:pPr>
            <w:r w:rsidRPr="00B36910">
              <w:t xml:space="preserve">The formulae for the 100(1 – </w:t>
            </w:r>
            <w:proofErr w:type="gramStart"/>
            <w:r w:rsidRPr="00B36910">
              <w:t>α)%</w:t>
            </w:r>
            <w:proofErr w:type="gramEnd"/>
            <w:r w:rsidRPr="00B36910">
              <w:t xml:space="preserve"> confidence interval limits for the proportion p are:</w:t>
            </w:r>
          </w:p>
          <w:p w14:paraId="445CCE6E" w14:textId="77777777" w:rsidR="006B00E7" w:rsidRPr="00B36910" w:rsidRDefault="00B36910" w:rsidP="00B36910">
            <w:pPr>
              <w:spacing w:before="120" w:after="120"/>
            </w:pPr>
            <m:oMathPara>
              <m:oMath>
                <m:sSub>
                  <m:sSubPr>
                    <m:ctrlPr>
                      <w:rPr>
                        <w:rFonts w:ascii="Cambria Math" w:hAnsi="Cambria Math"/>
                        <w:i/>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37681E50" w14:textId="77777777" w:rsidR="006B00E7" w:rsidRPr="00B36910" w:rsidRDefault="00B36910" w:rsidP="00B36910">
            <w:pPr>
              <w:spacing w:before="120" w:after="120"/>
            </w:pPr>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305FC06D" w14:textId="77777777" w:rsidR="006B00E7" w:rsidRPr="00B36910" w:rsidRDefault="006B00E7" w:rsidP="00B36910">
            <w:pPr>
              <w:spacing w:before="120" w:after="120"/>
            </w:pPr>
            <w:r w:rsidRPr="00B36910">
              <w:t>where:</w:t>
            </w:r>
          </w:p>
          <w:p w14:paraId="6465D582" w14:textId="77777777" w:rsidR="006B00E7" w:rsidRPr="00B36910" w:rsidRDefault="006B00E7" w:rsidP="00B36910">
            <w:pPr>
              <w:spacing w:before="120" w:after="120"/>
            </w:pPr>
            <w:r w:rsidRPr="00B36910">
              <w:rPr>
                <w:i/>
              </w:rPr>
              <w:t>O</w:t>
            </w:r>
            <w:r w:rsidRPr="00B36910">
              <w:t xml:space="preserve"> is the observed number of individuals in the sample/population having the specified characteristic (i.e., the numerator</w:t>
            </w:r>
            <w:proofErr w:type="gramStart"/>
            <w:r w:rsidRPr="00B36910">
              <w:t>);</w:t>
            </w:r>
            <w:proofErr w:type="gramEnd"/>
          </w:p>
          <w:p w14:paraId="31BCDA1B" w14:textId="77777777" w:rsidR="006B00E7" w:rsidRPr="00B36910" w:rsidRDefault="006B00E7" w:rsidP="00B36910">
            <w:pPr>
              <w:spacing w:before="120" w:after="120"/>
            </w:pPr>
            <w:r w:rsidRPr="00B36910">
              <w:rPr>
                <w:i/>
              </w:rPr>
              <w:t>n</w:t>
            </w:r>
            <w:r w:rsidRPr="00B36910">
              <w:t xml:space="preserve"> is the total number of individuals in the sample/population (i.e., the denominator</w:t>
            </w:r>
            <w:proofErr w:type="gramStart"/>
            <w:r w:rsidRPr="00B36910">
              <w:t>);</w:t>
            </w:r>
            <w:proofErr w:type="gramEnd"/>
          </w:p>
          <w:p w14:paraId="35081DA5" w14:textId="77777777" w:rsidR="006B00E7" w:rsidRPr="00B36910" w:rsidRDefault="006B00E7" w:rsidP="00B36910">
            <w:pPr>
              <w:spacing w:before="120" w:after="120"/>
            </w:pPr>
            <w:r w:rsidRPr="00B36910">
              <w:rPr>
                <w:i/>
              </w:rPr>
              <w:t>q</w:t>
            </w:r>
            <w:r w:rsidRPr="00B36910">
              <w:t xml:space="preserve"> = (1 – </w:t>
            </w:r>
            <w:r w:rsidRPr="00B36910">
              <w:rPr>
                <w:i/>
              </w:rPr>
              <w:t>p</w:t>
            </w:r>
            <w:r w:rsidRPr="00B36910">
              <w:t xml:space="preserve">) is the proportion without the specified </w:t>
            </w:r>
            <w:proofErr w:type="gramStart"/>
            <w:r w:rsidRPr="00B36910">
              <w:t>characteristic;</w:t>
            </w:r>
            <w:proofErr w:type="gramEnd"/>
          </w:p>
          <w:p w14:paraId="136602A2" w14:textId="77777777" w:rsidR="006B00E7" w:rsidRPr="00B36910" w:rsidRDefault="006B00E7" w:rsidP="00B36910">
            <w:pPr>
              <w:spacing w:before="120" w:after="120"/>
              <w:rPr>
                <w:rFonts w:eastAsia="Times New Roman"/>
                <w:b/>
                <w:lang w:eastAsia="en-GB"/>
              </w:rPr>
            </w:pPr>
            <w:r w:rsidRPr="00B36910">
              <w:rPr>
                <w:i/>
              </w:rPr>
              <w:t>z</w:t>
            </w:r>
            <w:r w:rsidRPr="00B36910">
              <w:t xml:space="preserve"> is the 100(1 – </w:t>
            </w:r>
            <w:r w:rsidRPr="00B36910">
              <w:rPr>
                <w:i/>
              </w:rPr>
              <w:t>α</w:t>
            </w:r>
            <w:r w:rsidRPr="00B36910">
              <w:t>/</w:t>
            </w:r>
            <w:proofErr w:type="gramStart"/>
            <w:r w:rsidRPr="00B36910">
              <w:t>2)</w:t>
            </w:r>
            <w:proofErr w:type="spellStart"/>
            <w:r w:rsidRPr="00B36910">
              <w:rPr>
                <w:vertAlign w:val="superscript"/>
              </w:rPr>
              <w:t>th</w:t>
            </w:r>
            <w:proofErr w:type="spellEnd"/>
            <w:proofErr w:type="gramEnd"/>
            <w:r w:rsidRPr="00B36910">
              <w:t xml:space="preserve"> percentile value from the Standard Normal distribution. For </w:t>
            </w:r>
            <w:proofErr w:type="gramStart"/>
            <w:r w:rsidRPr="00B36910">
              <w:t>example</w:t>
            </w:r>
            <w:proofErr w:type="gramEnd"/>
            <w:r w:rsidRPr="00B36910">
              <w:t xml:space="preserve"> for a 95% confidence interval, </w:t>
            </w:r>
            <w:r w:rsidRPr="00B36910">
              <w:rPr>
                <w:i/>
              </w:rPr>
              <w:t>α</w:t>
            </w:r>
            <w:r w:rsidRPr="00B36910">
              <w:t xml:space="preserve"> = 0.05, and </w:t>
            </w:r>
            <w:r w:rsidRPr="00B36910">
              <w:rPr>
                <w:i/>
              </w:rPr>
              <w:t>z</w:t>
            </w:r>
            <w:r w:rsidRPr="00B36910">
              <w:t xml:space="preserve"> = 1.96 (i.e. the 97.5th percentile value from the Standard Normal distribution).</w:t>
            </w:r>
          </w:p>
        </w:tc>
        <w:tc>
          <w:tcPr>
            <w:tcW w:w="435" w:type="pct"/>
          </w:tcPr>
          <w:p w14:paraId="4B7FC376" w14:textId="77777777" w:rsidR="006B00E7" w:rsidRPr="00B36910" w:rsidRDefault="006B00E7" w:rsidP="00B36910">
            <w:pPr>
              <w:rPr>
                <w:rFonts w:eastAsia="Times New Roman"/>
                <w:lang w:eastAsia="en-GB"/>
              </w:rPr>
            </w:pPr>
            <w:r w:rsidRPr="00B36910">
              <w:rPr>
                <w:rFonts w:eastAsia="Times New Roman"/>
                <w:lang w:eastAsia="en-GB"/>
              </w:rPr>
              <w:t>13/08/15</w:t>
            </w:r>
          </w:p>
        </w:tc>
        <w:sdt>
          <w:sdtPr>
            <w:id w:val="967857796"/>
            <w14:checkbox>
              <w14:checked w14:val="1"/>
              <w14:checkedState w14:val="00FE" w14:font="Wingdings"/>
              <w14:uncheckedState w14:val="006F" w14:font="Wingdings"/>
            </w14:checkbox>
          </w:sdtPr>
          <w:sdtContent>
            <w:tc>
              <w:tcPr>
                <w:tcW w:w="410" w:type="pct"/>
              </w:tcPr>
              <w:p w14:paraId="7F7A720F" w14:textId="77777777" w:rsidR="006B00E7" w:rsidRPr="00B36910" w:rsidRDefault="006B00E7" w:rsidP="00B36910">
                <w:pPr>
                  <w:jc w:val="center"/>
                  <w:rPr>
                    <w:rFonts w:eastAsia="Times New Roman"/>
                    <w:lang w:eastAsia="en-GB"/>
                  </w:rPr>
                </w:pPr>
                <w:r w:rsidRPr="00B36910">
                  <w:sym w:font="Wingdings" w:char="F0FE"/>
                </w:r>
              </w:p>
            </w:tc>
          </w:sdtContent>
        </w:sdt>
        <w:tc>
          <w:tcPr>
            <w:tcW w:w="368" w:type="pct"/>
          </w:tcPr>
          <w:p w14:paraId="1776B4BE" w14:textId="77777777" w:rsidR="006B00E7" w:rsidRPr="00B36910" w:rsidRDefault="006B00E7" w:rsidP="00B36910">
            <w:r w:rsidRPr="00B36910">
              <w:t>MRG</w:t>
            </w:r>
          </w:p>
          <w:p w14:paraId="4000AA46" w14:textId="77777777" w:rsidR="006B00E7" w:rsidRPr="00B36910" w:rsidRDefault="006B00E7" w:rsidP="00B36910">
            <w:pPr>
              <w:rPr>
                <w:rFonts w:eastAsia="Times New Roman"/>
                <w:lang w:eastAsia="en-GB"/>
              </w:rPr>
            </w:pPr>
            <w:r w:rsidRPr="00B36910">
              <w:t>10/09/15</w:t>
            </w:r>
          </w:p>
        </w:tc>
      </w:tr>
      <w:tr w:rsidR="006B00E7" w:rsidRPr="00B36910" w14:paraId="664F7BBE" w14:textId="77777777" w:rsidTr="007B0C3E">
        <w:tc>
          <w:tcPr>
            <w:tcW w:w="234" w:type="pct"/>
          </w:tcPr>
          <w:p w14:paraId="7F12CBC2" w14:textId="77777777" w:rsidR="006B00E7" w:rsidRPr="00B36910" w:rsidRDefault="006B00E7" w:rsidP="00B36910">
            <w:pPr>
              <w:rPr>
                <w:rFonts w:eastAsia="Times New Roman"/>
                <w:lang w:eastAsia="en-GB"/>
              </w:rPr>
            </w:pPr>
            <w:r w:rsidRPr="00B36910">
              <w:rPr>
                <w:rFonts w:eastAsia="Times New Roman"/>
                <w:lang w:eastAsia="en-GB"/>
              </w:rPr>
              <w:t>4b</w:t>
            </w:r>
          </w:p>
        </w:tc>
        <w:tc>
          <w:tcPr>
            <w:tcW w:w="1198" w:type="pct"/>
          </w:tcPr>
          <w:p w14:paraId="0F1FD3EE" w14:textId="77777777" w:rsidR="006B00E7" w:rsidRPr="00B36910" w:rsidRDefault="006B00E7" w:rsidP="00B36910">
            <w:pPr>
              <w:rPr>
                <w:rFonts w:eastAsia="Times New Roman"/>
                <w:lang w:eastAsia="en-GB"/>
              </w:rPr>
            </w:pPr>
            <w:r w:rsidRPr="00B36910">
              <w:rPr>
                <w:rFonts w:eastAsia="Times New Roman"/>
                <w:lang w:eastAsia="en-GB"/>
              </w:rPr>
              <w:t>Further information is requested as to the detail of the length of stay calculation, again with reference to any standard practice followed</w:t>
            </w:r>
          </w:p>
        </w:tc>
        <w:tc>
          <w:tcPr>
            <w:tcW w:w="368" w:type="pct"/>
          </w:tcPr>
          <w:p w14:paraId="53120E14" w14:textId="77777777" w:rsidR="006B00E7" w:rsidRPr="00B36910" w:rsidRDefault="006B00E7" w:rsidP="00B36910">
            <w:r w:rsidRPr="00B36910">
              <w:t>IGB</w:t>
            </w:r>
          </w:p>
          <w:p w14:paraId="76B2ED14" w14:textId="77777777" w:rsidR="006B00E7" w:rsidRPr="00B36910" w:rsidRDefault="006B00E7" w:rsidP="00B36910"/>
          <w:p w14:paraId="493E13F9" w14:textId="77777777" w:rsidR="006B00E7" w:rsidRPr="00B36910" w:rsidRDefault="006B00E7" w:rsidP="00B36910">
            <w:r w:rsidRPr="00B36910">
              <w:t>16/1/14</w:t>
            </w:r>
          </w:p>
        </w:tc>
        <w:tc>
          <w:tcPr>
            <w:tcW w:w="1986" w:type="pct"/>
          </w:tcPr>
          <w:p w14:paraId="6D910D19" w14:textId="77777777" w:rsidR="006B00E7" w:rsidRPr="00B36910" w:rsidRDefault="006B00E7" w:rsidP="00B36910">
            <w:pPr>
              <w:spacing w:before="120" w:after="120"/>
              <w:rPr>
                <w:rFonts w:eastAsia="Times New Roman"/>
                <w:lang w:eastAsia="en-GB"/>
              </w:rPr>
            </w:pPr>
            <w:r w:rsidRPr="00B36910">
              <w:rPr>
                <w:rFonts w:eastAsia="Times New Roman"/>
                <w:lang w:eastAsia="en-GB"/>
              </w:rPr>
              <w:t>The following points provide details of the length of stay calculation as supplied by the RCP SSNAP. This information was provided in the MRG papers for assurance of this indicator:</w:t>
            </w:r>
          </w:p>
          <w:p w14:paraId="70B06985" w14:textId="77777777" w:rsidR="006B00E7" w:rsidRPr="00B36910" w:rsidRDefault="006B00E7" w:rsidP="00B36910">
            <w:pPr>
              <w:spacing w:before="120" w:after="120"/>
              <w:rPr>
                <w:rFonts w:eastAsia="Times New Roman"/>
                <w:u w:val="single"/>
                <w:lang w:eastAsia="en-GB"/>
              </w:rPr>
            </w:pPr>
            <w:r w:rsidRPr="00B36910">
              <w:rPr>
                <w:rFonts w:eastAsia="Times New Roman"/>
                <w:u w:val="single"/>
                <w:lang w:eastAsia="en-GB"/>
              </w:rPr>
              <w:t>Length of stay in hospital</w:t>
            </w:r>
          </w:p>
          <w:p w14:paraId="3ACD13D2" w14:textId="77777777" w:rsidR="006B00E7" w:rsidRPr="00B36910" w:rsidRDefault="006B00E7" w:rsidP="00B36910">
            <w:pPr>
              <w:spacing w:before="120" w:after="120"/>
              <w:rPr>
                <w:rFonts w:eastAsia="Times New Roman"/>
                <w:lang w:eastAsia="en-GB"/>
              </w:rPr>
            </w:pPr>
            <w:r w:rsidRPr="00B36910">
              <w:rPr>
                <w:rFonts w:eastAsia="Times New Roman"/>
                <w:lang w:eastAsia="en-GB"/>
              </w:rPr>
              <w:t>Length of stay in hospital is calculated as the difference between the date and time of hospital discharge as calculated above and either Q1.13 (date and time of arrival) or Q1.11 (date and time of symptom onset) for newly arrived patients or patients already in hospital at time of stroke, respectively minus 4 hours (which allows the inclusion of patients with short length of stays feasible for this indicator). In order to calculate the length of stay on a stroke unit, information from each inpatient record from all the teams a patient has been with must be combined.</w:t>
            </w:r>
          </w:p>
          <w:p w14:paraId="687E268B" w14:textId="77777777" w:rsidR="006B00E7" w:rsidRPr="00B36910" w:rsidRDefault="006B00E7" w:rsidP="00B36910">
            <w:pPr>
              <w:spacing w:before="120" w:after="120"/>
              <w:rPr>
                <w:rFonts w:eastAsia="Times New Roman"/>
                <w:lang w:eastAsia="en-GB"/>
              </w:rPr>
            </w:pPr>
            <w:r w:rsidRPr="00B36910">
              <w:rPr>
                <w:rFonts w:eastAsia="Times New Roman"/>
                <w:lang w:eastAsia="en-GB"/>
              </w:rPr>
              <w:t>For patients who are discharged alive from the team, the length of stay on the stroke unit is the difference between Q4.3 (date and time the patient arrived on stroke unit at this hospital) and Q7.2 (date and time of discharge from stroke unit).</w:t>
            </w:r>
          </w:p>
          <w:p w14:paraId="4A9998BC" w14:textId="77777777" w:rsidR="006B00E7" w:rsidRPr="00B36910" w:rsidRDefault="006B00E7" w:rsidP="00B36910">
            <w:pPr>
              <w:spacing w:before="120" w:after="120"/>
              <w:rPr>
                <w:rFonts w:eastAsia="Times New Roman"/>
                <w:lang w:eastAsia="en-GB"/>
              </w:rPr>
            </w:pPr>
            <w:r w:rsidRPr="00B36910">
              <w:rPr>
                <w:rFonts w:eastAsia="Times New Roman"/>
                <w:lang w:eastAsia="en-GB"/>
              </w:rPr>
              <w:t>For patients who die in a stroke unit (Q7.1.2 is answered “Yes”), the length of stay on the stroke unit is the difference between Q4.3 (date and time the patient arrived on stroke unit at this hospital) and the date component given in Q7.1.1 (What was the date of death?) with a time component of 23:59.</w:t>
            </w:r>
          </w:p>
          <w:p w14:paraId="01852FE7" w14:textId="77777777" w:rsidR="006B00E7" w:rsidRPr="00B36910" w:rsidRDefault="006B00E7" w:rsidP="00B36910">
            <w:pPr>
              <w:spacing w:before="120" w:after="120"/>
              <w:rPr>
                <w:rFonts w:eastAsia="Times New Roman"/>
                <w:lang w:eastAsia="en-GB"/>
              </w:rPr>
            </w:pPr>
            <w:r w:rsidRPr="00B36910">
              <w:rPr>
                <w:rFonts w:eastAsia="Times New Roman"/>
                <w:lang w:eastAsia="en-GB"/>
              </w:rPr>
              <w:t>For patients who died in hospital, but not on a stroke unit (Q7.1.2 is answered “No”), the length of stay on the stroke unit is the difference between Q4.3 (date and time the patient arrived on stroke unit at this hospital) and Q7.2 (date and time of discharge from stroke unit).</w:t>
            </w:r>
          </w:p>
          <w:p w14:paraId="6D8B6EF5" w14:textId="77777777" w:rsidR="006B00E7" w:rsidRPr="00B36910" w:rsidRDefault="006B00E7" w:rsidP="00B36910">
            <w:pPr>
              <w:spacing w:before="120" w:after="120"/>
              <w:rPr>
                <w:rFonts w:eastAsia="Times New Roman"/>
                <w:lang w:eastAsia="en-GB"/>
              </w:rPr>
            </w:pPr>
            <w:r w:rsidRPr="00B36910">
              <w:rPr>
                <w:rFonts w:eastAsia="Times New Roman"/>
                <w:lang w:eastAsia="en-GB"/>
              </w:rPr>
              <w:t xml:space="preserve">For patients who did not stay on a stroke unit at a given team (Q4.3 is answered “Did not stay on a stroke unit”) the length of stay on the stroke unit is 0 </w:t>
            </w:r>
            <w:proofErr w:type="spellStart"/>
            <w:r w:rsidRPr="00B36910">
              <w:rPr>
                <w:rFonts w:eastAsia="Times New Roman"/>
                <w:lang w:eastAsia="en-GB"/>
              </w:rPr>
              <w:t>minutes.Overall</w:t>
            </w:r>
            <w:proofErr w:type="spellEnd"/>
            <w:r w:rsidRPr="00B36910">
              <w:rPr>
                <w:rFonts w:eastAsia="Times New Roman"/>
                <w:lang w:eastAsia="en-GB"/>
              </w:rPr>
              <w:t xml:space="preserve"> length of stay on a stroke unit per patient is calculated by summing the length of stay on stroke unit per team as calculated above.</w:t>
            </w:r>
          </w:p>
        </w:tc>
        <w:tc>
          <w:tcPr>
            <w:tcW w:w="435" w:type="pct"/>
          </w:tcPr>
          <w:p w14:paraId="192C9622" w14:textId="77777777" w:rsidR="006B00E7" w:rsidRPr="00B36910" w:rsidRDefault="006B00E7" w:rsidP="00B36910">
            <w:r w:rsidRPr="00B36910">
              <w:rPr>
                <w:rFonts w:eastAsia="Times New Roman"/>
                <w:lang w:eastAsia="en-GB"/>
              </w:rPr>
              <w:t>13/08/15</w:t>
            </w:r>
          </w:p>
        </w:tc>
        <w:sdt>
          <w:sdtPr>
            <w:id w:val="-1123148280"/>
            <w14:checkbox>
              <w14:checked w14:val="1"/>
              <w14:checkedState w14:val="00FE" w14:font="Wingdings"/>
              <w14:uncheckedState w14:val="006F" w14:font="Wingdings"/>
            </w14:checkbox>
          </w:sdtPr>
          <w:sdtContent>
            <w:tc>
              <w:tcPr>
                <w:tcW w:w="410" w:type="pct"/>
              </w:tcPr>
              <w:p w14:paraId="5E884F5F" w14:textId="77777777" w:rsidR="006B00E7" w:rsidRPr="00B36910" w:rsidRDefault="006B00E7" w:rsidP="00B36910">
                <w:pPr>
                  <w:jc w:val="center"/>
                </w:pPr>
                <w:r w:rsidRPr="00B36910">
                  <w:sym w:font="Wingdings" w:char="F0FE"/>
                </w:r>
              </w:p>
            </w:tc>
          </w:sdtContent>
        </w:sdt>
        <w:tc>
          <w:tcPr>
            <w:tcW w:w="368" w:type="pct"/>
          </w:tcPr>
          <w:p w14:paraId="2E59D21E" w14:textId="77777777" w:rsidR="006B00E7" w:rsidRPr="00B36910" w:rsidRDefault="006B00E7" w:rsidP="00B36910">
            <w:r w:rsidRPr="00B36910">
              <w:t>MRG</w:t>
            </w:r>
          </w:p>
          <w:p w14:paraId="46DEA43C" w14:textId="77777777" w:rsidR="006B00E7" w:rsidRPr="00B36910" w:rsidRDefault="006B00E7" w:rsidP="00B36910">
            <w:pPr>
              <w:rPr>
                <w:rFonts w:eastAsia="Times New Roman"/>
                <w:lang w:eastAsia="en-GB"/>
              </w:rPr>
            </w:pPr>
            <w:r w:rsidRPr="00B36910">
              <w:t>10/09/15</w:t>
            </w:r>
          </w:p>
        </w:tc>
      </w:tr>
    </w:tbl>
    <w:p w14:paraId="124B2216" w14:textId="532E5C5C" w:rsidR="006B00E7" w:rsidRPr="00B36910" w:rsidRDefault="007B0C3E" w:rsidP="006B00E7">
      <w:r w:rsidRPr="00B36910">
        <w:rPr>
          <w:b/>
          <w:sz w:val="28"/>
          <w:szCs w:val="28"/>
        </w:rPr>
        <w:t>Presentation and Interpretation</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B36910" w:rsidRPr="00B36910" w14:paraId="51459267" w14:textId="77777777" w:rsidTr="007B0C3E">
        <w:tc>
          <w:tcPr>
            <w:tcW w:w="298" w:type="pct"/>
          </w:tcPr>
          <w:p w14:paraId="3A6EA41B" w14:textId="77777777" w:rsidR="006B00E7" w:rsidRPr="00B36910" w:rsidRDefault="006B00E7" w:rsidP="00B36910">
            <w:pPr>
              <w:rPr>
                <w:b/>
                <w:i/>
              </w:rPr>
            </w:pPr>
            <w:r w:rsidRPr="00B36910">
              <w:rPr>
                <w:b/>
                <w:i/>
              </w:rPr>
              <w:t>Rec. no</w:t>
            </w:r>
          </w:p>
        </w:tc>
        <w:tc>
          <w:tcPr>
            <w:tcW w:w="1460" w:type="pct"/>
          </w:tcPr>
          <w:p w14:paraId="419A7FCB" w14:textId="77777777" w:rsidR="006B00E7" w:rsidRPr="00B36910" w:rsidRDefault="006B00E7" w:rsidP="00B36910">
            <w:pPr>
              <w:rPr>
                <w:b/>
                <w:i/>
              </w:rPr>
            </w:pPr>
            <w:r w:rsidRPr="00B36910">
              <w:rPr>
                <w:b/>
                <w:i/>
              </w:rPr>
              <w:t>Issue or recommendation</w:t>
            </w:r>
          </w:p>
        </w:tc>
        <w:tc>
          <w:tcPr>
            <w:tcW w:w="406" w:type="pct"/>
          </w:tcPr>
          <w:p w14:paraId="5F257360" w14:textId="77777777" w:rsidR="006B00E7" w:rsidRPr="00B36910" w:rsidRDefault="006B00E7" w:rsidP="00B36910">
            <w:pPr>
              <w:rPr>
                <w:b/>
                <w:i/>
              </w:rPr>
            </w:pPr>
            <w:r w:rsidRPr="00B36910">
              <w:rPr>
                <w:b/>
                <w:i/>
              </w:rPr>
              <w:t>Raised by / Date</w:t>
            </w:r>
          </w:p>
        </w:tc>
        <w:tc>
          <w:tcPr>
            <w:tcW w:w="1555" w:type="pct"/>
          </w:tcPr>
          <w:p w14:paraId="3AC8018B" w14:textId="77777777" w:rsidR="006B00E7" w:rsidRPr="00B36910" w:rsidRDefault="006B00E7" w:rsidP="00B36910">
            <w:pPr>
              <w:rPr>
                <w:b/>
                <w:i/>
              </w:rPr>
            </w:pPr>
            <w:r w:rsidRPr="00B36910">
              <w:rPr>
                <w:b/>
                <w:i/>
              </w:rPr>
              <w:t>Response or Action taken by applicant</w:t>
            </w:r>
          </w:p>
        </w:tc>
        <w:tc>
          <w:tcPr>
            <w:tcW w:w="435" w:type="pct"/>
          </w:tcPr>
          <w:p w14:paraId="25EFF8E8" w14:textId="77777777" w:rsidR="006B00E7" w:rsidRPr="00B36910" w:rsidRDefault="006B00E7" w:rsidP="00B36910">
            <w:pPr>
              <w:rPr>
                <w:b/>
                <w:i/>
              </w:rPr>
            </w:pPr>
            <w:r w:rsidRPr="00B36910">
              <w:rPr>
                <w:b/>
                <w:i/>
              </w:rPr>
              <w:t>Response date</w:t>
            </w:r>
          </w:p>
        </w:tc>
        <w:tc>
          <w:tcPr>
            <w:tcW w:w="410" w:type="pct"/>
          </w:tcPr>
          <w:p w14:paraId="022C93BB" w14:textId="77777777" w:rsidR="006B00E7" w:rsidRPr="00B36910" w:rsidRDefault="006B00E7" w:rsidP="00B36910">
            <w:pPr>
              <w:rPr>
                <w:b/>
                <w:i/>
              </w:rPr>
            </w:pPr>
            <w:r w:rsidRPr="00B36910">
              <w:rPr>
                <w:b/>
                <w:i/>
              </w:rPr>
              <w:t>Resolved</w:t>
            </w:r>
          </w:p>
        </w:tc>
        <w:tc>
          <w:tcPr>
            <w:tcW w:w="436" w:type="pct"/>
          </w:tcPr>
          <w:p w14:paraId="032C304C" w14:textId="77777777" w:rsidR="006B00E7" w:rsidRPr="00B36910" w:rsidRDefault="006B00E7" w:rsidP="00B36910">
            <w:pPr>
              <w:rPr>
                <w:b/>
                <w:i/>
              </w:rPr>
            </w:pPr>
            <w:r w:rsidRPr="00B36910">
              <w:rPr>
                <w:b/>
                <w:i/>
              </w:rPr>
              <w:t>Sign off by / Date</w:t>
            </w:r>
          </w:p>
        </w:tc>
      </w:tr>
      <w:tr w:rsidR="006B00E7" w:rsidRPr="00B36910" w14:paraId="4C9E9832" w14:textId="77777777" w:rsidTr="007B0C3E">
        <w:tc>
          <w:tcPr>
            <w:tcW w:w="298" w:type="pct"/>
          </w:tcPr>
          <w:p w14:paraId="750E4C22" w14:textId="77777777" w:rsidR="006B00E7" w:rsidRPr="00B36910" w:rsidRDefault="006B00E7" w:rsidP="00B36910"/>
        </w:tc>
        <w:tc>
          <w:tcPr>
            <w:tcW w:w="1460" w:type="pct"/>
          </w:tcPr>
          <w:p w14:paraId="408B9AEE" w14:textId="77777777" w:rsidR="006B00E7" w:rsidRPr="00B36910" w:rsidRDefault="006B00E7" w:rsidP="00B36910"/>
        </w:tc>
        <w:tc>
          <w:tcPr>
            <w:tcW w:w="406" w:type="pct"/>
          </w:tcPr>
          <w:p w14:paraId="46C36990" w14:textId="77777777" w:rsidR="006B00E7" w:rsidRPr="00B36910" w:rsidRDefault="006B00E7" w:rsidP="00B36910"/>
        </w:tc>
        <w:tc>
          <w:tcPr>
            <w:tcW w:w="1555" w:type="pct"/>
          </w:tcPr>
          <w:p w14:paraId="51B58FA1" w14:textId="77777777" w:rsidR="006B00E7" w:rsidRPr="00B36910" w:rsidRDefault="006B00E7" w:rsidP="00B36910"/>
        </w:tc>
        <w:tc>
          <w:tcPr>
            <w:tcW w:w="435" w:type="pct"/>
          </w:tcPr>
          <w:p w14:paraId="3D53F6EB" w14:textId="77777777" w:rsidR="006B00E7" w:rsidRPr="00B36910" w:rsidRDefault="006B00E7" w:rsidP="00B36910"/>
        </w:tc>
        <w:sdt>
          <w:sdtPr>
            <w:id w:val="2043168001"/>
            <w14:checkbox>
              <w14:checked w14:val="0"/>
              <w14:checkedState w14:val="2612" w14:font="MS Gothic"/>
              <w14:uncheckedState w14:val="2610" w14:font="MS Gothic"/>
            </w14:checkbox>
          </w:sdtPr>
          <w:sdtContent>
            <w:tc>
              <w:tcPr>
                <w:tcW w:w="410" w:type="pct"/>
              </w:tcPr>
              <w:p w14:paraId="593470A2" w14:textId="77777777" w:rsidR="006B00E7" w:rsidRPr="00B36910" w:rsidRDefault="006B00E7" w:rsidP="00B36910">
                <w:pPr>
                  <w:jc w:val="center"/>
                </w:pPr>
                <w:r w:rsidRPr="00B36910">
                  <w:rPr>
                    <w:rFonts w:ascii="Segoe UI Symbol" w:eastAsia="MS Gothic" w:hAnsi="Segoe UI Symbol" w:cs="Segoe UI Symbol"/>
                  </w:rPr>
                  <w:t>☐</w:t>
                </w:r>
              </w:p>
            </w:tc>
          </w:sdtContent>
        </w:sdt>
        <w:tc>
          <w:tcPr>
            <w:tcW w:w="436" w:type="pct"/>
          </w:tcPr>
          <w:p w14:paraId="4BD1D9D5" w14:textId="77777777" w:rsidR="006B00E7" w:rsidRPr="00B36910" w:rsidRDefault="006B00E7" w:rsidP="00B36910"/>
        </w:tc>
      </w:tr>
    </w:tbl>
    <w:p w14:paraId="7B418B81" w14:textId="6418F593" w:rsidR="006B00E7" w:rsidRPr="00B36910" w:rsidRDefault="007B0C3E" w:rsidP="006B00E7">
      <w:r w:rsidRPr="00B36910">
        <w:rPr>
          <w:b/>
          <w:sz w:val="28"/>
          <w:szCs w:val="28"/>
        </w:rPr>
        <w:t>Risks and Usefulness</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B36910" w:rsidRPr="00B36910" w14:paraId="26E78062" w14:textId="77777777" w:rsidTr="007B0C3E">
        <w:tc>
          <w:tcPr>
            <w:tcW w:w="298" w:type="pct"/>
          </w:tcPr>
          <w:p w14:paraId="6DEBC731" w14:textId="77777777" w:rsidR="006B00E7" w:rsidRPr="00B36910" w:rsidRDefault="006B00E7" w:rsidP="00B36910">
            <w:pPr>
              <w:rPr>
                <w:b/>
                <w:i/>
              </w:rPr>
            </w:pPr>
            <w:r w:rsidRPr="00B36910">
              <w:rPr>
                <w:b/>
                <w:i/>
              </w:rPr>
              <w:t>Rec. no</w:t>
            </w:r>
          </w:p>
        </w:tc>
        <w:tc>
          <w:tcPr>
            <w:tcW w:w="1460" w:type="pct"/>
          </w:tcPr>
          <w:p w14:paraId="0945A029" w14:textId="77777777" w:rsidR="006B00E7" w:rsidRPr="00B36910" w:rsidRDefault="006B00E7" w:rsidP="00B36910">
            <w:pPr>
              <w:rPr>
                <w:b/>
                <w:i/>
              </w:rPr>
            </w:pPr>
            <w:r w:rsidRPr="00B36910">
              <w:rPr>
                <w:b/>
                <w:i/>
              </w:rPr>
              <w:t>Issue or recommendation</w:t>
            </w:r>
          </w:p>
        </w:tc>
        <w:tc>
          <w:tcPr>
            <w:tcW w:w="406" w:type="pct"/>
          </w:tcPr>
          <w:p w14:paraId="4F1DF406" w14:textId="77777777" w:rsidR="006B00E7" w:rsidRPr="00B36910" w:rsidRDefault="006B00E7" w:rsidP="00B36910">
            <w:pPr>
              <w:rPr>
                <w:b/>
                <w:i/>
              </w:rPr>
            </w:pPr>
            <w:r w:rsidRPr="00B36910">
              <w:rPr>
                <w:b/>
                <w:i/>
              </w:rPr>
              <w:t>Raised by / Date</w:t>
            </w:r>
          </w:p>
        </w:tc>
        <w:tc>
          <w:tcPr>
            <w:tcW w:w="1555" w:type="pct"/>
          </w:tcPr>
          <w:p w14:paraId="4B276DAF" w14:textId="77777777" w:rsidR="006B00E7" w:rsidRPr="00B36910" w:rsidRDefault="006B00E7" w:rsidP="00B36910">
            <w:pPr>
              <w:rPr>
                <w:b/>
                <w:i/>
              </w:rPr>
            </w:pPr>
            <w:r w:rsidRPr="00B36910">
              <w:rPr>
                <w:b/>
                <w:i/>
              </w:rPr>
              <w:t>Response or Action taken by applicant</w:t>
            </w:r>
          </w:p>
        </w:tc>
        <w:tc>
          <w:tcPr>
            <w:tcW w:w="435" w:type="pct"/>
          </w:tcPr>
          <w:p w14:paraId="42A7B4CE" w14:textId="77777777" w:rsidR="006B00E7" w:rsidRPr="00B36910" w:rsidRDefault="006B00E7" w:rsidP="00B36910">
            <w:pPr>
              <w:rPr>
                <w:b/>
                <w:i/>
              </w:rPr>
            </w:pPr>
            <w:r w:rsidRPr="00B36910">
              <w:rPr>
                <w:b/>
                <w:i/>
              </w:rPr>
              <w:t>Response date</w:t>
            </w:r>
          </w:p>
        </w:tc>
        <w:tc>
          <w:tcPr>
            <w:tcW w:w="410" w:type="pct"/>
          </w:tcPr>
          <w:p w14:paraId="36D021B2" w14:textId="77777777" w:rsidR="006B00E7" w:rsidRPr="00B36910" w:rsidRDefault="006B00E7" w:rsidP="00B36910">
            <w:pPr>
              <w:rPr>
                <w:b/>
                <w:i/>
              </w:rPr>
            </w:pPr>
            <w:r w:rsidRPr="00B36910">
              <w:rPr>
                <w:b/>
                <w:i/>
              </w:rPr>
              <w:t>Resolved</w:t>
            </w:r>
          </w:p>
        </w:tc>
        <w:tc>
          <w:tcPr>
            <w:tcW w:w="436" w:type="pct"/>
          </w:tcPr>
          <w:p w14:paraId="69A981DA" w14:textId="77777777" w:rsidR="006B00E7" w:rsidRPr="00B36910" w:rsidRDefault="006B00E7" w:rsidP="00B36910">
            <w:pPr>
              <w:rPr>
                <w:b/>
                <w:i/>
              </w:rPr>
            </w:pPr>
            <w:r w:rsidRPr="00B36910">
              <w:rPr>
                <w:b/>
                <w:i/>
              </w:rPr>
              <w:t>Sign off by / Date</w:t>
            </w:r>
          </w:p>
        </w:tc>
      </w:tr>
      <w:tr w:rsidR="00B36910" w:rsidRPr="00B36910" w14:paraId="5E006793" w14:textId="77777777" w:rsidTr="007B0C3E">
        <w:tc>
          <w:tcPr>
            <w:tcW w:w="298" w:type="pct"/>
          </w:tcPr>
          <w:p w14:paraId="1A34F091" w14:textId="77777777" w:rsidR="006B00E7" w:rsidRPr="00B36910" w:rsidRDefault="006B00E7" w:rsidP="00B36910"/>
        </w:tc>
        <w:tc>
          <w:tcPr>
            <w:tcW w:w="1460" w:type="pct"/>
          </w:tcPr>
          <w:p w14:paraId="7BFDB0A8" w14:textId="77777777" w:rsidR="006B00E7" w:rsidRPr="00B36910" w:rsidRDefault="006B00E7" w:rsidP="00B36910"/>
        </w:tc>
        <w:tc>
          <w:tcPr>
            <w:tcW w:w="406" w:type="pct"/>
          </w:tcPr>
          <w:p w14:paraId="4E6F0FE5" w14:textId="77777777" w:rsidR="006B00E7" w:rsidRPr="00B36910" w:rsidRDefault="006B00E7" w:rsidP="00B36910"/>
        </w:tc>
        <w:tc>
          <w:tcPr>
            <w:tcW w:w="1555" w:type="pct"/>
          </w:tcPr>
          <w:p w14:paraId="15C1AF91" w14:textId="77777777" w:rsidR="006B00E7" w:rsidRPr="00B36910" w:rsidRDefault="006B00E7" w:rsidP="00B36910"/>
        </w:tc>
        <w:tc>
          <w:tcPr>
            <w:tcW w:w="435" w:type="pct"/>
          </w:tcPr>
          <w:p w14:paraId="42790C51" w14:textId="77777777" w:rsidR="006B00E7" w:rsidRPr="00B36910" w:rsidRDefault="006B00E7" w:rsidP="00B36910"/>
        </w:tc>
        <w:sdt>
          <w:sdtPr>
            <w:id w:val="2038770715"/>
            <w14:checkbox>
              <w14:checked w14:val="0"/>
              <w14:checkedState w14:val="2612" w14:font="MS Gothic"/>
              <w14:uncheckedState w14:val="2610" w14:font="MS Gothic"/>
            </w14:checkbox>
          </w:sdtPr>
          <w:sdtContent>
            <w:tc>
              <w:tcPr>
                <w:tcW w:w="410" w:type="pct"/>
              </w:tcPr>
              <w:p w14:paraId="38DA5392" w14:textId="77777777" w:rsidR="006B00E7" w:rsidRPr="00B36910" w:rsidRDefault="006B00E7" w:rsidP="00B36910">
                <w:pPr>
                  <w:jc w:val="center"/>
                </w:pPr>
                <w:r w:rsidRPr="00B36910">
                  <w:rPr>
                    <w:rFonts w:ascii="Segoe UI Symbol" w:eastAsia="MS Gothic" w:hAnsi="Segoe UI Symbol" w:cs="Segoe UI Symbol"/>
                  </w:rPr>
                  <w:t>☐</w:t>
                </w:r>
              </w:p>
            </w:tc>
          </w:sdtContent>
        </w:sdt>
        <w:tc>
          <w:tcPr>
            <w:tcW w:w="436" w:type="pct"/>
          </w:tcPr>
          <w:p w14:paraId="2AC4E135" w14:textId="77777777" w:rsidR="006B00E7" w:rsidRPr="00B36910" w:rsidRDefault="006B00E7" w:rsidP="00B36910"/>
        </w:tc>
      </w:tr>
    </w:tbl>
    <w:p w14:paraId="50924A84" w14:textId="77777777" w:rsidR="006B00E7" w:rsidRPr="00B36910" w:rsidRDefault="006B00E7" w:rsidP="006B00E7">
      <w:pPr>
        <w:rPr>
          <w:sz w:val="20"/>
          <w:szCs w:val="20"/>
        </w:rPr>
        <w:sectPr w:rsidR="006B00E7" w:rsidRPr="00B36910" w:rsidSect="00B36910">
          <w:pgSz w:w="16838" w:h="11906" w:orient="landscape"/>
          <w:pgMar w:top="851" w:right="820" w:bottom="426" w:left="1440" w:header="851" w:footer="709" w:gutter="0"/>
          <w:cols w:space="708"/>
          <w:docGrid w:linePitch="360"/>
        </w:sectPr>
      </w:pPr>
    </w:p>
    <w:p w14:paraId="17419B2C" w14:textId="77777777" w:rsidR="006B00E7" w:rsidRPr="00B36910" w:rsidRDefault="006B00E7" w:rsidP="006B00E7">
      <w:pPr>
        <w:rPr>
          <w:b/>
        </w:rPr>
      </w:pPr>
    </w:p>
    <w:p w14:paraId="4AEAAC11" w14:textId="77777777" w:rsidR="006B00E7" w:rsidRPr="00B36910" w:rsidRDefault="006B00E7" w:rsidP="006B00E7">
      <w:pPr>
        <w:rPr>
          <w:b/>
        </w:rPr>
      </w:pPr>
      <w:r w:rsidRPr="00B36910">
        <w:rPr>
          <w:b/>
          <w:noProof/>
          <w:lang w:eastAsia="en-GB"/>
        </w:rPr>
        <mc:AlternateContent>
          <mc:Choice Requires="wps">
            <w:drawing>
              <wp:inline distT="0" distB="0" distL="0" distR="0" wp14:anchorId="73849D1A" wp14:editId="418BF039">
                <wp:extent cx="6219825" cy="1403985"/>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solidFill>
                          <a:schemeClr val="accent1">
                            <a:lumMod val="20000"/>
                            <a:lumOff val="80000"/>
                          </a:schemeClr>
                        </a:solidFill>
                        <a:ln w="9525">
                          <a:noFill/>
                          <a:miter lim="800000"/>
                          <a:headEnd/>
                          <a:tailEnd/>
                        </a:ln>
                      </wps:spPr>
                      <wps:txbx>
                        <w:txbxContent>
                          <w:p w14:paraId="723BCB94" w14:textId="77777777" w:rsidR="00B36910" w:rsidRDefault="00B36910" w:rsidP="006B00E7">
                            <w:pPr>
                              <w:rPr>
                                <w:rFonts w:cstheme="minorHAnsi"/>
                                <w:b/>
                                <w:color w:val="1F497D" w:themeColor="text2"/>
                              </w:rPr>
                            </w:pPr>
                            <w:r>
                              <w:rPr>
                                <w:rFonts w:cstheme="minorHAnsi"/>
                                <w:b/>
                                <w:color w:val="1F497D" w:themeColor="text2"/>
                              </w:rPr>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7AFDE612" w14:textId="77777777" w:rsidR="00B36910" w:rsidRDefault="00B36910" w:rsidP="006B00E7">
                            <w:pPr>
                              <w:rPr>
                                <w:rFonts w:cstheme="minorHAnsi"/>
                                <w:b/>
                                <w:color w:val="1F497D" w:themeColor="text2"/>
                              </w:rPr>
                            </w:pPr>
                          </w:p>
                          <w:p w14:paraId="797043BC" w14:textId="77777777" w:rsidR="00B36910" w:rsidRDefault="00B36910" w:rsidP="006B00E7">
                            <w:pPr>
                              <w:rPr>
                                <w:rFonts w:cstheme="minorHAnsi"/>
                                <w:b/>
                                <w:color w:val="1F497D" w:themeColor="text2"/>
                              </w:rPr>
                            </w:pPr>
                            <w:r>
                              <w:rPr>
                                <w:rFonts w:cstheme="minorHAnsi"/>
                                <w:b/>
                                <w:color w:val="1F497D" w:themeColor="text2"/>
                              </w:rPr>
                              <w:t>Indicator and Methodology Assurance Service</w:t>
                            </w:r>
                          </w:p>
                          <w:p w14:paraId="62E38598" w14:textId="77777777" w:rsidR="00B36910" w:rsidRDefault="00B36910" w:rsidP="006B00E7">
                            <w:pPr>
                              <w:rPr>
                                <w:rFonts w:cstheme="minorHAnsi"/>
                                <w:b/>
                                <w:color w:val="1F497D" w:themeColor="text2"/>
                              </w:rPr>
                            </w:pPr>
                            <w:r>
                              <w:rPr>
                                <w:rFonts w:cstheme="minorHAnsi"/>
                                <w:b/>
                                <w:color w:val="1F497D" w:themeColor="text2"/>
                              </w:rPr>
                              <w:t>Health and Social Care Information Centre</w:t>
                            </w:r>
                          </w:p>
                          <w:p w14:paraId="4D8913A0" w14:textId="77777777" w:rsidR="00B36910" w:rsidRDefault="00B36910" w:rsidP="006B00E7">
                            <w:pPr>
                              <w:rPr>
                                <w:rFonts w:cstheme="minorHAnsi"/>
                                <w:b/>
                                <w:color w:val="1F497D" w:themeColor="text2"/>
                              </w:rPr>
                            </w:pPr>
                            <w:r>
                              <w:rPr>
                                <w:rFonts w:cstheme="minorHAnsi"/>
                                <w:b/>
                                <w:color w:val="1F497D" w:themeColor="text2"/>
                              </w:rPr>
                              <w:t>1 Trevelyan Square, Boar Lane,</w:t>
                            </w:r>
                          </w:p>
                          <w:p w14:paraId="1EC2C12F" w14:textId="77777777" w:rsidR="00B36910" w:rsidRDefault="00B36910" w:rsidP="006B00E7">
                            <w:pPr>
                              <w:rPr>
                                <w:rFonts w:cstheme="minorHAnsi"/>
                                <w:b/>
                                <w:color w:val="1F497D" w:themeColor="text2"/>
                              </w:rPr>
                            </w:pPr>
                            <w:r>
                              <w:rPr>
                                <w:rFonts w:cstheme="minorHAnsi"/>
                                <w:b/>
                                <w:color w:val="1F497D" w:themeColor="text2"/>
                              </w:rPr>
                              <w:t xml:space="preserve">LEEDS </w:t>
                            </w:r>
                          </w:p>
                          <w:p w14:paraId="3079FCAB" w14:textId="77777777" w:rsidR="00B36910" w:rsidRDefault="00B36910" w:rsidP="006B00E7">
                            <w:pPr>
                              <w:rPr>
                                <w:rFonts w:cstheme="minorHAnsi"/>
                                <w:b/>
                                <w:color w:val="1F497D" w:themeColor="text2"/>
                              </w:rPr>
                            </w:pPr>
                            <w:r>
                              <w:rPr>
                                <w:rFonts w:cstheme="minorHAnsi"/>
                                <w:b/>
                                <w:color w:val="1F497D" w:themeColor="text2"/>
                              </w:rPr>
                              <w:t>LS1 6AE.</w:t>
                            </w:r>
                          </w:p>
                          <w:p w14:paraId="52DF08BB" w14:textId="77777777" w:rsidR="00B36910" w:rsidRDefault="00B36910" w:rsidP="006B00E7">
                            <w:pPr>
                              <w:rPr>
                                <w:rFonts w:cstheme="minorHAnsi"/>
                                <w:b/>
                                <w:color w:val="1F497D" w:themeColor="text2"/>
                              </w:rPr>
                            </w:pPr>
                          </w:p>
                          <w:p w14:paraId="515EDB41" w14:textId="77777777" w:rsidR="00B36910" w:rsidRDefault="00B36910" w:rsidP="006B00E7">
                            <w:pPr>
                              <w:rPr>
                                <w:rFonts w:cstheme="minorHAnsi"/>
                                <w:b/>
                                <w:color w:val="1F497D" w:themeColor="text2"/>
                              </w:rPr>
                            </w:pPr>
                            <w:r>
                              <w:rPr>
                                <w:rFonts w:cstheme="minorHAnsi"/>
                                <w:b/>
                                <w:color w:val="1F497D" w:themeColor="text2"/>
                              </w:rPr>
                              <w:t xml:space="preserve">Email: </w:t>
                            </w:r>
                            <w:hyperlink r:id="rId32" w:history="1">
                              <w:r w:rsidRPr="00195C54">
                                <w:rPr>
                                  <w:rStyle w:val="Hyperlink"/>
                                  <w:rFonts w:cstheme="minorHAnsi"/>
                                  <w:b/>
                                </w:rPr>
                                <w:t>indicator.assurance@hscic.gov.uk</w:t>
                              </w:r>
                            </w:hyperlink>
                          </w:p>
                          <w:p w14:paraId="3F0E26FA" w14:textId="77777777" w:rsidR="00B36910" w:rsidRDefault="00B36910" w:rsidP="006B00E7">
                            <w:pPr>
                              <w:rPr>
                                <w:rFonts w:cstheme="minorHAnsi"/>
                                <w:b/>
                                <w:color w:val="1F497D" w:themeColor="text2"/>
                              </w:rPr>
                            </w:pPr>
                            <w:r>
                              <w:rPr>
                                <w:rFonts w:cstheme="minorHAnsi"/>
                                <w:b/>
                                <w:color w:val="1F497D" w:themeColor="text2"/>
                              </w:rPr>
                              <w:t xml:space="preserve">Website: </w:t>
                            </w:r>
                            <w:hyperlink r:id="rId33" w:history="1">
                              <w:r w:rsidRPr="00195C54">
                                <w:rPr>
                                  <w:rStyle w:val="Hyperlink"/>
                                  <w:rFonts w:cstheme="minorHAns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type w14:anchorId="73849D1A" id="_x0000_t202" coordsize="21600,21600" o:spt="202" path="m,l,21600r21600,l21600,xe">
                <v:stroke joinstyle="miter"/>
                <v:path gradientshapeok="t" o:connecttype="rect"/>
              </v:shapetype>
              <v:shape id="Text Box 2" o:spid="_x0000_s1026"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" fillcolor="#dbe5f1 [660]" stroked="f">
                <v:textbox style="mso-fit-shape-to-text:t">
                  <w:txbxContent>
                    <w:p w14:paraId="723BCB94" w14:textId="77777777" w:rsidR="00B36910" w:rsidRDefault="00B36910" w:rsidP="006B00E7">
                      <w:pPr>
                        <w:rPr>
                          <w:rFonts w:cstheme="minorHAnsi"/>
                          <w:b/>
                          <w:color w:val="1F497D" w:themeColor="text2"/>
                        </w:rPr>
                      </w:pPr>
                      <w:r>
                        <w:rPr>
                          <w:rFonts w:cstheme="minorHAnsi"/>
                          <w:b/>
                          <w:color w:val="1F497D" w:themeColor="text2"/>
                        </w:rPr>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7AFDE612" w14:textId="77777777" w:rsidR="00B36910" w:rsidRDefault="00B36910" w:rsidP="006B00E7">
                      <w:pPr>
                        <w:rPr>
                          <w:rFonts w:cstheme="minorHAnsi"/>
                          <w:b/>
                          <w:color w:val="1F497D" w:themeColor="text2"/>
                        </w:rPr>
                      </w:pPr>
                    </w:p>
                    <w:p w14:paraId="797043BC" w14:textId="77777777" w:rsidR="00B36910" w:rsidRDefault="00B36910" w:rsidP="006B00E7">
                      <w:pPr>
                        <w:rPr>
                          <w:rFonts w:cstheme="minorHAnsi"/>
                          <w:b/>
                          <w:color w:val="1F497D" w:themeColor="text2"/>
                        </w:rPr>
                      </w:pPr>
                      <w:r>
                        <w:rPr>
                          <w:rFonts w:cstheme="minorHAnsi"/>
                          <w:b/>
                          <w:color w:val="1F497D" w:themeColor="text2"/>
                        </w:rPr>
                        <w:t>Indicator and Methodology Assurance Service</w:t>
                      </w:r>
                    </w:p>
                    <w:p w14:paraId="62E38598" w14:textId="77777777" w:rsidR="00B36910" w:rsidRDefault="00B36910" w:rsidP="006B00E7">
                      <w:pPr>
                        <w:rPr>
                          <w:rFonts w:cstheme="minorHAnsi"/>
                          <w:b/>
                          <w:color w:val="1F497D" w:themeColor="text2"/>
                        </w:rPr>
                      </w:pPr>
                      <w:r>
                        <w:rPr>
                          <w:rFonts w:cstheme="minorHAnsi"/>
                          <w:b/>
                          <w:color w:val="1F497D" w:themeColor="text2"/>
                        </w:rPr>
                        <w:t>Health and Social Care Information Centre</w:t>
                      </w:r>
                    </w:p>
                    <w:p w14:paraId="4D8913A0" w14:textId="77777777" w:rsidR="00B36910" w:rsidRDefault="00B36910" w:rsidP="006B00E7">
                      <w:pPr>
                        <w:rPr>
                          <w:rFonts w:cstheme="minorHAnsi"/>
                          <w:b/>
                          <w:color w:val="1F497D" w:themeColor="text2"/>
                        </w:rPr>
                      </w:pPr>
                      <w:r>
                        <w:rPr>
                          <w:rFonts w:cstheme="minorHAnsi"/>
                          <w:b/>
                          <w:color w:val="1F497D" w:themeColor="text2"/>
                        </w:rPr>
                        <w:t>1 Trevelyan Square, Boar Lane,</w:t>
                      </w:r>
                    </w:p>
                    <w:p w14:paraId="1EC2C12F" w14:textId="77777777" w:rsidR="00B36910" w:rsidRDefault="00B36910" w:rsidP="006B00E7">
                      <w:pPr>
                        <w:rPr>
                          <w:rFonts w:cstheme="minorHAnsi"/>
                          <w:b/>
                          <w:color w:val="1F497D" w:themeColor="text2"/>
                        </w:rPr>
                      </w:pPr>
                      <w:r>
                        <w:rPr>
                          <w:rFonts w:cstheme="minorHAnsi"/>
                          <w:b/>
                          <w:color w:val="1F497D" w:themeColor="text2"/>
                        </w:rPr>
                        <w:t xml:space="preserve">LEEDS </w:t>
                      </w:r>
                    </w:p>
                    <w:p w14:paraId="3079FCAB" w14:textId="77777777" w:rsidR="00B36910" w:rsidRDefault="00B36910" w:rsidP="006B00E7">
                      <w:pPr>
                        <w:rPr>
                          <w:rFonts w:cstheme="minorHAnsi"/>
                          <w:b/>
                          <w:color w:val="1F497D" w:themeColor="text2"/>
                        </w:rPr>
                      </w:pPr>
                      <w:r>
                        <w:rPr>
                          <w:rFonts w:cstheme="minorHAnsi"/>
                          <w:b/>
                          <w:color w:val="1F497D" w:themeColor="text2"/>
                        </w:rPr>
                        <w:t>LS1 6AE.</w:t>
                      </w:r>
                    </w:p>
                    <w:p w14:paraId="52DF08BB" w14:textId="77777777" w:rsidR="00B36910" w:rsidRDefault="00B36910" w:rsidP="006B00E7">
                      <w:pPr>
                        <w:rPr>
                          <w:rFonts w:cstheme="minorHAnsi"/>
                          <w:b/>
                          <w:color w:val="1F497D" w:themeColor="text2"/>
                        </w:rPr>
                      </w:pPr>
                    </w:p>
                    <w:p w14:paraId="515EDB41" w14:textId="77777777" w:rsidR="00B36910" w:rsidRDefault="00B36910" w:rsidP="006B00E7">
                      <w:pPr>
                        <w:rPr>
                          <w:rFonts w:cstheme="minorHAnsi"/>
                          <w:b/>
                          <w:color w:val="1F497D" w:themeColor="text2"/>
                        </w:rPr>
                      </w:pPr>
                      <w:r>
                        <w:rPr>
                          <w:rFonts w:cstheme="minorHAnsi"/>
                          <w:b/>
                          <w:color w:val="1F497D" w:themeColor="text2"/>
                        </w:rPr>
                        <w:t xml:space="preserve">Email: </w:t>
                      </w:r>
                      <w:hyperlink r:id="rId34" w:history="1">
                        <w:r w:rsidRPr="00195C54">
                          <w:rPr>
                            <w:rStyle w:val="Hyperlink"/>
                            <w:rFonts w:cstheme="minorHAnsi"/>
                            <w:b/>
                          </w:rPr>
                          <w:t>indicator.assurance@hscic.gov.uk</w:t>
                        </w:r>
                      </w:hyperlink>
                    </w:p>
                    <w:p w14:paraId="3F0E26FA" w14:textId="77777777" w:rsidR="00B36910" w:rsidRDefault="00B36910" w:rsidP="006B00E7">
                      <w:pPr>
                        <w:rPr>
                          <w:rFonts w:cstheme="minorHAnsi"/>
                          <w:b/>
                          <w:color w:val="1F497D" w:themeColor="text2"/>
                        </w:rPr>
                      </w:pPr>
                      <w:r>
                        <w:rPr>
                          <w:rFonts w:cstheme="minorHAnsi"/>
                          <w:b/>
                          <w:color w:val="1F497D" w:themeColor="text2"/>
                        </w:rPr>
                        <w:t xml:space="preserve">Website: </w:t>
                      </w:r>
                      <w:hyperlink r:id="rId35" w:history="1">
                        <w:r w:rsidRPr="00195C54">
                          <w:rPr>
                            <w:rStyle w:val="Hyperlink"/>
                            <w:rFonts w:cstheme="minorHAnsi"/>
                            <w:b/>
                          </w:rPr>
                          <w:t>http://www.hscic.gov.uk/article/1674/Indicator-Assurance-Service</w:t>
                        </w:r>
                      </w:hyperlink>
                    </w:p>
                  </w:txbxContent>
                </v:textbox>
                <w10:anchorlock/>
              </v:shape>
            </w:pict>
          </mc:Fallback>
        </mc:AlternateContent>
      </w:r>
    </w:p>
    <w:p w14:paraId="27D7F426" w14:textId="77777777" w:rsidR="006B00E7" w:rsidRPr="00B36910" w:rsidRDefault="006B00E7" w:rsidP="006B00E7">
      <w:pPr>
        <w:rPr>
          <w:b/>
        </w:rPr>
      </w:pPr>
    </w:p>
    <w:p w14:paraId="22BE25D5" w14:textId="77777777" w:rsidR="006B00E7" w:rsidRPr="00B36910" w:rsidRDefault="006B00E7" w:rsidP="006B00E7">
      <w:pPr>
        <w:rPr>
          <w:b/>
        </w:rPr>
      </w:pPr>
    </w:p>
    <w:p w14:paraId="32CA695B" w14:textId="77777777" w:rsidR="006B00E7" w:rsidRPr="00B36910" w:rsidRDefault="006B00E7" w:rsidP="00BD69FE">
      <w:pPr>
        <w:rPr>
          <w:b/>
          <w:sz w:val="24"/>
          <w:szCs w:val="24"/>
        </w:rPr>
      </w:pPr>
    </w:p>
    <w:sectPr w:rsidR="006B00E7" w:rsidRPr="00B36910" w:rsidSect="00266A7E">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305F2" w14:textId="77777777" w:rsidR="00B36910" w:rsidRDefault="00B36910" w:rsidP="00316612">
      <w:r>
        <w:separator/>
      </w:r>
    </w:p>
  </w:endnote>
  <w:endnote w:type="continuationSeparator" w:id="0">
    <w:p w14:paraId="2E9D67A1" w14:textId="77777777" w:rsidR="00B36910" w:rsidRDefault="00B36910" w:rsidP="003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altName w:val="Bell MT"/>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1F3F" w14:textId="77777777" w:rsidR="00B36910" w:rsidRDefault="00B36910" w:rsidP="00B36910"/>
  <w:sdt>
    <w:sdtPr>
      <w:rPr>
        <w:sz w:val="18"/>
        <w:szCs w:val="18"/>
      </w:rPr>
      <w:id w:val="-861506761"/>
      <w:docPartObj>
        <w:docPartGallery w:val="Page Numbers (Bottom of Page)"/>
        <w:docPartUnique/>
      </w:docPartObj>
    </w:sdtPr>
    <w:sdtEndPr>
      <w:rPr>
        <w:noProof/>
      </w:rPr>
    </w:sdtEndPr>
    <w:sdtContent>
      <w:p w14:paraId="08BF64E8" w14:textId="16A44CB7" w:rsidR="00B36910" w:rsidRPr="00B36910" w:rsidRDefault="00B36910" w:rsidP="00B36910">
        <w:pPr>
          <w:tabs>
            <w:tab w:val="left" w:pos="426"/>
            <w:tab w:val="center" w:pos="4513"/>
            <w:tab w:val="right" w:pos="9026"/>
          </w:tabs>
          <w:rPr>
            <w:sz w:val="18"/>
            <w:szCs w:val="18"/>
          </w:rPr>
        </w:pPr>
        <w:r w:rsidRPr="00B36910">
          <w:rPr>
            <w:sz w:val="18"/>
            <w:szCs w:val="18"/>
          </w:rPr>
          <w:t>IAP00</w:t>
        </w:r>
        <w:r>
          <w:rPr>
            <w:sz w:val="18"/>
            <w:szCs w:val="18"/>
          </w:rPr>
          <w:t>335</w:t>
        </w:r>
        <w:r w:rsidRPr="00B36910">
          <w:rPr>
            <w:sz w:val="18"/>
            <w:szCs w:val="18"/>
          </w:rPr>
          <w:t xml:space="preserve"> Supporting documentation</w:t>
        </w:r>
      </w:p>
      <w:p w14:paraId="318EBB33" w14:textId="77777777" w:rsidR="00B36910" w:rsidRPr="00B36910" w:rsidRDefault="00B36910" w:rsidP="00B36910">
        <w:pPr>
          <w:tabs>
            <w:tab w:val="left" w:pos="426"/>
            <w:tab w:val="center" w:pos="4513"/>
            <w:tab w:val="right" w:pos="9026"/>
          </w:tabs>
          <w:rPr>
            <w:sz w:val="18"/>
            <w:szCs w:val="18"/>
          </w:rPr>
        </w:pPr>
        <w:r w:rsidRPr="00B36910">
          <w:rPr>
            <w:sz w:val="18"/>
            <w:szCs w:val="18"/>
          </w:rPr>
          <w:t>Copyright © 2019 NHS Digital</w:t>
        </w:r>
        <w:r w:rsidRPr="00B36910">
          <w:rPr>
            <w:sz w:val="18"/>
            <w:szCs w:val="18"/>
          </w:rPr>
          <w:tab/>
        </w:r>
        <w:r w:rsidRPr="00B36910">
          <w:rPr>
            <w:sz w:val="18"/>
            <w:szCs w:val="18"/>
          </w:rPr>
          <w:tab/>
        </w:r>
        <w:r w:rsidRPr="00B36910">
          <w:rPr>
            <w:sz w:val="18"/>
            <w:szCs w:val="18"/>
          </w:rPr>
          <w:tab/>
        </w:r>
        <w:r w:rsidRPr="00B36910">
          <w:rPr>
            <w:sz w:val="18"/>
            <w:szCs w:val="18"/>
          </w:rPr>
          <w:tab/>
        </w:r>
        <w:r w:rsidRPr="00B36910">
          <w:rPr>
            <w:sz w:val="18"/>
            <w:szCs w:val="18"/>
          </w:rPr>
          <w:tab/>
        </w:r>
        <w:r w:rsidRPr="00B36910">
          <w:rPr>
            <w:sz w:val="18"/>
            <w:szCs w:val="18"/>
          </w:rPr>
          <w:tab/>
        </w:r>
        <w:r w:rsidRPr="00B36910">
          <w:rPr>
            <w:sz w:val="18"/>
            <w:szCs w:val="18"/>
          </w:rPr>
          <w:tab/>
        </w:r>
        <w:r w:rsidRPr="00B36910">
          <w:rPr>
            <w:sz w:val="18"/>
            <w:szCs w:val="18"/>
          </w:rPr>
          <w:tab/>
        </w:r>
        <w:r w:rsidRPr="00B36910">
          <w:rPr>
            <w:sz w:val="18"/>
            <w:szCs w:val="18"/>
          </w:rPr>
          <w:tab/>
        </w:r>
        <w:r w:rsidRPr="00B36910">
          <w:rPr>
            <w:sz w:val="18"/>
            <w:szCs w:val="18"/>
          </w:rPr>
          <w:fldChar w:fldCharType="begin"/>
        </w:r>
        <w:r w:rsidRPr="00B36910">
          <w:rPr>
            <w:sz w:val="18"/>
            <w:szCs w:val="18"/>
          </w:rPr>
          <w:instrText xml:space="preserve"> PAGE   \* MERGEFORMAT </w:instrText>
        </w:r>
        <w:r w:rsidRPr="00B36910">
          <w:rPr>
            <w:sz w:val="18"/>
            <w:szCs w:val="18"/>
          </w:rPr>
          <w:fldChar w:fldCharType="separate"/>
        </w:r>
        <w:r w:rsidRPr="00B36910">
          <w:rPr>
            <w:sz w:val="18"/>
            <w:szCs w:val="18"/>
          </w:rPr>
          <w:t>1</w:t>
        </w:r>
        <w:r w:rsidRPr="00B36910">
          <w:rPr>
            <w:noProof/>
            <w:sz w:val="18"/>
            <w:szCs w:val="18"/>
          </w:rPr>
          <w:fldChar w:fldCharType="end"/>
        </w:r>
      </w:p>
    </w:sdtContent>
  </w:sdt>
  <w:p w14:paraId="4832AD58" w14:textId="24A27DC3" w:rsidR="00B36910" w:rsidRPr="000C24AF" w:rsidRDefault="00B36910" w:rsidP="00B36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50CD" w14:textId="77777777" w:rsidR="00B36910" w:rsidRDefault="00B36910" w:rsidP="00316612">
      <w:r>
        <w:separator/>
      </w:r>
    </w:p>
  </w:footnote>
  <w:footnote w:type="continuationSeparator" w:id="0">
    <w:p w14:paraId="426C6983" w14:textId="77777777" w:rsidR="00B36910" w:rsidRDefault="00B36910" w:rsidP="0031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FFF6" w14:textId="54125507" w:rsidR="00B36910" w:rsidRDefault="00B36910" w:rsidP="00B36910"/>
  <w:p w14:paraId="31C51931" w14:textId="77777777" w:rsidR="00B36910" w:rsidRPr="00B36910" w:rsidRDefault="00B36910" w:rsidP="00B36910">
    <w:pPr>
      <w:tabs>
        <w:tab w:val="center" w:pos="4513"/>
        <w:tab w:val="right" w:pos="9026"/>
      </w:tabs>
      <w:jc w:val="center"/>
      <w:rPr>
        <w:b/>
        <w:bCs/>
        <w:sz w:val="24"/>
        <w:szCs w:val="24"/>
      </w:rPr>
    </w:pPr>
    <w:r w:rsidRPr="00B36910">
      <w:rPr>
        <w:b/>
        <w:bCs/>
        <w:sz w:val="24"/>
        <w:szCs w:val="24"/>
      </w:rPr>
      <w:t>NICE inherited this indicator and all its supporting documentation from NHS Digital on 1 April 2020</w:t>
    </w:r>
  </w:p>
  <w:p w14:paraId="5B853E08" w14:textId="77777777" w:rsidR="00B36910" w:rsidRDefault="00B36910" w:rsidP="00B36910"/>
  <w:p w14:paraId="21A9A58E" w14:textId="77777777" w:rsidR="00B36910" w:rsidRDefault="00B36910" w:rsidP="00B36910"/>
  <w:p w14:paraId="0440FA9A" w14:textId="77777777" w:rsidR="00B36910" w:rsidRDefault="00B36910" w:rsidP="00B36910"/>
  <w:p w14:paraId="4BDA9A65" w14:textId="77777777" w:rsidR="00B36910" w:rsidRDefault="00B36910" w:rsidP="00B369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6E31" w14:textId="77777777" w:rsidR="00B36910" w:rsidRDefault="00B36910" w:rsidP="00B36910">
    <w:pPr>
      <w:pStyle w:val="Header"/>
      <w:pBdr>
        <w:bottom w:val="single" w:sz="6" w:space="0" w:color="9BBB59" w:themeColor="accent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733F3"/>
    <w:multiLevelType w:val="hybridMultilevel"/>
    <w:tmpl w:val="DC104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C7EE0"/>
    <w:multiLevelType w:val="hybridMultilevel"/>
    <w:tmpl w:val="061A62DE"/>
    <w:lvl w:ilvl="0" w:tplc="5C664EE6">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A506B"/>
    <w:multiLevelType w:val="hybridMultilevel"/>
    <w:tmpl w:val="B05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E4709"/>
    <w:multiLevelType w:val="hybridMultilevel"/>
    <w:tmpl w:val="ADD8E208"/>
    <w:lvl w:ilvl="0" w:tplc="5C664EE6">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80E77"/>
    <w:multiLevelType w:val="hybridMultilevel"/>
    <w:tmpl w:val="21CA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300C7"/>
    <w:multiLevelType w:val="hybridMultilevel"/>
    <w:tmpl w:val="F626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455A2"/>
    <w:multiLevelType w:val="hybridMultilevel"/>
    <w:tmpl w:val="A39AC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7393B"/>
    <w:multiLevelType w:val="hybridMultilevel"/>
    <w:tmpl w:val="B78862B0"/>
    <w:lvl w:ilvl="0" w:tplc="FAD2F24E">
      <w:start w:val="9"/>
      <w:numFmt w:val="decimal"/>
      <w:lvlText w:val="%1."/>
      <w:lvlJc w:val="left"/>
      <w:pPr>
        <w:ind w:left="752"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971278"/>
    <w:multiLevelType w:val="hybridMultilevel"/>
    <w:tmpl w:val="6324B0B8"/>
    <w:lvl w:ilvl="0" w:tplc="70B679BA">
      <w:start w:val="5"/>
      <w:numFmt w:val="decimal"/>
      <w:lvlText w:val="%1."/>
      <w:lvlJc w:val="left"/>
      <w:pPr>
        <w:ind w:left="752" w:hanging="360"/>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10" w15:restartNumberingAfterBreak="0">
    <w:nsid w:val="3C4C64AD"/>
    <w:multiLevelType w:val="hybridMultilevel"/>
    <w:tmpl w:val="17B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E4C1B"/>
    <w:multiLevelType w:val="hybridMultilevel"/>
    <w:tmpl w:val="04962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8D10F8"/>
    <w:multiLevelType w:val="hybridMultilevel"/>
    <w:tmpl w:val="60FE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C63D7"/>
    <w:multiLevelType w:val="hybridMultilevel"/>
    <w:tmpl w:val="242C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C790A"/>
    <w:multiLevelType w:val="hybridMultilevel"/>
    <w:tmpl w:val="3F04E95C"/>
    <w:lvl w:ilvl="0" w:tplc="5C664EE6">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A5CBE"/>
    <w:multiLevelType w:val="hybridMultilevel"/>
    <w:tmpl w:val="799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A31755"/>
    <w:multiLevelType w:val="hybridMultilevel"/>
    <w:tmpl w:val="B09244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70400451"/>
    <w:multiLevelType w:val="hybridMultilevel"/>
    <w:tmpl w:val="F050F120"/>
    <w:lvl w:ilvl="0" w:tplc="2FF2BF6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6646E0"/>
    <w:multiLevelType w:val="hybridMultilevel"/>
    <w:tmpl w:val="9530FF36"/>
    <w:lvl w:ilvl="0" w:tplc="5C664EE6">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E6669"/>
    <w:multiLevelType w:val="hybridMultilevel"/>
    <w:tmpl w:val="308CE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1"/>
  </w:num>
  <w:num w:numId="4">
    <w:abstractNumId w:val="17"/>
  </w:num>
  <w:num w:numId="5">
    <w:abstractNumId w:val="10"/>
  </w:num>
  <w:num w:numId="6">
    <w:abstractNumId w:val="7"/>
  </w:num>
  <w:num w:numId="7">
    <w:abstractNumId w:val="3"/>
  </w:num>
  <w:num w:numId="8">
    <w:abstractNumId w:val="12"/>
  </w:num>
  <w:num w:numId="9">
    <w:abstractNumId w:val="20"/>
  </w:num>
  <w:num w:numId="10">
    <w:abstractNumId w:val="14"/>
  </w:num>
  <w:num w:numId="11">
    <w:abstractNumId w:val="19"/>
  </w:num>
  <w:num w:numId="12">
    <w:abstractNumId w:val="8"/>
  </w:num>
  <w:num w:numId="13">
    <w:abstractNumId w:val="13"/>
  </w:num>
  <w:num w:numId="14">
    <w:abstractNumId w:val="9"/>
  </w:num>
  <w:num w:numId="15">
    <w:abstractNumId w:val="2"/>
  </w:num>
  <w:num w:numId="16">
    <w:abstractNumId w:val="1"/>
  </w:num>
  <w:num w:numId="17">
    <w:abstractNumId w:val="16"/>
  </w:num>
  <w:num w:numId="18">
    <w:abstractNumId w:val="4"/>
  </w:num>
  <w:num w:numId="19">
    <w:abstractNumId w:val="21"/>
  </w:num>
  <w:num w:numId="20">
    <w:abstractNumId w:val="22"/>
  </w:num>
  <w:num w:numId="21">
    <w:abstractNumId w:val="6"/>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2134C"/>
    <w:rsid w:val="000242E0"/>
    <w:rsid w:val="000245D2"/>
    <w:rsid w:val="00051764"/>
    <w:rsid w:val="00074EC7"/>
    <w:rsid w:val="00083F0D"/>
    <w:rsid w:val="00085056"/>
    <w:rsid w:val="00094CFD"/>
    <w:rsid w:val="000A08EE"/>
    <w:rsid w:val="00117176"/>
    <w:rsid w:val="001426AB"/>
    <w:rsid w:val="00161977"/>
    <w:rsid w:val="00173180"/>
    <w:rsid w:val="00196A84"/>
    <w:rsid w:val="001B753E"/>
    <w:rsid w:val="001C4E48"/>
    <w:rsid w:val="001D0544"/>
    <w:rsid w:val="00211E7E"/>
    <w:rsid w:val="0021591E"/>
    <w:rsid w:val="00230D71"/>
    <w:rsid w:val="002330DA"/>
    <w:rsid w:val="00266A7E"/>
    <w:rsid w:val="002B3D79"/>
    <w:rsid w:val="002D369C"/>
    <w:rsid w:val="00300D5B"/>
    <w:rsid w:val="00316612"/>
    <w:rsid w:val="00327C29"/>
    <w:rsid w:val="003557C2"/>
    <w:rsid w:val="003964B8"/>
    <w:rsid w:val="003A5F69"/>
    <w:rsid w:val="003E3368"/>
    <w:rsid w:val="003E5D8E"/>
    <w:rsid w:val="003F156D"/>
    <w:rsid w:val="00424AEC"/>
    <w:rsid w:val="00425414"/>
    <w:rsid w:val="00430392"/>
    <w:rsid w:val="00441A0A"/>
    <w:rsid w:val="00450AC6"/>
    <w:rsid w:val="00455ABB"/>
    <w:rsid w:val="00457A3D"/>
    <w:rsid w:val="00474130"/>
    <w:rsid w:val="004A536F"/>
    <w:rsid w:val="004C64BB"/>
    <w:rsid w:val="00503EB2"/>
    <w:rsid w:val="00504B27"/>
    <w:rsid w:val="00522B95"/>
    <w:rsid w:val="00527810"/>
    <w:rsid w:val="0057455C"/>
    <w:rsid w:val="005A0891"/>
    <w:rsid w:val="005D7A9D"/>
    <w:rsid w:val="005E2311"/>
    <w:rsid w:val="005F36B2"/>
    <w:rsid w:val="00606204"/>
    <w:rsid w:val="00634715"/>
    <w:rsid w:val="006500CF"/>
    <w:rsid w:val="006578F7"/>
    <w:rsid w:val="006645AD"/>
    <w:rsid w:val="006668FB"/>
    <w:rsid w:val="00692944"/>
    <w:rsid w:val="006A54FE"/>
    <w:rsid w:val="006B00E7"/>
    <w:rsid w:val="006C20DD"/>
    <w:rsid w:val="006E7857"/>
    <w:rsid w:val="006F0E9F"/>
    <w:rsid w:val="006F5172"/>
    <w:rsid w:val="00715102"/>
    <w:rsid w:val="007235D1"/>
    <w:rsid w:val="00724B3F"/>
    <w:rsid w:val="00763298"/>
    <w:rsid w:val="00765861"/>
    <w:rsid w:val="007763C6"/>
    <w:rsid w:val="00791F81"/>
    <w:rsid w:val="007B0C3E"/>
    <w:rsid w:val="007D0CBE"/>
    <w:rsid w:val="007D537B"/>
    <w:rsid w:val="00840994"/>
    <w:rsid w:val="0088122B"/>
    <w:rsid w:val="008A2AC8"/>
    <w:rsid w:val="008D06F5"/>
    <w:rsid w:val="008D37A6"/>
    <w:rsid w:val="008E2BA6"/>
    <w:rsid w:val="008F61E8"/>
    <w:rsid w:val="009664C8"/>
    <w:rsid w:val="009752E7"/>
    <w:rsid w:val="00984012"/>
    <w:rsid w:val="009926C2"/>
    <w:rsid w:val="009A6A53"/>
    <w:rsid w:val="009C59E2"/>
    <w:rsid w:val="009E09DA"/>
    <w:rsid w:val="00A60CBB"/>
    <w:rsid w:val="00A6110B"/>
    <w:rsid w:val="00A62818"/>
    <w:rsid w:val="00A84449"/>
    <w:rsid w:val="00A8619F"/>
    <w:rsid w:val="00AB42E7"/>
    <w:rsid w:val="00AB5C38"/>
    <w:rsid w:val="00AE3DF6"/>
    <w:rsid w:val="00B24AA7"/>
    <w:rsid w:val="00B36910"/>
    <w:rsid w:val="00B70B75"/>
    <w:rsid w:val="00B97BEB"/>
    <w:rsid w:val="00BC310E"/>
    <w:rsid w:val="00BD69FE"/>
    <w:rsid w:val="00BF483B"/>
    <w:rsid w:val="00C3717E"/>
    <w:rsid w:val="00C405E9"/>
    <w:rsid w:val="00C54BD2"/>
    <w:rsid w:val="00CB4062"/>
    <w:rsid w:val="00CD0F59"/>
    <w:rsid w:val="00CD39AF"/>
    <w:rsid w:val="00D54ADF"/>
    <w:rsid w:val="00D706AB"/>
    <w:rsid w:val="00D70D5E"/>
    <w:rsid w:val="00D854D8"/>
    <w:rsid w:val="00DC2B30"/>
    <w:rsid w:val="00DC46F5"/>
    <w:rsid w:val="00E16A0C"/>
    <w:rsid w:val="00E31A14"/>
    <w:rsid w:val="00E3411D"/>
    <w:rsid w:val="00E34DEE"/>
    <w:rsid w:val="00E3661A"/>
    <w:rsid w:val="00E47E82"/>
    <w:rsid w:val="00E55904"/>
    <w:rsid w:val="00E7285A"/>
    <w:rsid w:val="00E849F1"/>
    <w:rsid w:val="00E87435"/>
    <w:rsid w:val="00E97F15"/>
    <w:rsid w:val="00EB20CD"/>
    <w:rsid w:val="00EF17B6"/>
    <w:rsid w:val="00F01683"/>
    <w:rsid w:val="00F1531F"/>
    <w:rsid w:val="00F236E1"/>
    <w:rsid w:val="00F34EDF"/>
    <w:rsid w:val="00F842B8"/>
    <w:rsid w:val="00FA67EF"/>
    <w:rsid w:val="00FC7AD5"/>
    <w:rsid w:val="00FE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6B00E7"/>
    <w:pPr>
      <w:keepNext/>
      <w:spacing w:before="140" w:after="280"/>
      <w:outlineLvl w:val="0"/>
    </w:pPr>
    <w:rPr>
      <w:rFonts w:eastAsia="Times New Roman"/>
      <w:b/>
      <w:bCs/>
      <w:color w:val="4F81BD" w:themeColor="accent1"/>
      <w:spacing w:val="-14"/>
      <w:kern w:val="28"/>
      <w:sz w:val="42"/>
      <w:szCs w:val="32"/>
      <w14:ligatures w14:val="standardContextual"/>
    </w:rPr>
  </w:style>
  <w:style w:type="paragraph" w:styleId="Heading2">
    <w:name w:val="heading 2"/>
    <w:next w:val="Normal"/>
    <w:link w:val="Heading2Char"/>
    <w:autoRedefine/>
    <w:qFormat/>
    <w:rsid w:val="006B00E7"/>
    <w:pPr>
      <w:keepNext/>
      <w:spacing w:before="70" w:after="140"/>
      <w:outlineLvl w:val="1"/>
    </w:pPr>
    <w:rPr>
      <w:rFonts w:eastAsia="MS Mincho" w:cs="Times New Roman"/>
      <w:b/>
      <w:color w:val="4F81BD" w:themeColor="accent1"/>
      <w:spacing w:val="-8"/>
      <w:kern w:val="28"/>
      <w:sz w:val="35"/>
      <w:szCs w:val="28"/>
      <w14:ligatures w14:val="standardContextual"/>
    </w:rPr>
  </w:style>
  <w:style w:type="paragraph" w:styleId="Heading3">
    <w:name w:val="heading 3"/>
    <w:basedOn w:val="Heading2"/>
    <w:next w:val="Normal"/>
    <w:link w:val="Heading3Char"/>
    <w:autoRedefine/>
    <w:qFormat/>
    <w:rsid w:val="006B00E7"/>
    <w:pPr>
      <w:outlineLvl w:val="2"/>
    </w:pPr>
    <w:rPr>
      <w:rFonts w:cs="Arial"/>
      <w:bCs/>
      <w:sz w:val="28"/>
      <w:szCs w:val="26"/>
    </w:rPr>
  </w:style>
  <w:style w:type="paragraph" w:styleId="Heading4">
    <w:name w:val="heading 4"/>
    <w:basedOn w:val="Normal"/>
    <w:next w:val="Normal"/>
    <w:link w:val="Heading4Char"/>
    <w:qFormat/>
    <w:rsid w:val="006B00E7"/>
    <w:pPr>
      <w:keepNext/>
      <w:spacing w:before="70" w:after="70"/>
      <w:textboxTightWrap w:val="lastLineOnly"/>
      <w:outlineLvl w:val="3"/>
    </w:pPr>
    <w:rPr>
      <w:rFonts w:eastAsia="Times New Roman"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styleId="FootnoteReference">
    <w:name w:val="footnote reference"/>
    <w:basedOn w:val="DefaultParagraphFont"/>
    <w:uiPriority w:val="99"/>
    <w:unhideWhenUsed/>
    <w:rsid w:val="00316612"/>
    <w:rPr>
      <w:vertAlign w:val="superscript"/>
    </w:rPr>
  </w:style>
  <w:style w:type="paragraph" w:styleId="FootnoteText">
    <w:name w:val="footnote text"/>
    <w:basedOn w:val="Normal"/>
    <w:link w:val="FootnoteTextChar"/>
    <w:uiPriority w:val="99"/>
    <w:unhideWhenUsed/>
    <w:rsid w:val="00316612"/>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uiPriority w:val="99"/>
    <w:rsid w:val="00316612"/>
    <w:rPr>
      <w:rFonts w:eastAsia="Times New Roman" w:cs="Times New Roman"/>
      <w:sz w:val="20"/>
      <w:szCs w:val="20"/>
    </w:rPr>
  </w:style>
  <w:style w:type="character" w:styleId="PlaceholderText">
    <w:name w:val="Placeholder Text"/>
    <w:basedOn w:val="DefaultParagraphFont"/>
    <w:uiPriority w:val="99"/>
    <w:semiHidden/>
    <w:rsid w:val="001B753E"/>
    <w:rPr>
      <w:color w:val="808080"/>
    </w:rPr>
  </w:style>
  <w:style w:type="character" w:customStyle="1" w:styleId="Heading1Char">
    <w:name w:val="Heading 1 Char"/>
    <w:basedOn w:val="DefaultParagraphFont"/>
    <w:link w:val="Heading1"/>
    <w:rsid w:val="006B00E7"/>
    <w:rPr>
      <w:rFonts w:eastAsia="Times New Roman"/>
      <w:b/>
      <w:bCs/>
      <w:color w:val="4F81BD" w:themeColor="accent1"/>
      <w:spacing w:val="-14"/>
      <w:kern w:val="28"/>
      <w:sz w:val="42"/>
      <w:szCs w:val="32"/>
      <w14:ligatures w14:val="standardContextual"/>
    </w:rPr>
  </w:style>
  <w:style w:type="character" w:customStyle="1" w:styleId="Heading2Char">
    <w:name w:val="Heading 2 Char"/>
    <w:basedOn w:val="DefaultParagraphFont"/>
    <w:link w:val="Heading2"/>
    <w:rsid w:val="006B00E7"/>
    <w:rPr>
      <w:rFonts w:eastAsia="MS Mincho" w:cs="Times New Roman"/>
      <w:b/>
      <w:color w:val="4F81BD" w:themeColor="accent1"/>
      <w:spacing w:val="-8"/>
      <w:kern w:val="28"/>
      <w:sz w:val="35"/>
      <w:szCs w:val="28"/>
      <w14:ligatures w14:val="standardContextual"/>
    </w:rPr>
  </w:style>
  <w:style w:type="character" w:customStyle="1" w:styleId="Heading3Char">
    <w:name w:val="Heading 3 Char"/>
    <w:basedOn w:val="DefaultParagraphFont"/>
    <w:link w:val="Heading3"/>
    <w:rsid w:val="006B00E7"/>
    <w:rPr>
      <w:rFonts w:eastAsia="MS Mincho"/>
      <w:b/>
      <w:bCs/>
      <w:color w:val="4F81BD" w:themeColor="accent1"/>
      <w:spacing w:val="-8"/>
      <w:kern w:val="28"/>
      <w:sz w:val="28"/>
      <w:szCs w:val="26"/>
      <w14:ligatures w14:val="standardContextual"/>
    </w:rPr>
  </w:style>
  <w:style w:type="character" w:customStyle="1" w:styleId="Heading4Char">
    <w:name w:val="Heading 4 Char"/>
    <w:basedOn w:val="DefaultParagraphFont"/>
    <w:link w:val="Heading4"/>
    <w:rsid w:val="006B00E7"/>
    <w:rPr>
      <w:rFonts w:eastAsia="Times New Roman" w:cs="Times New Roman"/>
      <w:b/>
      <w:color w:val="4F81BD" w:themeColor="accent1"/>
      <w:sz w:val="24"/>
      <w:szCs w:val="20"/>
    </w:rPr>
  </w:style>
  <w:style w:type="paragraph" w:customStyle="1" w:styleId="Bulletlist">
    <w:name w:val="Bullet list"/>
    <w:basedOn w:val="ListParagraph"/>
    <w:link w:val="BulletlistChar"/>
    <w:autoRedefine/>
    <w:qFormat/>
    <w:rsid w:val="006B00E7"/>
    <w:pPr>
      <w:numPr>
        <w:numId w:val="7"/>
      </w:numPr>
      <w:autoSpaceDE w:val="0"/>
      <w:autoSpaceDN w:val="0"/>
      <w:adjustRightInd w:val="0"/>
      <w:spacing w:after="140" w:line="240" w:lineRule="auto"/>
      <w:ind w:left="510" w:hanging="510"/>
      <w:contextualSpacing w:val="0"/>
    </w:pPr>
    <w:rPr>
      <w:rFonts w:ascii="Arial" w:eastAsia="Times New Roman" w:hAnsi="Arial" w:cs="FrutigerLTStd-Light"/>
      <w:sz w:val="24"/>
    </w:rPr>
  </w:style>
  <w:style w:type="character" w:customStyle="1" w:styleId="BulletlistChar">
    <w:name w:val="Bullet list Char"/>
    <w:basedOn w:val="DefaultParagraphFont"/>
    <w:link w:val="Bulletlist"/>
    <w:rsid w:val="006B00E7"/>
    <w:rPr>
      <w:rFonts w:eastAsia="Times New Roman" w:cs="FrutigerLTStd-Light"/>
      <w:sz w:val="24"/>
    </w:rPr>
  </w:style>
  <w:style w:type="paragraph" w:customStyle="1" w:styleId="Footnote-hanging">
    <w:name w:val="Footnote - hanging"/>
    <w:basedOn w:val="Bulletlist"/>
    <w:link w:val="Footnote-hangingChar"/>
    <w:qFormat/>
    <w:rsid w:val="006B00E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6B00E7"/>
    <w:rPr>
      <w:rFonts w:eastAsia="Times New Roman" w:cs="FrutigerLTStd-Light"/>
      <w:sz w:val="18"/>
      <w:szCs w:val="18"/>
    </w:rPr>
  </w:style>
  <w:style w:type="paragraph" w:customStyle="1" w:styleId="Standfirst">
    <w:name w:val="Standfirst"/>
    <w:basedOn w:val="Heading4"/>
    <w:link w:val="StandfirstChar"/>
    <w:autoRedefine/>
    <w:qFormat/>
    <w:rsid w:val="006B00E7"/>
    <w:pPr>
      <w:spacing w:before="0" w:after="140" w:line="420" w:lineRule="atLeast"/>
    </w:pPr>
    <w:rPr>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6B00E7"/>
    <w:rPr>
      <w:rFonts w:eastAsia="Times New Roman" w:cs="Times New Roman"/>
      <w:b/>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6B00E7"/>
    <w:pPr>
      <w:pBdr>
        <w:top w:val="single" w:sz="4" w:space="4" w:color="D6E3BC" w:themeColor="accent3" w:themeTint="66"/>
        <w:bottom w:val="single" w:sz="4" w:space="4" w:color="D6E3BC" w:themeColor="accent3" w:themeTint="66"/>
      </w:pBdr>
      <w:tabs>
        <w:tab w:val="right" w:pos="9854"/>
      </w:tabs>
      <w:spacing w:after="140"/>
      <w:textboxTightWrap w:val="lastLineOnly"/>
    </w:pPr>
    <w:rPr>
      <w:rFonts w:eastAsia="Times New Roman" w:cs="Times New Roman"/>
      <w:b/>
      <w:noProof/>
      <w:color w:val="4F81BD" w:themeColor="accent1"/>
      <w:sz w:val="28"/>
      <w:szCs w:val="24"/>
    </w:rPr>
  </w:style>
  <w:style w:type="paragraph" w:styleId="TOCHeading">
    <w:name w:val="TOC Heading"/>
    <w:basedOn w:val="Heading1"/>
    <w:next w:val="Normal"/>
    <w:uiPriority w:val="39"/>
    <w:unhideWhenUsed/>
    <w:qFormat/>
    <w:rsid w:val="006B00E7"/>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6B00E7"/>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6B00E7"/>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6B00E7"/>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6B00E7"/>
    <w:rPr>
      <w:rFonts w:eastAsia="Times New Roman" w:cs="Times New Roman"/>
      <w:b/>
      <w:color w:val="4F81BD" w:themeColor="accent1"/>
      <w:sz w:val="35"/>
      <w:szCs w:val="42"/>
    </w:rPr>
  </w:style>
  <w:style w:type="paragraph" w:customStyle="1" w:styleId="Footnoteseparator">
    <w:name w:val="Footnote_separator"/>
    <w:basedOn w:val="Heading3"/>
    <w:link w:val="FootnoteseparatorChar"/>
    <w:rsid w:val="006B00E7"/>
    <w:rPr>
      <w:noProof/>
      <w:w w:val="200"/>
      <w:sz w:val="16"/>
      <w:szCs w:val="16"/>
    </w:rPr>
  </w:style>
  <w:style w:type="character" w:customStyle="1" w:styleId="FootnoteseparatorChar">
    <w:name w:val="Footnote_separator Char"/>
    <w:basedOn w:val="Heading3Char"/>
    <w:link w:val="Footnoteseparator"/>
    <w:rsid w:val="006B00E7"/>
    <w:rPr>
      <w:rFonts w:eastAsia="MS Mincho"/>
      <w:b/>
      <w:bCs/>
      <w:noProof/>
      <w:color w:val="4F81BD"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6B00E7"/>
    <w:pPr>
      <w:spacing w:after="140" w:line="240" w:lineRule="auto"/>
      <w:ind w:left="510" w:hanging="510"/>
      <w:contextualSpacing w:val="0"/>
      <w:textboxTightWrap w:val="lastLineOnly"/>
    </w:pPr>
    <w:rPr>
      <w:rFonts w:ascii="Arial" w:eastAsia="Times New Roman" w:hAnsi="Arial" w:cs="Times New Roman"/>
      <w:sz w:val="24"/>
      <w:szCs w:val="24"/>
    </w:rPr>
  </w:style>
  <w:style w:type="character" w:customStyle="1" w:styleId="NumberedlistChar">
    <w:name w:val="Numbered list Char"/>
    <w:basedOn w:val="DefaultParagraphFont"/>
    <w:link w:val="Numberedlist"/>
    <w:rsid w:val="006B00E7"/>
    <w:rPr>
      <w:rFonts w:eastAsia="Times New Roman" w:cs="Times New Roman"/>
      <w:sz w:val="24"/>
      <w:szCs w:val="24"/>
    </w:rPr>
  </w:style>
  <w:style w:type="paragraph" w:styleId="TOC2">
    <w:name w:val="toc 2"/>
    <w:basedOn w:val="Normal"/>
    <w:next w:val="Normal"/>
    <w:autoRedefine/>
    <w:uiPriority w:val="39"/>
    <w:unhideWhenUsed/>
    <w:qFormat/>
    <w:rsid w:val="006B00E7"/>
    <w:pPr>
      <w:spacing w:after="100"/>
      <w:ind w:left="220"/>
      <w:textboxTightWrap w:val="lastLineOnly"/>
    </w:pPr>
    <w:rPr>
      <w:rFonts w:eastAsia="Times New Roman" w:cs="Times New Roman"/>
      <w:sz w:val="24"/>
      <w:szCs w:val="24"/>
    </w:rPr>
  </w:style>
  <w:style w:type="paragraph" w:styleId="TOC3">
    <w:name w:val="toc 3"/>
    <w:basedOn w:val="Normal"/>
    <w:next w:val="Normal"/>
    <w:autoRedefine/>
    <w:uiPriority w:val="39"/>
    <w:semiHidden/>
    <w:unhideWhenUsed/>
    <w:qFormat/>
    <w:rsid w:val="006B00E7"/>
    <w:pPr>
      <w:spacing w:after="100" w:line="276" w:lineRule="auto"/>
      <w:ind w:left="440"/>
    </w:pPr>
    <w:rPr>
      <w:rFonts w:asciiTheme="minorHAnsi" w:eastAsiaTheme="minorEastAsia" w:hAnsiTheme="minorHAnsi" w:cstheme="minorBidi"/>
      <w:sz w:val="24"/>
      <w:lang w:val="en-US" w:eastAsia="ja-JP"/>
    </w:rPr>
  </w:style>
  <w:style w:type="paragraph" w:styleId="Header">
    <w:name w:val="header"/>
    <w:basedOn w:val="Normal"/>
    <w:link w:val="HeaderChar"/>
    <w:uiPriority w:val="99"/>
    <w:unhideWhenUsed/>
    <w:qFormat/>
    <w:rsid w:val="006B00E7"/>
    <w:pPr>
      <w:pBdr>
        <w:bottom w:val="single" w:sz="6" w:space="4" w:color="9BBB59" w:themeColor="accent3"/>
      </w:pBdr>
      <w:tabs>
        <w:tab w:val="left" w:pos="9639"/>
      </w:tabs>
      <w:textboxTightWrap w:val="lastLineOnly"/>
    </w:pPr>
    <w:rPr>
      <w:rFonts w:eastAsia="Times New Roman" w:cs="Times New Roman"/>
      <w:b/>
      <w:color w:val="9BBB59" w:themeColor="accent3"/>
      <w:sz w:val="20"/>
      <w:szCs w:val="24"/>
    </w:rPr>
  </w:style>
  <w:style w:type="character" w:customStyle="1" w:styleId="HeaderChar">
    <w:name w:val="Header Char"/>
    <w:basedOn w:val="DefaultParagraphFont"/>
    <w:link w:val="Header"/>
    <w:uiPriority w:val="99"/>
    <w:rsid w:val="006B00E7"/>
    <w:rPr>
      <w:rFonts w:eastAsia="Times New Roman" w:cs="Times New Roman"/>
      <w:b/>
      <w:color w:val="9BBB59" w:themeColor="accent3"/>
      <w:sz w:val="20"/>
      <w:szCs w:val="24"/>
    </w:rPr>
  </w:style>
  <w:style w:type="paragraph" w:styleId="Footer">
    <w:name w:val="footer"/>
    <w:basedOn w:val="Normal"/>
    <w:link w:val="FooterChar"/>
    <w:autoRedefine/>
    <w:uiPriority w:val="99"/>
    <w:unhideWhenUsed/>
    <w:qFormat/>
    <w:rsid w:val="006B00E7"/>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6B00E7"/>
    <w:rPr>
      <w:rFonts w:eastAsia="Times New Roman" w:cs="Times New Roman"/>
      <w:color w:val="9BBB59" w:themeColor="accent3"/>
      <w:sz w:val="17"/>
      <w:szCs w:val="24"/>
    </w:rPr>
  </w:style>
  <w:style w:type="character" w:styleId="Strong">
    <w:name w:val="Strong"/>
    <w:aliases w:val="Bold"/>
    <w:qFormat/>
    <w:rsid w:val="006B00E7"/>
    <w:rPr>
      <w:rFonts w:asciiTheme="minorHAnsi" w:hAnsiTheme="minorHAnsi"/>
      <w:b/>
      <w:bCs/>
    </w:rPr>
  </w:style>
  <w:style w:type="paragraph" w:styleId="Quote">
    <w:name w:val="Quote"/>
    <w:basedOn w:val="Normal"/>
    <w:next w:val="Normal"/>
    <w:link w:val="QuoteChar"/>
    <w:uiPriority w:val="29"/>
    <w:qFormat/>
    <w:rsid w:val="006B00E7"/>
    <w:pPr>
      <w:spacing w:before="70" w:after="70"/>
      <w:textboxTightWrap w:val="lastLineOnly"/>
    </w:pPr>
    <w:rPr>
      <w:rFonts w:ascii="Goudy Old Style" w:eastAsia="Times New Roman" w:hAnsi="Goudy Old Style" w:cs="Times New Roman"/>
      <w:i/>
      <w:iCs/>
      <w:color w:val="4F81BD" w:themeColor="accent1"/>
      <w:sz w:val="35"/>
      <w:szCs w:val="24"/>
    </w:rPr>
  </w:style>
  <w:style w:type="character" w:customStyle="1" w:styleId="QuoteChar">
    <w:name w:val="Quote Char"/>
    <w:basedOn w:val="DefaultParagraphFont"/>
    <w:link w:val="Quote"/>
    <w:uiPriority w:val="29"/>
    <w:rsid w:val="006B00E7"/>
    <w:rPr>
      <w:rFonts w:ascii="Goudy Old Style" w:eastAsia="Times New Roman" w:hAnsi="Goudy Old Style" w:cs="Times New Roman"/>
      <w:i/>
      <w:iCs/>
      <w:color w:val="4F81BD" w:themeColor="accent1"/>
      <w:sz w:val="35"/>
      <w:szCs w:val="24"/>
    </w:rPr>
  </w:style>
  <w:style w:type="table" w:customStyle="1" w:styleId="TableGrid1">
    <w:name w:val="Table Grid1"/>
    <w:basedOn w:val="TableNormal"/>
    <w:next w:val="TableGrid"/>
    <w:uiPriority w:val="59"/>
    <w:rsid w:val="006B00E7"/>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00E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1"/>
    <w:basedOn w:val="DefaultParagraphFont"/>
    <w:uiPriority w:val="1"/>
    <w:rsid w:val="006B00E7"/>
    <w:rPr>
      <w:rFonts w:ascii="Arial" w:hAnsi="Arial"/>
      <w:b w:val="0"/>
      <w:color w:val="1F497D" w:themeColor="text2"/>
      <w:sz w:val="28"/>
    </w:rPr>
  </w:style>
  <w:style w:type="paragraph" w:styleId="NoSpacing">
    <w:name w:val="No Spacing"/>
    <w:link w:val="NoSpacingChar"/>
    <w:uiPriority w:val="1"/>
    <w:qFormat/>
    <w:rsid w:val="006B00E7"/>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6B00E7"/>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 w:id="20935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lahrc-gm.nihr.ac.uk/cms/wp-content/uploads/DoH-National-Stroke-Strategy-2007.pdf" TargetMode="External"/><Relationship Id="rId18" Type="http://schemas.openxmlformats.org/officeDocument/2006/relationships/hyperlink" Target="http://stroke.ahajournals.org/content/38/9/2536" TargetMode="External"/><Relationship Id="rId26" Type="http://schemas.openxmlformats.org/officeDocument/2006/relationships/hyperlink" Target="mailto:enquiries@hscic.gov.uk" TargetMode="External"/><Relationship Id="rId3" Type="http://schemas.openxmlformats.org/officeDocument/2006/relationships/settings" Target="settings.xml"/><Relationship Id="rId21" Type="http://schemas.openxmlformats.org/officeDocument/2006/relationships/hyperlink" Target="http://www.apho.org.uk/resource/view.aspx?RID=48617" TargetMode="External"/><Relationship Id="rId34" Type="http://schemas.openxmlformats.org/officeDocument/2006/relationships/hyperlink" Target="mailto:indicator.assurance@hscic.gov.uk" TargetMode="External"/><Relationship Id="rId7" Type="http://schemas.openxmlformats.org/officeDocument/2006/relationships/header" Target="header1.xml"/><Relationship Id="rId12" Type="http://schemas.openxmlformats.org/officeDocument/2006/relationships/hyperlink" Target="http://www.ncbi.nlm.nih.gov/pubmed/17943737" TargetMode="External"/><Relationship Id="rId17" Type="http://schemas.openxmlformats.org/officeDocument/2006/relationships/hyperlink" Target="http://www.ncbi.nlm.nih.gov/pubmed/17463308" TargetMode="External"/><Relationship Id="rId25" Type="http://schemas.openxmlformats.org/officeDocument/2006/relationships/hyperlink" Target="http://www.stroke-in-stoke.info/otherfiles/Accelerating%20Stroke%20Improvement%20National%20Plan.pdf" TargetMode="External"/><Relationship Id="rId33" Type="http://schemas.openxmlformats.org/officeDocument/2006/relationships/hyperlink" Target="http://www.hscic.gov.uk/article/1674/Indicator-Assurance-Servi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nnp.bmj.com/content/early/2014/06/25/jnnp-2013-307478.full" TargetMode="External"/><Relationship Id="rId20" Type="http://schemas.openxmlformats.org/officeDocument/2006/relationships/hyperlink" Target="http://www.rcplondon.ac.uk/resources/stroke-guidelines"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2/chapter/Introduction-and-overview" TargetMode="External"/><Relationship Id="rId24" Type="http://schemas.openxmlformats.org/officeDocument/2006/relationships/hyperlink" Target="http://www.strokeaudit.org/results/Clinical-audit/National-Results.aspx" TargetMode="External"/><Relationship Id="rId32" Type="http://schemas.openxmlformats.org/officeDocument/2006/relationships/hyperlink" Target="mailto:indicator.assurance@hscic.gov.uk" TargetMode="Externa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troke.ahajournals.org/content/36/1/103.full.pdf" TargetMode="External"/><Relationship Id="rId23" Type="http://schemas.openxmlformats.org/officeDocument/2006/relationships/image" Target="media/image1.png"/><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mailto:ccgois@hscic.gov.uk" TargetMode="External"/><Relationship Id="rId19" Type="http://schemas.openxmlformats.org/officeDocument/2006/relationships/hyperlink" Target="http://www.rcplondon.ac.uk/projects/sentinel-stroke-national-audit-programme" TargetMode="External"/><Relationship Id="rId31" Type="http://schemas.openxmlformats.org/officeDocument/2006/relationships/hyperlink" Target="http://www.apho.org.uk/resource/view.aspx?RID=4861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uploads/system/uploads/attachment_data/file/214895/9387-2900853-CVD-Outcomes_web1.pdf" TargetMode="External"/><Relationship Id="rId22" Type="http://schemas.openxmlformats.org/officeDocument/2006/relationships/hyperlink" Target="http://indicators.ic.nhs.uk/webview/index.jsp?v=2&amp;submode=ddi&amp;study=http%3A%2F%2F172.16.9.26%3A80%2Fobj%2FfStudy%2FP01855&amp;mode=documentation&amp;top=yes" TargetMode="External"/><Relationship Id="rId27" Type="http://schemas.openxmlformats.org/officeDocument/2006/relationships/hyperlink" Target="mailto:ccgois@hscic.gov.uk" TargetMode="External"/><Relationship Id="rId30" Type="http://schemas.openxmlformats.org/officeDocument/2006/relationships/hyperlink" Target="http://www.rcplondon.ac.uk/resources/stroke-guidelines" TargetMode="External"/><Relationship Id="rId35" Type="http://schemas.openxmlformats.org/officeDocument/2006/relationships/hyperlink" Target="http://www.hscic.gov.uk/article/1674/Indicator-Assurance-Serv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BA8E88B33D431F8248A9C644222D2D"/>
        <w:category>
          <w:name w:val="General"/>
          <w:gallery w:val="placeholder"/>
        </w:category>
        <w:types>
          <w:type w:val="bbPlcHdr"/>
        </w:types>
        <w:behaviors>
          <w:behavior w:val="content"/>
        </w:behaviors>
        <w:guid w:val="{3124BA1F-7AA0-4B6C-AB7C-9A29D2D3B116}"/>
      </w:docPartPr>
      <w:docPartBody>
        <w:p w:rsidR="002077E5" w:rsidRDefault="00667F39" w:rsidP="00667F39">
          <w:pPr>
            <w:pStyle w:val="12BA8E88B33D431F8248A9C644222D2D"/>
          </w:pPr>
          <w:r w:rsidRPr="00B71800">
            <w:rPr>
              <w:rStyle w:val="PlaceholderText"/>
            </w:rPr>
            <w:t>Choose an item.</w:t>
          </w:r>
        </w:p>
      </w:docPartBody>
    </w:docPart>
    <w:docPart>
      <w:docPartPr>
        <w:name w:val="BB0BC11583284AA48A86E6BE3507AF91"/>
        <w:category>
          <w:name w:val="General"/>
          <w:gallery w:val="placeholder"/>
        </w:category>
        <w:types>
          <w:type w:val="bbPlcHdr"/>
        </w:types>
        <w:behaviors>
          <w:behavior w:val="content"/>
        </w:behaviors>
        <w:guid w:val="{98895974-D3A8-4D9F-A704-BA6F980EA8D4}"/>
      </w:docPartPr>
      <w:docPartBody>
        <w:p w:rsidR="002077E5" w:rsidRDefault="00667F39" w:rsidP="00667F39">
          <w:pPr>
            <w:pStyle w:val="BB0BC11583284AA48A86E6BE3507AF91"/>
          </w:pPr>
          <w:r w:rsidRPr="00195C54">
            <w:rPr>
              <w:rStyle w:val="PlaceholderText"/>
            </w:rPr>
            <w:t>Choose an item.</w:t>
          </w:r>
        </w:p>
      </w:docPartBody>
    </w:docPart>
    <w:docPart>
      <w:docPartPr>
        <w:name w:val="4FFFCF9BCD4D4CDEB7D4AF3AED83655C"/>
        <w:category>
          <w:name w:val="General"/>
          <w:gallery w:val="placeholder"/>
        </w:category>
        <w:types>
          <w:type w:val="bbPlcHdr"/>
        </w:types>
        <w:behaviors>
          <w:behavior w:val="content"/>
        </w:behaviors>
        <w:guid w:val="{9116B531-D039-4007-A40A-4817409AE483}"/>
      </w:docPartPr>
      <w:docPartBody>
        <w:p w:rsidR="002077E5" w:rsidRDefault="00667F39" w:rsidP="00667F39">
          <w:pPr>
            <w:pStyle w:val="4FFFCF9BCD4D4CDEB7D4AF3AED83655C"/>
          </w:pPr>
          <w:r w:rsidRPr="00195C54">
            <w:rPr>
              <w:rStyle w:val="PlaceholderText"/>
            </w:rPr>
            <w:t>Click here to enter a date.</w:t>
          </w:r>
        </w:p>
      </w:docPartBody>
    </w:docPart>
    <w:docPart>
      <w:docPartPr>
        <w:name w:val="BCDDBE88DDA14BC2B81474B7830DAEFF"/>
        <w:category>
          <w:name w:val="General"/>
          <w:gallery w:val="placeholder"/>
        </w:category>
        <w:types>
          <w:type w:val="bbPlcHdr"/>
        </w:types>
        <w:behaviors>
          <w:behavior w:val="content"/>
        </w:behaviors>
        <w:guid w:val="{B644A179-9BFC-4CDA-816C-766CC2BD8533}"/>
      </w:docPartPr>
      <w:docPartBody>
        <w:p w:rsidR="00000000" w:rsidRDefault="002077E5" w:rsidP="002077E5">
          <w:pPr>
            <w:pStyle w:val="BCDDBE88DDA14BC2B81474B7830DAEFF"/>
          </w:pPr>
          <w:r w:rsidRPr="00BC4529">
            <w:rPr>
              <w:rStyle w:val="PlaceholderText"/>
            </w:rPr>
            <w:t>Choose an item.</w:t>
          </w:r>
        </w:p>
      </w:docPartBody>
    </w:docPart>
    <w:docPart>
      <w:docPartPr>
        <w:name w:val="59A93E47FD1A4560AE8DB12AF93EDC26"/>
        <w:category>
          <w:name w:val="General"/>
          <w:gallery w:val="placeholder"/>
        </w:category>
        <w:types>
          <w:type w:val="bbPlcHdr"/>
        </w:types>
        <w:behaviors>
          <w:behavior w:val="content"/>
        </w:behaviors>
        <w:guid w:val="{B773AFD3-965E-4077-AA58-DB496623673E}"/>
      </w:docPartPr>
      <w:docPartBody>
        <w:p w:rsidR="00000000" w:rsidRDefault="002077E5" w:rsidP="002077E5">
          <w:pPr>
            <w:pStyle w:val="59A93E47FD1A4560AE8DB12AF93EDC26"/>
          </w:pPr>
          <w:r w:rsidRPr="00775F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altName w:val="Bell MT"/>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39"/>
    <w:rsid w:val="002077E5"/>
    <w:rsid w:val="0066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7E5"/>
    <w:rPr>
      <w:color w:val="808080"/>
    </w:rPr>
  </w:style>
  <w:style w:type="paragraph" w:customStyle="1" w:styleId="8AD7E73CC4FD40C39121E25072FA6B13">
    <w:name w:val="8AD7E73CC4FD40C39121E25072FA6B13"/>
    <w:rsid w:val="00667F39"/>
  </w:style>
  <w:style w:type="paragraph" w:customStyle="1" w:styleId="6D3AE57A0C604ADA9A0DE8A45EA5440B">
    <w:name w:val="6D3AE57A0C604ADA9A0DE8A45EA5440B"/>
    <w:rsid w:val="00667F39"/>
  </w:style>
  <w:style w:type="paragraph" w:customStyle="1" w:styleId="12BA8E88B33D431F8248A9C644222D2D">
    <w:name w:val="12BA8E88B33D431F8248A9C644222D2D"/>
    <w:rsid w:val="00667F39"/>
  </w:style>
  <w:style w:type="paragraph" w:customStyle="1" w:styleId="E765099680814AEEA49712C2D3A31A6B">
    <w:name w:val="E765099680814AEEA49712C2D3A31A6B"/>
    <w:rsid w:val="00667F39"/>
  </w:style>
  <w:style w:type="paragraph" w:customStyle="1" w:styleId="5E5AD6D0B5E7451A9DB0DCBC82F1BA92">
    <w:name w:val="5E5AD6D0B5E7451A9DB0DCBC82F1BA92"/>
    <w:rsid w:val="00667F39"/>
  </w:style>
  <w:style w:type="paragraph" w:customStyle="1" w:styleId="1EB11D523B7B44828D91099BF1E7FACD">
    <w:name w:val="1EB11D523B7B44828D91099BF1E7FACD"/>
    <w:rsid w:val="00667F39"/>
  </w:style>
  <w:style w:type="paragraph" w:customStyle="1" w:styleId="BB0BC11583284AA48A86E6BE3507AF91">
    <w:name w:val="BB0BC11583284AA48A86E6BE3507AF91"/>
    <w:rsid w:val="00667F39"/>
  </w:style>
  <w:style w:type="paragraph" w:customStyle="1" w:styleId="4FFFCF9BCD4D4CDEB7D4AF3AED83655C">
    <w:name w:val="4FFFCF9BCD4D4CDEB7D4AF3AED83655C"/>
    <w:rsid w:val="00667F39"/>
  </w:style>
  <w:style w:type="paragraph" w:customStyle="1" w:styleId="992BD4FFA0974BC9B55383AFE64AB73A">
    <w:name w:val="992BD4FFA0974BC9B55383AFE64AB73A"/>
    <w:rsid w:val="002077E5"/>
  </w:style>
  <w:style w:type="paragraph" w:customStyle="1" w:styleId="BCDDBE88DDA14BC2B81474B7830DAEFF">
    <w:name w:val="BCDDBE88DDA14BC2B81474B7830DAEFF"/>
    <w:rsid w:val="002077E5"/>
  </w:style>
  <w:style w:type="paragraph" w:customStyle="1" w:styleId="323D47E80FE04069B4F5EDCC22DF8CBA">
    <w:name w:val="323D47E80FE04069B4F5EDCC22DF8CBA"/>
    <w:rsid w:val="002077E5"/>
  </w:style>
  <w:style w:type="paragraph" w:customStyle="1" w:styleId="59A93E47FD1A4560AE8DB12AF93EDC26">
    <w:name w:val="59A93E47FD1A4560AE8DB12AF93EDC26"/>
    <w:rsid w:val="00207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7440</Words>
  <Characters>42409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2020-03-24T11:48:00Z</dcterms:created>
  <dcterms:modified xsi:type="dcterms:W3CDTF">2020-03-24T11:48:00Z</dcterms:modified>
</cp:coreProperties>
</file>