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0404E" w14:textId="2A2E1159" w:rsidR="00103DBC" w:rsidRPr="00F109A6" w:rsidRDefault="00103DBC" w:rsidP="00103DBC">
      <w:pPr>
        <w:jc w:val="center"/>
        <w:rPr>
          <w:b/>
          <w:bCs/>
          <w:sz w:val="28"/>
          <w:szCs w:val="28"/>
        </w:rPr>
      </w:pPr>
      <w:bookmarkStart w:id="0" w:name="_Hlk34653293"/>
      <w:bookmarkStart w:id="1" w:name="_GoBack"/>
      <w:bookmarkEnd w:id="1"/>
      <w:r w:rsidRPr="00F109A6">
        <w:rPr>
          <w:b/>
          <w:bCs/>
          <w:sz w:val="28"/>
          <w:szCs w:val="28"/>
        </w:rPr>
        <w:t>NHS Digital</w:t>
      </w:r>
    </w:p>
    <w:p w14:paraId="3D7FBD96" w14:textId="77777777" w:rsidR="00103DBC" w:rsidRPr="00F109A6" w:rsidRDefault="00103DBC" w:rsidP="00103DBC">
      <w:pPr>
        <w:jc w:val="center"/>
        <w:rPr>
          <w:b/>
          <w:bCs/>
          <w:sz w:val="28"/>
          <w:szCs w:val="28"/>
        </w:rPr>
      </w:pPr>
      <w:r w:rsidRPr="00F109A6">
        <w:rPr>
          <w:b/>
          <w:bCs/>
          <w:sz w:val="28"/>
          <w:szCs w:val="28"/>
        </w:rPr>
        <w:t>Indicator Supporting Documentation</w:t>
      </w:r>
    </w:p>
    <w:p w14:paraId="3FA243CF" w14:textId="5DF40BC3" w:rsidR="00103DBC" w:rsidRDefault="00103DBC" w:rsidP="00103DBC">
      <w:pPr>
        <w:jc w:val="center"/>
        <w:rPr>
          <w:b/>
          <w:bCs/>
          <w:sz w:val="28"/>
          <w:szCs w:val="28"/>
        </w:rPr>
      </w:pPr>
      <w:r w:rsidRPr="00F109A6">
        <w:rPr>
          <w:b/>
          <w:bCs/>
          <w:sz w:val="28"/>
          <w:szCs w:val="28"/>
        </w:rPr>
        <w:t>IAP00</w:t>
      </w:r>
      <w:r>
        <w:rPr>
          <w:b/>
          <w:bCs/>
          <w:sz w:val="28"/>
          <w:szCs w:val="28"/>
        </w:rPr>
        <w:t xml:space="preserve">338 </w:t>
      </w:r>
      <w:bookmarkEnd w:id="0"/>
      <w:r w:rsidRPr="00103DBC">
        <w:rPr>
          <w:b/>
          <w:bCs/>
          <w:sz w:val="28"/>
          <w:szCs w:val="28"/>
        </w:rPr>
        <w:t>Proportion of adults in contact with secondary mental health services in employment</w:t>
      </w:r>
    </w:p>
    <w:p w14:paraId="799D4474" w14:textId="5DF40BC3" w:rsidR="00103DBC" w:rsidRDefault="00103DBC" w:rsidP="00103DBC"/>
    <w:tbl>
      <w:tblPr>
        <w:tblStyle w:val="TableGrid1"/>
        <w:tblW w:w="0" w:type="auto"/>
        <w:tblInd w:w="-431" w:type="dxa"/>
        <w:tblLayout w:type="fixed"/>
        <w:tblLook w:val="04A0" w:firstRow="1" w:lastRow="0" w:firstColumn="1" w:lastColumn="0" w:noHBand="0" w:noVBand="1"/>
      </w:tblPr>
      <w:tblGrid>
        <w:gridCol w:w="2978"/>
        <w:gridCol w:w="6469"/>
      </w:tblGrid>
      <w:tr w:rsidR="00103DBC" w:rsidRPr="00103DBC" w14:paraId="5489D00F" w14:textId="77777777" w:rsidTr="00103DBC">
        <w:trPr>
          <w:trHeight w:val="187"/>
        </w:trPr>
        <w:tc>
          <w:tcPr>
            <w:tcW w:w="2978" w:type="dxa"/>
          </w:tcPr>
          <w:p w14:paraId="2C6EE05F" w14:textId="3079C9EF" w:rsidR="00BD69FE" w:rsidRPr="00103DBC" w:rsidRDefault="00BD69FE" w:rsidP="00103DBC">
            <w:pPr>
              <w:rPr>
                <w:b/>
              </w:rPr>
            </w:pPr>
            <w:r w:rsidRPr="00103DBC">
              <w:t>IAP</w:t>
            </w:r>
            <w:r w:rsidR="004C64BB" w:rsidRPr="00103DBC">
              <w:t xml:space="preserve"> </w:t>
            </w:r>
            <w:r w:rsidRPr="00103DBC">
              <w:t>Code</w:t>
            </w:r>
          </w:p>
        </w:tc>
        <w:tc>
          <w:tcPr>
            <w:tcW w:w="6469" w:type="dxa"/>
          </w:tcPr>
          <w:p w14:paraId="34A261AC" w14:textId="7680260E" w:rsidR="00F60439" w:rsidRPr="00103DBC" w:rsidRDefault="006F0E9F" w:rsidP="00103DBC">
            <w:r w:rsidRPr="00103DBC">
              <w:t>IAP00</w:t>
            </w:r>
            <w:r w:rsidR="006A0711" w:rsidRPr="00103DBC">
              <w:t>33</w:t>
            </w:r>
            <w:r w:rsidR="00F60439" w:rsidRPr="00103DBC">
              <w:t>8</w:t>
            </w:r>
          </w:p>
        </w:tc>
      </w:tr>
      <w:tr w:rsidR="00103DBC" w:rsidRPr="00103DBC" w14:paraId="6629A3E7" w14:textId="77777777" w:rsidTr="00103DBC">
        <w:trPr>
          <w:trHeight w:val="385"/>
        </w:trPr>
        <w:tc>
          <w:tcPr>
            <w:tcW w:w="2978" w:type="dxa"/>
          </w:tcPr>
          <w:p w14:paraId="23997C39" w14:textId="77777777" w:rsidR="00BD69FE" w:rsidRPr="00103DBC" w:rsidRDefault="00BD69FE" w:rsidP="00103DBC">
            <w:pPr>
              <w:rPr>
                <w:b/>
              </w:rPr>
            </w:pPr>
            <w:r w:rsidRPr="00103DBC">
              <w:t>Title</w:t>
            </w:r>
          </w:p>
        </w:tc>
        <w:tc>
          <w:tcPr>
            <w:tcW w:w="6469" w:type="dxa"/>
          </w:tcPr>
          <w:p w14:paraId="523F6C46" w14:textId="1739545C" w:rsidR="00BD69FE" w:rsidRPr="00103DBC" w:rsidRDefault="00067EA7" w:rsidP="00103DBC">
            <w:r w:rsidRPr="00103DBC">
              <w:t>Percentage of adults in contact with secondary mental health services in paid employment</w:t>
            </w:r>
          </w:p>
        </w:tc>
      </w:tr>
      <w:tr w:rsidR="00103DBC" w:rsidRPr="00103DBC" w14:paraId="28621C46" w14:textId="77777777" w:rsidTr="00103DBC">
        <w:trPr>
          <w:trHeight w:val="397"/>
        </w:trPr>
        <w:tc>
          <w:tcPr>
            <w:tcW w:w="2978" w:type="dxa"/>
          </w:tcPr>
          <w:p w14:paraId="052110F3" w14:textId="77777777" w:rsidR="00BD69FE" w:rsidRPr="00103DBC" w:rsidRDefault="00BD69FE" w:rsidP="00103DBC">
            <w:pPr>
              <w:rPr>
                <w:b/>
              </w:rPr>
            </w:pPr>
            <w:r w:rsidRPr="00103DBC">
              <w:t>Published by</w:t>
            </w:r>
          </w:p>
        </w:tc>
        <w:tc>
          <w:tcPr>
            <w:tcW w:w="6469" w:type="dxa"/>
          </w:tcPr>
          <w:p w14:paraId="6093FD1D" w14:textId="00C99A58" w:rsidR="00BD69FE" w:rsidRPr="00103DBC" w:rsidRDefault="00BF6261" w:rsidP="00103DBC">
            <w:r w:rsidRPr="00103DBC">
              <w:t>NHS Digital</w:t>
            </w:r>
          </w:p>
        </w:tc>
      </w:tr>
      <w:tr w:rsidR="00103DBC" w:rsidRPr="00103DBC" w14:paraId="5181966B" w14:textId="77777777" w:rsidTr="00103DBC">
        <w:trPr>
          <w:trHeight w:val="385"/>
        </w:trPr>
        <w:tc>
          <w:tcPr>
            <w:tcW w:w="2978" w:type="dxa"/>
          </w:tcPr>
          <w:p w14:paraId="7CFA607F" w14:textId="77777777" w:rsidR="00BD69FE" w:rsidRPr="00103DBC" w:rsidRDefault="00BD69FE" w:rsidP="00103DBC">
            <w:pPr>
              <w:rPr>
                <w:b/>
              </w:rPr>
            </w:pPr>
            <w:r w:rsidRPr="00103DBC">
              <w:t>Reporting period</w:t>
            </w:r>
          </w:p>
        </w:tc>
        <w:tc>
          <w:tcPr>
            <w:tcW w:w="6469" w:type="dxa"/>
          </w:tcPr>
          <w:p w14:paraId="2C54EFD5" w14:textId="6DB9A492" w:rsidR="00BD69FE" w:rsidRPr="00103DBC" w:rsidRDefault="0097791C" w:rsidP="00103DBC">
            <w:r w:rsidRPr="00103DBC">
              <w:t>Annual</w:t>
            </w:r>
          </w:p>
        </w:tc>
      </w:tr>
      <w:tr w:rsidR="00103DBC" w:rsidRPr="00103DBC" w14:paraId="1B9AB236" w14:textId="77777777" w:rsidTr="00103DBC">
        <w:trPr>
          <w:trHeight w:val="596"/>
        </w:trPr>
        <w:tc>
          <w:tcPr>
            <w:tcW w:w="2978" w:type="dxa"/>
          </w:tcPr>
          <w:p w14:paraId="134ECB6F" w14:textId="77777777" w:rsidR="00BD69FE" w:rsidRPr="00103DBC" w:rsidRDefault="00BD69FE" w:rsidP="00103DBC">
            <w:pPr>
              <w:rPr>
                <w:b/>
              </w:rPr>
            </w:pPr>
            <w:r w:rsidRPr="00103DBC">
              <w:t>Geographical Coverage</w:t>
            </w:r>
          </w:p>
        </w:tc>
        <w:tc>
          <w:tcPr>
            <w:tcW w:w="6469" w:type="dxa"/>
          </w:tcPr>
          <w:p w14:paraId="50DF24FC" w14:textId="772C2739" w:rsidR="00BD69FE" w:rsidRPr="00103DBC" w:rsidRDefault="0095543E" w:rsidP="00103DBC">
            <w:r w:rsidRPr="00103DBC">
              <w:t>England</w:t>
            </w:r>
          </w:p>
        </w:tc>
      </w:tr>
      <w:tr w:rsidR="00103DBC" w:rsidRPr="00103DBC" w14:paraId="64620C9C" w14:textId="77777777" w:rsidTr="00103DBC">
        <w:trPr>
          <w:trHeight w:val="385"/>
        </w:trPr>
        <w:tc>
          <w:tcPr>
            <w:tcW w:w="2978" w:type="dxa"/>
          </w:tcPr>
          <w:p w14:paraId="55C73694" w14:textId="77777777" w:rsidR="00BD69FE" w:rsidRPr="00103DBC" w:rsidRDefault="00BD69FE" w:rsidP="00103DBC">
            <w:pPr>
              <w:rPr>
                <w:b/>
              </w:rPr>
            </w:pPr>
            <w:r w:rsidRPr="00103DBC">
              <w:t>Reporting level(s)</w:t>
            </w:r>
          </w:p>
        </w:tc>
        <w:tc>
          <w:tcPr>
            <w:tcW w:w="6469" w:type="dxa"/>
          </w:tcPr>
          <w:p w14:paraId="5685C1A0" w14:textId="670CC42A" w:rsidR="00BD69FE" w:rsidRPr="00103DBC" w:rsidRDefault="0095543E" w:rsidP="00103DBC">
            <w:r w:rsidRPr="00103DBC">
              <w:t>CCG</w:t>
            </w:r>
          </w:p>
        </w:tc>
      </w:tr>
      <w:tr w:rsidR="00103DBC" w:rsidRPr="00103DBC" w14:paraId="7A68395C" w14:textId="77777777" w:rsidTr="00103DBC">
        <w:trPr>
          <w:trHeight w:val="385"/>
        </w:trPr>
        <w:tc>
          <w:tcPr>
            <w:tcW w:w="2978" w:type="dxa"/>
          </w:tcPr>
          <w:p w14:paraId="4C73D882" w14:textId="77777777" w:rsidR="00BD69FE" w:rsidRPr="00103DBC" w:rsidRDefault="00BD69FE" w:rsidP="00103DBC">
            <w:pPr>
              <w:rPr>
                <w:b/>
              </w:rPr>
            </w:pPr>
            <w:r w:rsidRPr="00103DBC">
              <w:t>Based on data from</w:t>
            </w:r>
          </w:p>
        </w:tc>
        <w:tc>
          <w:tcPr>
            <w:tcW w:w="6469" w:type="dxa"/>
          </w:tcPr>
          <w:p w14:paraId="1345DE27" w14:textId="6B55E8EF" w:rsidR="00BD69FE" w:rsidRPr="00103DBC" w:rsidRDefault="001B2CB6" w:rsidP="00103DBC">
            <w:r w:rsidRPr="00103DBC">
              <w:t>Mental Health Minimum Da</w:t>
            </w:r>
            <w:r w:rsidR="00F07749" w:rsidRPr="00103DBC">
              <w:t>taset</w:t>
            </w:r>
          </w:p>
        </w:tc>
      </w:tr>
      <w:tr w:rsidR="00103DBC" w:rsidRPr="00103DBC" w14:paraId="1B0918A4" w14:textId="77777777" w:rsidTr="00103DBC">
        <w:trPr>
          <w:trHeight w:val="596"/>
        </w:trPr>
        <w:tc>
          <w:tcPr>
            <w:tcW w:w="2978" w:type="dxa"/>
          </w:tcPr>
          <w:p w14:paraId="137B4A4E" w14:textId="77777777" w:rsidR="009735F2" w:rsidRPr="00103DBC" w:rsidRDefault="009735F2" w:rsidP="009735F2">
            <w:pPr>
              <w:rPr>
                <w:b/>
              </w:rPr>
            </w:pPr>
            <w:r w:rsidRPr="00103DBC">
              <w:t>Contact Author Name</w:t>
            </w:r>
          </w:p>
        </w:tc>
        <w:tc>
          <w:tcPr>
            <w:tcW w:w="6469" w:type="dxa"/>
          </w:tcPr>
          <w:p w14:paraId="6119D392" w14:textId="77777777" w:rsidR="009735F2" w:rsidRPr="00103DBC" w:rsidRDefault="009735F2" w:rsidP="009735F2">
            <w:r w:rsidRPr="00103DBC">
              <w:t xml:space="preserve">NHS Digital Clinical Indicators team </w:t>
            </w:r>
          </w:p>
          <w:p w14:paraId="7BDE5252" w14:textId="77777777" w:rsidR="009735F2" w:rsidRPr="00103DBC" w:rsidRDefault="009735F2" w:rsidP="009735F2"/>
        </w:tc>
      </w:tr>
      <w:tr w:rsidR="00103DBC" w:rsidRPr="00103DBC" w14:paraId="12572889" w14:textId="77777777" w:rsidTr="00103DBC">
        <w:trPr>
          <w:trHeight w:val="584"/>
        </w:trPr>
        <w:tc>
          <w:tcPr>
            <w:tcW w:w="2978" w:type="dxa"/>
          </w:tcPr>
          <w:p w14:paraId="46C94C25" w14:textId="77777777" w:rsidR="009735F2" w:rsidRPr="00103DBC" w:rsidRDefault="009735F2" w:rsidP="009735F2">
            <w:pPr>
              <w:rPr>
                <w:b/>
              </w:rPr>
            </w:pPr>
            <w:r w:rsidRPr="00103DBC">
              <w:t>Contact Author Email</w:t>
            </w:r>
          </w:p>
        </w:tc>
        <w:tc>
          <w:tcPr>
            <w:tcW w:w="6469" w:type="dxa"/>
          </w:tcPr>
          <w:p w14:paraId="337B0AB9" w14:textId="36D672AA" w:rsidR="009735F2" w:rsidRPr="00103DBC" w:rsidRDefault="009735F2" w:rsidP="009735F2">
            <w:r w:rsidRPr="00103DBC">
              <w:t>Clinical.indicators@nhs.net</w:t>
            </w:r>
          </w:p>
        </w:tc>
      </w:tr>
      <w:tr w:rsidR="00103DBC" w:rsidRPr="00103DBC" w14:paraId="146CE663" w14:textId="77777777" w:rsidTr="00103DBC">
        <w:trPr>
          <w:trHeight w:val="187"/>
        </w:trPr>
        <w:tc>
          <w:tcPr>
            <w:tcW w:w="2978" w:type="dxa"/>
          </w:tcPr>
          <w:p w14:paraId="2471F2F3" w14:textId="77777777" w:rsidR="00BD69FE" w:rsidRPr="00103DBC" w:rsidRDefault="00BD69FE" w:rsidP="00103DBC">
            <w:pPr>
              <w:rPr>
                <w:b/>
              </w:rPr>
            </w:pPr>
            <w:r w:rsidRPr="00103DBC">
              <w:t>Rating</w:t>
            </w:r>
          </w:p>
        </w:tc>
        <w:tc>
          <w:tcPr>
            <w:tcW w:w="6469" w:type="dxa"/>
          </w:tcPr>
          <w:p w14:paraId="42821BAF" w14:textId="0DCC60EC" w:rsidR="00BD69FE" w:rsidRPr="00103DBC" w:rsidRDefault="000E6E20" w:rsidP="00103DBC">
            <w:r w:rsidRPr="00103DBC">
              <w:t>Assured</w:t>
            </w:r>
          </w:p>
        </w:tc>
      </w:tr>
      <w:tr w:rsidR="00103DBC" w:rsidRPr="00103DBC" w14:paraId="36C90CDC" w14:textId="77777777" w:rsidTr="00103DBC">
        <w:trPr>
          <w:trHeight w:val="397"/>
        </w:trPr>
        <w:tc>
          <w:tcPr>
            <w:tcW w:w="2978" w:type="dxa"/>
          </w:tcPr>
          <w:p w14:paraId="6DDE63CB" w14:textId="77777777" w:rsidR="00BD69FE" w:rsidRPr="00103DBC" w:rsidRDefault="00BD69FE" w:rsidP="00103DBC">
            <w:pPr>
              <w:rPr>
                <w:b/>
              </w:rPr>
            </w:pPr>
            <w:r w:rsidRPr="00103DBC">
              <w:t>Assurance date</w:t>
            </w:r>
          </w:p>
        </w:tc>
        <w:tc>
          <w:tcPr>
            <w:tcW w:w="6469" w:type="dxa"/>
          </w:tcPr>
          <w:p w14:paraId="07A7432F" w14:textId="27E1FF37" w:rsidR="00BD69FE" w:rsidRPr="00103DBC" w:rsidRDefault="00494DD1" w:rsidP="00103DBC">
            <w:r w:rsidRPr="00103DBC">
              <w:t>16/0</w:t>
            </w:r>
            <w:r w:rsidR="000E6E20" w:rsidRPr="00103DBC">
              <w:t>1</w:t>
            </w:r>
            <w:r w:rsidRPr="00103DBC">
              <w:t>/2014</w:t>
            </w:r>
          </w:p>
        </w:tc>
      </w:tr>
      <w:tr w:rsidR="00103DBC" w:rsidRPr="00103DBC" w14:paraId="2FD2A140" w14:textId="77777777" w:rsidTr="00103DBC">
        <w:trPr>
          <w:trHeight w:val="385"/>
        </w:trPr>
        <w:tc>
          <w:tcPr>
            <w:tcW w:w="2978" w:type="dxa"/>
          </w:tcPr>
          <w:p w14:paraId="71690B01" w14:textId="77777777" w:rsidR="00BD69FE" w:rsidRPr="00103DBC" w:rsidRDefault="00BD69FE" w:rsidP="00103DBC">
            <w:pPr>
              <w:rPr>
                <w:b/>
              </w:rPr>
            </w:pPr>
            <w:r w:rsidRPr="00103DBC">
              <w:t>Review date</w:t>
            </w:r>
          </w:p>
        </w:tc>
        <w:tc>
          <w:tcPr>
            <w:tcW w:w="6469" w:type="dxa"/>
          </w:tcPr>
          <w:p w14:paraId="65D82364" w14:textId="14169C68" w:rsidR="00BD69FE" w:rsidRPr="00103DBC" w:rsidRDefault="000E6E20" w:rsidP="00103DBC">
            <w:r w:rsidRPr="00103DBC">
              <w:t>16/01/201</w:t>
            </w:r>
            <w:r w:rsidR="00686E69" w:rsidRPr="00103DBC">
              <w:t>5</w:t>
            </w:r>
          </w:p>
        </w:tc>
      </w:tr>
      <w:tr w:rsidR="00103DBC" w:rsidRPr="00103DBC" w14:paraId="5F25EAD6" w14:textId="77777777" w:rsidTr="00103DBC">
        <w:trPr>
          <w:trHeight w:val="397"/>
        </w:trPr>
        <w:tc>
          <w:tcPr>
            <w:tcW w:w="2978" w:type="dxa"/>
          </w:tcPr>
          <w:p w14:paraId="154752B2" w14:textId="77777777" w:rsidR="00BD69FE" w:rsidRPr="00103DBC" w:rsidRDefault="00BD69FE" w:rsidP="00103DBC">
            <w:pPr>
              <w:rPr>
                <w:b/>
              </w:rPr>
            </w:pPr>
            <w:r w:rsidRPr="00103DBC">
              <w:t>Indicator set</w:t>
            </w:r>
          </w:p>
        </w:tc>
        <w:tc>
          <w:tcPr>
            <w:tcW w:w="6469" w:type="dxa"/>
          </w:tcPr>
          <w:p w14:paraId="6C3C44BD" w14:textId="571C3974" w:rsidR="00BD69FE" w:rsidRPr="00103DBC" w:rsidRDefault="0095543E" w:rsidP="00103DBC">
            <w:r w:rsidRPr="00103DBC">
              <w:t>CCG Outcome Indicator Set</w:t>
            </w:r>
          </w:p>
        </w:tc>
      </w:tr>
      <w:tr w:rsidR="00103DBC" w:rsidRPr="00103DBC" w14:paraId="6F4A3701" w14:textId="77777777" w:rsidTr="00103DBC">
        <w:trPr>
          <w:trHeight w:val="783"/>
        </w:trPr>
        <w:tc>
          <w:tcPr>
            <w:tcW w:w="2978" w:type="dxa"/>
          </w:tcPr>
          <w:p w14:paraId="42EBDFE1" w14:textId="77777777" w:rsidR="00BD69FE" w:rsidRPr="00103DBC" w:rsidRDefault="00BD69FE" w:rsidP="00103DBC">
            <w:pPr>
              <w:rPr>
                <w:b/>
              </w:rPr>
            </w:pPr>
            <w:r w:rsidRPr="00103DBC">
              <w:t xml:space="preserve">Brief Description </w:t>
            </w:r>
          </w:p>
          <w:p w14:paraId="71948065" w14:textId="16A4AEF9" w:rsidR="00BD69FE" w:rsidRPr="00103DBC" w:rsidRDefault="00BD69FE" w:rsidP="00103DBC">
            <w:pPr>
              <w:rPr>
                <w:b/>
              </w:rPr>
            </w:pPr>
          </w:p>
        </w:tc>
        <w:tc>
          <w:tcPr>
            <w:tcW w:w="6469" w:type="dxa"/>
          </w:tcPr>
          <w:p w14:paraId="690E93D5" w14:textId="5A0A7DCA" w:rsidR="00BD69FE" w:rsidRPr="00103DBC" w:rsidRDefault="0074120A" w:rsidP="00103DBC">
            <w:r w:rsidRPr="00103DBC">
              <w:t xml:space="preserve">This indicator provides an indication of the impact of long-term mental illness on employment among working age adults. The indicator is intended to measure improved employment outcomes for adults with mental health problems, reducing their risk of social exclusion and discrimination.  </w:t>
            </w:r>
          </w:p>
        </w:tc>
      </w:tr>
      <w:tr w:rsidR="00103DBC" w:rsidRPr="00103DBC" w14:paraId="30049EB2" w14:textId="77777777" w:rsidTr="00103DBC">
        <w:trPr>
          <w:trHeight w:val="3144"/>
        </w:trPr>
        <w:tc>
          <w:tcPr>
            <w:tcW w:w="2978" w:type="dxa"/>
          </w:tcPr>
          <w:p w14:paraId="4DB2E955" w14:textId="77777777" w:rsidR="00BD69FE" w:rsidRPr="00103DBC" w:rsidRDefault="00BD69FE" w:rsidP="00103DBC">
            <w:pPr>
              <w:rPr>
                <w:b/>
              </w:rPr>
            </w:pPr>
            <w:r w:rsidRPr="00103DBC">
              <w:t>Purpose</w:t>
            </w:r>
          </w:p>
        </w:tc>
        <w:tc>
          <w:tcPr>
            <w:tcW w:w="6469" w:type="dxa"/>
          </w:tcPr>
          <w:p w14:paraId="0D347111" w14:textId="77777777" w:rsidR="007F2AFF" w:rsidRPr="00103DBC" w:rsidRDefault="007F2AFF" w:rsidP="007F2AFF">
            <w:r w:rsidRPr="00103DBC">
              <w:t>This indicator forms part of Domain 3 - Helping people to recover from episodes of ill health or following injury and is intended to measure improved employment outcomes for adults with mental health problems, reducing their risk of social exclusion and discrimination. Employment outcomes demonstrate quality of life and are indicative that health and social care support are personalised. Employment is a wider determinate of health and social care inequalities. </w:t>
            </w:r>
          </w:p>
          <w:p w14:paraId="23CDC5D0" w14:textId="77777777" w:rsidR="007F2AFF" w:rsidRPr="00103DBC" w:rsidRDefault="007F2AFF" w:rsidP="007F2AFF"/>
          <w:p w14:paraId="7CE6AC50" w14:textId="2FE252F2" w:rsidR="00996B00" w:rsidRPr="00103DBC" w:rsidRDefault="007F2AFF" w:rsidP="007F2AFF">
            <w:r w:rsidRPr="00103DBC">
              <w:t>‘In employment’ refers to either an employee, self-employed, on Government employed and training programmes, or an unpaid family worker (in a family owned business), in accordance with the Labour Organization Definition of basic economic activity. This indicator does not include voluntary work in its numerator, although it is recognised that this form of employment may be beneficial to the recovery of people with mental health issues. </w:t>
            </w:r>
          </w:p>
          <w:p w14:paraId="0212BF0A" w14:textId="77777777" w:rsidR="007F2AFF" w:rsidRPr="00103DBC" w:rsidRDefault="007F2AFF" w:rsidP="007F2AFF"/>
          <w:p w14:paraId="198E5AC3" w14:textId="77777777" w:rsidR="00BD69FE" w:rsidRPr="00103DBC" w:rsidRDefault="00996B00" w:rsidP="007F2AFF">
            <w:r w:rsidRPr="00103DBC">
              <w:t xml:space="preserve">Using results from this indicator, CCGs could work with local authorities through health and well-being boards and other organisations to improve the opportunities for people with long-term mental health conditions to find suitable employment. This </w:t>
            </w:r>
            <w:r w:rsidRPr="00103DBC">
              <w:lastRenderedPageBreak/>
              <w:t>indicator could also help inform CCGs about the type, level, intensity and quantity of mental health services they need to commission.</w:t>
            </w:r>
          </w:p>
          <w:p w14:paraId="060A7EA2" w14:textId="77777777" w:rsidR="00C05CDF" w:rsidRPr="00103DBC" w:rsidRDefault="00C05CDF" w:rsidP="007F2AFF"/>
          <w:p w14:paraId="63AE47C8" w14:textId="6649B374" w:rsidR="00C05CDF" w:rsidRPr="00103DBC" w:rsidRDefault="00C05CDF" w:rsidP="007F2AFF">
            <w:r w:rsidRPr="00103DBC">
              <w:t>There is strong evidence that re-employment leads to improved self-esteem, improved general and mental health, and reduced psychological distress and minor psychiatric morbidity.  The magnitude of this improvement is comparable to the adverse effects of job loss.</w:t>
            </w:r>
          </w:p>
        </w:tc>
      </w:tr>
      <w:tr w:rsidR="00103DBC" w:rsidRPr="00103DBC" w14:paraId="54849C45" w14:textId="77777777" w:rsidTr="00103DBC">
        <w:trPr>
          <w:trHeight w:val="3144"/>
        </w:trPr>
        <w:tc>
          <w:tcPr>
            <w:tcW w:w="2978" w:type="dxa"/>
          </w:tcPr>
          <w:p w14:paraId="70E47248" w14:textId="77777777" w:rsidR="00BD69FE" w:rsidRPr="00103DBC" w:rsidRDefault="00BD69FE" w:rsidP="00103DBC">
            <w:pPr>
              <w:rPr>
                <w:b/>
              </w:rPr>
            </w:pPr>
            <w:r w:rsidRPr="00103DBC">
              <w:lastRenderedPageBreak/>
              <w:t>Definition</w:t>
            </w:r>
          </w:p>
        </w:tc>
        <w:tc>
          <w:tcPr>
            <w:tcW w:w="6469" w:type="dxa"/>
          </w:tcPr>
          <w:p w14:paraId="1093F2D4" w14:textId="77777777" w:rsidR="00905AD8" w:rsidRPr="00103DBC" w:rsidRDefault="00905AD8" w:rsidP="005C41B0">
            <w:r w:rsidRPr="00103DBC">
              <w:t>This indicator shows the percentage of adults receiving secondary mental health services in paid employment at the time of their most recent assessment, formal review or other multi-disciplinary care planning meeting. </w:t>
            </w:r>
          </w:p>
          <w:p w14:paraId="16D77514" w14:textId="77777777" w:rsidR="00905AD8" w:rsidRPr="00103DBC" w:rsidRDefault="00905AD8" w:rsidP="005C41B0">
            <w:r w:rsidRPr="00103DBC">
              <w:t> </w:t>
            </w:r>
          </w:p>
          <w:p w14:paraId="62B32D5F" w14:textId="77777777" w:rsidR="00905AD8" w:rsidRPr="00103DBC" w:rsidRDefault="00905AD8" w:rsidP="005C41B0">
            <w:r w:rsidRPr="00103DBC">
              <w:t>This indicator measures the proportion of adults receiving NHS funded community mental health, learning disabilities or autism services who are in employment, expressed as a percentage, split by CCG and Mental health care super cluster. </w:t>
            </w:r>
          </w:p>
          <w:p w14:paraId="0EE07CB1" w14:textId="77777777" w:rsidR="00905AD8" w:rsidRPr="00103DBC" w:rsidRDefault="00905AD8" w:rsidP="005C41B0">
            <w:r w:rsidRPr="00103DBC">
              <w:t> </w:t>
            </w:r>
          </w:p>
          <w:p w14:paraId="041C0005" w14:textId="4DC91A07" w:rsidR="00A92C54" w:rsidRPr="00103DBC" w:rsidRDefault="00905AD8" w:rsidP="005C41B0">
            <w:r w:rsidRPr="00103DBC">
              <w:t>The proportion of working age adults (aged 18 to 69), who have an open referral to NHS funded community mental health, learning disabilities or autism services at the end of the reporting period, whose record of employment associated with their most recent assessment, formal review, or other multi-disciplinary care planning meeting in the previous 12 months indicated that they were employed, expressed as a percentage with 95% confidence intervals (CI), split by CCG and Mental health care super cluster (for 2014/15 only)</w:t>
            </w:r>
            <w:r w:rsidR="005C41B0" w:rsidRPr="00103DBC">
              <w:t>.</w:t>
            </w:r>
          </w:p>
          <w:p w14:paraId="07013616" w14:textId="2BC8CE0F" w:rsidR="00BD69FE" w:rsidRPr="00103DBC" w:rsidRDefault="00BD69FE" w:rsidP="005C41B0"/>
        </w:tc>
      </w:tr>
      <w:tr w:rsidR="00103DBC" w:rsidRPr="00103DBC" w14:paraId="6E1036B1" w14:textId="77777777" w:rsidTr="00103DBC">
        <w:trPr>
          <w:trHeight w:val="1180"/>
        </w:trPr>
        <w:tc>
          <w:tcPr>
            <w:tcW w:w="2978" w:type="dxa"/>
          </w:tcPr>
          <w:p w14:paraId="3CE98FA2" w14:textId="77777777" w:rsidR="00BD69FE" w:rsidRPr="00103DBC" w:rsidRDefault="00BD69FE" w:rsidP="00103DBC">
            <w:pPr>
              <w:rPr>
                <w:b/>
              </w:rPr>
            </w:pPr>
            <w:r w:rsidRPr="00103DBC">
              <w:t>Data Source</w:t>
            </w:r>
          </w:p>
        </w:tc>
        <w:tc>
          <w:tcPr>
            <w:tcW w:w="6469" w:type="dxa"/>
          </w:tcPr>
          <w:p w14:paraId="14149C22" w14:textId="77777777" w:rsidR="00AE1906" w:rsidRPr="00103DBC" w:rsidRDefault="00AE1906" w:rsidP="00AE1906">
            <w:r w:rsidRPr="00103DBC">
              <w:t>MHMDS, v4.1 (HSCIC).</w:t>
            </w:r>
          </w:p>
          <w:p w14:paraId="75B68AB5" w14:textId="381333FF" w:rsidR="00AE1906" w:rsidRPr="00103DBC" w:rsidRDefault="00D41F0B" w:rsidP="00AE1906">
            <w:hyperlink r:id="rId8" w:history="1">
              <w:r w:rsidR="005C41B0" w:rsidRPr="00103DBC">
                <w:rPr>
                  <w:rStyle w:val="Hyperlink"/>
                  <w:color w:val="auto"/>
                </w:rPr>
                <w:t>http://www.hscic.gov.uk/media/10688/MHMDSv41UserGuidance/pdf/MHMDS_v4.1_User_Guidance.pdf</w:t>
              </w:r>
            </w:hyperlink>
            <w:r w:rsidR="005C41B0" w:rsidRPr="00103DBC">
              <w:t xml:space="preserve"> </w:t>
            </w:r>
          </w:p>
          <w:p w14:paraId="76F43118" w14:textId="77777777" w:rsidR="00AE1906" w:rsidRPr="00103DBC" w:rsidRDefault="00AE1906" w:rsidP="00AE1906"/>
          <w:p w14:paraId="6738187C" w14:textId="110C62ED" w:rsidR="00BD69FE" w:rsidRPr="00103DBC" w:rsidRDefault="00AE1906" w:rsidP="00AE1906">
            <w:r w:rsidRPr="00103DBC">
              <w:t>From April 2014, this will be superseded by the Mental Health and Learning Disabilities Dataset (MHLDDS), v1.0.</w:t>
            </w:r>
          </w:p>
        </w:tc>
      </w:tr>
      <w:tr w:rsidR="00103DBC" w:rsidRPr="00103DBC" w14:paraId="1EF5CCA7" w14:textId="77777777" w:rsidTr="00103DBC">
        <w:trPr>
          <w:trHeight w:val="584"/>
        </w:trPr>
        <w:tc>
          <w:tcPr>
            <w:tcW w:w="2978" w:type="dxa"/>
          </w:tcPr>
          <w:p w14:paraId="75E42FA3" w14:textId="77777777" w:rsidR="00BD69FE" w:rsidRPr="00103DBC" w:rsidRDefault="00BD69FE" w:rsidP="00103DBC">
            <w:pPr>
              <w:rPr>
                <w:b/>
              </w:rPr>
            </w:pPr>
            <w:r w:rsidRPr="00103DBC">
              <w:t>Numerator</w:t>
            </w:r>
          </w:p>
        </w:tc>
        <w:tc>
          <w:tcPr>
            <w:tcW w:w="6469" w:type="dxa"/>
          </w:tcPr>
          <w:p w14:paraId="4E048882" w14:textId="2976EEB4" w:rsidR="00BD69FE" w:rsidRPr="00103DBC" w:rsidRDefault="000578B9" w:rsidP="00103DBC">
            <w:r w:rsidRPr="00103DBC">
              <w:t>Numerator (X): Of people in the denominator, the number recorded as being in employment. The most recent record of employment status for the person during the financial year is used.</w:t>
            </w:r>
          </w:p>
        </w:tc>
      </w:tr>
      <w:tr w:rsidR="00103DBC" w:rsidRPr="00103DBC" w14:paraId="22216F2F" w14:textId="77777777" w:rsidTr="00103DBC">
        <w:trPr>
          <w:trHeight w:val="584"/>
        </w:trPr>
        <w:tc>
          <w:tcPr>
            <w:tcW w:w="2978" w:type="dxa"/>
          </w:tcPr>
          <w:p w14:paraId="6B547D53" w14:textId="77777777" w:rsidR="00BD69FE" w:rsidRPr="00103DBC" w:rsidRDefault="00BD69FE" w:rsidP="00103DBC">
            <w:pPr>
              <w:rPr>
                <w:b/>
              </w:rPr>
            </w:pPr>
            <w:r w:rsidRPr="00103DBC">
              <w:t>Denominator</w:t>
            </w:r>
          </w:p>
        </w:tc>
        <w:tc>
          <w:tcPr>
            <w:tcW w:w="6469" w:type="dxa"/>
          </w:tcPr>
          <w:p w14:paraId="2358D649" w14:textId="49CE7FD1" w:rsidR="00BD69FE" w:rsidRPr="00103DBC" w:rsidRDefault="000B237E" w:rsidP="00103DBC">
            <w:r w:rsidRPr="00103DBC">
              <w:t xml:space="preserve">Denominator (Y): </w:t>
            </w:r>
            <w:r w:rsidR="008E727F" w:rsidRPr="00103DBC">
              <w:t>CCG level count of</w:t>
            </w:r>
            <w:r w:rsidR="0047224C" w:rsidRPr="00103DBC">
              <w:t xml:space="preserve"> t</w:t>
            </w:r>
            <w:r w:rsidRPr="00103DBC">
              <w:t>he number of working age adults aged 18 to 69 who have received secondary mental health services at any point during the financial year.</w:t>
            </w:r>
          </w:p>
        </w:tc>
      </w:tr>
      <w:tr w:rsidR="00103DBC" w:rsidRPr="00103DBC" w14:paraId="5FC03589" w14:textId="77777777" w:rsidTr="00103DBC">
        <w:trPr>
          <w:trHeight w:val="3156"/>
        </w:trPr>
        <w:tc>
          <w:tcPr>
            <w:tcW w:w="2978" w:type="dxa"/>
          </w:tcPr>
          <w:p w14:paraId="21F9D9B3" w14:textId="77777777" w:rsidR="00BD69FE" w:rsidRPr="00103DBC" w:rsidRDefault="00BD69FE" w:rsidP="00103DBC">
            <w:pPr>
              <w:rPr>
                <w:b/>
              </w:rPr>
            </w:pPr>
            <w:r w:rsidRPr="00103DBC">
              <w:lastRenderedPageBreak/>
              <w:t>Calculation</w:t>
            </w:r>
          </w:p>
        </w:tc>
        <w:tc>
          <w:tcPr>
            <w:tcW w:w="6469" w:type="dxa"/>
          </w:tcPr>
          <w:p w14:paraId="571486CD" w14:textId="77777777" w:rsidR="004846E4" w:rsidRPr="00103DBC" w:rsidRDefault="004846E4" w:rsidP="004846E4">
            <w:r w:rsidRPr="00103DBC">
              <w:t>Calculated as a percentage at CCG level.</w:t>
            </w:r>
          </w:p>
          <w:p w14:paraId="49844841" w14:textId="77777777" w:rsidR="004846E4" w:rsidRPr="00103DBC" w:rsidRDefault="004846E4" w:rsidP="004846E4"/>
          <w:p w14:paraId="72D4C106" w14:textId="77777777" w:rsidR="004846E4" w:rsidRPr="00103DBC" w:rsidRDefault="004846E4" w:rsidP="004846E4">
            <w:r w:rsidRPr="00103DBC">
              <w:t xml:space="preserve">[ X / </w:t>
            </w:r>
            <w:proofErr w:type="gramStart"/>
            <w:r w:rsidRPr="00103DBC">
              <w:t>Y ]</w:t>
            </w:r>
            <w:proofErr w:type="gramEnd"/>
            <w:r w:rsidRPr="00103DBC">
              <w:t xml:space="preserve"> x 100 = The percentage of adults receiving secondary mental health services in paid employment, given by CCG.</w:t>
            </w:r>
          </w:p>
          <w:p w14:paraId="66FDF418" w14:textId="77777777" w:rsidR="004846E4" w:rsidRPr="00103DBC" w:rsidRDefault="004846E4" w:rsidP="004846E4"/>
          <w:p w14:paraId="378A32BB" w14:textId="77777777" w:rsidR="004846E4" w:rsidRPr="00103DBC" w:rsidRDefault="004846E4" w:rsidP="004846E4">
            <w:r w:rsidRPr="00103DBC">
              <w:t>Denominator (Y): The number of working age adults aged 18 to 69 who have received secondary mental health services at any point during the financial year.</w:t>
            </w:r>
          </w:p>
          <w:p w14:paraId="4BC90CFE" w14:textId="77777777" w:rsidR="004846E4" w:rsidRPr="00103DBC" w:rsidRDefault="004846E4" w:rsidP="004846E4"/>
          <w:p w14:paraId="7B045D0A" w14:textId="7AE8D7BC" w:rsidR="004846E4" w:rsidRPr="00103DBC" w:rsidRDefault="00F00583" w:rsidP="004846E4">
            <w:r w:rsidRPr="00103DBC">
              <w:t>A</w:t>
            </w:r>
            <w:r w:rsidR="004846E4" w:rsidRPr="00103DBC">
              <w:t xml:space="preserve">ge range consistent with PHOF indicator 1.08iii </w:t>
            </w:r>
            <w:proofErr w:type="spellStart"/>
            <w:r w:rsidR="004846E4" w:rsidRPr="00103DBC">
              <w:t>1.08iii</w:t>
            </w:r>
            <w:proofErr w:type="spellEnd"/>
            <w:r w:rsidR="004846E4" w:rsidRPr="00103DBC">
              <w:t xml:space="preserve"> - Gap in the employment rate for those in contact with secondary mental health services and the overall employment rate, and ASCOF (1F) Proportion of adults in contact with secondary mental health services in paid employment</w:t>
            </w:r>
          </w:p>
          <w:p w14:paraId="717230A1" w14:textId="77777777" w:rsidR="004846E4" w:rsidRPr="00103DBC" w:rsidRDefault="004846E4" w:rsidP="004846E4"/>
          <w:p w14:paraId="09215B82" w14:textId="61068D1D" w:rsidR="00BD69FE" w:rsidRPr="00103DBC" w:rsidRDefault="004846E4" w:rsidP="00542ADE">
            <w:r w:rsidRPr="00103DBC">
              <w:t>Numerator (X): Of people in the denominator, the number recorded as being in employment. The most recent record of employment status for the person during the financial year is used.</w:t>
            </w:r>
          </w:p>
        </w:tc>
      </w:tr>
      <w:tr w:rsidR="00103DBC" w:rsidRPr="00103DBC" w14:paraId="4E697DFD" w14:textId="77777777" w:rsidTr="00103DBC">
        <w:trPr>
          <w:trHeight w:val="3156"/>
        </w:trPr>
        <w:tc>
          <w:tcPr>
            <w:tcW w:w="2978" w:type="dxa"/>
          </w:tcPr>
          <w:p w14:paraId="431E676E" w14:textId="77777777" w:rsidR="00BD69FE" w:rsidRPr="00103DBC" w:rsidRDefault="00BD69FE" w:rsidP="00103DBC">
            <w:pPr>
              <w:rPr>
                <w:b/>
              </w:rPr>
            </w:pPr>
            <w:r w:rsidRPr="00103DBC">
              <w:t>Interpretation Guidelines</w:t>
            </w:r>
          </w:p>
        </w:tc>
        <w:tc>
          <w:tcPr>
            <w:tcW w:w="6469" w:type="dxa"/>
          </w:tcPr>
          <w:p w14:paraId="083C1A60" w14:textId="77777777" w:rsidR="00002674" w:rsidRPr="00103DBC" w:rsidRDefault="00002674" w:rsidP="00002674">
            <w:r w:rsidRPr="00103DBC">
              <w:t>This indicator may be influenced by the willingness of people with long-term mental health conditions to work.  This is likely to be affected by changes to financial incentives (including those implicit in the benefit system).</w:t>
            </w:r>
          </w:p>
          <w:p w14:paraId="04CC8D9A" w14:textId="77777777" w:rsidR="00002674" w:rsidRPr="00103DBC" w:rsidRDefault="00002674" w:rsidP="00002674"/>
          <w:p w14:paraId="3660ED51" w14:textId="77777777" w:rsidR="00002674" w:rsidRPr="00103DBC" w:rsidRDefault="00002674" w:rsidP="00002674">
            <w:r w:rsidRPr="00103DBC">
              <w:t>The ability of people with long-term mental health conditions to find employment will be greatly influenced by the general level of employment in their local area.  It is not currently possible to produce general employment statistics at CCG level however, so it is not possible to provide this as a direct comparison.</w:t>
            </w:r>
          </w:p>
          <w:p w14:paraId="3F7D01E2" w14:textId="77777777" w:rsidR="00002674" w:rsidRPr="00103DBC" w:rsidRDefault="00002674" w:rsidP="00002674"/>
          <w:p w14:paraId="39BE238D" w14:textId="77777777" w:rsidR="00002674" w:rsidRPr="00103DBC" w:rsidRDefault="00002674" w:rsidP="00002674">
            <w:r w:rsidRPr="00103DBC">
              <w:t>The indicator doesn’t take into consideration severity of mental health condition</w:t>
            </w:r>
          </w:p>
          <w:p w14:paraId="4E66BA01" w14:textId="77777777" w:rsidR="00002674" w:rsidRPr="00103DBC" w:rsidRDefault="00002674" w:rsidP="00002674"/>
          <w:p w14:paraId="0072C7D9" w14:textId="55FA93C6" w:rsidR="00BD69FE" w:rsidRPr="00103DBC" w:rsidRDefault="00002674" w:rsidP="00002674">
            <w:r w:rsidRPr="00103DBC">
              <w:t xml:space="preserve">The assignment of a CCG to a patient will be based on GP or practice code where possible and if not, then on the patient’s home postcode.  Where the patient’s practice and postcode are both unavailable, the responsible CCG is derived from the location of the hospital or trust.  As the numerator is a subset of the denominator, the same method will be used for any </w:t>
            </w:r>
            <w:proofErr w:type="gramStart"/>
            <w:r w:rsidRPr="00103DBC">
              <w:t>particular patient</w:t>
            </w:r>
            <w:proofErr w:type="gramEnd"/>
            <w:r w:rsidRPr="00103DBC">
              <w:t>.</w:t>
            </w:r>
          </w:p>
        </w:tc>
      </w:tr>
      <w:tr w:rsidR="00103DBC" w:rsidRPr="00103DBC" w14:paraId="0E3B7774" w14:textId="77777777" w:rsidTr="00103DBC">
        <w:trPr>
          <w:trHeight w:val="2033"/>
        </w:trPr>
        <w:tc>
          <w:tcPr>
            <w:tcW w:w="2978" w:type="dxa"/>
          </w:tcPr>
          <w:p w14:paraId="2326D945" w14:textId="77777777" w:rsidR="00BD69FE" w:rsidRPr="00103DBC" w:rsidRDefault="00BD69FE" w:rsidP="00103DBC">
            <w:pPr>
              <w:rPr>
                <w:b/>
              </w:rPr>
            </w:pPr>
            <w:r w:rsidRPr="00103DBC">
              <w:t>Caveats</w:t>
            </w:r>
          </w:p>
        </w:tc>
        <w:tc>
          <w:tcPr>
            <w:tcW w:w="6469" w:type="dxa"/>
          </w:tcPr>
          <w:p w14:paraId="0DEC814E" w14:textId="77777777" w:rsidR="00BD69FE" w:rsidRPr="00103DBC" w:rsidRDefault="0065376A" w:rsidP="000D2247">
            <w:pPr>
              <w:pStyle w:val="ListParagraph"/>
              <w:numPr>
                <w:ilvl w:val="0"/>
                <w:numId w:val="1"/>
              </w:numPr>
            </w:pPr>
            <w:r w:rsidRPr="00103DBC">
              <w:t>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 For example, a low rate for this indicator may be less significant in an area with high levels unemployment. </w:t>
            </w:r>
          </w:p>
          <w:p w14:paraId="04D5D1EF" w14:textId="7ABDC0DD" w:rsidR="00311EDB" w:rsidRPr="00103DBC" w:rsidRDefault="00DC79F9" w:rsidP="000D2247">
            <w:pPr>
              <w:pStyle w:val="ListParagraph"/>
              <w:numPr>
                <w:ilvl w:val="0"/>
                <w:numId w:val="1"/>
              </w:numPr>
            </w:pPr>
            <w:r w:rsidRPr="00103DBC">
              <w:t>There are known local variations in data quality, particularly in terms of completion of employment status</w:t>
            </w:r>
            <w:r w:rsidR="003A041E" w:rsidRPr="00103DBC">
              <w:t>.</w:t>
            </w:r>
          </w:p>
          <w:p w14:paraId="214902A3" w14:textId="77777777" w:rsidR="00BC1A3B" w:rsidRPr="00103DBC" w:rsidRDefault="00BC1A3B" w:rsidP="000D2247">
            <w:pPr>
              <w:pStyle w:val="ListParagraph"/>
              <w:numPr>
                <w:ilvl w:val="0"/>
                <w:numId w:val="1"/>
              </w:numPr>
            </w:pPr>
            <w:r w:rsidRPr="00103DBC">
              <w:t>Severity of mental illness is not accounted for in the indicator; it may be that less severely ill patients are managed in primary care and therefore not counted in this indicator. This may vary by CCG as different policies are applied. </w:t>
            </w:r>
          </w:p>
          <w:p w14:paraId="6045F34E" w14:textId="77777777" w:rsidR="00BC1A3B" w:rsidRPr="00103DBC" w:rsidRDefault="00A57976" w:rsidP="000D2247">
            <w:pPr>
              <w:pStyle w:val="ListParagraph"/>
              <w:numPr>
                <w:ilvl w:val="0"/>
                <w:numId w:val="1"/>
              </w:numPr>
            </w:pPr>
            <w:r w:rsidRPr="00103DBC">
              <w:lastRenderedPageBreak/>
              <w:t>Local variation in service provision between CCGs may have an impact on the indicator. </w:t>
            </w:r>
          </w:p>
          <w:p w14:paraId="2469E9CF" w14:textId="4526E049" w:rsidR="00A57976" w:rsidRPr="00103DBC" w:rsidRDefault="00B9518E" w:rsidP="000D2247">
            <w:pPr>
              <w:pStyle w:val="ListParagraph"/>
              <w:numPr>
                <w:ilvl w:val="0"/>
                <w:numId w:val="1"/>
              </w:numPr>
            </w:pPr>
            <w:r w:rsidRPr="00103DBC">
              <w:t xml:space="preserve">Data quality </w:t>
            </w:r>
            <w:r w:rsidR="00F54835" w:rsidRPr="00103DBC">
              <w:t>is currently poor and comparison at CCG level would not be possible</w:t>
            </w:r>
            <w:r w:rsidR="001625F6" w:rsidRPr="00103DBC">
              <w:t xml:space="preserve"> however it is hoped that the indicator will drive this up</w:t>
            </w:r>
            <w:r w:rsidR="00F54835" w:rsidRPr="00103DBC">
              <w:t xml:space="preserve">. </w:t>
            </w:r>
            <w:r w:rsidR="00995190" w:rsidRPr="00103DBC">
              <w:t>A data quality</w:t>
            </w:r>
            <w:r w:rsidR="001625F6" w:rsidRPr="00103DBC">
              <w:t xml:space="preserve"> improvement plan is to be put in place </w:t>
            </w:r>
            <w:r w:rsidR="00C44C97" w:rsidRPr="00103DBC">
              <w:t>at the time of renewal.</w:t>
            </w:r>
          </w:p>
        </w:tc>
      </w:tr>
    </w:tbl>
    <w:p w14:paraId="0F0CA932" w14:textId="41299B68" w:rsidR="000D2247" w:rsidRPr="00103DBC" w:rsidRDefault="000D2247" w:rsidP="00BD69FE">
      <w:pPr>
        <w:rPr>
          <w:b/>
        </w:rPr>
      </w:pPr>
    </w:p>
    <w:p w14:paraId="51E92AB8" w14:textId="77777777" w:rsidR="00103DBC" w:rsidRDefault="00103DBC">
      <w:pPr>
        <w:rPr>
          <w:b/>
        </w:rPr>
      </w:pPr>
      <w:r>
        <w:rPr>
          <w:b/>
        </w:rPr>
        <w:br w:type="page"/>
      </w:r>
    </w:p>
    <w:p w14:paraId="7918BBCB" w14:textId="77777777" w:rsidR="00103DBC" w:rsidRPr="00103DBC" w:rsidRDefault="00103DBC" w:rsidP="00103DBC">
      <w:pPr>
        <w:pStyle w:val="Frontpagesubhead"/>
        <w:rPr>
          <w:rFonts w:cs="Arial"/>
          <w:bCs/>
          <w:noProof/>
          <w:color w:val="auto"/>
          <w:sz w:val="24"/>
          <w:szCs w:val="24"/>
          <w:lang w:eastAsia="en-GB"/>
        </w:rPr>
      </w:pPr>
    </w:p>
    <w:p w14:paraId="775CF808" w14:textId="77777777" w:rsidR="00103DBC" w:rsidRDefault="00103DBC" w:rsidP="00103DBC">
      <w:pPr>
        <w:rPr>
          <w:b/>
          <w:sz w:val="24"/>
          <w:szCs w:val="24"/>
        </w:rPr>
      </w:pPr>
      <w:r w:rsidRPr="00103DBC">
        <w:rPr>
          <w:rFonts w:eastAsia="MS Mincho"/>
          <w:b/>
          <w:bCs/>
          <w:sz w:val="24"/>
          <w:szCs w:val="24"/>
        </w:rPr>
        <w:t>Application Form</w:t>
      </w:r>
      <w:r w:rsidRPr="00103DBC">
        <w:rPr>
          <w:b/>
          <w:sz w:val="24"/>
          <w:szCs w:val="24"/>
        </w:rPr>
        <w:t xml:space="preserve"> </w:t>
      </w:r>
    </w:p>
    <w:p w14:paraId="743BB1BB" w14:textId="44A43DEC" w:rsidR="000D2247" w:rsidRPr="00103DBC" w:rsidRDefault="000D2247" w:rsidP="00103DBC">
      <w:pPr>
        <w:rPr>
          <w:b/>
        </w:rPr>
      </w:pPr>
    </w:p>
    <w:tbl>
      <w:tblPr>
        <w:tblStyle w:val="TableGrid"/>
        <w:tblW w:w="0" w:type="auto"/>
        <w:tblLook w:val="04A0" w:firstRow="1" w:lastRow="0" w:firstColumn="1" w:lastColumn="0" w:noHBand="0" w:noVBand="1"/>
      </w:tblPr>
      <w:tblGrid>
        <w:gridCol w:w="2972"/>
        <w:gridCol w:w="6044"/>
      </w:tblGrid>
      <w:tr w:rsidR="00103DBC" w14:paraId="479DD3A2" w14:textId="77777777" w:rsidTr="00103DBC">
        <w:tc>
          <w:tcPr>
            <w:tcW w:w="2972" w:type="dxa"/>
          </w:tcPr>
          <w:p w14:paraId="602D6345" w14:textId="55EEBD2D" w:rsidR="00103DBC" w:rsidRDefault="00103DBC" w:rsidP="00103DBC">
            <w:pPr>
              <w:spacing w:before="240"/>
            </w:pPr>
            <w:r w:rsidRPr="00103DBC">
              <w:t>Title</w:t>
            </w:r>
          </w:p>
        </w:tc>
        <w:tc>
          <w:tcPr>
            <w:tcW w:w="6044" w:type="dxa"/>
          </w:tcPr>
          <w:p w14:paraId="48462F9F" w14:textId="77777777" w:rsidR="00103DBC" w:rsidRDefault="00103DBC" w:rsidP="00103DBC">
            <w:pPr>
              <w:spacing w:before="240"/>
            </w:pPr>
          </w:p>
        </w:tc>
      </w:tr>
      <w:tr w:rsidR="00103DBC" w14:paraId="375FE21D" w14:textId="77777777" w:rsidTr="00103DBC">
        <w:tc>
          <w:tcPr>
            <w:tcW w:w="2972" w:type="dxa"/>
          </w:tcPr>
          <w:p w14:paraId="0CCCC4C6" w14:textId="42DC4828" w:rsidR="00103DBC" w:rsidRDefault="00103DBC" w:rsidP="00103DBC">
            <w:pPr>
              <w:spacing w:before="240"/>
            </w:pPr>
            <w:r w:rsidRPr="00103DBC">
              <w:t>Set or domain</w:t>
            </w:r>
          </w:p>
        </w:tc>
        <w:tc>
          <w:tcPr>
            <w:tcW w:w="6044" w:type="dxa"/>
          </w:tcPr>
          <w:p w14:paraId="26A58805" w14:textId="17C8F416" w:rsidR="00103DBC" w:rsidRDefault="00103DBC" w:rsidP="00103DBC">
            <w:pPr>
              <w:spacing w:before="240"/>
            </w:pPr>
            <w:r w:rsidRPr="00103DBC">
              <w:t>CCG OIS 3.17</w:t>
            </w:r>
          </w:p>
        </w:tc>
      </w:tr>
      <w:tr w:rsidR="00103DBC" w14:paraId="3D509E84" w14:textId="77777777" w:rsidTr="00103DBC">
        <w:tc>
          <w:tcPr>
            <w:tcW w:w="2972" w:type="dxa"/>
          </w:tcPr>
          <w:p w14:paraId="74723225" w14:textId="1348A365" w:rsidR="00103DBC" w:rsidRDefault="00103DBC" w:rsidP="00103DBC">
            <w:pPr>
              <w:spacing w:before="240"/>
            </w:pPr>
            <w:r w:rsidRPr="00103DBC">
              <w:t>Topic area</w:t>
            </w:r>
          </w:p>
        </w:tc>
        <w:tc>
          <w:tcPr>
            <w:tcW w:w="6044" w:type="dxa"/>
          </w:tcPr>
          <w:p w14:paraId="5BFABDCF" w14:textId="77777777" w:rsidR="00103DBC" w:rsidRDefault="00103DBC" w:rsidP="00103DBC">
            <w:pPr>
              <w:spacing w:before="240"/>
            </w:pPr>
          </w:p>
        </w:tc>
      </w:tr>
      <w:tr w:rsidR="00103DBC" w14:paraId="68B3B0A0" w14:textId="77777777" w:rsidTr="00103DBC">
        <w:tc>
          <w:tcPr>
            <w:tcW w:w="2972" w:type="dxa"/>
          </w:tcPr>
          <w:p w14:paraId="58DE1281" w14:textId="64B12465" w:rsidR="00103DBC" w:rsidRDefault="00103DBC" w:rsidP="00103DBC">
            <w:pPr>
              <w:spacing w:before="240"/>
            </w:pPr>
            <w:r w:rsidRPr="00103DBC">
              <w:t>Definition</w:t>
            </w:r>
          </w:p>
        </w:tc>
        <w:tc>
          <w:tcPr>
            <w:tcW w:w="6044" w:type="dxa"/>
          </w:tcPr>
          <w:p w14:paraId="7ACE1433" w14:textId="77777777" w:rsidR="00103DBC" w:rsidRPr="00103DBC" w:rsidRDefault="00103DBC" w:rsidP="00103DBC">
            <w:pPr>
              <w:spacing w:before="240"/>
            </w:pPr>
            <w:r w:rsidRPr="00103DBC">
              <w:t>This indicator shows the percentage of adults receiving secondary mental health services in paid employment at the time of their most recent assessment, formal review or other multi-disciplinary care planning meeting.</w:t>
            </w:r>
          </w:p>
          <w:p w14:paraId="7CC6345E" w14:textId="77777777" w:rsidR="00103DBC" w:rsidRPr="00103DBC" w:rsidRDefault="00103DBC" w:rsidP="00103DBC">
            <w:pPr>
              <w:spacing w:before="240"/>
            </w:pPr>
            <w:r w:rsidRPr="00103DBC">
              <w:t>This indicator measures the proportion of adults receiving NHS funded community mental health, learning disabilities or autism services who are in employment, expressed as a percentage, split by CCG and Mental health care super cluster.</w:t>
            </w:r>
          </w:p>
          <w:p w14:paraId="5A78D5EC" w14:textId="134628DA" w:rsidR="00103DBC" w:rsidRDefault="00103DBC" w:rsidP="00103DBC">
            <w:pPr>
              <w:spacing w:before="240"/>
            </w:pPr>
            <w:r w:rsidRPr="00103DBC">
              <w:t>The proportion of working age adults (aged 18 to 69), who have an open referral to NHS funded community mental health, learning disabilities or autism services at the end of the reporting period, whose record of employment associated with their most recent assessment, formal review, or other multi-disciplinary care planning meeting in the previous 12 months indicated that they were employed, expressed as a percentage with 95% confidence intervals (CI), split by CCG and Mental health care super cluster (for 2014/15 only)</w:t>
            </w:r>
          </w:p>
        </w:tc>
      </w:tr>
      <w:tr w:rsidR="00103DBC" w14:paraId="78BB9F8E" w14:textId="77777777" w:rsidTr="00103DBC">
        <w:tc>
          <w:tcPr>
            <w:tcW w:w="2972" w:type="dxa"/>
          </w:tcPr>
          <w:p w14:paraId="508BC78F" w14:textId="477990ED" w:rsidR="00103DBC" w:rsidRDefault="00103DBC" w:rsidP="00103DBC">
            <w:pPr>
              <w:spacing w:before="240"/>
            </w:pPr>
            <w:r w:rsidRPr="00103DBC">
              <w:t>Indicator owner &amp; contact details</w:t>
            </w:r>
          </w:p>
        </w:tc>
        <w:tc>
          <w:tcPr>
            <w:tcW w:w="6044" w:type="dxa"/>
          </w:tcPr>
          <w:p w14:paraId="1D73A632" w14:textId="77777777" w:rsidR="00103DBC" w:rsidRDefault="00103DBC" w:rsidP="00103DBC">
            <w:pPr>
              <w:spacing w:before="240"/>
            </w:pPr>
          </w:p>
        </w:tc>
      </w:tr>
      <w:tr w:rsidR="00103DBC" w14:paraId="0EB8502F" w14:textId="77777777" w:rsidTr="00103DBC">
        <w:tc>
          <w:tcPr>
            <w:tcW w:w="2972" w:type="dxa"/>
          </w:tcPr>
          <w:p w14:paraId="50E51128" w14:textId="1DB9BBA7" w:rsidR="00103DBC" w:rsidRDefault="00103DBC" w:rsidP="00103DBC">
            <w:pPr>
              <w:spacing w:before="240"/>
            </w:pPr>
            <w:r w:rsidRPr="00103DBC">
              <w:t>Publication status</w:t>
            </w:r>
          </w:p>
        </w:tc>
        <w:sdt>
          <w:sdtPr>
            <w:alias w:val="Publication status"/>
            <w:tag w:val="Publication status"/>
            <w:id w:val="-694159432"/>
            <w:placeholder>
              <w:docPart w:val="64D9B5989F7E4AC2B86EC6A27B26F44B"/>
            </w:placeholder>
            <w:comboBox>
              <w:listItem w:value="Choose an item."/>
              <w:listItem w:displayText="Currently in publication" w:value="Currently in publication"/>
              <w:listItem w:displayText="Not currently in publication" w:value="Not currently in publication"/>
            </w:comboBox>
          </w:sdtPr>
          <w:sdtEndPr/>
          <w:sdtContent>
            <w:tc>
              <w:tcPr>
                <w:tcW w:w="6044" w:type="dxa"/>
              </w:tcPr>
              <w:p w14:paraId="7ED00E0F" w14:textId="7960AA31" w:rsidR="00103DBC" w:rsidRDefault="00103DBC" w:rsidP="00103DBC">
                <w:pPr>
                  <w:spacing w:before="240"/>
                </w:pPr>
                <w:r w:rsidRPr="00103DBC">
                  <w:t>Currently in publication</w:t>
                </w:r>
              </w:p>
            </w:tc>
          </w:sdtContent>
        </w:sdt>
      </w:tr>
      <w:tr w:rsidR="00103DBC" w14:paraId="7B2054D7" w14:textId="77777777" w:rsidTr="00103DBC">
        <w:tc>
          <w:tcPr>
            <w:tcW w:w="2972" w:type="dxa"/>
          </w:tcPr>
          <w:p w14:paraId="4FE8E2EE" w14:textId="1FA242CA" w:rsidR="00103DBC" w:rsidRDefault="00103DBC" w:rsidP="00103DBC">
            <w:pPr>
              <w:spacing w:before="240"/>
            </w:pPr>
            <w:r w:rsidRPr="00103DBC">
              <w:rPr>
                <w:b/>
              </w:rPr>
              <w:t>Purpose</w:t>
            </w:r>
          </w:p>
        </w:tc>
        <w:tc>
          <w:tcPr>
            <w:tcW w:w="6044" w:type="dxa"/>
          </w:tcPr>
          <w:p w14:paraId="2EE9139B" w14:textId="77777777" w:rsidR="00103DBC" w:rsidRPr="00103DBC" w:rsidRDefault="00103DBC" w:rsidP="00103DBC">
            <w:pPr>
              <w:spacing w:before="240"/>
            </w:pPr>
            <w:r w:rsidRPr="00103DBC">
              <w:t>The intended audience for the indicator is CCGs, the Department of Health, Provider Managers, Commissioning Managers, Clinicians, Patients and the Public.</w:t>
            </w:r>
          </w:p>
          <w:p w14:paraId="3EA1DB14" w14:textId="77777777" w:rsidR="00103DBC" w:rsidRPr="00103DBC" w:rsidRDefault="00103DBC" w:rsidP="00103DBC">
            <w:pPr>
              <w:spacing w:before="240"/>
            </w:pPr>
            <w:r w:rsidRPr="00103DBC">
              <w:t>This indicator forms part of Domain 3 - Helping people to recover from episodes of ill health or following injury and is intended to measure improved employment outcomes for adults with mental health problems, reducing their risk of social exclusion and discrimination. Employment outcomes demonstrate quality of life and are indicative that health and social care support are personalised. Employment is a wider determinate of health and social care inequalities.</w:t>
            </w:r>
          </w:p>
          <w:p w14:paraId="625E69D4" w14:textId="77777777" w:rsidR="00103DBC" w:rsidRPr="00103DBC" w:rsidRDefault="00103DBC" w:rsidP="00103DBC">
            <w:pPr>
              <w:spacing w:before="240"/>
            </w:pPr>
            <w:r w:rsidRPr="00103DBC">
              <w:t xml:space="preserve">‘In employment’ refers to either an employee, self-employed, on Government employed and training programmes, or an unpaid family worker (in a family owned business), in accordance with the Labour Organization </w:t>
            </w:r>
            <w:r w:rsidRPr="00103DBC">
              <w:lastRenderedPageBreak/>
              <w:t>Definition of basic economic activity. This indicator does not include voluntary work in its numerator, although it is recognised that this form of employment may be beneficial to the recovery of people with mental health issues.</w:t>
            </w:r>
          </w:p>
          <w:p w14:paraId="5B0EC281" w14:textId="77777777" w:rsidR="00103DBC" w:rsidRPr="00103DBC" w:rsidRDefault="00103DBC" w:rsidP="00103DBC">
            <w:pPr>
              <w:spacing w:before="240"/>
            </w:pPr>
            <w:r w:rsidRPr="00103DBC">
              <w:t>This indicator counts all patients who had an open mental health care spell in the MHSDS, not just those on the Care Programme Approach, which may be used in other frameworks.</w:t>
            </w:r>
          </w:p>
          <w:p w14:paraId="6048BC8F" w14:textId="77777777" w:rsidR="00103DBC" w:rsidRPr="00103DBC" w:rsidRDefault="00103DBC" w:rsidP="00103DBC">
            <w:pPr>
              <w:spacing w:before="240"/>
            </w:pPr>
          </w:p>
          <w:p w14:paraId="617690CA" w14:textId="77777777" w:rsidR="00103DBC" w:rsidRPr="00103DBC" w:rsidRDefault="00103DBC" w:rsidP="00103DBC">
            <w:pPr>
              <w:spacing w:before="240"/>
            </w:pPr>
            <w:r w:rsidRPr="00103DBC">
              <w:t>The link between employment and positive mental health is an important issue for the NHS, both in terms of supporting service users to recover from mental health conditions and for improving staff productivity.  It is estimated that between 10% and 16% of people with a mental health condition (excluding depression) are in employment. However, between 86% and 90% of this group want to work (Work, Recovery and Inclusion: Employment support for people in contact with secondary mental health services – National Mental Health Development Unit, based on 2001 ONS data). Meaningful work is integral to recovery.</w:t>
            </w:r>
          </w:p>
          <w:p w14:paraId="1C9D833B" w14:textId="77777777" w:rsidR="00103DBC" w:rsidRPr="00103DBC" w:rsidRDefault="00103DBC" w:rsidP="00103DBC">
            <w:pPr>
              <w:spacing w:before="240"/>
            </w:pPr>
            <w:r w:rsidRPr="00103DBC">
              <w:t>There is strong evidence that re-employment leads to improved self-esteem, improved general and mental health, and reduced psychological distress and minor psychiatric morbidity.  The magnitude of this improvement is comparable to the adverse effects of job loss.</w:t>
            </w:r>
          </w:p>
          <w:p w14:paraId="61C02CD9" w14:textId="77777777" w:rsidR="00103DBC" w:rsidRPr="00103DBC" w:rsidRDefault="00103DBC" w:rsidP="00103DBC">
            <w:r w:rsidRPr="00103DBC">
              <w:t>There is a broad consensus across multiple disciplines, disability groups, employers, unions, insurers and all political parties, based on extensive clinical experience and on principles of fairness and social justice.  When their health condition permits, sick and disabled people (particularly those with “common health problems”) should be encouraged and supported to remain in or to (re)-enter work as soon as possible because it:</w:t>
            </w:r>
          </w:p>
          <w:p w14:paraId="24856670" w14:textId="77777777" w:rsidR="00103DBC" w:rsidRPr="00103DBC" w:rsidRDefault="00103DBC" w:rsidP="00103DBC">
            <w:pPr>
              <w:pStyle w:val="ListParagraph"/>
              <w:numPr>
                <w:ilvl w:val="0"/>
                <w:numId w:val="5"/>
              </w:numPr>
              <w:contextualSpacing w:val="0"/>
              <w:textboxTightWrap w:val="lastLineOnly"/>
            </w:pPr>
            <w:r w:rsidRPr="00103DBC">
              <w:t xml:space="preserve">is </w:t>
            </w:r>
            <w:proofErr w:type="gramStart"/>
            <w:r w:rsidRPr="00103DBC">
              <w:t>therapeutic;</w:t>
            </w:r>
            <w:proofErr w:type="gramEnd"/>
          </w:p>
          <w:p w14:paraId="2CB795DB" w14:textId="77777777" w:rsidR="00103DBC" w:rsidRPr="00103DBC" w:rsidRDefault="00103DBC" w:rsidP="00103DBC">
            <w:pPr>
              <w:pStyle w:val="ListParagraph"/>
              <w:numPr>
                <w:ilvl w:val="0"/>
                <w:numId w:val="5"/>
              </w:numPr>
              <w:contextualSpacing w:val="0"/>
              <w:textboxTightWrap w:val="lastLineOnly"/>
            </w:pPr>
            <w:r w:rsidRPr="00103DBC">
              <w:t xml:space="preserve">helps to promote recovery and </w:t>
            </w:r>
            <w:proofErr w:type="gramStart"/>
            <w:r w:rsidRPr="00103DBC">
              <w:t>rehabilitation;</w:t>
            </w:r>
            <w:proofErr w:type="gramEnd"/>
          </w:p>
          <w:p w14:paraId="19FCAAC2" w14:textId="77777777" w:rsidR="00103DBC" w:rsidRPr="00103DBC" w:rsidRDefault="00103DBC" w:rsidP="00103DBC">
            <w:pPr>
              <w:pStyle w:val="ListParagraph"/>
              <w:numPr>
                <w:ilvl w:val="0"/>
                <w:numId w:val="5"/>
              </w:numPr>
              <w:contextualSpacing w:val="0"/>
              <w:textboxTightWrap w:val="lastLineOnly"/>
            </w:pPr>
            <w:r w:rsidRPr="00103DBC">
              <w:t xml:space="preserve">leads to better health </w:t>
            </w:r>
            <w:proofErr w:type="gramStart"/>
            <w:r w:rsidRPr="00103DBC">
              <w:t>outcomes;</w:t>
            </w:r>
            <w:proofErr w:type="gramEnd"/>
          </w:p>
          <w:p w14:paraId="0D2F90CC" w14:textId="77777777" w:rsidR="00103DBC" w:rsidRPr="00103DBC" w:rsidRDefault="00103DBC" w:rsidP="00103DBC">
            <w:pPr>
              <w:pStyle w:val="ListParagraph"/>
              <w:numPr>
                <w:ilvl w:val="0"/>
                <w:numId w:val="5"/>
              </w:numPr>
              <w:contextualSpacing w:val="0"/>
              <w:textboxTightWrap w:val="lastLineOnly"/>
            </w:pPr>
            <w:r w:rsidRPr="00103DBC">
              <w:t xml:space="preserve">minimises the harmful physical, mental and social effects of long-term sickness </w:t>
            </w:r>
            <w:proofErr w:type="gramStart"/>
            <w:r w:rsidRPr="00103DBC">
              <w:t>absence;</w:t>
            </w:r>
            <w:proofErr w:type="gramEnd"/>
          </w:p>
          <w:p w14:paraId="74D29E0D" w14:textId="77777777" w:rsidR="00103DBC" w:rsidRPr="00103DBC" w:rsidRDefault="00103DBC" w:rsidP="00103DBC">
            <w:pPr>
              <w:pStyle w:val="ListParagraph"/>
              <w:numPr>
                <w:ilvl w:val="0"/>
                <w:numId w:val="5"/>
              </w:numPr>
              <w:contextualSpacing w:val="0"/>
              <w:textboxTightWrap w:val="lastLineOnly"/>
            </w:pPr>
            <w:r w:rsidRPr="00103DBC">
              <w:t xml:space="preserve">reduces the risk of long-term </w:t>
            </w:r>
            <w:proofErr w:type="gramStart"/>
            <w:r w:rsidRPr="00103DBC">
              <w:t>incapacity;</w:t>
            </w:r>
            <w:proofErr w:type="gramEnd"/>
          </w:p>
          <w:p w14:paraId="4F063E8D" w14:textId="77777777" w:rsidR="00103DBC" w:rsidRPr="00103DBC" w:rsidRDefault="00103DBC" w:rsidP="00103DBC">
            <w:pPr>
              <w:pStyle w:val="ListParagraph"/>
              <w:numPr>
                <w:ilvl w:val="0"/>
                <w:numId w:val="5"/>
              </w:numPr>
              <w:contextualSpacing w:val="0"/>
              <w:textboxTightWrap w:val="lastLineOnly"/>
            </w:pPr>
            <w:r w:rsidRPr="00103DBC">
              <w:t xml:space="preserve">promotes full participation in society, independence and human </w:t>
            </w:r>
            <w:proofErr w:type="gramStart"/>
            <w:r w:rsidRPr="00103DBC">
              <w:t>rights;</w:t>
            </w:r>
            <w:proofErr w:type="gramEnd"/>
          </w:p>
          <w:p w14:paraId="3D9A7B5E" w14:textId="77777777" w:rsidR="00103DBC" w:rsidRPr="00103DBC" w:rsidRDefault="00103DBC" w:rsidP="00103DBC">
            <w:pPr>
              <w:pStyle w:val="ListParagraph"/>
              <w:numPr>
                <w:ilvl w:val="0"/>
                <w:numId w:val="5"/>
              </w:numPr>
              <w:contextualSpacing w:val="0"/>
              <w:textboxTightWrap w:val="lastLineOnly"/>
            </w:pPr>
            <w:r w:rsidRPr="00103DBC">
              <w:t xml:space="preserve">reduces </w:t>
            </w:r>
            <w:proofErr w:type="gramStart"/>
            <w:r w:rsidRPr="00103DBC">
              <w:t>poverty;</w:t>
            </w:r>
            <w:proofErr w:type="gramEnd"/>
          </w:p>
          <w:p w14:paraId="6A7B9E50" w14:textId="77777777" w:rsidR="00103DBC" w:rsidRPr="00103DBC" w:rsidRDefault="00103DBC" w:rsidP="00103DBC">
            <w:pPr>
              <w:pStyle w:val="ListParagraph"/>
              <w:numPr>
                <w:ilvl w:val="0"/>
                <w:numId w:val="5"/>
              </w:numPr>
              <w:contextualSpacing w:val="0"/>
              <w:textboxTightWrap w:val="lastLineOnly"/>
            </w:pPr>
            <w:r w:rsidRPr="00103DBC">
              <w:t>improves quality of life and well-being.</w:t>
            </w:r>
          </w:p>
          <w:p w14:paraId="237542BF" w14:textId="77777777" w:rsidR="00103DBC" w:rsidRPr="00103DBC" w:rsidRDefault="00103DBC" w:rsidP="00103DBC">
            <w:pPr>
              <w:spacing w:before="240"/>
            </w:pPr>
            <w:r w:rsidRPr="00103DBC">
              <w:t>This indicator provides a good indication of the impact of long-term mental illness on employment among working age adults.</w:t>
            </w:r>
          </w:p>
          <w:p w14:paraId="648E7180" w14:textId="77777777" w:rsidR="00103DBC" w:rsidRPr="00103DBC" w:rsidRDefault="00103DBC" w:rsidP="00103DBC">
            <w:pPr>
              <w:spacing w:before="240"/>
            </w:pPr>
            <w:r w:rsidRPr="00103DBC">
              <w:t xml:space="preserve">It should be expected that there would be improved functional ability, through employment, in people with </w:t>
            </w:r>
            <w:r w:rsidRPr="00103DBC">
              <w:lastRenderedPageBreak/>
              <w:t xml:space="preserve">mental illness.  If people </w:t>
            </w:r>
            <w:proofErr w:type="gramStart"/>
            <w:r w:rsidRPr="00103DBC">
              <w:t>are able to</w:t>
            </w:r>
            <w:proofErr w:type="gramEnd"/>
            <w:r w:rsidRPr="00103DBC">
              <w:t xml:space="preserve"> find employment when they want, they will find it easier to maintain a family and social life and contribute to community life, and in doing so, avoid loneliness or isolation.</w:t>
            </w:r>
          </w:p>
          <w:p w14:paraId="47A52CB7" w14:textId="77777777" w:rsidR="00103DBC" w:rsidRPr="00103DBC" w:rsidRDefault="00103DBC" w:rsidP="00103DBC">
            <w:pPr>
              <w:spacing w:before="240"/>
            </w:pPr>
            <w:r w:rsidRPr="00103DBC">
              <w:t>The indicator is intended to measure improved employment outcomes for adults with mental health problems, reducing their risk of social exclusion and discrimination.  Supporting someone with their employment aspirations is a key part of the recovery process.</w:t>
            </w:r>
          </w:p>
          <w:p w14:paraId="26B153EE" w14:textId="77777777" w:rsidR="00103DBC" w:rsidRPr="00103DBC" w:rsidRDefault="00103DBC" w:rsidP="00103DBC">
            <w:pPr>
              <w:spacing w:before="240"/>
            </w:pPr>
            <w:r w:rsidRPr="00103DBC">
              <w:t>CCGs could work with local authorities through health and well-being boards and other organisations to improve the opportunities for people with long-term mental health conditions to find suitable employment opportunities.</w:t>
            </w:r>
          </w:p>
          <w:p w14:paraId="3456A5B8" w14:textId="7BED9711" w:rsidR="00103DBC" w:rsidRDefault="00103DBC" w:rsidP="00103DBC">
            <w:pPr>
              <w:spacing w:before="240"/>
            </w:pPr>
            <w:r w:rsidRPr="00103DBC">
              <w:t>This indicator could also help inform CCGs about the type, level, intensity and quantity of mental health services they need to commission.</w:t>
            </w:r>
          </w:p>
        </w:tc>
      </w:tr>
      <w:tr w:rsidR="00103DBC" w14:paraId="6D0FD017" w14:textId="77777777" w:rsidTr="00103DBC">
        <w:tc>
          <w:tcPr>
            <w:tcW w:w="2972" w:type="dxa"/>
          </w:tcPr>
          <w:p w14:paraId="2263A382" w14:textId="64C95D90" w:rsidR="00103DBC" w:rsidRDefault="00103DBC" w:rsidP="00103DBC">
            <w:pPr>
              <w:spacing w:before="240"/>
            </w:pPr>
            <w:r w:rsidRPr="00103DBC">
              <w:rPr>
                <w:b/>
              </w:rPr>
              <w:lastRenderedPageBreak/>
              <w:t>Sponsor</w:t>
            </w:r>
          </w:p>
        </w:tc>
        <w:tc>
          <w:tcPr>
            <w:tcW w:w="6044" w:type="dxa"/>
          </w:tcPr>
          <w:p w14:paraId="63847F2D" w14:textId="77777777" w:rsidR="00103DBC" w:rsidRDefault="00103DBC" w:rsidP="00103DBC">
            <w:pPr>
              <w:spacing w:before="240"/>
            </w:pPr>
          </w:p>
        </w:tc>
      </w:tr>
      <w:tr w:rsidR="00103DBC" w14:paraId="6C55A90F" w14:textId="77777777" w:rsidTr="00103DBC">
        <w:tc>
          <w:tcPr>
            <w:tcW w:w="2972" w:type="dxa"/>
          </w:tcPr>
          <w:p w14:paraId="37C5FDEF" w14:textId="2D439C7C" w:rsidR="00103DBC" w:rsidRPr="00103DBC" w:rsidRDefault="00103DBC" w:rsidP="00103DBC">
            <w:pPr>
              <w:spacing w:before="240"/>
              <w:rPr>
                <w:b/>
              </w:rPr>
            </w:pPr>
            <w:r w:rsidRPr="00103DBC">
              <w:rPr>
                <w:b/>
              </w:rPr>
              <w:t>Endorsement</w:t>
            </w:r>
          </w:p>
        </w:tc>
        <w:tc>
          <w:tcPr>
            <w:tcW w:w="6044" w:type="dxa"/>
          </w:tcPr>
          <w:p w14:paraId="41AB868D" w14:textId="77777777" w:rsidR="00103DBC" w:rsidRDefault="00103DBC" w:rsidP="00103DBC">
            <w:pPr>
              <w:spacing w:before="240"/>
            </w:pPr>
          </w:p>
        </w:tc>
      </w:tr>
      <w:tr w:rsidR="00103DBC" w14:paraId="7C22196A" w14:textId="77777777" w:rsidTr="00103DBC">
        <w:tc>
          <w:tcPr>
            <w:tcW w:w="2972" w:type="dxa"/>
          </w:tcPr>
          <w:p w14:paraId="4335EB6C" w14:textId="77777777" w:rsidR="00103DBC" w:rsidRPr="00103DBC" w:rsidRDefault="00103DBC" w:rsidP="00103DBC">
            <w:pPr>
              <w:spacing w:before="240"/>
              <w:rPr>
                <w:b/>
              </w:rPr>
            </w:pPr>
            <w:r w:rsidRPr="00103DBC">
              <w:rPr>
                <w:b/>
              </w:rPr>
              <w:t>Evidence and Policy base</w:t>
            </w:r>
          </w:p>
          <w:p w14:paraId="0FD5988B" w14:textId="06956814" w:rsidR="00103DBC" w:rsidRPr="00103DBC" w:rsidRDefault="00103DBC" w:rsidP="00103DBC">
            <w:pPr>
              <w:spacing w:before="240"/>
              <w:rPr>
                <w:b/>
              </w:rPr>
            </w:pPr>
            <w:r w:rsidRPr="00103DBC">
              <w:t>Including related national incentives, critical business question, NICE quality standard and set or domain rationale, if appropriate</w:t>
            </w:r>
          </w:p>
        </w:tc>
        <w:tc>
          <w:tcPr>
            <w:tcW w:w="6044" w:type="dxa"/>
          </w:tcPr>
          <w:p w14:paraId="2CC67293" w14:textId="77777777" w:rsidR="00103DBC" w:rsidRPr="00103DBC" w:rsidRDefault="00103DBC" w:rsidP="00103DBC">
            <w:pPr>
              <w:spacing w:before="240"/>
            </w:pPr>
            <w:r w:rsidRPr="00103DBC">
              <w:t xml:space="preserve">The 2006 evidence review by Waddell and Burton </w:t>
            </w:r>
            <w:r w:rsidRPr="00103DBC">
              <w:rPr>
                <w:i/>
              </w:rPr>
              <w:t>Is work good for your health and well-being?</w:t>
            </w:r>
            <w:r w:rsidRPr="00103DBC">
              <w:t xml:space="preserve"> (commissioned by the Department for Work and Pensions) concluded that work was generally good for both physical and mental health and well-being. </w:t>
            </w:r>
          </w:p>
          <w:p w14:paraId="54264ACA" w14:textId="77777777" w:rsidR="00103DBC" w:rsidRPr="00103DBC" w:rsidRDefault="00103DBC" w:rsidP="00103DBC">
            <w:r w:rsidRPr="00103DBC">
              <w:t>The review found a strong association between worklessness and poor health.  This may be partly a health selection effect, but it is also to a large extent cause and effect.  There is strong evidence that unemployment is generally harmful to health, including:</w:t>
            </w:r>
            <w:r w:rsidRPr="00103DBC">
              <w:br/>
            </w:r>
          </w:p>
          <w:p w14:paraId="5C101BF8" w14:textId="77777777" w:rsidR="00103DBC" w:rsidRPr="00103DBC" w:rsidRDefault="00103DBC" w:rsidP="00103DBC">
            <w:pPr>
              <w:pStyle w:val="ListParagraph"/>
              <w:numPr>
                <w:ilvl w:val="0"/>
                <w:numId w:val="3"/>
              </w:numPr>
              <w:ind w:left="714" w:hanging="357"/>
              <w:contextualSpacing w:val="0"/>
              <w:textboxTightWrap w:val="lastLineOnly"/>
            </w:pPr>
            <w:r w:rsidRPr="00103DBC">
              <w:t xml:space="preserve">higher </w:t>
            </w:r>
            <w:proofErr w:type="gramStart"/>
            <w:r w:rsidRPr="00103DBC">
              <w:t>mortality;</w:t>
            </w:r>
            <w:proofErr w:type="gramEnd"/>
          </w:p>
          <w:p w14:paraId="710DEB35" w14:textId="77777777" w:rsidR="00103DBC" w:rsidRPr="00103DBC" w:rsidRDefault="00103DBC" w:rsidP="00103DBC">
            <w:pPr>
              <w:pStyle w:val="ListParagraph"/>
              <w:numPr>
                <w:ilvl w:val="0"/>
                <w:numId w:val="3"/>
              </w:numPr>
              <w:ind w:left="714" w:hanging="357"/>
              <w:contextualSpacing w:val="0"/>
              <w:textboxTightWrap w:val="lastLineOnly"/>
            </w:pPr>
            <w:r w:rsidRPr="00103DBC">
              <w:t xml:space="preserve">poorer general health, long-standing illness, limiting longstanding </w:t>
            </w:r>
            <w:proofErr w:type="gramStart"/>
            <w:r w:rsidRPr="00103DBC">
              <w:t>illness;</w:t>
            </w:r>
            <w:proofErr w:type="gramEnd"/>
          </w:p>
          <w:p w14:paraId="3E054298" w14:textId="77777777" w:rsidR="00103DBC" w:rsidRPr="00103DBC" w:rsidRDefault="00103DBC" w:rsidP="00103DBC">
            <w:pPr>
              <w:pStyle w:val="ListParagraph"/>
              <w:numPr>
                <w:ilvl w:val="0"/>
                <w:numId w:val="3"/>
              </w:numPr>
              <w:ind w:left="714" w:hanging="357"/>
              <w:contextualSpacing w:val="0"/>
              <w:textboxTightWrap w:val="lastLineOnly"/>
            </w:pPr>
            <w:r w:rsidRPr="00103DBC">
              <w:t xml:space="preserve">poorer mental health, psychological distress, minor psychological/psychiatric </w:t>
            </w:r>
            <w:proofErr w:type="gramStart"/>
            <w:r w:rsidRPr="00103DBC">
              <w:t>morbidity;</w:t>
            </w:r>
            <w:proofErr w:type="gramEnd"/>
          </w:p>
          <w:p w14:paraId="6AD8A240" w14:textId="77777777" w:rsidR="00103DBC" w:rsidRPr="00103DBC" w:rsidRDefault="00103DBC" w:rsidP="00103DBC">
            <w:pPr>
              <w:pStyle w:val="ListParagraph"/>
              <w:numPr>
                <w:ilvl w:val="0"/>
                <w:numId w:val="3"/>
              </w:numPr>
              <w:ind w:left="714" w:hanging="357"/>
              <w:contextualSpacing w:val="0"/>
              <w:textboxTightWrap w:val="lastLineOnly"/>
            </w:pPr>
            <w:r w:rsidRPr="00103DBC">
              <w:t>higher medical consultation, medication consumption and hospital admission rates.</w:t>
            </w:r>
          </w:p>
          <w:p w14:paraId="13D553B5" w14:textId="77777777" w:rsidR="00103DBC" w:rsidRPr="00103DBC" w:rsidRDefault="00103DBC" w:rsidP="00103DBC"/>
          <w:p w14:paraId="79F9144D" w14:textId="77777777" w:rsidR="00103DBC" w:rsidRPr="00103DBC" w:rsidRDefault="00103DBC" w:rsidP="00103DBC">
            <w:r w:rsidRPr="00103DBC">
              <w:t>The review also found that, overall:</w:t>
            </w:r>
          </w:p>
          <w:p w14:paraId="638CCE19" w14:textId="77777777" w:rsidR="00103DBC" w:rsidRPr="00103DBC" w:rsidRDefault="00103DBC" w:rsidP="00103DBC">
            <w:pPr>
              <w:pStyle w:val="ListParagraph"/>
              <w:numPr>
                <w:ilvl w:val="0"/>
                <w:numId w:val="4"/>
              </w:numPr>
              <w:contextualSpacing w:val="0"/>
              <w:textboxTightWrap w:val="lastLineOnly"/>
            </w:pPr>
            <w:r w:rsidRPr="00103DBC">
              <w:t xml:space="preserve">work is beneficial to health and </w:t>
            </w:r>
            <w:proofErr w:type="gramStart"/>
            <w:r w:rsidRPr="00103DBC">
              <w:t>well-being;</w:t>
            </w:r>
            <w:proofErr w:type="gramEnd"/>
          </w:p>
          <w:p w14:paraId="2BCB864D" w14:textId="77777777" w:rsidR="00103DBC" w:rsidRPr="00103DBC" w:rsidRDefault="00103DBC" w:rsidP="00103DBC">
            <w:pPr>
              <w:pStyle w:val="ListParagraph"/>
              <w:numPr>
                <w:ilvl w:val="0"/>
                <w:numId w:val="4"/>
              </w:numPr>
              <w:contextualSpacing w:val="0"/>
              <w:textboxTightWrap w:val="lastLineOnly"/>
            </w:pPr>
            <w:r w:rsidRPr="00103DBC">
              <w:t xml:space="preserve">lack of work is detrimental to health and </w:t>
            </w:r>
            <w:proofErr w:type="gramStart"/>
            <w:r w:rsidRPr="00103DBC">
              <w:t>well-being;</w:t>
            </w:r>
            <w:proofErr w:type="gramEnd"/>
          </w:p>
          <w:p w14:paraId="39EBFD0F" w14:textId="77777777" w:rsidR="00103DBC" w:rsidRPr="00103DBC" w:rsidRDefault="00103DBC" w:rsidP="00103DBC">
            <w:pPr>
              <w:pStyle w:val="ListParagraph"/>
              <w:numPr>
                <w:ilvl w:val="0"/>
                <w:numId w:val="4"/>
              </w:numPr>
              <w:contextualSpacing w:val="0"/>
              <w:textboxTightWrap w:val="lastLineOnly"/>
            </w:pPr>
            <w:r w:rsidRPr="00103DBC">
              <w:t xml:space="preserve">for people without work, re-employment leads to improvement in health and well-being and further unemployment leads to </w:t>
            </w:r>
            <w:proofErr w:type="gramStart"/>
            <w:r w:rsidRPr="00103DBC">
              <w:t>deterioration;</w:t>
            </w:r>
            <w:proofErr w:type="gramEnd"/>
          </w:p>
          <w:p w14:paraId="2D57EE0F" w14:textId="77777777" w:rsidR="00103DBC" w:rsidRPr="00103DBC" w:rsidRDefault="00103DBC" w:rsidP="00103DBC">
            <w:pPr>
              <w:pStyle w:val="ListParagraph"/>
              <w:numPr>
                <w:ilvl w:val="0"/>
                <w:numId w:val="4"/>
              </w:numPr>
              <w:contextualSpacing w:val="0"/>
              <w:textboxTightWrap w:val="lastLineOnly"/>
            </w:pPr>
            <w:r w:rsidRPr="00103DBC">
              <w:t xml:space="preserve">for people who are sick or disabled, placement in work improves health and psychosocial </w:t>
            </w:r>
            <w:proofErr w:type="gramStart"/>
            <w:r w:rsidRPr="00103DBC">
              <w:t>status;</w:t>
            </w:r>
            <w:proofErr w:type="gramEnd"/>
          </w:p>
          <w:p w14:paraId="2154857A" w14:textId="77777777" w:rsidR="00103DBC" w:rsidRPr="00103DBC" w:rsidRDefault="00103DBC" w:rsidP="00103DBC">
            <w:pPr>
              <w:pStyle w:val="ListParagraph"/>
              <w:numPr>
                <w:ilvl w:val="0"/>
                <w:numId w:val="4"/>
              </w:numPr>
              <w:contextualSpacing w:val="0"/>
              <w:textboxTightWrap w:val="lastLineOnly"/>
            </w:pPr>
            <w:r w:rsidRPr="00103DBC">
              <w:t xml:space="preserve">the health status of people of all ages who move off welfare benefits </w:t>
            </w:r>
            <w:proofErr w:type="gramStart"/>
            <w:r w:rsidRPr="00103DBC">
              <w:t>improves;</w:t>
            </w:r>
            <w:proofErr w:type="gramEnd"/>
          </w:p>
          <w:p w14:paraId="42914C7F" w14:textId="77777777" w:rsidR="00103DBC" w:rsidRPr="00103DBC" w:rsidRDefault="00103DBC" w:rsidP="00103DBC">
            <w:pPr>
              <w:pStyle w:val="ListParagraph"/>
              <w:numPr>
                <w:ilvl w:val="0"/>
                <w:numId w:val="4"/>
              </w:numPr>
              <w:contextualSpacing w:val="0"/>
              <w:textboxTightWrap w:val="lastLineOnly"/>
            </w:pPr>
            <w:r w:rsidRPr="00103DBC">
              <w:lastRenderedPageBreak/>
              <w:t>these benefits apply equally to people who have mental health problems, including those with severe mental health problems.  There is no evidence that work is harmful to the mental health of people with severe mental illness.</w:t>
            </w:r>
          </w:p>
          <w:p w14:paraId="1049D94D" w14:textId="77777777" w:rsidR="00103DBC" w:rsidRDefault="00103DBC" w:rsidP="00103DBC">
            <w:pPr>
              <w:spacing w:before="240"/>
            </w:pPr>
          </w:p>
        </w:tc>
      </w:tr>
      <w:tr w:rsidR="00103DBC" w14:paraId="3F9DEF9B" w14:textId="77777777" w:rsidTr="00103DBC">
        <w:tc>
          <w:tcPr>
            <w:tcW w:w="2972" w:type="dxa"/>
          </w:tcPr>
          <w:p w14:paraId="784EF2A0" w14:textId="04584341" w:rsidR="00103DBC" w:rsidRPr="00103DBC" w:rsidRDefault="00103DBC" w:rsidP="00103DBC">
            <w:pPr>
              <w:spacing w:before="240"/>
              <w:rPr>
                <w:b/>
              </w:rPr>
            </w:pPr>
            <w:r w:rsidRPr="00103DBC">
              <w:rPr>
                <w:b/>
              </w:rPr>
              <w:lastRenderedPageBreak/>
              <w:t>Data source</w:t>
            </w:r>
          </w:p>
        </w:tc>
        <w:tc>
          <w:tcPr>
            <w:tcW w:w="6044" w:type="dxa"/>
          </w:tcPr>
          <w:p w14:paraId="07BED92B" w14:textId="4918BA90" w:rsidR="00103DBC" w:rsidRPr="00103DBC" w:rsidRDefault="00103DBC" w:rsidP="00103DBC">
            <w:pPr>
              <w:spacing w:before="240"/>
            </w:pPr>
            <w:r w:rsidRPr="00103DBC">
              <w:t xml:space="preserve">Mental Health Services Data Set (MHSDS): </w:t>
            </w:r>
            <w:hyperlink r:id="rId9" w:history="1">
              <w:r w:rsidRPr="00103DBC">
                <w:rPr>
                  <w:rStyle w:val="Hyperlink"/>
                  <w:color w:val="auto"/>
                </w:rPr>
                <w:t>http://content.digital.nhs.uk/mhsds</w:t>
              </w:r>
            </w:hyperlink>
            <w:r w:rsidRPr="00103DBC">
              <w:t xml:space="preserve">  </w:t>
            </w:r>
          </w:p>
        </w:tc>
      </w:tr>
      <w:tr w:rsidR="00103DBC" w14:paraId="451FCD16" w14:textId="77777777" w:rsidTr="00103DBC">
        <w:tc>
          <w:tcPr>
            <w:tcW w:w="2972" w:type="dxa"/>
          </w:tcPr>
          <w:p w14:paraId="0BA01F85" w14:textId="700B9713" w:rsidR="00103DBC" w:rsidRPr="00103DBC" w:rsidRDefault="00103DBC" w:rsidP="00103DBC">
            <w:pPr>
              <w:spacing w:before="240"/>
              <w:rPr>
                <w:b/>
              </w:rPr>
            </w:pPr>
            <w:r w:rsidRPr="00103DBC">
              <w:rPr>
                <w:b/>
              </w:rPr>
              <w:t>Justification of source and others considered</w:t>
            </w:r>
          </w:p>
        </w:tc>
        <w:tc>
          <w:tcPr>
            <w:tcW w:w="6044" w:type="dxa"/>
          </w:tcPr>
          <w:p w14:paraId="18E5DB6E" w14:textId="07AFA067" w:rsidR="00103DBC" w:rsidRPr="00103DBC" w:rsidRDefault="00103DBC" w:rsidP="00103DBC">
            <w:pPr>
              <w:spacing w:before="240"/>
            </w:pPr>
            <w:r w:rsidRPr="00103DBC">
              <w:t>MHSDS supersedes and replaces the Mental Health and Learning Disabilities Data Set (MHLDDS), which in turn replaced the original source of the indicator, the Mental Health Minimum Data Set (MHMDS).</w:t>
            </w:r>
          </w:p>
        </w:tc>
      </w:tr>
      <w:tr w:rsidR="00103DBC" w14:paraId="44219D63" w14:textId="77777777" w:rsidTr="00103DBC">
        <w:tc>
          <w:tcPr>
            <w:tcW w:w="2972" w:type="dxa"/>
          </w:tcPr>
          <w:p w14:paraId="142B72F4" w14:textId="589FC6AA" w:rsidR="00103DBC" w:rsidRPr="00103DBC" w:rsidRDefault="00103DBC" w:rsidP="00103DBC">
            <w:pPr>
              <w:spacing w:before="240"/>
              <w:rPr>
                <w:b/>
              </w:rPr>
            </w:pPr>
            <w:r w:rsidRPr="00103DBC">
              <w:rPr>
                <w:b/>
              </w:rPr>
              <w:t>Data availability</w:t>
            </w:r>
          </w:p>
        </w:tc>
        <w:tc>
          <w:tcPr>
            <w:tcW w:w="6044" w:type="dxa"/>
          </w:tcPr>
          <w:p w14:paraId="61E5B36F" w14:textId="77777777" w:rsidR="00103DBC" w:rsidRPr="00103DBC" w:rsidRDefault="00103DBC" w:rsidP="00103DBC">
            <w:pPr>
              <w:spacing w:before="240"/>
            </w:pPr>
          </w:p>
        </w:tc>
      </w:tr>
      <w:tr w:rsidR="00103DBC" w14:paraId="70DE8D46" w14:textId="77777777" w:rsidTr="00103DBC">
        <w:tc>
          <w:tcPr>
            <w:tcW w:w="2972" w:type="dxa"/>
          </w:tcPr>
          <w:p w14:paraId="359CBD23" w14:textId="24DEBAD4" w:rsidR="00103DBC" w:rsidRPr="00103DBC" w:rsidRDefault="00103DBC" w:rsidP="00103DBC">
            <w:pPr>
              <w:spacing w:before="240"/>
              <w:rPr>
                <w:b/>
              </w:rPr>
            </w:pPr>
            <w:r w:rsidRPr="00103DBC">
              <w:rPr>
                <w:b/>
              </w:rPr>
              <w:t>Data quality</w:t>
            </w:r>
          </w:p>
        </w:tc>
        <w:tc>
          <w:tcPr>
            <w:tcW w:w="6044" w:type="dxa"/>
          </w:tcPr>
          <w:p w14:paraId="0FB22F5C" w14:textId="77777777" w:rsidR="00103DBC" w:rsidRPr="00103DBC" w:rsidRDefault="00103DBC" w:rsidP="00103DBC">
            <w:pPr>
              <w:spacing w:before="240"/>
              <w:rPr>
                <w:b/>
              </w:rPr>
            </w:pPr>
            <w:r w:rsidRPr="00103DBC">
              <w:rPr>
                <w:b/>
              </w:rPr>
              <w:t xml:space="preserve"> </w:t>
            </w:r>
            <w:proofErr w:type="spellStart"/>
            <w:r w:rsidRPr="00103DBC">
              <w:rPr>
                <w:b/>
              </w:rPr>
              <w:t>i</w:t>
            </w:r>
            <w:proofErr w:type="spellEnd"/>
            <w:r w:rsidRPr="00103DBC">
              <w:rPr>
                <w:b/>
              </w:rPr>
              <w:t>) What data quality checks are relevant to this indicator?</w:t>
            </w:r>
          </w:p>
          <w:p w14:paraId="41CF95D1" w14:textId="77777777" w:rsidR="00103DBC" w:rsidRPr="00103DBC" w:rsidRDefault="00103DBC" w:rsidP="00103DBC">
            <w:pPr>
              <w:spacing w:before="240"/>
            </w:pPr>
            <w:r w:rsidRPr="00103DBC">
              <w:rPr>
                <w:b/>
              </w:rPr>
              <w:t>Coverage</w:t>
            </w:r>
            <w:r w:rsidRPr="00103DBC">
              <w:t xml:space="preserve"> </w:t>
            </w:r>
            <w:sdt>
              <w:sdtPr>
                <w:id w:val="-1734614186"/>
                <w14:checkbox>
                  <w14:checked w14:val="0"/>
                  <w14:checkedState w14:val="2612" w14:font="MS Gothic"/>
                  <w14:uncheckedState w14:val="2610" w14:font="MS Gothic"/>
                </w14:checkbox>
              </w:sdtPr>
              <w:sdtEndPr/>
              <w:sdtContent>
                <w:r w:rsidRPr="00103DBC">
                  <w:rPr>
                    <w:rFonts w:ascii="Segoe UI Symbol" w:eastAsia="MS Gothic" w:hAnsi="Segoe UI Symbol" w:cs="Segoe UI Symbol"/>
                  </w:rPr>
                  <w:t>☐</w:t>
                </w:r>
              </w:sdtContent>
            </w:sdt>
            <w:r w:rsidRPr="00103DBC">
              <w:t xml:space="preserve"> </w:t>
            </w:r>
          </w:p>
          <w:p w14:paraId="53B35202" w14:textId="77777777" w:rsidR="00103DBC" w:rsidRPr="00103DBC" w:rsidRDefault="00103DBC" w:rsidP="00103DBC">
            <w:pPr>
              <w:spacing w:before="240"/>
            </w:pPr>
            <w:r w:rsidRPr="00103DBC">
              <w:rPr>
                <w:b/>
              </w:rPr>
              <w:t>Completeness</w:t>
            </w:r>
            <w:r w:rsidRPr="00103DBC">
              <w:t xml:space="preserve"> </w:t>
            </w:r>
            <w:sdt>
              <w:sdtPr>
                <w:id w:val="-1726368152"/>
                <w14:checkbox>
                  <w14:checked w14:val="0"/>
                  <w14:checkedState w14:val="2612" w14:font="MS Gothic"/>
                  <w14:uncheckedState w14:val="2610" w14:font="MS Gothic"/>
                </w14:checkbox>
              </w:sdtPr>
              <w:sdtEndPr/>
              <w:sdtContent>
                <w:r w:rsidRPr="00103DBC">
                  <w:rPr>
                    <w:rFonts w:ascii="Segoe UI Symbol" w:eastAsia="MS Gothic" w:hAnsi="Segoe UI Symbol" w:cs="Segoe UI Symbol"/>
                  </w:rPr>
                  <w:t>☐</w:t>
                </w:r>
              </w:sdtContent>
            </w:sdt>
            <w:r w:rsidRPr="00103DBC">
              <w:t xml:space="preserve"> </w:t>
            </w:r>
            <w:r w:rsidRPr="00103DBC">
              <w:rPr>
                <w:b/>
              </w:rPr>
              <w:t>Validity</w:t>
            </w:r>
            <w:r w:rsidRPr="00103DBC">
              <w:t xml:space="preserve"> </w:t>
            </w:r>
            <w:sdt>
              <w:sdtPr>
                <w:id w:val="325330801"/>
                <w14:checkbox>
                  <w14:checked w14:val="0"/>
                  <w14:checkedState w14:val="2612" w14:font="MS Gothic"/>
                  <w14:uncheckedState w14:val="2610" w14:font="MS Gothic"/>
                </w14:checkbox>
              </w:sdtPr>
              <w:sdtEndPr/>
              <w:sdtContent>
                <w:r w:rsidRPr="00103DBC">
                  <w:rPr>
                    <w:rFonts w:ascii="Segoe UI Symbol" w:eastAsia="MS Gothic" w:hAnsi="Segoe UI Symbol" w:cs="Segoe UI Symbol"/>
                  </w:rPr>
                  <w:t>☐</w:t>
                </w:r>
              </w:sdtContent>
            </w:sdt>
            <w:r w:rsidRPr="00103DBC">
              <w:t xml:space="preserve"> </w:t>
            </w:r>
          </w:p>
          <w:p w14:paraId="215E03D3" w14:textId="77777777" w:rsidR="00103DBC" w:rsidRPr="00103DBC" w:rsidRDefault="00103DBC" w:rsidP="00103DBC">
            <w:pPr>
              <w:spacing w:before="240"/>
            </w:pPr>
            <w:r w:rsidRPr="00103DBC">
              <w:rPr>
                <w:b/>
              </w:rPr>
              <w:t>Default</w:t>
            </w:r>
            <w:r w:rsidRPr="00103DBC">
              <w:t xml:space="preserve"> </w:t>
            </w:r>
            <w:sdt>
              <w:sdtPr>
                <w:id w:val="1614473230"/>
                <w14:checkbox>
                  <w14:checked w14:val="0"/>
                  <w14:checkedState w14:val="2612" w14:font="MS Gothic"/>
                  <w14:uncheckedState w14:val="2610" w14:font="MS Gothic"/>
                </w14:checkbox>
              </w:sdtPr>
              <w:sdtEndPr/>
              <w:sdtContent>
                <w:r w:rsidRPr="00103DBC">
                  <w:rPr>
                    <w:rFonts w:ascii="Segoe UI Symbol" w:eastAsia="MS Gothic" w:hAnsi="Segoe UI Symbol" w:cs="Segoe UI Symbol"/>
                  </w:rPr>
                  <w:t>☐</w:t>
                </w:r>
              </w:sdtContent>
            </w:sdt>
            <w:r w:rsidRPr="00103DBC">
              <w:t xml:space="preserve"> </w:t>
            </w:r>
          </w:p>
          <w:p w14:paraId="5910B437" w14:textId="2EC57B1D" w:rsidR="00103DBC" w:rsidRPr="00103DBC" w:rsidRDefault="00103DBC" w:rsidP="00103DBC">
            <w:pPr>
              <w:spacing w:before="240"/>
            </w:pPr>
            <w:r w:rsidRPr="00103DBC">
              <w:rPr>
                <w:b/>
              </w:rPr>
              <w:t>Integrity</w:t>
            </w:r>
            <w:r w:rsidRPr="00103DBC">
              <w:t xml:space="preserve"> </w:t>
            </w:r>
            <w:sdt>
              <w:sdtPr>
                <w:id w:val="-1098483664"/>
                <w14:checkbox>
                  <w14:checked w14:val="0"/>
                  <w14:checkedState w14:val="2612" w14:font="MS Gothic"/>
                  <w14:uncheckedState w14:val="2610" w14:font="MS Gothic"/>
                </w14:checkbox>
              </w:sdtPr>
              <w:sdtEndPr/>
              <w:sdtContent>
                <w:r w:rsidRPr="00103DBC">
                  <w:rPr>
                    <w:rFonts w:ascii="Segoe UI Symbol" w:eastAsia="MS Gothic" w:hAnsi="Segoe UI Symbol" w:cs="Segoe UI Symbol"/>
                  </w:rPr>
                  <w:t>☐</w:t>
                </w:r>
              </w:sdtContent>
            </w:sdt>
            <w:r w:rsidRPr="00103DBC">
              <w:t xml:space="preserve"> </w:t>
            </w:r>
            <w:r w:rsidRPr="00103DBC">
              <w:rPr>
                <w:b/>
              </w:rPr>
              <w:t>Timeliness</w:t>
            </w:r>
            <w:r w:rsidRPr="00103DBC">
              <w:t xml:space="preserve"> </w:t>
            </w:r>
            <w:sdt>
              <w:sdtPr>
                <w:id w:val="1086498859"/>
                <w14:checkbox>
                  <w14:checked w14:val="0"/>
                  <w14:checkedState w14:val="2612" w14:font="MS Gothic"/>
                  <w14:uncheckedState w14:val="2610" w14:font="MS Gothic"/>
                </w14:checkbox>
              </w:sdtPr>
              <w:sdtEndPr/>
              <w:sdtContent>
                <w:r w:rsidRPr="00103DBC">
                  <w:rPr>
                    <w:rFonts w:ascii="Segoe UI Symbol" w:eastAsia="MS Gothic" w:hAnsi="Segoe UI Symbol" w:cs="Segoe UI Symbol"/>
                  </w:rPr>
                  <w:t>☐</w:t>
                </w:r>
              </w:sdtContent>
            </w:sdt>
            <w:r w:rsidRPr="00103DBC">
              <w:t xml:space="preserve"> </w:t>
            </w:r>
            <w:r w:rsidRPr="00103DBC">
              <w:rPr>
                <w:b/>
              </w:rPr>
              <w:t>Other</w:t>
            </w:r>
            <w:r w:rsidRPr="00103DBC">
              <w:t xml:space="preserve"> </w:t>
            </w:r>
            <w:sdt>
              <w:sdtPr>
                <w:id w:val="1928450506"/>
                <w14:checkbox>
                  <w14:checked w14:val="0"/>
                  <w14:checkedState w14:val="2612" w14:font="MS Gothic"/>
                  <w14:uncheckedState w14:val="2610" w14:font="MS Gothic"/>
                </w14:checkbox>
              </w:sdtPr>
              <w:sdtEndPr/>
              <w:sdtContent>
                <w:r w:rsidRPr="00103DBC">
                  <w:rPr>
                    <w:rFonts w:ascii="Segoe UI Symbol" w:eastAsia="MS Gothic" w:hAnsi="Segoe UI Symbol" w:cs="Segoe UI Symbol"/>
                  </w:rPr>
                  <w:t>☐</w:t>
                </w:r>
              </w:sdtContent>
            </w:sdt>
          </w:p>
        </w:tc>
      </w:tr>
      <w:tr w:rsidR="00103DBC" w14:paraId="589F3E1A" w14:textId="77777777" w:rsidTr="00103DBC">
        <w:tc>
          <w:tcPr>
            <w:tcW w:w="2972" w:type="dxa"/>
          </w:tcPr>
          <w:p w14:paraId="43E841E9" w14:textId="453F4B64" w:rsidR="00103DBC" w:rsidRPr="00103DBC" w:rsidRDefault="00103DBC" w:rsidP="00103DBC">
            <w:pPr>
              <w:spacing w:before="240"/>
              <w:rPr>
                <w:b/>
              </w:rPr>
            </w:pPr>
            <w:r w:rsidRPr="00FD0D4C">
              <w:rPr>
                <w:b/>
              </w:rPr>
              <w:t>Data quality</w:t>
            </w:r>
          </w:p>
        </w:tc>
        <w:tc>
          <w:tcPr>
            <w:tcW w:w="6044" w:type="dxa"/>
          </w:tcPr>
          <w:p w14:paraId="701E4189" w14:textId="77777777" w:rsidR="00103DBC" w:rsidRPr="00103DBC" w:rsidRDefault="00103DBC" w:rsidP="00103DBC">
            <w:pPr>
              <w:textboxTightWrap w:val="allLines"/>
              <w:rPr>
                <w:b/>
              </w:rPr>
            </w:pPr>
            <w:r w:rsidRPr="00103DBC">
              <w:rPr>
                <w:b/>
              </w:rPr>
              <w:t xml:space="preserve">If you included ‘Other’ as a data quality check, please describe the check, how it will be measured, and its reason for use below: </w:t>
            </w:r>
          </w:p>
          <w:p w14:paraId="40355233" w14:textId="77777777" w:rsidR="00103DBC" w:rsidRPr="00103DBC" w:rsidRDefault="00103DBC" w:rsidP="00103DBC">
            <w:pPr>
              <w:spacing w:before="240"/>
              <w:rPr>
                <w:b/>
              </w:rPr>
            </w:pPr>
          </w:p>
        </w:tc>
      </w:tr>
      <w:tr w:rsidR="00103DBC" w14:paraId="60E8A443" w14:textId="77777777" w:rsidTr="00103DBC">
        <w:tc>
          <w:tcPr>
            <w:tcW w:w="2972" w:type="dxa"/>
          </w:tcPr>
          <w:p w14:paraId="0F28F3E4" w14:textId="283C255A" w:rsidR="00103DBC" w:rsidRPr="00103DBC" w:rsidRDefault="00103DBC" w:rsidP="00103DBC">
            <w:pPr>
              <w:spacing w:before="240"/>
              <w:rPr>
                <w:b/>
              </w:rPr>
            </w:pPr>
            <w:r w:rsidRPr="00FD0D4C">
              <w:rPr>
                <w:b/>
              </w:rPr>
              <w:t>Data quality</w:t>
            </w:r>
          </w:p>
        </w:tc>
        <w:tc>
          <w:tcPr>
            <w:tcW w:w="6044" w:type="dxa"/>
          </w:tcPr>
          <w:p w14:paraId="57F294A7" w14:textId="77777777" w:rsidR="00103DBC" w:rsidRPr="00103DBC" w:rsidRDefault="00103DBC" w:rsidP="00103DBC">
            <w:pPr>
              <w:textboxTightWrap w:val="allLines"/>
            </w:pPr>
            <w:r w:rsidRPr="00103DBC">
              <w:rPr>
                <w:b/>
              </w:rPr>
              <w:t xml:space="preserve">ii)  What are the current values for the data quality checks selected? </w:t>
            </w:r>
            <w:r w:rsidRPr="00103DBC">
              <w:t xml:space="preserve">The period of data the current values are calculated from should be stated. Current values should be recorded as a percentage and calculated as described below. </w:t>
            </w:r>
          </w:p>
          <w:p w14:paraId="103D9D3E" w14:textId="77777777" w:rsidR="00103DBC" w:rsidRPr="00103DBC" w:rsidRDefault="00103DBC" w:rsidP="00103DBC">
            <w:pPr>
              <w:textboxTightWrap w:val="allLines"/>
              <w:rPr>
                <w:b/>
              </w:rPr>
            </w:pPr>
            <w:r w:rsidRPr="00103DBC">
              <w:rPr>
                <w:b/>
              </w:rPr>
              <w:t>Period of data:</w:t>
            </w:r>
          </w:p>
          <w:p w14:paraId="26C60D72" w14:textId="77777777" w:rsidR="00103DBC" w:rsidRPr="00103DBC" w:rsidRDefault="00103DBC" w:rsidP="00103DBC">
            <w:pPr>
              <w:textboxTightWrap w:val="allLines"/>
              <w:rPr>
                <w:b/>
              </w:rPr>
            </w:pPr>
            <w:r w:rsidRPr="00103DBC">
              <w:rPr>
                <w:b/>
              </w:rPr>
              <w:t>Coverage:</w:t>
            </w:r>
            <w:r w:rsidRPr="00103DBC">
              <w:rPr>
                <w:b/>
              </w:rPr>
              <w:br/>
              <w:t xml:space="preserve">Calculation </w:t>
            </w:r>
          </w:p>
          <w:p w14:paraId="16FE918D" w14:textId="77777777" w:rsidR="00103DBC" w:rsidRPr="00103DBC" w:rsidRDefault="00103DBC" w:rsidP="00103DBC">
            <w:pPr>
              <w:textboxTightWrap w:val="allLines"/>
              <w:rPr>
                <w:b/>
              </w:rPr>
            </w:pPr>
            <w:r w:rsidRPr="00103DBC">
              <w:rPr>
                <w:b/>
              </w:rPr>
              <w:t>Completeness:</w:t>
            </w:r>
            <w:r w:rsidRPr="00103DBC">
              <w:rPr>
                <w:b/>
              </w:rPr>
              <w:br/>
              <w:t xml:space="preserve">Calculation:       </w:t>
            </w:r>
          </w:p>
          <w:p w14:paraId="3F229E79" w14:textId="77777777" w:rsidR="00103DBC" w:rsidRPr="00103DBC" w:rsidRDefault="00103DBC" w:rsidP="00103DBC">
            <w:pPr>
              <w:textboxTightWrap w:val="allLines"/>
              <w:rPr>
                <w:b/>
              </w:rPr>
            </w:pPr>
            <w:r w:rsidRPr="00103DBC">
              <w:rPr>
                <w:b/>
              </w:rPr>
              <w:t>Validity:</w:t>
            </w:r>
            <w:r w:rsidRPr="00103DBC">
              <w:rPr>
                <w:b/>
              </w:rPr>
              <w:br/>
              <w:t xml:space="preserve">Calculation:       </w:t>
            </w:r>
          </w:p>
          <w:p w14:paraId="2E26500A" w14:textId="77777777" w:rsidR="00103DBC" w:rsidRPr="00103DBC" w:rsidRDefault="00103DBC" w:rsidP="00103DBC">
            <w:pPr>
              <w:textboxTightWrap w:val="allLines"/>
              <w:rPr>
                <w:b/>
              </w:rPr>
            </w:pPr>
            <w:r w:rsidRPr="00103DBC">
              <w:rPr>
                <w:b/>
              </w:rPr>
              <w:t>Default:</w:t>
            </w:r>
            <w:r w:rsidRPr="00103DBC">
              <w:rPr>
                <w:b/>
              </w:rPr>
              <w:br/>
              <w:t xml:space="preserve">Calculation:       </w:t>
            </w:r>
          </w:p>
          <w:p w14:paraId="0ED95F6F" w14:textId="77777777" w:rsidR="00103DBC" w:rsidRPr="00103DBC" w:rsidRDefault="00103DBC" w:rsidP="00103DBC">
            <w:pPr>
              <w:textboxTightWrap w:val="allLines"/>
              <w:rPr>
                <w:b/>
              </w:rPr>
            </w:pPr>
            <w:r w:rsidRPr="00103DBC">
              <w:rPr>
                <w:b/>
              </w:rPr>
              <w:t>Integrity:</w:t>
            </w:r>
            <w:r w:rsidRPr="00103DBC">
              <w:rPr>
                <w:b/>
              </w:rPr>
              <w:br/>
              <w:t xml:space="preserve">Calculation:       </w:t>
            </w:r>
          </w:p>
          <w:p w14:paraId="442EE9F5" w14:textId="77777777" w:rsidR="00103DBC" w:rsidRPr="00103DBC" w:rsidRDefault="00103DBC" w:rsidP="00103DBC">
            <w:pPr>
              <w:textboxTightWrap w:val="allLines"/>
              <w:rPr>
                <w:b/>
              </w:rPr>
            </w:pPr>
            <w:r w:rsidRPr="00103DBC">
              <w:rPr>
                <w:b/>
              </w:rPr>
              <w:t>Timeliness:</w:t>
            </w:r>
            <w:r w:rsidRPr="00103DBC">
              <w:rPr>
                <w:b/>
              </w:rPr>
              <w:br/>
              <w:t xml:space="preserve">Calculation: </w:t>
            </w:r>
          </w:p>
          <w:p w14:paraId="56D24487" w14:textId="77777777" w:rsidR="00103DBC" w:rsidRPr="00103DBC" w:rsidRDefault="00103DBC" w:rsidP="00103DBC">
            <w:pPr>
              <w:textboxTightWrap w:val="allLines"/>
              <w:rPr>
                <w:b/>
              </w:rPr>
            </w:pPr>
            <w:r w:rsidRPr="00103DBC">
              <w:rPr>
                <w:b/>
              </w:rPr>
              <w:t>Other:</w:t>
            </w:r>
            <w:r w:rsidRPr="00103DBC">
              <w:rPr>
                <w:b/>
              </w:rPr>
              <w:br/>
              <w:t>Calculation:</w:t>
            </w:r>
          </w:p>
          <w:p w14:paraId="31212DD9" w14:textId="77777777" w:rsidR="00103DBC" w:rsidRPr="00103DBC" w:rsidRDefault="00103DBC" w:rsidP="00103DBC">
            <w:pPr>
              <w:textboxTightWrap w:val="allLines"/>
              <w:rPr>
                <w:b/>
              </w:rPr>
            </w:pPr>
          </w:p>
        </w:tc>
      </w:tr>
      <w:tr w:rsidR="00103DBC" w14:paraId="7C9DA7A2" w14:textId="77777777" w:rsidTr="00103DBC">
        <w:tc>
          <w:tcPr>
            <w:tcW w:w="2972" w:type="dxa"/>
          </w:tcPr>
          <w:p w14:paraId="49CE7090" w14:textId="77777777" w:rsidR="00103DBC" w:rsidRPr="00103DBC" w:rsidRDefault="00103DBC" w:rsidP="00103DBC">
            <w:pPr>
              <w:spacing w:before="240"/>
              <w:rPr>
                <w:b/>
              </w:rPr>
            </w:pPr>
          </w:p>
        </w:tc>
        <w:tc>
          <w:tcPr>
            <w:tcW w:w="6044" w:type="dxa"/>
          </w:tcPr>
          <w:p w14:paraId="4734E89D" w14:textId="77777777" w:rsidR="00103DBC" w:rsidRPr="00103DBC" w:rsidRDefault="00103DBC" w:rsidP="00103DBC">
            <w:pPr>
              <w:textboxTightWrap w:val="allLines"/>
            </w:pPr>
            <w:r w:rsidRPr="00103DBC">
              <w:rPr>
                <w:b/>
              </w:rPr>
              <w:t xml:space="preserve">iii) What are the thresholds for the data quality checks selected? </w:t>
            </w:r>
          </w:p>
          <w:p w14:paraId="53CCA520" w14:textId="77777777" w:rsidR="00103DBC" w:rsidRPr="00103DBC" w:rsidRDefault="00103DBC" w:rsidP="00103DBC">
            <w:pPr>
              <w:textboxTightWrap w:val="allLines"/>
              <w:rPr>
                <w:b/>
              </w:rPr>
            </w:pPr>
            <w:r w:rsidRPr="00103DBC">
              <w:rPr>
                <w:b/>
              </w:rPr>
              <w:t xml:space="preserve">Coverage: </w:t>
            </w:r>
          </w:p>
          <w:p w14:paraId="6CE7B183" w14:textId="77777777" w:rsidR="00103DBC" w:rsidRPr="00103DBC" w:rsidRDefault="00103DBC" w:rsidP="00103DBC">
            <w:pPr>
              <w:textboxTightWrap w:val="allLines"/>
            </w:pPr>
            <w:r w:rsidRPr="00103DBC">
              <w:rPr>
                <w:b/>
              </w:rPr>
              <w:t>Completeness:</w:t>
            </w:r>
            <w:r w:rsidRPr="00103DBC">
              <w:t xml:space="preserve"> </w:t>
            </w:r>
          </w:p>
          <w:p w14:paraId="0F91D638" w14:textId="77777777" w:rsidR="00103DBC" w:rsidRPr="00103DBC" w:rsidRDefault="00103DBC" w:rsidP="00103DBC">
            <w:pPr>
              <w:textboxTightWrap w:val="allLines"/>
            </w:pPr>
            <w:r w:rsidRPr="00103DBC">
              <w:rPr>
                <w:b/>
              </w:rPr>
              <w:t>Validity:</w:t>
            </w:r>
            <w:r w:rsidRPr="00103DBC">
              <w:t xml:space="preserve"> </w:t>
            </w:r>
          </w:p>
          <w:p w14:paraId="68D3DDE9" w14:textId="77777777" w:rsidR="00103DBC" w:rsidRPr="00103DBC" w:rsidRDefault="00103DBC" w:rsidP="00103DBC">
            <w:pPr>
              <w:textboxTightWrap w:val="allLines"/>
            </w:pPr>
            <w:r w:rsidRPr="00103DBC">
              <w:rPr>
                <w:b/>
              </w:rPr>
              <w:t>Default:</w:t>
            </w:r>
          </w:p>
          <w:p w14:paraId="22F51CFF" w14:textId="77777777" w:rsidR="00103DBC" w:rsidRPr="00103DBC" w:rsidRDefault="00103DBC" w:rsidP="00103DBC">
            <w:pPr>
              <w:textboxTightWrap w:val="allLines"/>
            </w:pPr>
            <w:r w:rsidRPr="00103DBC">
              <w:rPr>
                <w:b/>
              </w:rPr>
              <w:t>Integrity:</w:t>
            </w:r>
            <w:r w:rsidRPr="00103DBC">
              <w:t xml:space="preserve"> </w:t>
            </w:r>
          </w:p>
          <w:p w14:paraId="306624F3" w14:textId="77777777" w:rsidR="00103DBC" w:rsidRPr="00103DBC" w:rsidRDefault="00103DBC" w:rsidP="00103DBC">
            <w:pPr>
              <w:textboxTightWrap w:val="allLines"/>
            </w:pPr>
            <w:r w:rsidRPr="00103DBC">
              <w:rPr>
                <w:b/>
              </w:rPr>
              <w:t>Timeliness:</w:t>
            </w:r>
            <w:r w:rsidRPr="00103DBC">
              <w:t xml:space="preserve"> </w:t>
            </w:r>
          </w:p>
          <w:p w14:paraId="0FC1105E" w14:textId="59A44E99" w:rsidR="00103DBC" w:rsidRPr="00103DBC" w:rsidRDefault="00103DBC" w:rsidP="00103DBC">
            <w:pPr>
              <w:textboxTightWrap w:val="allLines"/>
              <w:rPr>
                <w:b/>
              </w:rPr>
            </w:pPr>
            <w:r w:rsidRPr="00103DBC">
              <w:rPr>
                <w:b/>
              </w:rPr>
              <w:t xml:space="preserve">Other: </w:t>
            </w:r>
          </w:p>
        </w:tc>
      </w:tr>
      <w:tr w:rsidR="00103DBC" w14:paraId="22E05FAA" w14:textId="77777777" w:rsidTr="00103DBC">
        <w:tc>
          <w:tcPr>
            <w:tcW w:w="2972" w:type="dxa"/>
          </w:tcPr>
          <w:p w14:paraId="61189A6F" w14:textId="450457A6" w:rsidR="00103DBC" w:rsidRPr="00103DBC" w:rsidRDefault="00103DBC" w:rsidP="00103DBC">
            <w:pPr>
              <w:spacing w:before="240"/>
              <w:rPr>
                <w:b/>
              </w:rPr>
            </w:pPr>
            <w:r w:rsidRPr="00B7007B">
              <w:rPr>
                <w:b/>
              </w:rPr>
              <w:t>Data quality</w:t>
            </w:r>
          </w:p>
        </w:tc>
        <w:tc>
          <w:tcPr>
            <w:tcW w:w="6044" w:type="dxa"/>
          </w:tcPr>
          <w:p w14:paraId="14C2AF90" w14:textId="77777777" w:rsidR="00103DBC" w:rsidRPr="00103DBC" w:rsidRDefault="00103DBC" w:rsidP="00103DBC">
            <w:pPr>
              <w:textboxTightWrap w:val="allLines"/>
            </w:pPr>
            <w:r w:rsidRPr="00103DBC">
              <w:rPr>
                <w:b/>
              </w:rPr>
              <w:t xml:space="preserve">iv) What is the rationale for the selection of the data quality checks and thresholds selected above? </w:t>
            </w:r>
          </w:p>
          <w:p w14:paraId="07E97955" w14:textId="77777777" w:rsidR="00103DBC" w:rsidRPr="00103DBC" w:rsidRDefault="00103DBC" w:rsidP="00103DBC">
            <w:pPr>
              <w:textboxTightWrap w:val="allLines"/>
              <w:rPr>
                <w:b/>
              </w:rPr>
            </w:pPr>
          </w:p>
        </w:tc>
      </w:tr>
      <w:tr w:rsidR="00103DBC" w14:paraId="0834D266" w14:textId="77777777" w:rsidTr="00103DBC">
        <w:tc>
          <w:tcPr>
            <w:tcW w:w="2972" w:type="dxa"/>
          </w:tcPr>
          <w:p w14:paraId="4B6EBAF2" w14:textId="52A353B8" w:rsidR="00103DBC" w:rsidRPr="00103DBC" w:rsidRDefault="00103DBC" w:rsidP="00103DBC">
            <w:pPr>
              <w:spacing w:before="240"/>
              <w:rPr>
                <w:b/>
              </w:rPr>
            </w:pPr>
            <w:r w:rsidRPr="00B7007B">
              <w:rPr>
                <w:b/>
              </w:rPr>
              <w:t>Data quality</w:t>
            </w:r>
          </w:p>
        </w:tc>
        <w:tc>
          <w:tcPr>
            <w:tcW w:w="6044" w:type="dxa"/>
          </w:tcPr>
          <w:p w14:paraId="6D783CCA" w14:textId="77777777" w:rsidR="00103DBC" w:rsidRPr="00103DBC" w:rsidRDefault="00103DBC" w:rsidP="00103DBC">
            <w:pPr>
              <w:textboxTightWrap w:val="allLines"/>
            </w:pPr>
            <w:r w:rsidRPr="00103DBC">
              <w:rPr>
                <w:b/>
              </w:rPr>
              <w:t xml:space="preserve">v) Describe how you would plan to improve data quality should it not meet, or subsequently fall below, the thresholds required for this indicator. </w:t>
            </w:r>
          </w:p>
          <w:p w14:paraId="7206C15C" w14:textId="77777777" w:rsidR="00103DBC" w:rsidRPr="00103DBC" w:rsidRDefault="00103DBC" w:rsidP="00103DBC">
            <w:pPr>
              <w:textboxTightWrap w:val="allLines"/>
              <w:rPr>
                <w:b/>
              </w:rPr>
            </w:pPr>
          </w:p>
        </w:tc>
      </w:tr>
      <w:tr w:rsidR="00103DBC" w14:paraId="3E032713" w14:textId="77777777" w:rsidTr="00103DBC">
        <w:tc>
          <w:tcPr>
            <w:tcW w:w="2972" w:type="dxa"/>
          </w:tcPr>
          <w:p w14:paraId="45F821E6" w14:textId="5ECFA092" w:rsidR="00103DBC" w:rsidRPr="00103DBC" w:rsidRDefault="00103DBC" w:rsidP="00103DBC">
            <w:pPr>
              <w:spacing w:before="240"/>
              <w:rPr>
                <w:b/>
              </w:rPr>
            </w:pPr>
            <w:r w:rsidRPr="00B7007B">
              <w:rPr>
                <w:b/>
              </w:rPr>
              <w:t>Data quality</w:t>
            </w:r>
          </w:p>
        </w:tc>
        <w:tc>
          <w:tcPr>
            <w:tcW w:w="6044" w:type="dxa"/>
          </w:tcPr>
          <w:p w14:paraId="19FED773" w14:textId="77777777" w:rsidR="00103DBC" w:rsidRPr="00103DBC" w:rsidRDefault="00103DBC" w:rsidP="00103DBC">
            <w:pPr>
              <w:textboxTightWrap w:val="allLines"/>
              <w:rPr>
                <w:b/>
              </w:rPr>
            </w:pPr>
            <w:r w:rsidRPr="00103DBC">
              <w:rPr>
                <w:b/>
              </w:rPr>
              <w:t xml:space="preserve">vi) Who will own the data quality risks and issues for this indicator? </w:t>
            </w:r>
          </w:p>
          <w:p w14:paraId="609C1E8F" w14:textId="77777777" w:rsidR="00103DBC" w:rsidRPr="00103DBC" w:rsidRDefault="00103DBC" w:rsidP="00103DBC">
            <w:pPr>
              <w:textboxTightWrap w:val="allLines"/>
            </w:pPr>
            <w:r w:rsidRPr="00103DBC">
              <w:rPr>
                <w:b/>
              </w:rPr>
              <w:t>Name:</w:t>
            </w:r>
            <w:r w:rsidRPr="00103DBC">
              <w:t xml:space="preserve"> </w:t>
            </w:r>
          </w:p>
          <w:p w14:paraId="604D2E3C" w14:textId="77777777" w:rsidR="00103DBC" w:rsidRPr="00103DBC" w:rsidRDefault="00103DBC" w:rsidP="00103DBC">
            <w:pPr>
              <w:textboxTightWrap w:val="allLines"/>
            </w:pPr>
            <w:r w:rsidRPr="00103DBC">
              <w:rPr>
                <w:b/>
              </w:rPr>
              <w:t>Job Title:</w:t>
            </w:r>
            <w:r w:rsidRPr="00103DBC">
              <w:t xml:space="preserve"> </w:t>
            </w:r>
          </w:p>
          <w:p w14:paraId="0BF3AF48" w14:textId="77777777" w:rsidR="00103DBC" w:rsidRPr="00103DBC" w:rsidRDefault="00103DBC" w:rsidP="00103DBC">
            <w:pPr>
              <w:textboxTightWrap w:val="allLines"/>
            </w:pPr>
            <w:r w:rsidRPr="00103DBC">
              <w:rPr>
                <w:b/>
              </w:rPr>
              <w:t>Role:</w:t>
            </w:r>
            <w:r w:rsidRPr="00103DBC">
              <w:t xml:space="preserve"> </w:t>
            </w:r>
          </w:p>
          <w:p w14:paraId="1E981DD2" w14:textId="77777777" w:rsidR="00103DBC" w:rsidRPr="00103DBC" w:rsidRDefault="00103DBC" w:rsidP="00103DBC">
            <w:pPr>
              <w:textboxTightWrap w:val="allLines"/>
            </w:pPr>
            <w:r w:rsidRPr="00103DBC">
              <w:rPr>
                <w:b/>
              </w:rPr>
              <w:t>Email:</w:t>
            </w:r>
            <w:r w:rsidRPr="00103DBC">
              <w:t xml:space="preserve"> </w:t>
            </w:r>
          </w:p>
          <w:p w14:paraId="5B393DC2" w14:textId="4CBCD1C3" w:rsidR="00103DBC" w:rsidRPr="00103DBC" w:rsidRDefault="00103DBC" w:rsidP="00103DBC">
            <w:pPr>
              <w:textboxTightWrap w:val="allLines"/>
              <w:rPr>
                <w:b/>
              </w:rPr>
            </w:pPr>
            <w:r w:rsidRPr="00103DBC">
              <w:rPr>
                <w:b/>
              </w:rPr>
              <w:t>Telephone:</w:t>
            </w:r>
            <w:r w:rsidRPr="00103DBC">
              <w:t xml:space="preserve"> </w:t>
            </w:r>
          </w:p>
        </w:tc>
      </w:tr>
      <w:tr w:rsidR="00103DBC" w14:paraId="1410DBA0" w14:textId="77777777" w:rsidTr="00103DBC">
        <w:tc>
          <w:tcPr>
            <w:tcW w:w="2972" w:type="dxa"/>
          </w:tcPr>
          <w:p w14:paraId="6CFF21E6" w14:textId="5E4FDC00" w:rsidR="00103DBC" w:rsidRPr="00103DBC" w:rsidRDefault="00103DBC" w:rsidP="00103DBC">
            <w:pPr>
              <w:spacing w:before="240"/>
              <w:rPr>
                <w:b/>
              </w:rPr>
            </w:pPr>
            <w:r w:rsidRPr="00B7007B">
              <w:rPr>
                <w:b/>
              </w:rPr>
              <w:t>Data quality</w:t>
            </w:r>
          </w:p>
        </w:tc>
        <w:tc>
          <w:tcPr>
            <w:tcW w:w="6044" w:type="dxa"/>
          </w:tcPr>
          <w:p w14:paraId="65C64777" w14:textId="77777777" w:rsidR="00103DBC" w:rsidRPr="00103DBC" w:rsidRDefault="00103DBC" w:rsidP="00103DBC">
            <w:pPr>
              <w:spacing w:before="240"/>
              <w:textboxTightWrap w:val="allLines"/>
            </w:pPr>
            <w:r w:rsidRPr="00103DBC">
              <w:rPr>
                <w:b/>
              </w:rPr>
              <w:t xml:space="preserve">vii) Describe how the data quality risks and issues will be managed for this indicator, including the escalation process. </w:t>
            </w:r>
          </w:p>
          <w:p w14:paraId="12C46985" w14:textId="77777777" w:rsidR="00103DBC" w:rsidRPr="00103DBC" w:rsidRDefault="00103DBC" w:rsidP="00103DBC">
            <w:pPr>
              <w:textboxTightWrap w:val="allLines"/>
              <w:rPr>
                <w:b/>
              </w:rPr>
            </w:pPr>
          </w:p>
        </w:tc>
      </w:tr>
      <w:tr w:rsidR="00103DBC" w14:paraId="7A6D854D" w14:textId="77777777" w:rsidTr="00103DBC">
        <w:tc>
          <w:tcPr>
            <w:tcW w:w="2972" w:type="dxa"/>
          </w:tcPr>
          <w:p w14:paraId="3B8C2803" w14:textId="4FF5676D" w:rsidR="00103DBC" w:rsidRPr="00103DBC" w:rsidRDefault="00103DBC" w:rsidP="00103DBC">
            <w:pPr>
              <w:spacing w:before="240"/>
              <w:rPr>
                <w:b/>
              </w:rPr>
            </w:pPr>
            <w:r w:rsidRPr="00A708A3">
              <w:rPr>
                <w:b/>
              </w:rPr>
              <w:t>Data quality</w:t>
            </w:r>
          </w:p>
        </w:tc>
        <w:tc>
          <w:tcPr>
            <w:tcW w:w="6044" w:type="dxa"/>
          </w:tcPr>
          <w:p w14:paraId="569FE61D" w14:textId="77777777" w:rsidR="00103DBC" w:rsidRPr="00103DBC" w:rsidRDefault="00103DBC" w:rsidP="00103DBC">
            <w:pPr>
              <w:textboxTightWrap w:val="allLines"/>
            </w:pPr>
            <w:r w:rsidRPr="00103DBC">
              <w:rPr>
                <w:b/>
              </w:rPr>
              <w:t xml:space="preserve">viii) Describe any assumptions you have made about data quality for this indicator. </w:t>
            </w:r>
          </w:p>
          <w:p w14:paraId="0AE7D1EF" w14:textId="77777777" w:rsidR="00103DBC" w:rsidRPr="00103DBC" w:rsidRDefault="00103DBC" w:rsidP="00103DBC">
            <w:pPr>
              <w:spacing w:before="240"/>
              <w:textboxTightWrap w:val="allLines"/>
              <w:rPr>
                <w:b/>
              </w:rPr>
            </w:pPr>
          </w:p>
        </w:tc>
      </w:tr>
      <w:tr w:rsidR="00103DBC" w14:paraId="2AD7E987" w14:textId="77777777" w:rsidTr="00103DBC">
        <w:tc>
          <w:tcPr>
            <w:tcW w:w="2972" w:type="dxa"/>
          </w:tcPr>
          <w:p w14:paraId="7C6AD2F8" w14:textId="148DA6BA" w:rsidR="00103DBC" w:rsidRPr="00103DBC" w:rsidRDefault="00103DBC" w:rsidP="00103DBC">
            <w:pPr>
              <w:spacing w:before="240"/>
              <w:rPr>
                <w:b/>
              </w:rPr>
            </w:pPr>
            <w:r w:rsidRPr="00A708A3">
              <w:rPr>
                <w:b/>
              </w:rPr>
              <w:t>Data quality</w:t>
            </w:r>
          </w:p>
        </w:tc>
        <w:tc>
          <w:tcPr>
            <w:tcW w:w="6044" w:type="dxa"/>
          </w:tcPr>
          <w:p w14:paraId="382698D7" w14:textId="77777777" w:rsidR="00103DBC" w:rsidRPr="00103DBC" w:rsidRDefault="00103DBC" w:rsidP="00103DBC">
            <w:pPr>
              <w:textboxTightWrap w:val="allLines"/>
              <w:rPr>
                <w:b/>
              </w:rPr>
            </w:pPr>
            <w:r w:rsidRPr="00103DBC">
              <w:rPr>
                <w:b/>
              </w:rPr>
              <w:t>ix) Describe any data quality constraints you are aware of for this indicator.</w:t>
            </w:r>
            <w:r w:rsidRPr="00103DBC">
              <w:t xml:space="preserve"> </w:t>
            </w:r>
          </w:p>
          <w:p w14:paraId="292C7D84" w14:textId="77777777" w:rsidR="00103DBC" w:rsidRPr="00103DBC" w:rsidRDefault="00103DBC" w:rsidP="00103DBC">
            <w:pPr>
              <w:textboxTightWrap w:val="allLines"/>
              <w:rPr>
                <w:b/>
              </w:rPr>
            </w:pPr>
          </w:p>
        </w:tc>
      </w:tr>
      <w:tr w:rsidR="00103DBC" w14:paraId="4B2AC17E" w14:textId="77777777" w:rsidTr="00103DBC">
        <w:tc>
          <w:tcPr>
            <w:tcW w:w="2972" w:type="dxa"/>
          </w:tcPr>
          <w:p w14:paraId="4EF74398" w14:textId="1941F727" w:rsidR="00103DBC" w:rsidRPr="00103DBC" w:rsidRDefault="00103DBC" w:rsidP="00103DBC">
            <w:pPr>
              <w:spacing w:before="240"/>
              <w:rPr>
                <w:b/>
              </w:rPr>
            </w:pPr>
            <w:r w:rsidRPr="00A708A3">
              <w:rPr>
                <w:b/>
              </w:rPr>
              <w:t>Data quality</w:t>
            </w:r>
          </w:p>
        </w:tc>
        <w:tc>
          <w:tcPr>
            <w:tcW w:w="6044" w:type="dxa"/>
          </w:tcPr>
          <w:p w14:paraId="424DCB47" w14:textId="77777777" w:rsidR="00103DBC" w:rsidRPr="00103DBC" w:rsidRDefault="00103DBC" w:rsidP="00103DBC">
            <w:pPr>
              <w:spacing w:before="240"/>
              <w:rPr>
                <w:b/>
              </w:rPr>
            </w:pPr>
            <w:r w:rsidRPr="00103DBC">
              <w:rPr>
                <w:b/>
              </w:rPr>
              <w:t xml:space="preserve">x) Additional data quality information: </w:t>
            </w:r>
          </w:p>
          <w:p w14:paraId="3D7C27BA" w14:textId="77777777" w:rsidR="00103DBC" w:rsidRPr="00103DBC" w:rsidRDefault="00103DBC" w:rsidP="00103DBC">
            <w:pPr>
              <w:spacing w:before="240"/>
            </w:pPr>
            <w:r w:rsidRPr="00103DBC">
              <w:t xml:space="preserve">Data quality from the MHSDS </w:t>
            </w:r>
            <w:proofErr w:type="gramStart"/>
            <w:r w:rsidRPr="00103DBC">
              <w:t>is considered to be</w:t>
            </w:r>
            <w:proofErr w:type="gramEnd"/>
            <w:r w:rsidRPr="00103DBC">
              <w:t xml:space="preserve"> good, however as a new data set, further investigation of data quality is ongoing. Further information can be found at </w:t>
            </w:r>
            <w:hyperlink r:id="rId10" w:history="1">
              <w:r w:rsidRPr="00103DBC">
                <w:rPr>
                  <w:rStyle w:val="Hyperlink"/>
                  <w:color w:val="auto"/>
                </w:rPr>
                <w:t>http://content.digital.nhs.uk/mhsds</w:t>
              </w:r>
            </w:hyperlink>
            <w:r w:rsidRPr="00103DBC">
              <w:t xml:space="preserve">. </w:t>
            </w:r>
          </w:p>
          <w:p w14:paraId="5F0CE89B" w14:textId="77777777" w:rsidR="00103DBC" w:rsidRPr="00103DBC" w:rsidRDefault="00103DBC" w:rsidP="00103DBC">
            <w:pPr>
              <w:spacing w:before="240"/>
            </w:pPr>
            <w:r w:rsidRPr="00103DBC">
              <w:t xml:space="preserve">The MHSDS, introduced in January 2016, is a new data set that supersedes and replaces the Mental Health and Learning Disabilities Data Set (MHLDDS), introduced in September 2014, which in turn replaced the original source of the indicator, the Mental Health Minimum Data Set (MHMDS). The MHSDS includes those in contact with access to community mental health, learning disabilities and autism services. Releases of data from the different versions of the data set are not directly comparable with each other due to changes in scope. All outputs from the MHSDS are currently classified as experimental statistics </w:t>
            </w:r>
            <w:r w:rsidRPr="00103DBC">
              <w:lastRenderedPageBreak/>
              <w:t>until all the relevant aspects of the new data set have been further investigated.</w:t>
            </w:r>
          </w:p>
          <w:p w14:paraId="0D445A94" w14:textId="77777777" w:rsidR="00103DBC" w:rsidRPr="00103DBC" w:rsidRDefault="00103DBC" w:rsidP="00103DBC">
            <w:pPr>
              <w:spacing w:before="240"/>
            </w:pPr>
            <w:r w:rsidRPr="00103DBC">
              <w:t>Completeness of the employment status field is poor, for the period 2016/17 in the MHSDS this was 35%. As such, extra caution must be taken when using the indicator or making comparisons. This indicator is presented with the recording level (i.e. the percentage of records where the employment status was complete) for each CCG, which is given as contextual information to assist users to understand the data completeness.</w:t>
            </w:r>
          </w:p>
          <w:p w14:paraId="12539232" w14:textId="77777777" w:rsidR="00103DBC" w:rsidRPr="00103DBC" w:rsidRDefault="00103DBC" w:rsidP="00103DBC">
            <w:pPr>
              <w:spacing w:before="240"/>
            </w:pPr>
            <w:r w:rsidRPr="00103DBC">
              <w:t>Employment status is a ‘required’ field in the MHSDS; meaning that if a patient’s status is recorded then it must be submitted. Clinical guidance recommends that the check on a patient’s employment status should be carried out annually; hence, the status should be recorded and submitted once per year.</w:t>
            </w:r>
          </w:p>
          <w:p w14:paraId="2B1C4502" w14:textId="77777777" w:rsidR="00103DBC" w:rsidRPr="00103DBC" w:rsidRDefault="00103DBC" w:rsidP="00103DBC">
            <w:pPr>
              <w:spacing w:before="240"/>
            </w:pPr>
            <w:r w:rsidRPr="00103DBC">
              <w:t>The addition of adult mental health care super cluster in the indictor resulted in a small amount of duplication in the 2014/15 data, the degree of which is reported in the Final Data Quality Report Mental Health and Learning Disabilities Statistics Monthly Report. Due to data quality concerns, Mental health care super cluster was not reported in the July 2015 to June 2016 or October 2015 to September 2016 reporting periods. The duplication has been resolved in the July 2015 to June 2016 data onwards.</w:t>
            </w:r>
          </w:p>
          <w:p w14:paraId="76902415" w14:textId="77777777" w:rsidR="00103DBC" w:rsidRPr="00103DBC" w:rsidRDefault="00103DBC" w:rsidP="00103DBC">
            <w:pPr>
              <w:spacing w:before="240"/>
              <w:rPr>
                <w:bCs/>
              </w:rPr>
            </w:pPr>
          </w:p>
          <w:p w14:paraId="7EE8FC7A" w14:textId="12C528FA" w:rsidR="00103DBC" w:rsidRPr="00103DBC" w:rsidRDefault="00103DBC" w:rsidP="00103DBC">
            <w:pPr>
              <w:textboxTightWrap w:val="allLines"/>
              <w:rPr>
                <w:b/>
              </w:rPr>
            </w:pPr>
            <w:r w:rsidRPr="00103DBC">
              <w:rPr>
                <w:bCs/>
              </w:rPr>
              <w:t>The MHSDS is updated monthly and routine reports are available approximately three months following the end of the month in which the activity took place.</w:t>
            </w:r>
          </w:p>
        </w:tc>
      </w:tr>
      <w:tr w:rsidR="00103DBC" w14:paraId="6391CBFC" w14:textId="77777777" w:rsidTr="00103DBC">
        <w:tc>
          <w:tcPr>
            <w:tcW w:w="2972" w:type="dxa"/>
          </w:tcPr>
          <w:p w14:paraId="663F1AEB" w14:textId="6B4B611B" w:rsidR="00103DBC" w:rsidRPr="00103DBC" w:rsidRDefault="00103DBC" w:rsidP="00103DBC">
            <w:pPr>
              <w:spacing w:before="240"/>
              <w:rPr>
                <w:b/>
              </w:rPr>
            </w:pPr>
            <w:r w:rsidRPr="00103DBC">
              <w:rPr>
                <w:b/>
              </w:rPr>
              <w:lastRenderedPageBreak/>
              <w:t>Quality assurance</w:t>
            </w:r>
          </w:p>
        </w:tc>
        <w:tc>
          <w:tcPr>
            <w:tcW w:w="6044" w:type="dxa"/>
          </w:tcPr>
          <w:p w14:paraId="1DF88EFA" w14:textId="77777777" w:rsidR="00103DBC" w:rsidRPr="00103DBC" w:rsidRDefault="00103DBC" w:rsidP="00103DBC">
            <w:pPr>
              <w:spacing w:before="240"/>
              <w:rPr>
                <w:b/>
              </w:rPr>
            </w:pPr>
          </w:p>
        </w:tc>
      </w:tr>
      <w:tr w:rsidR="00103DBC" w14:paraId="4CB9F7F7" w14:textId="77777777" w:rsidTr="00103DBC">
        <w:tc>
          <w:tcPr>
            <w:tcW w:w="2972" w:type="dxa"/>
          </w:tcPr>
          <w:p w14:paraId="6836FE2D" w14:textId="156A9F04" w:rsidR="00103DBC" w:rsidRPr="00103DBC" w:rsidRDefault="00103DBC" w:rsidP="00103DBC">
            <w:pPr>
              <w:spacing w:before="240"/>
              <w:rPr>
                <w:b/>
              </w:rPr>
            </w:pPr>
            <w:r w:rsidRPr="00103DBC">
              <w:rPr>
                <w:b/>
              </w:rPr>
              <w:t>Data linkage</w:t>
            </w:r>
          </w:p>
        </w:tc>
        <w:tc>
          <w:tcPr>
            <w:tcW w:w="6044" w:type="dxa"/>
          </w:tcPr>
          <w:p w14:paraId="20C1FAA9" w14:textId="77777777" w:rsidR="00103DBC" w:rsidRPr="00103DBC" w:rsidRDefault="00103DBC" w:rsidP="00103DBC">
            <w:pPr>
              <w:spacing w:before="240"/>
              <w:rPr>
                <w:b/>
              </w:rPr>
            </w:pPr>
          </w:p>
        </w:tc>
      </w:tr>
      <w:tr w:rsidR="00103DBC" w14:paraId="10ACE620" w14:textId="77777777" w:rsidTr="00103DBC">
        <w:tc>
          <w:tcPr>
            <w:tcW w:w="2972" w:type="dxa"/>
          </w:tcPr>
          <w:p w14:paraId="3C6D37E4" w14:textId="54051BC9" w:rsidR="00103DBC" w:rsidRPr="00103DBC" w:rsidRDefault="00103DBC" w:rsidP="00103DBC">
            <w:pPr>
              <w:spacing w:before="240"/>
              <w:rPr>
                <w:b/>
              </w:rPr>
            </w:pPr>
            <w:r w:rsidRPr="00103DBC">
              <w:rPr>
                <w:b/>
              </w:rPr>
              <w:t>Quality of data linkage</w:t>
            </w:r>
          </w:p>
        </w:tc>
        <w:tc>
          <w:tcPr>
            <w:tcW w:w="6044" w:type="dxa"/>
          </w:tcPr>
          <w:p w14:paraId="4505F5A0" w14:textId="77777777" w:rsidR="00103DBC" w:rsidRPr="00103DBC" w:rsidRDefault="00103DBC" w:rsidP="00103DBC">
            <w:pPr>
              <w:spacing w:before="240"/>
              <w:rPr>
                <w:b/>
              </w:rPr>
            </w:pPr>
          </w:p>
        </w:tc>
      </w:tr>
      <w:tr w:rsidR="00103DBC" w14:paraId="4B9F67D0" w14:textId="77777777" w:rsidTr="00103DBC">
        <w:tc>
          <w:tcPr>
            <w:tcW w:w="2972" w:type="dxa"/>
          </w:tcPr>
          <w:p w14:paraId="775E34D9" w14:textId="3D5E6E01" w:rsidR="00103DBC" w:rsidRPr="00103DBC" w:rsidRDefault="00103DBC" w:rsidP="00103DBC">
            <w:pPr>
              <w:spacing w:before="240"/>
              <w:rPr>
                <w:b/>
              </w:rPr>
            </w:pPr>
            <w:r w:rsidRPr="00103DBC">
              <w:rPr>
                <w:b/>
              </w:rPr>
              <w:t>Data fields</w:t>
            </w:r>
          </w:p>
        </w:tc>
        <w:tc>
          <w:tcPr>
            <w:tcW w:w="6044" w:type="dxa"/>
          </w:tcPr>
          <w:p w14:paraId="6AAEF53A" w14:textId="77777777" w:rsidR="00103DBC" w:rsidRPr="00103DBC" w:rsidRDefault="00103DBC" w:rsidP="00103DBC">
            <w:pPr>
              <w:autoSpaceDE w:val="0"/>
              <w:autoSpaceDN w:val="0"/>
              <w:adjustRightInd w:val="0"/>
            </w:pPr>
            <w:r w:rsidRPr="00103DBC">
              <w:t>For this indicator the data source is derived from final MHSDS data. Finalised data is usually available approximately three months following the activity date. Numerator and denominator figures are supplied by the NHS Digital Community and Mental Health team.</w:t>
            </w:r>
          </w:p>
          <w:p w14:paraId="55029C3E" w14:textId="77777777" w:rsidR="00103DBC" w:rsidRPr="00103DBC" w:rsidRDefault="00103DBC" w:rsidP="00103DBC">
            <w:pPr>
              <w:autoSpaceDE w:val="0"/>
              <w:autoSpaceDN w:val="0"/>
              <w:adjustRightInd w:val="0"/>
            </w:pPr>
          </w:p>
          <w:p w14:paraId="6030DF1F" w14:textId="77777777" w:rsidR="00103DBC" w:rsidRPr="00103DBC" w:rsidRDefault="00103DBC" w:rsidP="00103DBC">
            <w:pPr>
              <w:autoSpaceDE w:val="0"/>
              <w:autoSpaceDN w:val="0"/>
              <w:adjustRightInd w:val="0"/>
            </w:pPr>
            <w:r w:rsidRPr="00103DBC">
              <w:t>The data fields that are used to create this indicator are as follows. Details of MHSDS fields and classifications are available in the MHSDS Specification:</w:t>
            </w:r>
          </w:p>
          <w:p w14:paraId="4DEC97FB" w14:textId="77777777" w:rsidR="00103DBC" w:rsidRPr="00103DBC" w:rsidRDefault="00D41F0B" w:rsidP="00103DBC">
            <w:pPr>
              <w:autoSpaceDE w:val="0"/>
              <w:autoSpaceDN w:val="0"/>
              <w:adjustRightInd w:val="0"/>
            </w:pPr>
            <w:hyperlink r:id="rId11" w:history="1">
              <w:r w:rsidR="00103DBC" w:rsidRPr="00103DBC">
                <w:rPr>
                  <w:rStyle w:val="Hyperlink"/>
                  <w:color w:val="auto"/>
                </w:rPr>
                <w:t>http://content.digital.nhs.uk/mhsds/spec</w:t>
              </w:r>
            </w:hyperlink>
            <w:r w:rsidR="00103DBC" w:rsidRPr="00103DBC">
              <w:t>.</w:t>
            </w:r>
          </w:p>
          <w:p w14:paraId="088F4B5C" w14:textId="77777777" w:rsidR="00103DBC" w:rsidRPr="00103DBC" w:rsidRDefault="00103DBC" w:rsidP="00103DBC">
            <w:pPr>
              <w:autoSpaceDE w:val="0"/>
              <w:autoSpaceDN w:val="0"/>
              <w:adjustRightInd w:val="0"/>
            </w:pPr>
          </w:p>
          <w:p w14:paraId="7C4AAD5C" w14:textId="77777777" w:rsidR="00103DBC" w:rsidRPr="00103DBC" w:rsidRDefault="00103DBC" w:rsidP="00103DBC">
            <w:pPr>
              <w:pStyle w:val="ListParagraph"/>
              <w:numPr>
                <w:ilvl w:val="0"/>
                <w:numId w:val="6"/>
              </w:numPr>
              <w:autoSpaceDE w:val="0"/>
              <w:autoSpaceDN w:val="0"/>
              <w:adjustRightInd w:val="0"/>
              <w:contextualSpacing w:val="0"/>
            </w:pPr>
            <w:proofErr w:type="spellStart"/>
            <w:r w:rsidRPr="00103DBC">
              <w:rPr>
                <w:b/>
              </w:rPr>
              <w:t>UniqMHSDSPersID</w:t>
            </w:r>
            <w:proofErr w:type="spellEnd"/>
            <w:r w:rsidRPr="00103DBC">
              <w:t xml:space="preserve"> – Unique Person identifier</w:t>
            </w:r>
          </w:p>
          <w:p w14:paraId="57E99151" w14:textId="77777777" w:rsidR="00103DBC" w:rsidRPr="00103DBC" w:rsidRDefault="00103DBC" w:rsidP="00103DBC">
            <w:pPr>
              <w:pStyle w:val="ListParagraph"/>
              <w:numPr>
                <w:ilvl w:val="0"/>
                <w:numId w:val="6"/>
              </w:numPr>
              <w:autoSpaceDE w:val="0"/>
              <w:autoSpaceDN w:val="0"/>
              <w:adjustRightInd w:val="0"/>
              <w:contextualSpacing w:val="0"/>
            </w:pPr>
            <w:proofErr w:type="spellStart"/>
            <w:r w:rsidRPr="00103DBC">
              <w:rPr>
                <w:b/>
              </w:rPr>
              <w:t>IC_Rec_CCG</w:t>
            </w:r>
            <w:proofErr w:type="spellEnd"/>
            <w:r w:rsidRPr="00103DBC">
              <w:rPr>
                <w:b/>
              </w:rPr>
              <w:t xml:space="preserve"> - </w:t>
            </w:r>
            <w:r w:rsidRPr="00103DBC">
              <w:t>Person's postcode, based on GP practice or Postcode if no GP practice</w:t>
            </w:r>
          </w:p>
          <w:p w14:paraId="3678A3AC" w14:textId="77777777" w:rsidR="00103DBC" w:rsidRPr="00103DBC" w:rsidRDefault="00103DBC" w:rsidP="00103DBC">
            <w:pPr>
              <w:pStyle w:val="ListParagraph"/>
              <w:numPr>
                <w:ilvl w:val="0"/>
                <w:numId w:val="6"/>
              </w:numPr>
              <w:autoSpaceDE w:val="0"/>
              <w:autoSpaceDN w:val="0"/>
              <w:adjustRightInd w:val="0"/>
              <w:contextualSpacing w:val="0"/>
            </w:pPr>
            <w:r w:rsidRPr="00103DBC">
              <w:rPr>
                <w:b/>
              </w:rPr>
              <w:t>Gender</w:t>
            </w:r>
            <w:r w:rsidRPr="00103DBC">
              <w:t xml:space="preserve"> - Gender of person</w:t>
            </w:r>
          </w:p>
          <w:p w14:paraId="4D2BCFC1" w14:textId="77777777" w:rsidR="00103DBC" w:rsidRPr="00103DBC" w:rsidRDefault="00103DBC" w:rsidP="00103DBC">
            <w:pPr>
              <w:pStyle w:val="ListParagraph"/>
              <w:numPr>
                <w:ilvl w:val="0"/>
                <w:numId w:val="6"/>
              </w:numPr>
              <w:autoSpaceDE w:val="0"/>
              <w:autoSpaceDN w:val="0"/>
              <w:adjustRightInd w:val="0"/>
              <w:contextualSpacing w:val="0"/>
            </w:pPr>
            <w:proofErr w:type="spellStart"/>
            <w:r w:rsidRPr="00103DBC">
              <w:rPr>
                <w:b/>
              </w:rPr>
              <w:lastRenderedPageBreak/>
              <w:t>AgeRepPeriodEnd</w:t>
            </w:r>
            <w:proofErr w:type="spellEnd"/>
            <w:r w:rsidRPr="00103DBC">
              <w:t xml:space="preserve"> - Age at the end of the reporting period</w:t>
            </w:r>
          </w:p>
          <w:p w14:paraId="24CE09E3" w14:textId="77777777" w:rsidR="00103DBC" w:rsidRPr="00103DBC" w:rsidRDefault="00103DBC" w:rsidP="00103DBC">
            <w:pPr>
              <w:pStyle w:val="ListParagraph"/>
              <w:numPr>
                <w:ilvl w:val="0"/>
                <w:numId w:val="6"/>
              </w:numPr>
              <w:autoSpaceDE w:val="0"/>
              <w:autoSpaceDN w:val="0"/>
              <w:adjustRightInd w:val="0"/>
              <w:contextualSpacing w:val="0"/>
            </w:pPr>
            <w:proofErr w:type="spellStart"/>
            <w:r w:rsidRPr="00103DBC">
              <w:rPr>
                <w:b/>
              </w:rPr>
              <w:t>AMHCareClustCodeFin</w:t>
            </w:r>
            <w:proofErr w:type="spellEnd"/>
            <w:r w:rsidRPr="00103DBC">
              <w:t xml:space="preserve"> - Adult Mental Health Care Cluster</w:t>
            </w:r>
          </w:p>
          <w:p w14:paraId="741E5B3F" w14:textId="0F5E1D17" w:rsidR="00103DBC" w:rsidRPr="00103DBC" w:rsidRDefault="00103DBC" w:rsidP="00103DBC">
            <w:pPr>
              <w:spacing w:before="240"/>
              <w:rPr>
                <w:b/>
              </w:rPr>
            </w:pPr>
            <w:r w:rsidRPr="00103DBC">
              <w:rPr>
                <w:b/>
              </w:rPr>
              <w:t>Employ Status</w:t>
            </w:r>
            <w:r w:rsidRPr="00103DBC">
              <w:t xml:space="preserve"> - Employment status of patient</w:t>
            </w:r>
          </w:p>
        </w:tc>
      </w:tr>
    </w:tbl>
    <w:p w14:paraId="12A38126" w14:textId="77777777" w:rsidR="00103DBC" w:rsidRDefault="00103DBC" w:rsidP="00103DBC">
      <w:pPr>
        <w:pStyle w:val="Heading1"/>
        <w:rPr>
          <w:rFonts w:eastAsia="MS Mincho"/>
          <w:color w:val="auto"/>
          <w:sz w:val="22"/>
          <w:szCs w:val="22"/>
        </w:rPr>
      </w:pPr>
    </w:p>
    <w:p w14:paraId="5763E73A" w14:textId="5CADCD22" w:rsidR="000D2247" w:rsidRPr="00103DBC" w:rsidRDefault="00103DBC" w:rsidP="00103DBC">
      <w:pPr>
        <w:pStyle w:val="Heading1"/>
        <w:rPr>
          <w:rFonts w:eastAsia="MS Mincho"/>
          <w:color w:val="auto"/>
          <w:sz w:val="24"/>
          <w:szCs w:val="24"/>
        </w:rPr>
      </w:pPr>
      <w:r w:rsidRPr="00103DBC">
        <w:rPr>
          <w:rFonts w:eastAsia="MS Mincho"/>
          <w:color w:val="auto"/>
          <w:sz w:val="24"/>
          <w:szCs w:val="24"/>
        </w:rPr>
        <w:t>Data filters</w:t>
      </w:r>
    </w:p>
    <w:p w14:paraId="4A7CFD45" w14:textId="77777777" w:rsidR="00103DBC" w:rsidRPr="00103DBC" w:rsidRDefault="00103DBC" w:rsidP="00103DBC">
      <w:pPr>
        <w:rPr>
          <w:b/>
        </w:rPr>
      </w:pPr>
      <w:r w:rsidRPr="00103DBC">
        <w:rPr>
          <w:b/>
        </w:rPr>
        <w:t>Denominator</w:t>
      </w:r>
    </w:p>
    <w:p w14:paraId="380D279E" w14:textId="77777777" w:rsidR="00103DBC" w:rsidRPr="00103DBC" w:rsidRDefault="00103DBC" w:rsidP="00103DBC">
      <w:r w:rsidRPr="00103DBC">
        <w:t>Working age adults with a valid CCG Code ‘In contact with mental health services’ is defined as people who are in contact with NHS funded community mental health, learning disabilities or autism services.</w:t>
      </w:r>
    </w:p>
    <w:p w14:paraId="6BB5B349" w14:textId="77777777" w:rsidR="00103DBC" w:rsidRPr="00103DBC" w:rsidRDefault="00103DBC" w:rsidP="00103DBC"/>
    <w:p w14:paraId="34ABDE06" w14:textId="77777777" w:rsidR="00103DBC" w:rsidRPr="00103DBC" w:rsidRDefault="00103DBC" w:rsidP="00103DBC">
      <w:r w:rsidRPr="00103DBC">
        <w:t>Working age is defined as 18 to 69.</w:t>
      </w:r>
    </w:p>
    <w:p w14:paraId="4071523D" w14:textId="77777777" w:rsidR="00103DBC" w:rsidRPr="00103DBC" w:rsidRDefault="00103DBC" w:rsidP="00103DBC"/>
    <w:p w14:paraId="566CC1A1" w14:textId="77777777" w:rsidR="00103DBC" w:rsidRPr="00103DBC" w:rsidRDefault="00103DBC" w:rsidP="00103DBC">
      <w:pPr>
        <w:rPr>
          <w:b/>
        </w:rPr>
      </w:pPr>
      <w:r w:rsidRPr="00103DBC">
        <w:rPr>
          <w:b/>
        </w:rPr>
        <w:t>Numerator</w:t>
      </w:r>
    </w:p>
    <w:p w14:paraId="254D24AB" w14:textId="77777777" w:rsidR="00103DBC" w:rsidRPr="00103DBC" w:rsidRDefault="00103DBC" w:rsidP="00103DBC">
      <w:r w:rsidRPr="00103DBC">
        <w:t>Employment status is recorded using the following categories:</w:t>
      </w:r>
    </w:p>
    <w:tbl>
      <w:tblPr>
        <w:tblStyle w:val="TableGrid"/>
        <w:tblW w:w="7220" w:type="dxa"/>
        <w:tblLayout w:type="fixed"/>
        <w:tblLook w:val="04A0" w:firstRow="1" w:lastRow="0" w:firstColumn="1" w:lastColumn="0" w:noHBand="0" w:noVBand="1"/>
      </w:tblPr>
      <w:tblGrid>
        <w:gridCol w:w="508"/>
        <w:gridCol w:w="6712"/>
      </w:tblGrid>
      <w:tr w:rsidR="00103DBC" w:rsidRPr="00103DBC" w14:paraId="40341455" w14:textId="77777777" w:rsidTr="00103DBC">
        <w:trPr>
          <w:trHeight w:val="278"/>
        </w:trPr>
        <w:tc>
          <w:tcPr>
            <w:tcW w:w="508" w:type="dxa"/>
            <w:noWrap/>
            <w:hideMark/>
          </w:tcPr>
          <w:p w14:paraId="1B846C2C" w14:textId="77777777" w:rsidR="00103DBC" w:rsidRPr="00103DBC" w:rsidRDefault="00103DBC" w:rsidP="00103DBC">
            <w:pPr>
              <w:rPr>
                <w:lang w:eastAsia="en-GB"/>
              </w:rPr>
            </w:pPr>
            <w:r w:rsidRPr="00103DBC">
              <w:rPr>
                <w:lang w:eastAsia="en-GB"/>
              </w:rPr>
              <w:t>01</w:t>
            </w:r>
          </w:p>
        </w:tc>
        <w:tc>
          <w:tcPr>
            <w:tcW w:w="6712" w:type="dxa"/>
            <w:noWrap/>
            <w:hideMark/>
          </w:tcPr>
          <w:p w14:paraId="4236825D" w14:textId="77777777" w:rsidR="00103DBC" w:rsidRPr="00103DBC" w:rsidRDefault="00103DBC" w:rsidP="00103DBC">
            <w:pPr>
              <w:rPr>
                <w:lang w:eastAsia="en-GB"/>
              </w:rPr>
            </w:pPr>
            <w:r w:rsidRPr="00103DBC">
              <w:rPr>
                <w:lang w:eastAsia="en-GB"/>
              </w:rPr>
              <w:t>Employed</w:t>
            </w:r>
          </w:p>
        </w:tc>
      </w:tr>
      <w:tr w:rsidR="00103DBC" w:rsidRPr="00103DBC" w14:paraId="16602AF2" w14:textId="77777777" w:rsidTr="00103DBC">
        <w:trPr>
          <w:trHeight w:val="278"/>
        </w:trPr>
        <w:tc>
          <w:tcPr>
            <w:tcW w:w="508" w:type="dxa"/>
            <w:noWrap/>
            <w:hideMark/>
          </w:tcPr>
          <w:p w14:paraId="28FCE5F5" w14:textId="77777777" w:rsidR="00103DBC" w:rsidRPr="00103DBC" w:rsidRDefault="00103DBC" w:rsidP="00103DBC">
            <w:pPr>
              <w:rPr>
                <w:lang w:eastAsia="en-GB"/>
              </w:rPr>
            </w:pPr>
            <w:r w:rsidRPr="00103DBC">
              <w:rPr>
                <w:lang w:eastAsia="en-GB"/>
              </w:rPr>
              <w:t>02</w:t>
            </w:r>
          </w:p>
        </w:tc>
        <w:tc>
          <w:tcPr>
            <w:tcW w:w="6712" w:type="dxa"/>
            <w:noWrap/>
            <w:hideMark/>
          </w:tcPr>
          <w:p w14:paraId="090EC31F" w14:textId="77777777" w:rsidR="00103DBC" w:rsidRPr="00103DBC" w:rsidRDefault="00103DBC" w:rsidP="00103DBC">
            <w:pPr>
              <w:rPr>
                <w:lang w:eastAsia="en-GB"/>
              </w:rPr>
            </w:pPr>
            <w:r w:rsidRPr="00103DBC">
              <w:rPr>
                <w:lang w:eastAsia="en-GB"/>
              </w:rPr>
              <w:t>Unemployed and Seeking Work</w:t>
            </w:r>
          </w:p>
        </w:tc>
      </w:tr>
      <w:tr w:rsidR="00103DBC" w:rsidRPr="00103DBC" w14:paraId="4D0CC551" w14:textId="77777777" w:rsidTr="00103DBC">
        <w:trPr>
          <w:trHeight w:val="278"/>
        </w:trPr>
        <w:tc>
          <w:tcPr>
            <w:tcW w:w="508" w:type="dxa"/>
            <w:noWrap/>
            <w:hideMark/>
          </w:tcPr>
          <w:p w14:paraId="025C3F9D" w14:textId="77777777" w:rsidR="00103DBC" w:rsidRPr="00103DBC" w:rsidRDefault="00103DBC" w:rsidP="00103DBC">
            <w:pPr>
              <w:rPr>
                <w:lang w:eastAsia="en-GB"/>
              </w:rPr>
            </w:pPr>
            <w:r w:rsidRPr="00103DBC">
              <w:rPr>
                <w:lang w:eastAsia="en-GB"/>
              </w:rPr>
              <w:t>03</w:t>
            </w:r>
          </w:p>
        </w:tc>
        <w:tc>
          <w:tcPr>
            <w:tcW w:w="6712" w:type="dxa"/>
            <w:noWrap/>
            <w:hideMark/>
          </w:tcPr>
          <w:p w14:paraId="28011845" w14:textId="77777777" w:rsidR="00103DBC" w:rsidRPr="00103DBC" w:rsidRDefault="00103DBC" w:rsidP="00103DBC">
            <w:pPr>
              <w:rPr>
                <w:lang w:eastAsia="en-GB"/>
              </w:rPr>
            </w:pPr>
            <w:r w:rsidRPr="00103DBC">
              <w:rPr>
                <w:lang w:eastAsia="en-GB"/>
              </w:rPr>
              <w:t>Students who are undertaking full (at least 16 hours per week) or part-time (less than 16 hours per week) education or training and who are not working or actively seeking work</w:t>
            </w:r>
          </w:p>
        </w:tc>
      </w:tr>
      <w:tr w:rsidR="00103DBC" w:rsidRPr="00103DBC" w14:paraId="64733453" w14:textId="77777777" w:rsidTr="00103DBC">
        <w:trPr>
          <w:trHeight w:val="278"/>
        </w:trPr>
        <w:tc>
          <w:tcPr>
            <w:tcW w:w="508" w:type="dxa"/>
            <w:noWrap/>
            <w:hideMark/>
          </w:tcPr>
          <w:p w14:paraId="7DFA9262" w14:textId="77777777" w:rsidR="00103DBC" w:rsidRPr="00103DBC" w:rsidRDefault="00103DBC" w:rsidP="00103DBC">
            <w:pPr>
              <w:rPr>
                <w:lang w:eastAsia="en-GB"/>
              </w:rPr>
            </w:pPr>
            <w:r w:rsidRPr="00103DBC">
              <w:rPr>
                <w:lang w:eastAsia="en-GB"/>
              </w:rPr>
              <w:t>04</w:t>
            </w:r>
          </w:p>
        </w:tc>
        <w:tc>
          <w:tcPr>
            <w:tcW w:w="6712" w:type="dxa"/>
            <w:noWrap/>
            <w:hideMark/>
          </w:tcPr>
          <w:p w14:paraId="10CEB144" w14:textId="77777777" w:rsidR="00103DBC" w:rsidRPr="00103DBC" w:rsidRDefault="00103DBC" w:rsidP="00103DBC">
            <w:pPr>
              <w:rPr>
                <w:lang w:eastAsia="en-GB"/>
              </w:rPr>
            </w:pPr>
            <w:r w:rsidRPr="00103DBC">
              <w:rPr>
                <w:lang w:eastAsia="en-GB"/>
              </w:rPr>
              <w:t>Long-term sick or disabled, those who are receiving Incapacity Benefit, Income Support or both; or Employment and Support Allowance</w:t>
            </w:r>
          </w:p>
        </w:tc>
      </w:tr>
      <w:tr w:rsidR="00103DBC" w:rsidRPr="00103DBC" w14:paraId="06484A05" w14:textId="77777777" w:rsidTr="00103DBC">
        <w:trPr>
          <w:trHeight w:val="278"/>
        </w:trPr>
        <w:tc>
          <w:tcPr>
            <w:tcW w:w="508" w:type="dxa"/>
            <w:noWrap/>
            <w:hideMark/>
          </w:tcPr>
          <w:p w14:paraId="32AB3DF4" w14:textId="77777777" w:rsidR="00103DBC" w:rsidRPr="00103DBC" w:rsidRDefault="00103DBC" w:rsidP="00103DBC">
            <w:pPr>
              <w:rPr>
                <w:lang w:eastAsia="en-GB"/>
              </w:rPr>
            </w:pPr>
            <w:r w:rsidRPr="00103DBC">
              <w:rPr>
                <w:lang w:eastAsia="en-GB"/>
              </w:rPr>
              <w:t>05</w:t>
            </w:r>
          </w:p>
        </w:tc>
        <w:tc>
          <w:tcPr>
            <w:tcW w:w="6712" w:type="dxa"/>
            <w:noWrap/>
            <w:hideMark/>
          </w:tcPr>
          <w:p w14:paraId="6E747F65" w14:textId="77777777" w:rsidR="00103DBC" w:rsidRPr="00103DBC" w:rsidRDefault="00103DBC" w:rsidP="00103DBC">
            <w:pPr>
              <w:rPr>
                <w:lang w:eastAsia="en-GB"/>
              </w:rPr>
            </w:pPr>
            <w:r w:rsidRPr="00103DBC">
              <w:rPr>
                <w:lang w:eastAsia="en-GB"/>
              </w:rPr>
              <w:t>Homemaker looking after the family or home and who are not working or actively seeking work</w:t>
            </w:r>
          </w:p>
        </w:tc>
      </w:tr>
      <w:tr w:rsidR="00103DBC" w:rsidRPr="00103DBC" w14:paraId="55E29001" w14:textId="77777777" w:rsidTr="00103DBC">
        <w:trPr>
          <w:trHeight w:val="278"/>
        </w:trPr>
        <w:tc>
          <w:tcPr>
            <w:tcW w:w="508" w:type="dxa"/>
            <w:noWrap/>
            <w:hideMark/>
          </w:tcPr>
          <w:p w14:paraId="1E4C4CE7" w14:textId="77777777" w:rsidR="00103DBC" w:rsidRPr="00103DBC" w:rsidRDefault="00103DBC" w:rsidP="00103DBC">
            <w:pPr>
              <w:rPr>
                <w:lang w:eastAsia="en-GB"/>
              </w:rPr>
            </w:pPr>
            <w:r w:rsidRPr="00103DBC">
              <w:rPr>
                <w:lang w:eastAsia="en-GB"/>
              </w:rPr>
              <w:t>06</w:t>
            </w:r>
          </w:p>
        </w:tc>
        <w:tc>
          <w:tcPr>
            <w:tcW w:w="6712" w:type="dxa"/>
            <w:noWrap/>
            <w:hideMark/>
          </w:tcPr>
          <w:p w14:paraId="702EFE66" w14:textId="77777777" w:rsidR="00103DBC" w:rsidRPr="00103DBC" w:rsidRDefault="00103DBC" w:rsidP="00103DBC">
            <w:pPr>
              <w:rPr>
                <w:lang w:eastAsia="en-GB"/>
              </w:rPr>
            </w:pPr>
            <w:r w:rsidRPr="00103DBC">
              <w:rPr>
                <w:lang w:eastAsia="en-GB"/>
              </w:rPr>
              <w:t>Not receiving benefits and who are not working or actively seeking work</w:t>
            </w:r>
          </w:p>
        </w:tc>
      </w:tr>
      <w:tr w:rsidR="00103DBC" w:rsidRPr="00103DBC" w14:paraId="3E2D23CF" w14:textId="77777777" w:rsidTr="00103DBC">
        <w:trPr>
          <w:trHeight w:val="278"/>
        </w:trPr>
        <w:tc>
          <w:tcPr>
            <w:tcW w:w="508" w:type="dxa"/>
            <w:noWrap/>
            <w:hideMark/>
          </w:tcPr>
          <w:p w14:paraId="6FBB676D" w14:textId="77777777" w:rsidR="00103DBC" w:rsidRPr="00103DBC" w:rsidRDefault="00103DBC" w:rsidP="00103DBC">
            <w:pPr>
              <w:rPr>
                <w:lang w:eastAsia="en-GB"/>
              </w:rPr>
            </w:pPr>
            <w:r w:rsidRPr="00103DBC">
              <w:rPr>
                <w:lang w:eastAsia="en-GB"/>
              </w:rPr>
              <w:t>07</w:t>
            </w:r>
          </w:p>
        </w:tc>
        <w:tc>
          <w:tcPr>
            <w:tcW w:w="6712" w:type="dxa"/>
            <w:noWrap/>
            <w:hideMark/>
          </w:tcPr>
          <w:p w14:paraId="037BC47A" w14:textId="77777777" w:rsidR="00103DBC" w:rsidRPr="00103DBC" w:rsidRDefault="00103DBC" w:rsidP="00103DBC">
            <w:pPr>
              <w:rPr>
                <w:lang w:eastAsia="en-GB"/>
              </w:rPr>
            </w:pPr>
            <w:r w:rsidRPr="00103DBC">
              <w:rPr>
                <w:lang w:eastAsia="en-GB"/>
              </w:rPr>
              <w:t>Unpaid voluntary work who are not working or actively seeking work</w:t>
            </w:r>
          </w:p>
        </w:tc>
      </w:tr>
      <w:tr w:rsidR="00103DBC" w:rsidRPr="00103DBC" w14:paraId="3FD86A24" w14:textId="77777777" w:rsidTr="00103DBC">
        <w:trPr>
          <w:trHeight w:val="278"/>
        </w:trPr>
        <w:tc>
          <w:tcPr>
            <w:tcW w:w="508" w:type="dxa"/>
            <w:noWrap/>
            <w:hideMark/>
          </w:tcPr>
          <w:p w14:paraId="64C38B79" w14:textId="77777777" w:rsidR="00103DBC" w:rsidRPr="00103DBC" w:rsidRDefault="00103DBC" w:rsidP="00103DBC">
            <w:pPr>
              <w:rPr>
                <w:lang w:eastAsia="en-GB"/>
              </w:rPr>
            </w:pPr>
            <w:r w:rsidRPr="00103DBC">
              <w:rPr>
                <w:lang w:eastAsia="en-GB"/>
              </w:rPr>
              <w:t>08</w:t>
            </w:r>
          </w:p>
        </w:tc>
        <w:tc>
          <w:tcPr>
            <w:tcW w:w="6712" w:type="dxa"/>
            <w:noWrap/>
            <w:hideMark/>
          </w:tcPr>
          <w:p w14:paraId="3CCA818A" w14:textId="77777777" w:rsidR="00103DBC" w:rsidRPr="00103DBC" w:rsidRDefault="00103DBC" w:rsidP="00103DBC">
            <w:pPr>
              <w:rPr>
                <w:lang w:eastAsia="en-GB"/>
              </w:rPr>
            </w:pPr>
            <w:r w:rsidRPr="00103DBC">
              <w:rPr>
                <w:lang w:eastAsia="en-GB"/>
              </w:rPr>
              <w:t>Retired</w:t>
            </w:r>
          </w:p>
        </w:tc>
      </w:tr>
      <w:tr w:rsidR="00103DBC" w:rsidRPr="00103DBC" w14:paraId="6D165A9A" w14:textId="77777777" w:rsidTr="00103DBC">
        <w:trPr>
          <w:trHeight w:val="278"/>
        </w:trPr>
        <w:tc>
          <w:tcPr>
            <w:tcW w:w="508" w:type="dxa"/>
            <w:noWrap/>
            <w:hideMark/>
          </w:tcPr>
          <w:p w14:paraId="6C6CCD34" w14:textId="77777777" w:rsidR="00103DBC" w:rsidRPr="00103DBC" w:rsidRDefault="00103DBC" w:rsidP="00103DBC">
            <w:pPr>
              <w:rPr>
                <w:lang w:eastAsia="en-GB"/>
              </w:rPr>
            </w:pPr>
            <w:r w:rsidRPr="00103DBC">
              <w:rPr>
                <w:lang w:eastAsia="en-GB"/>
              </w:rPr>
              <w:t>ZZ</w:t>
            </w:r>
          </w:p>
        </w:tc>
        <w:tc>
          <w:tcPr>
            <w:tcW w:w="6712" w:type="dxa"/>
            <w:noWrap/>
            <w:hideMark/>
          </w:tcPr>
          <w:p w14:paraId="250933D6" w14:textId="77777777" w:rsidR="00103DBC" w:rsidRPr="00103DBC" w:rsidRDefault="00103DBC" w:rsidP="00103DBC">
            <w:pPr>
              <w:rPr>
                <w:lang w:eastAsia="en-GB"/>
              </w:rPr>
            </w:pPr>
            <w:r w:rsidRPr="00103DBC">
              <w:rPr>
                <w:lang w:eastAsia="en-GB"/>
              </w:rPr>
              <w:t xml:space="preserve">Not Stated (person asked but declined to provide a response) </w:t>
            </w:r>
          </w:p>
        </w:tc>
      </w:tr>
    </w:tbl>
    <w:p w14:paraId="0D9EB930" w14:textId="77777777" w:rsidR="00103DBC" w:rsidRPr="00103DBC" w:rsidRDefault="00103DBC" w:rsidP="00103DBC"/>
    <w:p w14:paraId="1D332801" w14:textId="77777777" w:rsidR="00103DBC" w:rsidRPr="00103DBC" w:rsidRDefault="00103DBC" w:rsidP="00103DBC">
      <w:r w:rsidRPr="00103DBC">
        <w:t>The definition of employment in this indicator is ‘01’. In employment refers to either an employee, self-employed, on Government employed and training programmes, or an unpaid family worker (in a family owned business). This is the International Labour Organization Definition of basic economic activity.</w:t>
      </w:r>
    </w:p>
    <w:p w14:paraId="4E925F5E" w14:textId="77777777" w:rsidR="00103DBC" w:rsidRPr="00103DBC" w:rsidRDefault="00103DBC" w:rsidP="00103DBC"/>
    <w:p w14:paraId="1E6CAEDC" w14:textId="7204BCD3" w:rsidR="00103DBC" w:rsidRDefault="00103DBC" w:rsidP="00103DBC">
      <w:r w:rsidRPr="00103DBC">
        <w:t>The percentage of records where the Employment Status was completed is presented as the Recording level.</w:t>
      </w:r>
    </w:p>
    <w:p w14:paraId="3ACCE2C3" w14:textId="61243345" w:rsidR="00103DBC" w:rsidRDefault="00103DBC" w:rsidP="00103DBC"/>
    <w:p w14:paraId="44CFD581" w14:textId="77D3EED1" w:rsidR="00103DBC" w:rsidRPr="00103DBC" w:rsidRDefault="00103DBC" w:rsidP="00103DBC">
      <w:pPr>
        <w:rPr>
          <w:b/>
          <w:bCs/>
        </w:rPr>
      </w:pPr>
      <w:r w:rsidRPr="00103DBC">
        <w:rPr>
          <w:b/>
          <w:bCs/>
        </w:rPr>
        <w:t>Data processing</w:t>
      </w:r>
    </w:p>
    <w:p w14:paraId="2DA6FDF9" w14:textId="77777777" w:rsidR="00103DBC" w:rsidRPr="00103DBC" w:rsidRDefault="00103DBC" w:rsidP="00103DBC">
      <w:pPr>
        <w:spacing w:before="240"/>
      </w:pPr>
      <w:r w:rsidRPr="00103DBC">
        <w:t>The data are aggregated by the NHS Digital Community and Mental Health team using GP Practice code where the person is registered (or where the person is resident if registration information is not available).</w:t>
      </w:r>
    </w:p>
    <w:p w14:paraId="187DD026" w14:textId="77777777" w:rsidR="00103DBC" w:rsidRPr="00103DBC" w:rsidRDefault="00103DBC" w:rsidP="00103DBC"/>
    <w:tbl>
      <w:tblPr>
        <w:tblStyle w:val="TableGrid"/>
        <w:tblW w:w="0" w:type="auto"/>
        <w:tblLook w:val="04A0" w:firstRow="1" w:lastRow="0" w:firstColumn="1" w:lastColumn="0" w:noHBand="0" w:noVBand="1"/>
      </w:tblPr>
      <w:tblGrid>
        <w:gridCol w:w="2972"/>
        <w:gridCol w:w="6044"/>
      </w:tblGrid>
      <w:tr w:rsidR="00103DBC" w:rsidRPr="00103DBC" w14:paraId="540EB6E9" w14:textId="77777777" w:rsidTr="00103DBC">
        <w:tc>
          <w:tcPr>
            <w:tcW w:w="2972" w:type="dxa"/>
          </w:tcPr>
          <w:p w14:paraId="789AA3B2" w14:textId="40DD58BB" w:rsidR="00103DBC" w:rsidRPr="00103DBC" w:rsidRDefault="00103DBC" w:rsidP="00103DBC">
            <w:pPr>
              <w:spacing w:before="240"/>
              <w:rPr>
                <w:b/>
              </w:rPr>
            </w:pPr>
            <w:r w:rsidRPr="00103DBC">
              <w:rPr>
                <w:b/>
              </w:rPr>
              <w:t>Numerator</w:t>
            </w:r>
          </w:p>
        </w:tc>
        <w:tc>
          <w:tcPr>
            <w:tcW w:w="6044" w:type="dxa"/>
          </w:tcPr>
          <w:p w14:paraId="06A1E1AB" w14:textId="77777777" w:rsidR="00103DBC" w:rsidRPr="00103DBC" w:rsidRDefault="00103DBC" w:rsidP="00103DBC">
            <w:pPr>
              <w:spacing w:before="240"/>
            </w:pPr>
            <w:r w:rsidRPr="00103DBC">
              <w:t xml:space="preserve">Of people in the denominator, the number recorded as being in employment at their most recent assessment, </w:t>
            </w:r>
            <w:r w:rsidRPr="00103DBC">
              <w:lastRenderedPageBreak/>
              <w:t>formal review, or other multi-disciplinary care planning meeting.</w:t>
            </w:r>
          </w:p>
          <w:p w14:paraId="0B5B0789" w14:textId="77777777" w:rsidR="00103DBC" w:rsidRPr="00103DBC" w:rsidRDefault="00103DBC" w:rsidP="00103DBC">
            <w:pPr>
              <w:spacing w:before="240"/>
            </w:pPr>
            <w:r w:rsidRPr="00103DBC">
              <w:t>This is defined in MHSDS as the number of people aged 18 to 69 with an open referral at the end of the reporting period, where the record of employment associated with their most recent contact with mental health services in the previous 12 months indicates that they were employed.</w:t>
            </w:r>
          </w:p>
          <w:p w14:paraId="5F86DE65" w14:textId="3E3CBEE7" w:rsidR="00103DBC" w:rsidRPr="00103DBC" w:rsidRDefault="00103DBC" w:rsidP="00103DBC">
            <w:pPr>
              <w:spacing w:before="240"/>
              <w:rPr>
                <w:b/>
              </w:rPr>
            </w:pPr>
            <w:r w:rsidRPr="00103DBC">
              <w:t>Patients are only counted once even if they have attended more than the practice or CCG in the period. Their referral with a provider of NHS funded community mental health, learning disabilities or autism services is used for the purpose of this analysis, even if the employment record is not the most recent record.</w:t>
            </w:r>
          </w:p>
        </w:tc>
      </w:tr>
      <w:tr w:rsidR="00103DBC" w:rsidRPr="00103DBC" w14:paraId="23E7E43E" w14:textId="77777777" w:rsidTr="00103DBC">
        <w:tc>
          <w:tcPr>
            <w:tcW w:w="2972" w:type="dxa"/>
          </w:tcPr>
          <w:p w14:paraId="1EF49EF6" w14:textId="122BD90C" w:rsidR="00103DBC" w:rsidRPr="00103DBC" w:rsidRDefault="00103DBC" w:rsidP="00103DBC">
            <w:pPr>
              <w:spacing w:before="240"/>
              <w:rPr>
                <w:b/>
              </w:rPr>
            </w:pPr>
            <w:r w:rsidRPr="00103DBC">
              <w:rPr>
                <w:b/>
              </w:rPr>
              <w:lastRenderedPageBreak/>
              <w:t>Denominator</w:t>
            </w:r>
          </w:p>
        </w:tc>
        <w:tc>
          <w:tcPr>
            <w:tcW w:w="6044" w:type="dxa"/>
          </w:tcPr>
          <w:p w14:paraId="37324F84" w14:textId="77777777" w:rsidR="00103DBC" w:rsidRPr="00103DBC" w:rsidRDefault="00103DBC" w:rsidP="00103DBC">
            <w:pPr>
              <w:spacing w:before="240"/>
            </w:pPr>
            <w:r w:rsidRPr="00103DBC">
              <w:t>CCG level count of working age adults aged 18 to 69 who have received NHS funded community mental health, learning disabilities or autism services at any point during the year.</w:t>
            </w:r>
          </w:p>
          <w:p w14:paraId="29830F1F" w14:textId="20215099" w:rsidR="00103DBC" w:rsidRPr="00103DBC" w:rsidRDefault="00103DBC" w:rsidP="00103DBC">
            <w:pPr>
              <w:spacing w:before="240"/>
            </w:pPr>
            <w:r w:rsidRPr="00103DBC">
              <w:t>Defined in MHSDS as the number of people aged 18 to 69 with an open Adult Mental health care, learning disabilities or autism services referral at the end of the reporting period.</w:t>
            </w:r>
          </w:p>
        </w:tc>
      </w:tr>
      <w:tr w:rsidR="00103DBC" w:rsidRPr="00103DBC" w14:paraId="6D17E62D" w14:textId="77777777" w:rsidTr="00103DBC">
        <w:tc>
          <w:tcPr>
            <w:tcW w:w="2972" w:type="dxa"/>
          </w:tcPr>
          <w:p w14:paraId="2FB1F036" w14:textId="48E6376C" w:rsidR="00103DBC" w:rsidRPr="00103DBC" w:rsidRDefault="00103DBC" w:rsidP="00103DBC">
            <w:pPr>
              <w:spacing w:before="240"/>
              <w:rPr>
                <w:b/>
              </w:rPr>
            </w:pPr>
            <w:r w:rsidRPr="00103DBC">
              <w:rPr>
                <w:b/>
              </w:rPr>
              <w:t>Computation</w:t>
            </w:r>
          </w:p>
        </w:tc>
        <w:tc>
          <w:tcPr>
            <w:tcW w:w="6044" w:type="dxa"/>
          </w:tcPr>
          <w:p w14:paraId="585918C3" w14:textId="42E8F371" w:rsidR="00103DBC" w:rsidRPr="00103DBC" w:rsidRDefault="00103DBC" w:rsidP="00103DBC">
            <w:pPr>
              <w:spacing w:before="240"/>
            </w:pPr>
            <w:r w:rsidRPr="00103DBC">
              <w:t>This indicator is calculated as a percentage with 95% confidence intervals.</w:t>
            </w:r>
          </w:p>
        </w:tc>
      </w:tr>
      <w:tr w:rsidR="00103DBC" w:rsidRPr="00103DBC" w14:paraId="2B951342" w14:textId="77777777" w:rsidTr="00103DBC">
        <w:tc>
          <w:tcPr>
            <w:tcW w:w="2972" w:type="dxa"/>
          </w:tcPr>
          <w:p w14:paraId="13649B09" w14:textId="11108C04" w:rsidR="00103DBC" w:rsidRPr="00103DBC" w:rsidRDefault="00103DBC" w:rsidP="00103DBC">
            <w:pPr>
              <w:spacing w:before="240"/>
              <w:rPr>
                <w:b/>
              </w:rPr>
            </w:pPr>
            <w:r w:rsidRPr="00103DBC">
              <w:rPr>
                <w:b/>
              </w:rPr>
              <w:t>Risk adjustment or standardisation type and methodology</w:t>
            </w:r>
          </w:p>
        </w:tc>
        <w:tc>
          <w:tcPr>
            <w:tcW w:w="6044" w:type="dxa"/>
          </w:tcPr>
          <w:sdt>
            <w:sdtPr>
              <w:rPr>
                <w:b/>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42D84268" w14:textId="77777777" w:rsidR="00103DBC" w:rsidRPr="00103DBC" w:rsidRDefault="00103DBC" w:rsidP="00103DBC">
                <w:pPr>
                  <w:spacing w:before="240"/>
                </w:pPr>
                <w:r w:rsidRPr="00103DBC">
                  <w:rPr>
                    <w:b/>
                  </w:rPr>
                  <w:t>None</w:t>
                </w:r>
              </w:p>
            </w:sdtContent>
          </w:sdt>
          <w:p w14:paraId="7D785829" w14:textId="77777777" w:rsidR="00103DBC" w:rsidRPr="00103DBC" w:rsidRDefault="00103DBC" w:rsidP="00103DBC">
            <w:pPr>
              <w:spacing w:before="240"/>
              <w:rPr>
                <w:i/>
              </w:rPr>
            </w:pPr>
            <w:r w:rsidRPr="00103DBC">
              <w:rPr>
                <w:i/>
              </w:rPr>
              <w:t>Variables and methodology:</w:t>
            </w:r>
          </w:p>
          <w:p w14:paraId="159C632B" w14:textId="77777777" w:rsidR="00103DBC" w:rsidRPr="00103DBC" w:rsidRDefault="00103DBC" w:rsidP="00103DBC">
            <w:pPr>
              <w:spacing w:before="240"/>
            </w:pPr>
          </w:p>
        </w:tc>
      </w:tr>
      <w:tr w:rsidR="00103DBC" w:rsidRPr="00103DBC" w14:paraId="3AB1EC35" w14:textId="77777777" w:rsidTr="00103DBC">
        <w:tc>
          <w:tcPr>
            <w:tcW w:w="2972" w:type="dxa"/>
          </w:tcPr>
          <w:p w14:paraId="56BF7C27" w14:textId="77777777" w:rsidR="00103DBC" w:rsidRPr="00103DBC" w:rsidRDefault="00103DBC" w:rsidP="00103DBC">
            <w:pPr>
              <w:spacing w:before="240"/>
              <w:ind w:left="34"/>
              <w:rPr>
                <w:b/>
              </w:rPr>
            </w:pPr>
            <w:r w:rsidRPr="00103DBC">
              <w:rPr>
                <w:b/>
              </w:rPr>
              <w:t>Justification of risk adjustment type and variables</w:t>
            </w:r>
          </w:p>
          <w:p w14:paraId="5DA66455" w14:textId="0B0AC847" w:rsidR="00103DBC" w:rsidRPr="00103DBC" w:rsidRDefault="00103DBC" w:rsidP="00103DBC">
            <w:pPr>
              <w:spacing w:before="240"/>
              <w:rPr>
                <w:b/>
              </w:rPr>
            </w:pPr>
            <w:r w:rsidRPr="00103DBC">
              <w:t>or why risk adjustment is not used</w:t>
            </w:r>
          </w:p>
        </w:tc>
        <w:tc>
          <w:tcPr>
            <w:tcW w:w="6044" w:type="dxa"/>
          </w:tcPr>
          <w:p w14:paraId="5363E76C" w14:textId="37B1F2AE" w:rsidR="00103DBC" w:rsidRPr="00103DBC" w:rsidRDefault="00103DBC" w:rsidP="00103DBC">
            <w:pPr>
              <w:spacing w:before="240"/>
              <w:rPr>
                <w:b/>
              </w:rPr>
            </w:pPr>
            <w:r w:rsidRPr="00103DBC">
              <w:t>The data are not standardised. The most obvious factor to standardise by is a measure of the strength of the local labour market, as measured by local employment rates. However, it is not currently possible to produce employment statistics at CCG level.</w:t>
            </w:r>
          </w:p>
        </w:tc>
      </w:tr>
      <w:tr w:rsidR="00103DBC" w:rsidRPr="00103DBC" w14:paraId="27660BAE" w14:textId="77777777" w:rsidTr="00103DBC">
        <w:tc>
          <w:tcPr>
            <w:tcW w:w="2972" w:type="dxa"/>
          </w:tcPr>
          <w:p w14:paraId="73DF7DE1" w14:textId="10DACBE9" w:rsidR="00103DBC" w:rsidRPr="00103DBC" w:rsidRDefault="00103DBC" w:rsidP="00103DBC">
            <w:pPr>
              <w:spacing w:before="240"/>
              <w:ind w:left="34"/>
              <w:rPr>
                <w:b/>
              </w:rPr>
            </w:pPr>
            <w:r w:rsidRPr="00103DBC">
              <w:rPr>
                <w:b/>
              </w:rPr>
              <w:t>Confidence interval / control limit use and methodology</w:t>
            </w:r>
          </w:p>
        </w:tc>
        <w:tc>
          <w:tcPr>
            <w:tcW w:w="6044" w:type="dxa"/>
          </w:tcPr>
          <w:sdt>
            <w:sdt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34CD57E0" w14:textId="77777777" w:rsidR="00103DBC" w:rsidRPr="00103DBC" w:rsidRDefault="00103DBC" w:rsidP="00103DBC">
                <w:pPr>
                  <w:spacing w:before="240"/>
                </w:pPr>
                <w:r w:rsidRPr="00103DBC">
                  <w:t>Confidence Intervals</w:t>
                </w:r>
              </w:p>
            </w:sdtContent>
          </w:sdt>
          <w:p w14:paraId="44B108FD" w14:textId="77777777" w:rsidR="00103DBC" w:rsidRPr="00103DBC" w:rsidRDefault="00103DBC" w:rsidP="00103DBC">
            <w:pPr>
              <w:spacing w:before="240"/>
              <w:rPr>
                <w:i/>
              </w:rPr>
            </w:pPr>
            <w:r w:rsidRPr="00103DBC">
              <w:rPr>
                <w:i/>
              </w:rPr>
              <w:t>Methodology:</w:t>
            </w:r>
          </w:p>
          <w:p w14:paraId="56B298DE" w14:textId="77777777" w:rsidR="00103DBC" w:rsidRPr="00103DBC" w:rsidRDefault="00103DBC" w:rsidP="00103DBC">
            <w:pPr>
              <w:spacing w:before="240"/>
            </w:pPr>
            <w:r w:rsidRPr="00103DBC">
              <w:t>Confidence intervals are calculated using the Wilson Score method, as specified in “Commonly used public health statistics and their confidence intervals” (APHO, March 2008).</w:t>
            </w:r>
          </w:p>
          <w:p w14:paraId="1C9F5704" w14:textId="77777777" w:rsidR="00103DBC" w:rsidRPr="00103DBC" w:rsidRDefault="00103DBC" w:rsidP="00103DBC">
            <w:pPr>
              <w:spacing w:before="240"/>
            </w:pPr>
            <w:r w:rsidRPr="00103DBC">
              <w:t xml:space="preserve">The formulae for the 100(1 – </w:t>
            </w:r>
            <w:proofErr w:type="gramStart"/>
            <w:r w:rsidRPr="00103DBC">
              <w:rPr>
                <w:i/>
              </w:rPr>
              <w:t>α</w:t>
            </w:r>
            <w:r w:rsidRPr="00103DBC">
              <w:t>)%</w:t>
            </w:r>
            <w:proofErr w:type="gramEnd"/>
            <w:r w:rsidRPr="00103DBC">
              <w:t xml:space="preserve"> confidence interval limits for the proportion </w:t>
            </w:r>
            <w:r w:rsidRPr="00103DBC">
              <w:rPr>
                <w:rFonts w:ascii="Cambria Math" w:hAnsi="Cambria Math" w:cs="Cambria Math"/>
              </w:rPr>
              <w:t>𝑝</w:t>
            </w:r>
            <w:r w:rsidRPr="00103DBC">
              <w:t xml:space="preserve"> are:</w:t>
            </w:r>
          </w:p>
          <w:p w14:paraId="27D9EA2E" w14:textId="77777777" w:rsidR="00103DBC" w:rsidRPr="00103DBC" w:rsidRDefault="00103DBC" w:rsidP="00103DBC">
            <w:pPr>
              <w:spacing w:before="240"/>
              <w:jc w:val="center"/>
            </w:pPr>
            <w:r w:rsidRPr="00103DBC">
              <w:rPr>
                <w:noProof/>
                <w:lang w:eastAsia="en-GB"/>
              </w:rPr>
              <w:lastRenderedPageBreak/>
              <w:drawing>
                <wp:inline distT="0" distB="0" distL="0" distR="0" wp14:anchorId="32ECE353" wp14:editId="37D621F3">
                  <wp:extent cx="2209800" cy="1455420"/>
                  <wp:effectExtent l="0" t="0" r="0" b="0"/>
                  <wp:docPr id="1" name="Picture 1" descr="The formulae for the 100(1 – α)% confidence interval limits for the proportion 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09800" cy="1455420"/>
                          </a:xfrm>
                          <a:prstGeom prst="rect">
                            <a:avLst/>
                          </a:prstGeom>
                        </pic:spPr>
                      </pic:pic>
                    </a:graphicData>
                  </a:graphic>
                </wp:inline>
              </w:drawing>
            </w:r>
          </w:p>
          <w:p w14:paraId="6DF9A340" w14:textId="77777777" w:rsidR="00103DBC" w:rsidRPr="00103DBC" w:rsidRDefault="00103DBC" w:rsidP="00103DBC">
            <w:pPr>
              <w:spacing w:before="240"/>
            </w:pPr>
            <w:r w:rsidRPr="00103DBC">
              <w:t>where:</w:t>
            </w:r>
          </w:p>
          <w:p w14:paraId="1CF8C577" w14:textId="77777777" w:rsidR="00103DBC" w:rsidRPr="00103DBC" w:rsidRDefault="00103DBC" w:rsidP="00103DBC">
            <w:pPr>
              <w:spacing w:before="240"/>
            </w:pPr>
            <w:r w:rsidRPr="00103DBC">
              <w:rPr>
                <w:rFonts w:ascii="Cambria Math" w:hAnsi="Cambria Math" w:cs="Cambria Math"/>
              </w:rPr>
              <w:t>𝑂</w:t>
            </w:r>
            <w:r w:rsidRPr="00103DBC">
              <w:t xml:space="preserve"> is the observed number of individuals in the sample/population having the specified characteristic (i.e., the numerator</w:t>
            </w:r>
            <w:proofErr w:type="gramStart"/>
            <w:r w:rsidRPr="00103DBC">
              <w:t>);</w:t>
            </w:r>
            <w:proofErr w:type="gramEnd"/>
          </w:p>
          <w:p w14:paraId="0EBC1969" w14:textId="77777777" w:rsidR="00103DBC" w:rsidRPr="00103DBC" w:rsidRDefault="00103DBC" w:rsidP="00103DBC">
            <w:pPr>
              <w:spacing w:before="240"/>
            </w:pPr>
            <w:r w:rsidRPr="00103DBC">
              <w:rPr>
                <w:rFonts w:ascii="Cambria Math" w:hAnsi="Cambria Math" w:cs="Cambria Math"/>
              </w:rPr>
              <w:t>𝑛</w:t>
            </w:r>
            <w:r w:rsidRPr="00103DBC">
              <w:t xml:space="preserve"> is the total number of individuals in the sample/population (i.e., the denominator</w:t>
            </w:r>
            <w:proofErr w:type="gramStart"/>
            <w:r w:rsidRPr="00103DBC">
              <w:t>);</w:t>
            </w:r>
            <w:proofErr w:type="gramEnd"/>
          </w:p>
          <w:p w14:paraId="612786F1" w14:textId="77777777" w:rsidR="00103DBC" w:rsidRPr="00103DBC" w:rsidRDefault="00103DBC" w:rsidP="00103DBC">
            <w:pPr>
              <w:spacing w:before="240"/>
            </w:pPr>
            <w:r w:rsidRPr="00103DBC">
              <w:rPr>
                <w:rFonts w:ascii="Cambria Math" w:hAnsi="Cambria Math" w:cs="Cambria Math"/>
              </w:rPr>
              <w:t>𝑞</w:t>
            </w:r>
            <w:r w:rsidRPr="00103DBC">
              <w:t xml:space="preserve"> = (1 – </w:t>
            </w:r>
            <w:r w:rsidRPr="00103DBC">
              <w:rPr>
                <w:rFonts w:ascii="Cambria Math" w:hAnsi="Cambria Math" w:cs="Cambria Math"/>
              </w:rPr>
              <w:t>𝑝</w:t>
            </w:r>
            <w:r w:rsidRPr="00103DBC">
              <w:t xml:space="preserve">) is the proportion without the specified </w:t>
            </w:r>
            <w:proofErr w:type="gramStart"/>
            <w:r w:rsidRPr="00103DBC">
              <w:t>characteristic;</w:t>
            </w:r>
            <w:proofErr w:type="gramEnd"/>
          </w:p>
          <w:p w14:paraId="5FED2309" w14:textId="4470B56D" w:rsidR="00103DBC" w:rsidRPr="00103DBC" w:rsidRDefault="00103DBC" w:rsidP="00103DBC">
            <w:pPr>
              <w:spacing w:before="240"/>
            </w:pPr>
            <w:r w:rsidRPr="00103DBC">
              <w:rPr>
                <w:rFonts w:ascii="Cambria Math" w:hAnsi="Cambria Math" w:cs="Cambria Math"/>
              </w:rPr>
              <w:t>𝑧</w:t>
            </w:r>
            <w:r w:rsidRPr="00103DBC">
              <w:t xml:space="preserve"> is the 100(1 – </w:t>
            </w:r>
            <w:r w:rsidRPr="00103DBC">
              <w:rPr>
                <w:i/>
              </w:rPr>
              <w:t>α</w:t>
            </w:r>
            <w:r w:rsidRPr="00103DBC">
              <w:t>/</w:t>
            </w:r>
            <w:proofErr w:type="gramStart"/>
            <w:r w:rsidRPr="00103DBC">
              <w:t>2)</w:t>
            </w:r>
            <w:proofErr w:type="spellStart"/>
            <w:r w:rsidRPr="00103DBC">
              <w:t>th</w:t>
            </w:r>
            <w:proofErr w:type="spellEnd"/>
            <w:proofErr w:type="gramEnd"/>
            <w:r w:rsidRPr="00103DBC">
              <w:t xml:space="preserve"> percentile value from the Standard Normal distribution. For </w:t>
            </w:r>
            <w:proofErr w:type="gramStart"/>
            <w:r w:rsidRPr="00103DBC">
              <w:t>example</w:t>
            </w:r>
            <w:proofErr w:type="gramEnd"/>
            <w:r w:rsidRPr="00103DBC">
              <w:t xml:space="preserve"> for a 95% confidence interval, </w:t>
            </w:r>
            <w:r w:rsidRPr="00103DBC">
              <w:rPr>
                <w:i/>
              </w:rPr>
              <w:t>α</w:t>
            </w:r>
            <w:r w:rsidRPr="00103DBC">
              <w:t xml:space="preserve"> = 0.05, and </w:t>
            </w:r>
            <w:r w:rsidRPr="00103DBC">
              <w:rPr>
                <w:rFonts w:ascii="Cambria Math" w:hAnsi="Cambria Math" w:cs="Cambria Math"/>
              </w:rPr>
              <w:t>𝑧</w:t>
            </w:r>
            <w:r w:rsidRPr="00103DBC">
              <w:t xml:space="preserve"> = 97.5th percentile value from the Standard Normal distribution.</w:t>
            </w:r>
          </w:p>
        </w:tc>
      </w:tr>
      <w:tr w:rsidR="00103DBC" w:rsidRPr="00103DBC" w14:paraId="1D98920C" w14:textId="77777777" w:rsidTr="00103DBC">
        <w:tc>
          <w:tcPr>
            <w:tcW w:w="2972" w:type="dxa"/>
          </w:tcPr>
          <w:p w14:paraId="468E70A3" w14:textId="01279142" w:rsidR="00103DBC" w:rsidRPr="00103DBC" w:rsidRDefault="00103DBC" w:rsidP="00103DBC">
            <w:pPr>
              <w:spacing w:before="240"/>
              <w:ind w:left="34"/>
              <w:rPr>
                <w:b/>
              </w:rPr>
            </w:pPr>
            <w:r w:rsidRPr="00103DBC">
              <w:rPr>
                <w:b/>
              </w:rPr>
              <w:lastRenderedPageBreak/>
              <w:t>Justification of confidence intervals / control limits used</w:t>
            </w:r>
          </w:p>
        </w:tc>
        <w:tc>
          <w:tcPr>
            <w:tcW w:w="6044" w:type="dxa"/>
          </w:tcPr>
          <w:p w14:paraId="6183EFEF" w14:textId="65FC3B9C" w:rsidR="00103DBC" w:rsidRPr="00103DBC" w:rsidRDefault="00103DBC" w:rsidP="00103DBC">
            <w:pPr>
              <w:spacing w:before="240"/>
            </w:pPr>
            <w:r w:rsidRPr="00103DBC">
              <w:t>The indicator is published with 95% confidence intervals recognising the existence of natural variation between the CCG populations. Local knowledge may be required to distinguish changes in volume between years that reflect changes in service delivery from those that are an artefact of changes in the data.</w:t>
            </w:r>
          </w:p>
        </w:tc>
      </w:tr>
      <w:tr w:rsidR="00103DBC" w:rsidRPr="00103DBC" w14:paraId="0AA5DEAF" w14:textId="77777777" w:rsidTr="00103DBC">
        <w:tc>
          <w:tcPr>
            <w:tcW w:w="2972" w:type="dxa"/>
          </w:tcPr>
          <w:p w14:paraId="1E7D9C76" w14:textId="62DB720C" w:rsidR="00103DBC" w:rsidRPr="00103DBC" w:rsidRDefault="00103DBC" w:rsidP="00103DBC">
            <w:pPr>
              <w:spacing w:before="240"/>
              <w:ind w:left="34"/>
              <w:rPr>
                <w:b/>
              </w:rPr>
            </w:pPr>
            <w:r w:rsidRPr="00103DBC">
              <w:rPr>
                <w:b/>
              </w:rPr>
              <w:t>Presentation of indicator</w:t>
            </w:r>
          </w:p>
        </w:tc>
        <w:tc>
          <w:tcPr>
            <w:tcW w:w="6044" w:type="dxa"/>
          </w:tcPr>
          <w:p w14:paraId="17B322EF" w14:textId="77777777" w:rsidR="00103DBC" w:rsidRPr="00103DBC" w:rsidRDefault="00103DBC" w:rsidP="00103DBC">
            <w:pPr>
              <w:spacing w:before="240"/>
            </w:pPr>
            <w:r w:rsidRPr="00103DBC">
              <w:t>The results for this indicator are published in .csv and .xlsx formats.</w:t>
            </w:r>
          </w:p>
          <w:p w14:paraId="4E4FE5DE" w14:textId="77777777" w:rsidR="00103DBC" w:rsidRPr="00103DBC" w:rsidRDefault="00103DBC" w:rsidP="00103DBC">
            <w:r w:rsidRPr="00103DBC">
              <w:t>Data is currently available for the reporting periods:</w:t>
            </w:r>
          </w:p>
          <w:p w14:paraId="6A325495" w14:textId="77777777" w:rsidR="00103DBC" w:rsidRPr="00103DBC" w:rsidRDefault="00103DBC" w:rsidP="00103DBC">
            <w:pPr>
              <w:pStyle w:val="ListParagraph"/>
              <w:numPr>
                <w:ilvl w:val="0"/>
                <w:numId w:val="9"/>
              </w:numPr>
              <w:contextualSpacing w:val="0"/>
              <w:textboxTightWrap w:val="lastLineOnly"/>
            </w:pPr>
            <w:r w:rsidRPr="00103DBC">
              <w:t>01/04/2016 to 31/03/2017</w:t>
            </w:r>
          </w:p>
          <w:p w14:paraId="27E3B74A" w14:textId="77777777" w:rsidR="00103DBC" w:rsidRPr="00103DBC" w:rsidRDefault="00103DBC" w:rsidP="00103DBC">
            <w:pPr>
              <w:pStyle w:val="ListParagraph"/>
              <w:numPr>
                <w:ilvl w:val="0"/>
                <w:numId w:val="9"/>
              </w:numPr>
              <w:contextualSpacing w:val="0"/>
              <w:textboxTightWrap w:val="lastLineOnly"/>
            </w:pPr>
            <w:r w:rsidRPr="00103DBC">
              <w:t>01/01/2016 to 31/12/2016</w:t>
            </w:r>
          </w:p>
          <w:p w14:paraId="65FB5F95" w14:textId="77777777" w:rsidR="00103DBC" w:rsidRPr="00103DBC" w:rsidRDefault="00103DBC" w:rsidP="00103DBC">
            <w:pPr>
              <w:pStyle w:val="ListParagraph"/>
              <w:numPr>
                <w:ilvl w:val="0"/>
                <w:numId w:val="9"/>
              </w:numPr>
              <w:contextualSpacing w:val="0"/>
              <w:textboxTightWrap w:val="lastLineOnly"/>
            </w:pPr>
            <w:r w:rsidRPr="00103DBC">
              <w:t>01/10/2015 to 30/09/2016</w:t>
            </w:r>
          </w:p>
          <w:p w14:paraId="778EBED4" w14:textId="77777777" w:rsidR="00103DBC" w:rsidRPr="00103DBC" w:rsidRDefault="00103DBC" w:rsidP="00103DBC">
            <w:pPr>
              <w:pStyle w:val="ListParagraph"/>
              <w:numPr>
                <w:ilvl w:val="0"/>
                <w:numId w:val="9"/>
              </w:numPr>
              <w:contextualSpacing w:val="0"/>
              <w:textboxTightWrap w:val="lastLineOnly"/>
            </w:pPr>
            <w:r w:rsidRPr="00103DBC">
              <w:t>01/07/2015 to 30/06/2016</w:t>
            </w:r>
          </w:p>
          <w:p w14:paraId="3A3BB3D7" w14:textId="77777777" w:rsidR="00103DBC" w:rsidRPr="00103DBC" w:rsidRDefault="00103DBC" w:rsidP="00103DBC">
            <w:pPr>
              <w:pStyle w:val="ListParagraph"/>
              <w:numPr>
                <w:ilvl w:val="0"/>
                <w:numId w:val="9"/>
              </w:numPr>
              <w:contextualSpacing w:val="0"/>
              <w:textboxTightWrap w:val="lastLineOnly"/>
            </w:pPr>
            <w:r w:rsidRPr="00103DBC">
              <w:t>01/04/2014 to 31/03/2015</w:t>
            </w:r>
          </w:p>
          <w:p w14:paraId="1F6F1D71" w14:textId="77777777" w:rsidR="00103DBC" w:rsidRPr="00103DBC" w:rsidRDefault="00103DBC" w:rsidP="00103DBC">
            <w:pPr>
              <w:pStyle w:val="ListParagraph"/>
              <w:numPr>
                <w:ilvl w:val="0"/>
                <w:numId w:val="9"/>
              </w:numPr>
              <w:contextualSpacing w:val="0"/>
              <w:textboxTightWrap w:val="lastLineOnly"/>
            </w:pPr>
            <w:r w:rsidRPr="00103DBC">
              <w:t>01/04/2013 to 31/03/2014</w:t>
            </w:r>
          </w:p>
          <w:p w14:paraId="04C945D5" w14:textId="77777777" w:rsidR="00103DBC" w:rsidRPr="00103DBC" w:rsidRDefault="00103DBC" w:rsidP="00103DBC">
            <w:pPr>
              <w:pStyle w:val="ListParagraph"/>
              <w:numPr>
                <w:ilvl w:val="0"/>
                <w:numId w:val="9"/>
              </w:numPr>
              <w:contextualSpacing w:val="0"/>
              <w:textboxTightWrap w:val="lastLineOnly"/>
            </w:pPr>
            <w:r w:rsidRPr="00103DBC">
              <w:t>01/04/2012 to 31/03/2013</w:t>
            </w:r>
          </w:p>
          <w:p w14:paraId="38889E52" w14:textId="77777777" w:rsidR="00103DBC" w:rsidRPr="00103DBC" w:rsidRDefault="00103DBC" w:rsidP="00103DBC"/>
          <w:p w14:paraId="6C2E947E" w14:textId="77777777" w:rsidR="00103DBC" w:rsidRPr="00103DBC" w:rsidRDefault="00103DBC" w:rsidP="00103DBC">
            <w:r w:rsidRPr="00103DBC">
              <w:t>Data is presented with the following column headings:</w:t>
            </w:r>
          </w:p>
          <w:p w14:paraId="52038468" w14:textId="77777777" w:rsidR="00103DBC" w:rsidRPr="00103DBC" w:rsidRDefault="00103DBC" w:rsidP="00103DBC">
            <w:pPr>
              <w:pStyle w:val="ListParagraph"/>
              <w:numPr>
                <w:ilvl w:val="0"/>
                <w:numId w:val="10"/>
              </w:numPr>
              <w:contextualSpacing w:val="0"/>
              <w:textboxTightWrap w:val="lastLineOnly"/>
            </w:pPr>
            <w:r w:rsidRPr="00103DBC">
              <w:t>Reporting period</w:t>
            </w:r>
          </w:p>
          <w:p w14:paraId="6BFB7381" w14:textId="77777777" w:rsidR="00103DBC" w:rsidRPr="00103DBC" w:rsidRDefault="00103DBC" w:rsidP="00103DBC">
            <w:pPr>
              <w:pStyle w:val="ListParagraph"/>
              <w:numPr>
                <w:ilvl w:val="0"/>
                <w:numId w:val="10"/>
              </w:numPr>
              <w:contextualSpacing w:val="0"/>
              <w:textboxTightWrap w:val="lastLineOnly"/>
            </w:pPr>
            <w:r w:rsidRPr="00103DBC">
              <w:t>Period of coverage</w:t>
            </w:r>
          </w:p>
          <w:p w14:paraId="288B0105" w14:textId="77777777" w:rsidR="00103DBC" w:rsidRPr="00103DBC" w:rsidRDefault="00103DBC" w:rsidP="00103DBC">
            <w:pPr>
              <w:pStyle w:val="ListParagraph"/>
              <w:numPr>
                <w:ilvl w:val="0"/>
                <w:numId w:val="10"/>
              </w:numPr>
              <w:contextualSpacing w:val="0"/>
              <w:textboxTightWrap w:val="lastLineOnly"/>
            </w:pPr>
            <w:r w:rsidRPr="00103DBC">
              <w:t>Breakdown</w:t>
            </w:r>
          </w:p>
          <w:p w14:paraId="77B2D8AE" w14:textId="77777777" w:rsidR="00103DBC" w:rsidRPr="00103DBC" w:rsidRDefault="00103DBC" w:rsidP="00103DBC">
            <w:pPr>
              <w:pStyle w:val="ListParagraph"/>
              <w:numPr>
                <w:ilvl w:val="0"/>
                <w:numId w:val="10"/>
              </w:numPr>
              <w:contextualSpacing w:val="0"/>
              <w:textboxTightWrap w:val="lastLineOnly"/>
            </w:pPr>
            <w:r w:rsidRPr="00103DBC">
              <w:t>ONS code</w:t>
            </w:r>
          </w:p>
          <w:p w14:paraId="232F906F" w14:textId="77777777" w:rsidR="00103DBC" w:rsidRPr="00103DBC" w:rsidRDefault="00103DBC" w:rsidP="00103DBC">
            <w:pPr>
              <w:pStyle w:val="ListParagraph"/>
              <w:numPr>
                <w:ilvl w:val="0"/>
                <w:numId w:val="10"/>
              </w:numPr>
              <w:contextualSpacing w:val="0"/>
              <w:textboxTightWrap w:val="lastLineOnly"/>
            </w:pPr>
            <w:r w:rsidRPr="00103DBC">
              <w:t>Level</w:t>
            </w:r>
          </w:p>
          <w:p w14:paraId="72C4CAA9" w14:textId="77777777" w:rsidR="00103DBC" w:rsidRPr="00103DBC" w:rsidRDefault="00103DBC" w:rsidP="00103DBC">
            <w:pPr>
              <w:pStyle w:val="ListParagraph"/>
              <w:numPr>
                <w:ilvl w:val="0"/>
                <w:numId w:val="10"/>
              </w:numPr>
              <w:contextualSpacing w:val="0"/>
              <w:textboxTightWrap w:val="lastLineOnly"/>
            </w:pPr>
            <w:r w:rsidRPr="00103DBC">
              <w:t>Level description</w:t>
            </w:r>
          </w:p>
          <w:p w14:paraId="029FBB85" w14:textId="77777777" w:rsidR="00103DBC" w:rsidRPr="00103DBC" w:rsidRDefault="00103DBC" w:rsidP="00103DBC">
            <w:pPr>
              <w:pStyle w:val="ListParagraph"/>
              <w:numPr>
                <w:ilvl w:val="0"/>
                <w:numId w:val="10"/>
              </w:numPr>
              <w:contextualSpacing w:val="0"/>
              <w:textboxTightWrap w:val="lastLineOnly"/>
            </w:pPr>
            <w:r w:rsidRPr="00103DBC">
              <w:t>Mental health care super cluster</w:t>
            </w:r>
          </w:p>
          <w:p w14:paraId="44E99630" w14:textId="77777777" w:rsidR="00103DBC" w:rsidRPr="00103DBC" w:rsidRDefault="00103DBC" w:rsidP="00103DBC">
            <w:pPr>
              <w:pStyle w:val="ListParagraph"/>
              <w:numPr>
                <w:ilvl w:val="0"/>
                <w:numId w:val="10"/>
              </w:numPr>
              <w:contextualSpacing w:val="0"/>
              <w:textboxTightWrap w:val="lastLineOnly"/>
            </w:pPr>
            <w:r w:rsidRPr="00103DBC">
              <w:lastRenderedPageBreak/>
              <w:t>Indicator value</w:t>
            </w:r>
          </w:p>
          <w:p w14:paraId="5033841C" w14:textId="77777777" w:rsidR="00103DBC" w:rsidRPr="00103DBC" w:rsidRDefault="00103DBC" w:rsidP="00103DBC">
            <w:pPr>
              <w:pStyle w:val="ListParagraph"/>
              <w:numPr>
                <w:ilvl w:val="0"/>
                <w:numId w:val="10"/>
              </w:numPr>
              <w:contextualSpacing w:val="0"/>
              <w:textboxTightWrap w:val="lastLineOnly"/>
            </w:pPr>
            <w:r w:rsidRPr="00103DBC">
              <w:t>CI lower</w:t>
            </w:r>
          </w:p>
          <w:p w14:paraId="635FFA64" w14:textId="77777777" w:rsidR="00103DBC" w:rsidRPr="00103DBC" w:rsidRDefault="00103DBC" w:rsidP="00103DBC">
            <w:pPr>
              <w:pStyle w:val="ListParagraph"/>
              <w:numPr>
                <w:ilvl w:val="0"/>
                <w:numId w:val="10"/>
              </w:numPr>
              <w:contextualSpacing w:val="0"/>
              <w:textboxTightWrap w:val="lastLineOnly"/>
            </w:pPr>
            <w:r w:rsidRPr="00103DBC">
              <w:t>CI upper</w:t>
            </w:r>
          </w:p>
          <w:p w14:paraId="7415AE75" w14:textId="77777777" w:rsidR="00103DBC" w:rsidRPr="00103DBC" w:rsidRDefault="00103DBC" w:rsidP="00103DBC">
            <w:pPr>
              <w:pStyle w:val="ListParagraph"/>
              <w:numPr>
                <w:ilvl w:val="0"/>
                <w:numId w:val="10"/>
              </w:numPr>
              <w:contextualSpacing w:val="0"/>
              <w:textboxTightWrap w:val="lastLineOnly"/>
            </w:pPr>
            <w:r w:rsidRPr="00103DBC">
              <w:t>Denominator</w:t>
            </w:r>
          </w:p>
          <w:p w14:paraId="7ED2C06D" w14:textId="77777777" w:rsidR="00103DBC" w:rsidRPr="00103DBC" w:rsidRDefault="00103DBC" w:rsidP="00103DBC">
            <w:pPr>
              <w:pStyle w:val="ListParagraph"/>
              <w:numPr>
                <w:ilvl w:val="0"/>
                <w:numId w:val="10"/>
              </w:numPr>
              <w:contextualSpacing w:val="0"/>
              <w:textboxTightWrap w:val="lastLineOnly"/>
            </w:pPr>
            <w:r w:rsidRPr="00103DBC">
              <w:t>Numerator</w:t>
            </w:r>
          </w:p>
          <w:p w14:paraId="53E81CCE" w14:textId="762D1499" w:rsidR="00103DBC" w:rsidRPr="00103DBC" w:rsidRDefault="00103DBC" w:rsidP="00103DBC">
            <w:pPr>
              <w:spacing w:before="240"/>
            </w:pPr>
            <w:r w:rsidRPr="00103DBC">
              <w:t>Recording level</w:t>
            </w:r>
          </w:p>
        </w:tc>
      </w:tr>
      <w:tr w:rsidR="00103DBC" w:rsidRPr="00103DBC" w14:paraId="42FAA8DC" w14:textId="77777777" w:rsidTr="00103DBC">
        <w:tc>
          <w:tcPr>
            <w:tcW w:w="2972" w:type="dxa"/>
          </w:tcPr>
          <w:p w14:paraId="252CD112" w14:textId="77777777" w:rsidR="00103DBC" w:rsidRPr="00103DBC" w:rsidRDefault="00103DBC" w:rsidP="00103DBC">
            <w:pPr>
              <w:spacing w:before="240"/>
              <w:ind w:left="34"/>
              <w:rPr>
                <w:b/>
              </w:rPr>
            </w:pPr>
            <w:r w:rsidRPr="00103DBC">
              <w:rPr>
                <w:b/>
              </w:rPr>
              <w:lastRenderedPageBreak/>
              <w:t>Contextual information provided alongside indicator</w:t>
            </w:r>
          </w:p>
          <w:p w14:paraId="2B92171F" w14:textId="435D6E83" w:rsidR="00103DBC" w:rsidRPr="00103DBC" w:rsidRDefault="00103DBC" w:rsidP="00103DBC">
            <w:pPr>
              <w:spacing w:before="240"/>
              <w:ind w:left="34"/>
              <w:rPr>
                <w:b/>
              </w:rPr>
            </w:pPr>
            <w:r w:rsidRPr="00103DBC">
              <w:t>with justification</w:t>
            </w:r>
          </w:p>
        </w:tc>
        <w:tc>
          <w:tcPr>
            <w:tcW w:w="6044" w:type="dxa"/>
          </w:tcPr>
          <w:p w14:paraId="1E8DDA41" w14:textId="77777777" w:rsidR="00103DBC" w:rsidRPr="00103DBC" w:rsidRDefault="00103DBC" w:rsidP="00103DBC">
            <w:pPr>
              <w:spacing w:before="240"/>
            </w:pPr>
          </w:p>
        </w:tc>
      </w:tr>
      <w:tr w:rsidR="00103DBC" w:rsidRPr="00103DBC" w14:paraId="7F0AAA5E" w14:textId="77777777" w:rsidTr="00103DBC">
        <w:tc>
          <w:tcPr>
            <w:tcW w:w="2972" w:type="dxa"/>
          </w:tcPr>
          <w:p w14:paraId="668DF517" w14:textId="5736DC65" w:rsidR="00103DBC" w:rsidRPr="00103DBC" w:rsidRDefault="00103DBC" w:rsidP="00103DBC">
            <w:pPr>
              <w:spacing w:before="240"/>
              <w:ind w:left="34"/>
              <w:rPr>
                <w:b/>
              </w:rPr>
            </w:pPr>
            <w:r w:rsidRPr="00103DBC">
              <w:rPr>
                <w:b/>
              </w:rPr>
              <w:t>Calculation and data source of contextual information</w:t>
            </w:r>
          </w:p>
        </w:tc>
        <w:tc>
          <w:tcPr>
            <w:tcW w:w="6044" w:type="dxa"/>
          </w:tcPr>
          <w:p w14:paraId="6F007162" w14:textId="77777777" w:rsidR="00103DBC" w:rsidRPr="00103DBC" w:rsidRDefault="00103DBC" w:rsidP="00103DBC">
            <w:pPr>
              <w:spacing w:before="240"/>
            </w:pPr>
          </w:p>
        </w:tc>
      </w:tr>
      <w:tr w:rsidR="00103DBC" w:rsidRPr="00103DBC" w14:paraId="15634CA5" w14:textId="77777777" w:rsidTr="00103DBC">
        <w:tc>
          <w:tcPr>
            <w:tcW w:w="2972" w:type="dxa"/>
          </w:tcPr>
          <w:p w14:paraId="1D80145C" w14:textId="77777777" w:rsidR="00103DBC" w:rsidRPr="00103DBC" w:rsidRDefault="00103DBC" w:rsidP="00103DBC">
            <w:pPr>
              <w:spacing w:before="240"/>
              <w:ind w:left="34"/>
              <w:rPr>
                <w:b/>
              </w:rPr>
            </w:pPr>
            <w:r w:rsidRPr="00103DBC">
              <w:rPr>
                <w:b/>
              </w:rPr>
              <w:t>Use of bandings, benchmarks or targets</w:t>
            </w:r>
          </w:p>
          <w:p w14:paraId="0DD31A34" w14:textId="5599CCA9" w:rsidR="00103DBC" w:rsidRPr="00103DBC" w:rsidRDefault="00103DBC" w:rsidP="00103DBC">
            <w:pPr>
              <w:spacing w:before="240"/>
              <w:ind w:left="34"/>
              <w:rPr>
                <w:b/>
              </w:rPr>
            </w:pPr>
            <w:r w:rsidRPr="00103DBC">
              <w:t>with justification</w:t>
            </w:r>
          </w:p>
        </w:tc>
        <w:tc>
          <w:tcPr>
            <w:tcW w:w="6044" w:type="dxa"/>
          </w:tcPr>
          <w:p w14:paraId="76A0E44D" w14:textId="77777777" w:rsidR="00103DBC" w:rsidRPr="00103DBC" w:rsidRDefault="00103DBC" w:rsidP="00103DBC">
            <w:pPr>
              <w:spacing w:before="240"/>
            </w:pPr>
          </w:p>
        </w:tc>
      </w:tr>
      <w:tr w:rsidR="00103DBC" w:rsidRPr="00103DBC" w14:paraId="6F677A3E" w14:textId="77777777" w:rsidTr="00103DBC">
        <w:tc>
          <w:tcPr>
            <w:tcW w:w="2972" w:type="dxa"/>
          </w:tcPr>
          <w:p w14:paraId="6FC996F4" w14:textId="77777777" w:rsidR="00103DBC" w:rsidRPr="00103DBC" w:rsidRDefault="00103DBC" w:rsidP="00103DBC">
            <w:pPr>
              <w:spacing w:before="240"/>
              <w:ind w:left="34"/>
              <w:rPr>
                <w:b/>
              </w:rPr>
            </w:pPr>
            <w:r w:rsidRPr="00103DBC">
              <w:rPr>
                <w:b/>
              </w:rPr>
              <w:t>Banding, benchmark or target methodology</w:t>
            </w:r>
          </w:p>
          <w:p w14:paraId="6C40DFED" w14:textId="23B1075A" w:rsidR="00103DBC" w:rsidRPr="00103DBC" w:rsidRDefault="00103DBC" w:rsidP="00103DBC">
            <w:pPr>
              <w:spacing w:before="240"/>
              <w:ind w:left="34"/>
              <w:rPr>
                <w:b/>
              </w:rPr>
            </w:pPr>
            <w:r w:rsidRPr="00103DBC">
              <w:t>if appropriate</w:t>
            </w:r>
          </w:p>
        </w:tc>
        <w:tc>
          <w:tcPr>
            <w:tcW w:w="6044" w:type="dxa"/>
          </w:tcPr>
          <w:p w14:paraId="0FDB6968" w14:textId="77777777" w:rsidR="00103DBC" w:rsidRPr="00103DBC" w:rsidRDefault="00103DBC" w:rsidP="00103DBC">
            <w:pPr>
              <w:spacing w:before="240"/>
            </w:pPr>
          </w:p>
        </w:tc>
      </w:tr>
      <w:tr w:rsidR="00103DBC" w:rsidRPr="00103DBC" w14:paraId="180320D8" w14:textId="77777777" w:rsidTr="00103DBC">
        <w:tc>
          <w:tcPr>
            <w:tcW w:w="2972" w:type="dxa"/>
          </w:tcPr>
          <w:p w14:paraId="1CAC07B3" w14:textId="6F99F6D4" w:rsidR="00103DBC" w:rsidRPr="00103DBC" w:rsidRDefault="00103DBC" w:rsidP="00103DBC">
            <w:pPr>
              <w:spacing w:before="240"/>
              <w:ind w:left="34"/>
              <w:rPr>
                <w:b/>
              </w:rPr>
            </w:pPr>
            <w:r w:rsidRPr="00103DBC">
              <w:rPr>
                <w:b/>
              </w:rPr>
              <w:t>Interpretation guidelines</w:t>
            </w:r>
          </w:p>
        </w:tc>
        <w:tc>
          <w:tcPr>
            <w:tcW w:w="6044" w:type="dxa"/>
          </w:tcPr>
          <w:p w14:paraId="0EB02EE1" w14:textId="77777777" w:rsidR="00103DBC" w:rsidRPr="00103DBC" w:rsidRDefault="00103DBC" w:rsidP="00103DBC">
            <w:pPr>
              <w:spacing w:before="240"/>
            </w:pPr>
          </w:p>
        </w:tc>
      </w:tr>
      <w:tr w:rsidR="00103DBC" w:rsidRPr="00103DBC" w14:paraId="50F5EAA6" w14:textId="77777777" w:rsidTr="00103DBC">
        <w:tc>
          <w:tcPr>
            <w:tcW w:w="2972" w:type="dxa"/>
          </w:tcPr>
          <w:p w14:paraId="1F7D482F" w14:textId="0537CFC7" w:rsidR="00103DBC" w:rsidRPr="00103DBC" w:rsidRDefault="00103DBC" w:rsidP="00103DBC">
            <w:pPr>
              <w:spacing w:before="240"/>
              <w:ind w:left="34"/>
              <w:rPr>
                <w:b/>
              </w:rPr>
            </w:pPr>
            <w:r w:rsidRPr="00103DBC">
              <w:rPr>
                <w:b/>
              </w:rPr>
              <w:t>Limitations and potential bias</w:t>
            </w:r>
          </w:p>
        </w:tc>
        <w:tc>
          <w:tcPr>
            <w:tcW w:w="6044" w:type="dxa"/>
          </w:tcPr>
          <w:p w14:paraId="492AC73B" w14:textId="77777777" w:rsidR="00103DBC" w:rsidRPr="00103DBC" w:rsidRDefault="00103DBC" w:rsidP="00103DBC">
            <w:pPr>
              <w:spacing w:before="240"/>
            </w:pPr>
          </w:p>
          <w:p w14:paraId="0929F648" w14:textId="77777777" w:rsidR="00103DBC" w:rsidRPr="00103DBC" w:rsidRDefault="00103DBC" w:rsidP="00103DBC">
            <w:pPr>
              <w:pStyle w:val="ListParagraph"/>
              <w:numPr>
                <w:ilvl w:val="0"/>
                <w:numId w:val="7"/>
              </w:numPr>
              <w:spacing w:before="240" w:after="180"/>
              <w:contextualSpacing w:val="0"/>
              <w:textboxTightWrap w:val="lastLineOnly"/>
            </w:pPr>
            <w:r w:rsidRPr="00103DBC">
              <w:t>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 For example, a low rate for this indicator may be less significant in an area with high levels unemployment.</w:t>
            </w:r>
          </w:p>
          <w:p w14:paraId="29D9E573" w14:textId="77777777" w:rsidR="00103DBC" w:rsidRPr="00103DBC" w:rsidRDefault="00103DBC" w:rsidP="00103DBC">
            <w:pPr>
              <w:pStyle w:val="ListParagraph"/>
              <w:numPr>
                <w:ilvl w:val="0"/>
                <w:numId w:val="7"/>
              </w:numPr>
              <w:spacing w:before="240" w:after="180"/>
              <w:contextualSpacing w:val="0"/>
              <w:textboxTightWrap w:val="lastLineOnly"/>
            </w:pPr>
            <w:r w:rsidRPr="00103DBC">
              <w:t>Employment status is a ‘required’ field in the MHSDS; this means that if the patient’s employment status is recorded then it must be submitted. Clinical guidance recommends that the check on a patient’s employment status should be carried out annually; hence the status should be recorded and submitted once per year.</w:t>
            </w:r>
          </w:p>
          <w:p w14:paraId="27443695" w14:textId="77777777" w:rsidR="00103DBC" w:rsidRPr="00103DBC" w:rsidRDefault="00103DBC" w:rsidP="00103DBC">
            <w:pPr>
              <w:pStyle w:val="ListParagraph"/>
              <w:numPr>
                <w:ilvl w:val="0"/>
                <w:numId w:val="7"/>
              </w:numPr>
              <w:spacing w:before="240" w:after="180"/>
              <w:contextualSpacing w:val="0"/>
              <w:textboxTightWrap w:val="lastLineOnly"/>
            </w:pPr>
            <w:r w:rsidRPr="00103DBC">
              <w:t xml:space="preserve">There are known local variations in data quality, particularly in terms of completion of employment status: Nationally, the completeness of the employment status field is at 35% for the period </w:t>
            </w:r>
            <w:r w:rsidRPr="00103DBC">
              <w:lastRenderedPageBreak/>
              <w:t>2016/17. From 2008 employment status was measured for patients that were on the Care Programme Approach (CPA), i.e. those patients with more serious illness. Policy direction has moved away from focussing on patients on CPA to all patients in contact with mental health services, for this and other mental health indicators.</w:t>
            </w:r>
          </w:p>
          <w:p w14:paraId="7EEEC8BE" w14:textId="77777777" w:rsidR="00103DBC" w:rsidRPr="00103DBC" w:rsidRDefault="00103DBC" w:rsidP="00103DBC">
            <w:pPr>
              <w:pStyle w:val="ListParagraph"/>
              <w:numPr>
                <w:ilvl w:val="0"/>
                <w:numId w:val="7"/>
              </w:numPr>
              <w:spacing w:before="240" w:after="180"/>
              <w:contextualSpacing w:val="0"/>
              <w:textboxTightWrap w:val="lastLineOnly"/>
            </w:pPr>
            <w:r w:rsidRPr="00103DBC">
              <w:t>Severity of mental illness is not accounted for in the indicator; it may be that less severely ill patients are managed in primary care and therefore not counted in this indicator. This may vary by CCG as different policies are applied.</w:t>
            </w:r>
          </w:p>
          <w:p w14:paraId="29982054" w14:textId="77777777" w:rsidR="00103DBC" w:rsidRPr="00103DBC" w:rsidRDefault="00103DBC" w:rsidP="00103DBC">
            <w:pPr>
              <w:pStyle w:val="ListParagraph"/>
              <w:numPr>
                <w:ilvl w:val="0"/>
                <w:numId w:val="7"/>
              </w:numPr>
              <w:spacing w:before="240" w:after="180"/>
              <w:contextualSpacing w:val="0"/>
              <w:textboxTightWrap w:val="lastLineOnly"/>
            </w:pPr>
            <w:r w:rsidRPr="00103DBC">
              <w:t>Local variation in service provision between CCGs may have an impact on the indicator.</w:t>
            </w:r>
          </w:p>
          <w:p w14:paraId="4C1D015E" w14:textId="77777777" w:rsidR="00103DBC" w:rsidRPr="00103DBC" w:rsidRDefault="00103DBC" w:rsidP="00103DBC">
            <w:pPr>
              <w:pStyle w:val="ListParagraph"/>
              <w:numPr>
                <w:ilvl w:val="0"/>
                <w:numId w:val="7"/>
              </w:numPr>
              <w:spacing w:before="240" w:after="180"/>
              <w:contextualSpacing w:val="0"/>
              <w:textboxTightWrap w:val="lastLineOnly"/>
            </w:pPr>
            <w:r w:rsidRPr="00103DBC">
              <w:t xml:space="preserve">Differences in </w:t>
            </w:r>
            <w:proofErr w:type="spellStart"/>
            <w:r w:rsidRPr="00103DBC">
              <w:t>casemix</w:t>
            </w:r>
            <w:proofErr w:type="spellEnd"/>
            <w:r w:rsidRPr="00103DBC">
              <w:t>, comorbidities and other potential risk factors also contribute to the variation.</w:t>
            </w:r>
          </w:p>
          <w:p w14:paraId="2446F371" w14:textId="0FCA5E99" w:rsidR="00103DBC" w:rsidRPr="00103DBC" w:rsidRDefault="00103DBC" w:rsidP="00103DBC">
            <w:pPr>
              <w:spacing w:before="240"/>
            </w:pPr>
            <w:r w:rsidRPr="00103DBC">
              <w:t>There may be variation in the prevalence of mental health conditions/employment status due to differing levels of deprivation, for other geo-demographic reasons or between patients of different ethnic heritages.</w:t>
            </w:r>
          </w:p>
        </w:tc>
      </w:tr>
      <w:tr w:rsidR="00103DBC" w:rsidRPr="00103DBC" w14:paraId="1304723E" w14:textId="77777777" w:rsidTr="00103DBC">
        <w:tc>
          <w:tcPr>
            <w:tcW w:w="2972" w:type="dxa"/>
          </w:tcPr>
          <w:p w14:paraId="08DB0432" w14:textId="2C9F8140" w:rsidR="00103DBC" w:rsidRPr="00103DBC" w:rsidRDefault="00103DBC" w:rsidP="00103DBC">
            <w:pPr>
              <w:spacing w:before="240"/>
              <w:ind w:left="34"/>
              <w:rPr>
                <w:b/>
              </w:rPr>
            </w:pPr>
            <w:r w:rsidRPr="00103DBC">
              <w:rPr>
                <w:b/>
              </w:rPr>
              <w:lastRenderedPageBreak/>
              <w:t>Improvement actions</w:t>
            </w:r>
          </w:p>
        </w:tc>
        <w:tc>
          <w:tcPr>
            <w:tcW w:w="6044" w:type="dxa"/>
          </w:tcPr>
          <w:p w14:paraId="553CA7F6" w14:textId="7E2E4E16" w:rsidR="00103DBC" w:rsidRPr="00103DBC" w:rsidRDefault="00103DBC" w:rsidP="00103DBC">
            <w:pPr>
              <w:spacing w:before="240"/>
            </w:pPr>
            <w:r w:rsidRPr="00103DBC">
              <w:t>It is expected that CCGs can use the indicator to work with organisations in their area to improve the opportunities for people with long-term mental health conditions to find employment</w:t>
            </w:r>
          </w:p>
        </w:tc>
      </w:tr>
      <w:tr w:rsidR="00103DBC" w:rsidRPr="00103DBC" w14:paraId="20CDC4C8" w14:textId="77777777" w:rsidTr="00103DBC">
        <w:tc>
          <w:tcPr>
            <w:tcW w:w="2972" w:type="dxa"/>
          </w:tcPr>
          <w:p w14:paraId="6B1179CA" w14:textId="1102E71A" w:rsidR="00103DBC" w:rsidRPr="00103DBC" w:rsidRDefault="00103DBC" w:rsidP="00103DBC">
            <w:pPr>
              <w:spacing w:before="240"/>
              <w:ind w:left="34"/>
              <w:rPr>
                <w:b/>
              </w:rPr>
            </w:pPr>
            <w:r w:rsidRPr="00103DBC">
              <w:rPr>
                <w:b/>
              </w:rPr>
              <w:t>Evidence of variability</w:t>
            </w:r>
          </w:p>
        </w:tc>
        <w:tc>
          <w:tcPr>
            <w:tcW w:w="6044" w:type="dxa"/>
          </w:tcPr>
          <w:p w14:paraId="187A2442" w14:textId="77777777" w:rsidR="00103DBC" w:rsidRPr="00103DBC" w:rsidRDefault="00103DBC" w:rsidP="00103DBC">
            <w:pPr>
              <w:spacing w:before="240"/>
            </w:pPr>
          </w:p>
        </w:tc>
      </w:tr>
      <w:tr w:rsidR="00B34530" w:rsidRPr="00103DBC" w14:paraId="6A08E031" w14:textId="77777777" w:rsidTr="00103DBC">
        <w:tc>
          <w:tcPr>
            <w:tcW w:w="2972" w:type="dxa"/>
          </w:tcPr>
          <w:p w14:paraId="7FE0BAC7" w14:textId="5D7DD531" w:rsidR="00B34530" w:rsidRPr="00103DBC" w:rsidRDefault="00B34530" w:rsidP="00B34530">
            <w:pPr>
              <w:spacing w:before="240"/>
              <w:ind w:left="34"/>
              <w:rPr>
                <w:b/>
              </w:rPr>
            </w:pPr>
            <w:r w:rsidRPr="00103DBC">
              <w:rPr>
                <w:b/>
              </w:rPr>
              <w:t>Similar existing indicators</w:t>
            </w:r>
          </w:p>
        </w:tc>
        <w:tc>
          <w:tcPr>
            <w:tcW w:w="6044" w:type="dxa"/>
          </w:tcPr>
          <w:p w14:paraId="3F689FE7" w14:textId="77777777" w:rsidR="00B34530" w:rsidRPr="00103DBC" w:rsidRDefault="00B34530" w:rsidP="00B34530">
            <w:pPr>
              <w:spacing w:before="240"/>
            </w:pPr>
            <w:r w:rsidRPr="00103DBC">
              <w:t xml:space="preserve">There are no directly comparable indicators currently published in the CCG OIS. A number of indicators relating to employment and mental health are included in </w:t>
            </w:r>
            <w:proofErr w:type="gramStart"/>
            <w:r w:rsidRPr="00103DBC">
              <w:t>other</w:t>
            </w:r>
            <w:proofErr w:type="gramEnd"/>
            <w:r w:rsidRPr="00103DBC">
              <w:t xml:space="preserve"> indicator sets, but not measured at CCG level:</w:t>
            </w:r>
          </w:p>
          <w:p w14:paraId="2BCB45FF" w14:textId="77777777" w:rsidR="00B34530" w:rsidRPr="00103DBC" w:rsidRDefault="00B34530" w:rsidP="00B34530">
            <w:pPr>
              <w:pStyle w:val="ListParagraph"/>
              <w:numPr>
                <w:ilvl w:val="0"/>
                <w:numId w:val="8"/>
              </w:numPr>
              <w:spacing w:before="240" w:after="180"/>
              <w:contextualSpacing w:val="0"/>
              <w:textboxTightWrap w:val="lastLineOnly"/>
            </w:pPr>
            <w:r w:rsidRPr="00103DBC">
              <w:t>NHS Outcomes Framework (NHS OF), 2.5 Employment of people with mental illness. This indicator shows the difference between the employment rate for those with a long-term mental health condition and the employment rate for the working-age population.</w:t>
            </w:r>
          </w:p>
          <w:p w14:paraId="304922C0" w14:textId="77777777" w:rsidR="00B34530" w:rsidRPr="00103DBC" w:rsidRDefault="00B34530" w:rsidP="00B34530">
            <w:pPr>
              <w:pStyle w:val="ListParagraph"/>
              <w:numPr>
                <w:ilvl w:val="0"/>
                <w:numId w:val="8"/>
              </w:numPr>
              <w:spacing w:before="240" w:after="180"/>
              <w:contextualSpacing w:val="0"/>
              <w:textboxTightWrap w:val="lastLineOnly"/>
            </w:pPr>
            <w:r w:rsidRPr="00103DBC">
              <w:t>Adult Social Care Outcomes Framework (ASCOF), 1F Proportion of adults in contact with secondary mental health services in paid employment. This indicator shows the employment rate for those with a long-term mental health condition (currently it focusses only on those patients in contact with adult mental health services who are on the Care Programme Approach).</w:t>
            </w:r>
          </w:p>
          <w:p w14:paraId="00C6F4CC" w14:textId="77777777" w:rsidR="00B34530" w:rsidRPr="00103DBC" w:rsidRDefault="00B34530" w:rsidP="00B34530">
            <w:pPr>
              <w:pStyle w:val="ListParagraph"/>
              <w:numPr>
                <w:ilvl w:val="0"/>
                <w:numId w:val="8"/>
              </w:numPr>
              <w:spacing w:before="240" w:after="180"/>
              <w:contextualSpacing w:val="0"/>
              <w:textboxTightWrap w:val="lastLineOnly"/>
            </w:pPr>
            <w:r w:rsidRPr="00103DBC">
              <w:lastRenderedPageBreak/>
              <w:t>Public Health Outcomes Framework (PHOF), 1.8iii. This indicator shows the difference between the employment rate for adults in contact with secondary mental health services in paid employment and the employment rate of all respondents who are of working age to the Annual Population Survey.</w:t>
            </w:r>
          </w:p>
          <w:p w14:paraId="6B6A59EE" w14:textId="6BA9EFCD" w:rsidR="00B34530" w:rsidRPr="00103DBC" w:rsidRDefault="00B34530" w:rsidP="00B34530">
            <w:pPr>
              <w:spacing w:before="240"/>
            </w:pPr>
            <w:r w:rsidRPr="00103DBC">
              <w:t>Note that the indicators in the NHS Outcomes Framework and the PHOF are looking at the differences between employment of people with a mental health condition and employment of all people of working age. This is not the case with this CCG OIS indicator (or the ASCOF indicator) as it is not possible to look at employment rates of all people of working age by CCG. Consequently, having a low score on this indicator may be an indication that an area has high unemployment levels in general.</w:t>
            </w:r>
          </w:p>
        </w:tc>
      </w:tr>
      <w:tr w:rsidR="00B34530" w:rsidRPr="00103DBC" w14:paraId="11CA076E" w14:textId="77777777" w:rsidTr="00103DBC">
        <w:tc>
          <w:tcPr>
            <w:tcW w:w="2972" w:type="dxa"/>
          </w:tcPr>
          <w:p w14:paraId="51198863" w14:textId="0E8BBB1D" w:rsidR="00B34530" w:rsidRPr="00103DBC" w:rsidRDefault="00B34530" w:rsidP="00B34530">
            <w:pPr>
              <w:spacing w:before="240"/>
              <w:ind w:left="34"/>
              <w:rPr>
                <w:b/>
              </w:rPr>
            </w:pPr>
            <w:r w:rsidRPr="00103DBC">
              <w:rPr>
                <w:b/>
              </w:rPr>
              <w:lastRenderedPageBreak/>
              <w:t>Coherence and comparability</w:t>
            </w:r>
          </w:p>
        </w:tc>
        <w:tc>
          <w:tcPr>
            <w:tcW w:w="6044" w:type="dxa"/>
          </w:tcPr>
          <w:p w14:paraId="5B922CB5" w14:textId="77777777" w:rsidR="00B34530" w:rsidRPr="00103DBC" w:rsidRDefault="00B34530" w:rsidP="00B34530">
            <w:pPr>
              <w:spacing w:before="240"/>
            </w:pPr>
          </w:p>
        </w:tc>
      </w:tr>
      <w:tr w:rsidR="00B34530" w:rsidRPr="00103DBC" w14:paraId="255A28DA" w14:textId="77777777" w:rsidTr="00103DBC">
        <w:tc>
          <w:tcPr>
            <w:tcW w:w="2972" w:type="dxa"/>
          </w:tcPr>
          <w:p w14:paraId="508E319D" w14:textId="0EDDFEA7" w:rsidR="00B34530" w:rsidRPr="00103DBC" w:rsidRDefault="00B34530" w:rsidP="00B34530">
            <w:pPr>
              <w:spacing w:before="240"/>
              <w:ind w:left="34"/>
              <w:rPr>
                <w:b/>
              </w:rPr>
            </w:pPr>
            <w:r w:rsidRPr="00103DBC">
              <w:rPr>
                <w:b/>
              </w:rPr>
              <w:t>Undesired behaviours and/or gaming</w:t>
            </w:r>
          </w:p>
        </w:tc>
        <w:tc>
          <w:tcPr>
            <w:tcW w:w="6044" w:type="dxa"/>
          </w:tcPr>
          <w:p w14:paraId="7A122674" w14:textId="77777777" w:rsidR="00B34530" w:rsidRPr="00103DBC" w:rsidRDefault="00B34530" w:rsidP="00B34530">
            <w:pPr>
              <w:spacing w:before="240"/>
            </w:pPr>
          </w:p>
        </w:tc>
      </w:tr>
      <w:tr w:rsidR="00B34530" w:rsidRPr="00103DBC" w14:paraId="7932DE30" w14:textId="77777777" w:rsidTr="00103DBC">
        <w:tc>
          <w:tcPr>
            <w:tcW w:w="2972" w:type="dxa"/>
          </w:tcPr>
          <w:p w14:paraId="4BE15DEB" w14:textId="2F82D0AC" w:rsidR="00B34530" w:rsidRPr="00103DBC" w:rsidRDefault="00B34530" w:rsidP="00B34530">
            <w:pPr>
              <w:spacing w:before="240"/>
              <w:ind w:left="34"/>
              <w:rPr>
                <w:b/>
              </w:rPr>
            </w:pPr>
            <w:r w:rsidRPr="00103DBC">
              <w:rPr>
                <w:b/>
              </w:rPr>
              <w:t>Approach to indicator review</w:t>
            </w:r>
          </w:p>
        </w:tc>
        <w:tc>
          <w:tcPr>
            <w:tcW w:w="6044" w:type="dxa"/>
          </w:tcPr>
          <w:p w14:paraId="488C2C6D" w14:textId="77777777" w:rsidR="00B34530" w:rsidRPr="00103DBC" w:rsidRDefault="00B34530" w:rsidP="00B34530">
            <w:pPr>
              <w:spacing w:before="240"/>
            </w:pPr>
            <w:r w:rsidRPr="00103DBC">
              <w:t>Comments can be made through various media, including NHS Digital general enquiries by email enquiries@nhsdigital.nhs.uk or by telephone 0300 303 5678.</w:t>
            </w:r>
          </w:p>
          <w:p w14:paraId="4491388D" w14:textId="77777777" w:rsidR="00B34530" w:rsidRPr="00103DBC" w:rsidRDefault="00B34530" w:rsidP="00B34530">
            <w:pPr>
              <w:spacing w:before="240"/>
            </w:pPr>
            <w:r w:rsidRPr="00103DBC">
              <w:t>As well as initially assuring the quality and methodology of this indicator, the NHS Digital’s Indicator Assurance Process will be used on an on-going basis to review any new indicators. User needs and feedback will be taken into consideration during this</w:t>
            </w:r>
          </w:p>
          <w:p w14:paraId="1FDCEB12" w14:textId="123342BB" w:rsidR="00B34530" w:rsidRPr="00103DBC" w:rsidRDefault="00B34530" w:rsidP="00B34530">
            <w:pPr>
              <w:spacing w:before="240"/>
            </w:pPr>
            <w:r w:rsidRPr="00103DBC">
              <w:t>assurance process.</w:t>
            </w:r>
          </w:p>
        </w:tc>
      </w:tr>
      <w:tr w:rsidR="00B34530" w:rsidRPr="00103DBC" w14:paraId="45AAA137" w14:textId="77777777" w:rsidTr="00103DBC">
        <w:tc>
          <w:tcPr>
            <w:tcW w:w="2972" w:type="dxa"/>
          </w:tcPr>
          <w:p w14:paraId="31460EB6" w14:textId="3DF78323" w:rsidR="00B34530" w:rsidRPr="00103DBC" w:rsidRDefault="00B34530" w:rsidP="00B34530">
            <w:pPr>
              <w:spacing w:before="240"/>
              <w:ind w:left="34"/>
              <w:rPr>
                <w:b/>
              </w:rPr>
            </w:pPr>
            <w:r w:rsidRPr="00103DBC">
              <w:rPr>
                <w:b/>
              </w:rPr>
              <w:t>Disclosure control</w:t>
            </w:r>
          </w:p>
        </w:tc>
        <w:tc>
          <w:tcPr>
            <w:tcW w:w="6044" w:type="dxa"/>
          </w:tcPr>
          <w:p w14:paraId="5B6EAC7B" w14:textId="77777777" w:rsidR="00B34530" w:rsidRPr="00103DBC" w:rsidRDefault="00B34530" w:rsidP="00B34530">
            <w:pPr>
              <w:spacing w:before="240"/>
            </w:pPr>
            <w:r w:rsidRPr="00103DBC">
              <w:t>When publishing data, if the indicator is calculated from a numerator of 0 to 4, the value is suppressed to ensure an individual’s identity is not at risk of being disclosed. If one figure is suppressed in this way and included in a total the second smallest figure is also suppressed. For data prior to 2013/14 suppression was applied if a numerator value was between 1 and 5.</w:t>
            </w:r>
          </w:p>
          <w:p w14:paraId="3FDBD18F" w14:textId="77777777" w:rsidR="00B34530" w:rsidRPr="00103DBC" w:rsidRDefault="00B34530" w:rsidP="00B34530">
            <w:pPr>
              <w:spacing w:before="240"/>
            </w:pPr>
            <w:r w:rsidRPr="00103DBC">
              <w:t>Numerator and denominator figures are rounded to the nearest 5 at CCG level. Rates are calculated from unrounded figures. Numerator and denominator national figures are presented unrounded.</w:t>
            </w:r>
          </w:p>
          <w:p w14:paraId="67AF2851" w14:textId="6F0343D9" w:rsidR="00B34530" w:rsidRPr="00103DBC" w:rsidRDefault="00B34530" w:rsidP="00B34530">
            <w:pPr>
              <w:spacing w:before="240"/>
            </w:pPr>
            <w:r w:rsidRPr="00103DBC">
              <w:t>Rates are rounded to the nearest integer at both CCG and national level.</w:t>
            </w:r>
          </w:p>
        </w:tc>
      </w:tr>
      <w:tr w:rsidR="00B34530" w:rsidRPr="00103DBC" w14:paraId="73416E4C" w14:textId="77777777" w:rsidTr="00103DBC">
        <w:tc>
          <w:tcPr>
            <w:tcW w:w="2972" w:type="dxa"/>
          </w:tcPr>
          <w:p w14:paraId="13E6EC40" w14:textId="30315697" w:rsidR="00B34530" w:rsidRPr="00103DBC" w:rsidRDefault="00B34530" w:rsidP="00B34530">
            <w:pPr>
              <w:spacing w:before="240"/>
              <w:ind w:left="34"/>
              <w:rPr>
                <w:b/>
              </w:rPr>
            </w:pPr>
            <w:r w:rsidRPr="00103DBC">
              <w:rPr>
                <w:b/>
              </w:rPr>
              <w:lastRenderedPageBreak/>
              <w:t>Copyright</w:t>
            </w:r>
          </w:p>
        </w:tc>
        <w:tc>
          <w:tcPr>
            <w:tcW w:w="6044" w:type="dxa"/>
          </w:tcPr>
          <w:p w14:paraId="1D02108B" w14:textId="6FD3B7CB" w:rsidR="00B34530" w:rsidRPr="00103DBC" w:rsidRDefault="00B34530" w:rsidP="00B34530">
            <w:pPr>
              <w:spacing w:before="240"/>
            </w:pPr>
            <w:r w:rsidRPr="00103DBC">
              <w:t>This indicator makes use of an existing data collection, so there are no additional data collection cost implications or burden.</w:t>
            </w:r>
          </w:p>
        </w:tc>
      </w:tr>
    </w:tbl>
    <w:p w14:paraId="75BC5680" w14:textId="77777777" w:rsidR="000D2247" w:rsidRPr="00103DBC" w:rsidRDefault="000D2247">
      <w:r w:rsidRPr="00103DBC">
        <w:br w:type="page"/>
      </w:r>
    </w:p>
    <w:p w14:paraId="582BF4AA" w14:textId="4B0FAD4C" w:rsidR="000D2247" w:rsidRPr="00103DBC" w:rsidRDefault="000D2247"/>
    <w:p w14:paraId="1529D09A" w14:textId="718DA4D2" w:rsidR="000D2247" w:rsidRPr="00103DBC" w:rsidRDefault="000D2247"/>
    <w:p w14:paraId="01EB2A52" w14:textId="77777777" w:rsidR="000D2247" w:rsidRPr="00103DBC" w:rsidRDefault="000D2247" w:rsidP="00103DBC">
      <w:pPr>
        <w:rPr>
          <w:b/>
        </w:rPr>
      </w:pPr>
      <w:r w:rsidRPr="00103DBC">
        <w:rPr>
          <w:b/>
        </w:rPr>
        <w:t>Appendix 1 – Filters used for the Denominator and Numerator.</w:t>
      </w:r>
    </w:p>
    <w:p w14:paraId="35C34D47" w14:textId="77777777" w:rsidR="000D2247" w:rsidRPr="00103DBC" w:rsidRDefault="000D2247" w:rsidP="00103DBC">
      <w:pPr>
        <w:rPr>
          <w:b/>
        </w:rPr>
      </w:pPr>
      <w:r w:rsidRPr="00103DBC">
        <w:rPr>
          <w:b/>
        </w:rPr>
        <w:t>Denominator</w:t>
      </w:r>
    </w:p>
    <w:p w14:paraId="20786D32" w14:textId="77777777" w:rsidR="000D2247" w:rsidRPr="00103DBC" w:rsidRDefault="000D2247" w:rsidP="00103DBC">
      <w:r w:rsidRPr="00103DBC">
        <w:t>Working age adults with a valid CCG Code ‘In contact with mental health services’ is defined</w:t>
      </w:r>
    </w:p>
    <w:p w14:paraId="4701DDD2" w14:textId="77777777" w:rsidR="000D2247" w:rsidRPr="00103DBC" w:rsidRDefault="000D2247" w:rsidP="00103DBC">
      <w:r w:rsidRPr="00103DBC">
        <w:t>as people who are in contact with NHS funded community mental health, learning disabilities</w:t>
      </w:r>
    </w:p>
    <w:p w14:paraId="2DA7A625" w14:textId="77777777" w:rsidR="000D2247" w:rsidRPr="00103DBC" w:rsidRDefault="000D2247" w:rsidP="00103DBC">
      <w:r w:rsidRPr="00103DBC">
        <w:t>or autism services.</w:t>
      </w:r>
    </w:p>
    <w:p w14:paraId="139D9FA7" w14:textId="77777777" w:rsidR="000D2247" w:rsidRPr="00103DBC" w:rsidRDefault="000D2247" w:rsidP="00103DBC">
      <w:r w:rsidRPr="00103DBC">
        <w:t>Working age is defined as 18 to 69.</w:t>
      </w:r>
    </w:p>
    <w:p w14:paraId="210284B7" w14:textId="77777777" w:rsidR="000D2247" w:rsidRPr="00103DBC" w:rsidRDefault="000D2247" w:rsidP="00103DBC"/>
    <w:p w14:paraId="78AA190C" w14:textId="77777777" w:rsidR="000D2247" w:rsidRPr="00103DBC" w:rsidRDefault="000D2247" w:rsidP="00103DBC">
      <w:pPr>
        <w:rPr>
          <w:b/>
        </w:rPr>
      </w:pPr>
      <w:r w:rsidRPr="00103DBC">
        <w:rPr>
          <w:b/>
        </w:rPr>
        <w:t>Numerator</w:t>
      </w:r>
    </w:p>
    <w:p w14:paraId="308FE6E2" w14:textId="77777777" w:rsidR="000D2247" w:rsidRPr="00103DBC" w:rsidRDefault="000D2247" w:rsidP="00103DBC">
      <w:r w:rsidRPr="00103DBC">
        <w:t>Employment status is recorded using the following categories:</w:t>
      </w:r>
    </w:p>
    <w:tbl>
      <w:tblPr>
        <w:tblStyle w:val="TableGridLight"/>
        <w:tblW w:w="9390" w:type="dxa"/>
        <w:tblLook w:val="04A0" w:firstRow="1" w:lastRow="0" w:firstColumn="1" w:lastColumn="0" w:noHBand="0" w:noVBand="1"/>
      </w:tblPr>
      <w:tblGrid>
        <w:gridCol w:w="562"/>
        <w:gridCol w:w="8828"/>
      </w:tblGrid>
      <w:tr w:rsidR="00103DBC" w:rsidRPr="00103DBC" w14:paraId="219C3598" w14:textId="77777777" w:rsidTr="00B34530">
        <w:trPr>
          <w:trHeight w:val="276"/>
        </w:trPr>
        <w:tc>
          <w:tcPr>
            <w:tcW w:w="562" w:type="dxa"/>
            <w:noWrap/>
            <w:hideMark/>
          </w:tcPr>
          <w:p w14:paraId="1B9939F4" w14:textId="77777777" w:rsidR="000D2247" w:rsidRPr="00103DBC" w:rsidRDefault="000D2247" w:rsidP="00103DBC">
            <w:pPr>
              <w:rPr>
                <w:lang w:eastAsia="en-GB"/>
              </w:rPr>
            </w:pPr>
            <w:r w:rsidRPr="00103DBC">
              <w:rPr>
                <w:lang w:eastAsia="en-GB"/>
              </w:rPr>
              <w:t>01</w:t>
            </w:r>
          </w:p>
        </w:tc>
        <w:tc>
          <w:tcPr>
            <w:tcW w:w="8828" w:type="dxa"/>
            <w:noWrap/>
            <w:hideMark/>
          </w:tcPr>
          <w:p w14:paraId="605114EA" w14:textId="77777777" w:rsidR="000D2247" w:rsidRPr="00103DBC" w:rsidRDefault="000D2247" w:rsidP="00103DBC">
            <w:pPr>
              <w:rPr>
                <w:lang w:eastAsia="en-GB"/>
              </w:rPr>
            </w:pPr>
            <w:r w:rsidRPr="00103DBC">
              <w:rPr>
                <w:lang w:eastAsia="en-GB"/>
              </w:rPr>
              <w:t>Employed</w:t>
            </w:r>
          </w:p>
        </w:tc>
      </w:tr>
      <w:tr w:rsidR="00103DBC" w:rsidRPr="00103DBC" w14:paraId="7482E016" w14:textId="77777777" w:rsidTr="00B34530">
        <w:trPr>
          <w:trHeight w:val="276"/>
        </w:trPr>
        <w:tc>
          <w:tcPr>
            <w:tcW w:w="562" w:type="dxa"/>
            <w:noWrap/>
            <w:hideMark/>
          </w:tcPr>
          <w:p w14:paraId="00C0C0DE" w14:textId="77777777" w:rsidR="000D2247" w:rsidRPr="00103DBC" w:rsidRDefault="000D2247" w:rsidP="00103DBC">
            <w:pPr>
              <w:rPr>
                <w:lang w:eastAsia="en-GB"/>
              </w:rPr>
            </w:pPr>
            <w:r w:rsidRPr="00103DBC">
              <w:rPr>
                <w:lang w:eastAsia="en-GB"/>
              </w:rPr>
              <w:t>02</w:t>
            </w:r>
          </w:p>
        </w:tc>
        <w:tc>
          <w:tcPr>
            <w:tcW w:w="8828" w:type="dxa"/>
            <w:noWrap/>
            <w:hideMark/>
          </w:tcPr>
          <w:p w14:paraId="7DB3C469" w14:textId="77777777" w:rsidR="000D2247" w:rsidRPr="00103DBC" w:rsidRDefault="000D2247" w:rsidP="00103DBC">
            <w:pPr>
              <w:rPr>
                <w:lang w:eastAsia="en-GB"/>
              </w:rPr>
            </w:pPr>
            <w:r w:rsidRPr="00103DBC">
              <w:rPr>
                <w:lang w:eastAsia="en-GB"/>
              </w:rPr>
              <w:t>Unemployed and Seeking Work</w:t>
            </w:r>
          </w:p>
        </w:tc>
      </w:tr>
      <w:tr w:rsidR="00103DBC" w:rsidRPr="00103DBC" w14:paraId="388B0C5F" w14:textId="77777777" w:rsidTr="00B34530">
        <w:trPr>
          <w:trHeight w:val="276"/>
        </w:trPr>
        <w:tc>
          <w:tcPr>
            <w:tcW w:w="562" w:type="dxa"/>
            <w:noWrap/>
            <w:hideMark/>
          </w:tcPr>
          <w:p w14:paraId="5BDB9F9B" w14:textId="77777777" w:rsidR="000D2247" w:rsidRPr="00103DBC" w:rsidRDefault="000D2247" w:rsidP="00103DBC">
            <w:pPr>
              <w:rPr>
                <w:lang w:eastAsia="en-GB"/>
              </w:rPr>
            </w:pPr>
            <w:r w:rsidRPr="00103DBC">
              <w:rPr>
                <w:lang w:eastAsia="en-GB"/>
              </w:rPr>
              <w:t>03</w:t>
            </w:r>
          </w:p>
        </w:tc>
        <w:tc>
          <w:tcPr>
            <w:tcW w:w="8828" w:type="dxa"/>
            <w:noWrap/>
            <w:hideMark/>
          </w:tcPr>
          <w:p w14:paraId="1386E1A4" w14:textId="454406DB" w:rsidR="000D2247" w:rsidRPr="00103DBC" w:rsidRDefault="000D2247" w:rsidP="00103DBC">
            <w:pPr>
              <w:rPr>
                <w:lang w:eastAsia="en-GB"/>
              </w:rPr>
            </w:pPr>
            <w:r w:rsidRPr="00103DBC">
              <w:rPr>
                <w:lang w:eastAsia="en-GB"/>
              </w:rPr>
              <w:t xml:space="preserve">Students who are undertaking full (at least 16 hours per week) </w:t>
            </w:r>
            <w:r w:rsidR="004D28F6" w:rsidRPr="00103DBC">
              <w:rPr>
                <w:lang w:eastAsia="en-GB"/>
              </w:rPr>
              <w:t>or part</w:t>
            </w:r>
            <w:r w:rsidRPr="00103DBC">
              <w:rPr>
                <w:lang w:eastAsia="en-GB"/>
              </w:rPr>
              <w:t>-time (less than 16 hours per week) education or training and who are not working or actively seeking work</w:t>
            </w:r>
          </w:p>
        </w:tc>
      </w:tr>
      <w:tr w:rsidR="00103DBC" w:rsidRPr="00103DBC" w14:paraId="79B00661" w14:textId="77777777" w:rsidTr="00B34530">
        <w:trPr>
          <w:trHeight w:val="276"/>
        </w:trPr>
        <w:tc>
          <w:tcPr>
            <w:tcW w:w="562" w:type="dxa"/>
            <w:noWrap/>
            <w:hideMark/>
          </w:tcPr>
          <w:p w14:paraId="49667067" w14:textId="77777777" w:rsidR="000D2247" w:rsidRPr="00103DBC" w:rsidRDefault="000D2247" w:rsidP="00103DBC">
            <w:pPr>
              <w:rPr>
                <w:lang w:eastAsia="en-GB"/>
              </w:rPr>
            </w:pPr>
            <w:r w:rsidRPr="00103DBC">
              <w:rPr>
                <w:lang w:eastAsia="en-GB"/>
              </w:rPr>
              <w:t>04</w:t>
            </w:r>
          </w:p>
        </w:tc>
        <w:tc>
          <w:tcPr>
            <w:tcW w:w="8828" w:type="dxa"/>
            <w:noWrap/>
            <w:hideMark/>
          </w:tcPr>
          <w:p w14:paraId="79F2FBBA" w14:textId="77777777" w:rsidR="000D2247" w:rsidRPr="00103DBC" w:rsidRDefault="000D2247" w:rsidP="00103DBC">
            <w:pPr>
              <w:rPr>
                <w:lang w:eastAsia="en-GB"/>
              </w:rPr>
            </w:pPr>
            <w:r w:rsidRPr="00103DBC">
              <w:rPr>
                <w:lang w:eastAsia="en-GB"/>
              </w:rPr>
              <w:t>Long-term sick or disabled, those who are receiving Incapacity Benefit, Income Support or both; or Employment and Support Allowance</w:t>
            </w:r>
          </w:p>
        </w:tc>
      </w:tr>
      <w:tr w:rsidR="00103DBC" w:rsidRPr="00103DBC" w14:paraId="34406898" w14:textId="77777777" w:rsidTr="00B34530">
        <w:trPr>
          <w:trHeight w:val="276"/>
        </w:trPr>
        <w:tc>
          <w:tcPr>
            <w:tcW w:w="562" w:type="dxa"/>
            <w:noWrap/>
            <w:hideMark/>
          </w:tcPr>
          <w:p w14:paraId="70F1A229" w14:textId="77777777" w:rsidR="000D2247" w:rsidRPr="00103DBC" w:rsidRDefault="000D2247" w:rsidP="00103DBC">
            <w:pPr>
              <w:rPr>
                <w:lang w:eastAsia="en-GB"/>
              </w:rPr>
            </w:pPr>
            <w:r w:rsidRPr="00103DBC">
              <w:rPr>
                <w:lang w:eastAsia="en-GB"/>
              </w:rPr>
              <w:t>05</w:t>
            </w:r>
          </w:p>
        </w:tc>
        <w:tc>
          <w:tcPr>
            <w:tcW w:w="8828" w:type="dxa"/>
            <w:noWrap/>
            <w:hideMark/>
          </w:tcPr>
          <w:p w14:paraId="00E6E088" w14:textId="77777777" w:rsidR="000D2247" w:rsidRPr="00103DBC" w:rsidRDefault="000D2247" w:rsidP="00103DBC">
            <w:pPr>
              <w:rPr>
                <w:lang w:eastAsia="en-GB"/>
              </w:rPr>
            </w:pPr>
            <w:r w:rsidRPr="00103DBC">
              <w:rPr>
                <w:lang w:eastAsia="en-GB"/>
              </w:rPr>
              <w:t>Homemaker looking after the family or home and who are not working or actively seeking work</w:t>
            </w:r>
          </w:p>
        </w:tc>
      </w:tr>
      <w:tr w:rsidR="00103DBC" w:rsidRPr="00103DBC" w14:paraId="09DBEEEA" w14:textId="77777777" w:rsidTr="00B34530">
        <w:trPr>
          <w:trHeight w:val="276"/>
        </w:trPr>
        <w:tc>
          <w:tcPr>
            <w:tcW w:w="562" w:type="dxa"/>
            <w:noWrap/>
            <w:hideMark/>
          </w:tcPr>
          <w:p w14:paraId="25F968FC" w14:textId="77777777" w:rsidR="000D2247" w:rsidRPr="00103DBC" w:rsidRDefault="000D2247" w:rsidP="00103DBC">
            <w:pPr>
              <w:rPr>
                <w:lang w:eastAsia="en-GB"/>
              </w:rPr>
            </w:pPr>
            <w:r w:rsidRPr="00103DBC">
              <w:rPr>
                <w:lang w:eastAsia="en-GB"/>
              </w:rPr>
              <w:t>06</w:t>
            </w:r>
          </w:p>
        </w:tc>
        <w:tc>
          <w:tcPr>
            <w:tcW w:w="8828" w:type="dxa"/>
            <w:noWrap/>
            <w:hideMark/>
          </w:tcPr>
          <w:p w14:paraId="6C3D61C0" w14:textId="77777777" w:rsidR="000D2247" w:rsidRPr="00103DBC" w:rsidRDefault="000D2247" w:rsidP="00103DBC">
            <w:pPr>
              <w:rPr>
                <w:lang w:eastAsia="en-GB"/>
              </w:rPr>
            </w:pPr>
            <w:r w:rsidRPr="00103DBC">
              <w:rPr>
                <w:lang w:eastAsia="en-GB"/>
              </w:rPr>
              <w:t>Not receiving benefits and who are not working or actively seeking work</w:t>
            </w:r>
          </w:p>
        </w:tc>
      </w:tr>
      <w:tr w:rsidR="00103DBC" w:rsidRPr="00103DBC" w14:paraId="4DC95112" w14:textId="77777777" w:rsidTr="00B34530">
        <w:trPr>
          <w:trHeight w:val="276"/>
        </w:trPr>
        <w:tc>
          <w:tcPr>
            <w:tcW w:w="562" w:type="dxa"/>
            <w:noWrap/>
            <w:hideMark/>
          </w:tcPr>
          <w:p w14:paraId="55692EF2" w14:textId="77777777" w:rsidR="000D2247" w:rsidRPr="00103DBC" w:rsidRDefault="000D2247" w:rsidP="00103DBC">
            <w:pPr>
              <w:rPr>
                <w:lang w:eastAsia="en-GB"/>
              </w:rPr>
            </w:pPr>
            <w:r w:rsidRPr="00103DBC">
              <w:rPr>
                <w:lang w:eastAsia="en-GB"/>
              </w:rPr>
              <w:t>07</w:t>
            </w:r>
          </w:p>
        </w:tc>
        <w:tc>
          <w:tcPr>
            <w:tcW w:w="8828" w:type="dxa"/>
            <w:noWrap/>
            <w:hideMark/>
          </w:tcPr>
          <w:p w14:paraId="3F3ACCA3" w14:textId="77777777" w:rsidR="000D2247" w:rsidRPr="00103DBC" w:rsidRDefault="000D2247" w:rsidP="00103DBC">
            <w:pPr>
              <w:rPr>
                <w:lang w:eastAsia="en-GB"/>
              </w:rPr>
            </w:pPr>
            <w:r w:rsidRPr="00103DBC">
              <w:rPr>
                <w:lang w:eastAsia="en-GB"/>
              </w:rPr>
              <w:t>Unpaid voluntary work who are not working or actively seeking work</w:t>
            </w:r>
          </w:p>
        </w:tc>
      </w:tr>
      <w:tr w:rsidR="00103DBC" w:rsidRPr="00103DBC" w14:paraId="657DEA35" w14:textId="77777777" w:rsidTr="00B34530">
        <w:trPr>
          <w:trHeight w:val="276"/>
        </w:trPr>
        <w:tc>
          <w:tcPr>
            <w:tcW w:w="562" w:type="dxa"/>
            <w:noWrap/>
            <w:hideMark/>
          </w:tcPr>
          <w:p w14:paraId="3F3800CC" w14:textId="77777777" w:rsidR="000D2247" w:rsidRPr="00103DBC" w:rsidRDefault="000D2247" w:rsidP="00103DBC">
            <w:pPr>
              <w:rPr>
                <w:lang w:eastAsia="en-GB"/>
              </w:rPr>
            </w:pPr>
            <w:r w:rsidRPr="00103DBC">
              <w:rPr>
                <w:lang w:eastAsia="en-GB"/>
              </w:rPr>
              <w:t>08</w:t>
            </w:r>
          </w:p>
        </w:tc>
        <w:tc>
          <w:tcPr>
            <w:tcW w:w="8828" w:type="dxa"/>
            <w:noWrap/>
            <w:hideMark/>
          </w:tcPr>
          <w:p w14:paraId="6283631B" w14:textId="77777777" w:rsidR="000D2247" w:rsidRPr="00103DBC" w:rsidRDefault="000D2247" w:rsidP="00103DBC">
            <w:pPr>
              <w:rPr>
                <w:lang w:eastAsia="en-GB"/>
              </w:rPr>
            </w:pPr>
            <w:r w:rsidRPr="00103DBC">
              <w:rPr>
                <w:lang w:eastAsia="en-GB"/>
              </w:rPr>
              <w:t>Retired</w:t>
            </w:r>
          </w:p>
        </w:tc>
      </w:tr>
      <w:tr w:rsidR="000D2247" w:rsidRPr="00103DBC" w14:paraId="1FCAEF8C" w14:textId="77777777" w:rsidTr="00B34530">
        <w:trPr>
          <w:trHeight w:val="276"/>
        </w:trPr>
        <w:tc>
          <w:tcPr>
            <w:tcW w:w="562" w:type="dxa"/>
            <w:noWrap/>
            <w:hideMark/>
          </w:tcPr>
          <w:p w14:paraId="2A8EE692" w14:textId="77777777" w:rsidR="000D2247" w:rsidRPr="00103DBC" w:rsidRDefault="000D2247" w:rsidP="00103DBC">
            <w:pPr>
              <w:rPr>
                <w:lang w:eastAsia="en-GB"/>
              </w:rPr>
            </w:pPr>
            <w:r w:rsidRPr="00103DBC">
              <w:rPr>
                <w:lang w:eastAsia="en-GB"/>
              </w:rPr>
              <w:t>ZZ</w:t>
            </w:r>
          </w:p>
        </w:tc>
        <w:tc>
          <w:tcPr>
            <w:tcW w:w="8828" w:type="dxa"/>
            <w:noWrap/>
            <w:hideMark/>
          </w:tcPr>
          <w:p w14:paraId="4730376B" w14:textId="77777777" w:rsidR="000D2247" w:rsidRPr="00103DBC" w:rsidRDefault="000D2247" w:rsidP="00103DBC">
            <w:pPr>
              <w:rPr>
                <w:lang w:eastAsia="en-GB"/>
              </w:rPr>
            </w:pPr>
            <w:r w:rsidRPr="00103DBC">
              <w:rPr>
                <w:lang w:eastAsia="en-GB"/>
              </w:rPr>
              <w:t xml:space="preserve">Not Stated (person asked but declined to provide a response) </w:t>
            </w:r>
          </w:p>
        </w:tc>
      </w:tr>
    </w:tbl>
    <w:p w14:paraId="47548202" w14:textId="77777777" w:rsidR="000D2247" w:rsidRPr="00103DBC" w:rsidRDefault="000D2247" w:rsidP="00103DBC"/>
    <w:p w14:paraId="100C70C1" w14:textId="77777777" w:rsidR="000D2247" w:rsidRPr="00103DBC" w:rsidRDefault="000D2247" w:rsidP="00103DBC">
      <w:r w:rsidRPr="00103DBC">
        <w:t>The definition of employment in this indicator is ‘01’. In employment refers to either an employee, self-employed, on Government employed and training programmes, or an unpaid family worker (in a family owned business). This is the International Labour Organization Definition of basic economic activity.</w:t>
      </w:r>
    </w:p>
    <w:p w14:paraId="484E506A" w14:textId="77777777" w:rsidR="000D2247" w:rsidRPr="00103DBC" w:rsidRDefault="000D2247" w:rsidP="00103DBC"/>
    <w:p w14:paraId="7F6FC41A" w14:textId="77777777" w:rsidR="000D2247" w:rsidRPr="00103DBC" w:rsidRDefault="000D2247" w:rsidP="00103DBC">
      <w:r w:rsidRPr="00103DBC">
        <w:t>The percentage of records where the Employment Status was completed is presented as the</w:t>
      </w:r>
    </w:p>
    <w:p w14:paraId="7DC3123A" w14:textId="77777777" w:rsidR="000D2247" w:rsidRPr="00103DBC" w:rsidRDefault="000D2247" w:rsidP="00103DBC">
      <w:r w:rsidRPr="00103DBC">
        <w:t>Recording level.</w:t>
      </w:r>
    </w:p>
    <w:p w14:paraId="48BE21F5" w14:textId="11335BB6" w:rsidR="000D2247" w:rsidRPr="00103DBC" w:rsidRDefault="000D2247">
      <w:pPr>
        <w:rPr>
          <w:b/>
        </w:rPr>
      </w:pPr>
      <w:r w:rsidRPr="00103DBC">
        <w:rPr>
          <w:b/>
        </w:rPr>
        <w:br w:type="page"/>
      </w:r>
    </w:p>
    <w:tbl>
      <w:tblPr>
        <w:tblStyle w:val="TableGrid"/>
        <w:tblW w:w="9851" w:type="dxa"/>
        <w:tblLook w:val="01E0" w:firstRow="1" w:lastRow="1" w:firstColumn="1" w:lastColumn="1" w:noHBand="0" w:noVBand="0"/>
      </w:tblPr>
      <w:tblGrid>
        <w:gridCol w:w="2291"/>
        <w:gridCol w:w="7560"/>
      </w:tblGrid>
      <w:tr w:rsidR="00103DBC" w:rsidRPr="00103DBC" w14:paraId="30C399F4" w14:textId="77777777" w:rsidTr="00B34530">
        <w:trPr>
          <w:trHeight w:val="525"/>
        </w:trPr>
        <w:tc>
          <w:tcPr>
            <w:tcW w:w="2291" w:type="dxa"/>
          </w:tcPr>
          <w:p w14:paraId="6B5C2998" w14:textId="77777777" w:rsidR="000D2247" w:rsidRPr="00103DBC" w:rsidRDefault="000D2247" w:rsidP="00103DBC">
            <w:pPr>
              <w:rPr>
                <w:b/>
              </w:rPr>
            </w:pPr>
            <w:r w:rsidRPr="00103DBC">
              <w:rPr>
                <w:b/>
              </w:rPr>
              <w:lastRenderedPageBreak/>
              <w:t>IAS Ref Code</w:t>
            </w:r>
          </w:p>
        </w:tc>
        <w:tc>
          <w:tcPr>
            <w:tcW w:w="7560" w:type="dxa"/>
          </w:tcPr>
          <w:p w14:paraId="49B49BA3" w14:textId="5B820CC5" w:rsidR="000D2247" w:rsidRPr="00103DBC" w:rsidRDefault="000D2247" w:rsidP="00103DBC">
            <w:pPr>
              <w:rPr>
                <w:b/>
              </w:rPr>
            </w:pPr>
          </w:p>
        </w:tc>
      </w:tr>
      <w:tr w:rsidR="00103DBC" w:rsidRPr="00103DBC" w14:paraId="1844646C" w14:textId="77777777" w:rsidTr="00B34530">
        <w:trPr>
          <w:trHeight w:val="973"/>
        </w:trPr>
        <w:tc>
          <w:tcPr>
            <w:tcW w:w="2291" w:type="dxa"/>
          </w:tcPr>
          <w:p w14:paraId="5AF5E208" w14:textId="77777777" w:rsidR="000D2247" w:rsidRPr="00103DBC" w:rsidRDefault="000D2247" w:rsidP="00103DBC">
            <w:pPr>
              <w:rPr>
                <w:b/>
              </w:rPr>
            </w:pPr>
            <w:r w:rsidRPr="00103DBC">
              <w:rPr>
                <w:b/>
              </w:rPr>
              <w:t>Indicator Title</w:t>
            </w:r>
          </w:p>
        </w:tc>
        <w:tc>
          <w:tcPr>
            <w:tcW w:w="7560" w:type="dxa"/>
          </w:tcPr>
          <w:p w14:paraId="25ED362F" w14:textId="216198A2" w:rsidR="000D2247" w:rsidRPr="00103DBC" w:rsidRDefault="000D2247" w:rsidP="00103DBC">
            <w:pPr>
              <w:rPr>
                <w:b/>
              </w:rPr>
            </w:pPr>
          </w:p>
        </w:tc>
      </w:tr>
      <w:tr w:rsidR="00103DBC" w:rsidRPr="00103DBC" w14:paraId="765517A4" w14:textId="77777777" w:rsidTr="00B34530">
        <w:trPr>
          <w:trHeight w:val="548"/>
        </w:trPr>
        <w:tc>
          <w:tcPr>
            <w:tcW w:w="2291" w:type="dxa"/>
          </w:tcPr>
          <w:p w14:paraId="12CD3152" w14:textId="77777777" w:rsidR="000D2247" w:rsidRPr="00103DBC" w:rsidRDefault="000D2247" w:rsidP="00103DBC">
            <w:pPr>
              <w:rPr>
                <w:b/>
              </w:rPr>
            </w:pPr>
            <w:r w:rsidRPr="00103DBC">
              <w:rPr>
                <w:b/>
              </w:rPr>
              <w:t>Indicator Set</w:t>
            </w:r>
          </w:p>
        </w:tc>
        <w:tc>
          <w:tcPr>
            <w:tcW w:w="7560" w:type="dxa"/>
          </w:tcPr>
          <w:p w14:paraId="64E9BF19" w14:textId="6272A876" w:rsidR="000D2247" w:rsidRPr="00103DBC" w:rsidRDefault="000D2247" w:rsidP="00103DBC">
            <w:pPr>
              <w:rPr>
                <w:b/>
              </w:rPr>
            </w:pPr>
          </w:p>
        </w:tc>
      </w:tr>
    </w:tbl>
    <w:p w14:paraId="3978EE8E" w14:textId="77777777" w:rsidR="000D2247" w:rsidRPr="00103DBC" w:rsidRDefault="000D2247" w:rsidP="00103DBC">
      <w:pPr>
        <w:ind w:left="-540"/>
      </w:pPr>
    </w:p>
    <w:p w14:paraId="6F64A0B7" w14:textId="77777777" w:rsidR="000D2247" w:rsidRPr="00103DBC" w:rsidRDefault="000D2247" w:rsidP="00103DBC">
      <w:pPr>
        <w:ind w:left="-540"/>
      </w:pPr>
    </w:p>
    <w:tbl>
      <w:tblPr>
        <w:tblStyle w:val="TableGrid"/>
        <w:tblW w:w="9869" w:type="dxa"/>
        <w:tblLook w:val="01E0" w:firstRow="1" w:lastRow="1" w:firstColumn="1" w:lastColumn="1" w:noHBand="0" w:noVBand="0"/>
      </w:tblPr>
      <w:tblGrid>
        <w:gridCol w:w="1135"/>
        <w:gridCol w:w="1134"/>
        <w:gridCol w:w="1843"/>
        <w:gridCol w:w="5757"/>
      </w:tblGrid>
      <w:tr w:rsidR="00103DBC" w:rsidRPr="00103DBC" w14:paraId="67F96EF2" w14:textId="77777777" w:rsidTr="00B34530">
        <w:trPr>
          <w:trHeight w:val="243"/>
        </w:trPr>
        <w:tc>
          <w:tcPr>
            <w:tcW w:w="1135" w:type="dxa"/>
          </w:tcPr>
          <w:p w14:paraId="29DB650A" w14:textId="77777777" w:rsidR="000D2247" w:rsidRPr="00103DBC" w:rsidRDefault="000D2247" w:rsidP="00103DBC">
            <w:r w:rsidRPr="00103DBC">
              <w:t>Version</w:t>
            </w:r>
          </w:p>
        </w:tc>
        <w:tc>
          <w:tcPr>
            <w:tcW w:w="1134" w:type="dxa"/>
          </w:tcPr>
          <w:p w14:paraId="60BFE994" w14:textId="77777777" w:rsidR="000D2247" w:rsidRPr="00103DBC" w:rsidRDefault="000D2247" w:rsidP="00103DBC">
            <w:r w:rsidRPr="00103DBC">
              <w:t>Date</w:t>
            </w:r>
          </w:p>
        </w:tc>
        <w:tc>
          <w:tcPr>
            <w:tcW w:w="1843" w:type="dxa"/>
          </w:tcPr>
          <w:p w14:paraId="3D70AE67" w14:textId="77777777" w:rsidR="000D2247" w:rsidRPr="00103DBC" w:rsidRDefault="000D2247" w:rsidP="00103DBC">
            <w:r w:rsidRPr="00103DBC">
              <w:t>Changed By</w:t>
            </w:r>
          </w:p>
        </w:tc>
        <w:tc>
          <w:tcPr>
            <w:tcW w:w="5757" w:type="dxa"/>
          </w:tcPr>
          <w:p w14:paraId="26DF84E1" w14:textId="77777777" w:rsidR="000D2247" w:rsidRPr="00103DBC" w:rsidRDefault="000D2247" w:rsidP="00103DBC">
            <w:r w:rsidRPr="00103DBC">
              <w:t>Summary of changes</w:t>
            </w:r>
          </w:p>
        </w:tc>
      </w:tr>
      <w:tr w:rsidR="00103DBC" w:rsidRPr="00103DBC" w14:paraId="536A6159" w14:textId="77777777" w:rsidTr="00B34530">
        <w:trPr>
          <w:trHeight w:val="280"/>
        </w:trPr>
        <w:tc>
          <w:tcPr>
            <w:tcW w:w="1135" w:type="dxa"/>
          </w:tcPr>
          <w:p w14:paraId="6722377E" w14:textId="77777777" w:rsidR="000D2247" w:rsidRPr="00103DBC" w:rsidRDefault="000D2247" w:rsidP="00103DBC">
            <w:r w:rsidRPr="00103DBC">
              <w:t>v.01</w:t>
            </w:r>
          </w:p>
        </w:tc>
        <w:tc>
          <w:tcPr>
            <w:tcW w:w="1134" w:type="dxa"/>
          </w:tcPr>
          <w:p w14:paraId="26B7C719" w14:textId="77777777" w:rsidR="000D2247" w:rsidRPr="00103DBC" w:rsidRDefault="000D2247" w:rsidP="00103DBC">
            <w:r w:rsidRPr="00103DBC">
              <w:t>29/08/13</w:t>
            </w:r>
          </w:p>
        </w:tc>
        <w:tc>
          <w:tcPr>
            <w:tcW w:w="1843" w:type="dxa"/>
          </w:tcPr>
          <w:p w14:paraId="735DDA41" w14:textId="77777777" w:rsidR="000D2247" w:rsidRPr="00103DBC" w:rsidRDefault="000D2247" w:rsidP="00103DBC">
            <w:r w:rsidRPr="00103DBC">
              <w:t>Chris Wilson</w:t>
            </w:r>
          </w:p>
        </w:tc>
        <w:tc>
          <w:tcPr>
            <w:tcW w:w="5757" w:type="dxa"/>
          </w:tcPr>
          <w:p w14:paraId="728AD716" w14:textId="77777777" w:rsidR="000D2247" w:rsidRPr="00103DBC" w:rsidRDefault="000D2247" w:rsidP="00103DBC">
            <w:r w:rsidRPr="00103DBC">
              <w:t>Document Created</w:t>
            </w:r>
          </w:p>
        </w:tc>
      </w:tr>
      <w:tr w:rsidR="00103DBC" w:rsidRPr="00103DBC" w14:paraId="081AAB1D" w14:textId="77777777" w:rsidTr="00B34530">
        <w:trPr>
          <w:trHeight w:val="231"/>
        </w:trPr>
        <w:tc>
          <w:tcPr>
            <w:tcW w:w="1135" w:type="dxa"/>
          </w:tcPr>
          <w:p w14:paraId="33258500" w14:textId="77777777" w:rsidR="000D2247" w:rsidRPr="00103DBC" w:rsidRDefault="000D2247" w:rsidP="00103DBC">
            <w:r w:rsidRPr="00103DBC">
              <w:t>v.02</w:t>
            </w:r>
          </w:p>
        </w:tc>
        <w:tc>
          <w:tcPr>
            <w:tcW w:w="1134" w:type="dxa"/>
          </w:tcPr>
          <w:p w14:paraId="416C1988" w14:textId="77777777" w:rsidR="000D2247" w:rsidRPr="00103DBC" w:rsidRDefault="000D2247" w:rsidP="00103DBC">
            <w:r w:rsidRPr="00103DBC">
              <w:t>30/08/13</w:t>
            </w:r>
          </w:p>
        </w:tc>
        <w:tc>
          <w:tcPr>
            <w:tcW w:w="1843" w:type="dxa"/>
          </w:tcPr>
          <w:p w14:paraId="6B1C49A6" w14:textId="77777777" w:rsidR="000D2247" w:rsidRPr="00103DBC" w:rsidRDefault="000D2247" w:rsidP="00103DBC">
            <w:r w:rsidRPr="00103DBC">
              <w:t>Geoff Green</w:t>
            </w:r>
          </w:p>
        </w:tc>
        <w:tc>
          <w:tcPr>
            <w:tcW w:w="5757" w:type="dxa"/>
          </w:tcPr>
          <w:p w14:paraId="37425DF1" w14:textId="77777777" w:rsidR="000D2247" w:rsidRPr="00103DBC" w:rsidRDefault="000D2247" w:rsidP="00103DBC">
            <w:r w:rsidRPr="00103DBC">
              <w:t>Text inserted from pipeline application</w:t>
            </w:r>
          </w:p>
        </w:tc>
      </w:tr>
      <w:tr w:rsidR="00103DBC" w:rsidRPr="00103DBC" w14:paraId="5D61C099" w14:textId="77777777" w:rsidTr="00B34530">
        <w:trPr>
          <w:trHeight w:val="231"/>
        </w:trPr>
        <w:tc>
          <w:tcPr>
            <w:tcW w:w="1135" w:type="dxa"/>
          </w:tcPr>
          <w:p w14:paraId="022332BC" w14:textId="77777777" w:rsidR="000D2247" w:rsidRPr="00103DBC" w:rsidRDefault="000D2247" w:rsidP="00103DBC">
            <w:r w:rsidRPr="00103DBC">
              <w:t>V0.3</w:t>
            </w:r>
          </w:p>
        </w:tc>
        <w:tc>
          <w:tcPr>
            <w:tcW w:w="1134" w:type="dxa"/>
          </w:tcPr>
          <w:p w14:paraId="1B5DF672" w14:textId="77777777" w:rsidR="000D2247" w:rsidRPr="00103DBC" w:rsidRDefault="000D2247" w:rsidP="00103DBC">
            <w:r w:rsidRPr="00103DBC">
              <w:t>20/09/13</w:t>
            </w:r>
          </w:p>
        </w:tc>
        <w:tc>
          <w:tcPr>
            <w:tcW w:w="1843" w:type="dxa"/>
          </w:tcPr>
          <w:p w14:paraId="7EC423F7" w14:textId="77777777" w:rsidR="000D2247" w:rsidRPr="00103DBC" w:rsidRDefault="000D2247" w:rsidP="00103DBC">
            <w:r w:rsidRPr="00103DBC">
              <w:t>Geoff Green</w:t>
            </w:r>
          </w:p>
        </w:tc>
        <w:tc>
          <w:tcPr>
            <w:tcW w:w="5757" w:type="dxa"/>
          </w:tcPr>
          <w:p w14:paraId="45A4C68C" w14:textId="77777777" w:rsidR="000D2247" w:rsidRPr="00103DBC" w:rsidRDefault="000D2247" w:rsidP="00103DBC">
            <w:r w:rsidRPr="00103DBC">
              <w:t>Initial amendments made following MRG meeting</w:t>
            </w:r>
          </w:p>
        </w:tc>
      </w:tr>
      <w:tr w:rsidR="00103DBC" w:rsidRPr="00103DBC" w14:paraId="79535756" w14:textId="77777777" w:rsidTr="00B34530">
        <w:trPr>
          <w:trHeight w:val="231"/>
        </w:trPr>
        <w:tc>
          <w:tcPr>
            <w:tcW w:w="1135" w:type="dxa"/>
          </w:tcPr>
          <w:p w14:paraId="0A26A253" w14:textId="77777777" w:rsidR="000D2247" w:rsidRPr="00103DBC" w:rsidRDefault="000D2247" w:rsidP="00103DBC">
            <w:r w:rsidRPr="00103DBC">
              <w:t>v.04</w:t>
            </w:r>
          </w:p>
        </w:tc>
        <w:tc>
          <w:tcPr>
            <w:tcW w:w="1134" w:type="dxa"/>
          </w:tcPr>
          <w:p w14:paraId="072DFD7B" w14:textId="77777777" w:rsidR="000D2247" w:rsidRPr="00103DBC" w:rsidRDefault="000D2247" w:rsidP="00103DBC">
            <w:r w:rsidRPr="00103DBC">
              <w:t>01/04/14</w:t>
            </w:r>
          </w:p>
        </w:tc>
        <w:tc>
          <w:tcPr>
            <w:tcW w:w="1843" w:type="dxa"/>
          </w:tcPr>
          <w:p w14:paraId="0A621B6C" w14:textId="77777777" w:rsidR="000D2247" w:rsidRPr="00103DBC" w:rsidRDefault="000D2247" w:rsidP="00103DBC">
            <w:r w:rsidRPr="00103DBC">
              <w:t>Chris Wilson</w:t>
            </w:r>
          </w:p>
        </w:tc>
        <w:tc>
          <w:tcPr>
            <w:tcW w:w="5757" w:type="dxa"/>
          </w:tcPr>
          <w:p w14:paraId="70C2B980" w14:textId="77777777" w:rsidR="000D2247" w:rsidRPr="00103DBC" w:rsidRDefault="000D2247" w:rsidP="00103DBC">
            <w:r w:rsidRPr="00103DBC">
              <w:t>Document updated in preparation for IGB</w:t>
            </w:r>
          </w:p>
        </w:tc>
      </w:tr>
      <w:tr w:rsidR="00103DBC" w:rsidRPr="00103DBC" w14:paraId="4BCA11C4" w14:textId="77777777" w:rsidTr="00B34530">
        <w:trPr>
          <w:trHeight w:val="231"/>
        </w:trPr>
        <w:tc>
          <w:tcPr>
            <w:tcW w:w="1135" w:type="dxa"/>
          </w:tcPr>
          <w:p w14:paraId="0D4A778E" w14:textId="77777777" w:rsidR="000D2247" w:rsidRPr="00103DBC" w:rsidRDefault="000D2247" w:rsidP="00103DBC"/>
        </w:tc>
        <w:tc>
          <w:tcPr>
            <w:tcW w:w="1134" w:type="dxa"/>
          </w:tcPr>
          <w:p w14:paraId="7CD9390E" w14:textId="77777777" w:rsidR="000D2247" w:rsidRPr="00103DBC" w:rsidRDefault="000D2247" w:rsidP="00103DBC"/>
        </w:tc>
        <w:tc>
          <w:tcPr>
            <w:tcW w:w="1843" w:type="dxa"/>
          </w:tcPr>
          <w:p w14:paraId="346ED050" w14:textId="77777777" w:rsidR="000D2247" w:rsidRPr="00103DBC" w:rsidRDefault="000D2247" w:rsidP="00103DBC"/>
        </w:tc>
        <w:tc>
          <w:tcPr>
            <w:tcW w:w="5757" w:type="dxa"/>
          </w:tcPr>
          <w:p w14:paraId="1A3A5B37" w14:textId="77777777" w:rsidR="000D2247" w:rsidRPr="00103DBC" w:rsidRDefault="000D2247" w:rsidP="00103DBC"/>
        </w:tc>
      </w:tr>
    </w:tbl>
    <w:p w14:paraId="22185C4E" w14:textId="77777777" w:rsidR="000D2247" w:rsidRPr="00103DBC" w:rsidRDefault="000D2247" w:rsidP="00103DBC">
      <w:pPr>
        <w:ind w:left="-540"/>
      </w:pPr>
    </w:p>
    <w:p w14:paraId="41ACCC63" w14:textId="77777777" w:rsidR="000D2247" w:rsidRPr="00103DBC" w:rsidRDefault="000D2247" w:rsidP="00103DBC">
      <w:pPr>
        <w:ind w:left="-540"/>
      </w:pPr>
    </w:p>
    <w:p w14:paraId="1D29B82D" w14:textId="77777777" w:rsidR="000D2247" w:rsidRPr="00103DBC" w:rsidRDefault="000D2247" w:rsidP="00103DBC">
      <w:pPr>
        <w:ind w:left="-540"/>
      </w:pPr>
    </w:p>
    <w:p w14:paraId="648B5164" w14:textId="77777777" w:rsidR="000D2247" w:rsidRPr="00103DBC" w:rsidRDefault="000D2247" w:rsidP="00103DBC">
      <w:pPr>
        <w:ind w:left="-540"/>
      </w:pPr>
    </w:p>
    <w:p w14:paraId="4FBE4843" w14:textId="77777777" w:rsidR="000D2247" w:rsidRPr="00103DBC" w:rsidRDefault="000D2247" w:rsidP="00103DBC">
      <w:pPr>
        <w:ind w:left="-540"/>
      </w:pPr>
    </w:p>
    <w:p w14:paraId="51E7117F" w14:textId="77777777" w:rsidR="000D2247" w:rsidRPr="00103DBC" w:rsidRDefault="000D2247">
      <w:r w:rsidRPr="00103DBC">
        <w:br w:type="page"/>
      </w:r>
    </w:p>
    <w:p w14:paraId="28972934" w14:textId="77777777" w:rsidR="000D2247" w:rsidRPr="00103DBC" w:rsidRDefault="000D2247" w:rsidP="00103DBC">
      <w:pPr>
        <w:ind w:left="-851"/>
        <w:jc w:val="both"/>
      </w:pPr>
    </w:p>
    <w:p w14:paraId="4A14713A" w14:textId="77777777" w:rsidR="000D2247" w:rsidRPr="00103DBC" w:rsidRDefault="000D2247" w:rsidP="00103DBC">
      <w:pPr>
        <w:ind w:left="-851"/>
        <w:rPr>
          <w:b/>
        </w:rPr>
      </w:pPr>
      <w:r w:rsidRPr="00103DBC">
        <w:rPr>
          <w:b/>
        </w:rPr>
        <w:t>Assurance Summary</w:t>
      </w:r>
    </w:p>
    <w:p w14:paraId="0D48A6E6" w14:textId="77777777" w:rsidR="000D2247" w:rsidRPr="00103DBC" w:rsidRDefault="000D2247" w:rsidP="00103DBC">
      <w:pPr>
        <w:ind w:left="-851"/>
      </w:pPr>
    </w:p>
    <w:tbl>
      <w:tblPr>
        <w:tblStyle w:val="TableGrid"/>
        <w:tblW w:w="9923" w:type="dxa"/>
        <w:tblInd w:w="-457" w:type="dxa"/>
        <w:tblLook w:val="01E0" w:firstRow="1" w:lastRow="1" w:firstColumn="1" w:lastColumn="1" w:noHBand="0" w:noVBand="0"/>
      </w:tblPr>
      <w:tblGrid>
        <w:gridCol w:w="2127"/>
        <w:gridCol w:w="7796"/>
      </w:tblGrid>
      <w:tr w:rsidR="00103DBC" w:rsidRPr="00103DBC" w14:paraId="03EFE3B5" w14:textId="77777777" w:rsidTr="00B34530">
        <w:trPr>
          <w:trHeight w:val="321"/>
        </w:trPr>
        <w:tc>
          <w:tcPr>
            <w:tcW w:w="2127" w:type="dxa"/>
          </w:tcPr>
          <w:p w14:paraId="37377D74" w14:textId="77777777" w:rsidR="000D2247" w:rsidRPr="00103DBC" w:rsidRDefault="000D2247" w:rsidP="00103DBC">
            <w:pPr>
              <w:rPr>
                <w:b/>
              </w:rPr>
            </w:pPr>
            <w:r w:rsidRPr="00103DBC">
              <w:rPr>
                <w:b/>
              </w:rPr>
              <w:t>IAS Ref Code</w:t>
            </w:r>
          </w:p>
        </w:tc>
        <w:tc>
          <w:tcPr>
            <w:tcW w:w="7796" w:type="dxa"/>
          </w:tcPr>
          <w:p w14:paraId="66D491F2" w14:textId="18DC6E59" w:rsidR="000D2247" w:rsidRPr="00103DBC" w:rsidRDefault="000D2247" w:rsidP="00103DBC">
            <w:pPr>
              <w:rPr>
                <w:b/>
              </w:rPr>
            </w:pPr>
          </w:p>
        </w:tc>
      </w:tr>
      <w:tr w:rsidR="00103DBC" w:rsidRPr="00103DBC" w14:paraId="339A4CE4" w14:textId="77777777" w:rsidTr="00B34530">
        <w:trPr>
          <w:trHeight w:val="681"/>
        </w:trPr>
        <w:tc>
          <w:tcPr>
            <w:tcW w:w="2127" w:type="dxa"/>
          </w:tcPr>
          <w:p w14:paraId="24FF54B9" w14:textId="77777777" w:rsidR="000D2247" w:rsidRPr="00103DBC" w:rsidRDefault="000D2247" w:rsidP="00103DBC">
            <w:pPr>
              <w:rPr>
                <w:b/>
              </w:rPr>
            </w:pPr>
            <w:r w:rsidRPr="00103DBC">
              <w:rPr>
                <w:b/>
              </w:rPr>
              <w:t>Indicator Title</w:t>
            </w:r>
          </w:p>
        </w:tc>
        <w:tc>
          <w:tcPr>
            <w:tcW w:w="7796" w:type="dxa"/>
          </w:tcPr>
          <w:p w14:paraId="7261F8FF" w14:textId="41A2E615" w:rsidR="000D2247" w:rsidRPr="00103DBC" w:rsidRDefault="000D2247" w:rsidP="00103DBC">
            <w:pPr>
              <w:rPr>
                <w:b/>
              </w:rPr>
            </w:pPr>
          </w:p>
        </w:tc>
      </w:tr>
      <w:tr w:rsidR="00103DBC" w:rsidRPr="00103DBC" w14:paraId="0D84026C" w14:textId="77777777" w:rsidTr="00B34530">
        <w:trPr>
          <w:trHeight w:val="408"/>
        </w:trPr>
        <w:tc>
          <w:tcPr>
            <w:tcW w:w="2127" w:type="dxa"/>
          </w:tcPr>
          <w:p w14:paraId="4184A337" w14:textId="77777777" w:rsidR="000D2247" w:rsidRPr="00103DBC" w:rsidRDefault="000D2247" w:rsidP="00103DBC">
            <w:pPr>
              <w:rPr>
                <w:b/>
              </w:rPr>
            </w:pPr>
            <w:r w:rsidRPr="00103DBC">
              <w:rPr>
                <w:b/>
              </w:rPr>
              <w:t>Indicator Set</w:t>
            </w:r>
          </w:p>
        </w:tc>
        <w:tc>
          <w:tcPr>
            <w:tcW w:w="7796" w:type="dxa"/>
          </w:tcPr>
          <w:p w14:paraId="18764D66" w14:textId="5B90F0CC" w:rsidR="000D2247" w:rsidRPr="00103DBC" w:rsidRDefault="000D2247" w:rsidP="00103DBC">
            <w:pPr>
              <w:rPr>
                <w:b/>
              </w:rPr>
            </w:pPr>
          </w:p>
        </w:tc>
      </w:tr>
    </w:tbl>
    <w:p w14:paraId="1C5D9DD6" w14:textId="77777777" w:rsidR="000D2247" w:rsidRPr="00103DBC" w:rsidRDefault="000D2247" w:rsidP="00103DBC">
      <w:pPr>
        <w:ind w:left="-851"/>
      </w:pPr>
    </w:p>
    <w:tbl>
      <w:tblPr>
        <w:tblStyle w:val="TableGrid"/>
        <w:tblpPr w:leftFromText="180" w:rightFromText="180" w:vertAnchor="text" w:horzAnchor="margin" w:tblpXSpec="center" w:tblpY="24"/>
        <w:tblW w:w="9923" w:type="dxa"/>
        <w:tblLayout w:type="fixed"/>
        <w:tblLook w:val="01E0" w:firstRow="1" w:lastRow="1" w:firstColumn="1" w:lastColumn="1" w:noHBand="0" w:noVBand="0"/>
      </w:tblPr>
      <w:tblGrid>
        <w:gridCol w:w="3828"/>
        <w:gridCol w:w="567"/>
        <w:gridCol w:w="2552"/>
        <w:gridCol w:w="2976"/>
      </w:tblGrid>
      <w:tr w:rsidR="00B34530" w:rsidRPr="00103DBC" w14:paraId="77EB20EC" w14:textId="77777777" w:rsidTr="00B34530">
        <w:trPr>
          <w:trHeight w:val="270"/>
        </w:trPr>
        <w:tc>
          <w:tcPr>
            <w:tcW w:w="3828" w:type="dxa"/>
          </w:tcPr>
          <w:p w14:paraId="39E50877" w14:textId="77777777" w:rsidR="00B34530" w:rsidRPr="00103DBC" w:rsidRDefault="00B34530" w:rsidP="00B34530">
            <w:r w:rsidRPr="00103DBC">
              <w:t>Assurance Stage</w:t>
            </w:r>
          </w:p>
        </w:tc>
        <w:tc>
          <w:tcPr>
            <w:tcW w:w="567" w:type="dxa"/>
          </w:tcPr>
          <w:p w14:paraId="22828610" w14:textId="77777777" w:rsidR="00B34530" w:rsidRPr="00103DBC" w:rsidRDefault="00B34530" w:rsidP="00B34530">
            <w:pPr>
              <w:jc w:val="center"/>
            </w:pPr>
          </w:p>
        </w:tc>
        <w:tc>
          <w:tcPr>
            <w:tcW w:w="2552" w:type="dxa"/>
          </w:tcPr>
          <w:p w14:paraId="045DDC92" w14:textId="77777777" w:rsidR="00B34530" w:rsidRPr="00103DBC" w:rsidRDefault="00B34530" w:rsidP="00B34530">
            <w:pPr>
              <w:jc w:val="right"/>
            </w:pPr>
            <w:r w:rsidRPr="00103DBC">
              <w:t>Date(s)</w:t>
            </w:r>
          </w:p>
        </w:tc>
        <w:tc>
          <w:tcPr>
            <w:tcW w:w="2976" w:type="dxa"/>
          </w:tcPr>
          <w:p w14:paraId="1FE38ED4" w14:textId="77777777" w:rsidR="00B34530" w:rsidRPr="00103DBC" w:rsidRDefault="00B34530" w:rsidP="00B34530">
            <w:r w:rsidRPr="00103DBC">
              <w:t>Comments</w:t>
            </w:r>
          </w:p>
        </w:tc>
      </w:tr>
      <w:tr w:rsidR="00B34530" w:rsidRPr="00103DBC" w14:paraId="6A8532A3" w14:textId="77777777" w:rsidTr="00B34530">
        <w:trPr>
          <w:trHeight w:val="270"/>
        </w:trPr>
        <w:tc>
          <w:tcPr>
            <w:tcW w:w="3828" w:type="dxa"/>
          </w:tcPr>
          <w:p w14:paraId="125AE9A2" w14:textId="77777777" w:rsidR="00B34530" w:rsidRPr="00103DBC" w:rsidRDefault="00B34530" w:rsidP="00B34530">
            <w:r w:rsidRPr="00103DBC">
              <w:t>Application Received</w:t>
            </w:r>
          </w:p>
        </w:tc>
        <w:sdt>
          <w:sdtPr>
            <w:id w:val="1768819078"/>
            <w14:checkbox>
              <w14:checked w14:val="0"/>
              <w14:checkedState w14:val="2612" w14:font="MS Gothic"/>
              <w14:uncheckedState w14:val="2610" w14:font="MS Gothic"/>
            </w14:checkbox>
          </w:sdtPr>
          <w:sdtEndPr/>
          <w:sdtContent>
            <w:tc>
              <w:tcPr>
                <w:tcW w:w="567" w:type="dxa"/>
              </w:tcPr>
              <w:p w14:paraId="44C1B4E8" w14:textId="77777777" w:rsidR="00B34530" w:rsidRPr="00103DBC" w:rsidRDefault="00B34530" w:rsidP="00B34530">
                <w:pPr>
                  <w:jc w:val="center"/>
                </w:pPr>
                <w:r w:rsidRPr="00103DBC">
                  <w:rPr>
                    <w:rFonts w:ascii="Segoe UI Symbol" w:eastAsia="MS Gothic" w:hAnsi="Segoe UI Symbol" w:cs="Segoe UI Symbol"/>
                  </w:rPr>
                  <w:t>☐</w:t>
                </w:r>
              </w:p>
            </w:tc>
          </w:sdtContent>
        </w:sdt>
        <w:tc>
          <w:tcPr>
            <w:tcW w:w="2552" w:type="dxa"/>
          </w:tcPr>
          <w:p w14:paraId="564605F1" w14:textId="77777777" w:rsidR="00B34530" w:rsidRPr="00103DBC" w:rsidRDefault="00B34530" w:rsidP="00B34530">
            <w:pPr>
              <w:jc w:val="right"/>
            </w:pPr>
          </w:p>
        </w:tc>
        <w:tc>
          <w:tcPr>
            <w:tcW w:w="2976" w:type="dxa"/>
          </w:tcPr>
          <w:p w14:paraId="575ECA56" w14:textId="77777777" w:rsidR="00B34530" w:rsidRPr="00103DBC" w:rsidRDefault="00B34530" w:rsidP="00B34530"/>
        </w:tc>
      </w:tr>
      <w:tr w:rsidR="00B34530" w:rsidRPr="00103DBC" w14:paraId="02F55E08" w14:textId="77777777" w:rsidTr="00B34530">
        <w:trPr>
          <w:trHeight w:val="270"/>
        </w:trPr>
        <w:tc>
          <w:tcPr>
            <w:tcW w:w="3828" w:type="dxa"/>
          </w:tcPr>
          <w:p w14:paraId="12F4788D" w14:textId="77777777" w:rsidR="00B34530" w:rsidRPr="00103DBC" w:rsidRDefault="00B34530" w:rsidP="00B34530">
            <w:r w:rsidRPr="00103DBC">
              <w:t>Initial Appraisal Completed</w:t>
            </w:r>
          </w:p>
        </w:tc>
        <w:sdt>
          <w:sdtPr>
            <w:id w:val="1458530912"/>
            <w14:checkbox>
              <w14:checked w14:val="0"/>
              <w14:checkedState w14:val="2612" w14:font="MS Gothic"/>
              <w14:uncheckedState w14:val="2610" w14:font="MS Gothic"/>
            </w14:checkbox>
          </w:sdtPr>
          <w:sdtEndPr/>
          <w:sdtContent>
            <w:tc>
              <w:tcPr>
                <w:tcW w:w="567" w:type="dxa"/>
              </w:tcPr>
              <w:p w14:paraId="47C16AD3" w14:textId="77777777" w:rsidR="00B34530" w:rsidRPr="00103DBC" w:rsidRDefault="00B34530" w:rsidP="00B34530">
                <w:pPr>
                  <w:jc w:val="center"/>
                </w:pPr>
                <w:r w:rsidRPr="00103DBC">
                  <w:rPr>
                    <w:rFonts w:ascii="Segoe UI Symbol" w:eastAsia="MS Gothic" w:hAnsi="Segoe UI Symbol" w:cs="Segoe UI Symbol"/>
                  </w:rPr>
                  <w:t>☐</w:t>
                </w:r>
              </w:p>
            </w:tc>
          </w:sdtContent>
        </w:sdt>
        <w:tc>
          <w:tcPr>
            <w:tcW w:w="2552" w:type="dxa"/>
          </w:tcPr>
          <w:p w14:paraId="622C03EE" w14:textId="77777777" w:rsidR="00B34530" w:rsidRPr="00103DBC" w:rsidRDefault="00B34530" w:rsidP="00B34530">
            <w:pPr>
              <w:jc w:val="right"/>
            </w:pPr>
          </w:p>
        </w:tc>
        <w:tc>
          <w:tcPr>
            <w:tcW w:w="2976" w:type="dxa"/>
          </w:tcPr>
          <w:p w14:paraId="4D9FB526" w14:textId="77777777" w:rsidR="00B34530" w:rsidRPr="00103DBC" w:rsidRDefault="00B34530" w:rsidP="00B34530"/>
        </w:tc>
      </w:tr>
      <w:tr w:rsidR="00B34530" w:rsidRPr="00103DBC" w14:paraId="1700B4A4" w14:textId="77777777" w:rsidTr="00B34530">
        <w:trPr>
          <w:trHeight w:val="270"/>
        </w:trPr>
        <w:tc>
          <w:tcPr>
            <w:tcW w:w="3828" w:type="dxa"/>
          </w:tcPr>
          <w:p w14:paraId="1A25099D" w14:textId="77777777" w:rsidR="00B34530" w:rsidRPr="00103DBC" w:rsidRDefault="00B34530" w:rsidP="00B34530">
            <w:r w:rsidRPr="00103DBC">
              <w:t>Peer Review Appraisal</w:t>
            </w:r>
          </w:p>
        </w:tc>
        <w:sdt>
          <w:sdtPr>
            <w:id w:val="-1207555589"/>
            <w14:checkbox>
              <w14:checked w14:val="1"/>
              <w14:checkedState w14:val="2612" w14:font="MS Gothic"/>
              <w14:uncheckedState w14:val="2610" w14:font="MS Gothic"/>
            </w14:checkbox>
          </w:sdtPr>
          <w:sdtEndPr/>
          <w:sdtContent>
            <w:tc>
              <w:tcPr>
                <w:tcW w:w="567" w:type="dxa"/>
              </w:tcPr>
              <w:p w14:paraId="19EE8210" w14:textId="77777777" w:rsidR="00B34530" w:rsidRPr="00103DBC" w:rsidRDefault="00B34530" w:rsidP="00B34530">
                <w:pPr>
                  <w:jc w:val="center"/>
                </w:pPr>
                <w:r w:rsidRPr="00103DBC">
                  <w:rPr>
                    <w:rFonts w:ascii="Segoe UI Symbol" w:eastAsia="MS Gothic" w:hAnsi="Segoe UI Symbol" w:cs="Segoe UI Symbol"/>
                  </w:rPr>
                  <w:t>☒</w:t>
                </w:r>
              </w:p>
            </w:tc>
          </w:sdtContent>
        </w:sdt>
        <w:tc>
          <w:tcPr>
            <w:tcW w:w="2552" w:type="dxa"/>
          </w:tcPr>
          <w:p w14:paraId="6E0068DD" w14:textId="77777777" w:rsidR="00B34530" w:rsidRPr="00103DBC" w:rsidRDefault="00B34530" w:rsidP="00B34530">
            <w:pPr>
              <w:jc w:val="right"/>
            </w:pPr>
            <w:r w:rsidRPr="00103DBC">
              <w:t>11/09/13</w:t>
            </w:r>
          </w:p>
        </w:tc>
        <w:tc>
          <w:tcPr>
            <w:tcW w:w="2976" w:type="dxa"/>
          </w:tcPr>
          <w:p w14:paraId="20C3EA50" w14:textId="77777777" w:rsidR="00B34530" w:rsidRPr="00103DBC" w:rsidRDefault="00B34530" w:rsidP="00B34530"/>
        </w:tc>
      </w:tr>
      <w:tr w:rsidR="00B34530" w:rsidRPr="00103DBC" w14:paraId="7B19E824" w14:textId="77777777" w:rsidTr="00B34530">
        <w:trPr>
          <w:trHeight w:val="270"/>
        </w:trPr>
        <w:tc>
          <w:tcPr>
            <w:tcW w:w="3828" w:type="dxa"/>
          </w:tcPr>
          <w:p w14:paraId="111EA630" w14:textId="77777777" w:rsidR="00B34530" w:rsidRPr="00103DBC" w:rsidRDefault="00B34530" w:rsidP="00B34530">
            <w:r w:rsidRPr="00103DBC">
              <w:t>Methodology Review Group Discussion</w:t>
            </w:r>
          </w:p>
        </w:tc>
        <w:sdt>
          <w:sdtPr>
            <w:id w:val="-1508978988"/>
            <w14:checkbox>
              <w14:checked w14:val="1"/>
              <w14:checkedState w14:val="2612" w14:font="MS Gothic"/>
              <w14:uncheckedState w14:val="2610" w14:font="MS Gothic"/>
            </w14:checkbox>
          </w:sdtPr>
          <w:sdtEndPr/>
          <w:sdtContent>
            <w:tc>
              <w:tcPr>
                <w:tcW w:w="567" w:type="dxa"/>
              </w:tcPr>
              <w:p w14:paraId="5FDA322A" w14:textId="77777777" w:rsidR="00B34530" w:rsidRPr="00103DBC" w:rsidRDefault="00B34530" w:rsidP="00B34530">
                <w:pPr>
                  <w:jc w:val="center"/>
                </w:pPr>
                <w:r w:rsidRPr="00103DBC">
                  <w:rPr>
                    <w:rFonts w:ascii="Segoe UI Symbol" w:eastAsia="MS Gothic" w:hAnsi="Segoe UI Symbol" w:cs="Segoe UI Symbol"/>
                  </w:rPr>
                  <w:t>☒</w:t>
                </w:r>
              </w:p>
            </w:tc>
          </w:sdtContent>
        </w:sdt>
        <w:tc>
          <w:tcPr>
            <w:tcW w:w="2552" w:type="dxa"/>
          </w:tcPr>
          <w:p w14:paraId="50C34DF9" w14:textId="77777777" w:rsidR="00B34530" w:rsidRPr="00103DBC" w:rsidRDefault="00B34530" w:rsidP="00B34530">
            <w:pPr>
              <w:jc w:val="right"/>
            </w:pPr>
            <w:r w:rsidRPr="00103DBC">
              <w:t>20/09/13, 18/10/13</w:t>
            </w:r>
          </w:p>
        </w:tc>
        <w:tc>
          <w:tcPr>
            <w:tcW w:w="2976" w:type="dxa"/>
          </w:tcPr>
          <w:p w14:paraId="6F9325B1" w14:textId="77777777" w:rsidR="00B34530" w:rsidRPr="00103DBC" w:rsidRDefault="00B34530" w:rsidP="00B34530"/>
        </w:tc>
      </w:tr>
      <w:tr w:rsidR="00B34530" w:rsidRPr="00103DBC" w14:paraId="77813E8C" w14:textId="77777777" w:rsidTr="00B34530">
        <w:trPr>
          <w:trHeight w:val="270"/>
        </w:trPr>
        <w:tc>
          <w:tcPr>
            <w:tcW w:w="3828" w:type="dxa"/>
          </w:tcPr>
          <w:p w14:paraId="2BEB9C33" w14:textId="77777777" w:rsidR="00B34530" w:rsidRPr="00103DBC" w:rsidRDefault="00B34530" w:rsidP="00B34530">
            <w:r w:rsidRPr="00103DBC">
              <w:t xml:space="preserve">Indicator Governance </w:t>
            </w:r>
            <w:proofErr w:type="gramStart"/>
            <w:r w:rsidRPr="00103DBC">
              <w:t>Board  Discussion</w:t>
            </w:r>
            <w:proofErr w:type="gramEnd"/>
          </w:p>
        </w:tc>
        <w:sdt>
          <w:sdtPr>
            <w:id w:val="-718508909"/>
            <w14:checkbox>
              <w14:checked w14:val="0"/>
              <w14:checkedState w14:val="2612" w14:font="MS Gothic"/>
              <w14:uncheckedState w14:val="2610" w14:font="MS Gothic"/>
            </w14:checkbox>
          </w:sdtPr>
          <w:sdtEndPr/>
          <w:sdtContent>
            <w:tc>
              <w:tcPr>
                <w:tcW w:w="567" w:type="dxa"/>
              </w:tcPr>
              <w:p w14:paraId="08D41265" w14:textId="77777777" w:rsidR="00B34530" w:rsidRPr="00103DBC" w:rsidRDefault="00B34530" w:rsidP="00B34530">
                <w:pPr>
                  <w:jc w:val="center"/>
                </w:pPr>
                <w:r w:rsidRPr="00103DBC">
                  <w:rPr>
                    <w:rFonts w:ascii="Segoe UI Symbol" w:eastAsia="MS Gothic" w:hAnsi="Segoe UI Symbol" w:cs="Segoe UI Symbol"/>
                  </w:rPr>
                  <w:t>☐</w:t>
                </w:r>
              </w:p>
            </w:tc>
          </w:sdtContent>
        </w:sdt>
        <w:tc>
          <w:tcPr>
            <w:tcW w:w="2552" w:type="dxa"/>
          </w:tcPr>
          <w:p w14:paraId="4AD25334" w14:textId="77777777" w:rsidR="00B34530" w:rsidRPr="00103DBC" w:rsidRDefault="00B34530" w:rsidP="00B34530">
            <w:pPr>
              <w:jc w:val="right"/>
            </w:pPr>
          </w:p>
        </w:tc>
        <w:tc>
          <w:tcPr>
            <w:tcW w:w="2976" w:type="dxa"/>
          </w:tcPr>
          <w:p w14:paraId="01CED9AC" w14:textId="77777777" w:rsidR="00B34530" w:rsidRPr="00103DBC" w:rsidRDefault="00B34530" w:rsidP="00B34530"/>
        </w:tc>
      </w:tr>
      <w:tr w:rsidR="00B34530" w:rsidRPr="00103DBC" w14:paraId="1C4BBF7E" w14:textId="77777777" w:rsidTr="00B34530">
        <w:trPr>
          <w:trHeight w:val="270"/>
        </w:trPr>
        <w:tc>
          <w:tcPr>
            <w:tcW w:w="3828" w:type="dxa"/>
          </w:tcPr>
          <w:p w14:paraId="3449815D" w14:textId="77777777" w:rsidR="00B34530" w:rsidRPr="00103DBC" w:rsidRDefault="00B34530" w:rsidP="00B34530">
            <w:r w:rsidRPr="00103DBC">
              <w:t>Signed-off</w:t>
            </w:r>
          </w:p>
        </w:tc>
        <w:sdt>
          <w:sdtPr>
            <w:id w:val="-80447492"/>
            <w14:checkbox>
              <w14:checked w14:val="0"/>
              <w14:checkedState w14:val="2612" w14:font="MS Gothic"/>
              <w14:uncheckedState w14:val="2610" w14:font="MS Gothic"/>
            </w14:checkbox>
          </w:sdtPr>
          <w:sdtEndPr/>
          <w:sdtContent>
            <w:tc>
              <w:tcPr>
                <w:tcW w:w="567" w:type="dxa"/>
              </w:tcPr>
              <w:p w14:paraId="02F4AAF9" w14:textId="77777777" w:rsidR="00B34530" w:rsidRPr="00103DBC" w:rsidRDefault="00B34530" w:rsidP="00B34530">
                <w:pPr>
                  <w:jc w:val="center"/>
                </w:pPr>
                <w:r w:rsidRPr="00103DBC">
                  <w:rPr>
                    <w:rFonts w:ascii="Segoe UI Symbol" w:eastAsia="MS Gothic" w:hAnsi="Segoe UI Symbol" w:cs="Segoe UI Symbol"/>
                  </w:rPr>
                  <w:t>☐</w:t>
                </w:r>
              </w:p>
            </w:tc>
          </w:sdtContent>
        </w:sdt>
        <w:tc>
          <w:tcPr>
            <w:tcW w:w="2552" w:type="dxa"/>
          </w:tcPr>
          <w:p w14:paraId="7F4FD24B" w14:textId="77777777" w:rsidR="00B34530" w:rsidRPr="00103DBC" w:rsidRDefault="00B34530" w:rsidP="00B34530">
            <w:pPr>
              <w:jc w:val="right"/>
            </w:pPr>
          </w:p>
        </w:tc>
        <w:tc>
          <w:tcPr>
            <w:tcW w:w="2976" w:type="dxa"/>
          </w:tcPr>
          <w:p w14:paraId="34437E29" w14:textId="77777777" w:rsidR="00B34530" w:rsidRPr="00103DBC" w:rsidRDefault="00B34530" w:rsidP="00B34530"/>
        </w:tc>
      </w:tr>
    </w:tbl>
    <w:p w14:paraId="4E7CE1D9" w14:textId="77777777" w:rsidR="000D2247" w:rsidRPr="00103DBC" w:rsidRDefault="000D2247" w:rsidP="00103DBC">
      <w:pPr>
        <w:ind w:left="-851"/>
      </w:pPr>
    </w:p>
    <w:p w14:paraId="6CABB455" w14:textId="77777777" w:rsidR="000D2247" w:rsidRPr="00103DBC" w:rsidRDefault="000D2247" w:rsidP="00B34530">
      <w:pPr>
        <w:spacing w:after="120"/>
      </w:pPr>
      <w:r w:rsidRPr="00103DBC">
        <w:t>Peer Review</w:t>
      </w:r>
    </w:p>
    <w:tbl>
      <w:tblPr>
        <w:tblStyle w:val="TableGrid"/>
        <w:tblW w:w="9950" w:type="dxa"/>
        <w:tblInd w:w="-457" w:type="dxa"/>
        <w:tblLayout w:type="fixed"/>
        <w:tblLook w:val="01E0" w:firstRow="1" w:lastRow="1" w:firstColumn="1" w:lastColumn="1" w:noHBand="0" w:noVBand="0"/>
      </w:tblPr>
      <w:tblGrid>
        <w:gridCol w:w="2124"/>
        <w:gridCol w:w="7826"/>
      </w:tblGrid>
      <w:tr w:rsidR="00103DBC" w:rsidRPr="00103DBC" w14:paraId="41DF6058" w14:textId="77777777" w:rsidTr="00B34530">
        <w:tc>
          <w:tcPr>
            <w:tcW w:w="2124" w:type="dxa"/>
          </w:tcPr>
          <w:p w14:paraId="123204E9" w14:textId="72677F1F" w:rsidR="000D2247" w:rsidRPr="00103DBC" w:rsidRDefault="000D2247" w:rsidP="00103DBC">
            <w:r w:rsidRPr="00103DBC">
              <w:t xml:space="preserve">Peer Reviewer(s) / Organisations </w:t>
            </w:r>
          </w:p>
        </w:tc>
        <w:tc>
          <w:tcPr>
            <w:tcW w:w="7826" w:type="dxa"/>
          </w:tcPr>
          <w:p w14:paraId="23F32501" w14:textId="06FB5138" w:rsidR="000D2247" w:rsidRPr="00103DBC" w:rsidRDefault="00B34530" w:rsidP="00103DBC">
            <w:r w:rsidRPr="00103DBC">
              <w:rPr>
                <w:i/>
              </w:rPr>
              <w:t>Outcome of Peer Review consideration:</w:t>
            </w:r>
          </w:p>
        </w:tc>
      </w:tr>
      <w:tr w:rsidR="00B34530" w:rsidRPr="00103DBC" w14:paraId="73D12431" w14:textId="77777777" w:rsidTr="00B34530">
        <w:trPr>
          <w:trHeight w:val="230"/>
        </w:trPr>
        <w:tc>
          <w:tcPr>
            <w:tcW w:w="2124" w:type="dxa"/>
          </w:tcPr>
          <w:p w14:paraId="317FE6A9" w14:textId="75BA4BD0" w:rsidR="00B34530" w:rsidRPr="00103DBC" w:rsidRDefault="00B34530" w:rsidP="00B34530">
            <w:pPr>
              <w:rPr>
                <w:i/>
              </w:rPr>
            </w:pPr>
          </w:p>
        </w:tc>
        <w:tc>
          <w:tcPr>
            <w:tcW w:w="7826" w:type="dxa"/>
          </w:tcPr>
          <w:p w14:paraId="12C0C14E" w14:textId="77777777" w:rsidR="00B34530" w:rsidRPr="00103DBC" w:rsidRDefault="00B34530" w:rsidP="00B34530">
            <w:pPr>
              <w:pStyle w:val="ListParagraph"/>
              <w:numPr>
                <w:ilvl w:val="0"/>
                <w:numId w:val="14"/>
              </w:numPr>
              <w:rPr>
                <w:b/>
              </w:rPr>
            </w:pPr>
            <w:r w:rsidRPr="00103DBC">
              <w:rPr>
                <w:b/>
              </w:rPr>
              <w:t>Proposal signed off, with or without caveats</w:t>
            </w:r>
          </w:p>
        </w:tc>
      </w:tr>
      <w:tr w:rsidR="00B34530" w:rsidRPr="00103DBC" w14:paraId="687BDAC8" w14:textId="77777777" w:rsidTr="00B34530">
        <w:trPr>
          <w:trHeight w:val="234"/>
        </w:trPr>
        <w:tc>
          <w:tcPr>
            <w:tcW w:w="2124" w:type="dxa"/>
          </w:tcPr>
          <w:p w14:paraId="39667392" w14:textId="77777777" w:rsidR="00B34530" w:rsidRPr="00103DBC" w:rsidRDefault="00B34530" w:rsidP="00B34530"/>
        </w:tc>
        <w:tc>
          <w:tcPr>
            <w:tcW w:w="7826" w:type="dxa"/>
          </w:tcPr>
          <w:p w14:paraId="2A6C86FA" w14:textId="77777777" w:rsidR="00B34530" w:rsidRPr="00103DBC" w:rsidRDefault="00B34530" w:rsidP="00B34530">
            <w:pPr>
              <w:pStyle w:val="ListParagraph"/>
              <w:numPr>
                <w:ilvl w:val="0"/>
                <w:numId w:val="14"/>
              </w:numPr>
              <w:rPr>
                <w:b/>
              </w:rPr>
            </w:pPr>
            <w:r w:rsidRPr="00103DBC">
              <w:rPr>
                <w:b/>
              </w:rPr>
              <w:t xml:space="preserve">Minor changes recommended  </w:t>
            </w:r>
          </w:p>
        </w:tc>
      </w:tr>
      <w:tr w:rsidR="00B34530" w:rsidRPr="00103DBC" w14:paraId="655408E8" w14:textId="77777777" w:rsidTr="00B34530">
        <w:trPr>
          <w:trHeight w:val="228"/>
        </w:trPr>
        <w:tc>
          <w:tcPr>
            <w:tcW w:w="2124" w:type="dxa"/>
          </w:tcPr>
          <w:p w14:paraId="7285137A" w14:textId="77777777" w:rsidR="00B34530" w:rsidRPr="00103DBC" w:rsidRDefault="00B34530" w:rsidP="00B34530"/>
        </w:tc>
        <w:tc>
          <w:tcPr>
            <w:tcW w:w="7826" w:type="dxa"/>
          </w:tcPr>
          <w:p w14:paraId="764933F1" w14:textId="77777777" w:rsidR="00B34530" w:rsidRPr="00103DBC" w:rsidRDefault="00B34530" w:rsidP="00B34530">
            <w:pPr>
              <w:pStyle w:val="ListParagraph"/>
              <w:numPr>
                <w:ilvl w:val="0"/>
                <w:numId w:val="14"/>
              </w:numPr>
              <w:rPr>
                <w:b/>
              </w:rPr>
            </w:pPr>
            <w:r w:rsidRPr="00103DBC">
              <w:rPr>
                <w:b/>
              </w:rPr>
              <w:t>Declined to sign-off</w:t>
            </w:r>
          </w:p>
        </w:tc>
      </w:tr>
    </w:tbl>
    <w:p w14:paraId="63E69208" w14:textId="77777777" w:rsidR="000D2247" w:rsidRPr="00103DBC" w:rsidRDefault="000D2247" w:rsidP="00103DBC"/>
    <w:p w14:paraId="1F7D3060" w14:textId="77777777" w:rsidR="000D2247" w:rsidRPr="00103DBC" w:rsidRDefault="000D2247" w:rsidP="00B34530">
      <w:pPr>
        <w:spacing w:after="120"/>
        <w:ind w:left="-851" w:firstLine="851"/>
      </w:pPr>
      <w:r w:rsidRPr="00103DBC">
        <w:t>Methodology Review Group (MRG)</w:t>
      </w:r>
    </w:p>
    <w:tbl>
      <w:tblPr>
        <w:tblStyle w:val="TableGrid"/>
        <w:tblW w:w="9950" w:type="dxa"/>
        <w:tblInd w:w="-457" w:type="dxa"/>
        <w:tblLook w:val="01E0" w:firstRow="1" w:lastRow="1" w:firstColumn="1" w:lastColumn="1" w:noHBand="0" w:noVBand="0"/>
      </w:tblPr>
      <w:tblGrid>
        <w:gridCol w:w="9950"/>
      </w:tblGrid>
      <w:tr w:rsidR="00B34530" w:rsidRPr="00103DBC" w14:paraId="488EF7BC" w14:textId="77777777" w:rsidTr="00B34530">
        <w:trPr>
          <w:trHeight w:val="230"/>
        </w:trPr>
        <w:tc>
          <w:tcPr>
            <w:tcW w:w="9950" w:type="dxa"/>
          </w:tcPr>
          <w:p w14:paraId="570DD41B" w14:textId="52E10297" w:rsidR="00B34530" w:rsidRPr="00103DBC" w:rsidRDefault="00B34530" w:rsidP="00B34530">
            <w:pPr>
              <w:pStyle w:val="ListParagraph"/>
              <w:ind w:left="360"/>
              <w:rPr>
                <w:b/>
              </w:rPr>
            </w:pPr>
            <w:r w:rsidRPr="00103DBC">
              <w:rPr>
                <w:i/>
              </w:rPr>
              <w:t>Outcome of MRG consideration:</w:t>
            </w:r>
          </w:p>
        </w:tc>
      </w:tr>
      <w:tr w:rsidR="00B34530" w:rsidRPr="00103DBC" w14:paraId="0E536994" w14:textId="77777777" w:rsidTr="00B34530">
        <w:trPr>
          <w:trHeight w:val="230"/>
        </w:trPr>
        <w:tc>
          <w:tcPr>
            <w:tcW w:w="9950" w:type="dxa"/>
          </w:tcPr>
          <w:p w14:paraId="6E68E271" w14:textId="77777777" w:rsidR="00B34530" w:rsidRPr="00103DBC" w:rsidRDefault="00B34530" w:rsidP="00B34530">
            <w:pPr>
              <w:pStyle w:val="ListParagraph"/>
              <w:numPr>
                <w:ilvl w:val="0"/>
                <w:numId w:val="15"/>
              </w:numPr>
              <w:rPr>
                <w:b/>
              </w:rPr>
            </w:pPr>
            <w:r w:rsidRPr="00103DBC">
              <w:rPr>
                <w:b/>
              </w:rPr>
              <w:t>No significant issues identified</w:t>
            </w:r>
          </w:p>
        </w:tc>
      </w:tr>
      <w:tr w:rsidR="00B34530" w:rsidRPr="00103DBC" w14:paraId="62B35495" w14:textId="77777777" w:rsidTr="00B34530">
        <w:trPr>
          <w:trHeight w:val="234"/>
        </w:trPr>
        <w:tc>
          <w:tcPr>
            <w:tcW w:w="9950" w:type="dxa"/>
          </w:tcPr>
          <w:p w14:paraId="4D41A02E" w14:textId="77777777" w:rsidR="00B34530" w:rsidRPr="00103DBC" w:rsidRDefault="00B34530" w:rsidP="00B34530">
            <w:pPr>
              <w:pStyle w:val="ListParagraph"/>
              <w:numPr>
                <w:ilvl w:val="0"/>
                <w:numId w:val="15"/>
              </w:numPr>
              <w:rPr>
                <w:b/>
              </w:rPr>
            </w:pPr>
            <w:r w:rsidRPr="00103DBC">
              <w:rPr>
                <w:b/>
              </w:rPr>
              <w:t>No significant issues on basis of completion of outstanding actions</w:t>
            </w:r>
          </w:p>
        </w:tc>
      </w:tr>
      <w:tr w:rsidR="00B34530" w:rsidRPr="00103DBC" w14:paraId="22F86835" w14:textId="77777777" w:rsidTr="00B34530">
        <w:trPr>
          <w:trHeight w:val="225"/>
        </w:trPr>
        <w:tc>
          <w:tcPr>
            <w:tcW w:w="9950" w:type="dxa"/>
          </w:tcPr>
          <w:p w14:paraId="44EA6A0B" w14:textId="77777777" w:rsidR="00B34530" w:rsidRPr="00103DBC" w:rsidRDefault="00B34530" w:rsidP="00B34530">
            <w:pPr>
              <w:pStyle w:val="ListParagraph"/>
              <w:numPr>
                <w:ilvl w:val="0"/>
                <w:numId w:val="15"/>
              </w:numPr>
              <w:rPr>
                <w:b/>
              </w:rPr>
            </w:pPr>
            <w:r w:rsidRPr="00103DBC">
              <w:rPr>
                <w:b/>
              </w:rPr>
              <w:t>Some concerns expressed as caveats or limitations</w:t>
            </w:r>
          </w:p>
        </w:tc>
      </w:tr>
      <w:tr w:rsidR="00B34530" w:rsidRPr="00103DBC" w14:paraId="495EE011" w14:textId="77777777" w:rsidTr="00B34530">
        <w:trPr>
          <w:trHeight w:val="225"/>
        </w:trPr>
        <w:tc>
          <w:tcPr>
            <w:tcW w:w="9950" w:type="dxa"/>
          </w:tcPr>
          <w:p w14:paraId="75AC5E44" w14:textId="77777777" w:rsidR="00B34530" w:rsidRPr="00103DBC" w:rsidRDefault="00B34530" w:rsidP="00B34530">
            <w:pPr>
              <w:pStyle w:val="ListParagraph"/>
              <w:numPr>
                <w:ilvl w:val="0"/>
                <w:numId w:val="15"/>
              </w:numPr>
              <w:rPr>
                <w:b/>
              </w:rPr>
            </w:pPr>
            <w:r w:rsidRPr="00103DBC">
              <w:rPr>
                <w:b/>
              </w:rPr>
              <w:t>Significant reservations</w:t>
            </w:r>
          </w:p>
        </w:tc>
      </w:tr>
      <w:tr w:rsidR="00B34530" w:rsidRPr="00103DBC" w14:paraId="2A2001B8" w14:textId="77777777" w:rsidTr="00B34530">
        <w:trPr>
          <w:trHeight w:val="225"/>
        </w:trPr>
        <w:tc>
          <w:tcPr>
            <w:tcW w:w="9950" w:type="dxa"/>
          </w:tcPr>
          <w:p w14:paraId="7F8D7A49" w14:textId="77777777" w:rsidR="00B34530" w:rsidRPr="00103DBC" w:rsidRDefault="00B34530" w:rsidP="00B34530">
            <w:pPr>
              <w:pStyle w:val="ListParagraph"/>
              <w:numPr>
                <w:ilvl w:val="0"/>
                <w:numId w:val="15"/>
              </w:numPr>
              <w:rPr>
                <w:b/>
              </w:rPr>
            </w:pPr>
            <w:r w:rsidRPr="00103DBC">
              <w:rPr>
                <w:b/>
              </w:rPr>
              <w:t>Unresolved issues</w:t>
            </w:r>
          </w:p>
        </w:tc>
      </w:tr>
    </w:tbl>
    <w:p w14:paraId="28EEBC6C" w14:textId="77777777" w:rsidR="000D2247" w:rsidRPr="00103DBC" w:rsidRDefault="000D2247" w:rsidP="00103DBC">
      <w:pPr>
        <w:ind w:left="-540"/>
      </w:pPr>
    </w:p>
    <w:p w14:paraId="69BF4722" w14:textId="3080B0AC" w:rsidR="000D2247" w:rsidRPr="00103DBC" w:rsidRDefault="000D2247" w:rsidP="00103DBC">
      <w:pPr>
        <w:spacing w:after="120"/>
        <w:ind w:left="-851"/>
      </w:pPr>
      <w:r w:rsidRPr="00103DBC">
        <w:t>Indicator Governance Board (IGB)</w:t>
      </w:r>
    </w:p>
    <w:tbl>
      <w:tblPr>
        <w:tblStyle w:val="TableGrid"/>
        <w:tblW w:w="9063" w:type="dxa"/>
        <w:tblInd w:w="-431" w:type="dxa"/>
        <w:tblLook w:val="01E0" w:firstRow="1" w:lastRow="1" w:firstColumn="1" w:lastColumn="1" w:noHBand="0" w:noVBand="0"/>
      </w:tblPr>
      <w:tblGrid>
        <w:gridCol w:w="2555"/>
        <w:gridCol w:w="6508"/>
      </w:tblGrid>
      <w:tr w:rsidR="00B34530" w:rsidRPr="00103DBC" w14:paraId="51950F12" w14:textId="77777777" w:rsidTr="00B34530">
        <w:trPr>
          <w:trHeight w:val="230"/>
        </w:trPr>
        <w:tc>
          <w:tcPr>
            <w:tcW w:w="2555" w:type="dxa"/>
          </w:tcPr>
          <w:p w14:paraId="6A18E3A0" w14:textId="77777777" w:rsidR="00B34530" w:rsidRPr="00103DBC" w:rsidRDefault="00B34530" w:rsidP="00103DBC">
            <w:pPr>
              <w:rPr>
                <w:i/>
              </w:rPr>
            </w:pPr>
            <w:r w:rsidRPr="00103DBC">
              <w:rPr>
                <w:i/>
              </w:rPr>
              <w:t>Final Appraisal Status</w:t>
            </w:r>
          </w:p>
        </w:tc>
        <w:tc>
          <w:tcPr>
            <w:tcW w:w="6508" w:type="dxa"/>
          </w:tcPr>
          <w:p w14:paraId="57E17021" w14:textId="77777777" w:rsidR="00B34530" w:rsidRPr="00103DBC" w:rsidRDefault="00B34530" w:rsidP="000D2247">
            <w:pPr>
              <w:pStyle w:val="ListParagraph"/>
              <w:numPr>
                <w:ilvl w:val="0"/>
                <w:numId w:val="16"/>
              </w:numPr>
              <w:rPr>
                <w:b/>
              </w:rPr>
            </w:pPr>
            <w:r w:rsidRPr="00103DBC">
              <w:rPr>
                <w:b/>
              </w:rPr>
              <w:t>Assured</w:t>
            </w:r>
          </w:p>
        </w:tc>
      </w:tr>
      <w:tr w:rsidR="00B34530" w:rsidRPr="00103DBC" w14:paraId="3F3DD065" w14:textId="77777777" w:rsidTr="00B34530">
        <w:trPr>
          <w:trHeight w:val="234"/>
        </w:trPr>
        <w:tc>
          <w:tcPr>
            <w:tcW w:w="2555" w:type="dxa"/>
          </w:tcPr>
          <w:p w14:paraId="5E700A3E" w14:textId="77777777" w:rsidR="00B34530" w:rsidRPr="00103DBC" w:rsidRDefault="00B34530" w:rsidP="00103DBC"/>
        </w:tc>
        <w:tc>
          <w:tcPr>
            <w:tcW w:w="6508" w:type="dxa"/>
          </w:tcPr>
          <w:p w14:paraId="0B45CB29" w14:textId="3B8675B2" w:rsidR="00B34530" w:rsidRPr="00103DBC" w:rsidRDefault="00B34530" w:rsidP="000D2247">
            <w:pPr>
              <w:pStyle w:val="ListParagraph"/>
              <w:numPr>
                <w:ilvl w:val="0"/>
                <w:numId w:val="13"/>
              </w:numPr>
              <w:rPr>
                <w:b/>
              </w:rPr>
            </w:pPr>
          </w:p>
        </w:tc>
      </w:tr>
      <w:tr w:rsidR="00B34530" w:rsidRPr="00103DBC" w14:paraId="34D96FFA" w14:textId="77777777" w:rsidTr="00B34530">
        <w:trPr>
          <w:trHeight w:val="228"/>
        </w:trPr>
        <w:tc>
          <w:tcPr>
            <w:tcW w:w="2555" w:type="dxa"/>
          </w:tcPr>
          <w:p w14:paraId="4170833D" w14:textId="77777777" w:rsidR="00B34530" w:rsidRPr="00103DBC" w:rsidRDefault="00B34530" w:rsidP="00103DBC"/>
        </w:tc>
        <w:tc>
          <w:tcPr>
            <w:tcW w:w="6508" w:type="dxa"/>
          </w:tcPr>
          <w:p w14:paraId="14679F1E" w14:textId="3DF76984" w:rsidR="00B34530" w:rsidRPr="00103DBC" w:rsidRDefault="00B34530" w:rsidP="000D2247">
            <w:pPr>
              <w:pStyle w:val="ListParagraph"/>
              <w:numPr>
                <w:ilvl w:val="0"/>
                <w:numId w:val="13"/>
              </w:numPr>
              <w:rPr>
                <w:b/>
              </w:rPr>
            </w:pPr>
          </w:p>
        </w:tc>
      </w:tr>
    </w:tbl>
    <w:p w14:paraId="14A98684" w14:textId="77777777" w:rsidR="000D2247" w:rsidRPr="00103DBC" w:rsidRDefault="000D2247">
      <w:r w:rsidRPr="00103DBC">
        <w:br w:type="page"/>
      </w:r>
    </w:p>
    <w:p w14:paraId="469A2E60" w14:textId="77777777" w:rsidR="000D2247" w:rsidRPr="00103DBC" w:rsidRDefault="000D2247" w:rsidP="00103DBC">
      <w:pPr>
        <w:ind w:left="-851"/>
      </w:pPr>
    </w:p>
    <w:p w14:paraId="23F1EA19" w14:textId="77777777" w:rsidR="000D2247" w:rsidRPr="00103DBC" w:rsidRDefault="000D2247" w:rsidP="00103DBC">
      <w:pPr>
        <w:ind w:left="-851"/>
      </w:pPr>
      <w:r w:rsidRPr="00103DBC">
        <w:rPr>
          <w:b/>
        </w:rPr>
        <w:t xml:space="preserve">Peer Review </w:t>
      </w:r>
      <w:r w:rsidRPr="00103DBC">
        <w:t xml:space="preserve">Summary </w:t>
      </w:r>
    </w:p>
    <w:p w14:paraId="12AE9707" w14:textId="77777777" w:rsidR="000D2247" w:rsidRPr="00103DBC" w:rsidRDefault="000D2247" w:rsidP="00103DBC">
      <w:pPr>
        <w:ind w:left="-540"/>
      </w:pPr>
    </w:p>
    <w:p w14:paraId="4EE4A821" w14:textId="77777777" w:rsidR="000D2247" w:rsidRPr="00103DBC" w:rsidRDefault="000D2247" w:rsidP="00103DBC"/>
    <w:tbl>
      <w:tblPr>
        <w:tblStyle w:val="TableGrid"/>
        <w:tblW w:w="9337" w:type="dxa"/>
        <w:tblLayout w:type="fixed"/>
        <w:tblLook w:val="01E0" w:firstRow="1" w:lastRow="1" w:firstColumn="1" w:lastColumn="1" w:noHBand="0" w:noVBand="0"/>
      </w:tblPr>
      <w:tblGrid>
        <w:gridCol w:w="1998"/>
        <w:gridCol w:w="7339"/>
      </w:tblGrid>
      <w:tr w:rsidR="00B34530" w:rsidRPr="00103DBC" w14:paraId="4228482F" w14:textId="77777777" w:rsidTr="00B34530">
        <w:trPr>
          <w:trHeight w:val="493"/>
        </w:trPr>
        <w:tc>
          <w:tcPr>
            <w:tcW w:w="1998" w:type="dxa"/>
          </w:tcPr>
          <w:p w14:paraId="0661ED0E" w14:textId="5461CDF6" w:rsidR="00B34530" w:rsidRPr="00103DBC" w:rsidRDefault="00B34530" w:rsidP="00B34530">
            <w:r w:rsidRPr="00103DBC">
              <w:t>Date of Peer Review</w:t>
            </w:r>
          </w:p>
        </w:tc>
        <w:tc>
          <w:tcPr>
            <w:tcW w:w="7339" w:type="dxa"/>
          </w:tcPr>
          <w:p w14:paraId="75CFDB98" w14:textId="472726B1" w:rsidR="00B34530" w:rsidRPr="00103DBC" w:rsidRDefault="00B34530" w:rsidP="00B34530">
            <w:r w:rsidRPr="00103DBC">
              <w:t>11/09/13</w:t>
            </w:r>
          </w:p>
        </w:tc>
      </w:tr>
      <w:tr w:rsidR="00B34530" w:rsidRPr="00103DBC" w14:paraId="5171249B" w14:textId="77777777" w:rsidTr="00B34530">
        <w:trPr>
          <w:trHeight w:val="762"/>
        </w:trPr>
        <w:tc>
          <w:tcPr>
            <w:tcW w:w="1998" w:type="dxa"/>
          </w:tcPr>
          <w:p w14:paraId="328352AD" w14:textId="77777777" w:rsidR="00B34530" w:rsidRPr="00103DBC" w:rsidRDefault="00B34530" w:rsidP="00B34530">
            <w:r w:rsidRPr="00103DBC">
              <w:t xml:space="preserve">Peer Reviewer(s) / </w:t>
            </w:r>
            <w:proofErr w:type="gramStart"/>
            <w:r w:rsidRPr="00103DBC">
              <w:t>Organisations :</w:t>
            </w:r>
            <w:proofErr w:type="gramEnd"/>
          </w:p>
          <w:p w14:paraId="73078119" w14:textId="77777777" w:rsidR="00B34530" w:rsidRPr="00103DBC" w:rsidRDefault="00B34530" w:rsidP="00B34530"/>
        </w:tc>
        <w:tc>
          <w:tcPr>
            <w:tcW w:w="7339" w:type="dxa"/>
          </w:tcPr>
          <w:p w14:paraId="01F09C83" w14:textId="77777777" w:rsidR="00B34530" w:rsidRPr="00103DBC" w:rsidRDefault="00B34530" w:rsidP="00B34530">
            <w:r w:rsidRPr="00103DBC">
              <w:t>Andrea Johnson</w:t>
            </w:r>
          </w:p>
          <w:p w14:paraId="06B10DF5" w14:textId="77777777" w:rsidR="00B34530" w:rsidRPr="00103DBC" w:rsidRDefault="00B34530" w:rsidP="00B34530">
            <w:r w:rsidRPr="00103DBC">
              <w:t>Clinical Indicators, HSCIC</w:t>
            </w:r>
          </w:p>
        </w:tc>
      </w:tr>
      <w:tr w:rsidR="00B34530" w:rsidRPr="00103DBC" w14:paraId="2E285CD0" w14:textId="77777777" w:rsidTr="00B34530">
        <w:trPr>
          <w:trHeight w:val="11199"/>
        </w:trPr>
        <w:tc>
          <w:tcPr>
            <w:tcW w:w="1998" w:type="dxa"/>
          </w:tcPr>
          <w:p w14:paraId="7C962C68" w14:textId="77777777" w:rsidR="00B34530" w:rsidRPr="00103DBC" w:rsidRDefault="00B34530" w:rsidP="00B34530">
            <w:r w:rsidRPr="00103DBC">
              <w:t>Peer Review Comments based on the application form:</w:t>
            </w:r>
          </w:p>
        </w:tc>
        <w:tc>
          <w:tcPr>
            <w:tcW w:w="7339" w:type="dxa"/>
          </w:tcPr>
          <w:p w14:paraId="28328818" w14:textId="77777777" w:rsidR="00B34530" w:rsidRPr="00103DBC" w:rsidRDefault="00B34530" w:rsidP="00B34530">
            <w:pPr>
              <w:pStyle w:val="ListParagraph"/>
              <w:numPr>
                <w:ilvl w:val="0"/>
                <w:numId w:val="11"/>
              </w:numPr>
              <w:ind w:left="179" w:hanging="179"/>
            </w:pPr>
            <w:r w:rsidRPr="00103DBC">
              <w:t xml:space="preserve">There appears to be conflict between the indicator rationale and what it </w:t>
            </w:r>
            <w:proofErr w:type="gramStart"/>
            <w:r w:rsidRPr="00103DBC">
              <w:t>actually measures</w:t>
            </w:r>
            <w:proofErr w:type="gramEnd"/>
            <w:r w:rsidRPr="00103DBC">
              <w:t>. The rationale relates to supporting individuals who have been in contact with mental health services to get back into work, whereas the indicator measures the proportion of those in contact with mental health services who are in work, with no variable relating to care provided included in the indicator.</w:t>
            </w:r>
          </w:p>
          <w:p w14:paraId="359BD35E" w14:textId="77777777" w:rsidR="00B34530" w:rsidRPr="00103DBC" w:rsidRDefault="00B34530" w:rsidP="00B34530"/>
          <w:p w14:paraId="36087E0A" w14:textId="77777777" w:rsidR="00B34530" w:rsidRPr="00103DBC" w:rsidRDefault="00B34530" w:rsidP="00B34530">
            <w:pPr>
              <w:pStyle w:val="ListParagraph"/>
              <w:numPr>
                <w:ilvl w:val="0"/>
                <w:numId w:val="11"/>
              </w:numPr>
              <w:spacing w:before="120"/>
              <w:ind w:left="181" w:hanging="181"/>
            </w:pPr>
            <w:r w:rsidRPr="00103DBC">
              <w:t>It is assumed that this indicator is designed to measure improvement in employment outcomes, not clinical care or hospital performance (though this isn’t clearly stated). It does provide a way by which CCGs can measure the number of people with long term mental health conditions who are in paid employment.</w:t>
            </w:r>
          </w:p>
          <w:p w14:paraId="7ED804A5" w14:textId="77777777" w:rsidR="00B34530" w:rsidRPr="00103DBC" w:rsidRDefault="00B34530" w:rsidP="00B34530">
            <w:pPr>
              <w:spacing w:before="120"/>
            </w:pPr>
          </w:p>
          <w:p w14:paraId="403724EE" w14:textId="77777777" w:rsidR="00B34530" w:rsidRPr="00103DBC" w:rsidRDefault="00B34530" w:rsidP="00B34530">
            <w:pPr>
              <w:pStyle w:val="ListParagraph"/>
              <w:numPr>
                <w:ilvl w:val="0"/>
                <w:numId w:val="11"/>
              </w:numPr>
              <w:ind w:left="179" w:hanging="179"/>
            </w:pPr>
            <w:r w:rsidRPr="00103DBC">
              <w:t>However, the indicator makes no adjustment for variables outside control of the organisation. The most likely external variable is the impact of the local job market which would impact on employment opportunities for everyone in the area and therefore affect improvement. Local employment levels could mean that CCGs may not have much influence on outcomes.</w:t>
            </w:r>
          </w:p>
          <w:p w14:paraId="1E908306" w14:textId="77777777" w:rsidR="00B34530" w:rsidRPr="00103DBC" w:rsidRDefault="00B34530" w:rsidP="00B34530"/>
          <w:p w14:paraId="28FF3860" w14:textId="77777777" w:rsidR="00B34530" w:rsidRPr="00103DBC" w:rsidRDefault="00B34530" w:rsidP="00B34530">
            <w:pPr>
              <w:pStyle w:val="ListParagraph"/>
              <w:numPr>
                <w:ilvl w:val="0"/>
                <w:numId w:val="11"/>
              </w:numPr>
              <w:ind w:left="179" w:hanging="179"/>
            </w:pPr>
            <w:r w:rsidRPr="00103DBC">
              <w:t>Further explanation of known data quality issues should be provided.</w:t>
            </w:r>
          </w:p>
          <w:p w14:paraId="62228161" w14:textId="77777777" w:rsidR="00B34530" w:rsidRPr="00103DBC" w:rsidRDefault="00B34530" w:rsidP="00B34530"/>
          <w:p w14:paraId="60CA6384" w14:textId="77777777" w:rsidR="00B34530" w:rsidRPr="00103DBC" w:rsidRDefault="00B34530" w:rsidP="00B34530">
            <w:pPr>
              <w:pStyle w:val="ListParagraph"/>
              <w:numPr>
                <w:ilvl w:val="0"/>
                <w:numId w:val="11"/>
              </w:numPr>
              <w:ind w:left="179" w:hanging="179"/>
            </w:pPr>
            <w:r w:rsidRPr="00103DBC">
              <w:t>A data quality spreadsheet is linked in the application forms but accompanying documents are missing, specifically MHMDS v4.1 User Guidance and Information Standards Notice (ISN) 87/2010.</w:t>
            </w:r>
          </w:p>
          <w:p w14:paraId="4F58B3C4" w14:textId="77777777" w:rsidR="00B34530" w:rsidRPr="00103DBC" w:rsidRDefault="00B34530" w:rsidP="00B34530"/>
          <w:p w14:paraId="18F546DD" w14:textId="35A41820" w:rsidR="00B34530" w:rsidRPr="00103DBC" w:rsidRDefault="00B34530" w:rsidP="00B34530">
            <w:pPr>
              <w:pStyle w:val="ListParagraph"/>
              <w:numPr>
                <w:ilvl w:val="0"/>
                <w:numId w:val="11"/>
              </w:numPr>
              <w:ind w:left="179" w:hanging="179"/>
            </w:pPr>
            <w:r w:rsidRPr="00103DBC">
              <w:t xml:space="preserve">Within the application form it </w:t>
            </w:r>
            <w:proofErr w:type="gramStart"/>
            <w:r w:rsidRPr="00103DBC">
              <w:t>is  stated</w:t>
            </w:r>
            <w:proofErr w:type="gramEnd"/>
            <w:r w:rsidRPr="00103DBC">
              <w:t xml:space="preserve"> that ‘It is expected that all relevant cases are included in the MHMDS. A valid code for employment is present for around 92% of records within MHMDS (June 2013)’. It is not explicitly specified if those without a valid employment code are excluded or included in the dataset. Issues of missing data and how it is handled are not explained.</w:t>
            </w:r>
          </w:p>
          <w:p w14:paraId="14AC4BE7" w14:textId="77777777" w:rsidR="00B34530" w:rsidRPr="00103DBC" w:rsidRDefault="00B34530" w:rsidP="00B34530">
            <w:pPr>
              <w:pStyle w:val="ListParagraph"/>
              <w:ind w:left="179"/>
            </w:pPr>
          </w:p>
          <w:p w14:paraId="30E89890" w14:textId="77777777" w:rsidR="00B34530" w:rsidRPr="00103DBC" w:rsidRDefault="00B34530" w:rsidP="00B34530">
            <w:pPr>
              <w:pStyle w:val="ListParagraph"/>
              <w:numPr>
                <w:ilvl w:val="0"/>
                <w:numId w:val="11"/>
              </w:numPr>
              <w:ind w:left="179" w:hanging="179"/>
            </w:pPr>
            <w:r w:rsidRPr="00103DBC">
              <w:t xml:space="preserve">May need to add a definition as to what constitutes a secondary mental health service. </w:t>
            </w:r>
          </w:p>
          <w:p w14:paraId="66319644" w14:textId="77777777" w:rsidR="00B34530" w:rsidRPr="00103DBC" w:rsidRDefault="00B34530" w:rsidP="00B34530"/>
          <w:p w14:paraId="175E9342" w14:textId="01AA893B" w:rsidR="00B34530" w:rsidRPr="00103DBC" w:rsidRDefault="00B34530" w:rsidP="00B34530">
            <w:pPr>
              <w:pStyle w:val="ListParagraph"/>
              <w:numPr>
                <w:ilvl w:val="0"/>
                <w:numId w:val="11"/>
              </w:numPr>
              <w:ind w:left="179" w:hanging="179"/>
            </w:pPr>
            <w:r w:rsidRPr="00103DBC">
              <w:t>The application notes that ‘A high rate is desirable’. It is assumed from the application that the indicator seeks to improve and will measure changes over time in employment outcomes for adults aged 18-69 who have been in contact with secondary mental health services over the past year, however this is not explicitly stated in the rationale.</w:t>
            </w:r>
          </w:p>
          <w:p w14:paraId="22441BAD" w14:textId="604E6FD6" w:rsidR="00B34530" w:rsidRPr="00103DBC" w:rsidRDefault="00B34530" w:rsidP="00B34530">
            <w:pPr>
              <w:pStyle w:val="ListParagraph"/>
              <w:numPr>
                <w:ilvl w:val="0"/>
                <w:numId w:val="11"/>
              </w:numPr>
              <w:ind w:left="179" w:hanging="179"/>
            </w:pPr>
            <w:r w:rsidRPr="00103DBC">
              <w:t xml:space="preserve">Additionally, there is no rigorous procedure outlined for identifying outliers. CCGs may be particularly affected by the external job market which could impact on performance on this indicator.  Although whole </w:t>
            </w:r>
            <w:r w:rsidRPr="00103DBC">
              <w:lastRenderedPageBreak/>
              <w:t>population local labour force statistics are available at Local Authority level, they are not currently available and are not able to be produced at CCG level.</w:t>
            </w:r>
          </w:p>
          <w:p w14:paraId="29E68761" w14:textId="77777777" w:rsidR="00B34530" w:rsidRPr="00103DBC" w:rsidRDefault="00B34530" w:rsidP="00B34530"/>
          <w:p w14:paraId="0BE44B50" w14:textId="77777777" w:rsidR="00B34530" w:rsidRPr="00103DBC" w:rsidRDefault="00B34530" w:rsidP="00B34530">
            <w:pPr>
              <w:pStyle w:val="ListParagraph"/>
              <w:numPr>
                <w:ilvl w:val="0"/>
                <w:numId w:val="11"/>
              </w:numPr>
              <w:ind w:left="179" w:hanging="179"/>
            </w:pPr>
            <w:r w:rsidRPr="00103DBC">
              <w:t>The applicant proposes to compare this indicator (which is at CCG level) with employment rates of the general working population (which is NOT published at CCG level).  The influence of the wider economy and local employment opportunities for everyone, not just those in receipt of secondary mental health services could affect performance on this indicator. A serious area for concern is whether CCG boundaries are co-terminus with LA boundaries as if they are not, or only some are, reliable comparisons cannot be made.</w:t>
            </w:r>
          </w:p>
          <w:p w14:paraId="502A02F2" w14:textId="77777777" w:rsidR="00B34530" w:rsidRPr="00103DBC" w:rsidRDefault="00B34530" w:rsidP="00B34530"/>
          <w:p w14:paraId="76BFD14E" w14:textId="77777777" w:rsidR="00B34530" w:rsidRPr="00103DBC" w:rsidRDefault="00B34530" w:rsidP="00B34530">
            <w:pPr>
              <w:pStyle w:val="ListParagraph"/>
              <w:numPr>
                <w:ilvl w:val="0"/>
                <w:numId w:val="11"/>
              </w:numPr>
              <w:ind w:left="179" w:hanging="179"/>
            </w:pPr>
            <w:r w:rsidRPr="00103DBC">
              <w:t>It is noted that willingness to work among the population and changes to the benefits system may also be a confounding variable.</w:t>
            </w:r>
          </w:p>
          <w:p w14:paraId="37CDA3E8" w14:textId="77777777" w:rsidR="00B34530" w:rsidRPr="00103DBC" w:rsidRDefault="00B34530" w:rsidP="00B34530">
            <w:r w:rsidRPr="00103DBC">
              <w:t xml:space="preserve"> </w:t>
            </w:r>
          </w:p>
          <w:p w14:paraId="6715DDCF" w14:textId="77777777" w:rsidR="00B34530" w:rsidRPr="00103DBC" w:rsidRDefault="00B34530" w:rsidP="00B34530">
            <w:pPr>
              <w:pStyle w:val="ListParagraph"/>
              <w:numPr>
                <w:ilvl w:val="0"/>
                <w:numId w:val="11"/>
              </w:numPr>
              <w:ind w:left="179" w:hanging="179"/>
            </w:pPr>
            <w:r w:rsidRPr="00103DBC">
              <w:t>Training and voluntary work are excluded from the indicator. The evidence base mentions that paid work reduces the risk of social isolation. The same could be argued for voluntary work and training as both get people socially involved and enhance skills necessary for employment. Possible contextual indicators?</w:t>
            </w:r>
          </w:p>
          <w:p w14:paraId="4CEB48EE" w14:textId="77777777" w:rsidR="00B34530" w:rsidRPr="00103DBC" w:rsidRDefault="00B34530" w:rsidP="00B34530"/>
          <w:p w14:paraId="7959C087" w14:textId="77777777" w:rsidR="00B34530" w:rsidRPr="00103DBC" w:rsidRDefault="00B34530" w:rsidP="00B34530">
            <w:pPr>
              <w:pStyle w:val="ListParagraph"/>
              <w:numPr>
                <w:ilvl w:val="0"/>
                <w:numId w:val="11"/>
              </w:numPr>
              <w:ind w:left="179" w:hanging="179"/>
            </w:pPr>
            <w:r w:rsidRPr="00103DBC">
              <w:t>There is a risk of a perverse incentive that could encourage providers not to provide secondary care mental health services to those who are unlikely to become involved in paid employment.</w:t>
            </w:r>
          </w:p>
          <w:p w14:paraId="033BF4BB" w14:textId="77777777" w:rsidR="00B34530" w:rsidRPr="00103DBC" w:rsidRDefault="00B34530" w:rsidP="00B34530"/>
        </w:tc>
      </w:tr>
      <w:tr w:rsidR="00B34530" w:rsidRPr="00103DBC" w14:paraId="3CE43233" w14:textId="77777777" w:rsidTr="00B34530">
        <w:trPr>
          <w:trHeight w:val="227"/>
        </w:trPr>
        <w:tc>
          <w:tcPr>
            <w:tcW w:w="1998" w:type="dxa"/>
          </w:tcPr>
          <w:p w14:paraId="071439F1" w14:textId="6D31C560" w:rsidR="00B34530" w:rsidRPr="00103DBC" w:rsidRDefault="00B34530" w:rsidP="00B34530">
            <w:r w:rsidRPr="00103DBC">
              <w:rPr>
                <w:i/>
              </w:rPr>
              <w:lastRenderedPageBreak/>
              <w:t>Outcome of MRG consideration:</w:t>
            </w:r>
          </w:p>
        </w:tc>
        <w:tc>
          <w:tcPr>
            <w:tcW w:w="7339" w:type="dxa"/>
          </w:tcPr>
          <w:p w14:paraId="2DFF97F0" w14:textId="77777777" w:rsidR="00B34530" w:rsidRPr="00103DBC" w:rsidRDefault="00B34530" w:rsidP="00B34530">
            <w:pPr>
              <w:pStyle w:val="ListParagraph"/>
              <w:numPr>
                <w:ilvl w:val="0"/>
                <w:numId w:val="12"/>
              </w:numPr>
              <w:rPr>
                <w:b/>
              </w:rPr>
            </w:pPr>
            <w:r w:rsidRPr="00103DBC">
              <w:rPr>
                <w:b/>
              </w:rPr>
              <w:t>Declined to sign-off</w:t>
            </w:r>
          </w:p>
        </w:tc>
      </w:tr>
      <w:tr w:rsidR="00B34530" w:rsidRPr="00103DBC" w14:paraId="3064C59A" w14:textId="77777777" w:rsidTr="00B34530">
        <w:trPr>
          <w:trHeight w:val="747"/>
        </w:trPr>
        <w:tc>
          <w:tcPr>
            <w:tcW w:w="1998" w:type="dxa"/>
          </w:tcPr>
          <w:p w14:paraId="19669C9B" w14:textId="77777777" w:rsidR="00B34530" w:rsidRPr="00103DBC" w:rsidRDefault="00B34530" w:rsidP="00B34530">
            <w:r w:rsidRPr="00103DBC">
              <w:t>Link to Peer Review Appraisal</w:t>
            </w:r>
          </w:p>
          <w:p w14:paraId="1092A421" w14:textId="77777777" w:rsidR="00B34530" w:rsidRPr="00103DBC" w:rsidRDefault="00B34530" w:rsidP="00B34530"/>
        </w:tc>
        <w:tc>
          <w:tcPr>
            <w:tcW w:w="7339" w:type="dxa"/>
          </w:tcPr>
          <w:p w14:paraId="64AF33D8" w14:textId="77777777" w:rsidR="00B34530" w:rsidRPr="00103DBC" w:rsidRDefault="00B34530" w:rsidP="00B34530"/>
        </w:tc>
      </w:tr>
    </w:tbl>
    <w:p w14:paraId="24FD8082" w14:textId="77777777" w:rsidR="000D2247" w:rsidRPr="00103DBC" w:rsidRDefault="000D2247" w:rsidP="00103DBC">
      <w:pPr>
        <w:ind w:left="-540"/>
      </w:pPr>
    </w:p>
    <w:p w14:paraId="2C37D3B8" w14:textId="77777777" w:rsidR="000D2247" w:rsidRPr="00103DBC" w:rsidRDefault="000D2247" w:rsidP="00103DBC">
      <w:pPr>
        <w:ind w:left="-851"/>
      </w:pPr>
    </w:p>
    <w:p w14:paraId="74C2012C" w14:textId="77777777" w:rsidR="000D2247" w:rsidRPr="00103DBC" w:rsidRDefault="000D2247" w:rsidP="00103DBC">
      <w:pPr>
        <w:ind w:left="-851"/>
      </w:pPr>
    </w:p>
    <w:p w14:paraId="51B3F230" w14:textId="77777777" w:rsidR="000D2247" w:rsidRPr="00103DBC" w:rsidRDefault="000D2247" w:rsidP="00103DBC">
      <w:pPr>
        <w:ind w:left="-851"/>
      </w:pPr>
    </w:p>
    <w:p w14:paraId="7F5F095B" w14:textId="77777777" w:rsidR="000D2247" w:rsidRPr="00103DBC" w:rsidRDefault="000D2247">
      <w:r w:rsidRPr="00103DBC">
        <w:br w:type="page"/>
      </w:r>
    </w:p>
    <w:p w14:paraId="7BF6D3CD" w14:textId="77777777" w:rsidR="000D2247" w:rsidRPr="00103DBC" w:rsidRDefault="000D2247" w:rsidP="00103DBC">
      <w:pPr>
        <w:ind w:left="-851"/>
      </w:pPr>
    </w:p>
    <w:p w14:paraId="47286778" w14:textId="77777777" w:rsidR="000D2247" w:rsidRPr="00103DBC" w:rsidRDefault="000D2247" w:rsidP="00103DBC">
      <w:pPr>
        <w:ind w:left="-851"/>
        <w:rPr>
          <w:b/>
        </w:rPr>
      </w:pPr>
      <w:r w:rsidRPr="00103DBC">
        <w:t xml:space="preserve">Indicator Methodology for Consideration - </w:t>
      </w:r>
      <w:r w:rsidRPr="00103DBC">
        <w:rPr>
          <w:b/>
        </w:rPr>
        <w:t>Methodology Review Group</w:t>
      </w:r>
    </w:p>
    <w:p w14:paraId="74163424" w14:textId="77777777" w:rsidR="000D2247" w:rsidRPr="00103DBC" w:rsidRDefault="000D2247" w:rsidP="00103DBC">
      <w:pPr>
        <w:ind w:left="-851"/>
      </w:pPr>
    </w:p>
    <w:p w14:paraId="2AA994B5" w14:textId="77777777" w:rsidR="000D2247" w:rsidRPr="00103DBC" w:rsidRDefault="000D2247" w:rsidP="00103DBC">
      <w:pPr>
        <w:ind w:left="-851"/>
      </w:pPr>
    </w:p>
    <w:tbl>
      <w:tblPr>
        <w:tblStyle w:val="TableGrid"/>
        <w:tblW w:w="9923" w:type="dxa"/>
        <w:tblLayout w:type="fixed"/>
        <w:tblLook w:val="01E0" w:firstRow="1" w:lastRow="1" w:firstColumn="1" w:lastColumn="1" w:noHBand="0" w:noVBand="0"/>
      </w:tblPr>
      <w:tblGrid>
        <w:gridCol w:w="9923"/>
      </w:tblGrid>
      <w:tr w:rsidR="00B34530" w:rsidRPr="00103DBC" w14:paraId="77D2FE56" w14:textId="77777777" w:rsidTr="00BF1D47">
        <w:tc>
          <w:tcPr>
            <w:tcW w:w="9923" w:type="dxa"/>
          </w:tcPr>
          <w:p w14:paraId="03AF516A" w14:textId="5C793C09" w:rsidR="00B34530" w:rsidRPr="00103DBC" w:rsidRDefault="00B34530" w:rsidP="00103DBC">
            <w:r w:rsidRPr="00103DBC">
              <w:t>Introduction</w:t>
            </w:r>
          </w:p>
        </w:tc>
      </w:tr>
      <w:tr w:rsidR="00103DBC" w:rsidRPr="00103DBC" w14:paraId="5C9B818D" w14:textId="77777777" w:rsidTr="00B34530">
        <w:tc>
          <w:tcPr>
            <w:tcW w:w="9923" w:type="dxa"/>
          </w:tcPr>
          <w:p w14:paraId="7474173C" w14:textId="53E97B53" w:rsidR="000D2247" w:rsidRPr="00103DBC" w:rsidRDefault="000D2247" w:rsidP="00103DBC">
            <w:r w:rsidRPr="00103DBC">
              <w:t xml:space="preserve">[Brief background on indicators being considered, especially if they form part of a programme of indicators.  Provide any general information such </w:t>
            </w:r>
            <w:proofErr w:type="gramStart"/>
            <w:r w:rsidRPr="00103DBC">
              <w:t>as ;</w:t>
            </w:r>
            <w:proofErr w:type="gramEnd"/>
            <w:r w:rsidRPr="00103DBC">
              <w:t xml:space="preserve"> urgency of approval / broad timescales;  history and direction of any indicator programmes involved e.g. General news about NHS Outcomes Framework; Level of IC’s involvement, </w:t>
            </w:r>
            <w:r w:rsidR="004D28F6" w:rsidRPr="00103DBC">
              <w:t>e.g.</w:t>
            </w:r>
            <w:r w:rsidRPr="00103DBC">
              <w:t xml:space="preserve"> is it commissioned to produce or surface the data ]</w:t>
            </w:r>
          </w:p>
          <w:p w14:paraId="24AC4B84" w14:textId="77777777" w:rsidR="000D2247" w:rsidRPr="00103DBC" w:rsidRDefault="000D2247" w:rsidP="00103DBC"/>
          <w:p w14:paraId="00D9BE08" w14:textId="77777777" w:rsidR="000D2247" w:rsidRPr="00103DBC" w:rsidRDefault="000D2247" w:rsidP="00103DBC">
            <w:r w:rsidRPr="00103DBC">
              <w:t xml:space="preserve">The Clinical Commissioning Group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103DBC">
              <w:t>All of</w:t>
            </w:r>
            <w:proofErr w:type="gramEnd"/>
            <w:r w:rsidRPr="00103DBC">
              <w:t xml:space="preserve"> the CCG outcomes indicators have been chosen on the basis that they contribute to the overarching aims of the five domains in the NHS Outcomes Framework and it is intended as a tool for CCGs to drive local improvement and set priorities.  Reference: CCG OIS, NHS England: http://www.england.nhs.uk/ccg-ois/.</w:t>
            </w:r>
          </w:p>
          <w:p w14:paraId="3C5BD96D" w14:textId="77777777" w:rsidR="000D2247" w:rsidRPr="00103DBC" w:rsidRDefault="000D2247" w:rsidP="00103DBC"/>
          <w:p w14:paraId="2AB0FDFF" w14:textId="77777777" w:rsidR="000D2247" w:rsidRPr="00103DBC" w:rsidRDefault="000D2247" w:rsidP="00103DBC">
            <w:r w:rsidRPr="00103DBC">
              <w:t>This indicator shows the percentage of adults receiving secondary mental health services in paid employment at the time of their most recent assessment, formal review or other multi-disciplinary care planning meeting.</w:t>
            </w:r>
          </w:p>
          <w:p w14:paraId="630CE4F2" w14:textId="77777777" w:rsidR="000D2247" w:rsidRPr="00103DBC" w:rsidRDefault="000D2247" w:rsidP="00103DBC"/>
          <w:p w14:paraId="00B7F26E" w14:textId="77777777" w:rsidR="000D2247" w:rsidRPr="00103DBC" w:rsidRDefault="000D2247" w:rsidP="00103DBC">
            <w:r w:rsidRPr="00103DBC">
              <w:t>The indicator provides a CCG level figure that complements the following indicators.</w:t>
            </w:r>
          </w:p>
          <w:p w14:paraId="2BDC299F" w14:textId="77777777" w:rsidR="000D2247" w:rsidRPr="00103DBC" w:rsidRDefault="000D2247" w:rsidP="000D2247">
            <w:pPr>
              <w:pStyle w:val="ListParagraph"/>
              <w:numPr>
                <w:ilvl w:val="0"/>
                <w:numId w:val="18"/>
              </w:numPr>
            </w:pPr>
            <w:r w:rsidRPr="00103DBC">
              <w:t>NHS Outcomes Framework, 2.5 (Technical Appendix, pp40-42) – this indicator shows the gap between the employment rate for those with a long-term mental health condition and the employment rate for the working-age population.  It uses data from the Labour Force Survey, produced by the Office for National Statistics (ONS).</w:t>
            </w:r>
          </w:p>
          <w:p w14:paraId="3835936D" w14:textId="77777777" w:rsidR="000D2247" w:rsidRPr="00103DBC" w:rsidRDefault="000D2247" w:rsidP="000D2247">
            <w:pPr>
              <w:pStyle w:val="ListParagraph"/>
              <w:numPr>
                <w:ilvl w:val="0"/>
                <w:numId w:val="18"/>
              </w:numPr>
            </w:pPr>
            <w:r w:rsidRPr="00103DBC">
              <w:t>Public Health Outcomes Framework, 1.8iii (Update to Summary Technical Specifications of Public Health Indicators: Part 2, pp3-6) – this indicator shows the gap between the employment rate for those with a long-term mental health condition and the employment rate for the working-age population.  It uses data from the Annual Population Survey (ONS) and the Mental Health Minimum Dataset (MHMDS).</w:t>
            </w:r>
          </w:p>
          <w:p w14:paraId="7A6599B1" w14:textId="77777777" w:rsidR="000D2247" w:rsidRPr="00103DBC" w:rsidRDefault="000D2247" w:rsidP="000D2247">
            <w:pPr>
              <w:pStyle w:val="ListParagraph"/>
              <w:numPr>
                <w:ilvl w:val="0"/>
                <w:numId w:val="18"/>
              </w:numPr>
            </w:pPr>
            <w:r w:rsidRPr="00103DBC">
              <w:t>Adult Social Care Outcomes Framework (ASCOF), 1F – this indicator shows the employment rate for adults in contact with secondary mental health services.  It uses MHMDS data.</w:t>
            </w:r>
          </w:p>
          <w:p w14:paraId="26C622C6" w14:textId="77777777" w:rsidR="000D2247" w:rsidRPr="00103DBC" w:rsidRDefault="000D2247" w:rsidP="00103DBC">
            <w:r w:rsidRPr="00103DBC">
              <w:t xml:space="preserve">This indicator uses a similar definition to ASCOF indicator 1F; it is produced at CCG level rather than local authority level.  </w:t>
            </w:r>
            <w:proofErr w:type="gramStart"/>
            <w:r w:rsidRPr="00103DBC">
              <w:t>All of</w:t>
            </w:r>
            <w:proofErr w:type="gramEnd"/>
            <w:r w:rsidRPr="00103DBC">
              <w:t xml:space="preserve"> the above indicators only consider people in paid employment.</w:t>
            </w:r>
          </w:p>
          <w:p w14:paraId="1A30C8FE" w14:textId="77777777" w:rsidR="000D2247" w:rsidRPr="00103DBC" w:rsidRDefault="000D2247" w:rsidP="00103DBC"/>
        </w:tc>
      </w:tr>
    </w:tbl>
    <w:p w14:paraId="54C5F0C9" w14:textId="77777777" w:rsidR="000D2247" w:rsidRPr="00103DBC" w:rsidRDefault="000D2247" w:rsidP="00103DBC">
      <w:pPr>
        <w:ind w:left="-851"/>
      </w:pPr>
    </w:p>
    <w:tbl>
      <w:tblPr>
        <w:tblStyle w:val="TableGrid"/>
        <w:tblW w:w="9923" w:type="dxa"/>
        <w:tblLayout w:type="fixed"/>
        <w:tblLook w:val="01E0" w:firstRow="1" w:lastRow="1" w:firstColumn="1" w:lastColumn="1" w:noHBand="0" w:noVBand="0"/>
      </w:tblPr>
      <w:tblGrid>
        <w:gridCol w:w="2125"/>
        <w:gridCol w:w="7798"/>
      </w:tblGrid>
      <w:tr w:rsidR="00B34530" w:rsidRPr="00103DBC" w14:paraId="0801B1C2" w14:textId="77777777" w:rsidTr="00B34530">
        <w:tc>
          <w:tcPr>
            <w:tcW w:w="2125" w:type="dxa"/>
          </w:tcPr>
          <w:p w14:paraId="5DBDB063" w14:textId="509C3BAF" w:rsidR="00B34530" w:rsidRPr="00103DBC" w:rsidRDefault="00B34530" w:rsidP="00B34530">
            <w:r w:rsidRPr="00103DBC">
              <w:t>Indicator Details - Initial MRG Submission</w:t>
            </w:r>
          </w:p>
        </w:tc>
        <w:tc>
          <w:tcPr>
            <w:tcW w:w="7798" w:type="dxa"/>
          </w:tcPr>
          <w:p w14:paraId="5124B35C" w14:textId="14AA8C3B" w:rsidR="00B34530" w:rsidRPr="00103DBC" w:rsidRDefault="00B34530" w:rsidP="00B34530">
            <w:r w:rsidRPr="00103DBC">
              <w:t>Date of Initial Discussion: 20/09/13</w:t>
            </w:r>
          </w:p>
        </w:tc>
      </w:tr>
      <w:tr w:rsidR="00B34530" w:rsidRPr="00103DBC" w14:paraId="06917ECD" w14:textId="77777777" w:rsidTr="00B34530">
        <w:tc>
          <w:tcPr>
            <w:tcW w:w="2125" w:type="dxa"/>
          </w:tcPr>
          <w:p w14:paraId="61E2FAF1" w14:textId="77777777" w:rsidR="00B34530" w:rsidRPr="00103DBC" w:rsidRDefault="00B34530" w:rsidP="00B34530">
            <w:pPr>
              <w:rPr>
                <w:highlight w:val="yellow"/>
              </w:rPr>
            </w:pPr>
            <w:r w:rsidRPr="00103DBC">
              <w:t>Rationale / usefulness</w:t>
            </w:r>
            <w:r w:rsidRPr="00103DBC">
              <w:rPr>
                <w:highlight w:val="yellow"/>
              </w:rPr>
              <w:t xml:space="preserve"> </w:t>
            </w:r>
          </w:p>
          <w:p w14:paraId="5BC1D4C7" w14:textId="77777777" w:rsidR="00B34530" w:rsidRPr="00103DBC" w:rsidRDefault="00B34530" w:rsidP="00B34530">
            <w:r w:rsidRPr="00103DBC">
              <w:t>Evidence and action ability of indicator [take this directly from the application if possible]</w:t>
            </w:r>
          </w:p>
          <w:p w14:paraId="360CBF58" w14:textId="77777777" w:rsidR="00B34530" w:rsidRPr="00103DBC" w:rsidRDefault="00B34530" w:rsidP="00B34530"/>
        </w:tc>
        <w:tc>
          <w:tcPr>
            <w:tcW w:w="7798" w:type="dxa"/>
          </w:tcPr>
          <w:p w14:paraId="22155FC6" w14:textId="77777777" w:rsidR="00B34530" w:rsidRPr="00103DBC" w:rsidRDefault="00B34530" w:rsidP="00B34530">
            <w:r w:rsidRPr="00103DBC">
              <w:t>The link between employment and positive mental health is an important issue for the NHS, both in terms of supporting service users to recover from mental health conditions and for improving staff productivity.  It is estimated that between 10% and 16% of people with a mental health condition (excluding depression) are in employment. However, between 86% and 90% of this group want to work (Work, Recovery and Inclusion: Employment support for people in contact with secondary mental health services – National Mental Health Development Unit, based on 2001 ONS data). Meaningful work is integral to recovery.</w:t>
            </w:r>
          </w:p>
          <w:p w14:paraId="2907E960" w14:textId="77777777" w:rsidR="00B34530" w:rsidRPr="00103DBC" w:rsidRDefault="00B34530" w:rsidP="00B34530"/>
          <w:p w14:paraId="2F90D56D" w14:textId="77777777" w:rsidR="00B34530" w:rsidRPr="00103DBC" w:rsidRDefault="00B34530" w:rsidP="00B34530">
            <w:r w:rsidRPr="00103DBC">
              <w:lastRenderedPageBreak/>
              <w:t xml:space="preserve">The 2006 evidence review by Waddell and Burton “Is work good for your health and well-being?” (commissioned by the Department for Work and Pensions) concluded that work was generally good for both physical and mental health and well-being. </w:t>
            </w:r>
          </w:p>
          <w:p w14:paraId="6258905C" w14:textId="77777777" w:rsidR="00B34530" w:rsidRPr="00103DBC" w:rsidRDefault="00B34530" w:rsidP="00B34530"/>
          <w:p w14:paraId="7AA70A7C" w14:textId="77777777" w:rsidR="00B34530" w:rsidRPr="00103DBC" w:rsidRDefault="00B34530" w:rsidP="00B34530">
            <w:r w:rsidRPr="00103DBC">
              <w:t>The review found a strong association between worklessness and poor health.  This may be partly a health selection effect, but it is also to a large extent cause and effect.  There is strong evidence that unemployment is generally harmful to health, including:</w:t>
            </w:r>
          </w:p>
          <w:p w14:paraId="754A3AEB" w14:textId="77777777" w:rsidR="00B34530" w:rsidRPr="00103DBC" w:rsidRDefault="00B34530" w:rsidP="00B34530">
            <w:pPr>
              <w:numPr>
                <w:ilvl w:val="0"/>
                <w:numId w:val="19"/>
              </w:numPr>
            </w:pPr>
            <w:r w:rsidRPr="00103DBC">
              <w:t xml:space="preserve">higher </w:t>
            </w:r>
            <w:proofErr w:type="gramStart"/>
            <w:r w:rsidRPr="00103DBC">
              <w:t>mortality;</w:t>
            </w:r>
            <w:proofErr w:type="gramEnd"/>
          </w:p>
          <w:p w14:paraId="3BC33D96" w14:textId="77777777" w:rsidR="00B34530" w:rsidRPr="00103DBC" w:rsidRDefault="00B34530" w:rsidP="00B34530">
            <w:pPr>
              <w:numPr>
                <w:ilvl w:val="0"/>
                <w:numId w:val="19"/>
              </w:numPr>
            </w:pPr>
            <w:r w:rsidRPr="00103DBC">
              <w:t xml:space="preserve">poorer general health, long-standing illness, limiting longstanding </w:t>
            </w:r>
            <w:proofErr w:type="gramStart"/>
            <w:r w:rsidRPr="00103DBC">
              <w:t>illness;</w:t>
            </w:r>
            <w:proofErr w:type="gramEnd"/>
          </w:p>
          <w:p w14:paraId="4C1E72D7" w14:textId="77777777" w:rsidR="00B34530" w:rsidRPr="00103DBC" w:rsidRDefault="00B34530" w:rsidP="00B34530">
            <w:pPr>
              <w:numPr>
                <w:ilvl w:val="0"/>
                <w:numId w:val="19"/>
              </w:numPr>
            </w:pPr>
            <w:r w:rsidRPr="00103DBC">
              <w:t xml:space="preserve">poorer mental health, psychological distress, minor psychological/psychiatric </w:t>
            </w:r>
            <w:proofErr w:type="gramStart"/>
            <w:r w:rsidRPr="00103DBC">
              <w:t>morbidity;</w:t>
            </w:r>
            <w:proofErr w:type="gramEnd"/>
          </w:p>
          <w:p w14:paraId="472889A8" w14:textId="77777777" w:rsidR="00B34530" w:rsidRPr="00103DBC" w:rsidRDefault="00B34530" w:rsidP="00B34530">
            <w:pPr>
              <w:numPr>
                <w:ilvl w:val="0"/>
                <w:numId w:val="19"/>
              </w:numPr>
            </w:pPr>
            <w:r w:rsidRPr="00103DBC">
              <w:t>higher medical consultation, medication consumption and hospital admission rates.</w:t>
            </w:r>
          </w:p>
          <w:p w14:paraId="7935CCEB" w14:textId="77777777" w:rsidR="00B34530" w:rsidRPr="00103DBC" w:rsidRDefault="00B34530" w:rsidP="00B34530"/>
          <w:p w14:paraId="200339E0" w14:textId="77777777" w:rsidR="00B34530" w:rsidRPr="00103DBC" w:rsidRDefault="00B34530" w:rsidP="00B34530">
            <w:r w:rsidRPr="00103DBC">
              <w:t>The review also found that, overall:</w:t>
            </w:r>
          </w:p>
          <w:p w14:paraId="36D00C6F" w14:textId="77777777" w:rsidR="00B34530" w:rsidRPr="00103DBC" w:rsidRDefault="00B34530" w:rsidP="00B34530">
            <w:pPr>
              <w:numPr>
                <w:ilvl w:val="0"/>
                <w:numId w:val="20"/>
              </w:numPr>
            </w:pPr>
            <w:r w:rsidRPr="00103DBC">
              <w:t xml:space="preserve">work is beneficial to health and </w:t>
            </w:r>
            <w:proofErr w:type="gramStart"/>
            <w:r w:rsidRPr="00103DBC">
              <w:t>well-being;</w:t>
            </w:r>
            <w:proofErr w:type="gramEnd"/>
          </w:p>
          <w:p w14:paraId="6679D1CB" w14:textId="77777777" w:rsidR="00B34530" w:rsidRPr="00103DBC" w:rsidRDefault="00B34530" w:rsidP="00B34530">
            <w:pPr>
              <w:numPr>
                <w:ilvl w:val="0"/>
                <w:numId w:val="20"/>
              </w:numPr>
            </w:pPr>
            <w:r w:rsidRPr="00103DBC">
              <w:t xml:space="preserve">lack of work is detrimental to health and </w:t>
            </w:r>
            <w:proofErr w:type="gramStart"/>
            <w:r w:rsidRPr="00103DBC">
              <w:t>well-being;</w:t>
            </w:r>
            <w:proofErr w:type="gramEnd"/>
          </w:p>
          <w:p w14:paraId="6A723FEC" w14:textId="77777777" w:rsidR="00B34530" w:rsidRPr="00103DBC" w:rsidRDefault="00B34530" w:rsidP="00B34530">
            <w:pPr>
              <w:numPr>
                <w:ilvl w:val="0"/>
                <w:numId w:val="20"/>
              </w:numPr>
            </w:pPr>
            <w:r w:rsidRPr="00103DBC">
              <w:t xml:space="preserve">for people without work, re-employment leads to improvement in health and well-being and further unemployment leads to </w:t>
            </w:r>
            <w:proofErr w:type="gramStart"/>
            <w:r w:rsidRPr="00103DBC">
              <w:t>deterioration;</w:t>
            </w:r>
            <w:proofErr w:type="gramEnd"/>
          </w:p>
          <w:p w14:paraId="3C0B1F25" w14:textId="77777777" w:rsidR="00B34530" w:rsidRPr="00103DBC" w:rsidRDefault="00B34530" w:rsidP="00B34530">
            <w:pPr>
              <w:numPr>
                <w:ilvl w:val="0"/>
                <w:numId w:val="20"/>
              </w:numPr>
            </w:pPr>
            <w:r w:rsidRPr="00103DBC">
              <w:t xml:space="preserve">for people who are sick or disabled, placement in work improves health and psychosocial </w:t>
            </w:r>
            <w:proofErr w:type="gramStart"/>
            <w:r w:rsidRPr="00103DBC">
              <w:t>status;</w:t>
            </w:r>
            <w:proofErr w:type="gramEnd"/>
          </w:p>
          <w:p w14:paraId="11B6A330" w14:textId="77777777" w:rsidR="00B34530" w:rsidRPr="00103DBC" w:rsidRDefault="00B34530" w:rsidP="00B34530">
            <w:pPr>
              <w:numPr>
                <w:ilvl w:val="0"/>
                <w:numId w:val="20"/>
              </w:numPr>
            </w:pPr>
            <w:r w:rsidRPr="00103DBC">
              <w:t xml:space="preserve">the health status of people of all ages who move off welfare benefits </w:t>
            </w:r>
            <w:proofErr w:type="gramStart"/>
            <w:r w:rsidRPr="00103DBC">
              <w:t>improves;</w:t>
            </w:r>
            <w:proofErr w:type="gramEnd"/>
          </w:p>
          <w:p w14:paraId="269F2CA0" w14:textId="77777777" w:rsidR="00B34530" w:rsidRPr="00103DBC" w:rsidRDefault="00B34530" w:rsidP="00B34530">
            <w:pPr>
              <w:numPr>
                <w:ilvl w:val="0"/>
                <w:numId w:val="20"/>
              </w:numPr>
            </w:pPr>
            <w:r w:rsidRPr="00103DBC">
              <w:t>these benefits apply equally to people who have mental health problems, including those with severe mental health problems.  There is no evidence that work is harmful to the mental health of people with severe mental illness.</w:t>
            </w:r>
          </w:p>
          <w:p w14:paraId="437FB4D7" w14:textId="77777777" w:rsidR="00B34530" w:rsidRPr="00103DBC" w:rsidRDefault="00B34530" w:rsidP="00B34530"/>
          <w:p w14:paraId="15497739" w14:textId="77777777" w:rsidR="00B34530" w:rsidRPr="00103DBC" w:rsidRDefault="00B34530" w:rsidP="00B34530">
            <w:r w:rsidRPr="00103DBC">
              <w:t>There is strong evidence that re-employment leads to improved self-esteem, improved general and mental health, and reduced psychological distress and minor psychiatric morbidity.  The magnitude of this improvement is comparable to the adverse effects of job loss.</w:t>
            </w:r>
          </w:p>
          <w:p w14:paraId="3E6F7463" w14:textId="77777777" w:rsidR="00B34530" w:rsidRPr="00103DBC" w:rsidRDefault="00B34530" w:rsidP="00B34530"/>
          <w:p w14:paraId="54D0DA06" w14:textId="77777777" w:rsidR="00B34530" w:rsidRPr="00103DBC" w:rsidRDefault="00B34530" w:rsidP="00B34530">
            <w:r w:rsidRPr="00103DBC">
              <w:t>There is a broad consensus across multiple disciplines, disability groups, employers, unions, insurers and all political parties, based on extensive clinical experience and on principles of fairness and social justice.  When their health condition permits, sick and disabled people (particularly those with “common health problems”) should be encouraged and supported to remain in or to (re)-enter work as soon as possible because it:</w:t>
            </w:r>
          </w:p>
          <w:p w14:paraId="6B48ECC5" w14:textId="77777777" w:rsidR="00B34530" w:rsidRPr="00103DBC" w:rsidRDefault="00B34530" w:rsidP="00B34530">
            <w:pPr>
              <w:pStyle w:val="ListParagraph"/>
              <w:numPr>
                <w:ilvl w:val="0"/>
                <w:numId w:val="21"/>
              </w:numPr>
            </w:pPr>
            <w:r w:rsidRPr="00103DBC">
              <w:t xml:space="preserve">is </w:t>
            </w:r>
            <w:proofErr w:type="gramStart"/>
            <w:r w:rsidRPr="00103DBC">
              <w:t>therapeutic;</w:t>
            </w:r>
            <w:proofErr w:type="gramEnd"/>
          </w:p>
          <w:p w14:paraId="67B0448A" w14:textId="77777777" w:rsidR="00B34530" w:rsidRPr="00103DBC" w:rsidRDefault="00B34530" w:rsidP="00B34530">
            <w:pPr>
              <w:pStyle w:val="ListParagraph"/>
              <w:numPr>
                <w:ilvl w:val="0"/>
                <w:numId w:val="21"/>
              </w:numPr>
            </w:pPr>
            <w:r w:rsidRPr="00103DBC">
              <w:t xml:space="preserve">helps to promote recovery and </w:t>
            </w:r>
            <w:proofErr w:type="gramStart"/>
            <w:r w:rsidRPr="00103DBC">
              <w:t>rehabilitation;</w:t>
            </w:r>
            <w:proofErr w:type="gramEnd"/>
          </w:p>
          <w:p w14:paraId="70424F73" w14:textId="77777777" w:rsidR="00B34530" w:rsidRPr="00103DBC" w:rsidRDefault="00B34530" w:rsidP="00B34530">
            <w:pPr>
              <w:pStyle w:val="ListParagraph"/>
              <w:numPr>
                <w:ilvl w:val="0"/>
                <w:numId w:val="21"/>
              </w:numPr>
            </w:pPr>
            <w:r w:rsidRPr="00103DBC">
              <w:t xml:space="preserve">leads to better health </w:t>
            </w:r>
            <w:proofErr w:type="gramStart"/>
            <w:r w:rsidRPr="00103DBC">
              <w:t>outcomes;</w:t>
            </w:r>
            <w:proofErr w:type="gramEnd"/>
          </w:p>
          <w:p w14:paraId="3AEEEF81" w14:textId="77777777" w:rsidR="00B34530" w:rsidRPr="00103DBC" w:rsidRDefault="00B34530" w:rsidP="00B34530">
            <w:pPr>
              <w:pStyle w:val="ListParagraph"/>
              <w:numPr>
                <w:ilvl w:val="0"/>
                <w:numId w:val="21"/>
              </w:numPr>
            </w:pPr>
            <w:r w:rsidRPr="00103DBC">
              <w:t xml:space="preserve">minimises the harmful physical, mental and social effects of long-term sickness </w:t>
            </w:r>
            <w:proofErr w:type="gramStart"/>
            <w:r w:rsidRPr="00103DBC">
              <w:t>absence;</w:t>
            </w:r>
            <w:proofErr w:type="gramEnd"/>
          </w:p>
          <w:p w14:paraId="7B670419" w14:textId="77777777" w:rsidR="00B34530" w:rsidRPr="00103DBC" w:rsidRDefault="00B34530" w:rsidP="00B34530">
            <w:pPr>
              <w:pStyle w:val="ListParagraph"/>
              <w:numPr>
                <w:ilvl w:val="0"/>
                <w:numId w:val="21"/>
              </w:numPr>
            </w:pPr>
            <w:r w:rsidRPr="00103DBC">
              <w:t xml:space="preserve">reduces the risk of long-term </w:t>
            </w:r>
            <w:proofErr w:type="gramStart"/>
            <w:r w:rsidRPr="00103DBC">
              <w:t>incapacity;</w:t>
            </w:r>
            <w:proofErr w:type="gramEnd"/>
          </w:p>
          <w:p w14:paraId="3A1523ED" w14:textId="77777777" w:rsidR="00B34530" w:rsidRPr="00103DBC" w:rsidRDefault="00B34530" w:rsidP="00B34530">
            <w:pPr>
              <w:pStyle w:val="ListParagraph"/>
              <w:numPr>
                <w:ilvl w:val="0"/>
                <w:numId w:val="21"/>
              </w:numPr>
            </w:pPr>
            <w:r w:rsidRPr="00103DBC">
              <w:t xml:space="preserve">promotes full participation in society, independence and human </w:t>
            </w:r>
            <w:proofErr w:type="gramStart"/>
            <w:r w:rsidRPr="00103DBC">
              <w:t>rights;</w:t>
            </w:r>
            <w:proofErr w:type="gramEnd"/>
          </w:p>
          <w:p w14:paraId="581003DA" w14:textId="77777777" w:rsidR="00B34530" w:rsidRPr="00103DBC" w:rsidRDefault="00B34530" w:rsidP="00B34530">
            <w:pPr>
              <w:pStyle w:val="ListParagraph"/>
              <w:numPr>
                <w:ilvl w:val="0"/>
                <w:numId w:val="21"/>
              </w:numPr>
            </w:pPr>
            <w:r w:rsidRPr="00103DBC">
              <w:t xml:space="preserve">reduces </w:t>
            </w:r>
            <w:proofErr w:type="gramStart"/>
            <w:r w:rsidRPr="00103DBC">
              <w:t>poverty;</w:t>
            </w:r>
            <w:proofErr w:type="gramEnd"/>
          </w:p>
          <w:p w14:paraId="7970AA58" w14:textId="77777777" w:rsidR="00B34530" w:rsidRPr="00103DBC" w:rsidRDefault="00B34530" w:rsidP="00B34530">
            <w:pPr>
              <w:pStyle w:val="ListParagraph"/>
              <w:numPr>
                <w:ilvl w:val="0"/>
                <w:numId w:val="21"/>
              </w:numPr>
            </w:pPr>
            <w:r w:rsidRPr="00103DBC">
              <w:t>improves quality of life and well-being.</w:t>
            </w:r>
          </w:p>
          <w:p w14:paraId="7243DE3D" w14:textId="77777777" w:rsidR="00B34530" w:rsidRPr="00103DBC" w:rsidRDefault="00B34530" w:rsidP="00B34530"/>
          <w:p w14:paraId="30B1B622" w14:textId="77777777" w:rsidR="00B34530" w:rsidRPr="00103DBC" w:rsidRDefault="00B34530" w:rsidP="00B34530">
            <w:r w:rsidRPr="00103DBC">
              <w:t>This indicator provides a good indication of the impact of long-term mental illness on employment among working age adults.</w:t>
            </w:r>
          </w:p>
          <w:p w14:paraId="2CA50674" w14:textId="77777777" w:rsidR="00B34530" w:rsidRPr="00103DBC" w:rsidRDefault="00B34530" w:rsidP="00B34530"/>
          <w:p w14:paraId="51F54A49" w14:textId="77777777" w:rsidR="00B34530" w:rsidRPr="00103DBC" w:rsidRDefault="00B34530" w:rsidP="00B34530">
            <w:r w:rsidRPr="00103DBC">
              <w:t xml:space="preserve">It should be expected that there would be improved functional ability, through employment, in people with mental illness.  If people </w:t>
            </w:r>
            <w:proofErr w:type="gramStart"/>
            <w:r w:rsidRPr="00103DBC">
              <w:t>are able to</w:t>
            </w:r>
            <w:proofErr w:type="gramEnd"/>
            <w:r w:rsidRPr="00103DBC">
              <w:t xml:space="preserve"> find employment when they want, they will find it easier to maintain a family and social life and contribute to community life, and in doing so, avoid loneliness or isolation.</w:t>
            </w:r>
          </w:p>
          <w:p w14:paraId="4A2FAA8F" w14:textId="77777777" w:rsidR="00B34530" w:rsidRPr="00103DBC" w:rsidRDefault="00B34530" w:rsidP="00B34530"/>
          <w:p w14:paraId="21AF1A33" w14:textId="77777777" w:rsidR="00B34530" w:rsidRPr="00103DBC" w:rsidRDefault="00B34530" w:rsidP="00B34530">
            <w:r w:rsidRPr="00103DBC">
              <w:t>The indicator is intended to measure improved employment outcomes for adults with mental health problems, reducing their risk of social exclusion and discrimination.  Supporting someone with their employment aspirations is a key part of the recovery process.</w:t>
            </w:r>
          </w:p>
          <w:p w14:paraId="558CDFBB" w14:textId="77777777" w:rsidR="00B34530" w:rsidRPr="00103DBC" w:rsidRDefault="00B34530" w:rsidP="00B34530"/>
          <w:p w14:paraId="186FF489" w14:textId="77777777" w:rsidR="00B34530" w:rsidRPr="00103DBC" w:rsidRDefault="00B34530" w:rsidP="00B34530">
            <w:r w:rsidRPr="00103DBC">
              <w:t>CCGs could work with local authorities through health and well-being boards and other organisations to improve the opportunities for people with long-term mental health conditions to find suitable employment opportunities.</w:t>
            </w:r>
          </w:p>
          <w:p w14:paraId="1A04D8F4" w14:textId="77777777" w:rsidR="00B34530" w:rsidRPr="00103DBC" w:rsidRDefault="00B34530" w:rsidP="00B34530"/>
          <w:p w14:paraId="4703D06C" w14:textId="77777777" w:rsidR="00B34530" w:rsidRPr="00103DBC" w:rsidRDefault="00B34530" w:rsidP="00B34530">
            <w:r w:rsidRPr="00103DBC">
              <w:t>This indicator could also help inform CCGs about the type, level, intensity and quantity of mental health services they need to commission.</w:t>
            </w:r>
          </w:p>
          <w:p w14:paraId="785F9985" w14:textId="77777777" w:rsidR="00B34530" w:rsidRPr="00103DBC" w:rsidRDefault="00B34530" w:rsidP="00B34530"/>
        </w:tc>
      </w:tr>
      <w:tr w:rsidR="00B34530" w:rsidRPr="00103DBC" w14:paraId="1457FEAC" w14:textId="77777777" w:rsidTr="00B34530">
        <w:tc>
          <w:tcPr>
            <w:tcW w:w="2125" w:type="dxa"/>
          </w:tcPr>
          <w:p w14:paraId="16BA3F23" w14:textId="77777777" w:rsidR="00B34530" w:rsidRPr="00103DBC" w:rsidRDefault="00B34530" w:rsidP="00B34530">
            <w:r w:rsidRPr="00103DBC">
              <w:lastRenderedPageBreak/>
              <w:t>Data source</w:t>
            </w:r>
          </w:p>
        </w:tc>
        <w:tc>
          <w:tcPr>
            <w:tcW w:w="7798" w:type="dxa"/>
          </w:tcPr>
          <w:p w14:paraId="0214F231" w14:textId="77777777" w:rsidR="00B34530" w:rsidRPr="00103DBC" w:rsidRDefault="00B34530" w:rsidP="00B34530">
            <w:r w:rsidRPr="00103DBC">
              <w:t>MHMDS, v4.1 (HSCIC).</w:t>
            </w:r>
          </w:p>
          <w:p w14:paraId="789BF86C" w14:textId="77777777" w:rsidR="00B34530" w:rsidRPr="00103DBC" w:rsidRDefault="00D41F0B" w:rsidP="00B34530">
            <w:hyperlink r:id="rId13" w:history="1">
              <w:r w:rsidR="00B34530" w:rsidRPr="00103DBC">
                <w:rPr>
                  <w:rStyle w:val="Hyperlink"/>
                  <w:color w:val="auto"/>
                </w:rPr>
                <w:t>http://www.hscic.gov.uk/media/10688/MHMDSv41UserGuidance/pdf/MHMDS_v4.1_User_Guidance.pdf</w:t>
              </w:r>
            </w:hyperlink>
          </w:p>
          <w:p w14:paraId="1296310A" w14:textId="77777777" w:rsidR="00B34530" w:rsidRPr="00103DBC" w:rsidRDefault="00B34530" w:rsidP="00B34530">
            <w:r w:rsidRPr="00103DBC">
              <w:t>From April 2014, this will be superseded by the Mental Health and Learning Disabilities Dataset (MHLDDS), v1.0.</w:t>
            </w:r>
          </w:p>
          <w:p w14:paraId="26E4031C" w14:textId="77777777" w:rsidR="00B34530" w:rsidRPr="00103DBC" w:rsidRDefault="00B34530" w:rsidP="00B34530"/>
        </w:tc>
      </w:tr>
      <w:tr w:rsidR="00B34530" w:rsidRPr="00103DBC" w14:paraId="70E7D2B7" w14:textId="77777777" w:rsidTr="00B34530">
        <w:trPr>
          <w:trHeight w:val="819"/>
        </w:trPr>
        <w:tc>
          <w:tcPr>
            <w:tcW w:w="2125" w:type="dxa"/>
          </w:tcPr>
          <w:p w14:paraId="51F7D128" w14:textId="181F8EC5" w:rsidR="00B34530" w:rsidRPr="00103DBC" w:rsidRDefault="00B34530" w:rsidP="00B34530">
            <w:r w:rsidRPr="00103DBC">
              <w:t>Construction</w:t>
            </w:r>
          </w:p>
        </w:tc>
        <w:tc>
          <w:tcPr>
            <w:tcW w:w="7798" w:type="dxa"/>
          </w:tcPr>
          <w:p w14:paraId="2B1FD8A1" w14:textId="77777777" w:rsidR="00B34530" w:rsidRPr="00103DBC" w:rsidRDefault="00B34530" w:rsidP="00B34530">
            <w:pPr>
              <w:rPr>
                <w:b/>
                <w:i/>
              </w:rPr>
            </w:pPr>
            <w:r w:rsidRPr="00103DBC">
              <w:rPr>
                <w:b/>
                <w:i/>
              </w:rPr>
              <w:t>Summary description of the calculation:</w:t>
            </w:r>
          </w:p>
          <w:p w14:paraId="7FC65DF1" w14:textId="77777777" w:rsidR="00B34530" w:rsidRPr="00103DBC" w:rsidRDefault="00B34530" w:rsidP="00B34530">
            <w:r w:rsidRPr="00103DBC">
              <w:t>The percentage of adults receiving secondary mental health services who are in paid employment, given by CCG.</w:t>
            </w:r>
          </w:p>
          <w:p w14:paraId="780EF55C" w14:textId="77777777" w:rsidR="00B34530" w:rsidRPr="00103DBC" w:rsidRDefault="00B34530" w:rsidP="00B34530"/>
        </w:tc>
      </w:tr>
      <w:tr w:rsidR="00B34530" w:rsidRPr="00103DBC" w14:paraId="7184B16A" w14:textId="77777777" w:rsidTr="00B34530">
        <w:trPr>
          <w:trHeight w:val="341"/>
        </w:trPr>
        <w:tc>
          <w:tcPr>
            <w:tcW w:w="2125" w:type="dxa"/>
          </w:tcPr>
          <w:p w14:paraId="088B9FE9" w14:textId="3F47D4AB" w:rsidR="00B34530" w:rsidRPr="00103DBC" w:rsidRDefault="00B34530" w:rsidP="00B34530">
            <w:r w:rsidRPr="00D07F91">
              <w:t>Construction</w:t>
            </w:r>
          </w:p>
        </w:tc>
        <w:tc>
          <w:tcPr>
            <w:tcW w:w="7798" w:type="dxa"/>
          </w:tcPr>
          <w:p w14:paraId="6F8250A2" w14:textId="77777777" w:rsidR="00B34530" w:rsidRPr="00103DBC" w:rsidRDefault="00B34530" w:rsidP="00B34530">
            <w:pPr>
              <w:rPr>
                <w:b/>
              </w:rPr>
            </w:pPr>
            <w:r w:rsidRPr="00103DBC">
              <w:rPr>
                <w:b/>
                <w:i/>
              </w:rPr>
              <w:t>Calculation type:</w:t>
            </w:r>
            <w:r w:rsidRPr="00103DBC">
              <w:t xml:space="preserve"> Percentage.</w:t>
            </w:r>
          </w:p>
          <w:p w14:paraId="755C5062" w14:textId="77777777" w:rsidR="00B34530" w:rsidRPr="00103DBC" w:rsidRDefault="00B34530" w:rsidP="00B34530"/>
        </w:tc>
      </w:tr>
      <w:tr w:rsidR="00B34530" w:rsidRPr="00103DBC" w14:paraId="0C97F1C9" w14:textId="77777777" w:rsidTr="00B34530">
        <w:trPr>
          <w:trHeight w:val="819"/>
        </w:trPr>
        <w:tc>
          <w:tcPr>
            <w:tcW w:w="2125" w:type="dxa"/>
          </w:tcPr>
          <w:p w14:paraId="0A972C6B" w14:textId="41B6806F" w:rsidR="00B34530" w:rsidRPr="00103DBC" w:rsidRDefault="00B34530" w:rsidP="00B34530">
            <w:r w:rsidRPr="00D07F91">
              <w:t>Construction</w:t>
            </w:r>
          </w:p>
        </w:tc>
        <w:tc>
          <w:tcPr>
            <w:tcW w:w="7798" w:type="dxa"/>
          </w:tcPr>
          <w:p w14:paraId="648FB08D" w14:textId="77777777" w:rsidR="00B34530" w:rsidRPr="00103DBC" w:rsidRDefault="00B34530" w:rsidP="00B34530">
            <w:r w:rsidRPr="00103DBC">
              <w:rPr>
                <w:b/>
                <w:i/>
              </w:rPr>
              <w:t xml:space="preserve">Denominator: </w:t>
            </w:r>
            <w:r w:rsidRPr="00103DBC">
              <w:t>The number of working age adults aged 18 to 69 who have received secondary mental health services at any point during the quarter.</w:t>
            </w:r>
          </w:p>
          <w:p w14:paraId="77750D73" w14:textId="77777777" w:rsidR="00B34530" w:rsidRPr="00103DBC" w:rsidRDefault="00B34530" w:rsidP="00B34530"/>
          <w:p w14:paraId="6091FB1F" w14:textId="77777777" w:rsidR="00B34530" w:rsidRPr="00103DBC" w:rsidRDefault="00B34530" w:rsidP="00B34530">
            <w:r w:rsidRPr="00103DBC">
              <w:t>Working age is defined as ages 18 to 69.  This matches the age range for a measure that has been used historically and therefore maintains a time series.</w:t>
            </w:r>
          </w:p>
          <w:p w14:paraId="5B5BC853" w14:textId="77777777" w:rsidR="00B34530" w:rsidRPr="00103DBC" w:rsidRDefault="00B34530" w:rsidP="00B34530"/>
          <w:p w14:paraId="6B20FFDA" w14:textId="77777777" w:rsidR="00B34530" w:rsidRPr="00103DBC" w:rsidRDefault="00B34530" w:rsidP="00B34530">
            <w:r w:rsidRPr="00103DBC">
              <w:t>Secondary mental health services are any mental health services provided in a secondary care setting, including inpatient and outpatient care and care provided by community mental health teams.</w:t>
            </w:r>
          </w:p>
          <w:p w14:paraId="6C043705" w14:textId="77777777" w:rsidR="00B34530" w:rsidRPr="00103DBC" w:rsidRDefault="00B34530" w:rsidP="00B34530"/>
          <w:p w14:paraId="78BF9926" w14:textId="77777777" w:rsidR="00B34530" w:rsidRPr="00103DBC" w:rsidRDefault="00B34530" w:rsidP="00B34530">
            <w:r w:rsidRPr="00103DBC">
              <w:rPr>
                <w:b/>
                <w:i/>
              </w:rPr>
              <w:t xml:space="preserve">Numerator: </w:t>
            </w:r>
            <w:r w:rsidRPr="00103DBC">
              <w:t>Of people in the denominator, the number recorded as being in employment at their most recent assessment, formal review or other multi-disciplinary care planning meeting.</w:t>
            </w:r>
          </w:p>
          <w:p w14:paraId="69633B04" w14:textId="77777777" w:rsidR="00B34530" w:rsidRPr="00103DBC" w:rsidRDefault="00B34530" w:rsidP="00B34530"/>
          <w:p w14:paraId="1EDBFE2B" w14:textId="77777777" w:rsidR="00B34530" w:rsidRPr="00103DBC" w:rsidRDefault="00B34530" w:rsidP="00B34530">
            <w:r w:rsidRPr="00103DBC">
              <w:t>The measure is focused on ‘paid’ employment, to be clear that voluntary work is to be excluded for the purposes of this measure.  Employment status is recorded using the following categories:</w:t>
            </w:r>
          </w:p>
          <w:p w14:paraId="78B278CE" w14:textId="77777777" w:rsidR="00B34530" w:rsidRPr="00103DBC" w:rsidRDefault="00B34530" w:rsidP="00B34530">
            <w:pPr>
              <w:pStyle w:val="ListParagraph"/>
              <w:numPr>
                <w:ilvl w:val="0"/>
                <w:numId w:val="17"/>
              </w:numPr>
            </w:pPr>
            <w:r w:rsidRPr="00103DBC">
              <w:t>01 Employed</w:t>
            </w:r>
          </w:p>
          <w:p w14:paraId="71D17816" w14:textId="77777777" w:rsidR="00B34530" w:rsidRPr="00103DBC" w:rsidRDefault="00B34530" w:rsidP="00B34530">
            <w:pPr>
              <w:pStyle w:val="ListParagraph"/>
              <w:numPr>
                <w:ilvl w:val="0"/>
                <w:numId w:val="17"/>
              </w:numPr>
            </w:pPr>
            <w:r w:rsidRPr="00103DBC">
              <w:t>02 Unemployed and Seeking Work</w:t>
            </w:r>
          </w:p>
          <w:p w14:paraId="0BF8CA93" w14:textId="77777777" w:rsidR="00B34530" w:rsidRPr="00103DBC" w:rsidRDefault="00B34530" w:rsidP="00B34530">
            <w:pPr>
              <w:pStyle w:val="ListParagraph"/>
              <w:numPr>
                <w:ilvl w:val="0"/>
                <w:numId w:val="17"/>
              </w:numPr>
            </w:pPr>
            <w:r w:rsidRPr="00103DBC">
              <w:t>03 Students who are undertaking full (at least 16 hours per week) or part-time (less than 16 hours per week) education or training and who are not working or actively seeking work</w:t>
            </w:r>
          </w:p>
          <w:p w14:paraId="62801023" w14:textId="77777777" w:rsidR="00B34530" w:rsidRPr="00103DBC" w:rsidRDefault="00B34530" w:rsidP="00B34530">
            <w:pPr>
              <w:pStyle w:val="ListParagraph"/>
              <w:numPr>
                <w:ilvl w:val="0"/>
                <w:numId w:val="17"/>
              </w:numPr>
            </w:pPr>
            <w:r w:rsidRPr="00103DBC">
              <w:lastRenderedPageBreak/>
              <w:t xml:space="preserve">04 Long-term sick or disabled, those who are receiving Incapacity Benefit, Income Support or </w:t>
            </w:r>
            <w:proofErr w:type="gramStart"/>
            <w:r w:rsidRPr="00103DBC">
              <w:t>both;</w:t>
            </w:r>
            <w:proofErr w:type="gramEnd"/>
            <w:r w:rsidRPr="00103DBC">
              <w:t xml:space="preserve"> or Employment and Support Allowance</w:t>
            </w:r>
          </w:p>
          <w:p w14:paraId="65F80B65" w14:textId="77777777" w:rsidR="00B34530" w:rsidRPr="00103DBC" w:rsidRDefault="00B34530" w:rsidP="00B34530">
            <w:pPr>
              <w:pStyle w:val="ListParagraph"/>
              <w:numPr>
                <w:ilvl w:val="0"/>
                <w:numId w:val="17"/>
              </w:numPr>
            </w:pPr>
            <w:r w:rsidRPr="00103DBC">
              <w:t>05 Homemaker looking after the family or home and who are not working or actively seeking work</w:t>
            </w:r>
          </w:p>
          <w:p w14:paraId="77DA051E" w14:textId="77777777" w:rsidR="00B34530" w:rsidRPr="00103DBC" w:rsidRDefault="00B34530" w:rsidP="00B34530">
            <w:pPr>
              <w:pStyle w:val="ListParagraph"/>
              <w:numPr>
                <w:ilvl w:val="0"/>
                <w:numId w:val="17"/>
              </w:numPr>
            </w:pPr>
            <w:r w:rsidRPr="00103DBC">
              <w:t>06 Not receiving benefits and who are not working or actively seeking work</w:t>
            </w:r>
          </w:p>
          <w:p w14:paraId="02035187" w14:textId="77777777" w:rsidR="00B34530" w:rsidRPr="00103DBC" w:rsidRDefault="00B34530" w:rsidP="00B34530">
            <w:pPr>
              <w:pStyle w:val="ListParagraph"/>
              <w:numPr>
                <w:ilvl w:val="0"/>
                <w:numId w:val="17"/>
              </w:numPr>
            </w:pPr>
            <w:r w:rsidRPr="00103DBC">
              <w:t>07 Unpaid voluntary work who are not working or actively seeking work</w:t>
            </w:r>
          </w:p>
          <w:p w14:paraId="545B64CF" w14:textId="77777777" w:rsidR="00B34530" w:rsidRPr="00103DBC" w:rsidRDefault="00B34530" w:rsidP="00B34530">
            <w:pPr>
              <w:pStyle w:val="ListParagraph"/>
              <w:numPr>
                <w:ilvl w:val="0"/>
                <w:numId w:val="17"/>
              </w:numPr>
            </w:pPr>
            <w:r w:rsidRPr="00103DBC">
              <w:t>08 Retired</w:t>
            </w:r>
          </w:p>
          <w:p w14:paraId="51373EF4" w14:textId="77777777" w:rsidR="00B34530" w:rsidRPr="00103DBC" w:rsidRDefault="00B34530" w:rsidP="00B34530">
            <w:pPr>
              <w:pStyle w:val="ListParagraph"/>
              <w:numPr>
                <w:ilvl w:val="0"/>
                <w:numId w:val="17"/>
              </w:numPr>
            </w:pPr>
            <w:r w:rsidRPr="00103DBC">
              <w:t xml:space="preserve">ZZ Not Stated (person asked but declined to provide a response) </w:t>
            </w:r>
          </w:p>
          <w:p w14:paraId="4F76FABF" w14:textId="77777777" w:rsidR="00B34530" w:rsidRPr="00103DBC" w:rsidRDefault="00B34530" w:rsidP="00B34530"/>
          <w:p w14:paraId="227E3EA4" w14:textId="77777777" w:rsidR="00B34530" w:rsidRPr="00103DBC" w:rsidRDefault="00B34530" w:rsidP="00B34530">
            <w:r w:rsidRPr="00103DBC">
              <w:t>Paid employment for this indicator is 01.  In employment means either an employee, self-employed, on Government employment &amp; training programmes, or an unpaid family worker (in a family owned business) (this is the International Labour Organization definition of basic economic activity).</w:t>
            </w:r>
          </w:p>
          <w:p w14:paraId="6035D778" w14:textId="77777777" w:rsidR="00B34530" w:rsidRPr="00103DBC" w:rsidRDefault="00B34530" w:rsidP="00B34530"/>
        </w:tc>
      </w:tr>
      <w:tr w:rsidR="00B34530" w:rsidRPr="00103DBC" w14:paraId="0B335021" w14:textId="77777777" w:rsidTr="00B34530">
        <w:trPr>
          <w:trHeight w:val="819"/>
        </w:trPr>
        <w:tc>
          <w:tcPr>
            <w:tcW w:w="2125" w:type="dxa"/>
          </w:tcPr>
          <w:p w14:paraId="3C2361AB" w14:textId="5FD74B31" w:rsidR="00B34530" w:rsidRPr="00103DBC" w:rsidRDefault="00B34530" w:rsidP="00B34530">
            <w:r w:rsidRPr="00BD577A">
              <w:lastRenderedPageBreak/>
              <w:t>Construction</w:t>
            </w:r>
          </w:p>
        </w:tc>
        <w:tc>
          <w:tcPr>
            <w:tcW w:w="7798" w:type="dxa"/>
          </w:tcPr>
          <w:p w14:paraId="3466B90F" w14:textId="77777777" w:rsidR="00B34530" w:rsidRPr="00103DBC" w:rsidRDefault="00B34530" w:rsidP="00B34530">
            <w:pPr>
              <w:rPr>
                <w:b/>
                <w:i/>
              </w:rPr>
            </w:pPr>
            <w:r w:rsidRPr="00103DBC">
              <w:rPr>
                <w:b/>
                <w:i/>
              </w:rPr>
              <w:t>Statistical Methods / Risk adjustment variables:</w:t>
            </w:r>
          </w:p>
          <w:p w14:paraId="63D6496B" w14:textId="77777777" w:rsidR="00B34530" w:rsidRPr="00103DBC" w:rsidRDefault="00B34530" w:rsidP="00B34530">
            <w:r w:rsidRPr="00103DBC">
              <w:t>The data are not standardised.  The most obvious factor to standardise by is a measure of the strength of the local labour market, as measured by local employment rates.  However, it is not possible to produce employment statistics at CCG level.</w:t>
            </w:r>
          </w:p>
          <w:p w14:paraId="2ECB66F6" w14:textId="77777777" w:rsidR="00B34530" w:rsidRPr="00103DBC" w:rsidRDefault="00B34530" w:rsidP="00B34530"/>
          <w:p w14:paraId="4C39C415" w14:textId="77777777" w:rsidR="00B34530" w:rsidRPr="00103DBC" w:rsidRDefault="00B34530" w:rsidP="00B34530">
            <w:r w:rsidRPr="00103DBC">
              <w:t>Confidence intervals are calculated using the Wilson Score method, as specified in “Commonly used public health statistics and their confidence intervals” (APHO, March 2008).</w:t>
            </w:r>
          </w:p>
          <w:p w14:paraId="5F2435DD" w14:textId="77777777" w:rsidR="00B34530" w:rsidRPr="00103DBC" w:rsidRDefault="00B34530" w:rsidP="00B34530">
            <w:pPr>
              <w:rPr>
                <w:b/>
              </w:rPr>
            </w:pPr>
          </w:p>
        </w:tc>
      </w:tr>
      <w:tr w:rsidR="00B34530" w:rsidRPr="00103DBC" w14:paraId="4568B229" w14:textId="77777777" w:rsidTr="00B34530">
        <w:trPr>
          <w:trHeight w:val="819"/>
        </w:trPr>
        <w:tc>
          <w:tcPr>
            <w:tcW w:w="2125" w:type="dxa"/>
          </w:tcPr>
          <w:p w14:paraId="4A95CA98" w14:textId="616C88FD" w:rsidR="00B34530" w:rsidRPr="00103DBC" w:rsidRDefault="00B34530" w:rsidP="00B34530">
            <w:r w:rsidRPr="00BD577A">
              <w:t>Construction</w:t>
            </w:r>
          </w:p>
        </w:tc>
        <w:tc>
          <w:tcPr>
            <w:tcW w:w="7798" w:type="dxa"/>
          </w:tcPr>
          <w:p w14:paraId="6F8A036E" w14:textId="77777777" w:rsidR="00B34530" w:rsidRPr="00103DBC" w:rsidRDefault="00B34530" w:rsidP="00B34530">
            <w:pPr>
              <w:rPr>
                <w:b/>
                <w:i/>
              </w:rPr>
            </w:pPr>
            <w:r w:rsidRPr="00103DBC">
              <w:rPr>
                <w:b/>
                <w:i/>
              </w:rPr>
              <w:t>Other (Quality assurance/interpretation/known limitations):</w:t>
            </w:r>
          </w:p>
          <w:p w14:paraId="1CB2877A" w14:textId="77777777" w:rsidR="00B34530" w:rsidRPr="00103DBC" w:rsidRDefault="00B34530" w:rsidP="00B34530">
            <w:r w:rsidRPr="00103DBC">
              <w:t xml:space="preserve">Data Quality Measures for MHMDS v4.1, indicating acceptable values that can be input to data collection systems, are highlighted in: </w:t>
            </w:r>
            <w:hyperlink r:id="rId14" w:history="1">
              <w:r w:rsidRPr="00103DBC">
                <w:rPr>
                  <w:rStyle w:val="Hyperlink"/>
                  <w:color w:val="auto"/>
                </w:rPr>
                <w:t>http://www.hscic.gov.uk/media/10994/MHMDS-Appx-3-Data-Quality-Measures/xls/Appendix_3_-_MHMDS_v4.1_Data_Quality_Measures.xls</w:t>
              </w:r>
            </w:hyperlink>
          </w:p>
          <w:p w14:paraId="0804182F" w14:textId="77777777" w:rsidR="00B34530" w:rsidRPr="00103DBC" w:rsidRDefault="00B34530" w:rsidP="00B34530"/>
          <w:p w14:paraId="202073C8" w14:textId="77777777" w:rsidR="00B34530" w:rsidRPr="00103DBC" w:rsidRDefault="00B34530" w:rsidP="00B34530">
            <w:r w:rsidRPr="00103DBC">
              <w:t>A high rate is desirable.  The employment rate of adults receiving secondary mental health services could be compared with the employment rate of the general population, in order to see whether the indicator is particularly low, although this is not available at CCG level.  In most cases it should be possible to compare with associated local authorities.</w:t>
            </w:r>
          </w:p>
          <w:p w14:paraId="180675AF" w14:textId="77777777" w:rsidR="00B34530" w:rsidRPr="00103DBC" w:rsidRDefault="00B34530" w:rsidP="00B34530"/>
          <w:p w14:paraId="4ADD6CA0" w14:textId="77777777" w:rsidR="00B34530" w:rsidRPr="00103DBC" w:rsidRDefault="00B34530" w:rsidP="00B34530">
            <w:r w:rsidRPr="00103DBC">
              <w:t>This indicator only considers those patients in contact with secondary mental health services.  This is not likely to be all people with a long-term mental health condition; for example, people only ever seen in primary care are not included.</w:t>
            </w:r>
          </w:p>
          <w:p w14:paraId="2B9D1CDA" w14:textId="77777777" w:rsidR="00B34530" w:rsidRPr="00103DBC" w:rsidRDefault="00B34530" w:rsidP="00B34530"/>
        </w:tc>
      </w:tr>
      <w:tr w:rsidR="00B34530" w:rsidRPr="00103DBC" w14:paraId="682EB29F" w14:textId="77777777" w:rsidTr="00B34530">
        <w:tc>
          <w:tcPr>
            <w:tcW w:w="2125" w:type="dxa"/>
          </w:tcPr>
          <w:p w14:paraId="5C879600" w14:textId="77777777" w:rsidR="00B34530" w:rsidRPr="00103DBC" w:rsidRDefault="00B34530" w:rsidP="00B34530">
            <w:r w:rsidRPr="00103DBC">
              <w:t>Potential Issues</w:t>
            </w:r>
          </w:p>
          <w:p w14:paraId="5892664D" w14:textId="77777777" w:rsidR="00B34530" w:rsidRPr="00103DBC" w:rsidRDefault="00B34530" w:rsidP="00B34530">
            <w:r w:rsidRPr="00103DBC">
              <w:t>Highlight any of the following that apply</w:t>
            </w:r>
          </w:p>
          <w:p w14:paraId="036B6BD2" w14:textId="77777777" w:rsidR="00B34530" w:rsidRPr="00103DBC" w:rsidRDefault="00B34530" w:rsidP="00B34530">
            <w:r w:rsidRPr="00103DBC">
              <w:t>-data source(s) do not collect 100% of events</w:t>
            </w:r>
          </w:p>
          <w:p w14:paraId="4B141494" w14:textId="77777777" w:rsidR="00B34530" w:rsidRPr="00103DBC" w:rsidRDefault="00B34530" w:rsidP="00B34530">
            <w:r w:rsidRPr="00103DBC">
              <w:t>-data source(s) organisation or geographic coverage shortfalls</w:t>
            </w:r>
          </w:p>
          <w:p w14:paraId="5C6661EF" w14:textId="77777777" w:rsidR="00B34530" w:rsidRPr="00103DBC" w:rsidRDefault="00B34530" w:rsidP="00B34530">
            <w:r w:rsidRPr="00103DBC">
              <w:lastRenderedPageBreak/>
              <w:t>-codes or filters not matching the policy question</w:t>
            </w:r>
          </w:p>
          <w:p w14:paraId="5EC7E471" w14:textId="77777777" w:rsidR="00B34530" w:rsidRPr="00103DBC" w:rsidRDefault="00B34530" w:rsidP="00B34530">
            <w:r w:rsidRPr="00103DBC">
              <w:t>-data source(s) definitions not meeting policy question</w:t>
            </w:r>
          </w:p>
          <w:p w14:paraId="35939BFE" w14:textId="77777777" w:rsidR="00B34530" w:rsidRPr="00103DBC" w:rsidRDefault="00B34530" w:rsidP="00B34530">
            <w:r w:rsidRPr="00103DBC">
              <w:t>-data source(s) quality problems or inconsistency of reporting</w:t>
            </w:r>
          </w:p>
          <w:p w14:paraId="7AD42A0C" w14:textId="77777777" w:rsidR="00B34530" w:rsidRPr="00103DBC" w:rsidRDefault="00B34530" w:rsidP="00B34530">
            <w:r w:rsidRPr="00103DBC">
              <w:t>-statistical methods not appropriate for test or audience</w:t>
            </w:r>
          </w:p>
          <w:p w14:paraId="385E1934" w14:textId="77777777" w:rsidR="00B34530" w:rsidRPr="00103DBC" w:rsidRDefault="00B34530" w:rsidP="00B34530">
            <w:r w:rsidRPr="00103DBC">
              <w:t>-risk adjustment not considered</w:t>
            </w:r>
          </w:p>
          <w:p w14:paraId="0CF9A9B3" w14:textId="77777777" w:rsidR="00B34530" w:rsidRPr="00103DBC" w:rsidRDefault="00B34530" w:rsidP="00B34530">
            <w:r w:rsidRPr="00103DBC">
              <w:t>-long term security of the data source(s)</w:t>
            </w:r>
          </w:p>
          <w:p w14:paraId="60EFE848" w14:textId="77777777" w:rsidR="00B34530" w:rsidRPr="00103DBC" w:rsidRDefault="00B34530" w:rsidP="00B34530">
            <w:r w:rsidRPr="00103DBC">
              <w:t>-timing of data availability for use in indicator</w:t>
            </w:r>
          </w:p>
          <w:p w14:paraId="6EAEEB18" w14:textId="77777777" w:rsidR="00B34530" w:rsidRPr="00103DBC" w:rsidRDefault="00B34530" w:rsidP="00B34530">
            <w:r w:rsidRPr="00103DBC">
              <w:t>presentation of data likely to mislead or give false confidence in findings</w:t>
            </w:r>
          </w:p>
          <w:p w14:paraId="477DE8DC" w14:textId="77777777" w:rsidR="00B34530" w:rsidRPr="00103DBC" w:rsidRDefault="00B34530" w:rsidP="00B34530"/>
        </w:tc>
        <w:tc>
          <w:tcPr>
            <w:tcW w:w="7798" w:type="dxa"/>
          </w:tcPr>
          <w:p w14:paraId="445B248D" w14:textId="77777777" w:rsidR="00B34530" w:rsidRPr="00103DBC" w:rsidRDefault="00B34530" w:rsidP="00B34530">
            <w:r w:rsidRPr="00103DBC">
              <w:lastRenderedPageBreak/>
              <w:t>The completeness of employment status within MHMDS is around 92% (June 2013).  Those with an invalid or missing code for employment status are included in the denominator but not in the numerator.</w:t>
            </w:r>
          </w:p>
          <w:p w14:paraId="77960CE3" w14:textId="77777777" w:rsidR="00B34530" w:rsidRPr="00103DBC" w:rsidRDefault="00B34530" w:rsidP="00B34530"/>
          <w:p w14:paraId="52794E3C" w14:textId="77777777" w:rsidR="00B34530" w:rsidRPr="00103DBC" w:rsidRDefault="00B34530" w:rsidP="00B34530">
            <w:r w:rsidRPr="00103DBC">
              <w:t xml:space="preserve">The assignment of a CCG to a patient will be based on GP or practice code where possible and if not, then on the patient’s home postcode.  Where the patient’s practice and postcode are both unavailable, the responsible CCG is derived from the location of the hospital or trust.  As the numerator is a subset of the denominator, the same method will be used for any </w:t>
            </w:r>
            <w:proofErr w:type="gramStart"/>
            <w:r w:rsidRPr="00103DBC">
              <w:t>particular patient</w:t>
            </w:r>
            <w:proofErr w:type="gramEnd"/>
            <w:r w:rsidRPr="00103DBC">
              <w:t xml:space="preserve">.  </w:t>
            </w:r>
            <w:r w:rsidRPr="00103DBC">
              <w:lastRenderedPageBreak/>
              <w:t>A valid practice code is present in more than 98% of records in MHMDS (June 2013).</w:t>
            </w:r>
          </w:p>
          <w:p w14:paraId="12BB31AF" w14:textId="77777777" w:rsidR="00B34530" w:rsidRPr="00103DBC" w:rsidRDefault="00B34530" w:rsidP="00B34530"/>
          <w:p w14:paraId="326DD0E7" w14:textId="77777777" w:rsidR="00B34530" w:rsidRPr="00103DBC" w:rsidRDefault="00B34530" w:rsidP="00B34530">
            <w:r w:rsidRPr="00103DBC">
              <w:t>This indicator may be influenced by the willingness of people with long-term mental health conditions to work.  This is likely to be affected by changes to financial incentives (including those implicit in the benefit system).  It is not possible to standardise for this variable although its effects are likely to be similar within the general population.</w:t>
            </w:r>
          </w:p>
          <w:p w14:paraId="39F40EF3" w14:textId="77777777" w:rsidR="00B34530" w:rsidRPr="00103DBC" w:rsidRDefault="00B34530" w:rsidP="00B34530"/>
          <w:p w14:paraId="62EE62BB" w14:textId="77777777" w:rsidR="00B34530" w:rsidRPr="00103DBC" w:rsidRDefault="00B34530" w:rsidP="00B34530">
            <w:r w:rsidRPr="00103DBC">
              <w:t xml:space="preserve">Employment rates for people with long-term mental health conditions will be affected by </w:t>
            </w:r>
            <w:proofErr w:type="gramStart"/>
            <w:r w:rsidRPr="00103DBC">
              <w:t>a number of</w:t>
            </w:r>
            <w:proofErr w:type="gramEnd"/>
            <w:r w:rsidRPr="00103DBC">
              <w:t xml:space="preserve"> factors outside the control of the NHS, particularly the general level of employment in the local area.  Other factors that could be </w:t>
            </w:r>
            <w:proofErr w:type="gramStart"/>
            <w:r w:rsidRPr="00103DBC">
              <w:t>taken into account</w:t>
            </w:r>
            <w:proofErr w:type="gramEnd"/>
            <w:r w:rsidRPr="00103DBC">
              <w:t xml:space="preserve"> when considering CCG influence on employment include the stage or severity of serious mental illness.  Changes in severity could result from the quality of care, as this may affect the progress of a disease.  However, they may also be caused by changes in the size of the affected population, due to either earlier diagnosis of conditions or people surviving longer.</w:t>
            </w:r>
          </w:p>
          <w:p w14:paraId="6E4E93B2" w14:textId="77777777" w:rsidR="00B34530" w:rsidRPr="00103DBC" w:rsidRDefault="00B34530" w:rsidP="00B34530"/>
          <w:p w14:paraId="578505DB" w14:textId="77777777" w:rsidR="00B34530" w:rsidRPr="00103DBC" w:rsidRDefault="00B34530" w:rsidP="00B34530">
            <w:r w:rsidRPr="00103DBC">
              <w:t>It is not currently possible to produce employment statistics for the whole population at CCG level, so it is not possible to provide this as a direct comparison.</w:t>
            </w:r>
          </w:p>
          <w:p w14:paraId="253E7582" w14:textId="77777777" w:rsidR="00B34530" w:rsidRPr="00103DBC" w:rsidRDefault="00B34530" w:rsidP="00B34530"/>
        </w:tc>
      </w:tr>
      <w:tr w:rsidR="00B34530" w:rsidRPr="00103DBC" w14:paraId="16576C64" w14:textId="77777777" w:rsidTr="00B34530">
        <w:tc>
          <w:tcPr>
            <w:tcW w:w="2125" w:type="dxa"/>
          </w:tcPr>
          <w:p w14:paraId="62877904" w14:textId="77777777" w:rsidR="00B34530" w:rsidRPr="00103DBC" w:rsidRDefault="00B34530" w:rsidP="00B34530">
            <w:r w:rsidRPr="00103DBC">
              <w:lastRenderedPageBreak/>
              <w:t>Supporting Documents</w:t>
            </w:r>
          </w:p>
          <w:p w14:paraId="023A86F1" w14:textId="77777777" w:rsidR="00B34530" w:rsidRPr="00103DBC" w:rsidRDefault="00B34530" w:rsidP="00B34530">
            <w:r w:rsidRPr="00103DBC">
              <w:t>Provide links to any additional documentation used to support discussion at MRG</w:t>
            </w:r>
          </w:p>
          <w:p w14:paraId="1A578207" w14:textId="77777777" w:rsidR="00B34530" w:rsidRPr="00103DBC" w:rsidRDefault="00B34530" w:rsidP="00B34530"/>
        </w:tc>
        <w:tc>
          <w:tcPr>
            <w:tcW w:w="7798" w:type="dxa"/>
          </w:tcPr>
          <w:p w14:paraId="2A23FC0C" w14:textId="77777777" w:rsidR="00B34530" w:rsidRPr="00103DBC" w:rsidRDefault="00B34530" w:rsidP="00B34530">
            <w:r w:rsidRPr="00103DBC">
              <w:t xml:space="preserve">Is work good for your health &amp; well-being? – Gordon Waddell and Kim Burton (2006) </w:t>
            </w:r>
            <w:hyperlink r:id="rId15" w:history="1">
              <w:r w:rsidRPr="00103DBC">
                <w:rPr>
                  <w:rStyle w:val="Hyperlink"/>
                  <w:color w:val="auto"/>
                </w:rPr>
                <w:t>https://www.gov.uk/government/uploads/system/uploads/attachment_data/file/214326/hwwb-is-work-good-for-you.pdf</w:t>
              </w:r>
            </w:hyperlink>
          </w:p>
          <w:p w14:paraId="41891700" w14:textId="77777777" w:rsidR="00B34530" w:rsidRPr="00103DBC" w:rsidRDefault="00B34530" w:rsidP="00B34530"/>
          <w:p w14:paraId="43442F25" w14:textId="77777777" w:rsidR="00B34530" w:rsidRPr="00103DBC" w:rsidRDefault="00B34530" w:rsidP="00B34530">
            <w:r w:rsidRPr="00103DBC">
              <w:t>PH22 Promoting mental wellbeing at work – Guidance for employers on promoting mental wellbeing through productive and healthy working conditions (Public health guidance, PH22, November 2009)</w:t>
            </w:r>
          </w:p>
          <w:p w14:paraId="29D1779C" w14:textId="77777777" w:rsidR="00B34530" w:rsidRPr="00103DBC" w:rsidRDefault="00D41F0B" w:rsidP="00B34530">
            <w:hyperlink r:id="rId16" w:history="1">
              <w:r w:rsidR="00B34530" w:rsidRPr="00103DBC">
                <w:rPr>
                  <w:rStyle w:val="Hyperlink"/>
                  <w:color w:val="auto"/>
                </w:rPr>
                <w:t>http://www.nice.org.uk/PH22</w:t>
              </w:r>
            </w:hyperlink>
          </w:p>
          <w:p w14:paraId="63E654FD" w14:textId="77777777" w:rsidR="00B34530" w:rsidRPr="00103DBC" w:rsidRDefault="00B34530" w:rsidP="00B34530"/>
        </w:tc>
      </w:tr>
    </w:tbl>
    <w:p w14:paraId="2F816EBD" w14:textId="77777777" w:rsidR="00B34530" w:rsidRDefault="00B34530"/>
    <w:p w14:paraId="4CBB6EBA" w14:textId="77777777" w:rsidR="00A854FD" w:rsidRDefault="00A854FD">
      <w:r>
        <w:br w:type="page"/>
      </w:r>
    </w:p>
    <w:p w14:paraId="0EBDAA4E" w14:textId="54AEB0A4" w:rsidR="00A854FD" w:rsidRPr="00103DBC" w:rsidRDefault="00B34530" w:rsidP="00A854FD">
      <w:r w:rsidRPr="00103DBC">
        <w:lastRenderedPageBreak/>
        <w:t>Additional Information / Sample Data</w:t>
      </w:r>
      <w:r w:rsidR="00A854FD">
        <w:t xml:space="preserve"> - </w:t>
      </w:r>
      <w:r w:rsidR="00A854FD" w:rsidRPr="00103DBC">
        <w:t>Note that this sample data is for June 2013, although it is proposed to produce the indicator quarterly.</w:t>
      </w:r>
    </w:p>
    <w:p w14:paraId="138221C1" w14:textId="1E9A3984" w:rsidR="00B34530" w:rsidRPr="00103DBC" w:rsidRDefault="00B34530" w:rsidP="00B34530"/>
    <w:tbl>
      <w:tblPr>
        <w:tblStyle w:val="TableGrid"/>
        <w:tblW w:w="8680" w:type="dxa"/>
        <w:tblLayout w:type="fixed"/>
        <w:tblLook w:val="04A0" w:firstRow="1" w:lastRow="0" w:firstColumn="1" w:lastColumn="0" w:noHBand="0" w:noVBand="1"/>
      </w:tblPr>
      <w:tblGrid>
        <w:gridCol w:w="1270"/>
        <w:gridCol w:w="2028"/>
        <w:gridCol w:w="2179"/>
        <w:gridCol w:w="960"/>
        <w:gridCol w:w="1120"/>
        <w:gridCol w:w="1123"/>
      </w:tblGrid>
      <w:tr w:rsidR="00A854FD" w:rsidRPr="00103DBC" w14:paraId="45D2FCBA" w14:textId="77777777" w:rsidTr="00906133">
        <w:trPr>
          <w:trHeight w:val="1800"/>
        </w:trPr>
        <w:tc>
          <w:tcPr>
            <w:tcW w:w="1271" w:type="dxa"/>
            <w:hideMark/>
          </w:tcPr>
          <w:p w14:paraId="59D37EB4" w14:textId="3067D9EA" w:rsidR="00A854FD" w:rsidRPr="00103DBC" w:rsidRDefault="00A854FD" w:rsidP="00DD3C37">
            <w:pPr>
              <w:rPr>
                <w:b/>
                <w:bCs/>
              </w:rPr>
            </w:pPr>
            <w:r>
              <w:br w:type="page"/>
            </w:r>
            <w:r w:rsidRPr="00103DBC">
              <w:rPr>
                <w:b/>
                <w:bCs/>
              </w:rPr>
              <w:t>June 2013</w:t>
            </w:r>
          </w:p>
        </w:tc>
        <w:tc>
          <w:tcPr>
            <w:tcW w:w="2029" w:type="dxa"/>
            <w:hideMark/>
          </w:tcPr>
          <w:p w14:paraId="21B0A2BF" w14:textId="77777777" w:rsidR="00A854FD" w:rsidRPr="00103DBC" w:rsidRDefault="00A854FD" w:rsidP="00DD3C37">
            <w:pPr>
              <w:jc w:val="right"/>
              <w:rPr>
                <w:b/>
                <w:bCs/>
              </w:rPr>
            </w:pPr>
            <w:r w:rsidRPr="00103DBC">
              <w:rPr>
                <w:b/>
                <w:bCs/>
              </w:rPr>
              <w:t>The number of working age adults aged 18 to 69 who have received secondary mental health services</w:t>
            </w:r>
          </w:p>
        </w:tc>
        <w:tc>
          <w:tcPr>
            <w:tcW w:w="2180" w:type="dxa"/>
            <w:hideMark/>
          </w:tcPr>
          <w:p w14:paraId="10604DAF" w14:textId="77777777" w:rsidR="00A854FD" w:rsidRPr="00103DBC" w:rsidRDefault="00A854FD" w:rsidP="00DD3C37">
            <w:pPr>
              <w:jc w:val="right"/>
              <w:rPr>
                <w:b/>
                <w:bCs/>
              </w:rPr>
            </w:pPr>
            <w:r w:rsidRPr="00103DBC">
              <w:rPr>
                <w:b/>
                <w:bCs/>
              </w:rPr>
              <w:t>Of people in the denominator, the number recorded as being in employment.</w:t>
            </w:r>
          </w:p>
        </w:tc>
        <w:tc>
          <w:tcPr>
            <w:tcW w:w="960" w:type="dxa"/>
            <w:hideMark/>
          </w:tcPr>
          <w:p w14:paraId="5990F350" w14:textId="77777777" w:rsidR="00A854FD" w:rsidRPr="00103DBC" w:rsidRDefault="00A854FD" w:rsidP="00DD3C37">
            <w:pPr>
              <w:rPr>
                <w:b/>
                <w:bCs/>
              </w:rPr>
            </w:pPr>
          </w:p>
        </w:tc>
        <w:tc>
          <w:tcPr>
            <w:tcW w:w="1120" w:type="dxa"/>
            <w:hideMark/>
          </w:tcPr>
          <w:p w14:paraId="30FF3D6D" w14:textId="53328895" w:rsidR="00A854FD" w:rsidRPr="00103DBC" w:rsidRDefault="00A854FD" w:rsidP="00DD3C37">
            <w:pPr>
              <w:jc w:val="center"/>
              <w:rPr>
                <w:b/>
                <w:bCs/>
              </w:rPr>
            </w:pPr>
          </w:p>
        </w:tc>
        <w:tc>
          <w:tcPr>
            <w:tcW w:w="1120" w:type="dxa"/>
          </w:tcPr>
          <w:p w14:paraId="28D31B81" w14:textId="1CACECA5" w:rsidR="00A854FD" w:rsidRPr="00103DBC" w:rsidRDefault="00A854FD" w:rsidP="00DD3C37">
            <w:pPr>
              <w:jc w:val="center"/>
              <w:rPr>
                <w:b/>
                <w:bCs/>
              </w:rPr>
            </w:pPr>
          </w:p>
        </w:tc>
      </w:tr>
      <w:tr w:rsidR="00B34530" w:rsidRPr="00103DBC" w14:paraId="0EBDC12D" w14:textId="77777777" w:rsidTr="00A854FD">
        <w:trPr>
          <w:trHeight w:val="300"/>
        </w:trPr>
        <w:tc>
          <w:tcPr>
            <w:tcW w:w="1271" w:type="dxa"/>
            <w:noWrap/>
            <w:hideMark/>
          </w:tcPr>
          <w:p w14:paraId="4A3655BE" w14:textId="77777777" w:rsidR="00B34530" w:rsidRPr="00103DBC" w:rsidRDefault="00B34530" w:rsidP="00DD3C37">
            <w:pPr>
              <w:rPr>
                <w:b/>
                <w:bCs/>
              </w:rPr>
            </w:pPr>
            <w:r w:rsidRPr="00103DBC">
              <w:rPr>
                <w:b/>
                <w:bCs/>
              </w:rPr>
              <w:t>CCG Code</w:t>
            </w:r>
          </w:p>
        </w:tc>
        <w:tc>
          <w:tcPr>
            <w:tcW w:w="2029" w:type="dxa"/>
            <w:noWrap/>
            <w:hideMark/>
          </w:tcPr>
          <w:p w14:paraId="218442A0" w14:textId="77777777" w:rsidR="00B34530" w:rsidRPr="00103DBC" w:rsidRDefault="00B34530" w:rsidP="00DD3C37">
            <w:pPr>
              <w:jc w:val="right"/>
              <w:rPr>
                <w:b/>
                <w:bCs/>
              </w:rPr>
            </w:pPr>
            <w:r w:rsidRPr="00103DBC">
              <w:rPr>
                <w:b/>
                <w:bCs/>
              </w:rPr>
              <w:t>Denominator</w:t>
            </w:r>
          </w:p>
        </w:tc>
        <w:tc>
          <w:tcPr>
            <w:tcW w:w="2180" w:type="dxa"/>
            <w:noWrap/>
            <w:hideMark/>
          </w:tcPr>
          <w:p w14:paraId="69FCBD7A" w14:textId="77777777" w:rsidR="00B34530" w:rsidRPr="00103DBC" w:rsidRDefault="00B34530" w:rsidP="00DD3C37">
            <w:pPr>
              <w:jc w:val="right"/>
              <w:rPr>
                <w:b/>
                <w:bCs/>
              </w:rPr>
            </w:pPr>
            <w:r w:rsidRPr="00103DBC">
              <w:rPr>
                <w:b/>
                <w:bCs/>
              </w:rPr>
              <w:t>Numerator</w:t>
            </w:r>
          </w:p>
        </w:tc>
        <w:tc>
          <w:tcPr>
            <w:tcW w:w="960" w:type="dxa"/>
            <w:noWrap/>
            <w:hideMark/>
          </w:tcPr>
          <w:p w14:paraId="1FFDEADB" w14:textId="77777777" w:rsidR="00B34530" w:rsidRPr="00103DBC" w:rsidRDefault="00B34530" w:rsidP="00DD3C37">
            <w:pPr>
              <w:jc w:val="right"/>
              <w:rPr>
                <w:b/>
                <w:bCs/>
              </w:rPr>
            </w:pPr>
            <w:r w:rsidRPr="00103DBC">
              <w:rPr>
                <w:b/>
                <w:bCs/>
              </w:rPr>
              <w:t>%</w:t>
            </w:r>
          </w:p>
        </w:tc>
        <w:tc>
          <w:tcPr>
            <w:tcW w:w="1117" w:type="dxa"/>
            <w:noWrap/>
            <w:hideMark/>
          </w:tcPr>
          <w:p w14:paraId="6B279EDC" w14:textId="77777777" w:rsidR="00B34530" w:rsidRPr="00103DBC" w:rsidRDefault="00B34530" w:rsidP="00DD3C37">
            <w:pPr>
              <w:jc w:val="right"/>
              <w:rPr>
                <w:b/>
                <w:bCs/>
              </w:rPr>
            </w:pPr>
            <w:r w:rsidRPr="00103DBC">
              <w:rPr>
                <w:b/>
                <w:bCs/>
              </w:rPr>
              <w:t>Lower CI</w:t>
            </w:r>
          </w:p>
        </w:tc>
        <w:tc>
          <w:tcPr>
            <w:tcW w:w="1123" w:type="dxa"/>
            <w:noWrap/>
            <w:hideMark/>
          </w:tcPr>
          <w:p w14:paraId="6A064CD0" w14:textId="77777777" w:rsidR="00B34530" w:rsidRPr="00103DBC" w:rsidRDefault="00B34530" w:rsidP="00DD3C37">
            <w:pPr>
              <w:jc w:val="right"/>
              <w:rPr>
                <w:b/>
                <w:bCs/>
              </w:rPr>
            </w:pPr>
            <w:r w:rsidRPr="00103DBC">
              <w:rPr>
                <w:b/>
                <w:bCs/>
              </w:rPr>
              <w:t>Upper CI</w:t>
            </w:r>
          </w:p>
        </w:tc>
      </w:tr>
      <w:tr w:rsidR="00B34530" w:rsidRPr="00103DBC" w14:paraId="59C7B88E" w14:textId="77777777" w:rsidTr="00A854FD">
        <w:trPr>
          <w:trHeight w:val="300"/>
        </w:trPr>
        <w:tc>
          <w:tcPr>
            <w:tcW w:w="1271" w:type="dxa"/>
            <w:noWrap/>
          </w:tcPr>
          <w:p w14:paraId="65C2EEE6" w14:textId="04FF42C9" w:rsidR="00B34530" w:rsidRPr="00103DBC" w:rsidRDefault="00B34530" w:rsidP="00DD3C37">
            <w:r w:rsidRPr="00103DBC">
              <w:rPr>
                <w:b/>
                <w:bCs/>
              </w:rPr>
              <w:t>Random selection</w:t>
            </w:r>
          </w:p>
        </w:tc>
        <w:tc>
          <w:tcPr>
            <w:tcW w:w="2029" w:type="dxa"/>
            <w:noWrap/>
          </w:tcPr>
          <w:p w14:paraId="0253CFB7" w14:textId="77777777" w:rsidR="00B34530" w:rsidRPr="00103DBC" w:rsidRDefault="00B34530" w:rsidP="00DD3C37">
            <w:pPr>
              <w:jc w:val="right"/>
            </w:pPr>
          </w:p>
        </w:tc>
        <w:tc>
          <w:tcPr>
            <w:tcW w:w="2180" w:type="dxa"/>
            <w:noWrap/>
          </w:tcPr>
          <w:p w14:paraId="64545102" w14:textId="77777777" w:rsidR="00B34530" w:rsidRPr="00103DBC" w:rsidRDefault="00B34530" w:rsidP="00DD3C37">
            <w:pPr>
              <w:jc w:val="right"/>
            </w:pPr>
          </w:p>
        </w:tc>
        <w:tc>
          <w:tcPr>
            <w:tcW w:w="960" w:type="dxa"/>
            <w:noWrap/>
          </w:tcPr>
          <w:p w14:paraId="11B4960B" w14:textId="77777777" w:rsidR="00B34530" w:rsidRPr="00103DBC" w:rsidRDefault="00B34530" w:rsidP="00DD3C37">
            <w:pPr>
              <w:jc w:val="right"/>
            </w:pPr>
          </w:p>
        </w:tc>
        <w:tc>
          <w:tcPr>
            <w:tcW w:w="1117" w:type="dxa"/>
            <w:noWrap/>
          </w:tcPr>
          <w:p w14:paraId="57ECE615" w14:textId="77777777" w:rsidR="00B34530" w:rsidRPr="00103DBC" w:rsidRDefault="00B34530" w:rsidP="00DD3C37">
            <w:pPr>
              <w:jc w:val="right"/>
            </w:pPr>
          </w:p>
        </w:tc>
        <w:tc>
          <w:tcPr>
            <w:tcW w:w="1123" w:type="dxa"/>
            <w:noWrap/>
          </w:tcPr>
          <w:p w14:paraId="36439569" w14:textId="77777777" w:rsidR="00B34530" w:rsidRPr="00103DBC" w:rsidRDefault="00B34530" w:rsidP="00DD3C37">
            <w:pPr>
              <w:jc w:val="right"/>
            </w:pPr>
          </w:p>
        </w:tc>
      </w:tr>
      <w:tr w:rsidR="00B34530" w:rsidRPr="00103DBC" w14:paraId="03C8F0B9" w14:textId="77777777" w:rsidTr="00A854FD">
        <w:trPr>
          <w:trHeight w:val="300"/>
        </w:trPr>
        <w:tc>
          <w:tcPr>
            <w:tcW w:w="1271" w:type="dxa"/>
            <w:noWrap/>
            <w:hideMark/>
          </w:tcPr>
          <w:p w14:paraId="09D2D5B2" w14:textId="77777777" w:rsidR="00B34530" w:rsidRPr="00103DBC" w:rsidRDefault="00B34530" w:rsidP="00DD3C37">
            <w:r w:rsidRPr="00103DBC">
              <w:t>CCG A</w:t>
            </w:r>
          </w:p>
        </w:tc>
        <w:tc>
          <w:tcPr>
            <w:tcW w:w="2029" w:type="dxa"/>
            <w:noWrap/>
            <w:hideMark/>
          </w:tcPr>
          <w:p w14:paraId="785CBCF1" w14:textId="77777777" w:rsidR="00B34530" w:rsidRPr="00103DBC" w:rsidRDefault="00B34530" w:rsidP="00DD3C37">
            <w:pPr>
              <w:jc w:val="right"/>
            </w:pPr>
            <w:r w:rsidRPr="00103DBC">
              <w:t>2904</w:t>
            </w:r>
          </w:p>
        </w:tc>
        <w:tc>
          <w:tcPr>
            <w:tcW w:w="2180" w:type="dxa"/>
            <w:noWrap/>
            <w:hideMark/>
          </w:tcPr>
          <w:p w14:paraId="18C95AFF" w14:textId="77777777" w:rsidR="00B34530" w:rsidRPr="00103DBC" w:rsidRDefault="00B34530" w:rsidP="00DD3C37">
            <w:pPr>
              <w:jc w:val="right"/>
            </w:pPr>
            <w:r w:rsidRPr="00103DBC">
              <w:t>441</w:t>
            </w:r>
          </w:p>
        </w:tc>
        <w:tc>
          <w:tcPr>
            <w:tcW w:w="960" w:type="dxa"/>
            <w:noWrap/>
            <w:hideMark/>
          </w:tcPr>
          <w:p w14:paraId="7FB49C69" w14:textId="77777777" w:rsidR="00B34530" w:rsidRPr="00103DBC" w:rsidRDefault="00B34530" w:rsidP="00DD3C37">
            <w:pPr>
              <w:jc w:val="right"/>
            </w:pPr>
            <w:r w:rsidRPr="00103DBC">
              <w:t>15.2%</w:t>
            </w:r>
          </w:p>
        </w:tc>
        <w:tc>
          <w:tcPr>
            <w:tcW w:w="1117" w:type="dxa"/>
            <w:noWrap/>
            <w:hideMark/>
          </w:tcPr>
          <w:p w14:paraId="4EE155B0" w14:textId="77777777" w:rsidR="00B34530" w:rsidRPr="00103DBC" w:rsidRDefault="00B34530" w:rsidP="00DD3C37">
            <w:pPr>
              <w:jc w:val="right"/>
            </w:pPr>
            <w:r w:rsidRPr="00103DBC">
              <w:t>13.9%</w:t>
            </w:r>
          </w:p>
        </w:tc>
        <w:tc>
          <w:tcPr>
            <w:tcW w:w="1123" w:type="dxa"/>
            <w:noWrap/>
            <w:hideMark/>
          </w:tcPr>
          <w:p w14:paraId="35A1305B" w14:textId="77777777" w:rsidR="00B34530" w:rsidRPr="00103DBC" w:rsidRDefault="00B34530" w:rsidP="00DD3C37">
            <w:pPr>
              <w:jc w:val="right"/>
            </w:pPr>
            <w:r w:rsidRPr="00103DBC">
              <w:t>16.5%</w:t>
            </w:r>
          </w:p>
        </w:tc>
      </w:tr>
      <w:tr w:rsidR="00B34530" w:rsidRPr="00103DBC" w14:paraId="67A614D0" w14:textId="77777777" w:rsidTr="00A854FD">
        <w:trPr>
          <w:trHeight w:val="300"/>
        </w:trPr>
        <w:tc>
          <w:tcPr>
            <w:tcW w:w="1271" w:type="dxa"/>
            <w:noWrap/>
            <w:hideMark/>
          </w:tcPr>
          <w:p w14:paraId="4EC79EA1" w14:textId="77777777" w:rsidR="00B34530" w:rsidRPr="00103DBC" w:rsidRDefault="00B34530" w:rsidP="00DD3C37">
            <w:r w:rsidRPr="00103DBC">
              <w:t>CCG B</w:t>
            </w:r>
          </w:p>
        </w:tc>
        <w:tc>
          <w:tcPr>
            <w:tcW w:w="2029" w:type="dxa"/>
            <w:noWrap/>
            <w:hideMark/>
          </w:tcPr>
          <w:p w14:paraId="5B1D73E2" w14:textId="77777777" w:rsidR="00B34530" w:rsidRPr="00103DBC" w:rsidRDefault="00B34530" w:rsidP="00DD3C37">
            <w:pPr>
              <w:jc w:val="right"/>
            </w:pPr>
            <w:r w:rsidRPr="00103DBC">
              <w:t>57930</w:t>
            </w:r>
          </w:p>
        </w:tc>
        <w:tc>
          <w:tcPr>
            <w:tcW w:w="2180" w:type="dxa"/>
            <w:noWrap/>
            <w:hideMark/>
          </w:tcPr>
          <w:p w14:paraId="13F38670" w14:textId="77777777" w:rsidR="00B34530" w:rsidRPr="00103DBC" w:rsidRDefault="00B34530" w:rsidP="00DD3C37">
            <w:pPr>
              <w:jc w:val="right"/>
            </w:pPr>
            <w:r w:rsidRPr="00103DBC">
              <w:t>5342</w:t>
            </w:r>
          </w:p>
        </w:tc>
        <w:tc>
          <w:tcPr>
            <w:tcW w:w="960" w:type="dxa"/>
            <w:noWrap/>
            <w:hideMark/>
          </w:tcPr>
          <w:p w14:paraId="0079284B" w14:textId="77777777" w:rsidR="00B34530" w:rsidRPr="00103DBC" w:rsidRDefault="00B34530" w:rsidP="00DD3C37">
            <w:pPr>
              <w:jc w:val="right"/>
            </w:pPr>
            <w:r w:rsidRPr="00103DBC">
              <w:t>9.2%</w:t>
            </w:r>
          </w:p>
        </w:tc>
        <w:tc>
          <w:tcPr>
            <w:tcW w:w="1117" w:type="dxa"/>
            <w:noWrap/>
            <w:hideMark/>
          </w:tcPr>
          <w:p w14:paraId="430B822A" w14:textId="77777777" w:rsidR="00B34530" w:rsidRPr="00103DBC" w:rsidRDefault="00B34530" w:rsidP="00DD3C37">
            <w:pPr>
              <w:jc w:val="right"/>
            </w:pPr>
            <w:r w:rsidRPr="00103DBC">
              <w:t>9.0%</w:t>
            </w:r>
          </w:p>
        </w:tc>
        <w:tc>
          <w:tcPr>
            <w:tcW w:w="1123" w:type="dxa"/>
            <w:noWrap/>
            <w:hideMark/>
          </w:tcPr>
          <w:p w14:paraId="2B8D5296" w14:textId="77777777" w:rsidR="00B34530" w:rsidRPr="00103DBC" w:rsidRDefault="00B34530" w:rsidP="00DD3C37">
            <w:pPr>
              <w:jc w:val="right"/>
            </w:pPr>
            <w:r w:rsidRPr="00103DBC">
              <w:t>9.5%</w:t>
            </w:r>
          </w:p>
        </w:tc>
      </w:tr>
      <w:tr w:rsidR="00B34530" w:rsidRPr="00103DBC" w14:paraId="1A38D63E" w14:textId="77777777" w:rsidTr="00A854FD">
        <w:trPr>
          <w:trHeight w:val="300"/>
        </w:trPr>
        <w:tc>
          <w:tcPr>
            <w:tcW w:w="1271" w:type="dxa"/>
            <w:noWrap/>
            <w:hideMark/>
          </w:tcPr>
          <w:p w14:paraId="697964F9" w14:textId="77777777" w:rsidR="00B34530" w:rsidRPr="00103DBC" w:rsidRDefault="00B34530" w:rsidP="00DD3C37">
            <w:r w:rsidRPr="00103DBC">
              <w:t>CCG C</w:t>
            </w:r>
          </w:p>
        </w:tc>
        <w:tc>
          <w:tcPr>
            <w:tcW w:w="2029" w:type="dxa"/>
            <w:noWrap/>
            <w:hideMark/>
          </w:tcPr>
          <w:p w14:paraId="7123967F" w14:textId="77777777" w:rsidR="00B34530" w:rsidRPr="00103DBC" w:rsidRDefault="00B34530" w:rsidP="00DD3C37">
            <w:pPr>
              <w:jc w:val="right"/>
            </w:pPr>
            <w:r w:rsidRPr="00103DBC">
              <w:t>7073</w:t>
            </w:r>
          </w:p>
        </w:tc>
        <w:tc>
          <w:tcPr>
            <w:tcW w:w="2180" w:type="dxa"/>
            <w:noWrap/>
            <w:hideMark/>
          </w:tcPr>
          <w:p w14:paraId="7D517181" w14:textId="77777777" w:rsidR="00B34530" w:rsidRPr="00103DBC" w:rsidRDefault="00B34530" w:rsidP="00DD3C37">
            <w:pPr>
              <w:jc w:val="right"/>
            </w:pPr>
            <w:r w:rsidRPr="00103DBC">
              <w:t>509</w:t>
            </w:r>
          </w:p>
        </w:tc>
        <w:tc>
          <w:tcPr>
            <w:tcW w:w="960" w:type="dxa"/>
            <w:noWrap/>
            <w:hideMark/>
          </w:tcPr>
          <w:p w14:paraId="387C6D4E" w14:textId="77777777" w:rsidR="00B34530" w:rsidRPr="00103DBC" w:rsidRDefault="00B34530" w:rsidP="00DD3C37">
            <w:pPr>
              <w:jc w:val="right"/>
            </w:pPr>
            <w:r w:rsidRPr="00103DBC">
              <w:t>7.2%</w:t>
            </w:r>
          </w:p>
        </w:tc>
        <w:tc>
          <w:tcPr>
            <w:tcW w:w="1117" w:type="dxa"/>
            <w:noWrap/>
            <w:hideMark/>
          </w:tcPr>
          <w:p w14:paraId="187A2487" w14:textId="77777777" w:rsidR="00B34530" w:rsidRPr="00103DBC" w:rsidRDefault="00B34530" w:rsidP="00DD3C37">
            <w:pPr>
              <w:jc w:val="right"/>
            </w:pPr>
            <w:r w:rsidRPr="00103DBC">
              <w:t>6.6%</w:t>
            </w:r>
          </w:p>
        </w:tc>
        <w:tc>
          <w:tcPr>
            <w:tcW w:w="1123" w:type="dxa"/>
            <w:noWrap/>
            <w:hideMark/>
          </w:tcPr>
          <w:p w14:paraId="20D804B2" w14:textId="77777777" w:rsidR="00B34530" w:rsidRPr="00103DBC" w:rsidRDefault="00B34530" w:rsidP="00DD3C37">
            <w:pPr>
              <w:jc w:val="right"/>
            </w:pPr>
            <w:r w:rsidRPr="00103DBC">
              <w:t>7.8%</w:t>
            </w:r>
          </w:p>
        </w:tc>
      </w:tr>
      <w:tr w:rsidR="00B34530" w:rsidRPr="00103DBC" w14:paraId="15C79A35" w14:textId="77777777" w:rsidTr="00A854FD">
        <w:trPr>
          <w:trHeight w:val="300"/>
        </w:trPr>
        <w:tc>
          <w:tcPr>
            <w:tcW w:w="1271" w:type="dxa"/>
            <w:noWrap/>
            <w:hideMark/>
          </w:tcPr>
          <w:p w14:paraId="117FB722" w14:textId="77777777" w:rsidR="00B34530" w:rsidRPr="00103DBC" w:rsidRDefault="00B34530" w:rsidP="00DD3C37">
            <w:r w:rsidRPr="00103DBC">
              <w:t>CCG D</w:t>
            </w:r>
          </w:p>
        </w:tc>
        <w:tc>
          <w:tcPr>
            <w:tcW w:w="2029" w:type="dxa"/>
            <w:noWrap/>
            <w:hideMark/>
          </w:tcPr>
          <w:p w14:paraId="6BA14613" w14:textId="77777777" w:rsidR="00B34530" w:rsidRPr="00103DBC" w:rsidRDefault="00B34530" w:rsidP="00DD3C37">
            <w:pPr>
              <w:jc w:val="right"/>
            </w:pPr>
            <w:r w:rsidRPr="00103DBC">
              <w:t>21282</w:t>
            </w:r>
          </w:p>
        </w:tc>
        <w:tc>
          <w:tcPr>
            <w:tcW w:w="2180" w:type="dxa"/>
            <w:noWrap/>
            <w:hideMark/>
          </w:tcPr>
          <w:p w14:paraId="250A45FC" w14:textId="77777777" w:rsidR="00B34530" w:rsidRPr="00103DBC" w:rsidRDefault="00B34530" w:rsidP="00DD3C37">
            <w:pPr>
              <w:jc w:val="right"/>
            </w:pPr>
            <w:r w:rsidRPr="00103DBC">
              <w:t>1429</w:t>
            </w:r>
          </w:p>
        </w:tc>
        <w:tc>
          <w:tcPr>
            <w:tcW w:w="960" w:type="dxa"/>
            <w:noWrap/>
            <w:hideMark/>
          </w:tcPr>
          <w:p w14:paraId="162B8A6C" w14:textId="77777777" w:rsidR="00B34530" w:rsidRPr="00103DBC" w:rsidRDefault="00B34530" w:rsidP="00DD3C37">
            <w:pPr>
              <w:jc w:val="right"/>
            </w:pPr>
            <w:r w:rsidRPr="00103DBC">
              <w:t>6.7%</w:t>
            </w:r>
          </w:p>
        </w:tc>
        <w:tc>
          <w:tcPr>
            <w:tcW w:w="1117" w:type="dxa"/>
            <w:noWrap/>
            <w:hideMark/>
          </w:tcPr>
          <w:p w14:paraId="1F6A1BB7" w14:textId="77777777" w:rsidR="00B34530" w:rsidRPr="00103DBC" w:rsidRDefault="00B34530" w:rsidP="00DD3C37">
            <w:pPr>
              <w:jc w:val="right"/>
            </w:pPr>
            <w:r w:rsidRPr="00103DBC">
              <w:t>6.4%</w:t>
            </w:r>
          </w:p>
        </w:tc>
        <w:tc>
          <w:tcPr>
            <w:tcW w:w="1123" w:type="dxa"/>
            <w:noWrap/>
            <w:hideMark/>
          </w:tcPr>
          <w:p w14:paraId="44B60416" w14:textId="77777777" w:rsidR="00B34530" w:rsidRPr="00103DBC" w:rsidRDefault="00B34530" w:rsidP="00DD3C37">
            <w:pPr>
              <w:jc w:val="right"/>
            </w:pPr>
            <w:r w:rsidRPr="00103DBC">
              <w:t>7.1%</w:t>
            </w:r>
          </w:p>
        </w:tc>
      </w:tr>
      <w:tr w:rsidR="00B34530" w:rsidRPr="00103DBC" w14:paraId="3A99C75E" w14:textId="77777777" w:rsidTr="00A854FD">
        <w:trPr>
          <w:trHeight w:val="300"/>
        </w:trPr>
        <w:tc>
          <w:tcPr>
            <w:tcW w:w="1271" w:type="dxa"/>
            <w:noWrap/>
            <w:hideMark/>
          </w:tcPr>
          <w:p w14:paraId="2573B168" w14:textId="77777777" w:rsidR="00B34530" w:rsidRPr="00103DBC" w:rsidRDefault="00B34530" w:rsidP="00DD3C37">
            <w:r w:rsidRPr="00103DBC">
              <w:t>CCG E</w:t>
            </w:r>
          </w:p>
        </w:tc>
        <w:tc>
          <w:tcPr>
            <w:tcW w:w="2029" w:type="dxa"/>
            <w:noWrap/>
            <w:hideMark/>
          </w:tcPr>
          <w:p w14:paraId="6269A790" w14:textId="77777777" w:rsidR="00B34530" w:rsidRPr="00103DBC" w:rsidRDefault="00B34530" w:rsidP="00DD3C37">
            <w:pPr>
              <w:jc w:val="right"/>
            </w:pPr>
            <w:r w:rsidRPr="00103DBC">
              <w:t>2656</w:t>
            </w:r>
          </w:p>
        </w:tc>
        <w:tc>
          <w:tcPr>
            <w:tcW w:w="2180" w:type="dxa"/>
            <w:noWrap/>
            <w:hideMark/>
          </w:tcPr>
          <w:p w14:paraId="0A4E35C7" w14:textId="77777777" w:rsidR="00B34530" w:rsidRPr="00103DBC" w:rsidRDefault="00B34530" w:rsidP="00DD3C37">
            <w:pPr>
              <w:jc w:val="right"/>
            </w:pPr>
            <w:r w:rsidRPr="00103DBC">
              <w:t>339</w:t>
            </w:r>
          </w:p>
        </w:tc>
        <w:tc>
          <w:tcPr>
            <w:tcW w:w="960" w:type="dxa"/>
            <w:noWrap/>
            <w:hideMark/>
          </w:tcPr>
          <w:p w14:paraId="7571CD6F" w14:textId="77777777" w:rsidR="00B34530" w:rsidRPr="00103DBC" w:rsidRDefault="00B34530" w:rsidP="00DD3C37">
            <w:pPr>
              <w:jc w:val="right"/>
            </w:pPr>
            <w:r w:rsidRPr="00103DBC">
              <w:t>12.8%</w:t>
            </w:r>
          </w:p>
        </w:tc>
        <w:tc>
          <w:tcPr>
            <w:tcW w:w="1117" w:type="dxa"/>
            <w:noWrap/>
            <w:hideMark/>
          </w:tcPr>
          <w:p w14:paraId="29E319BB" w14:textId="77777777" w:rsidR="00B34530" w:rsidRPr="00103DBC" w:rsidRDefault="00B34530" w:rsidP="00DD3C37">
            <w:pPr>
              <w:jc w:val="right"/>
            </w:pPr>
            <w:r w:rsidRPr="00103DBC">
              <w:t>11.5%</w:t>
            </w:r>
          </w:p>
        </w:tc>
        <w:tc>
          <w:tcPr>
            <w:tcW w:w="1123" w:type="dxa"/>
            <w:noWrap/>
            <w:hideMark/>
          </w:tcPr>
          <w:p w14:paraId="085EDEE6" w14:textId="77777777" w:rsidR="00B34530" w:rsidRPr="00103DBC" w:rsidRDefault="00B34530" w:rsidP="00DD3C37">
            <w:pPr>
              <w:jc w:val="right"/>
            </w:pPr>
            <w:r w:rsidRPr="00103DBC">
              <w:t>14.1%</w:t>
            </w:r>
          </w:p>
        </w:tc>
      </w:tr>
      <w:tr w:rsidR="00B34530" w:rsidRPr="00103DBC" w14:paraId="1C75F830" w14:textId="77777777" w:rsidTr="00A854FD">
        <w:trPr>
          <w:trHeight w:val="300"/>
        </w:trPr>
        <w:tc>
          <w:tcPr>
            <w:tcW w:w="1271" w:type="dxa"/>
            <w:noWrap/>
            <w:hideMark/>
          </w:tcPr>
          <w:p w14:paraId="38822243" w14:textId="77777777" w:rsidR="00B34530" w:rsidRPr="00103DBC" w:rsidRDefault="00B34530" w:rsidP="00DD3C37">
            <w:r w:rsidRPr="00103DBC">
              <w:t>CCG F</w:t>
            </w:r>
          </w:p>
        </w:tc>
        <w:tc>
          <w:tcPr>
            <w:tcW w:w="2029" w:type="dxa"/>
            <w:noWrap/>
            <w:hideMark/>
          </w:tcPr>
          <w:p w14:paraId="73693842" w14:textId="77777777" w:rsidR="00B34530" w:rsidRPr="00103DBC" w:rsidRDefault="00B34530" w:rsidP="00DD3C37">
            <w:pPr>
              <w:jc w:val="right"/>
            </w:pPr>
            <w:r w:rsidRPr="00103DBC">
              <w:t>8181</w:t>
            </w:r>
          </w:p>
        </w:tc>
        <w:tc>
          <w:tcPr>
            <w:tcW w:w="2180" w:type="dxa"/>
            <w:noWrap/>
            <w:hideMark/>
          </w:tcPr>
          <w:p w14:paraId="26A0269A" w14:textId="77777777" w:rsidR="00B34530" w:rsidRPr="00103DBC" w:rsidRDefault="00B34530" w:rsidP="00DD3C37">
            <w:pPr>
              <w:jc w:val="right"/>
            </w:pPr>
            <w:r w:rsidRPr="00103DBC">
              <w:t>760</w:t>
            </w:r>
          </w:p>
        </w:tc>
        <w:tc>
          <w:tcPr>
            <w:tcW w:w="960" w:type="dxa"/>
            <w:noWrap/>
            <w:hideMark/>
          </w:tcPr>
          <w:p w14:paraId="68F5A7B4" w14:textId="77777777" w:rsidR="00B34530" w:rsidRPr="00103DBC" w:rsidRDefault="00B34530" w:rsidP="00DD3C37">
            <w:pPr>
              <w:jc w:val="right"/>
            </w:pPr>
            <w:r w:rsidRPr="00103DBC">
              <w:t>9.3%</w:t>
            </w:r>
          </w:p>
        </w:tc>
        <w:tc>
          <w:tcPr>
            <w:tcW w:w="1117" w:type="dxa"/>
            <w:noWrap/>
            <w:hideMark/>
          </w:tcPr>
          <w:p w14:paraId="332F825A" w14:textId="77777777" w:rsidR="00B34530" w:rsidRPr="00103DBC" w:rsidRDefault="00B34530" w:rsidP="00DD3C37">
            <w:pPr>
              <w:jc w:val="right"/>
            </w:pPr>
            <w:r w:rsidRPr="00103DBC">
              <w:t>8.7%</w:t>
            </w:r>
          </w:p>
        </w:tc>
        <w:tc>
          <w:tcPr>
            <w:tcW w:w="1123" w:type="dxa"/>
            <w:noWrap/>
            <w:hideMark/>
          </w:tcPr>
          <w:p w14:paraId="40A887FE" w14:textId="77777777" w:rsidR="00B34530" w:rsidRPr="00103DBC" w:rsidRDefault="00B34530" w:rsidP="00DD3C37">
            <w:pPr>
              <w:jc w:val="right"/>
            </w:pPr>
            <w:r w:rsidRPr="00103DBC">
              <w:t>9.9%</w:t>
            </w:r>
          </w:p>
        </w:tc>
      </w:tr>
      <w:tr w:rsidR="00B34530" w:rsidRPr="00103DBC" w14:paraId="39127027" w14:textId="77777777" w:rsidTr="00A854FD">
        <w:trPr>
          <w:trHeight w:val="300"/>
        </w:trPr>
        <w:tc>
          <w:tcPr>
            <w:tcW w:w="1271" w:type="dxa"/>
            <w:noWrap/>
            <w:hideMark/>
          </w:tcPr>
          <w:p w14:paraId="74BF05E7" w14:textId="77777777" w:rsidR="00B34530" w:rsidRPr="00103DBC" w:rsidRDefault="00B34530" w:rsidP="00DD3C37">
            <w:r w:rsidRPr="00103DBC">
              <w:t>CCG G</w:t>
            </w:r>
          </w:p>
        </w:tc>
        <w:tc>
          <w:tcPr>
            <w:tcW w:w="2029" w:type="dxa"/>
            <w:noWrap/>
            <w:hideMark/>
          </w:tcPr>
          <w:p w14:paraId="5F525F29" w14:textId="77777777" w:rsidR="00B34530" w:rsidRPr="00103DBC" w:rsidRDefault="00B34530" w:rsidP="00DD3C37">
            <w:pPr>
              <w:jc w:val="right"/>
            </w:pPr>
            <w:r w:rsidRPr="00103DBC">
              <w:t>1286</w:t>
            </w:r>
          </w:p>
        </w:tc>
        <w:tc>
          <w:tcPr>
            <w:tcW w:w="2180" w:type="dxa"/>
            <w:noWrap/>
            <w:hideMark/>
          </w:tcPr>
          <w:p w14:paraId="761985A0" w14:textId="77777777" w:rsidR="00B34530" w:rsidRPr="00103DBC" w:rsidRDefault="00B34530" w:rsidP="00DD3C37">
            <w:pPr>
              <w:jc w:val="right"/>
            </w:pPr>
            <w:r w:rsidRPr="00103DBC">
              <w:t>226</w:t>
            </w:r>
          </w:p>
        </w:tc>
        <w:tc>
          <w:tcPr>
            <w:tcW w:w="960" w:type="dxa"/>
            <w:noWrap/>
            <w:hideMark/>
          </w:tcPr>
          <w:p w14:paraId="4C28543E" w14:textId="77777777" w:rsidR="00B34530" w:rsidRPr="00103DBC" w:rsidRDefault="00B34530" w:rsidP="00DD3C37">
            <w:pPr>
              <w:jc w:val="right"/>
            </w:pPr>
            <w:r w:rsidRPr="00103DBC">
              <w:t>17.6%</w:t>
            </w:r>
          </w:p>
        </w:tc>
        <w:tc>
          <w:tcPr>
            <w:tcW w:w="1117" w:type="dxa"/>
            <w:noWrap/>
            <w:hideMark/>
          </w:tcPr>
          <w:p w14:paraId="4234B7F3" w14:textId="77777777" w:rsidR="00B34530" w:rsidRPr="00103DBC" w:rsidRDefault="00B34530" w:rsidP="00DD3C37">
            <w:pPr>
              <w:jc w:val="right"/>
            </w:pPr>
            <w:r w:rsidRPr="00103DBC">
              <w:t>15.6%</w:t>
            </w:r>
          </w:p>
        </w:tc>
        <w:tc>
          <w:tcPr>
            <w:tcW w:w="1123" w:type="dxa"/>
            <w:noWrap/>
            <w:hideMark/>
          </w:tcPr>
          <w:p w14:paraId="7B81AE8E" w14:textId="77777777" w:rsidR="00B34530" w:rsidRPr="00103DBC" w:rsidRDefault="00B34530" w:rsidP="00DD3C37">
            <w:pPr>
              <w:jc w:val="right"/>
            </w:pPr>
            <w:r w:rsidRPr="00103DBC">
              <w:t>19.7%</w:t>
            </w:r>
          </w:p>
        </w:tc>
      </w:tr>
      <w:tr w:rsidR="00B34530" w:rsidRPr="00103DBC" w14:paraId="1A35A521" w14:textId="77777777" w:rsidTr="00A854FD">
        <w:trPr>
          <w:trHeight w:val="300"/>
        </w:trPr>
        <w:tc>
          <w:tcPr>
            <w:tcW w:w="1271" w:type="dxa"/>
            <w:noWrap/>
            <w:hideMark/>
          </w:tcPr>
          <w:p w14:paraId="136557AC" w14:textId="77777777" w:rsidR="00B34530" w:rsidRPr="00103DBC" w:rsidRDefault="00B34530" w:rsidP="00DD3C37">
            <w:r w:rsidRPr="00103DBC">
              <w:t>CCG H</w:t>
            </w:r>
          </w:p>
        </w:tc>
        <w:tc>
          <w:tcPr>
            <w:tcW w:w="2029" w:type="dxa"/>
            <w:noWrap/>
            <w:hideMark/>
          </w:tcPr>
          <w:p w14:paraId="31E10A3F" w14:textId="77777777" w:rsidR="00B34530" w:rsidRPr="00103DBC" w:rsidRDefault="00B34530" w:rsidP="00DD3C37">
            <w:pPr>
              <w:jc w:val="right"/>
            </w:pPr>
            <w:r w:rsidRPr="00103DBC">
              <w:t>6745</w:t>
            </w:r>
          </w:p>
        </w:tc>
        <w:tc>
          <w:tcPr>
            <w:tcW w:w="2180" w:type="dxa"/>
            <w:noWrap/>
            <w:hideMark/>
          </w:tcPr>
          <w:p w14:paraId="2152E589" w14:textId="77777777" w:rsidR="00B34530" w:rsidRPr="00103DBC" w:rsidRDefault="00B34530" w:rsidP="00DD3C37">
            <w:pPr>
              <w:jc w:val="right"/>
            </w:pPr>
            <w:r w:rsidRPr="00103DBC">
              <w:t>544</w:t>
            </w:r>
          </w:p>
        </w:tc>
        <w:tc>
          <w:tcPr>
            <w:tcW w:w="960" w:type="dxa"/>
            <w:noWrap/>
            <w:hideMark/>
          </w:tcPr>
          <w:p w14:paraId="043C79A9" w14:textId="77777777" w:rsidR="00B34530" w:rsidRPr="00103DBC" w:rsidRDefault="00B34530" w:rsidP="00DD3C37">
            <w:pPr>
              <w:jc w:val="right"/>
            </w:pPr>
            <w:r w:rsidRPr="00103DBC">
              <w:t>8.1%</w:t>
            </w:r>
          </w:p>
        </w:tc>
        <w:tc>
          <w:tcPr>
            <w:tcW w:w="1117" w:type="dxa"/>
            <w:noWrap/>
            <w:hideMark/>
          </w:tcPr>
          <w:p w14:paraId="1F140769" w14:textId="77777777" w:rsidR="00B34530" w:rsidRPr="00103DBC" w:rsidRDefault="00B34530" w:rsidP="00DD3C37">
            <w:pPr>
              <w:jc w:val="right"/>
            </w:pPr>
            <w:r w:rsidRPr="00103DBC">
              <w:t>7.4%</w:t>
            </w:r>
          </w:p>
        </w:tc>
        <w:tc>
          <w:tcPr>
            <w:tcW w:w="1123" w:type="dxa"/>
            <w:noWrap/>
            <w:hideMark/>
          </w:tcPr>
          <w:p w14:paraId="5E6D17C4" w14:textId="77777777" w:rsidR="00B34530" w:rsidRPr="00103DBC" w:rsidRDefault="00B34530" w:rsidP="00DD3C37">
            <w:pPr>
              <w:jc w:val="right"/>
            </w:pPr>
            <w:r w:rsidRPr="00103DBC">
              <w:t>8.7%</w:t>
            </w:r>
          </w:p>
        </w:tc>
      </w:tr>
      <w:tr w:rsidR="00B34530" w:rsidRPr="00103DBC" w14:paraId="2B7AB9C7" w14:textId="77777777" w:rsidTr="00A854FD">
        <w:trPr>
          <w:trHeight w:val="300"/>
        </w:trPr>
        <w:tc>
          <w:tcPr>
            <w:tcW w:w="1271" w:type="dxa"/>
            <w:noWrap/>
            <w:hideMark/>
          </w:tcPr>
          <w:p w14:paraId="170C9E2F" w14:textId="77777777" w:rsidR="00B34530" w:rsidRPr="00103DBC" w:rsidRDefault="00B34530" w:rsidP="00DD3C37">
            <w:r w:rsidRPr="00103DBC">
              <w:t>CCG I</w:t>
            </w:r>
          </w:p>
        </w:tc>
        <w:tc>
          <w:tcPr>
            <w:tcW w:w="2029" w:type="dxa"/>
            <w:noWrap/>
            <w:hideMark/>
          </w:tcPr>
          <w:p w14:paraId="5A1D3795" w14:textId="77777777" w:rsidR="00B34530" w:rsidRPr="00103DBC" w:rsidRDefault="00B34530" w:rsidP="00DD3C37">
            <w:pPr>
              <w:jc w:val="right"/>
            </w:pPr>
            <w:r w:rsidRPr="00103DBC">
              <w:t>5794</w:t>
            </w:r>
          </w:p>
        </w:tc>
        <w:tc>
          <w:tcPr>
            <w:tcW w:w="2180" w:type="dxa"/>
            <w:noWrap/>
            <w:hideMark/>
          </w:tcPr>
          <w:p w14:paraId="2DEA260C" w14:textId="77777777" w:rsidR="00B34530" w:rsidRPr="00103DBC" w:rsidRDefault="00B34530" w:rsidP="00DD3C37">
            <w:pPr>
              <w:jc w:val="right"/>
            </w:pPr>
            <w:r w:rsidRPr="00103DBC">
              <w:t>574</w:t>
            </w:r>
          </w:p>
        </w:tc>
        <w:tc>
          <w:tcPr>
            <w:tcW w:w="960" w:type="dxa"/>
            <w:noWrap/>
            <w:hideMark/>
          </w:tcPr>
          <w:p w14:paraId="0AC268D0" w14:textId="77777777" w:rsidR="00B34530" w:rsidRPr="00103DBC" w:rsidRDefault="00B34530" w:rsidP="00DD3C37">
            <w:pPr>
              <w:jc w:val="right"/>
            </w:pPr>
            <w:r w:rsidRPr="00103DBC">
              <w:t>9.9%</w:t>
            </w:r>
          </w:p>
        </w:tc>
        <w:tc>
          <w:tcPr>
            <w:tcW w:w="1117" w:type="dxa"/>
            <w:noWrap/>
            <w:hideMark/>
          </w:tcPr>
          <w:p w14:paraId="5F3BADDB" w14:textId="77777777" w:rsidR="00B34530" w:rsidRPr="00103DBC" w:rsidRDefault="00B34530" w:rsidP="00DD3C37">
            <w:pPr>
              <w:jc w:val="right"/>
            </w:pPr>
            <w:r w:rsidRPr="00103DBC">
              <w:t>9.2%</w:t>
            </w:r>
          </w:p>
        </w:tc>
        <w:tc>
          <w:tcPr>
            <w:tcW w:w="1123" w:type="dxa"/>
            <w:noWrap/>
            <w:hideMark/>
          </w:tcPr>
          <w:p w14:paraId="0F89908A" w14:textId="77777777" w:rsidR="00B34530" w:rsidRPr="00103DBC" w:rsidRDefault="00B34530" w:rsidP="00DD3C37">
            <w:pPr>
              <w:jc w:val="right"/>
            </w:pPr>
            <w:r w:rsidRPr="00103DBC">
              <w:t>10.7%</w:t>
            </w:r>
          </w:p>
        </w:tc>
      </w:tr>
      <w:tr w:rsidR="00B34530" w:rsidRPr="00103DBC" w14:paraId="077F63B2" w14:textId="77777777" w:rsidTr="00A854FD">
        <w:trPr>
          <w:trHeight w:val="300"/>
        </w:trPr>
        <w:tc>
          <w:tcPr>
            <w:tcW w:w="1271" w:type="dxa"/>
            <w:noWrap/>
            <w:hideMark/>
          </w:tcPr>
          <w:p w14:paraId="1E35D140" w14:textId="77777777" w:rsidR="00B34530" w:rsidRPr="00103DBC" w:rsidRDefault="00B34530" w:rsidP="00DD3C37">
            <w:r w:rsidRPr="00103DBC">
              <w:t>CCG J</w:t>
            </w:r>
          </w:p>
        </w:tc>
        <w:tc>
          <w:tcPr>
            <w:tcW w:w="2029" w:type="dxa"/>
            <w:noWrap/>
            <w:hideMark/>
          </w:tcPr>
          <w:p w14:paraId="11A94272" w14:textId="77777777" w:rsidR="00B34530" w:rsidRPr="00103DBC" w:rsidRDefault="00B34530" w:rsidP="00DD3C37">
            <w:pPr>
              <w:jc w:val="right"/>
            </w:pPr>
            <w:r w:rsidRPr="00103DBC">
              <w:t>7607</w:t>
            </w:r>
          </w:p>
        </w:tc>
        <w:tc>
          <w:tcPr>
            <w:tcW w:w="2180" w:type="dxa"/>
            <w:noWrap/>
            <w:hideMark/>
          </w:tcPr>
          <w:p w14:paraId="2566B9C0" w14:textId="77777777" w:rsidR="00B34530" w:rsidRPr="00103DBC" w:rsidRDefault="00B34530" w:rsidP="00DD3C37">
            <w:pPr>
              <w:jc w:val="right"/>
            </w:pPr>
            <w:r w:rsidRPr="00103DBC">
              <w:t>385</w:t>
            </w:r>
          </w:p>
        </w:tc>
        <w:tc>
          <w:tcPr>
            <w:tcW w:w="960" w:type="dxa"/>
            <w:noWrap/>
            <w:hideMark/>
          </w:tcPr>
          <w:p w14:paraId="70F0C646" w14:textId="77777777" w:rsidR="00B34530" w:rsidRPr="00103DBC" w:rsidRDefault="00B34530" w:rsidP="00DD3C37">
            <w:pPr>
              <w:jc w:val="right"/>
            </w:pPr>
            <w:r w:rsidRPr="00103DBC">
              <w:t>5.1%</w:t>
            </w:r>
          </w:p>
        </w:tc>
        <w:tc>
          <w:tcPr>
            <w:tcW w:w="1117" w:type="dxa"/>
            <w:noWrap/>
            <w:hideMark/>
          </w:tcPr>
          <w:p w14:paraId="5FF36F3A" w14:textId="77777777" w:rsidR="00B34530" w:rsidRPr="00103DBC" w:rsidRDefault="00B34530" w:rsidP="00DD3C37">
            <w:pPr>
              <w:jc w:val="right"/>
            </w:pPr>
            <w:r w:rsidRPr="00103DBC">
              <w:t>4.6%</w:t>
            </w:r>
          </w:p>
        </w:tc>
        <w:tc>
          <w:tcPr>
            <w:tcW w:w="1123" w:type="dxa"/>
            <w:noWrap/>
            <w:hideMark/>
          </w:tcPr>
          <w:p w14:paraId="18FEF165" w14:textId="77777777" w:rsidR="00B34530" w:rsidRPr="00103DBC" w:rsidRDefault="00B34530" w:rsidP="00DD3C37">
            <w:pPr>
              <w:jc w:val="right"/>
            </w:pPr>
            <w:r w:rsidRPr="00103DBC">
              <w:t>5.6%</w:t>
            </w:r>
          </w:p>
        </w:tc>
      </w:tr>
      <w:tr w:rsidR="00B34530" w:rsidRPr="00103DBC" w14:paraId="4CEB4F65" w14:textId="77777777" w:rsidTr="00A854FD">
        <w:trPr>
          <w:trHeight w:val="300"/>
        </w:trPr>
        <w:tc>
          <w:tcPr>
            <w:tcW w:w="1271" w:type="dxa"/>
            <w:noWrap/>
            <w:hideMark/>
          </w:tcPr>
          <w:p w14:paraId="3D205963" w14:textId="77777777" w:rsidR="00B34530" w:rsidRPr="00103DBC" w:rsidRDefault="00B34530" w:rsidP="00DD3C37">
            <w:r w:rsidRPr="00103DBC">
              <w:t>CCG K</w:t>
            </w:r>
          </w:p>
        </w:tc>
        <w:tc>
          <w:tcPr>
            <w:tcW w:w="2029" w:type="dxa"/>
            <w:noWrap/>
            <w:hideMark/>
          </w:tcPr>
          <w:p w14:paraId="1D120DDF" w14:textId="77777777" w:rsidR="00B34530" w:rsidRPr="00103DBC" w:rsidRDefault="00B34530" w:rsidP="00DD3C37">
            <w:pPr>
              <w:jc w:val="right"/>
            </w:pPr>
            <w:r w:rsidRPr="00103DBC">
              <w:t>1085</w:t>
            </w:r>
          </w:p>
        </w:tc>
        <w:tc>
          <w:tcPr>
            <w:tcW w:w="2180" w:type="dxa"/>
            <w:noWrap/>
            <w:hideMark/>
          </w:tcPr>
          <w:p w14:paraId="58AAF4DC" w14:textId="77777777" w:rsidR="00B34530" w:rsidRPr="00103DBC" w:rsidRDefault="00B34530" w:rsidP="00DD3C37">
            <w:pPr>
              <w:jc w:val="right"/>
            </w:pPr>
            <w:r w:rsidRPr="00103DBC">
              <w:t>81</w:t>
            </w:r>
          </w:p>
        </w:tc>
        <w:tc>
          <w:tcPr>
            <w:tcW w:w="960" w:type="dxa"/>
            <w:noWrap/>
            <w:hideMark/>
          </w:tcPr>
          <w:p w14:paraId="31807563" w14:textId="77777777" w:rsidR="00B34530" w:rsidRPr="00103DBC" w:rsidRDefault="00B34530" w:rsidP="00DD3C37">
            <w:pPr>
              <w:jc w:val="right"/>
            </w:pPr>
            <w:r w:rsidRPr="00103DBC">
              <w:t>7.5%</w:t>
            </w:r>
          </w:p>
        </w:tc>
        <w:tc>
          <w:tcPr>
            <w:tcW w:w="1117" w:type="dxa"/>
            <w:noWrap/>
            <w:hideMark/>
          </w:tcPr>
          <w:p w14:paraId="28242C29" w14:textId="77777777" w:rsidR="00B34530" w:rsidRPr="00103DBC" w:rsidRDefault="00B34530" w:rsidP="00DD3C37">
            <w:pPr>
              <w:jc w:val="right"/>
            </w:pPr>
            <w:r w:rsidRPr="00103DBC">
              <w:t>6.0%</w:t>
            </w:r>
          </w:p>
        </w:tc>
        <w:tc>
          <w:tcPr>
            <w:tcW w:w="1123" w:type="dxa"/>
            <w:noWrap/>
            <w:hideMark/>
          </w:tcPr>
          <w:p w14:paraId="0EBEE888" w14:textId="77777777" w:rsidR="00B34530" w:rsidRPr="00103DBC" w:rsidRDefault="00B34530" w:rsidP="00DD3C37">
            <w:pPr>
              <w:jc w:val="right"/>
            </w:pPr>
            <w:r w:rsidRPr="00103DBC">
              <w:t>9.2%</w:t>
            </w:r>
          </w:p>
        </w:tc>
      </w:tr>
      <w:tr w:rsidR="00B34530" w:rsidRPr="00103DBC" w14:paraId="2D83CB4E" w14:textId="77777777" w:rsidTr="00A854FD">
        <w:trPr>
          <w:trHeight w:val="300"/>
        </w:trPr>
        <w:tc>
          <w:tcPr>
            <w:tcW w:w="1271" w:type="dxa"/>
            <w:noWrap/>
            <w:hideMark/>
          </w:tcPr>
          <w:p w14:paraId="7A51B30C" w14:textId="77777777" w:rsidR="00B34530" w:rsidRPr="00103DBC" w:rsidRDefault="00B34530" w:rsidP="00DD3C37">
            <w:r w:rsidRPr="00103DBC">
              <w:t>CCG L</w:t>
            </w:r>
          </w:p>
        </w:tc>
        <w:tc>
          <w:tcPr>
            <w:tcW w:w="2029" w:type="dxa"/>
            <w:noWrap/>
            <w:hideMark/>
          </w:tcPr>
          <w:p w14:paraId="2B4EE000" w14:textId="77777777" w:rsidR="00B34530" w:rsidRPr="00103DBC" w:rsidRDefault="00B34530" w:rsidP="00DD3C37">
            <w:pPr>
              <w:jc w:val="right"/>
            </w:pPr>
            <w:r w:rsidRPr="00103DBC">
              <w:t>4963</w:t>
            </w:r>
          </w:p>
        </w:tc>
        <w:tc>
          <w:tcPr>
            <w:tcW w:w="2180" w:type="dxa"/>
            <w:noWrap/>
            <w:hideMark/>
          </w:tcPr>
          <w:p w14:paraId="0BF43798" w14:textId="77777777" w:rsidR="00B34530" w:rsidRPr="00103DBC" w:rsidRDefault="00B34530" w:rsidP="00DD3C37">
            <w:pPr>
              <w:jc w:val="right"/>
            </w:pPr>
            <w:r w:rsidRPr="00103DBC">
              <w:t>242</w:t>
            </w:r>
          </w:p>
        </w:tc>
        <w:tc>
          <w:tcPr>
            <w:tcW w:w="960" w:type="dxa"/>
            <w:noWrap/>
            <w:hideMark/>
          </w:tcPr>
          <w:p w14:paraId="330582A8" w14:textId="77777777" w:rsidR="00B34530" w:rsidRPr="00103DBC" w:rsidRDefault="00B34530" w:rsidP="00DD3C37">
            <w:pPr>
              <w:jc w:val="right"/>
            </w:pPr>
            <w:r w:rsidRPr="00103DBC">
              <w:t>4.9%</w:t>
            </w:r>
          </w:p>
        </w:tc>
        <w:tc>
          <w:tcPr>
            <w:tcW w:w="1117" w:type="dxa"/>
            <w:noWrap/>
            <w:hideMark/>
          </w:tcPr>
          <w:p w14:paraId="757248F6" w14:textId="77777777" w:rsidR="00B34530" w:rsidRPr="00103DBC" w:rsidRDefault="00B34530" w:rsidP="00DD3C37">
            <w:pPr>
              <w:jc w:val="right"/>
            </w:pPr>
            <w:r w:rsidRPr="00103DBC">
              <w:t>4.3%</w:t>
            </w:r>
          </w:p>
        </w:tc>
        <w:tc>
          <w:tcPr>
            <w:tcW w:w="1123" w:type="dxa"/>
            <w:noWrap/>
            <w:hideMark/>
          </w:tcPr>
          <w:p w14:paraId="3C65EEB8" w14:textId="77777777" w:rsidR="00B34530" w:rsidRPr="00103DBC" w:rsidRDefault="00B34530" w:rsidP="00DD3C37">
            <w:pPr>
              <w:jc w:val="right"/>
            </w:pPr>
            <w:r w:rsidRPr="00103DBC">
              <w:t>5.5%</w:t>
            </w:r>
          </w:p>
        </w:tc>
      </w:tr>
      <w:tr w:rsidR="00B34530" w:rsidRPr="00103DBC" w14:paraId="2C1B06C1" w14:textId="77777777" w:rsidTr="00A854FD">
        <w:trPr>
          <w:trHeight w:val="300"/>
        </w:trPr>
        <w:tc>
          <w:tcPr>
            <w:tcW w:w="1271" w:type="dxa"/>
            <w:noWrap/>
            <w:hideMark/>
          </w:tcPr>
          <w:p w14:paraId="341B4D99" w14:textId="77777777" w:rsidR="00B34530" w:rsidRPr="00103DBC" w:rsidRDefault="00B34530" w:rsidP="00DD3C37">
            <w:r w:rsidRPr="00103DBC">
              <w:t>CCG M</w:t>
            </w:r>
          </w:p>
        </w:tc>
        <w:tc>
          <w:tcPr>
            <w:tcW w:w="2029" w:type="dxa"/>
            <w:noWrap/>
            <w:hideMark/>
          </w:tcPr>
          <w:p w14:paraId="167CAD64" w14:textId="77777777" w:rsidR="00B34530" w:rsidRPr="00103DBC" w:rsidRDefault="00B34530" w:rsidP="00DD3C37">
            <w:pPr>
              <w:jc w:val="right"/>
            </w:pPr>
            <w:r w:rsidRPr="00103DBC">
              <w:t>12453</w:t>
            </w:r>
          </w:p>
        </w:tc>
        <w:tc>
          <w:tcPr>
            <w:tcW w:w="2180" w:type="dxa"/>
            <w:noWrap/>
            <w:hideMark/>
          </w:tcPr>
          <w:p w14:paraId="4814A1C1" w14:textId="77777777" w:rsidR="00B34530" w:rsidRPr="00103DBC" w:rsidRDefault="00B34530" w:rsidP="00DD3C37">
            <w:pPr>
              <w:jc w:val="right"/>
            </w:pPr>
            <w:r w:rsidRPr="00103DBC">
              <w:t>1528</w:t>
            </w:r>
          </w:p>
        </w:tc>
        <w:tc>
          <w:tcPr>
            <w:tcW w:w="960" w:type="dxa"/>
            <w:noWrap/>
            <w:hideMark/>
          </w:tcPr>
          <w:p w14:paraId="5A8E4D71" w14:textId="77777777" w:rsidR="00B34530" w:rsidRPr="00103DBC" w:rsidRDefault="00B34530" w:rsidP="00DD3C37">
            <w:pPr>
              <w:jc w:val="right"/>
            </w:pPr>
            <w:r w:rsidRPr="00103DBC">
              <w:t>12.3%</w:t>
            </w:r>
          </w:p>
        </w:tc>
        <w:tc>
          <w:tcPr>
            <w:tcW w:w="1117" w:type="dxa"/>
            <w:noWrap/>
            <w:hideMark/>
          </w:tcPr>
          <w:p w14:paraId="203DCA36" w14:textId="77777777" w:rsidR="00B34530" w:rsidRPr="00103DBC" w:rsidRDefault="00B34530" w:rsidP="00DD3C37">
            <w:pPr>
              <w:jc w:val="right"/>
            </w:pPr>
            <w:r w:rsidRPr="00103DBC">
              <w:t>11.7%</w:t>
            </w:r>
          </w:p>
        </w:tc>
        <w:tc>
          <w:tcPr>
            <w:tcW w:w="1123" w:type="dxa"/>
            <w:noWrap/>
            <w:hideMark/>
          </w:tcPr>
          <w:p w14:paraId="7D832B24" w14:textId="77777777" w:rsidR="00B34530" w:rsidRPr="00103DBC" w:rsidRDefault="00B34530" w:rsidP="00DD3C37">
            <w:pPr>
              <w:jc w:val="right"/>
            </w:pPr>
            <w:r w:rsidRPr="00103DBC">
              <w:t>12.9%</w:t>
            </w:r>
          </w:p>
        </w:tc>
      </w:tr>
      <w:tr w:rsidR="00B34530" w:rsidRPr="00103DBC" w14:paraId="277F09C7" w14:textId="77777777" w:rsidTr="00A854FD">
        <w:trPr>
          <w:trHeight w:val="300"/>
        </w:trPr>
        <w:tc>
          <w:tcPr>
            <w:tcW w:w="1271" w:type="dxa"/>
            <w:noWrap/>
            <w:hideMark/>
          </w:tcPr>
          <w:p w14:paraId="23DEEB90" w14:textId="77777777" w:rsidR="00B34530" w:rsidRPr="00103DBC" w:rsidRDefault="00B34530" w:rsidP="00DD3C37">
            <w:r w:rsidRPr="00103DBC">
              <w:t>CCG N</w:t>
            </w:r>
          </w:p>
        </w:tc>
        <w:tc>
          <w:tcPr>
            <w:tcW w:w="2029" w:type="dxa"/>
            <w:noWrap/>
            <w:hideMark/>
          </w:tcPr>
          <w:p w14:paraId="39FFB7CC" w14:textId="77777777" w:rsidR="00B34530" w:rsidRPr="00103DBC" w:rsidRDefault="00B34530" w:rsidP="00DD3C37">
            <w:pPr>
              <w:jc w:val="right"/>
            </w:pPr>
            <w:r w:rsidRPr="00103DBC">
              <w:t>6658</w:t>
            </w:r>
          </w:p>
        </w:tc>
        <w:tc>
          <w:tcPr>
            <w:tcW w:w="2180" w:type="dxa"/>
            <w:noWrap/>
            <w:hideMark/>
          </w:tcPr>
          <w:p w14:paraId="223AE7B3" w14:textId="77777777" w:rsidR="00B34530" w:rsidRPr="00103DBC" w:rsidRDefault="00B34530" w:rsidP="00DD3C37">
            <w:pPr>
              <w:jc w:val="right"/>
            </w:pPr>
            <w:r w:rsidRPr="00103DBC">
              <w:t>324</w:t>
            </w:r>
          </w:p>
        </w:tc>
        <w:tc>
          <w:tcPr>
            <w:tcW w:w="960" w:type="dxa"/>
            <w:noWrap/>
            <w:hideMark/>
          </w:tcPr>
          <w:p w14:paraId="48D788A8" w14:textId="77777777" w:rsidR="00B34530" w:rsidRPr="00103DBC" w:rsidRDefault="00B34530" w:rsidP="00DD3C37">
            <w:pPr>
              <w:jc w:val="right"/>
            </w:pPr>
            <w:r w:rsidRPr="00103DBC">
              <w:t>4.9%</w:t>
            </w:r>
          </w:p>
        </w:tc>
        <w:tc>
          <w:tcPr>
            <w:tcW w:w="1117" w:type="dxa"/>
            <w:noWrap/>
            <w:hideMark/>
          </w:tcPr>
          <w:p w14:paraId="0FA26B94" w14:textId="77777777" w:rsidR="00B34530" w:rsidRPr="00103DBC" w:rsidRDefault="00B34530" w:rsidP="00DD3C37">
            <w:pPr>
              <w:jc w:val="right"/>
            </w:pPr>
            <w:r w:rsidRPr="00103DBC">
              <w:t>4.4%</w:t>
            </w:r>
          </w:p>
        </w:tc>
        <w:tc>
          <w:tcPr>
            <w:tcW w:w="1123" w:type="dxa"/>
            <w:noWrap/>
            <w:hideMark/>
          </w:tcPr>
          <w:p w14:paraId="6505B85F" w14:textId="77777777" w:rsidR="00B34530" w:rsidRPr="00103DBC" w:rsidRDefault="00B34530" w:rsidP="00DD3C37">
            <w:pPr>
              <w:jc w:val="right"/>
            </w:pPr>
            <w:r w:rsidRPr="00103DBC">
              <w:t>5.4%</w:t>
            </w:r>
          </w:p>
        </w:tc>
      </w:tr>
      <w:tr w:rsidR="00B34530" w:rsidRPr="00103DBC" w14:paraId="2A50BAA6" w14:textId="77777777" w:rsidTr="00A854FD">
        <w:trPr>
          <w:trHeight w:val="300"/>
        </w:trPr>
        <w:tc>
          <w:tcPr>
            <w:tcW w:w="1271" w:type="dxa"/>
            <w:noWrap/>
            <w:hideMark/>
          </w:tcPr>
          <w:p w14:paraId="4FA6D509" w14:textId="77777777" w:rsidR="00B34530" w:rsidRPr="00103DBC" w:rsidRDefault="00B34530" w:rsidP="00DD3C37">
            <w:r w:rsidRPr="00103DBC">
              <w:t>CCG O</w:t>
            </w:r>
          </w:p>
        </w:tc>
        <w:tc>
          <w:tcPr>
            <w:tcW w:w="2029" w:type="dxa"/>
            <w:noWrap/>
            <w:hideMark/>
          </w:tcPr>
          <w:p w14:paraId="4E478785" w14:textId="77777777" w:rsidR="00B34530" w:rsidRPr="00103DBC" w:rsidRDefault="00B34530" w:rsidP="00DD3C37">
            <w:pPr>
              <w:jc w:val="right"/>
            </w:pPr>
            <w:r w:rsidRPr="00103DBC">
              <w:t>5415</w:t>
            </w:r>
          </w:p>
        </w:tc>
        <w:tc>
          <w:tcPr>
            <w:tcW w:w="2180" w:type="dxa"/>
            <w:noWrap/>
            <w:hideMark/>
          </w:tcPr>
          <w:p w14:paraId="2926DD92" w14:textId="77777777" w:rsidR="00B34530" w:rsidRPr="00103DBC" w:rsidRDefault="00B34530" w:rsidP="00DD3C37">
            <w:pPr>
              <w:jc w:val="right"/>
            </w:pPr>
            <w:r w:rsidRPr="00103DBC">
              <w:t>580</w:t>
            </w:r>
          </w:p>
        </w:tc>
        <w:tc>
          <w:tcPr>
            <w:tcW w:w="960" w:type="dxa"/>
            <w:noWrap/>
            <w:hideMark/>
          </w:tcPr>
          <w:p w14:paraId="530F053A" w14:textId="77777777" w:rsidR="00B34530" w:rsidRPr="00103DBC" w:rsidRDefault="00B34530" w:rsidP="00DD3C37">
            <w:pPr>
              <w:jc w:val="right"/>
            </w:pPr>
            <w:r w:rsidRPr="00103DBC">
              <w:t>10.7%</w:t>
            </w:r>
          </w:p>
        </w:tc>
        <w:tc>
          <w:tcPr>
            <w:tcW w:w="1117" w:type="dxa"/>
            <w:noWrap/>
            <w:hideMark/>
          </w:tcPr>
          <w:p w14:paraId="02485E16" w14:textId="77777777" w:rsidR="00B34530" w:rsidRPr="00103DBC" w:rsidRDefault="00B34530" w:rsidP="00DD3C37">
            <w:pPr>
              <w:jc w:val="right"/>
            </w:pPr>
            <w:r w:rsidRPr="00103DBC">
              <w:t>9.9%</w:t>
            </w:r>
          </w:p>
        </w:tc>
        <w:tc>
          <w:tcPr>
            <w:tcW w:w="1123" w:type="dxa"/>
            <w:noWrap/>
            <w:hideMark/>
          </w:tcPr>
          <w:p w14:paraId="2D4E2791" w14:textId="77777777" w:rsidR="00B34530" w:rsidRPr="00103DBC" w:rsidRDefault="00B34530" w:rsidP="00DD3C37">
            <w:pPr>
              <w:jc w:val="right"/>
            </w:pPr>
            <w:r w:rsidRPr="00103DBC">
              <w:t>11.6%</w:t>
            </w:r>
          </w:p>
        </w:tc>
      </w:tr>
      <w:tr w:rsidR="00B34530" w:rsidRPr="00103DBC" w14:paraId="35320984" w14:textId="77777777" w:rsidTr="00A854FD">
        <w:trPr>
          <w:trHeight w:val="300"/>
        </w:trPr>
        <w:tc>
          <w:tcPr>
            <w:tcW w:w="1271" w:type="dxa"/>
            <w:noWrap/>
            <w:hideMark/>
          </w:tcPr>
          <w:p w14:paraId="76153C08" w14:textId="77777777" w:rsidR="00B34530" w:rsidRPr="00103DBC" w:rsidRDefault="00B34530" w:rsidP="00DD3C37">
            <w:r w:rsidRPr="00103DBC">
              <w:t>CCG P</w:t>
            </w:r>
          </w:p>
        </w:tc>
        <w:tc>
          <w:tcPr>
            <w:tcW w:w="2029" w:type="dxa"/>
            <w:noWrap/>
            <w:hideMark/>
          </w:tcPr>
          <w:p w14:paraId="27ACF4EC" w14:textId="77777777" w:rsidR="00B34530" w:rsidRPr="00103DBC" w:rsidRDefault="00B34530" w:rsidP="00DD3C37">
            <w:pPr>
              <w:jc w:val="right"/>
            </w:pPr>
            <w:r w:rsidRPr="00103DBC">
              <w:t>23771</w:t>
            </w:r>
          </w:p>
        </w:tc>
        <w:tc>
          <w:tcPr>
            <w:tcW w:w="2180" w:type="dxa"/>
            <w:noWrap/>
            <w:hideMark/>
          </w:tcPr>
          <w:p w14:paraId="313CB882" w14:textId="77777777" w:rsidR="00B34530" w:rsidRPr="00103DBC" w:rsidRDefault="00B34530" w:rsidP="00DD3C37">
            <w:pPr>
              <w:jc w:val="right"/>
            </w:pPr>
            <w:r w:rsidRPr="00103DBC">
              <w:t>2402</w:t>
            </w:r>
          </w:p>
        </w:tc>
        <w:tc>
          <w:tcPr>
            <w:tcW w:w="960" w:type="dxa"/>
            <w:noWrap/>
            <w:hideMark/>
          </w:tcPr>
          <w:p w14:paraId="017F249A" w14:textId="77777777" w:rsidR="00B34530" w:rsidRPr="00103DBC" w:rsidRDefault="00B34530" w:rsidP="00DD3C37">
            <w:pPr>
              <w:jc w:val="right"/>
            </w:pPr>
            <w:r w:rsidRPr="00103DBC">
              <w:t>10.1%</w:t>
            </w:r>
          </w:p>
        </w:tc>
        <w:tc>
          <w:tcPr>
            <w:tcW w:w="1117" w:type="dxa"/>
            <w:noWrap/>
            <w:hideMark/>
          </w:tcPr>
          <w:p w14:paraId="05ABE577" w14:textId="77777777" w:rsidR="00B34530" w:rsidRPr="00103DBC" w:rsidRDefault="00B34530" w:rsidP="00DD3C37">
            <w:pPr>
              <w:jc w:val="right"/>
            </w:pPr>
            <w:r w:rsidRPr="00103DBC">
              <w:t>9.7%</w:t>
            </w:r>
          </w:p>
        </w:tc>
        <w:tc>
          <w:tcPr>
            <w:tcW w:w="1123" w:type="dxa"/>
            <w:noWrap/>
            <w:hideMark/>
          </w:tcPr>
          <w:p w14:paraId="2E8EBE94" w14:textId="77777777" w:rsidR="00B34530" w:rsidRPr="00103DBC" w:rsidRDefault="00B34530" w:rsidP="00DD3C37">
            <w:pPr>
              <w:jc w:val="right"/>
            </w:pPr>
            <w:r w:rsidRPr="00103DBC">
              <w:t>10.5%</w:t>
            </w:r>
          </w:p>
        </w:tc>
      </w:tr>
      <w:tr w:rsidR="00B34530" w:rsidRPr="00103DBC" w14:paraId="5E735CA8" w14:textId="77777777" w:rsidTr="00A854FD">
        <w:trPr>
          <w:trHeight w:val="300"/>
        </w:trPr>
        <w:tc>
          <w:tcPr>
            <w:tcW w:w="1271" w:type="dxa"/>
            <w:noWrap/>
            <w:hideMark/>
          </w:tcPr>
          <w:p w14:paraId="5BA3EE05" w14:textId="77777777" w:rsidR="00B34530" w:rsidRPr="00103DBC" w:rsidRDefault="00B34530" w:rsidP="00DD3C37">
            <w:r w:rsidRPr="00103DBC">
              <w:t>CCG Q</w:t>
            </w:r>
          </w:p>
        </w:tc>
        <w:tc>
          <w:tcPr>
            <w:tcW w:w="2029" w:type="dxa"/>
            <w:noWrap/>
            <w:hideMark/>
          </w:tcPr>
          <w:p w14:paraId="3AEF2EF0" w14:textId="77777777" w:rsidR="00B34530" w:rsidRPr="00103DBC" w:rsidRDefault="00B34530" w:rsidP="00DD3C37">
            <w:pPr>
              <w:jc w:val="right"/>
            </w:pPr>
            <w:r w:rsidRPr="00103DBC">
              <w:t>7339</w:t>
            </w:r>
          </w:p>
        </w:tc>
        <w:tc>
          <w:tcPr>
            <w:tcW w:w="2180" w:type="dxa"/>
            <w:noWrap/>
            <w:hideMark/>
          </w:tcPr>
          <w:p w14:paraId="04E88BC0" w14:textId="77777777" w:rsidR="00B34530" w:rsidRPr="00103DBC" w:rsidRDefault="00B34530" w:rsidP="00DD3C37">
            <w:pPr>
              <w:jc w:val="right"/>
            </w:pPr>
            <w:r w:rsidRPr="00103DBC">
              <w:t>511</w:t>
            </w:r>
          </w:p>
        </w:tc>
        <w:tc>
          <w:tcPr>
            <w:tcW w:w="960" w:type="dxa"/>
            <w:noWrap/>
            <w:hideMark/>
          </w:tcPr>
          <w:p w14:paraId="68460111" w14:textId="77777777" w:rsidR="00B34530" w:rsidRPr="00103DBC" w:rsidRDefault="00B34530" w:rsidP="00DD3C37">
            <w:pPr>
              <w:jc w:val="right"/>
            </w:pPr>
            <w:r w:rsidRPr="00103DBC">
              <w:t>7.0%</w:t>
            </w:r>
          </w:p>
        </w:tc>
        <w:tc>
          <w:tcPr>
            <w:tcW w:w="1117" w:type="dxa"/>
            <w:noWrap/>
            <w:hideMark/>
          </w:tcPr>
          <w:p w14:paraId="60A3CB7B" w14:textId="77777777" w:rsidR="00B34530" w:rsidRPr="00103DBC" w:rsidRDefault="00B34530" w:rsidP="00DD3C37">
            <w:pPr>
              <w:jc w:val="right"/>
            </w:pPr>
            <w:r w:rsidRPr="00103DBC">
              <w:t>6.4%</w:t>
            </w:r>
          </w:p>
        </w:tc>
        <w:tc>
          <w:tcPr>
            <w:tcW w:w="1123" w:type="dxa"/>
            <w:noWrap/>
            <w:hideMark/>
          </w:tcPr>
          <w:p w14:paraId="06C21384" w14:textId="77777777" w:rsidR="00B34530" w:rsidRPr="00103DBC" w:rsidRDefault="00B34530" w:rsidP="00DD3C37">
            <w:pPr>
              <w:jc w:val="right"/>
            </w:pPr>
            <w:r w:rsidRPr="00103DBC">
              <w:t>7.6%</w:t>
            </w:r>
          </w:p>
        </w:tc>
      </w:tr>
      <w:tr w:rsidR="00B34530" w:rsidRPr="00103DBC" w14:paraId="76130F38" w14:textId="77777777" w:rsidTr="00A854FD">
        <w:trPr>
          <w:trHeight w:val="300"/>
        </w:trPr>
        <w:tc>
          <w:tcPr>
            <w:tcW w:w="1271" w:type="dxa"/>
            <w:noWrap/>
            <w:hideMark/>
          </w:tcPr>
          <w:p w14:paraId="0AB69198" w14:textId="77777777" w:rsidR="00B34530" w:rsidRPr="00103DBC" w:rsidRDefault="00B34530" w:rsidP="00DD3C37">
            <w:r w:rsidRPr="00103DBC">
              <w:t>CCG R</w:t>
            </w:r>
          </w:p>
        </w:tc>
        <w:tc>
          <w:tcPr>
            <w:tcW w:w="2029" w:type="dxa"/>
            <w:noWrap/>
            <w:hideMark/>
          </w:tcPr>
          <w:p w14:paraId="18FC31AA" w14:textId="77777777" w:rsidR="00B34530" w:rsidRPr="00103DBC" w:rsidRDefault="00B34530" w:rsidP="00DD3C37">
            <w:pPr>
              <w:jc w:val="right"/>
            </w:pPr>
            <w:r w:rsidRPr="00103DBC">
              <w:t>2558</w:t>
            </w:r>
          </w:p>
        </w:tc>
        <w:tc>
          <w:tcPr>
            <w:tcW w:w="2180" w:type="dxa"/>
            <w:noWrap/>
            <w:hideMark/>
          </w:tcPr>
          <w:p w14:paraId="1E09F823" w14:textId="77777777" w:rsidR="00B34530" w:rsidRPr="00103DBC" w:rsidRDefault="00B34530" w:rsidP="00DD3C37">
            <w:pPr>
              <w:jc w:val="right"/>
            </w:pPr>
            <w:r w:rsidRPr="00103DBC">
              <w:t>174</w:t>
            </w:r>
          </w:p>
        </w:tc>
        <w:tc>
          <w:tcPr>
            <w:tcW w:w="960" w:type="dxa"/>
            <w:noWrap/>
            <w:hideMark/>
          </w:tcPr>
          <w:p w14:paraId="7F812516" w14:textId="77777777" w:rsidR="00B34530" w:rsidRPr="00103DBC" w:rsidRDefault="00B34530" w:rsidP="00DD3C37">
            <w:pPr>
              <w:jc w:val="right"/>
            </w:pPr>
            <w:r w:rsidRPr="00103DBC">
              <w:t>6.8%</w:t>
            </w:r>
          </w:p>
        </w:tc>
        <w:tc>
          <w:tcPr>
            <w:tcW w:w="1117" w:type="dxa"/>
            <w:noWrap/>
            <w:hideMark/>
          </w:tcPr>
          <w:p w14:paraId="1878BD0C" w14:textId="77777777" w:rsidR="00B34530" w:rsidRPr="00103DBC" w:rsidRDefault="00B34530" w:rsidP="00DD3C37">
            <w:pPr>
              <w:jc w:val="right"/>
            </w:pPr>
            <w:r w:rsidRPr="00103DBC">
              <w:t>5.9%</w:t>
            </w:r>
          </w:p>
        </w:tc>
        <w:tc>
          <w:tcPr>
            <w:tcW w:w="1123" w:type="dxa"/>
            <w:noWrap/>
            <w:hideMark/>
          </w:tcPr>
          <w:p w14:paraId="6AF9392B" w14:textId="77777777" w:rsidR="00B34530" w:rsidRPr="00103DBC" w:rsidRDefault="00B34530" w:rsidP="00DD3C37">
            <w:pPr>
              <w:jc w:val="right"/>
            </w:pPr>
            <w:r w:rsidRPr="00103DBC">
              <w:t>7.8%</w:t>
            </w:r>
          </w:p>
        </w:tc>
      </w:tr>
      <w:tr w:rsidR="00B34530" w:rsidRPr="00103DBC" w14:paraId="01605FBD" w14:textId="77777777" w:rsidTr="00A854FD">
        <w:trPr>
          <w:trHeight w:val="300"/>
        </w:trPr>
        <w:tc>
          <w:tcPr>
            <w:tcW w:w="1271" w:type="dxa"/>
            <w:noWrap/>
            <w:hideMark/>
          </w:tcPr>
          <w:p w14:paraId="543BC710" w14:textId="77777777" w:rsidR="00B34530" w:rsidRPr="00103DBC" w:rsidRDefault="00B34530" w:rsidP="00DD3C37">
            <w:r w:rsidRPr="00103DBC">
              <w:t>CCG S</w:t>
            </w:r>
          </w:p>
        </w:tc>
        <w:tc>
          <w:tcPr>
            <w:tcW w:w="2029" w:type="dxa"/>
            <w:noWrap/>
            <w:hideMark/>
          </w:tcPr>
          <w:p w14:paraId="14508410" w14:textId="77777777" w:rsidR="00B34530" w:rsidRPr="00103DBC" w:rsidRDefault="00B34530" w:rsidP="00DD3C37">
            <w:pPr>
              <w:jc w:val="right"/>
            </w:pPr>
            <w:r w:rsidRPr="00103DBC">
              <w:t>9435</w:t>
            </w:r>
          </w:p>
        </w:tc>
        <w:tc>
          <w:tcPr>
            <w:tcW w:w="2180" w:type="dxa"/>
            <w:noWrap/>
            <w:hideMark/>
          </w:tcPr>
          <w:p w14:paraId="6FE705B8" w14:textId="77777777" w:rsidR="00B34530" w:rsidRPr="00103DBC" w:rsidRDefault="00B34530" w:rsidP="00DD3C37">
            <w:pPr>
              <w:jc w:val="right"/>
            </w:pPr>
            <w:r w:rsidRPr="00103DBC">
              <w:t>1353</w:t>
            </w:r>
          </w:p>
        </w:tc>
        <w:tc>
          <w:tcPr>
            <w:tcW w:w="960" w:type="dxa"/>
            <w:noWrap/>
            <w:hideMark/>
          </w:tcPr>
          <w:p w14:paraId="0CD34E9F" w14:textId="77777777" w:rsidR="00B34530" w:rsidRPr="00103DBC" w:rsidRDefault="00B34530" w:rsidP="00DD3C37">
            <w:pPr>
              <w:jc w:val="right"/>
            </w:pPr>
            <w:r w:rsidRPr="00103DBC">
              <w:t>14.3%</w:t>
            </w:r>
          </w:p>
        </w:tc>
        <w:tc>
          <w:tcPr>
            <w:tcW w:w="1117" w:type="dxa"/>
            <w:noWrap/>
            <w:hideMark/>
          </w:tcPr>
          <w:p w14:paraId="217BD718" w14:textId="77777777" w:rsidR="00B34530" w:rsidRPr="00103DBC" w:rsidRDefault="00B34530" w:rsidP="00DD3C37">
            <w:pPr>
              <w:jc w:val="right"/>
            </w:pPr>
            <w:r w:rsidRPr="00103DBC">
              <w:t>13.6%</w:t>
            </w:r>
          </w:p>
        </w:tc>
        <w:tc>
          <w:tcPr>
            <w:tcW w:w="1123" w:type="dxa"/>
            <w:noWrap/>
            <w:hideMark/>
          </w:tcPr>
          <w:p w14:paraId="26F78970" w14:textId="77777777" w:rsidR="00B34530" w:rsidRPr="00103DBC" w:rsidRDefault="00B34530" w:rsidP="00DD3C37">
            <w:pPr>
              <w:jc w:val="right"/>
            </w:pPr>
            <w:r w:rsidRPr="00103DBC">
              <w:t>15.1%</w:t>
            </w:r>
          </w:p>
        </w:tc>
      </w:tr>
      <w:tr w:rsidR="00B34530" w:rsidRPr="00103DBC" w14:paraId="110DCBF0" w14:textId="77777777" w:rsidTr="00A854FD">
        <w:trPr>
          <w:trHeight w:val="300"/>
        </w:trPr>
        <w:tc>
          <w:tcPr>
            <w:tcW w:w="1271" w:type="dxa"/>
            <w:noWrap/>
            <w:hideMark/>
          </w:tcPr>
          <w:p w14:paraId="6945852A" w14:textId="77777777" w:rsidR="00B34530" w:rsidRPr="00103DBC" w:rsidRDefault="00B34530" w:rsidP="00DD3C37">
            <w:r w:rsidRPr="00103DBC">
              <w:t>CCG T</w:t>
            </w:r>
          </w:p>
        </w:tc>
        <w:tc>
          <w:tcPr>
            <w:tcW w:w="2029" w:type="dxa"/>
            <w:noWrap/>
            <w:hideMark/>
          </w:tcPr>
          <w:p w14:paraId="2B127C3E" w14:textId="77777777" w:rsidR="00B34530" w:rsidRPr="00103DBC" w:rsidRDefault="00B34530" w:rsidP="00DD3C37">
            <w:pPr>
              <w:jc w:val="right"/>
            </w:pPr>
            <w:r w:rsidRPr="00103DBC">
              <w:t>2926</w:t>
            </w:r>
          </w:p>
        </w:tc>
        <w:tc>
          <w:tcPr>
            <w:tcW w:w="2180" w:type="dxa"/>
            <w:noWrap/>
            <w:hideMark/>
          </w:tcPr>
          <w:p w14:paraId="7F352F9C" w14:textId="77777777" w:rsidR="00B34530" w:rsidRPr="00103DBC" w:rsidRDefault="00B34530" w:rsidP="00DD3C37">
            <w:pPr>
              <w:jc w:val="right"/>
            </w:pPr>
            <w:r w:rsidRPr="00103DBC">
              <w:t>564</w:t>
            </w:r>
          </w:p>
        </w:tc>
        <w:tc>
          <w:tcPr>
            <w:tcW w:w="960" w:type="dxa"/>
            <w:noWrap/>
            <w:hideMark/>
          </w:tcPr>
          <w:p w14:paraId="367072C0" w14:textId="77777777" w:rsidR="00B34530" w:rsidRPr="00103DBC" w:rsidRDefault="00B34530" w:rsidP="00DD3C37">
            <w:pPr>
              <w:jc w:val="right"/>
            </w:pPr>
            <w:r w:rsidRPr="00103DBC">
              <w:t>19.3%</w:t>
            </w:r>
          </w:p>
        </w:tc>
        <w:tc>
          <w:tcPr>
            <w:tcW w:w="1117" w:type="dxa"/>
            <w:noWrap/>
            <w:hideMark/>
          </w:tcPr>
          <w:p w14:paraId="12EF0BFD" w14:textId="77777777" w:rsidR="00B34530" w:rsidRPr="00103DBC" w:rsidRDefault="00B34530" w:rsidP="00DD3C37">
            <w:pPr>
              <w:jc w:val="right"/>
            </w:pPr>
            <w:r w:rsidRPr="00103DBC">
              <w:t>17.9%</w:t>
            </w:r>
          </w:p>
        </w:tc>
        <w:tc>
          <w:tcPr>
            <w:tcW w:w="1123" w:type="dxa"/>
            <w:noWrap/>
            <w:hideMark/>
          </w:tcPr>
          <w:p w14:paraId="77ABB363" w14:textId="77777777" w:rsidR="00B34530" w:rsidRPr="00103DBC" w:rsidRDefault="00B34530" w:rsidP="00DD3C37">
            <w:pPr>
              <w:jc w:val="right"/>
            </w:pPr>
            <w:r w:rsidRPr="00103DBC">
              <w:t>20.7%</w:t>
            </w:r>
          </w:p>
        </w:tc>
      </w:tr>
      <w:tr w:rsidR="00A854FD" w:rsidRPr="00103DBC" w14:paraId="7A6AA744" w14:textId="77777777" w:rsidTr="00A854FD">
        <w:trPr>
          <w:trHeight w:val="300"/>
        </w:trPr>
        <w:tc>
          <w:tcPr>
            <w:tcW w:w="1271" w:type="dxa"/>
            <w:noWrap/>
          </w:tcPr>
          <w:p w14:paraId="383C2EDF" w14:textId="77777777" w:rsidR="00A854FD" w:rsidRPr="00103DBC" w:rsidRDefault="00A854FD" w:rsidP="00DD3C37"/>
        </w:tc>
        <w:tc>
          <w:tcPr>
            <w:tcW w:w="2029" w:type="dxa"/>
            <w:noWrap/>
          </w:tcPr>
          <w:p w14:paraId="77DF0377" w14:textId="77777777" w:rsidR="00A854FD" w:rsidRPr="00103DBC" w:rsidRDefault="00A854FD" w:rsidP="00DD3C37">
            <w:pPr>
              <w:jc w:val="right"/>
            </w:pPr>
          </w:p>
        </w:tc>
        <w:tc>
          <w:tcPr>
            <w:tcW w:w="2180" w:type="dxa"/>
            <w:noWrap/>
          </w:tcPr>
          <w:p w14:paraId="4194DFFF" w14:textId="77777777" w:rsidR="00A854FD" w:rsidRPr="00103DBC" w:rsidRDefault="00A854FD" w:rsidP="00DD3C37">
            <w:pPr>
              <w:jc w:val="right"/>
            </w:pPr>
          </w:p>
        </w:tc>
        <w:tc>
          <w:tcPr>
            <w:tcW w:w="960" w:type="dxa"/>
            <w:noWrap/>
          </w:tcPr>
          <w:p w14:paraId="0762058B" w14:textId="77777777" w:rsidR="00A854FD" w:rsidRPr="00103DBC" w:rsidRDefault="00A854FD" w:rsidP="00DD3C37">
            <w:pPr>
              <w:jc w:val="right"/>
            </w:pPr>
          </w:p>
        </w:tc>
        <w:tc>
          <w:tcPr>
            <w:tcW w:w="1117" w:type="dxa"/>
            <w:noWrap/>
          </w:tcPr>
          <w:p w14:paraId="567B590C" w14:textId="77777777" w:rsidR="00A854FD" w:rsidRPr="00103DBC" w:rsidRDefault="00A854FD" w:rsidP="00DD3C37">
            <w:pPr>
              <w:jc w:val="right"/>
            </w:pPr>
          </w:p>
        </w:tc>
        <w:tc>
          <w:tcPr>
            <w:tcW w:w="1123" w:type="dxa"/>
            <w:noWrap/>
          </w:tcPr>
          <w:p w14:paraId="5513FA00" w14:textId="77777777" w:rsidR="00A854FD" w:rsidRPr="00103DBC" w:rsidRDefault="00A854FD" w:rsidP="00DD3C37">
            <w:pPr>
              <w:jc w:val="right"/>
            </w:pPr>
          </w:p>
        </w:tc>
      </w:tr>
      <w:tr w:rsidR="00A854FD" w:rsidRPr="00103DBC" w14:paraId="488049DB" w14:textId="77777777" w:rsidTr="00A854FD">
        <w:trPr>
          <w:trHeight w:val="300"/>
        </w:trPr>
        <w:tc>
          <w:tcPr>
            <w:tcW w:w="1271" w:type="dxa"/>
            <w:noWrap/>
          </w:tcPr>
          <w:p w14:paraId="14D25DDF" w14:textId="64E1329B" w:rsidR="00A854FD" w:rsidRPr="00103DBC" w:rsidRDefault="00A854FD" w:rsidP="00DD3C37">
            <w:r w:rsidRPr="00103DBC">
              <w:rPr>
                <w:b/>
                <w:bCs/>
              </w:rPr>
              <w:t>Lowest 10</w:t>
            </w:r>
          </w:p>
        </w:tc>
        <w:tc>
          <w:tcPr>
            <w:tcW w:w="2029" w:type="dxa"/>
            <w:noWrap/>
          </w:tcPr>
          <w:p w14:paraId="6567E8FC" w14:textId="77777777" w:rsidR="00A854FD" w:rsidRPr="00103DBC" w:rsidRDefault="00A854FD" w:rsidP="00DD3C37">
            <w:pPr>
              <w:jc w:val="right"/>
            </w:pPr>
          </w:p>
        </w:tc>
        <w:tc>
          <w:tcPr>
            <w:tcW w:w="2180" w:type="dxa"/>
            <w:noWrap/>
          </w:tcPr>
          <w:p w14:paraId="5E61F57E" w14:textId="77777777" w:rsidR="00A854FD" w:rsidRPr="00103DBC" w:rsidRDefault="00A854FD" w:rsidP="00DD3C37">
            <w:pPr>
              <w:jc w:val="right"/>
            </w:pPr>
          </w:p>
        </w:tc>
        <w:tc>
          <w:tcPr>
            <w:tcW w:w="960" w:type="dxa"/>
            <w:noWrap/>
          </w:tcPr>
          <w:p w14:paraId="6F13DCD4" w14:textId="77777777" w:rsidR="00A854FD" w:rsidRPr="00103DBC" w:rsidRDefault="00A854FD" w:rsidP="00DD3C37">
            <w:pPr>
              <w:jc w:val="right"/>
            </w:pPr>
          </w:p>
        </w:tc>
        <w:tc>
          <w:tcPr>
            <w:tcW w:w="1117" w:type="dxa"/>
            <w:noWrap/>
          </w:tcPr>
          <w:p w14:paraId="680BAD18" w14:textId="77777777" w:rsidR="00A854FD" w:rsidRPr="00103DBC" w:rsidRDefault="00A854FD" w:rsidP="00DD3C37">
            <w:pPr>
              <w:jc w:val="right"/>
            </w:pPr>
          </w:p>
        </w:tc>
        <w:tc>
          <w:tcPr>
            <w:tcW w:w="1123" w:type="dxa"/>
            <w:noWrap/>
          </w:tcPr>
          <w:p w14:paraId="22FC6A21" w14:textId="77777777" w:rsidR="00A854FD" w:rsidRPr="00103DBC" w:rsidRDefault="00A854FD" w:rsidP="00DD3C37">
            <w:pPr>
              <w:jc w:val="right"/>
            </w:pPr>
          </w:p>
        </w:tc>
      </w:tr>
      <w:tr w:rsidR="00B34530" w:rsidRPr="00103DBC" w14:paraId="0A825883" w14:textId="77777777" w:rsidTr="00A854FD">
        <w:trPr>
          <w:trHeight w:val="300"/>
        </w:trPr>
        <w:tc>
          <w:tcPr>
            <w:tcW w:w="1271" w:type="dxa"/>
            <w:noWrap/>
            <w:hideMark/>
          </w:tcPr>
          <w:p w14:paraId="0E9804B4" w14:textId="77777777" w:rsidR="00B34530" w:rsidRPr="00103DBC" w:rsidRDefault="00B34530" w:rsidP="00DD3C37">
            <w:r w:rsidRPr="00103DBC">
              <w:t>CCG 001</w:t>
            </w:r>
          </w:p>
        </w:tc>
        <w:tc>
          <w:tcPr>
            <w:tcW w:w="2029" w:type="dxa"/>
            <w:noWrap/>
            <w:hideMark/>
          </w:tcPr>
          <w:p w14:paraId="78F930E6" w14:textId="77777777" w:rsidR="00B34530" w:rsidRPr="00103DBC" w:rsidRDefault="00B34530" w:rsidP="00DD3C37">
            <w:pPr>
              <w:jc w:val="right"/>
            </w:pPr>
            <w:r w:rsidRPr="00103DBC">
              <w:t>177</w:t>
            </w:r>
          </w:p>
        </w:tc>
        <w:tc>
          <w:tcPr>
            <w:tcW w:w="2180" w:type="dxa"/>
            <w:noWrap/>
            <w:hideMark/>
          </w:tcPr>
          <w:p w14:paraId="0AD5DAA6" w14:textId="77777777" w:rsidR="00B34530" w:rsidRPr="00103DBC" w:rsidRDefault="00B34530" w:rsidP="00DD3C37">
            <w:pPr>
              <w:jc w:val="right"/>
            </w:pPr>
            <w:r w:rsidRPr="00103DBC">
              <w:t>5</w:t>
            </w:r>
          </w:p>
        </w:tc>
        <w:tc>
          <w:tcPr>
            <w:tcW w:w="960" w:type="dxa"/>
            <w:noWrap/>
            <w:hideMark/>
          </w:tcPr>
          <w:p w14:paraId="4931C5C8" w14:textId="77777777" w:rsidR="00B34530" w:rsidRPr="00103DBC" w:rsidRDefault="00B34530" w:rsidP="00DD3C37">
            <w:pPr>
              <w:jc w:val="right"/>
            </w:pPr>
            <w:r w:rsidRPr="00103DBC">
              <w:t>2.8%</w:t>
            </w:r>
          </w:p>
        </w:tc>
        <w:tc>
          <w:tcPr>
            <w:tcW w:w="1117" w:type="dxa"/>
            <w:noWrap/>
            <w:hideMark/>
          </w:tcPr>
          <w:p w14:paraId="157D5B55" w14:textId="77777777" w:rsidR="00B34530" w:rsidRPr="00103DBC" w:rsidRDefault="00B34530" w:rsidP="00DD3C37">
            <w:pPr>
              <w:jc w:val="right"/>
            </w:pPr>
            <w:r w:rsidRPr="00103DBC">
              <w:t>1.2%</w:t>
            </w:r>
          </w:p>
        </w:tc>
        <w:tc>
          <w:tcPr>
            <w:tcW w:w="1123" w:type="dxa"/>
            <w:noWrap/>
            <w:hideMark/>
          </w:tcPr>
          <w:p w14:paraId="05257EE9" w14:textId="77777777" w:rsidR="00B34530" w:rsidRPr="00103DBC" w:rsidRDefault="00B34530" w:rsidP="00DD3C37">
            <w:pPr>
              <w:jc w:val="right"/>
            </w:pPr>
            <w:r w:rsidRPr="00103DBC">
              <w:t>6.4%</w:t>
            </w:r>
          </w:p>
        </w:tc>
      </w:tr>
      <w:tr w:rsidR="00B34530" w:rsidRPr="00103DBC" w14:paraId="078A4205" w14:textId="77777777" w:rsidTr="00A854FD">
        <w:trPr>
          <w:trHeight w:val="300"/>
        </w:trPr>
        <w:tc>
          <w:tcPr>
            <w:tcW w:w="1271" w:type="dxa"/>
            <w:noWrap/>
            <w:hideMark/>
          </w:tcPr>
          <w:p w14:paraId="458A3EFB" w14:textId="77777777" w:rsidR="00B34530" w:rsidRPr="00103DBC" w:rsidRDefault="00B34530" w:rsidP="00DD3C37">
            <w:r w:rsidRPr="00103DBC">
              <w:t>CCG 002</w:t>
            </w:r>
          </w:p>
        </w:tc>
        <w:tc>
          <w:tcPr>
            <w:tcW w:w="2029" w:type="dxa"/>
            <w:noWrap/>
            <w:hideMark/>
          </w:tcPr>
          <w:p w14:paraId="639EEF29" w14:textId="77777777" w:rsidR="00B34530" w:rsidRPr="00103DBC" w:rsidRDefault="00B34530" w:rsidP="00DD3C37">
            <w:pPr>
              <w:jc w:val="right"/>
            </w:pPr>
            <w:r w:rsidRPr="00103DBC">
              <w:t>8946</w:t>
            </w:r>
          </w:p>
        </w:tc>
        <w:tc>
          <w:tcPr>
            <w:tcW w:w="2180" w:type="dxa"/>
            <w:noWrap/>
            <w:hideMark/>
          </w:tcPr>
          <w:p w14:paraId="6349D8C6" w14:textId="77777777" w:rsidR="00B34530" w:rsidRPr="00103DBC" w:rsidRDefault="00B34530" w:rsidP="00DD3C37">
            <w:pPr>
              <w:jc w:val="right"/>
            </w:pPr>
            <w:r w:rsidRPr="00103DBC">
              <w:t>360</w:t>
            </w:r>
          </w:p>
        </w:tc>
        <w:tc>
          <w:tcPr>
            <w:tcW w:w="960" w:type="dxa"/>
            <w:noWrap/>
            <w:hideMark/>
          </w:tcPr>
          <w:p w14:paraId="230E1ED0" w14:textId="77777777" w:rsidR="00B34530" w:rsidRPr="00103DBC" w:rsidRDefault="00B34530" w:rsidP="00DD3C37">
            <w:pPr>
              <w:jc w:val="right"/>
            </w:pPr>
            <w:r w:rsidRPr="00103DBC">
              <w:t>4.0%</w:t>
            </w:r>
          </w:p>
        </w:tc>
        <w:tc>
          <w:tcPr>
            <w:tcW w:w="1117" w:type="dxa"/>
            <w:noWrap/>
            <w:hideMark/>
          </w:tcPr>
          <w:p w14:paraId="6FC0E734" w14:textId="77777777" w:rsidR="00B34530" w:rsidRPr="00103DBC" w:rsidRDefault="00B34530" w:rsidP="00DD3C37">
            <w:pPr>
              <w:jc w:val="right"/>
            </w:pPr>
            <w:r w:rsidRPr="00103DBC">
              <w:t>3.6%</w:t>
            </w:r>
          </w:p>
        </w:tc>
        <w:tc>
          <w:tcPr>
            <w:tcW w:w="1123" w:type="dxa"/>
            <w:noWrap/>
            <w:hideMark/>
          </w:tcPr>
          <w:p w14:paraId="5672A755" w14:textId="77777777" w:rsidR="00B34530" w:rsidRPr="00103DBC" w:rsidRDefault="00B34530" w:rsidP="00DD3C37">
            <w:pPr>
              <w:jc w:val="right"/>
            </w:pPr>
            <w:r w:rsidRPr="00103DBC">
              <w:t>4.5%</w:t>
            </w:r>
          </w:p>
        </w:tc>
      </w:tr>
      <w:tr w:rsidR="00B34530" w:rsidRPr="00103DBC" w14:paraId="22CE0D32" w14:textId="77777777" w:rsidTr="00A854FD">
        <w:trPr>
          <w:trHeight w:val="300"/>
        </w:trPr>
        <w:tc>
          <w:tcPr>
            <w:tcW w:w="1271" w:type="dxa"/>
            <w:noWrap/>
            <w:hideMark/>
          </w:tcPr>
          <w:p w14:paraId="5E1380FF" w14:textId="77777777" w:rsidR="00B34530" w:rsidRPr="00103DBC" w:rsidRDefault="00B34530" w:rsidP="00DD3C37">
            <w:r w:rsidRPr="00103DBC">
              <w:t>CCG 003</w:t>
            </w:r>
          </w:p>
        </w:tc>
        <w:tc>
          <w:tcPr>
            <w:tcW w:w="2029" w:type="dxa"/>
            <w:noWrap/>
            <w:hideMark/>
          </w:tcPr>
          <w:p w14:paraId="2D48A5E8" w14:textId="77777777" w:rsidR="00B34530" w:rsidRPr="00103DBC" w:rsidRDefault="00B34530" w:rsidP="00DD3C37">
            <w:pPr>
              <w:jc w:val="right"/>
            </w:pPr>
            <w:r w:rsidRPr="00103DBC">
              <w:t>15111</w:t>
            </w:r>
          </w:p>
        </w:tc>
        <w:tc>
          <w:tcPr>
            <w:tcW w:w="2180" w:type="dxa"/>
            <w:noWrap/>
            <w:hideMark/>
          </w:tcPr>
          <w:p w14:paraId="57118501" w14:textId="77777777" w:rsidR="00B34530" w:rsidRPr="00103DBC" w:rsidRDefault="00B34530" w:rsidP="00DD3C37">
            <w:pPr>
              <w:jc w:val="right"/>
            </w:pPr>
            <w:r w:rsidRPr="00103DBC">
              <w:t>665</w:t>
            </w:r>
          </w:p>
        </w:tc>
        <w:tc>
          <w:tcPr>
            <w:tcW w:w="960" w:type="dxa"/>
            <w:noWrap/>
            <w:hideMark/>
          </w:tcPr>
          <w:p w14:paraId="56285B64" w14:textId="77777777" w:rsidR="00B34530" w:rsidRPr="00103DBC" w:rsidRDefault="00B34530" w:rsidP="00DD3C37">
            <w:pPr>
              <w:jc w:val="right"/>
            </w:pPr>
            <w:r w:rsidRPr="00103DBC">
              <w:t>4.4%</w:t>
            </w:r>
          </w:p>
        </w:tc>
        <w:tc>
          <w:tcPr>
            <w:tcW w:w="1117" w:type="dxa"/>
            <w:noWrap/>
            <w:hideMark/>
          </w:tcPr>
          <w:p w14:paraId="6546F7F9" w14:textId="77777777" w:rsidR="00B34530" w:rsidRPr="00103DBC" w:rsidRDefault="00B34530" w:rsidP="00DD3C37">
            <w:pPr>
              <w:jc w:val="right"/>
            </w:pPr>
            <w:r w:rsidRPr="00103DBC">
              <w:t>4.1%</w:t>
            </w:r>
          </w:p>
        </w:tc>
        <w:tc>
          <w:tcPr>
            <w:tcW w:w="1123" w:type="dxa"/>
            <w:noWrap/>
            <w:hideMark/>
          </w:tcPr>
          <w:p w14:paraId="6EA3F3D4" w14:textId="77777777" w:rsidR="00B34530" w:rsidRPr="00103DBC" w:rsidRDefault="00B34530" w:rsidP="00DD3C37">
            <w:pPr>
              <w:jc w:val="right"/>
            </w:pPr>
            <w:r w:rsidRPr="00103DBC">
              <w:t>4.7%</w:t>
            </w:r>
          </w:p>
        </w:tc>
      </w:tr>
      <w:tr w:rsidR="00B34530" w:rsidRPr="00103DBC" w14:paraId="2E683E00" w14:textId="77777777" w:rsidTr="00A854FD">
        <w:trPr>
          <w:trHeight w:val="300"/>
        </w:trPr>
        <w:tc>
          <w:tcPr>
            <w:tcW w:w="1271" w:type="dxa"/>
            <w:noWrap/>
            <w:hideMark/>
          </w:tcPr>
          <w:p w14:paraId="55DCF055" w14:textId="77777777" w:rsidR="00B34530" w:rsidRPr="00103DBC" w:rsidRDefault="00B34530" w:rsidP="00DD3C37">
            <w:r w:rsidRPr="00103DBC">
              <w:t>CCG 004</w:t>
            </w:r>
          </w:p>
        </w:tc>
        <w:tc>
          <w:tcPr>
            <w:tcW w:w="2029" w:type="dxa"/>
            <w:noWrap/>
            <w:hideMark/>
          </w:tcPr>
          <w:p w14:paraId="17FCDD6D" w14:textId="77777777" w:rsidR="00B34530" w:rsidRPr="00103DBC" w:rsidRDefault="00B34530" w:rsidP="00DD3C37">
            <w:pPr>
              <w:jc w:val="right"/>
            </w:pPr>
            <w:r w:rsidRPr="00103DBC">
              <w:t>36969</w:t>
            </w:r>
          </w:p>
        </w:tc>
        <w:tc>
          <w:tcPr>
            <w:tcW w:w="2180" w:type="dxa"/>
            <w:noWrap/>
            <w:hideMark/>
          </w:tcPr>
          <w:p w14:paraId="5AC74B54" w14:textId="77777777" w:rsidR="00B34530" w:rsidRPr="00103DBC" w:rsidRDefault="00B34530" w:rsidP="00DD3C37">
            <w:pPr>
              <w:jc w:val="right"/>
            </w:pPr>
            <w:r w:rsidRPr="00103DBC">
              <w:t>1640</w:t>
            </w:r>
          </w:p>
        </w:tc>
        <w:tc>
          <w:tcPr>
            <w:tcW w:w="960" w:type="dxa"/>
            <w:noWrap/>
            <w:hideMark/>
          </w:tcPr>
          <w:p w14:paraId="2AA1C037" w14:textId="77777777" w:rsidR="00B34530" w:rsidRPr="00103DBC" w:rsidRDefault="00B34530" w:rsidP="00DD3C37">
            <w:pPr>
              <w:jc w:val="right"/>
            </w:pPr>
            <w:r w:rsidRPr="00103DBC">
              <w:t>4.4%</w:t>
            </w:r>
          </w:p>
        </w:tc>
        <w:tc>
          <w:tcPr>
            <w:tcW w:w="1117" w:type="dxa"/>
            <w:noWrap/>
            <w:hideMark/>
          </w:tcPr>
          <w:p w14:paraId="1A57CAA2" w14:textId="77777777" w:rsidR="00B34530" w:rsidRPr="00103DBC" w:rsidRDefault="00B34530" w:rsidP="00DD3C37">
            <w:pPr>
              <w:jc w:val="right"/>
            </w:pPr>
            <w:r w:rsidRPr="00103DBC">
              <w:t>4.2%</w:t>
            </w:r>
          </w:p>
        </w:tc>
        <w:tc>
          <w:tcPr>
            <w:tcW w:w="1123" w:type="dxa"/>
            <w:noWrap/>
            <w:hideMark/>
          </w:tcPr>
          <w:p w14:paraId="35057BB9" w14:textId="77777777" w:rsidR="00B34530" w:rsidRPr="00103DBC" w:rsidRDefault="00B34530" w:rsidP="00DD3C37">
            <w:pPr>
              <w:jc w:val="right"/>
            </w:pPr>
            <w:r w:rsidRPr="00103DBC">
              <w:t>4.7%</w:t>
            </w:r>
          </w:p>
        </w:tc>
      </w:tr>
      <w:tr w:rsidR="00B34530" w:rsidRPr="00103DBC" w14:paraId="69C743F3" w14:textId="77777777" w:rsidTr="00A854FD">
        <w:trPr>
          <w:trHeight w:val="300"/>
        </w:trPr>
        <w:tc>
          <w:tcPr>
            <w:tcW w:w="1271" w:type="dxa"/>
            <w:noWrap/>
            <w:hideMark/>
          </w:tcPr>
          <w:p w14:paraId="701F5F03" w14:textId="77777777" w:rsidR="00B34530" w:rsidRPr="00103DBC" w:rsidRDefault="00B34530" w:rsidP="00DD3C37">
            <w:r w:rsidRPr="00103DBC">
              <w:t>CCG 005</w:t>
            </w:r>
          </w:p>
        </w:tc>
        <w:tc>
          <w:tcPr>
            <w:tcW w:w="2029" w:type="dxa"/>
            <w:noWrap/>
            <w:hideMark/>
          </w:tcPr>
          <w:p w14:paraId="7E8CEE32" w14:textId="77777777" w:rsidR="00B34530" w:rsidRPr="00103DBC" w:rsidRDefault="00B34530" w:rsidP="00DD3C37">
            <w:pPr>
              <w:jc w:val="right"/>
            </w:pPr>
            <w:r w:rsidRPr="00103DBC">
              <w:t>6922</w:t>
            </w:r>
          </w:p>
        </w:tc>
        <w:tc>
          <w:tcPr>
            <w:tcW w:w="2180" w:type="dxa"/>
            <w:noWrap/>
            <w:hideMark/>
          </w:tcPr>
          <w:p w14:paraId="7F9AFAF5" w14:textId="77777777" w:rsidR="00B34530" w:rsidRPr="00103DBC" w:rsidRDefault="00B34530" w:rsidP="00DD3C37">
            <w:pPr>
              <w:jc w:val="right"/>
            </w:pPr>
            <w:r w:rsidRPr="00103DBC">
              <w:t>314</w:t>
            </w:r>
          </w:p>
        </w:tc>
        <w:tc>
          <w:tcPr>
            <w:tcW w:w="960" w:type="dxa"/>
            <w:noWrap/>
            <w:hideMark/>
          </w:tcPr>
          <w:p w14:paraId="779A8083" w14:textId="77777777" w:rsidR="00B34530" w:rsidRPr="00103DBC" w:rsidRDefault="00B34530" w:rsidP="00DD3C37">
            <w:pPr>
              <w:jc w:val="right"/>
            </w:pPr>
            <w:r w:rsidRPr="00103DBC">
              <w:t>4.5%</w:t>
            </w:r>
          </w:p>
        </w:tc>
        <w:tc>
          <w:tcPr>
            <w:tcW w:w="1117" w:type="dxa"/>
            <w:noWrap/>
            <w:hideMark/>
          </w:tcPr>
          <w:p w14:paraId="7D411700" w14:textId="77777777" w:rsidR="00B34530" w:rsidRPr="00103DBC" w:rsidRDefault="00B34530" w:rsidP="00DD3C37">
            <w:pPr>
              <w:jc w:val="right"/>
            </w:pPr>
            <w:r w:rsidRPr="00103DBC">
              <w:t>4.1%</w:t>
            </w:r>
          </w:p>
        </w:tc>
        <w:tc>
          <w:tcPr>
            <w:tcW w:w="1123" w:type="dxa"/>
            <w:noWrap/>
            <w:hideMark/>
          </w:tcPr>
          <w:p w14:paraId="451C4D1E" w14:textId="77777777" w:rsidR="00B34530" w:rsidRPr="00103DBC" w:rsidRDefault="00B34530" w:rsidP="00DD3C37">
            <w:pPr>
              <w:jc w:val="right"/>
            </w:pPr>
            <w:r w:rsidRPr="00103DBC">
              <w:t>5.1%</w:t>
            </w:r>
          </w:p>
        </w:tc>
      </w:tr>
      <w:tr w:rsidR="00B34530" w:rsidRPr="00103DBC" w14:paraId="280554F4" w14:textId="77777777" w:rsidTr="00A854FD">
        <w:trPr>
          <w:trHeight w:val="300"/>
        </w:trPr>
        <w:tc>
          <w:tcPr>
            <w:tcW w:w="1271" w:type="dxa"/>
            <w:noWrap/>
            <w:hideMark/>
          </w:tcPr>
          <w:p w14:paraId="1C86A921" w14:textId="77777777" w:rsidR="00B34530" w:rsidRPr="00103DBC" w:rsidRDefault="00B34530" w:rsidP="00DD3C37">
            <w:r w:rsidRPr="00103DBC">
              <w:t>CCG 006</w:t>
            </w:r>
          </w:p>
        </w:tc>
        <w:tc>
          <w:tcPr>
            <w:tcW w:w="2029" w:type="dxa"/>
            <w:noWrap/>
            <w:hideMark/>
          </w:tcPr>
          <w:p w14:paraId="75132762" w14:textId="77777777" w:rsidR="00B34530" w:rsidRPr="00103DBC" w:rsidRDefault="00B34530" w:rsidP="00DD3C37">
            <w:pPr>
              <w:jc w:val="right"/>
            </w:pPr>
            <w:r w:rsidRPr="00103DBC">
              <w:t>11614</w:t>
            </w:r>
          </w:p>
        </w:tc>
        <w:tc>
          <w:tcPr>
            <w:tcW w:w="2180" w:type="dxa"/>
            <w:noWrap/>
            <w:hideMark/>
          </w:tcPr>
          <w:p w14:paraId="7ADAD6FB" w14:textId="77777777" w:rsidR="00B34530" w:rsidRPr="00103DBC" w:rsidRDefault="00B34530" w:rsidP="00DD3C37">
            <w:pPr>
              <w:jc w:val="right"/>
            </w:pPr>
            <w:r w:rsidRPr="00103DBC">
              <w:t>547</w:t>
            </w:r>
          </w:p>
        </w:tc>
        <w:tc>
          <w:tcPr>
            <w:tcW w:w="960" w:type="dxa"/>
            <w:noWrap/>
            <w:hideMark/>
          </w:tcPr>
          <w:p w14:paraId="3876491B" w14:textId="77777777" w:rsidR="00B34530" w:rsidRPr="00103DBC" w:rsidRDefault="00B34530" w:rsidP="00DD3C37">
            <w:pPr>
              <w:jc w:val="right"/>
            </w:pPr>
            <w:r w:rsidRPr="00103DBC">
              <w:t>4.7%</w:t>
            </w:r>
          </w:p>
        </w:tc>
        <w:tc>
          <w:tcPr>
            <w:tcW w:w="1117" w:type="dxa"/>
            <w:noWrap/>
            <w:hideMark/>
          </w:tcPr>
          <w:p w14:paraId="2CDF5645" w14:textId="77777777" w:rsidR="00B34530" w:rsidRPr="00103DBC" w:rsidRDefault="00B34530" w:rsidP="00DD3C37">
            <w:pPr>
              <w:jc w:val="right"/>
            </w:pPr>
            <w:r w:rsidRPr="00103DBC">
              <w:t>4.3%</w:t>
            </w:r>
          </w:p>
        </w:tc>
        <w:tc>
          <w:tcPr>
            <w:tcW w:w="1123" w:type="dxa"/>
            <w:noWrap/>
            <w:hideMark/>
          </w:tcPr>
          <w:p w14:paraId="0EFD5728" w14:textId="77777777" w:rsidR="00B34530" w:rsidRPr="00103DBC" w:rsidRDefault="00B34530" w:rsidP="00DD3C37">
            <w:pPr>
              <w:jc w:val="right"/>
            </w:pPr>
            <w:r w:rsidRPr="00103DBC">
              <w:t>5.1%</w:t>
            </w:r>
          </w:p>
        </w:tc>
      </w:tr>
      <w:tr w:rsidR="00B34530" w:rsidRPr="00103DBC" w14:paraId="33446DA9" w14:textId="77777777" w:rsidTr="00A854FD">
        <w:trPr>
          <w:trHeight w:val="300"/>
        </w:trPr>
        <w:tc>
          <w:tcPr>
            <w:tcW w:w="1271" w:type="dxa"/>
            <w:noWrap/>
            <w:hideMark/>
          </w:tcPr>
          <w:p w14:paraId="6F98C9B0" w14:textId="77777777" w:rsidR="00B34530" w:rsidRPr="00103DBC" w:rsidRDefault="00B34530" w:rsidP="00DD3C37">
            <w:r w:rsidRPr="00103DBC">
              <w:t>CCG 007</w:t>
            </w:r>
          </w:p>
        </w:tc>
        <w:tc>
          <w:tcPr>
            <w:tcW w:w="2029" w:type="dxa"/>
            <w:noWrap/>
            <w:hideMark/>
          </w:tcPr>
          <w:p w14:paraId="537E55DB" w14:textId="77777777" w:rsidR="00B34530" w:rsidRPr="00103DBC" w:rsidRDefault="00B34530" w:rsidP="00DD3C37">
            <w:pPr>
              <w:jc w:val="right"/>
            </w:pPr>
            <w:r w:rsidRPr="00103DBC">
              <w:t>6184</w:t>
            </w:r>
          </w:p>
        </w:tc>
        <w:tc>
          <w:tcPr>
            <w:tcW w:w="2180" w:type="dxa"/>
            <w:noWrap/>
            <w:hideMark/>
          </w:tcPr>
          <w:p w14:paraId="30B08235" w14:textId="77777777" w:rsidR="00B34530" w:rsidRPr="00103DBC" w:rsidRDefault="00B34530" w:rsidP="00DD3C37">
            <w:pPr>
              <w:jc w:val="right"/>
            </w:pPr>
            <w:r w:rsidRPr="00103DBC">
              <w:t>293</w:t>
            </w:r>
          </w:p>
        </w:tc>
        <w:tc>
          <w:tcPr>
            <w:tcW w:w="960" w:type="dxa"/>
            <w:noWrap/>
            <w:hideMark/>
          </w:tcPr>
          <w:p w14:paraId="7E800850" w14:textId="77777777" w:rsidR="00B34530" w:rsidRPr="00103DBC" w:rsidRDefault="00B34530" w:rsidP="00DD3C37">
            <w:pPr>
              <w:jc w:val="right"/>
            </w:pPr>
            <w:r w:rsidRPr="00103DBC">
              <w:t>4.7%</w:t>
            </w:r>
          </w:p>
        </w:tc>
        <w:tc>
          <w:tcPr>
            <w:tcW w:w="1117" w:type="dxa"/>
            <w:noWrap/>
            <w:hideMark/>
          </w:tcPr>
          <w:p w14:paraId="10CBD5D5" w14:textId="77777777" w:rsidR="00B34530" w:rsidRPr="00103DBC" w:rsidRDefault="00B34530" w:rsidP="00DD3C37">
            <w:pPr>
              <w:jc w:val="right"/>
            </w:pPr>
            <w:r w:rsidRPr="00103DBC">
              <w:t>4.2%</w:t>
            </w:r>
          </w:p>
        </w:tc>
        <w:tc>
          <w:tcPr>
            <w:tcW w:w="1123" w:type="dxa"/>
            <w:noWrap/>
            <w:hideMark/>
          </w:tcPr>
          <w:p w14:paraId="76D70E17" w14:textId="77777777" w:rsidR="00B34530" w:rsidRPr="00103DBC" w:rsidRDefault="00B34530" w:rsidP="00DD3C37">
            <w:pPr>
              <w:jc w:val="right"/>
            </w:pPr>
            <w:r w:rsidRPr="00103DBC">
              <w:t>5.3%</w:t>
            </w:r>
          </w:p>
        </w:tc>
      </w:tr>
      <w:tr w:rsidR="00B34530" w:rsidRPr="00103DBC" w14:paraId="23AA1F07" w14:textId="77777777" w:rsidTr="00A854FD">
        <w:trPr>
          <w:trHeight w:val="300"/>
        </w:trPr>
        <w:tc>
          <w:tcPr>
            <w:tcW w:w="1271" w:type="dxa"/>
            <w:noWrap/>
            <w:hideMark/>
          </w:tcPr>
          <w:p w14:paraId="632FB60C" w14:textId="77777777" w:rsidR="00B34530" w:rsidRPr="00103DBC" w:rsidRDefault="00B34530" w:rsidP="00DD3C37">
            <w:r w:rsidRPr="00103DBC">
              <w:t>CCG 008</w:t>
            </w:r>
          </w:p>
        </w:tc>
        <w:tc>
          <w:tcPr>
            <w:tcW w:w="2029" w:type="dxa"/>
            <w:noWrap/>
            <w:hideMark/>
          </w:tcPr>
          <w:p w14:paraId="3867D967" w14:textId="77777777" w:rsidR="00B34530" w:rsidRPr="00103DBC" w:rsidRDefault="00B34530" w:rsidP="00DD3C37">
            <w:pPr>
              <w:jc w:val="right"/>
            </w:pPr>
            <w:r w:rsidRPr="00103DBC">
              <w:t>2944</w:t>
            </w:r>
          </w:p>
        </w:tc>
        <w:tc>
          <w:tcPr>
            <w:tcW w:w="2180" w:type="dxa"/>
            <w:noWrap/>
            <w:hideMark/>
          </w:tcPr>
          <w:p w14:paraId="030C259B" w14:textId="77777777" w:rsidR="00B34530" w:rsidRPr="00103DBC" w:rsidRDefault="00B34530" w:rsidP="00DD3C37">
            <w:pPr>
              <w:jc w:val="right"/>
            </w:pPr>
            <w:r w:rsidRPr="00103DBC">
              <w:t>142</w:t>
            </w:r>
          </w:p>
        </w:tc>
        <w:tc>
          <w:tcPr>
            <w:tcW w:w="960" w:type="dxa"/>
            <w:noWrap/>
            <w:hideMark/>
          </w:tcPr>
          <w:p w14:paraId="040B4EFA" w14:textId="77777777" w:rsidR="00B34530" w:rsidRPr="00103DBC" w:rsidRDefault="00B34530" w:rsidP="00DD3C37">
            <w:pPr>
              <w:jc w:val="right"/>
            </w:pPr>
            <w:r w:rsidRPr="00103DBC">
              <w:t>4.8%</w:t>
            </w:r>
          </w:p>
        </w:tc>
        <w:tc>
          <w:tcPr>
            <w:tcW w:w="1117" w:type="dxa"/>
            <w:noWrap/>
            <w:hideMark/>
          </w:tcPr>
          <w:p w14:paraId="40E191FB" w14:textId="77777777" w:rsidR="00B34530" w:rsidRPr="00103DBC" w:rsidRDefault="00B34530" w:rsidP="00DD3C37">
            <w:pPr>
              <w:jc w:val="right"/>
            </w:pPr>
            <w:r w:rsidRPr="00103DBC">
              <w:t>4.1%</w:t>
            </w:r>
          </w:p>
        </w:tc>
        <w:tc>
          <w:tcPr>
            <w:tcW w:w="1123" w:type="dxa"/>
            <w:noWrap/>
            <w:hideMark/>
          </w:tcPr>
          <w:p w14:paraId="28AA2DC1" w14:textId="77777777" w:rsidR="00B34530" w:rsidRPr="00103DBC" w:rsidRDefault="00B34530" w:rsidP="00DD3C37">
            <w:pPr>
              <w:jc w:val="right"/>
            </w:pPr>
            <w:r w:rsidRPr="00103DBC">
              <w:t>5.7%</w:t>
            </w:r>
          </w:p>
        </w:tc>
      </w:tr>
      <w:tr w:rsidR="00B34530" w:rsidRPr="00103DBC" w14:paraId="1F849038" w14:textId="77777777" w:rsidTr="00A854FD">
        <w:trPr>
          <w:trHeight w:val="300"/>
        </w:trPr>
        <w:tc>
          <w:tcPr>
            <w:tcW w:w="1271" w:type="dxa"/>
            <w:noWrap/>
            <w:hideMark/>
          </w:tcPr>
          <w:p w14:paraId="5075282F" w14:textId="77777777" w:rsidR="00B34530" w:rsidRPr="00103DBC" w:rsidRDefault="00B34530" w:rsidP="00DD3C37">
            <w:r w:rsidRPr="00103DBC">
              <w:t>CCG 009</w:t>
            </w:r>
          </w:p>
        </w:tc>
        <w:tc>
          <w:tcPr>
            <w:tcW w:w="2029" w:type="dxa"/>
            <w:noWrap/>
            <w:hideMark/>
          </w:tcPr>
          <w:p w14:paraId="39936858" w14:textId="77777777" w:rsidR="00B34530" w:rsidRPr="00103DBC" w:rsidRDefault="00B34530" w:rsidP="00DD3C37">
            <w:pPr>
              <w:jc w:val="right"/>
            </w:pPr>
            <w:r w:rsidRPr="00103DBC">
              <w:t>3141</w:t>
            </w:r>
          </w:p>
        </w:tc>
        <w:tc>
          <w:tcPr>
            <w:tcW w:w="2180" w:type="dxa"/>
            <w:noWrap/>
            <w:hideMark/>
          </w:tcPr>
          <w:p w14:paraId="6716C691" w14:textId="77777777" w:rsidR="00B34530" w:rsidRPr="00103DBC" w:rsidRDefault="00B34530" w:rsidP="00DD3C37">
            <w:pPr>
              <w:jc w:val="right"/>
            </w:pPr>
            <w:r w:rsidRPr="00103DBC">
              <w:t>152</w:t>
            </w:r>
          </w:p>
        </w:tc>
        <w:tc>
          <w:tcPr>
            <w:tcW w:w="960" w:type="dxa"/>
            <w:noWrap/>
            <w:hideMark/>
          </w:tcPr>
          <w:p w14:paraId="6FCC9744" w14:textId="77777777" w:rsidR="00B34530" w:rsidRPr="00103DBC" w:rsidRDefault="00B34530" w:rsidP="00DD3C37">
            <w:pPr>
              <w:jc w:val="right"/>
            </w:pPr>
            <w:r w:rsidRPr="00103DBC">
              <w:t>4.8%</w:t>
            </w:r>
          </w:p>
        </w:tc>
        <w:tc>
          <w:tcPr>
            <w:tcW w:w="1117" w:type="dxa"/>
            <w:noWrap/>
            <w:hideMark/>
          </w:tcPr>
          <w:p w14:paraId="16D40FCE" w14:textId="77777777" w:rsidR="00B34530" w:rsidRPr="00103DBC" w:rsidRDefault="00B34530" w:rsidP="00DD3C37">
            <w:pPr>
              <w:jc w:val="right"/>
            </w:pPr>
            <w:r w:rsidRPr="00103DBC">
              <w:t>4.1%</w:t>
            </w:r>
          </w:p>
        </w:tc>
        <w:tc>
          <w:tcPr>
            <w:tcW w:w="1123" w:type="dxa"/>
            <w:noWrap/>
            <w:hideMark/>
          </w:tcPr>
          <w:p w14:paraId="606F0E4D" w14:textId="77777777" w:rsidR="00B34530" w:rsidRPr="00103DBC" w:rsidRDefault="00B34530" w:rsidP="00DD3C37">
            <w:pPr>
              <w:jc w:val="right"/>
            </w:pPr>
            <w:r w:rsidRPr="00103DBC">
              <w:t>5.6%</w:t>
            </w:r>
          </w:p>
        </w:tc>
      </w:tr>
      <w:tr w:rsidR="00B34530" w:rsidRPr="00103DBC" w14:paraId="11412769" w14:textId="77777777" w:rsidTr="00A854FD">
        <w:trPr>
          <w:trHeight w:val="300"/>
        </w:trPr>
        <w:tc>
          <w:tcPr>
            <w:tcW w:w="1271" w:type="dxa"/>
            <w:noWrap/>
            <w:hideMark/>
          </w:tcPr>
          <w:p w14:paraId="3B9D6B91" w14:textId="77777777" w:rsidR="00B34530" w:rsidRPr="00103DBC" w:rsidRDefault="00B34530" w:rsidP="00DD3C37">
            <w:r w:rsidRPr="00103DBC">
              <w:lastRenderedPageBreak/>
              <w:t>CCG 010</w:t>
            </w:r>
          </w:p>
        </w:tc>
        <w:tc>
          <w:tcPr>
            <w:tcW w:w="2029" w:type="dxa"/>
            <w:noWrap/>
            <w:hideMark/>
          </w:tcPr>
          <w:p w14:paraId="21346E7F" w14:textId="77777777" w:rsidR="00B34530" w:rsidRPr="00103DBC" w:rsidRDefault="00B34530" w:rsidP="00DD3C37">
            <w:pPr>
              <w:jc w:val="right"/>
            </w:pPr>
            <w:r w:rsidRPr="00103DBC">
              <w:t>6443</w:t>
            </w:r>
          </w:p>
        </w:tc>
        <w:tc>
          <w:tcPr>
            <w:tcW w:w="2180" w:type="dxa"/>
            <w:noWrap/>
            <w:hideMark/>
          </w:tcPr>
          <w:p w14:paraId="737FC949" w14:textId="77777777" w:rsidR="00B34530" w:rsidRPr="00103DBC" w:rsidRDefault="00B34530" w:rsidP="00DD3C37">
            <w:pPr>
              <w:jc w:val="right"/>
            </w:pPr>
            <w:r w:rsidRPr="00103DBC">
              <w:t>312</w:t>
            </w:r>
          </w:p>
        </w:tc>
        <w:tc>
          <w:tcPr>
            <w:tcW w:w="960" w:type="dxa"/>
            <w:noWrap/>
            <w:hideMark/>
          </w:tcPr>
          <w:p w14:paraId="0859FCD8" w14:textId="77777777" w:rsidR="00B34530" w:rsidRPr="00103DBC" w:rsidRDefault="00B34530" w:rsidP="00DD3C37">
            <w:pPr>
              <w:jc w:val="right"/>
            </w:pPr>
            <w:r w:rsidRPr="00103DBC">
              <w:t>4.8%</w:t>
            </w:r>
          </w:p>
        </w:tc>
        <w:tc>
          <w:tcPr>
            <w:tcW w:w="1117" w:type="dxa"/>
            <w:noWrap/>
            <w:hideMark/>
          </w:tcPr>
          <w:p w14:paraId="7F459FBD" w14:textId="77777777" w:rsidR="00B34530" w:rsidRPr="00103DBC" w:rsidRDefault="00B34530" w:rsidP="00DD3C37">
            <w:pPr>
              <w:jc w:val="right"/>
            </w:pPr>
            <w:r w:rsidRPr="00103DBC">
              <w:t>4.3%</w:t>
            </w:r>
          </w:p>
        </w:tc>
        <w:tc>
          <w:tcPr>
            <w:tcW w:w="1123" w:type="dxa"/>
            <w:noWrap/>
            <w:hideMark/>
          </w:tcPr>
          <w:p w14:paraId="2D0E1B7C" w14:textId="77777777" w:rsidR="00B34530" w:rsidRPr="00103DBC" w:rsidRDefault="00B34530" w:rsidP="00DD3C37">
            <w:pPr>
              <w:jc w:val="right"/>
            </w:pPr>
            <w:r w:rsidRPr="00103DBC">
              <w:t>5.4%</w:t>
            </w:r>
          </w:p>
        </w:tc>
      </w:tr>
      <w:tr w:rsidR="00A854FD" w:rsidRPr="00103DBC" w14:paraId="5EECDE32" w14:textId="77777777" w:rsidTr="00A854FD">
        <w:trPr>
          <w:trHeight w:val="300"/>
        </w:trPr>
        <w:tc>
          <w:tcPr>
            <w:tcW w:w="1271" w:type="dxa"/>
            <w:noWrap/>
          </w:tcPr>
          <w:p w14:paraId="13AD76F4" w14:textId="77777777" w:rsidR="00A854FD" w:rsidRPr="00103DBC" w:rsidRDefault="00A854FD" w:rsidP="00DD3C37"/>
        </w:tc>
        <w:tc>
          <w:tcPr>
            <w:tcW w:w="2029" w:type="dxa"/>
            <w:noWrap/>
          </w:tcPr>
          <w:p w14:paraId="00B937A0" w14:textId="77777777" w:rsidR="00A854FD" w:rsidRPr="00103DBC" w:rsidRDefault="00A854FD" w:rsidP="00DD3C37">
            <w:pPr>
              <w:jc w:val="right"/>
            </w:pPr>
          </w:p>
        </w:tc>
        <w:tc>
          <w:tcPr>
            <w:tcW w:w="2180" w:type="dxa"/>
            <w:noWrap/>
          </w:tcPr>
          <w:p w14:paraId="5C97A574" w14:textId="77777777" w:rsidR="00A854FD" w:rsidRPr="00103DBC" w:rsidRDefault="00A854FD" w:rsidP="00DD3C37">
            <w:pPr>
              <w:jc w:val="right"/>
            </w:pPr>
          </w:p>
        </w:tc>
        <w:tc>
          <w:tcPr>
            <w:tcW w:w="960" w:type="dxa"/>
            <w:noWrap/>
          </w:tcPr>
          <w:p w14:paraId="40B3330D" w14:textId="77777777" w:rsidR="00A854FD" w:rsidRPr="00103DBC" w:rsidRDefault="00A854FD" w:rsidP="00DD3C37">
            <w:pPr>
              <w:jc w:val="right"/>
            </w:pPr>
          </w:p>
        </w:tc>
        <w:tc>
          <w:tcPr>
            <w:tcW w:w="1117" w:type="dxa"/>
            <w:noWrap/>
          </w:tcPr>
          <w:p w14:paraId="35BA4BD8" w14:textId="77777777" w:rsidR="00A854FD" w:rsidRPr="00103DBC" w:rsidRDefault="00A854FD" w:rsidP="00DD3C37">
            <w:pPr>
              <w:jc w:val="right"/>
            </w:pPr>
          </w:p>
        </w:tc>
        <w:tc>
          <w:tcPr>
            <w:tcW w:w="1123" w:type="dxa"/>
            <w:noWrap/>
          </w:tcPr>
          <w:p w14:paraId="46FC7A4E" w14:textId="77777777" w:rsidR="00A854FD" w:rsidRPr="00103DBC" w:rsidRDefault="00A854FD" w:rsidP="00DD3C37">
            <w:pPr>
              <w:jc w:val="right"/>
            </w:pPr>
          </w:p>
        </w:tc>
      </w:tr>
      <w:tr w:rsidR="00A854FD" w:rsidRPr="00103DBC" w14:paraId="73950CDC" w14:textId="77777777" w:rsidTr="00A854FD">
        <w:trPr>
          <w:trHeight w:val="300"/>
        </w:trPr>
        <w:tc>
          <w:tcPr>
            <w:tcW w:w="1271" w:type="dxa"/>
            <w:noWrap/>
          </w:tcPr>
          <w:p w14:paraId="148C1AB4" w14:textId="7360E165" w:rsidR="00A854FD" w:rsidRPr="00103DBC" w:rsidRDefault="00A854FD" w:rsidP="00DD3C37">
            <w:r w:rsidRPr="00103DBC">
              <w:rPr>
                <w:b/>
                <w:bCs/>
              </w:rPr>
              <w:t>Highest 10</w:t>
            </w:r>
          </w:p>
        </w:tc>
        <w:tc>
          <w:tcPr>
            <w:tcW w:w="2029" w:type="dxa"/>
            <w:noWrap/>
          </w:tcPr>
          <w:p w14:paraId="5DE93438" w14:textId="77777777" w:rsidR="00A854FD" w:rsidRPr="00103DBC" w:rsidRDefault="00A854FD" w:rsidP="00DD3C37">
            <w:pPr>
              <w:jc w:val="right"/>
            </w:pPr>
          </w:p>
        </w:tc>
        <w:tc>
          <w:tcPr>
            <w:tcW w:w="2180" w:type="dxa"/>
            <w:noWrap/>
          </w:tcPr>
          <w:p w14:paraId="56853776" w14:textId="77777777" w:rsidR="00A854FD" w:rsidRPr="00103DBC" w:rsidRDefault="00A854FD" w:rsidP="00DD3C37">
            <w:pPr>
              <w:jc w:val="right"/>
            </w:pPr>
          </w:p>
        </w:tc>
        <w:tc>
          <w:tcPr>
            <w:tcW w:w="960" w:type="dxa"/>
            <w:noWrap/>
          </w:tcPr>
          <w:p w14:paraId="4FAD9204" w14:textId="77777777" w:rsidR="00A854FD" w:rsidRPr="00103DBC" w:rsidRDefault="00A854FD" w:rsidP="00DD3C37">
            <w:pPr>
              <w:jc w:val="right"/>
            </w:pPr>
          </w:p>
        </w:tc>
        <w:tc>
          <w:tcPr>
            <w:tcW w:w="1117" w:type="dxa"/>
            <w:noWrap/>
          </w:tcPr>
          <w:p w14:paraId="50C78FB9" w14:textId="77777777" w:rsidR="00A854FD" w:rsidRPr="00103DBC" w:rsidRDefault="00A854FD" w:rsidP="00DD3C37">
            <w:pPr>
              <w:jc w:val="right"/>
            </w:pPr>
          </w:p>
        </w:tc>
        <w:tc>
          <w:tcPr>
            <w:tcW w:w="1123" w:type="dxa"/>
            <w:noWrap/>
          </w:tcPr>
          <w:p w14:paraId="12E1981B" w14:textId="77777777" w:rsidR="00A854FD" w:rsidRPr="00103DBC" w:rsidRDefault="00A854FD" w:rsidP="00DD3C37">
            <w:pPr>
              <w:jc w:val="right"/>
            </w:pPr>
          </w:p>
        </w:tc>
      </w:tr>
      <w:tr w:rsidR="00B34530" w:rsidRPr="00103DBC" w14:paraId="62E6E348" w14:textId="77777777" w:rsidTr="00A854FD">
        <w:trPr>
          <w:trHeight w:val="300"/>
        </w:trPr>
        <w:tc>
          <w:tcPr>
            <w:tcW w:w="1271" w:type="dxa"/>
            <w:noWrap/>
            <w:hideMark/>
          </w:tcPr>
          <w:p w14:paraId="1BA88C4D" w14:textId="77777777" w:rsidR="00B34530" w:rsidRPr="00103DBC" w:rsidRDefault="00B34530" w:rsidP="00DD3C37">
            <w:r w:rsidRPr="00103DBC">
              <w:t>CCG 202</w:t>
            </w:r>
          </w:p>
        </w:tc>
        <w:tc>
          <w:tcPr>
            <w:tcW w:w="2029" w:type="dxa"/>
            <w:noWrap/>
            <w:hideMark/>
          </w:tcPr>
          <w:p w14:paraId="2C1B34F3" w14:textId="77777777" w:rsidR="00B34530" w:rsidRPr="00103DBC" w:rsidRDefault="00B34530" w:rsidP="00DD3C37">
            <w:pPr>
              <w:jc w:val="right"/>
            </w:pPr>
            <w:r w:rsidRPr="00103DBC">
              <w:t>9070</w:t>
            </w:r>
          </w:p>
        </w:tc>
        <w:tc>
          <w:tcPr>
            <w:tcW w:w="2180" w:type="dxa"/>
            <w:noWrap/>
            <w:hideMark/>
          </w:tcPr>
          <w:p w14:paraId="2ACB12FD" w14:textId="77777777" w:rsidR="00B34530" w:rsidRPr="00103DBC" w:rsidRDefault="00B34530" w:rsidP="00DD3C37">
            <w:pPr>
              <w:jc w:val="right"/>
            </w:pPr>
            <w:r w:rsidRPr="00103DBC">
              <w:t>1795</w:t>
            </w:r>
          </w:p>
        </w:tc>
        <w:tc>
          <w:tcPr>
            <w:tcW w:w="960" w:type="dxa"/>
            <w:noWrap/>
            <w:hideMark/>
          </w:tcPr>
          <w:p w14:paraId="4BA43D0A" w14:textId="77777777" w:rsidR="00B34530" w:rsidRPr="00103DBC" w:rsidRDefault="00B34530" w:rsidP="00DD3C37">
            <w:pPr>
              <w:jc w:val="right"/>
            </w:pPr>
            <w:r w:rsidRPr="00103DBC">
              <w:t>19.8%</w:t>
            </w:r>
          </w:p>
        </w:tc>
        <w:tc>
          <w:tcPr>
            <w:tcW w:w="1117" w:type="dxa"/>
            <w:noWrap/>
            <w:hideMark/>
          </w:tcPr>
          <w:p w14:paraId="76C68D42" w14:textId="77777777" w:rsidR="00B34530" w:rsidRPr="00103DBC" w:rsidRDefault="00B34530" w:rsidP="00DD3C37">
            <w:pPr>
              <w:jc w:val="right"/>
            </w:pPr>
            <w:r w:rsidRPr="00103DBC">
              <w:t>19.0%</w:t>
            </w:r>
          </w:p>
        </w:tc>
        <w:tc>
          <w:tcPr>
            <w:tcW w:w="1123" w:type="dxa"/>
            <w:noWrap/>
            <w:hideMark/>
          </w:tcPr>
          <w:p w14:paraId="3A261B02" w14:textId="77777777" w:rsidR="00B34530" w:rsidRPr="00103DBC" w:rsidRDefault="00B34530" w:rsidP="00DD3C37">
            <w:pPr>
              <w:jc w:val="right"/>
            </w:pPr>
            <w:r w:rsidRPr="00103DBC">
              <w:t>20.6%</w:t>
            </w:r>
          </w:p>
        </w:tc>
      </w:tr>
      <w:tr w:rsidR="00B34530" w:rsidRPr="00103DBC" w14:paraId="33394010" w14:textId="77777777" w:rsidTr="00A854FD">
        <w:trPr>
          <w:trHeight w:val="300"/>
        </w:trPr>
        <w:tc>
          <w:tcPr>
            <w:tcW w:w="1271" w:type="dxa"/>
            <w:noWrap/>
            <w:hideMark/>
          </w:tcPr>
          <w:p w14:paraId="4EAA2CE7" w14:textId="77777777" w:rsidR="00B34530" w:rsidRPr="00103DBC" w:rsidRDefault="00B34530" w:rsidP="00DD3C37">
            <w:r w:rsidRPr="00103DBC">
              <w:t>CCG 203</w:t>
            </w:r>
          </w:p>
        </w:tc>
        <w:tc>
          <w:tcPr>
            <w:tcW w:w="2029" w:type="dxa"/>
            <w:noWrap/>
            <w:hideMark/>
          </w:tcPr>
          <w:p w14:paraId="71897B66" w14:textId="77777777" w:rsidR="00B34530" w:rsidRPr="00103DBC" w:rsidRDefault="00B34530" w:rsidP="00DD3C37">
            <w:pPr>
              <w:jc w:val="right"/>
            </w:pPr>
            <w:r w:rsidRPr="00103DBC">
              <w:t>4156</w:t>
            </w:r>
          </w:p>
        </w:tc>
        <w:tc>
          <w:tcPr>
            <w:tcW w:w="2180" w:type="dxa"/>
            <w:noWrap/>
            <w:hideMark/>
          </w:tcPr>
          <w:p w14:paraId="424FDDF5" w14:textId="77777777" w:rsidR="00B34530" w:rsidRPr="00103DBC" w:rsidRDefault="00B34530" w:rsidP="00DD3C37">
            <w:pPr>
              <w:jc w:val="right"/>
            </w:pPr>
            <w:r w:rsidRPr="00103DBC">
              <w:t>847</w:t>
            </w:r>
          </w:p>
        </w:tc>
        <w:tc>
          <w:tcPr>
            <w:tcW w:w="960" w:type="dxa"/>
            <w:noWrap/>
            <w:hideMark/>
          </w:tcPr>
          <w:p w14:paraId="0D02DB0C" w14:textId="77777777" w:rsidR="00B34530" w:rsidRPr="00103DBC" w:rsidRDefault="00B34530" w:rsidP="00DD3C37">
            <w:pPr>
              <w:jc w:val="right"/>
            </w:pPr>
            <w:r w:rsidRPr="00103DBC">
              <w:t>20.4%</w:t>
            </w:r>
          </w:p>
        </w:tc>
        <w:tc>
          <w:tcPr>
            <w:tcW w:w="1117" w:type="dxa"/>
            <w:noWrap/>
            <w:hideMark/>
          </w:tcPr>
          <w:p w14:paraId="419A0312" w14:textId="77777777" w:rsidR="00B34530" w:rsidRPr="00103DBC" w:rsidRDefault="00B34530" w:rsidP="00DD3C37">
            <w:pPr>
              <w:jc w:val="right"/>
            </w:pPr>
            <w:r w:rsidRPr="00103DBC">
              <w:t>19.2%</w:t>
            </w:r>
          </w:p>
        </w:tc>
        <w:tc>
          <w:tcPr>
            <w:tcW w:w="1123" w:type="dxa"/>
            <w:noWrap/>
            <w:hideMark/>
          </w:tcPr>
          <w:p w14:paraId="4C74ADB8" w14:textId="77777777" w:rsidR="00B34530" w:rsidRPr="00103DBC" w:rsidRDefault="00B34530" w:rsidP="00DD3C37">
            <w:pPr>
              <w:jc w:val="right"/>
            </w:pPr>
            <w:r w:rsidRPr="00103DBC">
              <w:t>21.6%</w:t>
            </w:r>
          </w:p>
        </w:tc>
      </w:tr>
      <w:tr w:rsidR="00B34530" w:rsidRPr="00103DBC" w14:paraId="1E589859" w14:textId="77777777" w:rsidTr="00A854FD">
        <w:trPr>
          <w:trHeight w:val="300"/>
        </w:trPr>
        <w:tc>
          <w:tcPr>
            <w:tcW w:w="1271" w:type="dxa"/>
            <w:noWrap/>
            <w:hideMark/>
          </w:tcPr>
          <w:p w14:paraId="365B85F2" w14:textId="77777777" w:rsidR="00B34530" w:rsidRPr="00103DBC" w:rsidRDefault="00B34530" w:rsidP="00DD3C37">
            <w:r w:rsidRPr="00103DBC">
              <w:t>CCG 204</w:t>
            </w:r>
          </w:p>
        </w:tc>
        <w:tc>
          <w:tcPr>
            <w:tcW w:w="2029" w:type="dxa"/>
            <w:noWrap/>
            <w:hideMark/>
          </w:tcPr>
          <w:p w14:paraId="702E7079" w14:textId="77777777" w:rsidR="00B34530" w:rsidRPr="00103DBC" w:rsidRDefault="00B34530" w:rsidP="00DD3C37">
            <w:pPr>
              <w:jc w:val="right"/>
            </w:pPr>
            <w:r w:rsidRPr="00103DBC">
              <w:t>1601</w:t>
            </w:r>
          </w:p>
        </w:tc>
        <w:tc>
          <w:tcPr>
            <w:tcW w:w="2180" w:type="dxa"/>
            <w:noWrap/>
            <w:hideMark/>
          </w:tcPr>
          <w:p w14:paraId="409DD0D0" w14:textId="77777777" w:rsidR="00B34530" w:rsidRPr="00103DBC" w:rsidRDefault="00B34530" w:rsidP="00DD3C37">
            <w:pPr>
              <w:jc w:val="right"/>
            </w:pPr>
            <w:r w:rsidRPr="00103DBC">
              <w:t>336</w:t>
            </w:r>
          </w:p>
        </w:tc>
        <w:tc>
          <w:tcPr>
            <w:tcW w:w="960" w:type="dxa"/>
            <w:noWrap/>
            <w:hideMark/>
          </w:tcPr>
          <w:p w14:paraId="016082F9" w14:textId="77777777" w:rsidR="00B34530" w:rsidRPr="00103DBC" w:rsidRDefault="00B34530" w:rsidP="00DD3C37">
            <w:pPr>
              <w:jc w:val="right"/>
            </w:pPr>
            <w:r w:rsidRPr="00103DBC">
              <w:t>21.0%</w:t>
            </w:r>
          </w:p>
        </w:tc>
        <w:tc>
          <w:tcPr>
            <w:tcW w:w="1117" w:type="dxa"/>
            <w:noWrap/>
            <w:hideMark/>
          </w:tcPr>
          <w:p w14:paraId="6E8D41E7" w14:textId="77777777" w:rsidR="00B34530" w:rsidRPr="00103DBC" w:rsidRDefault="00B34530" w:rsidP="00DD3C37">
            <w:pPr>
              <w:jc w:val="right"/>
            </w:pPr>
            <w:r w:rsidRPr="00103DBC">
              <w:t>19.1%</w:t>
            </w:r>
          </w:p>
        </w:tc>
        <w:tc>
          <w:tcPr>
            <w:tcW w:w="1123" w:type="dxa"/>
            <w:noWrap/>
            <w:hideMark/>
          </w:tcPr>
          <w:p w14:paraId="3C2624A5" w14:textId="77777777" w:rsidR="00B34530" w:rsidRPr="00103DBC" w:rsidRDefault="00B34530" w:rsidP="00DD3C37">
            <w:pPr>
              <w:jc w:val="right"/>
            </w:pPr>
            <w:r w:rsidRPr="00103DBC">
              <w:t>23.0%</w:t>
            </w:r>
          </w:p>
        </w:tc>
      </w:tr>
      <w:tr w:rsidR="00B34530" w:rsidRPr="00103DBC" w14:paraId="3EF8230F" w14:textId="77777777" w:rsidTr="00A854FD">
        <w:trPr>
          <w:trHeight w:val="300"/>
        </w:trPr>
        <w:tc>
          <w:tcPr>
            <w:tcW w:w="1271" w:type="dxa"/>
            <w:noWrap/>
            <w:hideMark/>
          </w:tcPr>
          <w:p w14:paraId="47D94FF8" w14:textId="77777777" w:rsidR="00B34530" w:rsidRPr="00103DBC" w:rsidRDefault="00B34530" w:rsidP="00DD3C37">
            <w:r w:rsidRPr="00103DBC">
              <w:t>CCG 205</w:t>
            </w:r>
          </w:p>
        </w:tc>
        <w:tc>
          <w:tcPr>
            <w:tcW w:w="2029" w:type="dxa"/>
            <w:noWrap/>
            <w:hideMark/>
          </w:tcPr>
          <w:p w14:paraId="76DDBB6D" w14:textId="77777777" w:rsidR="00B34530" w:rsidRPr="00103DBC" w:rsidRDefault="00B34530" w:rsidP="00DD3C37">
            <w:pPr>
              <w:jc w:val="right"/>
            </w:pPr>
            <w:r w:rsidRPr="00103DBC">
              <w:t>6629</w:t>
            </w:r>
          </w:p>
        </w:tc>
        <w:tc>
          <w:tcPr>
            <w:tcW w:w="2180" w:type="dxa"/>
            <w:noWrap/>
            <w:hideMark/>
          </w:tcPr>
          <w:p w14:paraId="336C38BD" w14:textId="77777777" w:rsidR="00B34530" w:rsidRPr="00103DBC" w:rsidRDefault="00B34530" w:rsidP="00DD3C37">
            <w:pPr>
              <w:jc w:val="right"/>
            </w:pPr>
            <w:r w:rsidRPr="00103DBC">
              <w:t>1467</w:t>
            </w:r>
          </w:p>
        </w:tc>
        <w:tc>
          <w:tcPr>
            <w:tcW w:w="960" w:type="dxa"/>
            <w:noWrap/>
            <w:hideMark/>
          </w:tcPr>
          <w:p w14:paraId="59C9731D" w14:textId="77777777" w:rsidR="00B34530" w:rsidRPr="00103DBC" w:rsidRDefault="00B34530" w:rsidP="00DD3C37">
            <w:pPr>
              <w:jc w:val="right"/>
            </w:pPr>
            <w:r w:rsidRPr="00103DBC">
              <w:t>22.1%</w:t>
            </w:r>
          </w:p>
        </w:tc>
        <w:tc>
          <w:tcPr>
            <w:tcW w:w="1117" w:type="dxa"/>
            <w:noWrap/>
            <w:hideMark/>
          </w:tcPr>
          <w:p w14:paraId="2052122D" w14:textId="77777777" w:rsidR="00B34530" w:rsidRPr="00103DBC" w:rsidRDefault="00B34530" w:rsidP="00DD3C37">
            <w:pPr>
              <w:jc w:val="right"/>
            </w:pPr>
            <w:r w:rsidRPr="00103DBC">
              <w:t>21.1%</w:t>
            </w:r>
          </w:p>
        </w:tc>
        <w:tc>
          <w:tcPr>
            <w:tcW w:w="1123" w:type="dxa"/>
            <w:noWrap/>
            <w:hideMark/>
          </w:tcPr>
          <w:p w14:paraId="07901EBE" w14:textId="77777777" w:rsidR="00B34530" w:rsidRPr="00103DBC" w:rsidRDefault="00B34530" w:rsidP="00DD3C37">
            <w:pPr>
              <w:jc w:val="right"/>
            </w:pPr>
            <w:r w:rsidRPr="00103DBC">
              <w:t>23.1%</w:t>
            </w:r>
          </w:p>
        </w:tc>
      </w:tr>
      <w:tr w:rsidR="00B34530" w:rsidRPr="00103DBC" w14:paraId="101A3402" w14:textId="77777777" w:rsidTr="00A854FD">
        <w:trPr>
          <w:trHeight w:val="300"/>
        </w:trPr>
        <w:tc>
          <w:tcPr>
            <w:tcW w:w="1271" w:type="dxa"/>
            <w:noWrap/>
            <w:hideMark/>
          </w:tcPr>
          <w:p w14:paraId="5065CD97" w14:textId="77777777" w:rsidR="00B34530" w:rsidRPr="00103DBC" w:rsidRDefault="00B34530" w:rsidP="00DD3C37">
            <w:r w:rsidRPr="00103DBC">
              <w:t>CCG 206</w:t>
            </w:r>
          </w:p>
        </w:tc>
        <w:tc>
          <w:tcPr>
            <w:tcW w:w="2029" w:type="dxa"/>
            <w:noWrap/>
            <w:hideMark/>
          </w:tcPr>
          <w:p w14:paraId="6C8CFD35" w14:textId="77777777" w:rsidR="00B34530" w:rsidRPr="00103DBC" w:rsidRDefault="00B34530" w:rsidP="00DD3C37">
            <w:pPr>
              <w:jc w:val="right"/>
            </w:pPr>
            <w:r w:rsidRPr="00103DBC">
              <w:t>4409</w:t>
            </w:r>
          </w:p>
        </w:tc>
        <w:tc>
          <w:tcPr>
            <w:tcW w:w="2180" w:type="dxa"/>
            <w:noWrap/>
            <w:hideMark/>
          </w:tcPr>
          <w:p w14:paraId="77DAD4E9" w14:textId="77777777" w:rsidR="00B34530" w:rsidRPr="00103DBC" w:rsidRDefault="00B34530" w:rsidP="00DD3C37">
            <w:pPr>
              <w:jc w:val="right"/>
            </w:pPr>
            <w:r w:rsidRPr="00103DBC">
              <w:t>1012</w:t>
            </w:r>
          </w:p>
        </w:tc>
        <w:tc>
          <w:tcPr>
            <w:tcW w:w="960" w:type="dxa"/>
            <w:noWrap/>
            <w:hideMark/>
          </w:tcPr>
          <w:p w14:paraId="2126D5D3" w14:textId="77777777" w:rsidR="00B34530" w:rsidRPr="00103DBC" w:rsidRDefault="00B34530" w:rsidP="00DD3C37">
            <w:pPr>
              <w:jc w:val="right"/>
            </w:pPr>
            <w:r w:rsidRPr="00103DBC">
              <w:t>23.0%</w:t>
            </w:r>
          </w:p>
        </w:tc>
        <w:tc>
          <w:tcPr>
            <w:tcW w:w="1117" w:type="dxa"/>
            <w:noWrap/>
            <w:hideMark/>
          </w:tcPr>
          <w:p w14:paraId="69E5B7C5" w14:textId="77777777" w:rsidR="00B34530" w:rsidRPr="00103DBC" w:rsidRDefault="00B34530" w:rsidP="00DD3C37">
            <w:pPr>
              <w:jc w:val="right"/>
            </w:pPr>
            <w:r w:rsidRPr="00103DBC">
              <w:t>21.7%</w:t>
            </w:r>
          </w:p>
        </w:tc>
        <w:tc>
          <w:tcPr>
            <w:tcW w:w="1123" w:type="dxa"/>
            <w:noWrap/>
            <w:hideMark/>
          </w:tcPr>
          <w:p w14:paraId="2CC802A5" w14:textId="77777777" w:rsidR="00B34530" w:rsidRPr="00103DBC" w:rsidRDefault="00B34530" w:rsidP="00DD3C37">
            <w:pPr>
              <w:jc w:val="right"/>
            </w:pPr>
            <w:r w:rsidRPr="00103DBC">
              <w:t>24.2%</w:t>
            </w:r>
          </w:p>
        </w:tc>
      </w:tr>
      <w:tr w:rsidR="00B34530" w:rsidRPr="00103DBC" w14:paraId="5908E957" w14:textId="77777777" w:rsidTr="00A854FD">
        <w:trPr>
          <w:trHeight w:val="300"/>
        </w:trPr>
        <w:tc>
          <w:tcPr>
            <w:tcW w:w="1271" w:type="dxa"/>
            <w:noWrap/>
            <w:hideMark/>
          </w:tcPr>
          <w:p w14:paraId="5849EFD1" w14:textId="77777777" w:rsidR="00B34530" w:rsidRPr="00103DBC" w:rsidRDefault="00B34530" w:rsidP="00DD3C37">
            <w:r w:rsidRPr="00103DBC">
              <w:t>CCG 207</w:t>
            </w:r>
          </w:p>
        </w:tc>
        <w:tc>
          <w:tcPr>
            <w:tcW w:w="2029" w:type="dxa"/>
            <w:noWrap/>
            <w:hideMark/>
          </w:tcPr>
          <w:p w14:paraId="2781FC85" w14:textId="77777777" w:rsidR="00B34530" w:rsidRPr="00103DBC" w:rsidRDefault="00B34530" w:rsidP="00DD3C37">
            <w:pPr>
              <w:jc w:val="right"/>
            </w:pPr>
            <w:r w:rsidRPr="00103DBC">
              <w:t>2219</w:t>
            </w:r>
          </w:p>
        </w:tc>
        <w:tc>
          <w:tcPr>
            <w:tcW w:w="2180" w:type="dxa"/>
            <w:noWrap/>
            <w:hideMark/>
          </w:tcPr>
          <w:p w14:paraId="40C13AC1" w14:textId="77777777" w:rsidR="00B34530" w:rsidRPr="00103DBC" w:rsidRDefault="00B34530" w:rsidP="00DD3C37">
            <w:pPr>
              <w:jc w:val="right"/>
            </w:pPr>
            <w:r w:rsidRPr="00103DBC">
              <w:t>513</w:t>
            </w:r>
          </w:p>
        </w:tc>
        <w:tc>
          <w:tcPr>
            <w:tcW w:w="960" w:type="dxa"/>
            <w:noWrap/>
            <w:hideMark/>
          </w:tcPr>
          <w:p w14:paraId="4FF7E00B" w14:textId="77777777" w:rsidR="00B34530" w:rsidRPr="00103DBC" w:rsidRDefault="00B34530" w:rsidP="00DD3C37">
            <w:pPr>
              <w:jc w:val="right"/>
            </w:pPr>
            <w:r w:rsidRPr="00103DBC">
              <w:t>23.1%</w:t>
            </w:r>
          </w:p>
        </w:tc>
        <w:tc>
          <w:tcPr>
            <w:tcW w:w="1117" w:type="dxa"/>
            <w:noWrap/>
            <w:hideMark/>
          </w:tcPr>
          <w:p w14:paraId="735AEF58" w14:textId="77777777" w:rsidR="00B34530" w:rsidRPr="00103DBC" w:rsidRDefault="00B34530" w:rsidP="00DD3C37">
            <w:pPr>
              <w:jc w:val="right"/>
            </w:pPr>
            <w:r w:rsidRPr="00103DBC">
              <w:t>21.4%</w:t>
            </w:r>
          </w:p>
        </w:tc>
        <w:tc>
          <w:tcPr>
            <w:tcW w:w="1123" w:type="dxa"/>
            <w:noWrap/>
            <w:hideMark/>
          </w:tcPr>
          <w:p w14:paraId="029CEBA6" w14:textId="77777777" w:rsidR="00B34530" w:rsidRPr="00103DBC" w:rsidRDefault="00B34530" w:rsidP="00DD3C37">
            <w:pPr>
              <w:jc w:val="right"/>
            </w:pPr>
            <w:r w:rsidRPr="00103DBC">
              <w:t>24.9%</w:t>
            </w:r>
          </w:p>
        </w:tc>
      </w:tr>
      <w:tr w:rsidR="00B34530" w:rsidRPr="00103DBC" w14:paraId="3782EFEE" w14:textId="77777777" w:rsidTr="00A854FD">
        <w:trPr>
          <w:trHeight w:val="300"/>
        </w:trPr>
        <w:tc>
          <w:tcPr>
            <w:tcW w:w="1271" w:type="dxa"/>
            <w:noWrap/>
            <w:hideMark/>
          </w:tcPr>
          <w:p w14:paraId="45EC84A0" w14:textId="77777777" w:rsidR="00B34530" w:rsidRPr="00103DBC" w:rsidRDefault="00B34530" w:rsidP="00DD3C37">
            <w:r w:rsidRPr="00103DBC">
              <w:t>CCG 208</w:t>
            </w:r>
          </w:p>
        </w:tc>
        <w:tc>
          <w:tcPr>
            <w:tcW w:w="2029" w:type="dxa"/>
            <w:noWrap/>
            <w:hideMark/>
          </w:tcPr>
          <w:p w14:paraId="1DA8CCB0" w14:textId="77777777" w:rsidR="00B34530" w:rsidRPr="00103DBC" w:rsidRDefault="00B34530" w:rsidP="00DD3C37">
            <w:pPr>
              <w:jc w:val="right"/>
            </w:pPr>
            <w:r w:rsidRPr="00103DBC">
              <w:t>2891</w:t>
            </w:r>
          </w:p>
        </w:tc>
        <w:tc>
          <w:tcPr>
            <w:tcW w:w="2180" w:type="dxa"/>
            <w:noWrap/>
            <w:hideMark/>
          </w:tcPr>
          <w:p w14:paraId="6FC13841" w14:textId="77777777" w:rsidR="00B34530" w:rsidRPr="00103DBC" w:rsidRDefault="00B34530" w:rsidP="00DD3C37">
            <w:pPr>
              <w:jc w:val="right"/>
            </w:pPr>
            <w:r w:rsidRPr="00103DBC">
              <w:t>840</w:t>
            </w:r>
          </w:p>
        </w:tc>
        <w:tc>
          <w:tcPr>
            <w:tcW w:w="960" w:type="dxa"/>
            <w:noWrap/>
            <w:hideMark/>
          </w:tcPr>
          <w:p w14:paraId="6297F7EB" w14:textId="77777777" w:rsidR="00B34530" w:rsidRPr="00103DBC" w:rsidRDefault="00B34530" w:rsidP="00DD3C37">
            <w:pPr>
              <w:jc w:val="right"/>
            </w:pPr>
            <w:r w:rsidRPr="00103DBC">
              <w:t>29.1%</w:t>
            </w:r>
          </w:p>
        </w:tc>
        <w:tc>
          <w:tcPr>
            <w:tcW w:w="1117" w:type="dxa"/>
            <w:noWrap/>
            <w:hideMark/>
          </w:tcPr>
          <w:p w14:paraId="7B0ED832" w14:textId="77777777" w:rsidR="00B34530" w:rsidRPr="00103DBC" w:rsidRDefault="00B34530" w:rsidP="00DD3C37">
            <w:pPr>
              <w:jc w:val="right"/>
            </w:pPr>
            <w:r w:rsidRPr="00103DBC">
              <w:t>27.4%</w:t>
            </w:r>
          </w:p>
        </w:tc>
        <w:tc>
          <w:tcPr>
            <w:tcW w:w="1123" w:type="dxa"/>
            <w:noWrap/>
            <w:hideMark/>
          </w:tcPr>
          <w:p w14:paraId="0388F09A" w14:textId="77777777" w:rsidR="00B34530" w:rsidRPr="00103DBC" w:rsidRDefault="00B34530" w:rsidP="00DD3C37">
            <w:pPr>
              <w:jc w:val="right"/>
            </w:pPr>
            <w:r w:rsidRPr="00103DBC">
              <w:t>30.7%</w:t>
            </w:r>
          </w:p>
        </w:tc>
      </w:tr>
      <w:tr w:rsidR="00B34530" w:rsidRPr="00103DBC" w14:paraId="702FAAD8" w14:textId="77777777" w:rsidTr="00A854FD">
        <w:trPr>
          <w:trHeight w:val="300"/>
        </w:trPr>
        <w:tc>
          <w:tcPr>
            <w:tcW w:w="1271" w:type="dxa"/>
            <w:noWrap/>
            <w:hideMark/>
          </w:tcPr>
          <w:p w14:paraId="353B48D7" w14:textId="77777777" w:rsidR="00B34530" w:rsidRPr="00103DBC" w:rsidRDefault="00B34530" w:rsidP="00DD3C37">
            <w:r w:rsidRPr="00103DBC">
              <w:t>CCG 209</w:t>
            </w:r>
          </w:p>
        </w:tc>
        <w:tc>
          <w:tcPr>
            <w:tcW w:w="2029" w:type="dxa"/>
            <w:noWrap/>
            <w:hideMark/>
          </w:tcPr>
          <w:p w14:paraId="3E662F9B" w14:textId="77777777" w:rsidR="00B34530" w:rsidRPr="00103DBC" w:rsidRDefault="00B34530" w:rsidP="00DD3C37">
            <w:pPr>
              <w:jc w:val="right"/>
            </w:pPr>
            <w:r w:rsidRPr="00103DBC">
              <w:t>3373</w:t>
            </w:r>
          </w:p>
        </w:tc>
        <w:tc>
          <w:tcPr>
            <w:tcW w:w="2180" w:type="dxa"/>
            <w:noWrap/>
            <w:hideMark/>
          </w:tcPr>
          <w:p w14:paraId="713D1C6E" w14:textId="77777777" w:rsidR="00B34530" w:rsidRPr="00103DBC" w:rsidRDefault="00B34530" w:rsidP="00DD3C37">
            <w:pPr>
              <w:jc w:val="right"/>
            </w:pPr>
            <w:r w:rsidRPr="00103DBC">
              <w:t>1110</w:t>
            </w:r>
          </w:p>
        </w:tc>
        <w:tc>
          <w:tcPr>
            <w:tcW w:w="960" w:type="dxa"/>
            <w:noWrap/>
            <w:hideMark/>
          </w:tcPr>
          <w:p w14:paraId="5078A0F8" w14:textId="77777777" w:rsidR="00B34530" w:rsidRPr="00103DBC" w:rsidRDefault="00B34530" w:rsidP="00DD3C37">
            <w:pPr>
              <w:jc w:val="right"/>
            </w:pPr>
            <w:r w:rsidRPr="00103DBC">
              <w:t>32.9%</w:t>
            </w:r>
          </w:p>
        </w:tc>
        <w:tc>
          <w:tcPr>
            <w:tcW w:w="1117" w:type="dxa"/>
            <w:noWrap/>
            <w:hideMark/>
          </w:tcPr>
          <w:p w14:paraId="3EC4316C" w14:textId="77777777" w:rsidR="00B34530" w:rsidRPr="00103DBC" w:rsidRDefault="00B34530" w:rsidP="00DD3C37">
            <w:pPr>
              <w:jc w:val="right"/>
            </w:pPr>
            <w:r w:rsidRPr="00103DBC">
              <w:t>31.3%</w:t>
            </w:r>
          </w:p>
        </w:tc>
        <w:tc>
          <w:tcPr>
            <w:tcW w:w="1123" w:type="dxa"/>
            <w:noWrap/>
            <w:hideMark/>
          </w:tcPr>
          <w:p w14:paraId="07A8C239" w14:textId="77777777" w:rsidR="00B34530" w:rsidRPr="00103DBC" w:rsidRDefault="00B34530" w:rsidP="00DD3C37">
            <w:pPr>
              <w:jc w:val="right"/>
            </w:pPr>
            <w:r w:rsidRPr="00103DBC">
              <w:t>34.5%</w:t>
            </w:r>
          </w:p>
        </w:tc>
      </w:tr>
      <w:tr w:rsidR="00B34530" w:rsidRPr="00103DBC" w14:paraId="3BEB6552" w14:textId="77777777" w:rsidTr="00A854FD">
        <w:trPr>
          <w:trHeight w:val="300"/>
        </w:trPr>
        <w:tc>
          <w:tcPr>
            <w:tcW w:w="1271" w:type="dxa"/>
            <w:noWrap/>
            <w:hideMark/>
          </w:tcPr>
          <w:p w14:paraId="6FBA0BC3" w14:textId="77777777" w:rsidR="00B34530" w:rsidRPr="00103DBC" w:rsidRDefault="00B34530" w:rsidP="00DD3C37">
            <w:r w:rsidRPr="00103DBC">
              <w:t>CCG 210</w:t>
            </w:r>
          </w:p>
        </w:tc>
        <w:tc>
          <w:tcPr>
            <w:tcW w:w="2029" w:type="dxa"/>
            <w:noWrap/>
            <w:hideMark/>
          </w:tcPr>
          <w:p w14:paraId="4F623C3D" w14:textId="77777777" w:rsidR="00B34530" w:rsidRPr="00103DBC" w:rsidRDefault="00B34530" w:rsidP="00DD3C37">
            <w:pPr>
              <w:jc w:val="right"/>
            </w:pPr>
            <w:r w:rsidRPr="00103DBC">
              <w:t>1622</w:t>
            </w:r>
          </w:p>
        </w:tc>
        <w:tc>
          <w:tcPr>
            <w:tcW w:w="2180" w:type="dxa"/>
            <w:noWrap/>
            <w:hideMark/>
          </w:tcPr>
          <w:p w14:paraId="06ADC881" w14:textId="77777777" w:rsidR="00B34530" w:rsidRPr="00103DBC" w:rsidRDefault="00B34530" w:rsidP="00DD3C37">
            <w:pPr>
              <w:jc w:val="right"/>
            </w:pPr>
            <w:r w:rsidRPr="00103DBC">
              <w:t>580</w:t>
            </w:r>
          </w:p>
        </w:tc>
        <w:tc>
          <w:tcPr>
            <w:tcW w:w="960" w:type="dxa"/>
            <w:noWrap/>
            <w:hideMark/>
          </w:tcPr>
          <w:p w14:paraId="53F1B642" w14:textId="77777777" w:rsidR="00B34530" w:rsidRPr="00103DBC" w:rsidRDefault="00B34530" w:rsidP="00DD3C37">
            <w:pPr>
              <w:jc w:val="right"/>
            </w:pPr>
            <w:r w:rsidRPr="00103DBC">
              <w:t>35.8%</w:t>
            </w:r>
          </w:p>
        </w:tc>
        <w:tc>
          <w:tcPr>
            <w:tcW w:w="1117" w:type="dxa"/>
            <w:noWrap/>
            <w:hideMark/>
          </w:tcPr>
          <w:p w14:paraId="7AE9E10F" w14:textId="77777777" w:rsidR="00B34530" w:rsidRPr="00103DBC" w:rsidRDefault="00B34530" w:rsidP="00DD3C37">
            <w:pPr>
              <w:jc w:val="right"/>
            </w:pPr>
            <w:r w:rsidRPr="00103DBC">
              <w:t>33.5%</w:t>
            </w:r>
          </w:p>
        </w:tc>
        <w:tc>
          <w:tcPr>
            <w:tcW w:w="1123" w:type="dxa"/>
            <w:noWrap/>
            <w:hideMark/>
          </w:tcPr>
          <w:p w14:paraId="796BE98B" w14:textId="77777777" w:rsidR="00B34530" w:rsidRPr="00103DBC" w:rsidRDefault="00B34530" w:rsidP="00DD3C37">
            <w:pPr>
              <w:jc w:val="right"/>
            </w:pPr>
            <w:r w:rsidRPr="00103DBC">
              <w:t>38.1%</w:t>
            </w:r>
          </w:p>
        </w:tc>
      </w:tr>
      <w:tr w:rsidR="00B34530" w:rsidRPr="00103DBC" w14:paraId="2DBC6B29" w14:textId="77777777" w:rsidTr="00A854FD">
        <w:trPr>
          <w:trHeight w:val="300"/>
        </w:trPr>
        <w:tc>
          <w:tcPr>
            <w:tcW w:w="1271" w:type="dxa"/>
            <w:noWrap/>
            <w:hideMark/>
          </w:tcPr>
          <w:p w14:paraId="509ABCF3" w14:textId="77777777" w:rsidR="00B34530" w:rsidRPr="00103DBC" w:rsidRDefault="00B34530" w:rsidP="00DD3C37">
            <w:r w:rsidRPr="00103DBC">
              <w:t>CCG 211</w:t>
            </w:r>
          </w:p>
        </w:tc>
        <w:tc>
          <w:tcPr>
            <w:tcW w:w="2029" w:type="dxa"/>
            <w:noWrap/>
            <w:hideMark/>
          </w:tcPr>
          <w:p w14:paraId="5B4F9F07" w14:textId="77777777" w:rsidR="00B34530" w:rsidRPr="00103DBC" w:rsidRDefault="00B34530" w:rsidP="00DD3C37">
            <w:pPr>
              <w:jc w:val="right"/>
            </w:pPr>
            <w:r w:rsidRPr="00103DBC">
              <w:t>1467</w:t>
            </w:r>
          </w:p>
        </w:tc>
        <w:tc>
          <w:tcPr>
            <w:tcW w:w="2180" w:type="dxa"/>
            <w:noWrap/>
            <w:hideMark/>
          </w:tcPr>
          <w:p w14:paraId="1894A6D6" w14:textId="77777777" w:rsidR="00B34530" w:rsidRPr="00103DBC" w:rsidRDefault="00B34530" w:rsidP="00DD3C37">
            <w:pPr>
              <w:jc w:val="right"/>
            </w:pPr>
            <w:r w:rsidRPr="00103DBC">
              <w:t>614</w:t>
            </w:r>
          </w:p>
        </w:tc>
        <w:tc>
          <w:tcPr>
            <w:tcW w:w="960" w:type="dxa"/>
            <w:noWrap/>
            <w:hideMark/>
          </w:tcPr>
          <w:p w14:paraId="19D12AAC" w14:textId="77777777" w:rsidR="00B34530" w:rsidRPr="00103DBC" w:rsidRDefault="00B34530" w:rsidP="00DD3C37">
            <w:pPr>
              <w:jc w:val="right"/>
            </w:pPr>
            <w:r w:rsidRPr="00103DBC">
              <w:t>41.9%</w:t>
            </w:r>
          </w:p>
        </w:tc>
        <w:tc>
          <w:tcPr>
            <w:tcW w:w="1117" w:type="dxa"/>
            <w:noWrap/>
            <w:hideMark/>
          </w:tcPr>
          <w:p w14:paraId="085ED48A" w14:textId="77777777" w:rsidR="00B34530" w:rsidRPr="00103DBC" w:rsidRDefault="00B34530" w:rsidP="00DD3C37">
            <w:pPr>
              <w:jc w:val="right"/>
            </w:pPr>
            <w:r w:rsidRPr="00103DBC">
              <w:t>39.4%</w:t>
            </w:r>
          </w:p>
        </w:tc>
        <w:tc>
          <w:tcPr>
            <w:tcW w:w="1123" w:type="dxa"/>
            <w:noWrap/>
            <w:hideMark/>
          </w:tcPr>
          <w:p w14:paraId="390C739F" w14:textId="77777777" w:rsidR="00B34530" w:rsidRPr="00103DBC" w:rsidRDefault="00B34530" w:rsidP="00DD3C37">
            <w:pPr>
              <w:jc w:val="right"/>
            </w:pPr>
            <w:r w:rsidRPr="00103DBC">
              <w:t>44.4%</w:t>
            </w:r>
          </w:p>
        </w:tc>
      </w:tr>
    </w:tbl>
    <w:p w14:paraId="65B4E918" w14:textId="2B0AC9F0" w:rsidR="000D2247" w:rsidRPr="00103DBC" w:rsidRDefault="000D2247" w:rsidP="00103DBC">
      <w:pPr>
        <w:rPr>
          <w:b/>
        </w:rPr>
      </w:pPr>
    </w:p>
    <w:p w14:paraId="3F23A97E" w14:textId="562A18E5" w:rsidR="000D2247" w:rsidRPr="00103DBC" w:rsidRDefault="000D2247" w:rsidP="00103DBC">
      <w:pPr>
        <w:rPr>
          <w:b/>
        </w:rPr>
      </w:pPr>
    </w:p>
    <w:p w14:paraId="344771A1" w14:textId="77777777" w:rsidR="00A854FD" w:rsidRDefault="00A854FD">
      <w:r>
        <w:br w:type="page"/>
      </w:r>
    </w:p>
    <w:p w14:paraId="685F1E26" w14:textId="4D93A5AB" w:rsidR="000D2247" w:rsidRPr="00103DBC" w:rsidRDefault="000D2247" w:rsidP="00A854FD">
      <w:pPr>
        <w:ind w:left="-851" w:firstLine="851"/>
      </w:pPr>
      <w:r w:rsidRPr="00103DBC">
        <w:lastRenderedPageBreak/>
        <w:t>MRG Recommendations, Comments &amp; Updates:</w:t>
      </w:r>
    </w:p>
    <w:p w14:paraId="24148F3E" w14:textId="77777777" w:rsidR="000D2247" w:rsidRPr="00103DBC" w:rsidRDefault="000D2247" w:rsidP="00103DBC">
      <w:pPr>
        <w:ind w:left="-567"/>
      </w:pPr>
    </w:p>
    <w:p w14:paraId="43C80588" w14:textId="77777777" w:rsidR="000D2247" w:rsidRPr="00103DBC" w:rsidRDefault="000D2247" w:rsidP="00103DBC">
      <w:pPr>
        <w:ind w:left="-567"/>
      </w:pPr>
    </w:p>
    <w:tbl>
      <w:tblPr>
        <w:tblStyle w:val="TableGrid"/>
        <w:tblW w:w="9493" w:type="dxa"/>
        <w:tblLayout w:type="fixed"/>
        <w:tblLook w:val="01E0" w:firstRow="1" w:lastRow="1" w:firstColumn="1" w:lastColumn="1" w:noHBand="0" w:noVBand="0"/>
      </w:tblPr>
      <w:tblGrid>
        <w:gridCol w:w="1844"/>
        <w:gridCol w:w="7649"/>
      </w:tblGrid>
      <w:tr w:rsidR="00103DBC" w:rsidRPr="00103DBC" w14:paraId="218B317D" w14:textId="77777777" w:rsidTr="00A854FD">
        <w:tc>
          <w:tcPr>
            <w:tcW w:w="1844" w:type="dxa"/>
          </w:tcPr>
          <w:p w14:paraId="7FA74ED3" w14:textId="77777777" w:rsidR="000D2247" w:rsidRPr="00103DBC" w:rsidRDefault="000D2247" w:rsidP="00103DBC">
            <w:r w:rsidRPr="00103DBC">
              <w:t>Summary of Discussion</w:t>
            </w:r>
          </w:p>
        </w:tc>
        <w:tc>
          <w:tcPr>
            <w:tcW w:w="7649" w:type="dxa"/>
          </w:tcPr>
          <w:p w14:paraId="5087E68B" w14:textId="41547F5B" w:rsidR="000D2247" w:rsidRPr="00103DBC" w:rsidRDefault="000D2247" w:rsidP="00103DBC">
            <w:r w:rsidRPr="00103DBC">
              <w:t xml:space="preserve">NHS England have asked for the </w:t>
            </w:r>
            <w:r w:rsidR="004D28F6" w:rsidRPr="00103DBC">
              <w:t>indicator</w:t>
            </w:r>
            <w:r w:rsidRPr="00103DBC">
              <w:t xml:space="preserve"> to be produced.  Although similar indicators exist these are not produced at CCG level. The indicator is not standardised, in line with other employment indicators.</w:t>
            </w:r>
          </w:p>
          <w:p w14:paraId="08A43FEF" w14:textId="22757387" w:rsidR="000D2247" w:rsidRPr="00103DBC" w:rsidRDefault="000D2247" w:rsidP="00103DBC">
            <w:r w:rsidRPr="00103DBC">
              <w:t xml:space="preserve">It was suggested that in this indicator the title should be changed from ‘Proportion of’ to ‘Percentage of’. This applies to a number of the other indicators presented at this </w:t>
            </w:r>
            <w:r w:rsidR="004D28F6" w:rsidRPr="00103DBC">
              <w:t>meeting;</w:t>
            </w:r>
            <w:r w:rsidRPr="00103DBC">
              <w:t xml:space="preserve"> </w:t>
            </w:r>
            <w:r w:rsidR="004D28F6" w:rsidRPr="00103DBC">
              <w:t>however,</w:t>
            </w:r>
            <w:r w:rsidRPr="00103DBC">
              <w:t xml:space="preserve"> it was also noted that the approach taken in Public Health is to use the </w:t>
            </w:r>
            <w:proofErr w:type="gramStart"/>
            <w:r w:rsidRPr="00103DBC">
              <w:t>description  ‘</w:t>
            </w:r>
            <w:proofErr w:type="gramEnd"/>
            <w:r w:rsidRPr="00103DBC">
              <w:t xml:space="preserve">Proportion …, expressed as a percentage’. </w:t>
            </w:r>
          </w:p>
          <w:p w14:paraId="20357AB5" w14:textId="77777777" w:rsidR="000D2247" w:rsidRPr="00103DBC" w:rsidRDefault="000D2247" w:rsidP="00103DBC">
            <w:r w:rsidRPr="00103DBC">
              <w:t xml:space="preserve">MRG queried what would happen if an individual had more than one interaction with mental health services, would they be counted more than once? The applicant replied that individuals were counted so they would be counted once. It was then asked where an individual would be counted if they moved, and so had contact with more than one CCG. The applicant replied that as far as he was aware it would be the last episode that would be counted but this needed checking.  It was also asked if MHMDS data tracked an individual </w:t>
            </w:r>
            <w:proofErr w:type="gramStart"/>
            <w:r w:rsidRPr="00103DBC">
              <w:t>in the event that</w:t>
            </w:r>
            <w:proofErr w:type="gramEnd"/>
            <w:r w:rsidRPr="00103DBC">
              <w:t xml:space="preserve"> they moved. The applicant replied that it did as it is based on NHS number.  MRG requested that it was clarified that it was checked across CCGs to ensure that patients are not duplicated in the data.</w:t>
            </w:r>
          </w:p>
          <w:p w14:paraId="3EB14526" w14:textId="13ED914D" w:rsidR="000D2247" w:rsidRPr="00103DBC" w:rsidRDefault="000D2247" w:rsidP="00103DBC">
            <w:r w:rsidRPr="00103DBC">
              <w:t xml:space="preserve">A question was raised about differences in the severity of mental illness and how this would be reflected in the indicator. The applicant replied that this is not reflected in the </w:t>
            </w:r>
            <w:proofErr w:type="gramStart"/>
            <w:r w:rsidRPr="00103DBC">
              <w:t>indicator .</w:t>
            </w:r>
            <w:proofErr w:type="gramEnd"/>
            <w:r w:rsidRPr="00103DBC">
              <w:t xml:space="preserve">  There was a query about what secondary care </w:t>
            </w:r>
            <w:proofErr w:type="gramStart"/>
            <w:r w:rsidRPr="00103DBC">
              <w:t>actually meant</w:t>
            </w:r>
            <w:proofErr w:type="gramEnd"/>
            <w:r w:rsidRPr="00103DBC">
              <w:t xml:space="preserve"> and comment that this covered a wide variation. The applicant explained that this includes people who may have had one outpatient appointment in a quarter or may have been in hospital. It was noted that there may be a difference in approaches with CCGs and how they provide services, e.g. some encouraging outpatient appointments, which could be highlighted by this indicator, therefore It may be of interest to see if there were a difference between CCGs in the effect of severity of illness on the indicator. It was noted that there were different models of care e.g. Tower Hamlets work to move people away from secondary care lists and have them managed by GPs. The less severe patients are therefore managed in primary care and </w:t>
            </w:r>
            <w:proofErr w:type="gramStart"/>
            <w:r w:rsidRPr="00103DBC">
              <w:t>whether or not</w:t>
            </w:r>
            <w:proofErr w:type="gramEnd"/>
            <w:r w:rsidRPr="00103DBC">
              <w:t xml:space="preserve"> such approaches are adopted could have an impact on this indicator. Although it was felt that this may call into question some of the data, as this is an indicator of an issue, a caveat could be placed on it rather than disregarding the </w:t>
            </w:r>
            <w:r w:rsidR="004D28F6" w:rsidRPr="00103DBC">
              <w:t>usefulness</w:t>
            </w:r>
            <w:r w:rsidRPr="00103DBC">
              <w:t xml:space="preserve"> of the indicator itself.</w:t>
            </w:r>
          </w:p>
          <w:p w14:paraId="31B6A304" w14:textId="77777777" w:rsidR="000D2247" w:rsidRPr="00103DBC" w:rsidRDefault="000D2247" w:rsidP="00103DBC">
            <w:r w:rsidRPr="00103DBC">
              <w:t xml:space="preserve">MRG queried whether when the applicant describes the indicator as </w:t>
            </w:r>
            <w:proofErr w:type="gramStart"/>
            <w:r w:rsidRPr="00103DBC">
              <w:t>having  a</w:t>
            </w:r>
            <w:proofErr w:type="gramEnd"/>
            <w:r w:rsidRPr="00103DBC">
              <w:t xml:space="preserve"> ‘similar’ definition to ASCOF, it really meant the same, just the areas were different. It was noted that the methodology described is not the same as the Public Health Outcomes Framework indicator. The PHOF indicator shows the difference between two employment rates at local authority level: adults in contact with secondary mental health services in paid employment, compared to the percentage of all respondents to the Annual Population Survey.  The proposed indicator is </w:t>
            </w:r>
            <w:proofErr w:type="gramStart"/>
            <w:r w:rsidRPr="00103DBC">
              <w:t>similar to</w:t>
            </w:r>
            <w:proofErr w:type="gramEnd"/>
            <w:r w:rsidRPr="00103DBC">
              <w:t xml:space="preserve"> the first bit of this.</w:t>
            </w:r>
          </w:p>
          <w:p w14:paraId="46988C9F" w14:textId="77777777" w:rsidR="000D2247" w:rsidRPr="00103DBC" w:rsidRDefault="000D2247" w:rsidP="00103DBC">
            <w:r w:rsidRPr="00103DBC">
              <w:t xml:space="preserve">It was also noted that the indicator doesn’t </w:t>
            </w:r>
            <w:proofErr w:type="gramStart"/>
            <w:r w:rsidRPr="00103DBC">
              <w:t>take into account</w:t>
            </w:r>
            <w:proofErr w:type="gramEnd"/>
            <w:r w:rsidRPr="00103DBC">
              <w:t xml:space="preserve"> the state of the local background unemployment rate. This indicator is </w:t>
            </w:r>
            <w:proofErr w:type="gramStart"/>
            <w:r w:rsidRPr="00103DBC">
              <w:t>similar to</w:t>
            </w:r>
            <w:proofErr w:type="gramEnd"/>
            <w:r w:rsidRPr="00103DBC">
              <w:t xml:space="preserve"> the ASCOF definition but with subtle differences after taking advice from the mental health team at HSCIC, this indicator looks at everyone on the MHMDS whereas ASCOF is (at the moment) restricted to people on the Care Programme Approach.</w:t>
            </w:r>
          </w:p>
          <w:p w14:paraId="65578421" w14:textId="14ECBB07" w:rsidR="000D2247" w:rsidRPr="00103DBC" w:rsidRDefault="000D2247" w:rsidP="00103DBC">
            <w:r w:rsidRPr="00103DBC">
              <w:lastRenderedPageBreak/>
              <w:t xml:space="preserve">The number of indicators measuring the subject with different </w:t>
            </w:r>
            <w:r w:rsidR="004D28F6" w:rsidRPr="00103DBC">
              <w:t>definitions</w:t>
            </w:r>
            <w:r w:rsidRPr="00103DBC">
              <w:t xml:space="preserve"> was questioned, alongside if the creation of another was justifiable. If definition is tied to the ASCOF this was considered acceptable however the creation of a fourth definition was not desirable. It was queried as to what extent this indicator added value over the ones already in existence. The applicant replied that the value was that it was produced at CCG level (the other indicators are only available at Local Authority level). These existing indicators are not able to be reproduced at this level. MRG felt that a specific statement should be made to this effect.</w:t>
            </w:r>
          </w:p>
          <w:p w14:paraId="6974D40E" w14:textId="72238B73" w:rsidR="000D2247" w:rsidRPr="00103DBC" w:rsidRDefault="000D2247" w:rsidP="00103DBC">
            <w:r w:rsidRPr="00103DBC">
              <w:t xml:space="preserve">A further query was raised about why the focus was only on paid employment and that unpaid employment was excluded, as the rationale points to employment and meaningful activity. The evidence suggests that unpaid employment would be just as beneficial. The coding does give an option for unpaid voluntary work which was suggested </w:t>
            </w:r>
            <w:proofErr w:type="gramStart"/>
            <w:r w:rsidRPr="00103DBC">
              <w:t>as  a</w:t>
            </w:r>
            <w:proofErr w:type="gramEnd"/>
            <w:r w:rsidRPr="00103DBC">
              <w:t xml:space="preserve"> possible contextual indicator? It was noted that the rationale mentions health benefits. If the rationale were strictly economic then the definition just using paid employment would be appropriate however with the emphasis on health benefits it calls into question some of the other parts of employment </w:t>
            </w:r>
            <w:proofErr w:type="gramStart"/>
            <w:r w:rsidRPr="00103DBC">
              <w:t>particularly  voluntary</w:t>
            </w:r>
            <w:proofErr w:type="gramEnd"/>
            <w:r w:rsidRPr="00103DBC">
              <w:t xml:space="preserve"> work. It was recognised however that this could </w:t>
            </w:r>
            <w:r w:rsidR="004D28F6" w:rsidRPr="00103DBC">
              <w:t>potential</w:t>
            </w:r>
            <w:r w:rsidRPr="00103DBC">
              <w:t xml:space="preserve"> cause issues relating to not having different definitions across different domains.  Further understanding of why other domains </w:t>
            </w:r>
            <w:proofErr w:type="gramStart"/>
            <w:r w:rsidRPr="00103DBC">
              <w:t>use  just</w:t>
            </w:r>
            <w:proofErr w:type="gramEnd"/>
            <w:r w:rsidRPr="00103DBC">
              <w:t xml:space="preserve"> paid employments would be helpful. The applicant responded </w:t>
            </w:r>
            <w:proofErr w:type="gramStart"/>
            <w:r w:rsidRPr="00103DBC">
              <w:t>that  the</w:t>
            </w:r>
            <w:proofErr w:type="gramEnd"/>
            <w:r w:rsidRPr="00103DBC">
              <w:t xml:space="preserve"> NHSOF indicator has previously been through MRG, so perhaps those documents could be referred to. The other two indicators have not been through </w:t>
            </w:r>
            <w:proofErr w:type="gramStart"/>
            <w:r w:rsidRPr="00103DBC">
              <w:t>MRG</w:t>
            </w:r>
            <w:proofErr w:type="gramEnd"/>
            <w:r w:rsidRPr="00103DBC">
              <w:t xml:space="preserve"> so it was difficult to comment on why that definition was chosen or why other parts were excluded. </w:t>
            </w:r>
          </w:p>
          <w:p w14:paraId="41F816C5" w14:textId="77777777" w:rsidR="000D2247" w:rsidRPr="00103DBC" w:rsidRDefault="000D2247" w:rsidP="00103DBC">
            <w:r w:rsidRPr="00103DBC">
              <w:t xml:space="preserve">Further discussion took place regarding the use of the voluntary work and student/training codes. CCGs wanting to know if their services help people get better presents a strong case for having the voluntary work included. It was suggested to add a contextual indicator for voluntary work alongside the main indicator. It was felt that voluntary work (code 07) was the most appropriate code to include following a discussion on the various codes. The applicant was asked to </w:t>
            </w:r>
            <w:proofErr w:type="gramStart"/>
            <w:r w:rsidRPr="00103DBC">
              <w:t>look into</w:t>
            </w:r>
            <w:proofErr w:type="gramEnd"/>
            <w:r w:rsidRPr="00103DBC">
              <w:t xml:space="preserve"> producing a contextual indicator for this and bring it back to MRG. It was agreed that the further discussion would take place only around the contextual indicator on voluntary work rather than going back through the indicator.</w:t>
            </w:r>
          </w:p>
          <w:p w14:paraId="658E5CCE" w14:textId="77777777" w:rsidR="000D2247" w:rsidRPr="00103DBC" w:rsidRDefault="000D2247" w:rsidP="00103DBC">
            <w:r w:rsidRPr="00103DBC">
              <w:t xml:space="preserve">MRG members noted that the significant difference between this indicator and others in the NHSOF and PHOF is in not being able to access background employment rates. People looking at this indicator will have to bear in mind that having a high score on this indicator may be an indication that an area has high unemployment levels in general. This point needs to be </w:t>
            </w:r>
            <w:proofErr w:type="gramStart"/>
            <w:r w:rsidRPr="00103DBC">
              <w:t>absolutely clear</w:t>
            </w:r>
            <w:proofErr w:type="gramEnd"/>
            <w:r w:rsidRPr="00103DBC">
              <w:t xml:space="preserve"> in the metadata so that those coming to the indicator fresh can see what its limitations might be.</w:t>
            </w:r>
          </w:p>
        </w:tc>
      </w:tr>
    </w:tbl>
    <w:p w14:paraId="73F65C67" w14:textId="77777777" w:rsidR="000D2247" w:rsidRPr="00103DBC" w:rsidRDefault="000D2247" w:rsidP="00103DBC">
      <w:pPr>
        <w:ind w:left="-540"/>
        <w:rPr>
          <w:b/>
        </w:rPr>
      </w:pPr>
    </w:p>
    <w:tbl>
      <w:tblPr>
        <w:tblStyle w:val="TableGrid"/>
        <w:tblW w:w="9923" w:type="dxa"/>
        <w:tblLayout w:type="fixed"/>
        <w:tblLook w:val="01E0" w:firstRow="1" w:lastRow="1" w:firstColumn="1" w:lastColumn="1" w:noHBand="0" w:noVBand="0"/>
      </w:tblPr>
      <w:tblGrid>
        <w:gridCol w:w="1844"/>
        <w:gridCol w:w="8079"/>
      </w:tblGrid>
      <w:tr w:rsidR="00103DBC" w:rsidRPr="00103DBC" w14:paraId="20F3878E" w14:textId="77777777" w:rsidTr="00B34530">
        <w:tc>
          <w:tcPr>
            <w:tcW w:w="1844" w:type="dxa"/>
          </w:tcPr>
          <w:p w14:paraId="4D43CD02" w14:textId="77777777" w:rsidR="000D2247" w:rsidRPr="00103DBC" w:rsidRDefault="000D2247" w:rsidP="00103DBC">
            <w:pPr>
              <w:spacing w:before="60"/>
            </w:pPr>
            <w:r w:rsidRPr="00103DBC">
              <w:t>Ref code</w:t>
            </w:r>
          </w:p>
          <w:p w14:paraId="3D1CADA7" w14:textId="77777777" w:rsidR="000D2247" w:rsidRPr="00103DBC" w:rsidRDefault="000D2247" w:rsidP="00103DBC">
            <w:pPr>
              <w:rPr>
                <w:b/>
              </w:rPr>
            </w:pPr>
            <w:r w:rsidRPr="00103DBC">
              <w:rPr>
                <w:b/>
              </w:rPr>
              <w:t>IAP00338-01</w:t>
            </w:r>
          </w:p>
          <w:p w14:paraId="103EB70A" w14:textId="77777777" w:rsidR="000D2247" w:rsidRPr="00103DBC" w:rsidRDefault="000D2247" w:rsidP="00103DBC">
            <w:r w:rsidRPr="00103DBC">
              <w:t>Made: 20/09/13</w:t>
            </w:r>
          </w:p>
        </w:tc>
        <w:tc>
          <w:tcPr>
            <w:tcW w:w="8079" w:type="dxa"/>
          </w:tcPr>
          <w:p w14:paraId="5100A62A" w14:textId="77777777" w:rsidR="000D2247" w:rsidRPr="00103DBC" w:rsidRDefault="000D2247" w:rsidP="00103DBC">
            <w:pPr>
              <w:rPr>
                <w:b/>
              </w:rPr>
            </w:pPr>
            <w:r w:rsidRPr="00103DBC">
              <w:t>It was recommended to review the title to describe that the indicator is being expressed as a percentage</w:t>
            </w:r>
          </w:p>
        </w:tc>
      </w:tr>
      <w:tr w:rsidR="00103DBC" w:rsidRPr="00103DBC" w14:paraId="704F389B" w14:textId="77777777" w:rsidTr="00B34530">
        <w:tc>
          <w:tcPr>
            <w:tcW w:w="1844" w:type="dxa"/>
          </w:tcPr>
          <w:p w14:paraId="39A41473" w14:textId="77777777" w:rsidR="000D2247" w:rsidRPr="00103DBC" w:rsidRDefault="000D2247" w:rsidP="00103DBC">
            <w:r w:rsidRPr="00103DBC">
              <w:t xml:space="preserve">Update: </w:t>
            </w:r>
          </w:p>
          <w:p w14:paraId="66B14CA7" w14:textId="77777777" w:rsidR="000D2247" w:rsidRPr="00103DBC" w:rsidRDefault="000D2247" w:rsidP="00103DBC">
            <w:r w:rsidRPr="00103DBC">
              <w:t>Made: 20/09/13</w:t>
            </w:r>
          </w:p>
        </w:tc>
        <w:tc>
          <w:tcPr>
            <w:tcW w:w="8079" w:type="dxa"/>
          </w:tcPr>
          <w:p w14:paraId="3AD68A72" w14:textId="77777777" w:rsidR="000D2247" w:rsidRPr="00103DBC" w:rsidRDefault="000D2247" w:rsidP="00103DBC">
            <w:r w:rsidRPr="00103DBC">
              <w:t>The title has been amended, as recommended by MRG.</w:t>
            </w:r>
          </w:p>
          <w:p w14:paraId="538A00D8" w14:textId="77777777" w:rsidR="000D2247" w:rsidRPr="00103DBC" w:rsidRDefault="000D2247" w:rsidP="00103DBC">
            <w:r w:rsidRPr="00103DBC">
              <w:t xml:space="preserve">Note that both the ASCOF and NHS OF indicators refer to proportions.  The proposed CCG OIS indicator attempts to be </w:t>
            </w:r>
            <w:proofErr w:type="gramStart"/>
            <w:r w:rsidRPr="00103DBC">
              <w:t>similar to</w:t>
            </w:r>
            <w:proofErr w:type="gramEnd"/>
            <w:r w:rsidRPr="00103DBC">
              <w:t xml:space="preserve"> the ASCOF indicator and it was from here that the title was taken.</w:t>
            </w:r>
          </w:p>
        </w:tc>
      </w:tr>
      <w:tr w:rsidR="00103DBC" w:rsidRPr="00103DBC" w14:paraId="00F0C62D" w14:textId="77777777" w:rsidTr="00B34530">
        <w:tc>
          <w:tcPr>
            <w:tcW w:w="1844" w:type="dxa"/>
          </w:tcPr>
          <w:p w14:paraId="2A3B7FDB" w14:textId="77777777" w:rsidR="000D2247" w:rsidRPr="00103DBC" w:rsidRDefault="000D2247" w:rsidP="00103DBC">
            <w:r w:rsidRPr="00103DBC">
              <w:t xml:space="preserve">Further Rec: </w:t>
            </w:r>
          </w:p>
          <w:p w14:paraId="47A4BD9D" w14:textId="77777777" w:rsidR="000D2247" w:rsidRPr="00103DBC" w:rsidRDefault="000D2247" w:rsidP="00103DBC">
            <w:r w:rsidRPr="00103DBC">
              <w:t>Made: xx/xx/xx</w:t>
            </w:r>
          </w:p>
        </w:tc>
        <w:tc>
          <w:tcPr>
            <w:tcW w:w="8079" w:type="dxa"/>
          </w:tcPr>
          <w:p w14:paraId="160B0DB3" w14:textId="77777777" w:rsidR="000D2247" w:rsidRPr="00103DBC" w:rsidRDefault="000D2247" w:rsidP="00103DBC">
            <w:pPr>
              <w:rPr>
                <w:b/>
              </w:rPr>
            </w:pPr>
          </w:p>
          <w:p w14:paraId="41194174" w14:textId="77777777" w:rsidR="000D2247" w:rsidRPr="00103DBC" w:rsidRDefault="000D2247" w:rsidP="00103DBC">
            <w:pPr>
              <w:rPr>
                <w:b/>
              </w:rPr>
            </w:pPr>
          </w:p>
        </w:tc>
      </w:tr>
      <w:tr w:rsidR="00103DBC" w:rsidRPr="00103DBC" w14:paraId="743C0E09" w14:textId="77777777" w:rsidTr="00B34530">
        <w:tc>
          <w:tcPr>
            <w:tcW w:w="1844" w:type="dxa"/>
          </w:tcPr>
          <w:p w14:paraId="2FEF6751" w14:textId="77777777" w:rsidR="000D2247" w:rsidRPr="00103DBC" w:rsidRDefault="000D2247" w:rsidP="00103DBC">
            <w:r w:rsidRPr="00103DBC">
              <w:t xml:space="preserve">Update: </w:t>
            </w:r>
          </w:p>
          <w:p w14:paraId="0E5B6665" w14:textId="77777777" w:rsidR="000D2247" w:rsidRPr="00103DBC" w:rsidRDefault="000D2247" w:rsidP="00103DBC">
            <w:r w:rsidRPr="00103DBC">
              <w:lastRenderedPageBreak/>
              <w:t>Made: xx/xx/xx</w:t>
            </w:r>
          </w:p>
        </w:tc>
        <w:tc>
          <w:tcPr>
            <w:tcW w:w="8079" w:type="dxa"/>
          </w:tcPr>
          <w:p w14:paraId="6373F91C" w14:textId="77777777" w:rsidR="000D2247" w:rsidRPr="00103DBC" w:rsidRDefault="000D2247" w:rsidP="00103DBC">
            <w:pPr>
              <w:rPr>
                <w:b/>
              </w:rPr>
            </w:pPr>
          </w:p>
          <w:p w14:paraId="73288325" w14:textId="77777777" w:rsidR="000D2247" w:rsidRPr="00103DBC" w:rsidRDefault="000D2247" w:rsidP="00103DBC">
            <w:pPr>
              <w:rPr>
                <w:b/>
              </w:rPr>
            </w:pPr>
          </w:p>
        </w:tc>
      </w:tr>
      <w:tr w:rsidR="00A854FD" w:rsidRPr="00103DBC" w14:paraId="2CE7E741" w14:textId="77777777" w:rsidTr="00A05AB1">
        <w:tc>
          <w:tcPr>
            <w:tcW w:w="1844" w:type="dxa"/>
          </w:tcPr>
          <w:p w14:paraId="3EF3692E" w14:textId="77777777" w:rsidR="00A854FD" w:rsidRPr="00103DBC" w:rsidRDefault="00A854FD" w:rsidP="00103DBC">
            <w:r w:rsidRPr="00103DBC">
              <w:lastRenderedPageBreak/>
              <w:t>Rec Status:</w:t>
            </w:r>
          </w:p>
        </w:tc>
        <w:tc>
          <w:tcPr>
            <w:tcW w:w="8079" w:type="dxa"/>
          </w:tcPr>
          <w:p w14:paraId="5111A4B0" w14:textId="2740FBBE" w:rsidR="00A854FD" w:rsidRPr="00103DBC" w:rsidRDefault="00A854FD" w:rsidP="00103DBC">
            <w:pPr>
              <w:jc w:val="center"/>
              <w:rPr>
                <w:b/>
              </w:rPr>
            </w:pPr>
          </w:p>
        </w:tc>
      </w:tr>
    </w:tbl>
    <w:p w14:paraId="579F70FE" w14:textId="77777777" w:rsidR="000D2247" w:rsidRPr="00103DBC" w:rsidRDefault="000D2247" w:rsidP="00103DBC">
      <w:pPr>
        <w:ind w:left="-540"/>
        <w:rPr>
          <w:b/>
        </w:rPr>
      </w:pPr>
    </w:p>
    <w:tbl>
      <w:tblPr>
        <w:tblStyle w:val="TableGrid"/>
        <w:tblW w:w="9923" w:type="dxa"/>
        <w:tblLayout w:type="fixed"/>
        <w:tblLook w:val="01E0" w:firstRow="1" w:lastRow="1" w:firstColumn="1" w:lastColumn="1" w:noHBand="0" w:noVBand="0"/>
      </w:tblPr>
      <w:tblGrid>
        <w:gridCol w:w="1844"/>
        <w:gridCol w:w="8079"/>
      </w:tblGrid>
      <w:tr w:rsidR="00103DBC" w:rsidRPr="00103DBC" w14:paraId="599A0531" w14:textId="77777777" w:rsidTr="00B34530">
        <w:tc>
          <w:tcPr>
            <w:tcW w:w="1844" w:type="dxa"/>
          </w:tcPr>
          <w:p w14:paraId="1ABEABF3" w14:textId="77777777" w:rsidR="000D2247" w:rsidRPr="00103DBC" w:rsidRDefault="000D2247" w:rsidP="00103DBC">
            <w:pPr>
              <w:spacing w:before="60"/>
            </w:pPr>
            <w:r w:rsidRPr="00103DBC">
              <w:t>Ref code</w:t>
            </w:r>
          </w:p>
          <w:p w14:paraId="1FD73D6E" w14:textId="77777777" w:rsidR="000D2247" w:rsidRPr="00103DBC" w:rsidRDefault="000D2247" w:rsidP="00103DBC">
            <w:pPr>
              <w:rPr>
                <w:b/>
              </w:rPr>
            </w:pPr>
            <w:r w:rsidRPr="00103DBC">
              <w:rPr>
                <w:b/>
              </w:rPr>
              <w:t>IAP00338-02</w:t>
            </w:r>
          </w:p>
          <w:p w14:paraId="1F5C68A0" w14:textId="77777777" w:rsidR="000D2247" w:rsidRPr="00103DBC" w:rsidRDefault="000D2247" w:rsidP="00103DBC">
            <w:r w:rsidRPr="00103DBC">
              <w:t>Made: 20/09/13</w:t>
            </w:r>
          </w:p>
        </w:tc>
        <w:tc>
          <w:tcPr>
            <w:tcW w:w="8079" w:type="dxa"/>
          </w:tcPr>
          <w:p w14:paraId="3726766D" w14:textId="77777777" w:rsidR="000D2247" w:rsidRPr="00103DBC" w:rsidRDefault="000D2247" w:rsidP="00103DBC">
            <w:pPr>
              <w:rPr>
                <w:b/>
              </w:rPr>
            </w:pPr>
            <w:r w:rsidRPr="00103DBC">
              <w:t xml:space="preserve">The applicant is to check regarding what would happen if a patient moved CCGs during the year and </w:t>
            </w:r>
            <w:proofErr w:type="gramStart"/>
            <w:r w:rsidRPr="00103DBC">
              <w:t>whether or not</w:t>
            </w:r>
            <w:proofErr w:type="gramEnd"/>
            <w:r w:rsidRPr="00103DBC">
              <w:t xml:space="preserve"> patients are tracked across CCGs via NHS number.</w:t>
            </w:r>
          </w:p>
        </w:tc>
      </w:tr>
      <w:tr w:rsidR="00103DBC" w:rsidRPr="00103DBC" w14:paraId="4F64CC8C" w14:textId="77777777" w:rsidTr="00B34530">
        <w:tc>
          <w:tcPr>
            <w:tcW w:w="1844" w:type="dxa"/>
          </w:tcPr>
          <w:p w14:paraId="04C62197" w14:textId="77777777" w:rsidR="000D2247" w:rsidRPr="00103DBC" w:rsidRDefault="000D2247" w:rsidP="00103DBC">
            <w:r w:rsidRPr="00103DBC">
              <w:t xml:space="preserve">Update: </w:t>
            </w:r>
          </w:p>
          <w:p w14:paraId="400349D7" w14:textId="77777777" w:rsidR="000D2247" w:rsidRPr="00103DBC" w:rsidRDefault="000D2247" w:rsidP="00103DBC">
            <w:r w:rsidRPr="00103DBC">
              <w:t>Made: 20/09/13</w:t>
            </w:r>
          </w:p>
        </w:tc>
        <w:tc>
          <w:tcPr>
            <w:tcW w:w="8079" w:type="dxa"/>
          </w:tcPr>
          <w:p w14:paraId="5934887B" w14:textId="77777777" w:rsidR="000D2247" w:rsidRPr="00103DBC" w:rsidRDefault="000D2247" w:rsidP="00103DBC">
            <w:r w:rsidRPr="00103DBC">
              <w:t>Patients are tracked such that only the CCG of the most recent contact is counted.  Patients are only counted once in this indicator even if they have more than one practice or CCG in the period.</w:t>
            </w:r>
          </w:p>
        </w:tc>
      </w:tr>
      <w:tr w:rsidR="00103DBC" w:rsidRPr="00103DBC" w14:paraId="15B547D0" w14:textId="77777777" w:rsidTr="00B34530">
        <w:tc>
          <w:tcPr>
            <w:tcW w:w="1844" w:type="dxa"/>
          </w:tcPr>
          <w:p w14:paraId="6907E5FB" w14:textId="77777777" w:rsidR="000D2247" w:rsidRPr="00103DBC" w:rsidRDefault="000D2247" w:rsidP="00103DBC">
            <w:r w:rsidRPr="00103DBC">
              <w:t xml:space="preserve">Further Rec: </w:t>
            </w:r>
          </w:p>
          <w:p w14:paraId="6F0EC731" w14:textId="77777777" w:rsidR="000D2247" w:rsidRPr="00103DBC" w:rsidRDefault="000D2247" w:rsidP="00103DBC">
            <w:r w:rsidRPr="00103DBC">
              <w:t>Made: xx/xx/xx</w:t>
            </w:r>
          </w:p>
        </w:tc>
        <w:tc>
          <w:tcPr>
            <w:tcW w:w="8079" w:type="dxa"/>
          </w:tcPr>
          <w:p w14:paraId="24FC8A0E" w14:textId="77777777" w:rsidR="000D2247" w:rsidRPr="00103DBC" w:rsidRDefault="000D2247" w:rsidP="00103DBC">
            <w:pPr>
              <w:rPr>
                <w:b/>
              </w:rPr>
            </w:pPr>
          </w:p>
          <w:p w14:paraId="0748FA41" w14:textId="77777777" w:rsidR="000D2247" w:rsidRPr="00103DBC" w:rsidRDefault="000D2247" w:rsidP="00103DBC">
            <w:pPr>
              <w:rPr>
                <w:b/>
              </w:rPr>
            </w:pPr>
          </w:p>
        </w:tc>
      </w:tr>
      <w:tr w:rsidR="00103DBC" w:rsidRPr="00103DBC" w14:paraId="553C6C67" w14:textId="77777777" w:rsidTr="00B34530">
        <w:tc>
          <w:tcPr>
            <w:tcW w:w="1844" w:type="dxa"/>
          </w:tcPr>
          <w:p w14:paraId="6690B2E1" w14:textId="77777777" w:rsidR="000D2247" w:rsidRPr="00103DBC" w:rsidRDefault="000D2247" w:rsidP="00103DBC">
            <w:r w:rsidRPr="00103DBC">
              <w:t xml:space="preserve">Update: </w:t>
            </w:r>
          </w:p>
          <w:p w14:paraId="582B440B" w14:textId="77777777" w:rsidR="000D2247" w:rsidRPr="00103DBC" w:rsidRDefault="000D2247" w:rsidP="00103DBC">
            <w:r w:rsidRPr="00103DBC">
              <w:t>Made: xx/xx/xx</w:t>
            </w:r>
          </w:p>
        </w:tc>
        <w:tc>
          <w:tcPr>
            <w:tcW w:w="8079" w:type="dxa"/>
          </w:tcPr>
          <w:p w14:paraId="0EDE3FD4" w14:textId="77777777" w:rsidR="000D2247" w:rsidRPr="00103DBC" w:rsidRDefault="000D2247" w:rsidP="00103DBC">
            <w:pPr>
              <w:rPr>
                <w:b/>
              </w:rPr>
            </w:pPr>
          </w:p>
          <w:p w14:paraId="7F4355B8" w14:textId="77777777" w:rsidR="000D2247" w:rsidRPr="00103DBC" w:rsidRDefault="000D2247" w:rsidP="00103DBC">
            <w:pPr>
              <w:rPr>
                <w:b/>
              </w:rPr>
            </w:pPr>
          </w:p>
        </w:tc>
      </w:tr>
      <w:tr w:rsidR="00A854FD" w:rsidRPr="00103DBC" w14:paraId="3561D092" w14:textId="77777777" w:rsidTr="00475008">
        <w:tc>
          <w:tcPr>
            <w:tcW w:w="1844" w:type="dxa"/>
          </w:tcPr>
          <w:p w14:paraId="0A178F4D" w14:textId="77777777" w:rsidR="00A854FD" w:rsidRPr="00103DBC" w:rsidRDefault="00A854FD" w:rsidP="00103DBC">
            <w:r w:rsidRPr="00103DBC">
              <w:t>Rec Status:</w:t>
            </w:r>
          </w:p>
        </w:tc>
        <w:tc>
          <w:tcPr>
            <w:tcW w:w="8079" w:type="dxa"/>
          </w:tcPr>
          <w:p w14:paraId="45966307" w14:textId="61D0E2AC" w:rsidR="00A854FD" w:rsidRPr="00103DBC" w:rsidRDefault="00A854FD" w:rsidP="00103DBC">
            <w:pPr>
              <w:jc w:val="center"/>
              <w:rPr>
                <w:b/>
              </w:rPr>
            </w:pPr>
          </w:p>
        </w:tc>
      </w:tr>
    </w:tbl>
    <w:p w14:paraId="048B4064" w14:textId="77777777" w:rsidR="000D2247" w:rsidRPr="00103DBC" w:rsidRDefault="000D2247" w:rsidP="00103DBC">
      <w:pPr>
        <w:ind w:left="-540"/>
        <w:rPr>
          <w:b/>
        </w:rPr>
      </w:pPr>
    </w:p>
    <w:tbl>
      <w:tblPr>
        <w:tblStyle w:val="TableGrid"/>
        <w:tblW w:w="9923" w:type="dxa"/>
        <w:tblLayout w:type="fixed"/>
        <w:tblLook w:val="01E0" w:firstRow="1" w:lastRow="1" w:firstColumn="1" w:lastColumn="1" w:noHBand="0" w:noVBand="0"/>
      </w:tblPr>
      <w:tblGrid>
        <w:gridCol w:w="1844"/>
        <w:gridCol w:w="8079"/>
      </w:tblGrid>
      <w:tr w:rsidR="00103DBC" w:rsidRPr="00103DBC" w14:paraId="196B9430" w14:textId="77777777" w:rsidTr="00B34530">
        <w:tc>
          <w:tcPr>
            <w:tcW w:w="1844" w:type="dxa"/>
          </w:tcPr>
          <w:p w14:paraId="6D31FD83" w14:textId="77777777" w:rsidR="000D2247" w:rsidRPr="00103DBC" w:rsidRDefault="000D2247" w:rsidP="00103DBC">
            <w:pPr>
              <w:spacing w:before="60"/>
            </w:pPr>
            <w:r w:rsidRPr="00103DBC">
              <w:t>Ref code</w:t>
            </w:r>
          </w:p>
          <w:p w14:paraId="31D78BD8" w14:textId="77777777" w:rsidR="000D2247" w:rsidRPr="00103DBC" w:rsidRDefault="000D2247" w:rsidP="00103DBC">
            <w:pPr>
              <w:rPr>
                <w:b/>
              </w:rPr>
            </w:pPr>
            <w:r w:rsidRPr="00103DBC">
              <w:rPr>
                <w:b/>
              </w:rPr>
              <w:t>IAP00338-04</w:t>
            </w:r>
          </w:p>
          <w:p w14:paraId="351C9DAF" w14:textId="77777777" w:rsidR="000D2247" w:rsidRPr="00103DBC" w:rsidRDefault="000D2247" w:rsidP="00103DBC">
            <w:r w:rsidRPr="00103DBC">
              <w:t>Made: 20/09/13</w:t>
            </w:r>
          </w:p>
        </w:tc>
        <w:tc>
          <w:tcPr>
            <w:tcW w:w="8079" w:type="dxa"/>
          </w:tcPr>
          <w:p w14:paraId="25DA0F9A" w14:textId="77777777" w:rsidR="000D2247" w:rsidRPr="00103DBC" w:rsidRDefault="000D2247" w:rsidP="00103DBC">
            <w:pPr>
              <w:spacing w:before="60"/>
            </w:pPr>
            <w:proofErr w:type="gramStart"/>
            <w:r w:rsidRPr="00103DBC">
              <w:t>A number of</w:t>
            </w:r>
            <w:proofErr w:type="gramEnd"/>
            <w:r w:rsidRPr="00103DBC">
              <w:t xml:space="preserve"> caveats to be identified in the supporting metadata were identified including:</w:t>
            </w:r>
          </w:p>
          <w:p w14:paraId="3995564C" w14:textId="77777777" w:rsidR="000D2247" w:rsidRPr="00103DBC" w:rsidRDefault="000D2247" w:rsidP="000D2247">
            <w:pPr>
              <w:pStyle w:val="ListParagraph"/>
              <w:numPr>
                <w:ilvl w:val="0"/>
                <w:numId w:val="22"/>
              </w:numPr>
              <w:spacing w:before="60"/>
              <w:ind w:left="714" w:hanging="357"/>
              <w:contextualSpacing w:val="0"/>
              <w:textboxTightWrap w:val="lastLineOnly"/>
            </w:pPr>
            <w:r w:rsidRPr="00103DBC">
              <w:t>The possible impact of different approaches to service provision should be noted as a caveat for the indicator</w:t>
            </w:r>
          </w:p>
          <w:p w14:paraId="311C62CC" w14:textId="230A00CD" w:rsidR="000D2247" w:rsidRPr="00103DBC" w:rsidRDefault="000D2247" w:rsidP="000D2247">
            <w:pPr>
              <w:pStyle w:val="ListParagraph"/>
              <w:numPr>
                <w:ilvl w:val="0"/>
                <w:numId w:val="22"/>
              </w:numPr>
              <w:spacing w:before="60" w:after="180"/>
              <w:contextualSpacing w:val="0"/>
              <w:textboxTightWrap w:val="lastLineOnly"/>
            </w:pPr>
            <w:r w:rsidRPr="00103DBC">
              <w:t xml:space="preserve">Identifying that there </w:t>
            </w:r>
            <w:proofErr w:type="gramStart"/>
            <w:r w:rsidRPr="00103DBC">
              <w:t>are</w:t>
            </w:r>
            <w:proofErr w:type="gramEnd"/>
            <w:r w:rsidRPr="00103DBC">
              <w:t xml:space="preserve"> similar indicator in other outcome frameworks, but these </w:t>
            </w:r>
            <w:r w:rsidR="004D28F6" w:rsidRPr="00103DBC">
              <w:t>cannot</w:t>
            </w:r>
            <w:r w:rsidRPr="00103DBC">
              <w:t xml:space="preserve"> be produced at CCG level.</w:t>
            </w:r>
          </w:p>
          <w:p w14:paraId="29070700" w14:textId="77777777" w:rsidR="000D2247" w:rsidRPr="00103DBC" w:rsidRDefault="000D2247" w:rsidP="000D2247">
            <w:pPr>
              <w:pStyle w:val="ListParagraph"/>
              <w:numPr>
                <w:ilvl w:val="0"/>
                <w:numId w:val="22"/>
              </w:numPr>
              <w:spacing w:before="60" w:after="180"/>
              <w:contextualSpacing w:val="0"/>
              <w:textboxTightWrap w:val="lastLineOnly"/>
            </w:pPr>
            <w:r w:rsidRPr="00103DBC">
              <w:t>That it isn’t possible to incorporate local labour force survey information is a limitation of the indicator.</w:t>
            </w:r>
          </w:p>
          <w:p w14:paraId="0DA44B24" w14:textId="1DB991EF" w:rsidR="000D2247" w:rsidRPr="00103DBC" w:rsidRDefault="000D2247" w:rsidP="000D2247">
            <w:pPr>
              <w:pStyle w:val="ListParagraph"/>
              <w:numPr>
                <w:ilvl w:val="0"/>
                <w:numId w:val="22"/>
              </w:numPr>
              <w:rPr>
                <w:b/>
              </w:rPr>
            </w:pPr>
            <w:r w:rsidRPr="00103DBC">
              <w:t xml:space="preserve">In </w:t>
            </w:r>
            <w:r w:rsidR="004D28F6" w:rsidRPr="00103DBC">
              <w:t>interpreting</w:t>
            </w:r>
            <w:r w:rsidRPr="00103DBC">
              <w:t xml:space="preserve"> results the user should be aware that a high score may be an indication that an area has high unemployment levels in general.</w:t>
            </w:r>
          </w:p>
          <w:p w14:paraId="72E36A22" w14:textId="77777777" w:rsidR="000D2247" w:rsidRPr="00103DBC" w:rsidRDefault="000D2247" w:rsidP="00103DBC">
            <w:pPr>
              <w:rPr>
                <w:b/>
              </w:rPr>
            </w:pPr>
          </w:p>
        </w:tc>
      </w:tr>
      <w:tr w:rsidR="00103DBC" w:rsidRPr="00103DBC" w14:paraId="77758481" w14:textId="77777777" w:rsidTr="00B34530">
        <w:tc>
          <w:tcPr>
            <w:tcW w:w="1844" w:type="dxa"/>
          </w:tcPr>
          <w:p w14:paraId="4F20B666" w14:textId="77777777" w:rsidR="000D2247" w:rsidRPr="00103DBC" w:rsidRDefault="000D2247" w:rsidP="00103DBC">
            <w:r w:rsidRPr="00103DBC">
              <w:t xml:space="preserve">Update: </w:t>
            </w:r>
          </w:p>
          <w:p w14:paraId="35025367" w14:textId="77777777" w:rsidR="000D2247" w:rsidRPr="00103DBC" w:rsidRDefault="000D2247" w:rsidP="00103DBC">
            <w:r w:rsidRPr="00103DBC">
              <w:t>Made: 20/09/13</w:t>
            </w:r>
          </w:p>
        </w:tc>
        <w:tc>
          <w:tcPr>
            <w:tcW w:w="8079" w:type="dxa"/>
          </w:tcPr>
          <w:p w14:paraId="354662EC" w14:textId="77777777" w:rsidR="000D2247" w:rsidRPr="00103DBC" w:rsidRDefault="000D2247" w:rsidP="00103DBC">
            <w:r w:rsidRPr="00103DBC">
              <w:t>The first point is relevant to the quality statement for this indicator and can be included within that.  As with almost any service, how it is delivered could vary and this could impact on the resulting indicator.</w:t>
            </w:r>
          </w:p>
          <w:p w14:paraId="684DBCAB" w14:textId="77777777" w:rsidR="000D2247" w:rsidRPr="00103DBC" w:rsidRDefault="000D2247" w:rsidP="00103DBC"/>
          <w:p w14:paraId="094BCA29" w14:textId="77777777" w:rsidR="000D2247" w:rsidRPr="00103DBC" w:rsidRDefault="000D2247" w:rsidP="00103DBC">
            <w:r w:rsidRPr="00103DBC">
              <w:t>The second point was noted in the ‘introduction’ to the original MRG application.  It will be repeated in the quality statement for this indicator.</w:t>
            </w:r>
          </w:p>
          <w:p w14:paraId="3B9738CC" w14:textId="77777777" w:rsidR="000D2247" w:rsidRPr="00103DBC" w:rsidRDefault="000D2247" w:rsidP="00103DBC"/>
          <w:p w14:paraId="336AC2E7" w14:textId="77777777" w:rsidR="000D2247" w:rsidRPr="00103DBC" w:rsidRDefault="000D2247" w:rsidP="00103DBC">
            <w:r w:rsidRPr="00103DBC">
              <w:t>The third point was covered in both the ‘construction: statistical methods’ and ‘potential issues’ sections of the original MRG application.  It will be repeated in the quality statement for this indicator.</w:t>
            </w:r>
          </w:p>
          <w:p w14:paraId="21C3D4C3" w14:textId="77777777" w:rsidR="000D2247" w:rsidRPr="00103DBC" w:rsidRDefault="000D2247" w:rsidP="00103DBC"/>
          <w:p w14:paraId="70C60332" w14:textId="77777777" w:rsidR="000D2247" w:rsidRPr="00103DBC" w:rsidRDefault="000D2247" w:rsidP="00103DBC">
            <w:r w:rsidRPr="00103DBC">
              <w:t>Similarly, the fourth point was covered in the ‘construction: other (interpretation)’ section of the original MRG application.  It will be repeated in the quality statement for this indicator.  Note that this indicator is about people in employment, so a high rate is desirable.  A low rate may not be such an issue if an area has high unemployment levels (and low employment levels) in general.</w:t>
            </w:r>
          </w:p>
        </w:tc>
      </w:tr>
      <w:tr w:rsidR="00103DBC" w:rsidRPr="00103DBC" w14:paraId="0FBFDFEA" w14:textId="77777777" w:rsidTr="00B34530">
        <w:tc>
          <w:tcPr>
            <w:tcW w:w="1844" w:type="dxa"/>
          </w:tcPr>
          <w:p w14:paraId="72694611" w14:textId="77777777" w:rsidR="000D2247" w:rsidRPr="00103DBC" w:rsidRDefault="000D2247" w:rsidP="00103DBC">
            <w:r w:rsidRPr="00103DBC">
              <w:t xml:space="preserve">Further Rec: </w:t>
            </w:r>
          </w:p>
          <w:p w14:paraId="4BB1E818" w14:textId="77777777" w:rsidR="000D2247" w:rsidRPr="00103DBC" w:rsidRDefault="000D2247" w:rsidP="00103DBC">
            <w:r w:rsidRPr="00103DBC">
              <w:t>Made: xx/xx/xx</w:t>
            </w:r>
          </w:p>
        </w:tc>
        <w:tc>
          <w:tcPr>
            <w:tcW w:w="8079" w:type="dxa"/>
          </w:tcPr>
          <w:p w14:paraId="0321CC8B" w14:textId="77777777" w:rsidR="000D2247" w:rsidRPr="00103DBC" w:rsidRDefault="000D2247" w:rsidP="00103DBC">
            <w:pPr>
              <w:rPr>
                <w:b/>
              </w:rPr>
            </w:pPr>
          </w:p>
          <w:p w14:paraId="42B0B295" w14:textId="77777777" w:rsidR="000D2247" w:rsidRPr="00103DBC" w:rsidRDefault="000D2247" w:rsidP="00103DBC">
            <w:pPr>
              <w:rPr>
                <w:b/>
              </w:rPr>
            </w:pPr>
          </w:p>
        </w:tc>
      </w:tr>
      <w:tr w:rsidR="00103DBC" w:rsidRPr="00103DBC" w14:paraId="045DDFD6" w14:textId="77777777" w:rsidTr="00B34530">
        <w:tc>
          <w:tcPr>
            <w:tcW w:w="1844" w:type="dxa"/>
          </w:tcPr>
          <w:p w14:paraId="4EFDE00F" w14:textId="77777777" w:rsidR="000D2247" w:rsidRPr="00103DBC" w:rsidRDefault="000D2247" w:rsidP="00103DBC">
            <w:r w:rsidRPr="00103DBC">
              <w:t xml:space="preserve">Update: </w:t>
            </w:r>
          </w:p>
          <w:p w14:paraId="7C89874C" w14:textId="77777777" w:rsidR="000D2247" w:rsidRPr="00103DBC" w:rsidRDefault="000D2247" w:rsidP="00103DBC">
            <w:r w:rsidRPr="00103DBC">
              <w:t>Made: xx/xx/xx</w:t>
            </w:r>
          </w:p>
        </w:tc>
        <w:tc>
          <w:tcPr>
            <w:tcW w:w="8079" w:type="dxa"/>
          </w:tcPr>
          <w:p w14:paraId="4318655F" w14:textId="77777777" w:rsidR="000D2247" w:rsidRPr="00103DBC" w:rsidRDefault="000D2247" w:rsidP="00103DBC">
            <w:pPr>
              <w:rPr>
                <w:b/>
              </w:rPr>
            </w:pPr>
          </w:p>
          <w:p w14:paraId="19F5C39B" w14:textId="77777777" w:rsidR="000D2247" w:rsidRPr="00103DBC" w:rsidRDefault="000D2247" w:rsidP="00103DBC">
            <w:pPr>
              <w:rPr>
                <w:b/>
              </w:rPr>
            </w:pPr>
          </w:p>
        </w:tc>
      </w:tr>
      <w:tr w:rsidR="00A854FD" w:rsidRPr="00103DBC" w14:paraId="418E87A2" w14:textId="77777777" w:rsidTr="00522351">
        <w:tc>
          <w:tcPr>
            <w:tcW w:w="1844" w:type="dxa"/>
          </w:tcPr>
          <w:p w14:paraId="2060D602" w14:textId="77777777" w:rsidR="00A854FD" w:rsidRPr="00103DBC" w:rsidRDefault="00A854FD" w:rsidP="00103DBC">
            <w:r w:rsidRPr="00103DBC">
              <w:t>Rec Status:</w:t>
            </w:r>
          </w:p>
        </w:tc>
        <w:tc>
          <w:tcPr>
            <w:tcW w:w="8079" w:type="dxa"/>
          </w:tcPr>
          <w:p w14:paraId="26811850" w14:textId="0FE84F6F" w:rsidR="00A854FD" w:rsidRPr="00103DBC" w:rsidRDefault="00A854FD" w:rsidP="00103DBC">
            <w:pPr>
              <w:jc w:val="center"/>
              <w:rPr>
                <w:b/>
              </w:rPr>
            </w:pPr>
          </w:p>
        </w:tc>
      </w:tr>
    </w:tbl>
    <w:p w14:paraId="13F63223" w14:textId="77777777" w:rsidR="000D2247" w:rsidRPr="00103DBC" w:rsidRDefault="000D2247"/>
    <w:tbl>
      <w:tblPr>
        <w:tblStyle w:val="TableGrid"/>
        <w:tblW w:w="9923" w:type="dxa"/>
        <w:tblLayout w:type="fixed"/>
        <w:tblLook w:val="01E0" w:firstRow="1" w:lastRow="1" w:firstColumn="1" w:lastColumn="1" w:noHBand="0" w:noVBand="0"/>
      </w:tblPr>
      <w:tblGrid>
        <w:gridCol w:w="1844"/>
        <w:gridCol w:w="8079"/>
      </w:tblGrid>
      <w:tr w:rsidR="00103DBC" w:rsidRPr="00103DBC" w14:paraId="1600DDE6" w14:textId="77777777" w:rsidTr="00B34530">
        <w:tc>
          <w:tcPr>
            <w:tcW w:w="1844" w:type="dxa"/>
          </w:tcPr>
          <w:p w14:paraId="66EE2BD9" w14:textId="77777777" w:rsidR="000D2247" w:rsidRPr="00103DBC" w:rsidRDefault="000D2247" w:rsidP="00103DBC">
            <w:pPr>
              <w:spacing w:before="60"/>
            </w:pPr>
            <w:r w:rsidRPr="00103DBC">
              <w:t>Ref code</w:t>
            </w:r>
          </w:p>
          <w:p w14:paraId="5A151A71" w14:textId="77777777" w:rsidR="000D2247" w:rsidRPr="00103DBC" w:rsidRDefault="000D2247" w:rsidP="00103DBC">
            <w:pPr>
              <w:rPr>
                <w:b/>
              </w:rPr>
            </w:pPr>
            <w:r w:rsidRPr="00103DBC">
              <w:rPr>
                <w:b/>
              </w:rPr>
              <w:t>IAP00338-04</w:t>
            </w:r>
          </w:p>
          <w:p w14:paraId="76A44F7E" w14:textId="77777777" w:rsidR="000D2247" w:rsidRPr="00103DBC" w:rsidRDefault="000D2247" w:rsidP="00103DBC">
            <w:r w:rsidRPr="00103DBC">
              <w:t>Made: 20/09/13</w:t>
            </w:r>
          </w:p>
        </w:tc>
        <w:tc>
          <w:tcPr>
            <w:tcW w:w="8079" w:type="dxa"/>
          </w:tcPr>
          <w:p w14:paraId="188A8AF0" w14:textId="77777777" w:rsidR="000D2247" w:rsidRPr="00103DBC" w:rsidRDefault="000D2247" w:rsidP="00103DBC">
            <w:pPr>
              <w:spacing w:before="60"/>
              <w:rPr>
                <w:b/>
              </w:rPr>
            </w:pPr>
            <w:r w:rsidRPr="00103DBC">
              <w:t xml:space="preserve">The applicant is to </w:t>
            </w:r>
            <w:proofErr w:type="gramStart"/>
            <w:r w:rsidRPr="00103DBC">
              <w:t>look into</w:t>
            </w:r>
            <w:proofErr w:type="gramEnd"/>
            <w:r w:rsidRPr="00103DBC">
              <w:t xml:space="preserve"> producing a contextual indicator for code 07 – voluntary work and bring this back to MRG.</w:t>
            </w:r>
          </w:p>
        </w:tc>
      </w:tr>
      <w:tr w:rsidR="00103DBC" w:rsidRPr="00103DBC" w14:paraId="503C5D46" w14:textId="77777777" w:rsidTr="00B34530">
        <w:tc>
          <w:tcPr>
            <w:tcW w:w="1844" w:type="dxa"/>
          </w:tcPr>
          <w:p w14:paraId="3A4D89AF" w14:textId="77777777" w:rsidR="000D2247" w:rsidRPr="00103DBC" w:rsidRDefault="000D2247" w:rsidP="00103DBC">
            <w:r w:rsidRPr="00103DBC">
              <w:lastRenderedPageBreak/>
              <w:t xml:space="preserve">Update: </w:t>
            </w:r>
          </w:p>
          <w:p w14:paraId="4BA7E334" w14:textId="77777777" w:rsidR="000D2247" w:rsidRPr="00103DBC" w:rsidRDefault="000D2247" w:rsidP="00103DBC">
            <w:r w:rsidRPr="00103DBC">
              <w:t>Made: 20/09/13</w:t>
            </w:r>
          </w:p>
        </w:tc>
        <w:tc>
          <w:tcPr>
            <w:tcW w:w="8079" w:type="dxa"/>
          </w:tcPr>
          <w:p w14:paraId="02C41990" w14:textId="77777777" w:rsidR="000D2247" w:rsidRPr="00103DBC" w:rsidRDefault="000D2247" w:rsidP="00103DBC">
            <w:pPr>
              <w:spacing w:before="60"/>
            </w:pPr>
            <w:r w:rsidRPr="00103DBC">
              <w:t>The number of people doing unpaid voluntary work who are not working or actively seeking work (code 07) is 0 for 36 CCGs (17.1%) in June 2013 and 0% to one decimal place for more than a quarter of CCGs (53 CCGs, 25.1%).</w:t>
            </w:r>
          </w:p>
          <w:p w14:paraId="38154A5B" w14:textId="77777777" w:rsidR="000D2247" w:rsidRPr="00103DBC" w:rsidRDefault="000D2247" w:rsidP="00103DBC">
            <w:pPr>
              <w:spacing w:before="60"/>
            </w:pPr>
          </w:p>
          <w:p w14:paraId="23D262E0" w14:textId="77777777" w:rsidR="000D2247" w:rsidRPr="00103DBC" w:rsidRDefault="000D2247" w:rsidP="00103DBC">
            <w:pPr>
              <w:spacing w:before="60"/>
            </w:pPr>
            <w:r w:rsidRPr="00103DBC">
              <w:t>In 206 CCGs (97.6%) the percentage of people doing unpaid voluntary work who are not working or actively seeking work is less than 3% of the number of adults who have received secondary mental health services.  In only 4 CCGs is the percentage more than 10%.  All 4 of these CCGs are in the same county, suggesting either a different policy is in use by the mental health care provider or the local authority.  The data are shown below.</w:t>
            </w:r>
          </w:p>
          <w:p w14:paraId="5927DF60" w14:textId="77777777" w:rsidR="000D2247" w:rsidRPr="00103DBC" w:rsidRDefault="000D2247" w:rsidP="00103DBC">
            <w:pPr>
              <w:spacing w:before="60"/>
            </w:pPr>
          </w:p>
          <w:p w14:paraId="69B141F6" w14:textId="77777777" w:rsidR="000D2247" w:rsidRPr="00103DBC" w:rsidRDefault="000D2247" w:rsidP="00103DBC">
            <w:pPr>
              <w:spacing w:before="60"/>
            </w:pPr>
            <w:r w:rsidRPr="00103DBC">
              <w:t>One reason for the low percentage in most CCGs would be the definition of the code 07, which excludes anybody doing unpaid voluntary work but who is actively seeking work.  Therefore, we do not consider this to be useful.</w:t>
            </w:r>
          </w:p>
        </w:tc>
      </w:tr>
      <w:tr w:rsidR="00103DBC" w:rsidRPr="00103DBC" w14:paraId="320F0A50" w14:textId="77777777" w:rsidTr="00B34530">
        <w:tc>
          <w:tcPr>
            <w:tcW w:w="1844" w:type="dxa"/>
          </w:tcPr>
          <w:p w14:paraId="3A968F20" w14:textId="77777777" w:rsidR="000D2247" w:rsidRPr="00103DBC" w:rsidRDefault="000D2247" w:rsidP="00103DBC">
            <w:r w:rsidRPr="00103DBC">
              <w:t xml:space="preserve">Further Rec: </w:t>
            </w:r>
          </w:p>
          <w:p w14:paraId="3CFDA2F4" w14:textId="77777777" w:rsidR="000D2247" w:rsidRPr="00103DBC" w:rsidRDefault="000D2247" w:rsidP="00103DBC">
            <w:r w:rsidRPr="00103DBC">
              <w:t>Made: xx/xx/xx</w:t>
            </w:r>
          </w:p>
        </w:tc>
        <w:tc>
          <w:tcPr>
            <w:tcW w:w="8079" w:type="dxa"/>
          </w:tcPr>
          <w:p w14:paraId="69614CCB" w14:textId="77777777" w:rsidR="000D2247" w:rsidRPr="00103DBC" w:rsidRDefault="000D2247" w:rsidP="00103DBC">
            <w:pPr>
              <w:rPr>
                <w:b/>
              </w:rPr>
            </w:pPr>
          </w:p>
          <w:p w14:paraId="54CC0600" w14:textId="77777777" w:rsidR="000D2247" w:rsidRPr="00103DBC" w:rsidRDefault="000D2247" w:rsidP="00103DBC">
            <w:pPr>
              <w:rPr>
                <w:b/>
              </w:rPr>
            </w:pPr>
          </w:p>
        </w:tc>
      </w:tr>
      <w:tr w:rsidR="00103DBC" w:rsidRPr="00103DBC" w14:paraId="7F5B9AD4" w14:textId="77777777" w:rsidTr="00B34530">
        <w:tc>
          <w:tcPr>
            <w:tcW w:w="1844" w:type="dxa"/>
          </w:tcPr>
          <w:p w14:paraId="060B7083" w14:textId="77777777" w:rsidR="000D2247" w:rsidRPr="00103DBC" w:rsidRDefault="000D2247" w:rsidP="00103DBC">
            <w:r w:rsidRPr="00103DBC">
              <w:t xml:space="preserve">Update: </w:t>
            </w:r>
          </w:p>
          <w:p w14:paraId="7FE81612" w14:textId="77777777" w:rsidR="000D2247" w:rsidRPr="00103DBC" w:rsidRDefault="000D2247" w:rsidP="00103DBC">
            <w:r w:rsidRPr="00103DBC">
              <w:t>Made: xx/xx/xx</w:t>
            </w:r>
          </w:p>
        </w:tc>
        <w:tc>
          <w:tcPr>
            <w:tcW w:w="8079" w:type="dxa"/>
          </w:tcPr>
          <w:p w14:paraId="05A3B17F" w14:textId="77777777" w:rsidR="000D2247" w:rsidRPr="00103DBC" w:rsidRDefault="000D2247" w:rsidP="00103DBC">
            <w:pPr>
              <w:rPr>
                <w:b/>
              </w:rPr>
            </w:pPr>
          </w:p>
          <w:p w14:paraId="73DCF979" w14:textId="77777777" w:rsidR="000D2247" w:rsidRPr="00103DBC" w:rsidRDefault="000D2247" w:rsidP="00103DBC">
            <w:pPr>
              <w:rPr>
                <w:b/>
              </w:rPr>
            </w:pPr>
          </w:p>
        </w:tc>
      </w:tr>
      <w:tr w:rsidR="00A854FD" w:rsidRPr="00103DBC" w14:paraId="53C90A77" w14:textId="77777777" w:rsidTr="00446D0B">
        <w:tc>
          <w:tcPr>
            <w:tcW w:w="1844" w:type="dxa"/>
          </w:tcPr>
          <w:p w14:paraId="784FAB3A" w14:textId="77777777" w:rsidR="00A854FD" w:rsidRPr="00103DBC" w:rsidRDefault="00A854FD" w:rsidP="00103DBC">
            <w:r w:rsidRPr="00103DBC">
              <w:t>Rec Status:</w:t>
            </w:r>
          </w:p>
        </w:tc>
        <w:tc>
          <w:tcPr>
            <w:tcW w:w="8079" w:type="dxa"/>
          </w:tcPr>
          <w:p w14:paraId="7C2C8A78" w14:textId="3EFAE9FD" w:rsidR="00A854FD" w:rsidRPr="00103DBC" w:rsidRDefault="00A854FD" w:rsidP="00103DBC">
            <w:pPr>
              <w:jc w:val="center"/>
              <w:rPr>
                <w:b/>
              </w:rPr>
            </w:pPr>
          </w:p>
        </w:tc>
      </w:tr>
    </w:tbl>
    <w:p w14:paraId="62A34E38" w14:textId="11E0DC39" w:rsidR="000D2247" w:rsidRDefault="000D2247"/>
    <w:p w14:paraId="7A6D20E3" w14:textId="2EA178F9" w:rsidR="00A854FD" w:rsidRDefault="00A854FD">
      <w:pPr>
        <w:rPr>
          <w:b/>
          <w:bCs/>
        </w:rPr>
      </w:pPr>
      <w:r w:rsidRPr="00103DBC">
        <w:rPr>
          <w:b/>
          <w:bCs/>
        </w:rPr>
        <w:t>Denominator</w:t>
      </w:r>
      <w:r>
        <w:rPr>
          <w:b/>
          <w:bCs/>
        </w:rPr>
        <w:t xml:space="preserve">: </w:t>
      </w:r>
      <w:r w:rsidRPr="00103DBC">
        <w:rPr>
          <w:b/>
          <w:bCs/>
        </w:rPr>
        <w:t>The number of working age adults aged 18 to 69 who have received secondary mental health services</w:t>
      </w:r>
    </w:p>
    <w:p w14:paraId="03AABC75" w14:textId="4C20E1B6" w:rsidR="00A854FD" w:rsidRDefault="00A854FD">
      <w:pPr>
        <w:rPr>
          <w:b/>
          <w:bCs/>
        </w:rPr>
      </w:pPr>
      <w:r w:rsidRPr="00103DBC">
        <w:rPr>
          <w:b/>
          <w:bCs/>
        </w:rPr>
        <w:t>Numerator</w:t>
      </w:r>
      <w:r>
        <w:rPr>
          <w:b/>
          <w:bCs/>
        </w:rPr>
        <w:t xml:space="preserve">: </w:t>
      </w:r>
      <w:r w:rsidRPr="00103DBC">
        <w:rPr>
          <w:b/>
          <w:bCs/>
        </w:rPr>
        <w:t>Unpaid voluntary work who are not working or actively seeking work (07)</w:t>
      </w:r>
    </w:p>
    <w:p w14:paraId="2983025B" w14:textId="2908FDAB" w:rsidR="00A854FD" w:rsidRDefault="00A854FD">
      <w:r w:rsidRPr="00103DBC">
        <w:rPr>
          <w:b/>
          <w:bCs/>
        </w:rPr>
        <w:t>95% Confidence Interval calculated using Wilson Score</w:t>
      </w:r>
      <w:r w:rsidRPr="00103DBC">
        <w:rPr>
          <w:b/>
          <w:bCs/>
        </w:rPr>
        <w:br/>
        <w:t>method.</w:t>
      </w:r>
    </w:p>
    <w:p w14:paraId="39BFE5D5" w14:textId="77777777" w:rsidR="00A854FD" w:rsidRDefault="00A854FD"/>
    <w:tbl>
      <w:tblPr>
        <w:tblStyle w:val="TableGrid"/>
        <w:tblW w:w="9243" w:type="dxa"/>
        <w:tblLayout w:type="fixed"/>
        <w:tblLook w:val="04A0" w:firstRow="1" w:lastRow="0" w:firstColumn="1" w:lastColumn="0" w:noHBand="0" w:noVBand="1"/>
      </w:tblPr>
      <w:tblGrid>
        <w:gridCol w:w="1305"/>
        <w:gridCol w:w="2410"/>
        <w:gridCol w:w="1985"/>
        <w:gridCol w:w="1134"/>
        <w:gridCol w:w="1275"/>
        <w:gridCol w:w="1134"/>
      </w:tblGrid>
      <w:tr w:rsidR="00A854FD" w:rsidRPr="00103DBC" w14:paraId="357AC935" w14:textId="77777777" w:rsidTr="00DD3C37">
        <w:trPr>
          <w:trHeight w:val="300"/>
        </w:trPr>
        <w:tc>
          <w:tcPr>
            <w:tcW w:w="1305" w:type="dxa"/>
            <w:noWrap/>
            <w:hideMark/>
          </w:tcPr>
          <w:p w14:paraId="2BBDFB48" w14:textId="77777777" w:rsidR="00A854FD" w:rsidRPr="00103DBC" w:rsidRDefault="00A854FD" w:rsidP="00DD3C37">
            <w:pPr>
              <w:rPr>
                <w:b/>
                <w:bCs/>
              </w:rPr>
            </w:pPr>
            <w:r w:rsidRPr="00103DBC">
              <w:rPr>
                <w:b/>
                <w:bCs/>
              </w:rPr>
              <w:t>CCG Code</w:t>
            </w:r>
          </w:p>
        </w:tc>
        <w:tc>
          <w:tcPr>
            <w:tcW w:w="2410" w:type="dxa"/>
            <w:noWrap/>
            <w:hideMark/>
          </w:tcPr>
          <w:p w14:paraId="325DD47F" w14:textId="77777777" w:rsidR="00A854FD" w:rsidRPr="00103DBC" w:rsidRDefault="00A854FD" w:rsidP="00DD3C37">
            <w:pPr>
              <w:jc w:val="right"/>
              <w:rPr>
                <w:b/>
                <w:bCs/>
              </w:rPr>
            </w:pPr>
            <w:r w:rsidRPr="00103DBC">
              <w:rPr>
                <w:b/>
                <w:bCs/>
              </w:rPr>
              <w:t>Denominator</w:t>
            </w:r>
          </w:p>
        </w:tc>
        <w:tc>
          <w:tcPr>
            <w:tcW w:w="1985" w:type="dxa"/>
            <w:noWrap/>
            <w:hideMark/>
          </w:tcPr>
          <w:p w14:paraId="54ADCFB9" w14:textId="77777777" w:rsidR="00A854FD" w:rsidRPr="00103DBC" w:rsidRDefault="00A854FD" w:rsidP="00DD3C37">
            <w:pPr>
              <w:jc w:val="right"/>
              <w:rPr>
                <w:b/>
                <w:bCs/>
              </w:rPr>
            </w:pPr>
            <w:r w:rsidRPr="00103DBC">
              <w:rPr>
                <w:b/>
                <w:bCs/>
              </w:rPr>
              <w:t>Numerator</w:t>
            </w:r>
          </w:p>
        </w:tc>
        <w:tc>
          <w:tcPr>
            <w:tcW w:w="1134" w:type="dxa"/>
            <w:noWrap/>
            <w:hideMark/>
          </w:tcPr>
          <w:p w14:paraId="2B06BFE7" w14:textId="77777777" w:rsidR="00A854FD" w:rsidRPr="00103DBC" w:rsidRDefault="00A854FD" w:rsidP="00DD3C37">
            <w:pPr>
              <w:jc w:val="right"/>
              <w:rPr>
                <w:b/>
                <w:bCs/>
              </w:rPr>
            </w:pPr>
            <w:r w:rsidRPr="00103DBC">
              <w:rPr>
                <w:b/>
                <w:bCs/>
              </w:rPr>
              <w:t>%</w:t>
            </w:r>
          </w:p>
        </w:tc>
        <w:tc>
          <w:tcPr>
            <w:tcW w:w="1275" w:type="dxa"/>
            <w:noWrap/>
            <w:hideMark/>
          </w:tcPr>
          <w:p w14:paraId="3CFCD6A3" w14:textId="77777777" w:rsidR="00A854FD" w:rsidRPr="00103DBC" w:rsidRDefault="00A854FD" w:rsidP="00DD3C37">
            <w:pPr>
              <w:jc w:val="right"/>
              <w:rPr>
                <w:b/>
                <w:bCs/>
              </w:rPr>
            </w:pPr>
            <w:r w:rsidRPr="00103DBC">
              <w:rPr>
                <w:b/>
                <w:bCs/>
              </w:rPr>
              <w:t>Lower CI</w:t>
            </w:r>
          </w:p>
        </w:tc>
        <w:tc>
          <w:tcPr>
            <w:tcW w:w="1134" w:type="dxa"/>
            <w:noWrap/>
            <w:hideMark/>
          </w:tcPr>
          <w:p w14:paraId="4AC2FD43" w14:textId="77777777" w:rsidR="00A854FD" w:rsidRPr="00103DBC" w:rsidRDefault="00A854FD" w:rsidP="00DD3C37">
            <w:pPr>
              <w:jc w:val="right"/>
              <w:rPr>
                <w:b/>
                <w:bCs/>
              </w:rPr>
            </w:pPr>
            <w:r w:rsidRPr="00103DBC">
              <w:rPr>
                <w:b/>
                <w:bCs/>
              </w:rPr>
              <w:t>Upper CI</w:t>
            </w:r>
          </w:p>
        </w:tc>
      </w:tr>
      <w:tr w:rsidR="00A854FD" w:rsidRPr="00103DBC" w14:paraId="2D776D70" w14:textId="77777777" w:rsidTr="00DD3C37">
        <w:trPr>
          <w:trHeight w:val="300"/>
        </w:trPr>
        <w:tc>
          <w:tcPr>
            <w:tcW w:w="1305" w:type="dxa"/>
            <w:noWrap/>
          </w:tcPr>
          <w:p w14:paraId="3B600148" w14:textId="62A56245" w:rsidR="00A854FD" w:rsidRPr="00103DBC" w:rsidRDefault="00A854FD" w:rsidP="00DD3C37">
            <w:r w:rsidRPr="00103DBC">
              <w:rPr>
                <w:b/>
                <w:bCs/>
              </w:rPr>
              <w:t>Highest 10</w:t>
            </w:r>
          </w:p>
        </w:tc>
        <w:tc>
          <w:tcPr>
            <w:tcW w:w="2410" w:type="dxa"/>
            <w:noWrap/>
          </w:tcPr>
          <w:p w14:paraId="6D1DE80B" w14:textId="77777777" w:rsidR="00A854FD" w:rsidRPr="00103DBC" w:rsidRDefault="00A854FD" w:rsidP="00DD3C37">
            <w:pPr>
              <w:jc w:val="right"/>
            </w:pPr>
          </w:p>
        </w:tc>
        <w:tc>
          <w:tcPr>
            <w:tcW w:w="1985" w:type="dxa"/>
            <w:noWrap/>
          </w:tcPr>
          <w:p w14:paraId="2F5BD360" w14:textId="77777777" w:rsidR="00A854FD" w:rsidRPr="00103DBC" w:rsidRDefault="00A854FD" w:rsidP="00DD3C37">
            <w:pPr>
              <w:jc w:val="right"/>
            </w:pPr>
          </w:p>
        </w:tc>
        <w:tc>
          <w:tcPr>
            <w:tcW w:w="1134" w:type="dxa"/>
            <w:noWrap/>
          </w:tcPr>
          <w:p w14:paraId="70C8DA92" w14:textId="77777777" w:rsidR="00A854FD" w:rsidRPr="00103DBC" w:rsidRDefault="00A854FD" w:rsidP="00DD3C37">
            <w:pPr>
              <w:jc w:val="right"/>
            </w:pPr>
          </w:p>
        </w:tc>
        <w:tc>
          <w:tcPr>
            <w:tcW w:w="1275" w:type="dxa"/>
            <w:noWrap/>
          </w:tcPr>
          <w:p w14:paraId="647604EE" w14:textId="77777777" w:rsidR="00A854FD" w:rsidRPr="00103DBC" w:rsidRDefault="00A854FD" w:rsidP="00DD3C37">
            <w:pPr>
              <w:jc w:val="right"/>
            </w:pPr>
          </w:p>
        </w:tc>
        <w:tc>
          <w:tcPr>
            <w:tcW w:w="1134" w:type="dxa"/>
            <w:noWrap/>
          </w:tcPr>
          <w:p w14:paraId="1EA7FBE6" w14:textId="77777777" w:rsidR="00A854FD" w:rsidRPr="00103DBC" w:rsidRDefault="00A854FD" w:rsidP="00DD3C37">
            <w:pPr>
              <w:jc w:val="right"/>
            </w:pPr>
          </w:p>
        </w:tc>
      </w:tr>
      <w:tr w:rsidR="00A854FD" w:rsidRPr="00103DBC" w14:paraId="720B3F62" w14:textId="77777777" w:rsidTr="00DD3C37">
        <w:trPr>
          <w:trHeight w:val="300"/>
        </w:trPr>
        <w:tc>
          <w:tcPr>
            <w:tcW w:w="1305" w:type="dxa"/>
            <w:noWrap/>
            <w:hideMark/>
          </w:tcPr>
          <w:p w14:paraId="34D1D68D" w14:textId="77777777" w:rsidR="00A854FD" w:rsidRPr="00103DBC" w:rsidRDefault="00A854FD" w:rsidP="00DD3C37">
            <w:r w:rsidRPr="00103DBC">
              <w:t>CCG 211</w:t>
            </w:r>
          </w:p>
        </w:tc>
        <w:tc>
          <w:tcPr>
            <w:tcW w:w="2410" w:type="dxa"/>
            <w:noWrap/>
            <w:hideMark/>
          </w:tcPr>
          <w:p w14:paraId="7120A98D" w14:textId="77777777" w:rsidR="00A854FD" w:rsidRPr="00103DBC" w:rsidRDefault="00A854FD" w:rsidP="00DD3C37">
            <w:pPr>
              <w:jc w:val="right"/>
            </w:pPr>
            <w:r w:rsidRPr="00103DBC">
              <w:t>1306</w:t>
            </w:r>
          </w:p>
        </w:tc>
        <w:tc>
          <w:tcPr>
            <w:tcW w:w="1985" w:type="dxa"/>
            <w:noWrap/>
            <w:hideMark/>
          </w:tcPr>
          <w:p w14:paraId="0D156742" w14:textId="77777777" w:rsidR="00A854FD" w:rsidRPr="00103DBC" w:rsidRDefault="00A854FD" w:rsidP="00DD3C37">
            <w:pPr>
              <w:jc w:val="right"/>
            </w:pPr>
            <w:r w:rsidRPr="00103DBC">
              <w:t>271</w:t>
            </w:r>
          </w:p>
        </w:tc>
        <w:tc>
          <w:tcPr>
            <w:tcW w:w="1134" w:type="dxa"/>
            <w:noWrap/>
            <w:hideMark/>
          </w:tcPr>
          <w:p w14:paraId="09270B26" w14:textId="77777777" w:rsidR="00A854FD" w:rsidRPr="00103DBC" w:rsidRDefault="00A854FD" w:rsidP="00DD3C37">
            <w:pPr>
              <w:jc w:val="right"/>
            </w:pPr>
            <w:r w:rsidRPr="00103DBC">
              <w:t>20.8%</w:t>
            </w:r>
          </w:p>
        </w:tc>
        <w:tc>
          <w:tcPr>
            <w:tcW w:w="1275" w:type="dxa"/>
            <w:noWrap/>
            <w:hideMark/>
          </w:tcPr>
          <w:p w14:paraId="39E35ED0" w14:textId="77777777" w:rsidR="00A854FD" w:rsidRPr="00103DBC" w:rsidRDefault="00A854FD" w:rsidP="00DD3C37">
            <w:pPr>
              <w:jc w:val="right"/>
            </w:pPr>
            <w:r w:rsidRPr="00103DBC">
              <w:t>18.6%</w:t>
            </w:r>
          </w:p>
        </w:tc>
        <w:tc>
          <w:tcPr>
            <w:tcW w:w="1134" w:type="dxa"/>
            <w:noWrap/>
            <w:hideMark/>
          </w:tcPr>
          <w:p w14:paraId="62B91944" w14:textId="77777777" w:rsidR="00A854FD" w:rsidRPr="00103DBC" w:rsidRDefault="00A854FD" w:rsidP="00DD3C37">
            <w:pPr>
              <w:jc w:val="right"/>
            </w:pPr>
            <w:r w:rsidRPr="00103DBC">
              <w:t>23.0%</w:t>
            </w:r>
          </w:p>
        </w:tc>
      </w:tr>
      <w:tr w:rsidR="00A854FD" w:rsidRPr="00103DBC" w14:paraId="11820009" w14:textId="77777777" w:rsidTr="00DD3C37">
        <w:trPr>
          <w:trHeight w:val="300"/>
        </w:trPr>
        <w:tc>
          <w:tcPr>
            <w:tcW w:w="1305" w:type="dxa"/>
            <w:noWrap/>
            <w:hideMark/>
          </w:tcPr>
          <w:p w14:paraId="348B9235" w14:textId="77777777" w:rsidR="00A854FD" w:rsidRPr="00103DBC" w:rsidRDefault="00A854FD" w:rsidP="00DD3C37">
            <w:r w:rsidRPr="00103DBC">
              <w:t>CCG 210</w:t>
            </w:r>
          </w:p>
        </w:tc>
        <w:tc>
          <w:tcPr>
            <w:tcW w:w="2410" w:type="dxa"/>
            <w:noWrap/>
            <w:hideMark/>
          </w:tcPr>
          <w:p w14:paraId="6974BB9D" w14:textId="77777777" w:rsidR="00A854FD" w:rsidRPr="00103DBC" w:rsidRDefault="00A854FD" w:rsidP="00DD3C37">
            <w:pPr>
              <w:jc w:val="right"/>
            </w:pPr>
            <w:r w:rsidRPr="00103DBC">
              <w:t>1345</w:t>
            </w:r>
          </w:p>
        </w:tc>
        <w:tc>
          <w:tcPr>
            <w:tcW w:w="1985" w:type="dxa"/>
            <w:noWrap/>
            <w:hideMark/>
          </w:tcPr>
          <w:p w14:paraId="3E4E775D" w14:textId="77777777" w:rsidR="00A854FD" w:rsidRPr="00103DBC" w:rsidRDefault="00A854FD" w:rsidP="00DD3C37">
            <w:pPr>
              <w:jc w:val="right"/>
            </w:pPr>
            <w:r w:rsidRPr="00103DBC">
              <w:t>199</w:t>
            </w:r>
          </w:p>
        </w:tc>
        <w:tc>
          <w:tcPr>
            <w:tcW w:w="1134" w:type="dxa"/>
            <w:noWrap/>
            <w:hideMark/>
          </w:tcPr>
          <w:p w14:paraId="6345F1E4" w14:textId="77777777" w:rsidR="00A854FD" w:rsidRPr="00103DBC" w:rsidRDefault="00A854FD" w:rsidP="00DD3C37">
            <w:pPr>
              <w:jc w:val="right"/>
            </w:pPr>
            <w:r w:rsidRPr="00103DBC">
              <w:t>14.8%</w:t>
            </w:r>
          </w:p>
        </w:tc>
        <w:tc>
          <w:tcPr>
            <w:tcW w:w="1275" w:type="dxa"/>
            <w:noWrap/>
            <w:hideMark/>
          </w:tcPr>
          <w:p w14:paraId="0D5DA022" w14:textId="77777777" w:rsidR="00A854FD" w:rsidRPr="00103DBC" w:rsidRDefault="00A854FD" w:rsidP="00DD3C37">
            <w:pPr>
              <w:jc w:val="right"/>
            </w:pPr>
            <w:r w:rsidRPr="00103DBC">
              <w:t>13.0%</w:t>
            </w:r>
          </w:p>
        </w:tc>
        <w:tc>
          <w:tcPr>
            <w:tcW w:w="1134" w:type="dxa"/>
            <w:noWrap/>
            <w:hideMark/>
          </w:tcPr>
          <w:p w14:paraId="5BD4E5D5" w14:textId="77777777" w:rsidR="00A854FD" w:rsidRPr="00103DBC" w:rsidRDefault="00A854FD" w:rsidP="00DD3C37">
            <w:pPr>
              <w:jc w:val="right"/>
            </w:pPr>
            <w:r w:rsidRPr="00103DBC">
              <w:t>16.8%</w:t>
            </w:r>
          </w:p>
        </w:tc>
      </w:tr>
      <w:tr w:rsidR="00A854FD" w:rsidRPr="00103DBC" w14:paraId="3E26F8B5" w14:textId="77777777" w:rsidTr="00DD3C37">
        <w:trPr>
          <w:trHeight w:val="300"/>
        </w:trPr>
        <w:tc>
          <w:tcPr>
            <w:tcW w:w="1305" w:type="dxa"/>
            <w:noWrap/>
            <w:hideMark/>
          </w:tcPr>
          <w:p w14:paraId="43482313" w14:textId="77777777" w:rsidR="00A854FD" w:rsidRPr="00103DBC" w:rsidRDefault="00A854FD" w:rsidP="00DD3C37">
            <w:r w:rsidRPr="00103DBC">
              <w:t>CCG 209</w:t>
            </w:r>
          </w:p>
        </w:tc>
        <w:tc>
          <w:tcPr>
            <w:tcW w:w="2410" w:type="dxa"/>
            <w:noWrap/>
            <w:hideMark/>
          </w:tcPr>
          <w:p w14:paraId="41766685" w14:textId="77777777" w:rsidR="00A854FD" w:rsidRPr="00103DBC" w:rsidRDefault="00A854FD" w:rsidP="00DD3C37">
            <w:pPr>
              <w:jc w:val="right"/>
            </w:pPr>
            <w:r w:rsidRPr="00103DBC">
              <w:t>2237</w:t>
            </w:r>
          </w:p>
        </w:tc>
        <w:tc>
          <w:tcPr>
            <w:tcW w:w="1985" w:type="dxa"/>
            <w:noWrap/>
            <w:hideMark/>
          </w:tcPr>
          <w:p w14:paraId="7647D541" w14:textId="77777777" w:rsidR="00A854FD" w:rsidRPr="00103DBC" w:rsidRDefault="00A854FD" w:rsidP="00DD3C37">
            <w:pPr>
              <w:jc w:val="right"/>
            </w:pPr>
            <w:r w:rsidRPr="00103DBC">
              <w:t>310</w:t>
            </w:r>
          </w:p>
        </w:tc>
        <w:tc>
          <w:tcPr>
            <w:tcW w:w="1134" w:type="dxa"/>
            <w:noWrap/>
            <w:hideMark/>
          </w:tcPr>
          <w:p w14:paraId="3CCD0FC1" w14:textId="77777777" w:rsidR="00A854FD" w:rsidRPr="00103DBC" w:rsidRDefault="00A854FD" w:rsidP="00DD3C37">
            <w:pPr>
              <w:jc w:val="right"/>
            </w:pPr>
            <w:r w:rsidRPr="00103DBC">
              <w:t>13.9%</w:t>
            </w:r>
          </w:p>
        </w:tc>
        <w:tc>
          <w:tcPr>
            <w:tcW w:w="1275" w:type="dxa"/>
            <w:noWrap/>
            <w:hideMark/>
          </w:tcPr>
          <w:p w14:paraId="21E243BE" w14:textId="77777777" w:rsidR="00A854FD" w:rsidRPr="00103DBC" w:rsidRDefault="00A854FD" w:rsidP="00DD3C37">
            <w:pPr>
              <w:jc w:val="right"/>
            </w:pPr>
            <w:r w:rsidRPr="00103DBC">
              <w:t>12.5%</w:t>
            </w:r>
          </w:p>
        </w:tc>
        <w:tc>
          <w:tcPr>
            <w:tcW w:w="1134" w:type="dxa"/>
            <w:noWrap/>
            <w:hideMark/>
          </w:tcPr>
          <w:p w14:paraId="004DA7B2" w14:textId="77777777" w:rsidR="00A854FD" w:rsidRPr="00103DBC" w:rsidRDefault="00A854FD" w:rsidP="00DD3C37">
            <w:pPr>
              <w:jc w:val="right"/>
            </w:pPr>
            <w:r w:rsidRPr="00103DBC">
              <w:t>15.4%</w:t>
            </w:r>
          </w:p>
        </w:tc>
      </w:tr>
      <w:tr w:rsidR="00A854FD" w:rsidRPr="00103DBC" w14:paraId="46480A1D" w14:textId="77777777" w:rsidTr="00DD3C37">
        <w:trPr>
          <w:trHeight w:val="300"/>
        </w:trPr>
        <w:tc>
          <w:tcPr>
            <w:tcW w:w="1305" w:type="dxa"/>
            <w:noWrap/>
            <w:hideMark/>
          </w:tcPr>
          <w:p w14:paraId="78201590" w14:textId="77777777" w:rsidR="00A854FD" w:rsidRPr="00103DBC" w:rsidRDefault="00A854FD" w:rsidP="00DD3C37">
            <w:r w:rsidRPr="00103DBC">
              <w:t>CCG 208</w:t>
            </w:r>
          </w:p>
        </w:tc>
        <w:tc>
          <w:tcPr>
            <w:tcW w:w="2410" w:type="dxa"/>
            <w:noWrap/>
            <w:hideMark/>
          </w:tcPr>
          <w:p w14:paraId="01E82D6D" w14:textId="77777777" w:rsidR="00A854FD" w:rsidRPr="00103DBC" w:rsidRDefault="00A854FD" w:rsidP="00DD3C37">
            <w:pPr>
              <w:jc w:val="right"/>
            </w:pPr>
            <w:r w:rsidRPr="00103DBC">
              <w:t>1639</w:t>
            </w:r>
          </w:p>
        </w:tc>
        <w:tc>
          <w:tcPr>
            <w:tcW w:w="1985" w:type="dxa"/>
            <w:noWrap/>
            <w:hideMark/>
          </w:tcPr>
          <w:p w14:paraId="432368AB" w14:textId="77777777" w:rsidR="00A854FD" w:rsidRPr="00103DBC" w:rsidRDefault="00A854FD" w:rsidP="00DD3C37">
            <w:pPr>
              <w:jc w:val="right"/>
            </w:pPr>
            <w:r w:rsidRPr="00103DBC">
              <w:t>177</w:t>
            </w:r>
          </w:p>
        </w:tc>
        <w:tc>
          <w:tcPr>
            <w:tcW w:w="1134" w:type="dxa"/>
            <w:noWrap/>
            <w:hideMark/>
          </w:tcPr>
          <w:p w14:paraId="40733932" w14:textId="77777777" w:rsidR="00A854FD" w:rsidRPr="00103DBC" w:rsidRDefault="00A854FD" w:rsidP="00DD3C37">
            <w:pPr>
              <w:jc w:val="right"/>
            </w:pPr>
            <w:r w:rsidRPr="00103DBC">
              <w:t>10.8%</w:t>
            </w:r>
          </w:p>
        </w:tc>
        <w:tc>
          <w:tcPr>
            <w:tcW w:w="1275" w:type="dxa"/>
            <w:noWrap/>
            <w:hideMark/>
          </w:tcPr>
          <w:p w14:paraId="1F66122D" w14:textId="77777777" w:rsidR="00A854FD" w:rsidRPr="00103DBC" w:rsidRDefault="00A854FD" w:rsidP="00DD3C37">
            <w:pPr>
              <w:jc w:val="right"/>
            </w:pPr>
            <w:r w:rsidRPr="00103DBC">
              <w:t>9.4%</w:t>
            </w:r>
          </w:p>
        </w:tc>
        <w:tc>
          <w:tcPr>
            <w:tcW w:w="1134" w:type="dxa"/>
            <w:noWrap/>
            <w:hideMark/>
          </w:tcPr>
          <w:p w14:paraId="29D4081D" w14:textId="77777777" w:rsidR="00A854FD" w:rsidRPr="00103DBC" w:rsidRDefault="00A854FD" w:rsidP="00DD3C37">
            <w:pPr>
              <w:jc w:val="right"/>
            </w:pPr>
            <w:r w:rsidRPr="00103DBC">
              <w:t>12.4%</w:t>
            </w:r>
          </w:p>
        </w:tc>
      </w:tr>
      <w:tr w:rsidR="00A854FD" w:rsidRPr="00103DBC" w14:paraId="2A4136C0" w14:textId="77777777" w:rsidTr="00DD3C37">
        <w:trPr>
          <w:trHeight w:val="300"/>
        </w:trPr>
        <w:tc>
          <w:tcPr>
            <w:tcW w:w="1305" w:type="dxa"/>
            <w:noWrap/>
            <w:hideMark/>
          </w:tcPr>
          <w:p w14:paraId="54B8E29C" w14:textId="77777777" w:rsidR="00A854FD" w:rsidRPr="00103DBC" w:rsidRDefault="00A854FD" w:rsidP="00DD3C37">
            <w:r w:rsidRPr="00103DBC">
              <w:t>CCG 207</w:t>
            </w:r>
          </w:p>
        </w:tc>
        <w:tc>
          <w:tcPr>
            <w:tcW w:w="2410" w:type="dxa"/>
            <w:noWrap/>
            <w:hideMark/>
          </w:tcPr>
          <w:p w14:paraId="53DA5FF9" w14:textId="77777777" w:rsidR="00A854FD" w:rsidRPr="00103DBC" w:rsidRDefault="00A854FD" w:rsidP="00DD3C37">
            <w:pPr>
              <w:jc w:val="right"/>
            </w:pPr>
            <w:r w:rsidRPr="00103DBC">
              <w:t>1956</w:t>
            </w:r>
          </w:p>
        </w:tc>
        <w:tc>
          <w:tcPr>
            <w:tcW w:w="1985" w:type="dxa"/>
            <w:noWrap/>
            <w:hideMark/>
          </w:tcPr>
          <w:p w14:paraId="7BA0C379" w14:textId="77777777" w:rsidR="00A854FD" w:rsidRPr="00103DBC" w:rsidRDefault="00A854FD" w:rsidP="00DD3C37">
            <w:pPr>
              <w:jc w:val="right"/>
            </w:pPr>
            <w:r w:rsidRPr="00103DBC">
              <w:t>129</w:t>
            </w:r>
          </w:p>
        </w:tc>
        <w:tc>
          <w:tcPr>
            <w:tcW w:w="1134" w:type="dxa"/>
            <w:noWrap/>
            <w:hideMark/>
          </w:tcPr>
          <w:p w14:paraId="6177E800" w14:textId="77777777" w:rsidR="00A854FD" w:rsidRPr="00103DBC" w:rsidRDefault="00A854FD" w:rsidP="00DD3C37">
            <w:pPr>
              <w:jc w:val="right"/>
            </w:pPr>
            <w:r w:rsidRPr="00103DBC">
              <w:t>6.6%</w:t>
            </w:r>
          </w:p>
        </w:tc>
        <w:tc>
          <w:tcPr>
            <w:tcW w:w="1275" w:type="dxa"/>
            <w:noWrap/>
            <w:hideMark/>
          </w:tcPr>
          <w:p w14:paraId="500C2955" w14:textId="77777777" w:rsidR="00A854FD" w:rsidRPr="00103DBC" w:rsidRDefault="00A854FD" w:rsidP="00DD3C37">
            <w:pPr>
              <w:jc w:val="right"/>
            </w:pPr>
            <w:r w:rsidRPr="00103DBC">
              <w:t>5.6%</w:t>
            </w:r>
          </w:p>
        </w:tc>
        <w:tc>
          <w:tcPr>
            <w:tcW w:w="1134" w:type="dxa"/>
            <w:noWrap/>
            <w:hideMark/>
          </w:tcPr>
          <w:p w14:paraId="7D9A79D7" w14:textId="77777777" w:rsidR="00A854FD" w:rsidRPr="00103DBC" w:rsidRDefault="00A854FD" w:rsidP="00DD3C37">
            <w:pPr>
              <w:jc w:val="right"/>
            </w:pPr>
            <w:r w:rsidRPr="00103DBC">
              <w:t>7.8%</w:t>
            </w:r>
          </w:p>
        </w:tc>
      </w:tr>
      <w:tr w:rsidR="00A854FD" w:rsidRPr="00103DBC" w14:paraId="2990225A" w14:textId="77777777" w:rsidTr="00DD3C37">
        <w:trPr>
          <w:trHeight w:val="300"/>
        </w:trPr>
        <w:tc>
          <w:tcPr>
            <w:tcW w:w="1305" w:type="dxa"/>
            <w:noWrap/>
            <w:hideMark/>
          </w:tcPr>
          <w:p w14:paraId="22DE3127" w14:textId="77777777" w:rsidR="00A854FD" w:rsidRPr="00103DBC" w:rsidRDefault="00A854FD" w:rsidP="00DD3C37">
            <w:r w:rsidRPr="00103DBC">
              <w:t>CCG 206</w:t>
            </w:r>
          </w:p>
        </w:tc>
        <w:tc>
          <w:tcPr>
            <w:tcW w:w="2410" w:type="dxa"/>
            <w:noWrap/>
            <w:hideMark/>
          </w:tcPr>
          <w:p w14:paraId="411070FF" w14:textId="77777777" w:rsidR="00A854FD" w:rsidRPr="00103DBC" w:rsidRDefault="00A854FD" w:rsidP="00DD3C37">
            <w:pPr>
              <w:jc w:val="right"/>
            </w:pPr>
            <w:r w:rsidRPr="00103DBC">
              <w:t>6263</w:t>
            </w:r>
          </w:p>
        </w:tc>
        <w:tc>
          <w:tcPr>
            <w:tcW w:w="1985" w:type="dxa"/>
            <w:noWrap/>
            <w:hideMark/>
          </w:tcPr>
          <w:p w14:paraId="2ECBB995" w14:textId="77777777" w:rsidR="00A854FD" w:rsidRPr="00103DBC" w:rsidRDefault="00A854FD" w:rsidP="00DD3C37">
            <w:pPr>
              <w:jc w:val="right"/>
            </w:pPr>
            <w:r w:rsidRPr="00103DBC">
              <w:t>174</w:t>
            </w:r>
          </w:p>
        </w:tc>
        <w:tc>
          <w:tcPr>
            <w:tcW w:w="1134" w:type="dxa"/>
            <w:noWrap/>
            <w:hideMark/>
          </w:tcPr>
          <w:p w14:paraId="589B65E4" w14:textId="77777777" w:rsidR="00A854FD" w:rsidRPr="00103DBC" w:rsidRDefault="00A854FD" w:rsidP="00DD3C37">
            <w:pPr>
              <w:jc w:val="right"/>
            </w:pPr>
            <w:r w:rsidRPr="00103DBC">
              <w:t>2.8%</w:t>
            </w:r>
          </w:p>
        </w:tc>
        <w:tc>
          <w:tcPr>
            <w:tcW w:w="1275" w:type="dxa"/>
            <w:noWrap/>
            <w:hideMark/>
          </w:tcPr>
          <w:p w14:paraId="5CA0B0B8" w14:textId="77777777" w:rsidR="00A854FD" w:rsidRPr="00103DBC" w:rsidRDefault="00A854FD" w:rsidP="00DD3C37">
            <w:pPr>
              <w:jc w:val="right"/>
            </w:pPr>
            <w:r w:rsidRPr="00103DBC">
              <w:t>2.4%</w:t>
            </w:r>
          </w:p>
        </w:tc>
        <w:tc>
          <w:tcPr>
            <w:tcW w:w="1134" w:type="dxa"/>
            <w:noWrap/>
            <w:hideMark/>
          </w:tcPr>
          <w:p w14:paraId="1BA87B55" w14:textId="77777777" w:rsidR="00A854FD" w:rsidRPr="00103DBC" w:rsidRDefault="00A854FD" w:rsidP="00DD3C37">
            <w:pPr>
              <w:jc w:val="right"/>
            </w:pPr>
            <w:r w:rsidRPr="00103DBC">
              <w:t>3.2%</w:t>
            </w:r>
          </w:p>
        </w:tc>
      </w:tr>
      <w:tr w:rsidR="00A854FD" w:rsidRPr="00103DBC" w14:paraId="3762D9CC" w14:textId="77777777" w:rsidTr="00DD3C37">
        <w:trPr>
          <w:trHeight w:val="300"/>
        </w:trPr>
        <w:tc>
          <w:tcPr>
            <w:tcW w:w="1305" w:type="dxa"/>
            <w:noWrap/>
            <w:hideMark/>
          </w:tcPr>
          <w:p w14:paraId="1982B28F" w14:textId="77777777" w:rsidR="00A854FD" w:rsidRPr="00103DBC" w:rsidRDefault="00A854FD" w:rsidP="00DD3C37">
            <w:r w:rsidRPr="00103DBC">
              <w:t>CCG 205</w:t>
            </w:r>
          </w:p>
        </w:tc>
        <w:tc>
          <w:tcPr>
            <w:tcW w:w="2410" w:type="dxa"/>
            <w:noWrap/>
            <w:hideMark/>
          </w:tcPr>
          <w:p w14:paraId="4608E5F3" w14:textId="77777777" w:rsidR="00A854FD" w:rsidRPr="00103DBC" w:rsidRDefault="00A854FD" w:rsidP="00DD3C37">
            <w:pPr>
              <w:jc w:val="right"/>
            </w:pPr>
            <w:r w:rsidRPr="00103DBC">
              <w:t>7303</w:t>
            </w:r>
          </w:p>
        </w:tc>
        <w:tc>
          <w:tcPr>
            <w:tcW w:w="1985" w:type="dxa"/>
            <w:noWrap/>
            <w:hideMark/>
          </w:tcPr>
          <w:p w14:paraId="5E6A787D" w14:textId="77777777" w:rsidR="00A854FD" w:rsidRPr="00103DBC" w:rsidRDefault="00A854FD" w:rsidP="00DD3C37">
            <w:pPr>
              <w:jc w:val="right"/>
            </w:pPr>
            <w:r w:rsidRPr="00103DBC">
              <w:t>200</w:t>
            </w:r>
          </w:p>
        </w:tc>
        <w:tc>
          <w:tcPr>
            <w:tcW w:w="1134" w:type="dxa"/>
            <w:noWrap/>
            <w:hideMark/>
          </w:tcPr>
          <w:p w14:paraId="359D2BC0" w14:textId="77777777" w:rsidR="00A854FD" w:rsidRPr="00103DBC" w:rsidRDefault="00A854FD" w:rsidP="00DD3C37">
            <w:pPr>
              <w:jc w:val="right"/>
            </w:pPr>
            <w:r w:rsidRPr="00103DBC">
              <w:t>2.7%</w:t>
            </w:r>
          </w:p>
        </w:tc>
        <w:tc>
          <w:tcPr>
            <w:tcW w:w="1275" w:type="dxa"/>
            <w:noWrap/>
            <w:hideMark/>
          </w:tcPr>
          <w:p w14:paraId="69A44482" w14:textId="77777777" w:rsidR="00A854FD" w:rsidRPr="00103DBC" w:rsidRDefault="00A854FD" w:rsidP="00DD3C37">
            <w:pPr>
              <w:jc w:val="right"/>
            </w:pPr>
            <w:r w:rsidRPr="00103DBC">
              <w:t>2.4%</w:t>
            </w:r>
          </w:p>
        </w:tc>
        <w:tc>
          <w:tcPr>
            <w:tcW w:w="1134" w:type="dxa"/>
            <w:noWrap/>
            <w:hideMark/>
          </w:tcPr>
          <w:p w14:paraId="5DE50E4F" w14:textId="77777777" w:rsidR="00A854FD" w:rsidRPr="00103DBC" w:rsidRDefault="00A854FD" w:rsidP="00DD3C37">
            <w:pPr>
              <w:jc w:val="right"/>
            </w:pPr>
            <w:r w:rsidRPr="00103DBC">
              <w:t>3.1%</w:t>
            </w:r>
          </w:p>
        </w:tc>
      </w:tr>
      <w:tr w:rsidR="00A854FD" w:rsidRPr="00103DBC" w14:paraId="1BC3722E" w14:textId="77777777" w:rsidTr="00DD3C37">
        <w:trPr>
          <w:trHeight w:val="300"/>
        </w:trPr>
        <w:tc>
          <w:tcPr>
            <w:tcW w:w="1305" w:type="dxa"/>
            <w:noWrap/>
            <w:hideMark/>
          </w:tcPr>
          <w:p w14:paraId="664A2C91" w14:textId="77777777" w:rsidR="00A854FD" w:rsidRPr="00103DBC" w:rsidRDefault="00A854FD" w:rsidP="00DD3C37">
            <w:r w:rsidRPr="00103DBC">
              <w:t>CCG 204</w:t>
            </w:r>
          </w:p>
        </w:tc>
        <w:tc>
          <w:tcPr>
            <w:tcW w:w="2410" w:type="dxa"/>
            <w:noWrap/>
            <w:hideMark/>
          </w:tcPr>
          <w:p w14:paraId="469C9F20" w14:textId="77777777" w:rsidR="00A854FD" w:rsidRPr="00103DBC" w:rsidRDefault="00A854FD" w:rsidP="00DD3C37">
            <w:pPr>
              <w:jc w:val="right"/>
            </w:pPr>
            <w:r w:rsidRPr="00103DBC">
              <w:t>8181</w:t>
            </w:r>
          </w:p>
        </w:tc>
        <w:tc>
          <w:tcPr>
            <w:tcW w:w="1985" w:type="dxa"/>
            <w:noWrap/>
            <w:hideMark/>
          </w:tcPr>
          <w:p w14:paraId="01917069" w14:textId="77777777" w:rsidR="00A854FD" w:rsidRPr="00103DBC" w:rsidRDefault="00A854FD" w:rsidP="00DD3C37">
            <w:pPr>
              <w:jc w:val="right"/>
            </w:pPr>
            <w:r w:rsidRPr="00103DBC">
              <w:t>224</w:t>
            </w:r>
          </w:p>
        </w:tc>
        <w:tc>
          <w:tcPr>
            <w:tcW w:w="1134" w:type="dxa"/>
            <w:noWrap/>
            <w:hideMark/>
          </w:tcPr>
          <w:p w14:paraId="43922132" w14:textId="77777777" w:rsidR="00A854FD" w:rsidRPr="00103DBC" w:rsidRDefault="00A854FD" w:rsidP="00DD3C37">
            <w:pPr>
              <w:jc w:val="right"/>
            </w:pPr>
            <w:r w:rsidRPr="00103DBC">
              <w:t>2.7%</w:t>
            </w:r>
          </w:p>
        </w:tc>
        <w:tc>
          <w:tcPr>
            <w:tcW w:w="1275" w:type="dxa"/>
            <w:noWrap/>
            <w:hideMark/>
          </w:tcPr>
          <w:p w14:paraId="581045B8" w14:textId="77777777" w:rsidR="00A854FD" w:rsidRPr="00103DBC" w:rsidRDefault="00A854FD" w:rsidP="00DD3C37">
            <w:pPr>
              <w:jc w:val="right"/>
            </w:pPr>
            <w:r w:rsidRPr="00103DBC">
              <w:t>2.4%</w:t>
            </w:r>
          </w:p>
        </w:tc>
        <w:tc>
          <w:tcPr>
            <w:tcW w:w="1134" w:type="dxa"/>
            <w:noWrap/>
            <w:hideMark/>
          </w:tcPr>
          <w:p w14:paraId="034F7EE3" w14:textId="77777777" w:rsidR="00A854FD" w:rsidRPr="00103DBC" w:rsidRDefault="00A854FD" w:rsidP="00DD3C37">
            <w:pPr>
              <w:jc w:val="right"/>
            </w:pPr>
            <w:r w:rsidRPr="00103DBC">
              <w:t>3.1%</w:t>
            </w:r>
          </w:p>
        </w:tc>
      </w:tr>
      <w:tr w:rsidR="00A854FD" w:rsidRPr="00103DBC" w14:paraId="6F95FEC0" w14:textId="77777777" w:rsidTr="00DD3C37">
        <w:trPr>
          <w:trHeight w:val="300"/>
        </w:trPr>
        <w:tc>
          <w:tcPr>
            <w:tcW w:w="1305" w:type="dxa"/>
            <w:noWrap/>
            <w:hideMark/>
          </w:tcPr>
          <w:p w14:paraId="34000C88" w14:textId="77777777" w:rsidR="00A854FD" w:rsidRPr="00103DBC" w:rsidRDefault="00A854FD" w:rsidP="00DD3C37">
            <w:r w:rsidRPr="00103DBC">
              <w:t>CCG 203</w:t>
            </w:r>
          </w:p>
        </w:tc>
        <w:tc>
          <w:tcPr>
            <w:tcW w:w="2410" w:type="dxa"/>
            <w:noWrap/>
            <w:hideMark/>
          </w:tcPr>
          <w:p w14:paraId="00ED8245" w14:textId="77777777" w:rsidR="00A854FD" w:rsidRPr="00103DBC" w:rsidRDefault="00A854FD" w:rsidP="00DD3C37">
            <w:pPr>
              <w:jc w:val="right"/>
            </w:pPr>
            <w:r w:rsidRPr="00103DBC">
              <w:t>1561</w:t>
            </w:r>
          </w:p>
        </w:tc>
        <w:tc>
          <w:tcPr>
            <w:tcW w:w="1985" w:type="dxa"/>
            <w:noWrap/>
            <w:hideMark/>
          </w:tcPr>
          <w:p w14:paraId="32AB41C5" w14:textId="77777777" w:rsidR="00A854FD" w:rsidRPr="00103DBC" w:rsidRDefault="00A854FD" w:rsidP="00DD3C37">
            <w:pPr>
              <w:jc w:val="right"/>
            </w:pPr>
            <w:r w:rsidRPr="00103DBC">
              <w:t>41</w:t>
            </w:r>
          </w:p>
        </w:tc>
        <w:tc>
          <w:tcPr>
            <w:tcW w:w="1134" w:type="dxa"/>
            <w:noWrap/>
            <w:hideMark/>
          </w:tcPr>
          <w:p w14:paraId="6F06FEF4" w14:textId="77777777" w:rsidR="00A854FD" w:rsidRPr="00103DBC" w:rsidRDefault="00A854FD" w:rsidP="00DD3C37">
            <w:pPr>
              <w:jc w:val="right"/>
            </w:pPr>
            <w:r w:rsidRPr="00103DBC">
              <w:t>2.6%</w:t>
            </w:r>
          </w:p>
        </w:tc>
        <w:tc>
          <w:tcPr>
            <w:tcW w:w="1275" w:type="dxa"/>
            <w:noWrap/>
            <w:hideMark/>
          </w:tcPr>
          <w:p w14:paraId="7A6FBA8E" w14:textId="77777777" w:rsidR="00A854FD" w:rsidRPr="00103DBC" w:rsidRDefault="00A854FD" w:rsidP="00DD3C37">
            <w:pPr>
              <w:jc w:val="right"/>
            </w:pPr>
            <w:r w:rsidRPr="00103DBC">
              <w:t>1.9%</w:t>
            </w:r>
          </w:p>
        </w:tc>
        <w:tc>
          <w:tcPr>
            <w:tcW w:w="1134" w:type="dxa"/>
            <w:noWrap/>
            <w:hideMark/>
          </w:tcPr>
          <w:p w14:paraId="2B54CF00" w14:textId="77777777" w:rsidR="00A854FD" w:rsidRPr="00103DBC" w:rsidRDefault="00A854FD" w:rsidP="00DD3C37">
            <w:pPr>
              <w:jc w:val="right"/>
            </w:pPr>
            <w:r w:rsidRPr="00103DBC">
              <w:t>3.5%</w:t>
            </w:r>
          </w:p>
        </w:tc>
      </w:tr>
      <w:tr w:rsidR="00A854FD" w:rsidRPr="00103DBC" w14:paraId="09458635" w14:textId="77777777" w:rsidTr="00DD3C37">
        <w:trPr>
          <w:trHeight w:val="300"/>
        </w:trPr>
        <w:tc>
          <w:tcPr>
            <w:tcW w:w="1305" w:type="dxa"/>
            <w:noWrap/>
            <w:hideMark/>
          </w:tcPr>
          <w:p w14:paraId="685AFE17" w14:textId="77777777" w:rsidR="00A854FD" w:rsidRPr="00103DBC" w:rsidRDefault="00A854FD" w:rsidP="00DD3C37">
            <w:r w:rsidRPr="00103DBC">
              <w:t>CCG 202</w:t>
            </w:r>
          </w:p>
        </w:tc>
        <w:tc>
          <w:tcPr>
            <w:tcW w:w="2410" w:type="dxa"/>
            <w:noWrap/>
            <w:hideMark/>
          </w:tcPr>
          <w:p w14:paraId="05D29964" w14:textId="77777777" w:rsidR="00A854FD" w:rsidRPr="00103DBC" w:rsidRDefault="00A854FD" w:rsidP="00DD3C37">
            <w:pPr>
              <w:jc w:val="right"/>
            </w:pPr>
            <w:r w:rsidRPr="00103DBC">
              <w:t>8751</w:t>
            </w:r>
          </w:p>
        </w:tc>
        <w:tc>
          <w:tcPr>
            <w:tcW w:w="1985" w:type="dxa"/>
            <w:noWrap/>
            <w:hideMark/>
          </w:tcPr>
          <w:p w14:paraId="7B534D6B" w14:textId="77777777" w:rsidR="00A854FD" w:rsidRPr="00103DBC" w:rsidRDefault="00A854FD" w:rsidP="00DD3C37">
            <w:pPr>
              <w:jc w:val="right"/>
            </w:pPr>
            <w:r w:rsidRPr="00103DBC">
              <w:t>220</w:t>
            </w:r>
          </w:p>
        </w:tc>
        <w:tc>
          <w:tcPr>
            <w:tcW w:w="1134" w:type="dxa"/>
            <w:noWrap/>
            <w:hideMark/>
          </w:tcPr>
          <w:p w14:paraId="45CDF5A3" w14:textId="77777777" w:rsidR="00A854FD" w:rsidRPr="00103DBC" w:rsidRDefault="00A854FD" w:rsidP="00DD3C37">
            <w:pPr>
              <w:jc w:val="right"/>
            </w:pPr>
            <w:r w:rsidRPr="00103DBC">
              <w:t>2.5%</w:t>
            </w:r>
          </w:p>
        </w:tc>
        <w:tc>
          <w:tcPr>
            <w:tcW w:w="1275" w:type="dxa"/>
            <w:noWrap/>
            <w:hideMark/>
          </w:tcPr>
          <w:p w14:paraId="09553A1F" w14:textId="77777777" w:rsidR="00A854FD" w:rsidRPr="00103DBC" w:rsidRDefault="00A854FD" w:rsidP="00DD3C37">
            <w:pPr>
              <w:jc w:val="right"/>
            </w:pPr>
            <w:r w:rsidRPr="00103DBC">
              <w:t>2.2%</w:t>
            </w:r>
          </w:p>
        </w:tc>
        <w:tc>
          <w:tcPr>
            <w:tcW w:w="1134" w:type="dxa"/>
            <w:noWrap/>
            <w:hideMark/>
          </w:tcPr>
          <w:p w14:paraId="25A36AD0" w14:textId="77777777" w:rsidR="00A854FD" w:rsidRPr="00103DBC" w:rsidRDefault="00A854FD" w:rsidP="00DD3C37">
            <w:pPr>
              <w:jc w:val="right"/>
            </w:pPr>
            <w:r w:rsidRPr="00103DBC">
              <w:t>2.9%</w:t>
            </w:r>
          </w:p>
        </w:tc>
      </w:tr>
      <w:tr w:rsidR="00A854FD" w:rsidRPr="00103DBC" w14:paraId="40B9A8C5" w14:textId="77777777" w:rsidTr="00DD3C37">
        <w:trPr>
          <w:trHeight w:val="300"/>
        </w:trPr>
        <w:tc>
          <w:tcPr>
            <w:tcW w:w="1305" w:type="dxa"/>
            <w:noWrap/>
          </w:tcPr>
          <w:p w14:paraId="094F6898" w14:textId="77777777" w:rsidR="00A854FD" w:rsidRPr="00103DBC" w:rsidRDefault="00A854FD" w:rsidP="00DD3C37">
            <w:pPr>
              <w:rPr>
                <w:b/>
                <w:bCs/>
              </w:rPr>
            </w:pPr>
          </w:p>
        </w:tc>
        <w:tc>
          <w:tcPr>
            <w:tcW w:w="2410" w:type="dxa"/>
            <w:noWrap/>
          </w:tcPr>
          <w:p w14:paraId="466C45EB" w14:textId="77777777" w:rsidR="00A854FD" w:rsidRPr="00103DBC" w:rsidRDefault="00A854FD" w:rsidP="00DD3C37">
            <w:pPr>
              <w:jc w:val="right"/>
            </w:pPr>
          </w:p>
        </w:tc>
        <w:tc>
          <w:tcPr>
            <w:tcW w:w="1985" w:type="dxa"/>
            <w:noWrap/>
          </w:tcPr>
          <w:p w14:paraId="42C312C6" w14:textId="77777777" w:rsidR="00A854FD" w:rsidRPr="00103DBC" w:rsidRDefault="00A854FD" w:rsidP="00DD3C37">
            <w:pPr>
              <w:jc w:val="right"/>
            </w:pPr>
          </w:p>
        </w:tc>
        <w:tc>
          <w:tcPr>
            <w:tcW w:w="1134" w:type="dxa"/>
            <w:noWrap/>
          </w:tcPr>
          <w:p w14:paraId="50B41DEE" w14:textId="77777777" w:rsidR="00A854FD" w:rsidRPr="00103DBC" w:rsidRDefault="00A854FD" w:rsidP="00DD3C37">
            <w:pPr>
              <w:jc w:val="right"/>
            </w:pPr>
          </w:p>
        </w:tc>
        <w:tc>
          <w:tcPr>
            <w:tcW w:w="1275" w:type="dxa"/>
            <w:noWrap/>
          </w:tcPr>
          <w:p w14:paraId="28ED11CC" w14:textId="77777777" w:rsidR="00A854FD" w:rsidRPr="00103DBC" w:rsidRDefault="00A854FD" w:rsidP="00DD3C37">
            <w:pPr>
              <w:jc w:val="right"/>
            </w:pPr>
          </w:p>
        </w:tc>
        <w:tc>
          <w:tcPr>
            <w:tcW w:w="1134" w:type="dxa"/>
            <w:noWrap/>
          </w:tcPr>
          <w:p w14:paraId="29D08CE3" w14:textId="77777777" w:rsidR="00A854FD" w:rsidRPr="00103DBC" w:rsidRDefault="00A854FD" w:rsidP="00DD3C37">
            <w:pPr>
              <w:jc w:val="right"/>
            </w:pPr>
          </w:p>
        </w:tc>
      </w:tr>
      <w:tr w:rsidR="00A854FD" w:rsidRPr="00103DBC" w14:paraId="7155583B" w14:textId="77777777" w:rsidTr="00DD3C37">
        <w:trPr>
          <w:trHeight w:val="300"/>
        </w:trPr>
        <w:tc>
          <w:tcPr>
            <w:tcW w:w="1305" w:type="dxa"/>
            <w:noWrap/>
          </w:tcPr>
          <w:p w14:paraId="2960B414" w14:textId="23A91A63" w:rsidR="00A854FD" w:rsidRPr="00103DBC" w:rsidRDefault="00A854FD" w:rsidP="00DD3C37">
            <w:r w:rsidRPr="00103DBC">
              <w:rPr>
                <w:b/>
                <w:bCs/>
              </w:rPr>
              <w:t>Random selection</w:t>
            </w:r>
          </w:p>
        </w:tc>
        <w:tc>
          <w:tcPr>
            <w:tcW w:w="2410" w:type="dxa"/>
            <w:noWrap/>
          </w:tcPr>
          <w:p w14:paraId="7DE93695" w14:textId="77777777" w:rsidR="00A854FD" w:rsidRPr="00103DBC" w:rsidRDefault="00A854FD" w:rsidP="00DD3C37">
            <w:pPr>
              <w:jc w:val="right"/>
            </w:pPr>
          </w:p>
        </w:tc>
        <w:tc>
          <w:tcPr>
            <w:tcW w:w="1985" w:type="dxa"/>
            <w:noWrap/>
          </w:tcPr>
          <w:p w14:paraId="76DFF1BB" w14:textId="77777777" w:rsidR="00A854FD" w:rsidRPr="00103DBC" w:rsidRDefault="00A854FD" w:rsidP="00DD3C37">
            <w:pPr>
              <w:jc w:val="right"/>
            </w:pPr>
          </w:p>
        </w:tc>
        <w:tc>
          <w:tcPr>
            <w:tcW w:w="1134" w:type="dxa"/>
            <w:noWrap/>
          </w:tcPr>
          <w:p w14:paraId="084979AA" w14:textId="77777777" w:rsidR="00A854FD" w:rsidRPr="00103DBC" w:rsidRDefault="00A854FD" w:rsidP="00DD3C37">
            <w:pPr>
              <w:jc w:val="right"/>
            </w:pPr>
          </w:p>
        </w:tc>
        <w:tc>
          <w:tcPr>
            <w:tcW w:w="1275" w:type="dxa"/>
            <w:noWrap/>
          </w:tcPr>
          <w:p w14:paraId="05CD2370" w14:textId="77777777" w:rsidR="00A854FD" w:rsidRPr="00103DBC" w:rsidRDefault="00A854FD" w:rsidP="00DD3C37">
            <w:pPr>
              <w:jc w:val="right"/>
            </w:pPr>
          </w:p>
        </w:tc>
        <w:tc>
          <w:tcPr>
            <w:tcW w:w="1134" w:type="dxa"/>
            <w:noWrap/>
          </w:tcPr>
          <w:p w14:paraId="29D52767" w14:textId="77777777" w:rsidR="00A854FD" w:rsidRPr="00103DBC" w:rsidRDefault="00A854FD" w:rsidP="00DD3C37">
            <w:pPr>
              <w:jc w:val="right"/>
            </w:pPr>
          </w:p>
        </w:tc>
      </w:tr>
      <w:tr w:rsidR="00A854FD" w:rsidRPr="00103DBC" w14:paraId="08E844E8" w14:textId="77777777" w:rsidTr="00DD3C37">
        <w:trPr>
          <w:trHeight w:val="300"/>
        </w:trPr>
        <w:tc>
          <w:tcPr>
            <w:tcW w:w="1305" w:type="dxa"/>
            <w:noWrap/>
            <w:hideMark/>
          </w:tcPr>
          <w:p w14:paraId="2AC7C4DC" w14:textId="77777777" w:rsidR="00A854FD" w:rsidRPr="00103DBC" w:rsidRDefault="00A854FD" w:rsidP="00DD3C37">
            <w:r w:rsidRPr="00103DBC">
              <w:t>CCG A</w:t>
            </w:r>
          </w:p>
        </w:tc>
        <w:tc>
          <w:tcPr>
            <w:tcW w:w="2410" w:type="dxa"/>
            <w:noWrap/>
            <w:hideMark/>
          </w:tcPr>
          <w:p w14:paraId="4CD7EED5" w14:textId="77777777" w:rsidR="00A854FD" w:rsidRPr="00103DBC" w:rsidRDefault="00A854FD" w:rsidP="00DD3C37">
            <w:pPr>
              <w:jc w:val="right"/>
            </w:pPr>
            <w:r w:rsidRPr="00103DBC">
              <w:t>8564</w:t>
            </w:r>
          </w:p>
        </w:tc>
        <w:tc>
          <w:tcPr>
            <w:tcW w:w="1985" w:type="dxa"/>
            <w:noWrap/>
            <w:hideMark/>
          </w:tcPr>
          <w:p w14:paraId="12F24317" w14:textId="77777777" w:rsidR="00A854FD" w:rsidRPr="00103DBC" w:rsidRDefault="00A854FD" w:rsidP="00DD3C37">
            <w:pPr>
              <w:jc w:val="right"/>
            </w:pPr>
            <w:r w:rsidRPr="00103DBC">
              <w:t>73</w:t>
            </w:r>
          </w:p>
        </w:tc>
        <w:tc>
          <w:tcPr>
            <w:tcW w:w="1134" w:type="dxa"/>
            <w:noWrap/>
            <w:hideMark/>
          </w:tcPr>
          <w:p w14:paraId="7304776F" w14:textId="77777777" w:rsidR="00A854FD" w:rsidRPr="00103DBC" w:rsidRDefault="00A854FD" w:rsidP="00DD3C37">
            <w:pPr>
              <w:jc w:val="right"/>
            </w:pPr>
            <w:r w:rsidRPr="00103DBC">
              <w:t>0.9%</w:t>
            </w:r>
          </w:p>
        </w:tc>
        <w:tc>
          <w:tcPr>
            <w:tcW w:w="1275" w:type="dxa"/>
            <w:noWrap/>
            <w:hideMark/>
          </w:tcPr>
          <w:p w14:paraId="0D66D25E" w14:textId="77777777" w:rsidR="00A854FD" w:rsidRPr="00103DBC" w:rsidRDefault="00A854FD" w:rsidP="00DD3C37">
            <w:pPr>
              <w:jc w:val="right"/>
            </w:pPr>
            <w:r w:rsidRPr="00103DBC">
              <w:t>0.7%</w:t>
            </w:r>
          </w:p>
        </w:tc>
        <w:tc>
          <w:tcPr>
            <w:tcW w:w="1134" w:type="dxa"/>
            <w:noWrap/>
            <w:hideMark/>
          </w:tcPr>
          <w:p w14:paraId="3CA10922" w14:textId="77777777" w:rsidR="00A854FD" w:rsidRPr="00103DBC" w:rsidRDefault="00A854FD" w:rsidP="00DD3C37">
            <w:pPr>
              <w:jc w:val="right"/>
            </w:pPr>
            <w:r w:rsidRPr="00103DBC">
              <w:t>1.1%</w:t>
            </w:r>
          </w:p>
        </w:tc>
      </w:tr>
      <w:tr w:rsidR="00A854FD" w:rsidRPr="00103DBC" w14:paraId="57B9705A" w14:textId="77777777" w:rsidTr="00DD3C37">
        <w:trPr>
          <w:trHeight w:val="300"/>
        </w:trPr>
        <w:tc>
          <w:tcPr>
            <w:tcW w:w="1305" w:type="dxa"/>
            <w:noWrap/>
            <w:hideMark/>
          </w:tcPr>
          <w:p w14:paraId="51A82CCE" w14:textId="77777777" w:rsidR="00A854FD" w:rsidRPr="00103DBC" w:rsidRDefault="00A854FD" w:rsidP="00DD3C37">
            <w:r w:rsidRPr="00103DBC">
              <w:t>CCG B</w:t>
            </w:r>
          </w:p>
        </w:tc>
        <w:tc>
          <w:tcPr>
            <w:tcW w:w="2410" w:type="dxa"/>
            <w:noWrap/>
            <w:hideMark/>
          </w:tcPr>
          <w:p w14:paraId="3BCBC157" w14:textId="77777777" w:rsidR="00A854FD" w:rsidRPr="00103DBC" w:rsidRDefault="00A854FD" w:rsidP="00DD3C37">
            <w:pPr>
              <w:jc w:val="right"/>
            </w:pPr>
            <w:r w:rsidRPr="00103DBC">
              <w:t>4748</w:t>
            </w:r>
          </w:p>
        </w:tc>
        <w:tc>
          <w:tcPr>
            <w:tcW w:w="1985" w:type="dxa"/>
            <w:noWrap/>
            <w:hideMark/>
          </w:tcPr>
          <w:p w14:paraId="12C4ECAB" w14:textId="77777777" w:rsidR="00A854FD" w:rsidRPr="00103DBC" w:rsidRDefault="00A854FD" w:rsidP="00DD3C37">
            <w:pPr>
              <w:jc w:val="right"/>
            </w:pPr>
            <w:r w:rsidRPr="00103DBC">
              <w:t>4</w:t>
            </w:r>
          </w:p>
        </w:tc>
        <w:tc>
          <w:tcPr>
            <w:tcW w:w="1134" w:type="dxa"/>
            <w:noWrap/>
            <w:hideMark/>
          </w:tcPr>
          <w:p w14:paraId="27B8093B" w14:textId="77777777" w:rsidR="00A854FD" w:rsidRPr="00103DBC" w:rsidRDefault="00A854FD" w:rsidP="00DD3C37">
            <w:pPr>
              <w:jc w:val="right"/>
            </w:pPr>
            <w:r w:rsidRPr="00103DBC">
              <w:t>0.1%</w:t>
            </w:r>
          </w:p>
        </w:tc>
        <w:tc>
          <w:tcPr>
            <w:tcW w:w="1275" w:type="dxa"/>
            <w:noWrap/>
            <w:hideMark/>
          </w:tcPr>
          <w:p w14:paraId="5A46DD3F" w14:textId="77777777" w:rsidR="00A854FD" w:rsidRPr="00103DBC" w:rsidRDefault="00A854FD" w:rsidP="00DD3C37">
            <w:pPr>
              <w:jc w:val="right"/>
            </w:pPr>
            <w:r w:rsidRPr="00103DBC">
              <w:t>0.0%</w:t>
            </w:r>
          </w:p>
        </w:tc>
        <w:tc>
          <w:tcPr>
            <w:tcW w:w="1134" w:type="dxa"/>
            <w:noWrap/>
            <w:hideMark/>
          </w:tcPr>
          <w:p w14:paraId="6BA2984B" w14:textId="77777777" w:rsidR="00A854FD" w:rsidRPr="00103DBC" w:rsidRDefault="00A854FD" w:rsidP="00DD3C37">
            <w:pPr>
              <w:jc w:val="right"/>
            </w:pPr>
            <w:r w:rsidRPr="00103DBC">
              <w:t>0.2%</w:t>
            </w:r>
          </w:p>
        </w:tc>
      </w:tr>
      <w:tr w:rsidR="00A854FD" w:rsidRPr="00103DBC" w14:paraId="4F112320" w14:textId="77777777" w:rsidTr="00DD3C37">
        <w:trPr>
          <w:trHeight w:val="300"/>
        </w:trPr>
        <w:tc>
          <w:tcPr>
            <w:tcW w:w="1305" w:type="dxa"/>
            <w:noWrap/>
            <w:hideMark/>
          </w:tcPr>
          <w:p w14:paraId="00181753" w14:textId="77777777" w:rsidR="00A854FD" w:rsidRPr="00103DBC" w:rsidRDefault="00A854FD" w:rsidP="00DD3C37">
            <w:r w:rsidRPr="00103DBC">
              <w:t>CCG C</w:t>
            </w:r>
          </w:p>
        </w:tc>
        <w:tc>
          <w:tcPr>
            <w:tcW w:w="2410" w:type="dxa"/>
            <w:noWrap/>
            <w:hideMark/>
          </w:tcPr>
          <w:p w14:paraId="37436A79" w14:textId="77777777" w:rsidR="00A854FD" w:rsidRPr="00103DBC" w:rsidRDefault="00A854FD" w:rsidP="00DD3C37">
            <w:pPr>
              <w:jc w:val="right"/>
            </w:pPr>
            <w:r w:rsidRPr="00103DBC">
              <w:t>3883</w:t>
            </w:r>
          </w:p>
        </w:tc>
        <w:tc>
          <w:tcPr>
            <w:tcW w:w="1985" w:type="dxa"/>
            <w:noWrap/>
            <w:hideMark/>
          </w:tcPr>
          <w:p w14:paraId="30587AF4" w14:textId="77777777" w:rsidR="00A854FD" w:rsidRPr="00103DBC" w:rsidRDefault="00A854FD" w:rsidP="00DD3C37">
            <w:pPr>
              <w:jc w:val="right"/>
            </w:pPr>
            <w:r w:rsidRPr="00103DBC">
              <w:t>57</w:t>
            </w:r>
          </w:p>
        </w:tc>
        <w:tc>
          <w:tcPr>
            <w:tcW w:w="1134" w:type="dxa"/>
            <w:noWrap/>
            <w:hideMark/>
          </w:tcPr>
          <w:p w14:paraId="4D719F55" w14:textId="77777777" w:rsidR="00A854FD" w:rsidRPr="00103DBC" w:rsidRDefault="00A854FD" w:rsidP="00DD3C37">
            <w:pPr>
              <w:jc w:val="right"/>
            </w:pPr>
            <w:r w:rsidRPr="00103DBC">
              <w:t>1.5%</w:t>
            </w:r>
          </w:p>
        </w:tc>
        <w:tc>
          <w:tcPr>
            <w:tcW w:w="1275" w:type="dxa"/>
            <w:noWrap/>
            <w:hideMark/>
          </w:tcPr>
          <w:p w14:paraId="1AFA5EAA" w14:textId="77777777" w:rsidR="00A854FD" w:rsidRPr="00103DBC" w:rsidRDefault="00A854FD" w:rsidP="00DD3C37">
            <w:pPr>
              <w:jc w:val="right"/>
            </w:pPr>
            <w:r w:rsidRPr="00103DBC">
              <w:t>1.1%</w:t>
            </w:r>
          </w:p>
        </w:tc>
        <w:tc>
          <w:tcPr>
            <w:tcW w:w="1134" w:type="dxa"/>
            <w:noWrap/>
            <w:hideMark/>
          </w:tcPr>
          <w:p w14:paraId="120E70FC" w14:textId="77777777" w:rsidR="00A854FD" w:rsidRPr="00103DBC" w:rsidRDefault="00A854FD" w:rsidP="00DD3C37">
            <w:pPr>
              <w:jc w:val="right"/>
            </w:pPr>
            <w:r w:rsidRPr="00103DBC">
              <w:t>1.9%</w:t>
            </w:r>
          </w:p>
        </w:tc>
      </w:tr>
      <w:tr w:rsidR="00A854FD" w:rsidRPr="00103DBC" w14:paraId="5B341AE6" w14:textId="77777777" w:rsidTr="00DD3C37">
        <w:trPr>
          <w:trHeight w:val="300"/>
        </w:trPr>
        <w:tc>
          <w:tcPr>
            <w:tcW w:w="1305" w:type="dxa"/>
            <w:noWrap/>
            <w:hideMark/>
          </w:tcPr>
          <w:p w14:paraId="5F7D6993" w14:textId="77777777" w:rsidR="00A854FD" w:rsidRPr="00103DBC" w:rsidRDefault="00A854FD" w:rsidP="00DD3C37">
            <w:r w:rsidRPr="00103DBC">
              <w:t>CCG D</w:t>
            </w:r>
          </w:p>
        </w:tc>
        <w:tc>
          <w:tcPr>
            <w:tcW w:w="2410" w:type="dxa"/>
            <w:noWrap/>
            <w:hideMark/>
          </w:tcPr>
          <w:p w14:paraId="69481C45" w14:textId="77777777" w:rsidR="00A854FD" w:rsidRPr="00103DBC" w:rsidRDefault="00A854FD" w:rsidP="00DD3C37">
            <w:pPr>
              <w:jc w:val="right"/>
            </w:pPr>
            <w:r w:rsidRPr="00103DBC">
              <w:t>2097</w:t>
            </w:r>
          </w:p>
        </w:tc>
        <w:tc>
          <w:tcPr>
            <w:tcW w:w="1985" w:type="dxa"/>
            <w:noWrap/>
            <w:hideMark/>
          </w:tcPr>
          <w:p w14:paraId="0E71642D" w14:textId="77777777" w:rsidR="00A854FD" w:rsidRPr="00103DBC" w:rsidRDefault="00A854FD" w:rsidP="00DD3C37">
            <w:pPr>
              <w:jc w:val="right"/>
            </w:pPr>
            <w:r w:rsidRPr="00103DBC">
              <w:t>9</w:t>
            </w:r>
          </w:p>
        </w:tc>
        <w:tc>
          <w:tcPr>
            <w:tcW w:w="1134" w:type="dxa"/>
            <w:noWrap/>
            <w:hideMark/>
          </w:tcPr>
          <w:p w14:paraId="2F1CD569" w14:textId="77777777" w:rsidR="00A854FD" w:rsidRPr="00103DBC" w:rsidRDefault="00A854FD" w:rsidP="00DD3C37">
            <w:pPr>
              <w:jc w:val="right"/>
            </w:pPr>
            <w:r w:rsidRPr="00103DBC">
              <w:t>0.4%</w:t>
            </w:r>
          </w:p>
        </w:tc>
        <w:tc>
          <w:tcPr>
            <w:tcW w:w="1275" w:type="dxa"/>
            <w:noWrap/>
            <w:hideMark/>
          </w:tcPr>
          <w:p w14:paraId="0033E66E" w14:textId="77777777" w:rsidR="00A854FD" w:rsidRPr="00103DBC" w:rsidRDefault="00A854FD" w:rsidP="00DD3C37">
            <w:pPr>
              <w:jc w:val="right"/>
            </w:pPr>
            <w:r w:rsidRPr="00103DBC">
              <w:t>0.2%</w:t>
            </w:r>
          </w:p>
        </w:tc>
        <w:tc>
          <w:tcPr>
            <w:tcW w:w="1134" w:type="dxa"/>
            <w:noWrap/>
            <w:hideMark/>
          </w:tcPr>
          <w:p w14:paraId="621BAFCC" w14:textId="77777777" w:rsidR="00A854FD" w:rsidRPr="00103DBC" w:rsidRDefault="00A854FD" w:rsidP="00DD3C37">
            <w:pPr>
              <w:jc w:val="right"/>
            </w:pPr>
            <w:r w:rsidRPr="00103DBC">
              <w:t>0.8%</w:t>
            </w:r>
          </w:p>
        </w:tc>
      </w:tr>
      <w:tr w:rsidR="00A854FD" w:rsidRPr="00103DBC" w14:paraId="03562542" w14:textId="77777777" w:rsidTr="00DD3C37">
        <w:trPr>
          <w:trHeight w:val="300"/>
        </w:trPr>
        <w:tc>
          <w:tcPr>
            <w:tcW w:w="1305" w:type="dxa"/>
            <w:noWrap/>
            <w:hideMark/>
          </w:tcPr>
          <w:p w14:paraId="78F8C018" w14:textId="77777777" w:rsidR="00A854FD" w:rsidRPr="00103DBC" w:rsidRDefault="00A854FD" w:rsidP="00DD3C37">
            <w:r w:rsidRPr="00103DBC">
              <w:t>CCG E</w:t>
            </w:r>
          </w:p>
        </w:tc>
        <w:tc>
          <w:tcPr>
            <w:tcW w:w="2410" w:type="dxa"/>
            <w:noWrap/>
            <w:hideMark/>
          </w:tcPr>
          <w:p w14:paraId="79EE510D" w14:textId="77777777" w:rsidR="00A854FD" w:rsidRPr="00103DBC" w:rsidRDefault="00A854FD" w:rsidP="00DD3C37">
            <w:pPr>
              <w:jc w:val="right"/>
            </w:pPr>
            <w:r w:rsidRPr="00103DBC">
              <w:t>10051</w:t>
            </w:r>
          </w:p>
        </w:tc>
        <w:tc>
          <w:tcPr>
            <w:tcW w:w="1985" w:type="dxa"/>
            <w:noWrap/>
            <w:hideMark/>
          </w:tcPr>
          <w:p w14:paraId="46A85523" w14:textId="77777777" w:rsidR="00A854FD" w:rsidRPr="00103DBC" w:rsidRDefault="00A854FD" w:rsidP="00DD3C37">
            <w:pPr>
              <w:jc w:val="right"/>
            </w:pPr>
            <w:r w:rsidRPr="00103DBC">
              <w:t>7</w:t>
            </w:r>
          </w:p>
        </w:tc>
        <w:tc>
          <w:tcPr>
            <w:tcW w:w="1134" w:type="dxa"/>
            <w:noWrap/>
            <w:hideMark/>
          </w:tcPr>
          <w:p w14:paraId="42D6EB78" w14:textId="77777777" w:rsidR="00A854FD" w:rsidRPr="00103DBC" w:rsidRDefault="00A854FD" w:rsidP="00DD3C37">
            <w:pPr>
              <w:jc w:val="right"/>
            </w:pPr>
            <w:r w:rsidRPr="00103DBC">
              <w:t>0.1%</w:t>
            </w:r>
          </w:p>
        </w:tc>
        <w:tc>
          <w:tcPr>
            <w:tcW w:w="1275" w:type="dxa"/>
            <w:noWrap/>
            <w:hideMark/>
          </w:tcPr>
          <w:p w14:paraId="4A142692" w14:textId="77777777" w:rsidR="00A854FD" w:rsidRPr="00103DBC" w:rsidRDefault="00A854FD" w:rsidP="00DD3C37">
            <w:pPr>
              <w:jc w:val="right"/>
            </w:pPr>
            <w:r w:rsidRPr="00103DBC">
              <w:t>0.0%</w:t>
            </w:r>
          </w:p>
        </w:tc>
        <w:tc>
          <w:tcPr>
            <w:tcW w:w="1134" w:type="dxa"/>
            <w:noWrap/>
            <w:hideMark/>
          </w:tcPr>
          <w:p w14:paraId="02188FED" w14:textId="77777777" w:rsidR="00A854FD" w:rsidRPr="00103DBC" w:rsidRDefault="00A854FD" w:rsidP="00DD3C37">
            <w:pPr>
              <w:jc w:val="right"/>
            </w:pPr>
            <w:r w:rsidRPr="00103DBC">
              <w:t>0.1%</w:t>
            </w:r>
          </w:p>
        </w:tc>
      </w:tr>
      <w:tr w:rsidR="00A854FD" w:rsidRPr="00103DBC" w14:paraId="2729C2A4" w14:textId="77777777" w:rsidTr="00DD3C37">
        <w:trPr>
          <w:trHeight w:val="300"/>
        </w:trPr>
        <w:tc>
          <w:tcPr>
            <w:tcW w:w="1305" w:type="dxa"/>
            <w:noWrap/>
            <w:hideMark/>
          </w:tcPr>
          <w:p w14:paraId="1AE00443" w14:textId="77777777" w:rsidR="00A854FD" w:rsidRPr="00103DBC" w:rsidRDefault="00A854FD" w:rsidP="00DD3C37">
            <w:r w:rsidRPr="00103DBC">
              <w:t>CCG F</w:t>
            </w:r>
          </w:p>
        </w:tc>
        <w:tc>
          <w:tcPr>
            <w:tcW w:w="2410" w:type="dxa"/>
            <w:noWrap/>
            <w:hideMark/>
          </w:tcPr>
          <w:p w14:paraId="1F103A0E" w14:textId="77777777" w:rsidR="00A854FD" w:rsidRPr="00103DBC" w:rsidRDefault="00A854FD" w:rsidP="00DD3C37">
            <w:pPr>
              <w:jc w:val="right"/>
            </w:pPr>
            <w:r w:rsidRPr="00103DBC">
              <w:t>6443</w:t>
            </w:r>
          </w:p>
        </w:tc>
        <w:tc>
          <w:tcPr>
            <w:tcW w:w="1985" w:type="dxa"/>
            <w:noWrap/>
            <w:hideMark/>
          </w:tcPr>
          <w:p w14:paraId="4C8FF45E" w14:textId="77777777" w:rsidR="00A854FD" w:rsidRPr="00103DBC" w:rsidRDefault="00A854FD" w:rsidP="00DD3C37">
            <w:pPr>
              <w:jc w:val="right"/>
            </w:pPr>
            <w:r w:rsidRPr="00103DBC">
              <w:t>1</w:t>
            </w:r>
          </w:p>
        </w:tc>
        <w:tc>
          <w:tcPr>
            <w:tcW w:w="1134" w:type="dxa"/>
            <w:noWrap/>
            <w:hideMark/>
          </w:tcPr>
          <w:p w14:paraId="499E865A" w14:textId="77777777" w:rsidR="00A854FD" w:rsidRPr="00103DBC" w:rsidRDefault="00A854FD" w:rsidP="00DD3C37">
            <w:pPr>
              <w:jc w:val="right"/>
            </w:pPr>
            <w:r w:rsidRPr="00103DBC">
              <w:t>0.0%</w:t>
            </w:r>
          </w:p>
        </w:tc>
        <w:tc>
          <w:tcPr>
            <w:tcW w:w="1275" w:type="dxa"/>
            <w:noWrap/>
            <w:hideMark/>
          </w:tcPr>
          <w:p w14:paraId="6194FA1E" w14:textId="77777777" w:rsidR="00A854FD" w:rsidRPr="00103DBC" w:rsidRDefault="00A854FD" w:rsidP="00DD3C37">
            <w:pPr>
              <w:jc w:val="right"/>
            </w:pPr>
            <w:r w:rsidRPr="00103DBC">
              <w:t>0.0%</w:t>
            </w:r>
          </w:p>
        </w:tc>
        <w:tc>
          <w:tcPr>
            <w:tcW w:w="1134" w:type="dxa"/>
            <w:noWrap/>
            <w:hideMark/>
          </w:tcPr>
          <w:p w14:paraId="2B4C3F6B" w14:textId="77777777" w:rsidR="00A854FD" w:rsidRPr="00103DBC" w:rsidRDefault="00A854FD" w:rsidP="00DD3C37">
            <w:pPr>
              <w:jc w:val="right"/>
            </w:pPr>
            <w:r w:rsidRPr="00103DBC">
              <w:t>0.1%</w:t>
            </w:r>
          </w:p>
        </w:tc>
      </w:tr>
      <w:tr w:rsidR="00A854FD" w:rsidRPr="00103DBC" w14:paraId="6FE0BD5B" w14:textId="77777777" w:rsidTr="00DD3C37">
        <w:trPr>
          <w:trHeight w:val="300"/>
        </w:trPr>
        <w:tc>
          <w:tcPr>
            <w:tcW w:w="1305" w:type="dxa"/>
            <w:noWrap/>
            <w:hideMark/>
          </w:tcPr>
          <w:p w14:paraId="081CCE18" w14:textId="77777777" w:rsidR="00A854FD" w:rsidRPr="00103DBC" w:rsidRDefault="00A854FD" w:rsidP="00DD3C37">
            <w:r w:rsidRPr="00103DBC">
              <w:lastRenderedPageBreak/>
              <w:t>CCG G</w:t>
            </w:r>
          </w:p>
        </w:tc>
        <w:tc>
          <w:tcPr>
            <w:tcW w:w="2410" w:type="dxa"/>
            <w:noWrap/>
            <w:hideMark/>
          </w:tcPr>
          <w:p w14:paraId="541B3141" w14:textId="77777777" w:rsidR="00A854FD" w:rsidRPr="00103DBC" w:rsidRDefault="00A854FD" w:rsidP="00DD3C37">
            <w:pPr>
              <w:jc w:val="right"/>
            </w:pPr>
            <w:r w:rsidRPr="00103DBC">
              <w:t>3321</w:t>
            </w:r>
          </w:p>
        </w:tc>
        <w:tc>
          <w:tcPr>
            <w:tcW w:w="1985" w:type="dxa"/>
            <w:noWrap/>
            <w:hideMark/>
          </w:tcPr>
          <w:p w14:paraId="323D6FD8" w14:textId="77777777" w:rsidR="00A854FD" w:rsidRPr="00103DBC" w:rsidRDefault="00A854FD" w:rsidP="00DD3C37">
            <w:pPr>
              <w:jc w:val="right"/>
            </w:pPr>
            <w:r w:rsidRPr="00103DBC">
              <w:t>1</w:t>
            </w:r>
          </w:p>
        </w:tc>
        <w:tc>
          <w:tcPr>
            <w:tcW w:w="1134" w:type="dxa"/>
            <w:noWrap/>
            <w:hideMark/>
          </w:tcPr>
          <w:p w14:paraId="79F87427" w14:textId="77777777" w:rsidR="00A854FD" w:rsidRPr="00103DBC" w:rsidRDefault="00A854FD" w:rsidP="00DD3C37">
            <w:pPr>
              <w:jc w:val="right"/>
            </w:pPr>
            <w:r w:rsidRPr="00103DBC">
              <w:t>0.0%</w:t>
            </w:r>
          </w:p>
        </w:tc>
        <w:tc>
          <w:tcPr>
            <w:tcW w:w="1275" w:type="dxa"/>
            <w:noWrap/>
            <w:hideMark/>
          </w:tcPr>
          <w:p w14:paraId="4B8CEF55" w14:textId="77777777" w:rsidR="00A854FD" w:rsidRPr="00103DBC" w:rsidRDefault="00A854FD" w:rsidP="00DD3C37">
            <w:pPr>
              <w:jc w:val="right"/>
            </w:pPr>
            <w:r w:rsidRPr="00103DBC">
              <w:t>0.0%</w:t>
            </w:r>
          </w:p>
        </w:tc>
        <w:tc>
          <w:tcPr>
            <w:tcW w:w="1134" w:type="dxa"/>
            <w:noWrap/>
            <w:hideMark/>
          </w:tcPr>
          <w:p w14:paraId="78C670C2" w14:textId="77777777" w:rsidR="00A854FD" w:rsidRPr="00103DBC" w:rsidRDefault="00A854FD" w:rsidP="00DD3C37">
            <w:pPr>
              <w:jc w:val="right"/>
            </w:pPr>
            <w:r w:rsidRPr="00103DBC">
              <w:t>0.2%</w:t>
            </w:r>
          </w:p>
        </w:tc>
      </w:tr>
      <w:tr w:rsidR="00A854FD" w:rsidRPr="00103DBC" w14:paraId="0F812520" w14:textId="77777777" w:rsidTr="00DD3C37">
        <w:trPr>
          <w:trHeight w:val="300"/>
        </w:trPr>
        <w:tc>
          <w:tcPr>
            <w:tcW w:w="1305" w:type="dxa"/>
            <w:noWrap/>
            <w:hideMark/>
          </w:tcPr>
          <w:p w14:paraId="1BCD4811" w14:textId="77777777" w:rsidR="00A854FD" w:rsidRPr="00103DBC" w:rsidRDefault="00A854FD" w:rsidP="00DD3C37">
            <w:r w:rsidRPr="00103DBC">
              <w:t>CCG H</w:t>
            </w:r>
          </w:p>
        </w:tc>
        <w:tc>
          <w:tcPr>
            <w:tcW w:w="2410" w:type="dxa"/>
            <w:noWrap/>
            <w:hideMark/>
          </w:tcPr>
          <w:p w14:paraId="2D527F55" w14:textId="77777777" w:rsidR="00A854FD" w:rsidRPr="00103DBC" w:rsidRDefault="00A854FD" w:rsidP="00DD3C37">
            <w:pPr>
              <w:jc w:val="right"/>
            </w:pPr>
            <w:r w:rsidRPr="00103DBC">
              <w:t>9583</w:t>
            </w:r>
          </w:p>
        </w:tc>
        <w:tc>
          <w:tcPr>
            <w:tcW w:w="1985" w:type="dxa"/>
            <w:noWrap/>
            <w:hideMark/>
          </w:tcPr>
          <w:p w14:paraId="50EB9A79" w14:textId="77777777" w:rsidR="00A854FD" w:rsidRPr="00103DBC" w:rsidRDefault="00A854FD" w:rsidP="00DD3C37">
            <w:pPr>
              <w:jc w:val="right"/>
            </w:pPr>
            <w:r w:rsidRPr="00103DBC">
              <w:t>214</w:t>
            </w:r>
          </w:p>
        </w:tc>
        <w:tc>
          <w:tcPr>
            <w:tcW w:w="1134" w:type="dxa"/>
            <w:noWrap/>
            <w:hideMark/>
          </w:tcPr>
          <w:p w14:paraId="7991EF71" w14:textId="77777777" w:rsidR="00A854FD" w:rsidRPr="00103DBC" w:rsidRDefault="00A854FD" w:rsidP="00DD3C37">
            <w:pPr>
              <w:jc w:val="right"/>
            </w:pPr>
            <w:r w:rsidRPr="00103DBC">
              <w:t>2.2%</w:t>
            </w:r>
          </w:p>
        </w:tc>
        <w:tc>
          <w:tcPr>
            <w:tcW w:w="1275" w:type="dxa"/>
            <w:noWrap/>
            <w:hideMark/>
          </w:tcPr>
          <w:p w14:paraId="6E9BB9EF" w14:textId="77777777" w:rsidR="00A854FD" w:rsidRPr="00103DBC" w:rsidRDefault="00A854FD" w:rsidP="00DD3C37">
            <w:pPr>
              <w:jc w:val="right"/>
            </w:pPr>
            <w:r w:rsidRPr="00103DBC">
              <w:t>2.0%</w:t>
            </w:r>
          </w:p>
        </w:tc>
        <w:tc>
          <w:tcPr>
            <w:tcW w:w="1134" w:type="dxa"/>
            <w:noWrap/>
            <w:hideMark/>
          </w:tcPr>
          <w:p w14:paraId="6738F7A3" w14:textId="77777777" w:rsidR="00A854FD" w:rsidRPr="00103DBC" w:rsidRDefault="00A854FD" w:rsidP="00DD3C37">
            <w:pPr>
              <w:jc w:val="right"/>
            </w:pPr>
            <w:r w:rsidRPr="00103DBC">
              <w:t>2.5%</w:t>
            </w:r>
          </w:p>
        </w:tc>
      </w:tr>
      <w:tr w:rsidR="00A854FD" w:rsidRPr="00103DBC" w14:paraId="6CCFCA90" w14:textId="77777777" w:rsidTr="00DD3C37">
        <w:trPr>
          <w:trHeight w:val="300"/>
        </w:trPr>
        <w:tc>
          <w:tcPr>
            <w:tcW w:w="1305" w:type="dxa"/>
            <w:noWrap/>
            <w:hideMark/>
          </w:tcPr>
          <w:p w14:paraId="6879E83B" w14:textId="77777777" w:rsidR="00A854FD" w:rsidRPr="00103DBC" w:rsidRDefault="00A854FD" w:rsidP="00DD3C37">
            <w:r w:rsidRPr="00103DBC">
              <w:t>CCG I</w:t>
            </w:r>
          </w:p>
        </w:tc>
        <w:tc>
          <w:tcPr>
            <w:tcW w:w="2410" w:type="dxa"/>
            <w:noWrap/>
            <w:hideMark/>
          </w:tcPr>
          <w:p w14:paraId="27CF14B3" w14:textId="77777777" w:rsidR="00A854FD" w:rsidRPr="00103DBC" w:rsidRDefault="00A854FD" w:rsidP="00DD3C37">
            <w:pPr>
              <w:jc w:val="right"/>
            </w:pPr>
            <w:r w:rsidRPr="00103DBC">
              <w:t>4670</w:t>
            </w:r>
          </w:p>
        </w:tc>
        <w:tc>
          <w:tcPr>
            <w:tcW w:w="1985" w:type="dxa"/>
            <w:noWrap/>
            <w:hideMark/>
          </w:tcPr>
          <w:p w14:paraId="4E59D4C5" w14:textId="77777777" w:rsidR="00A854FD" w:rsidRPr="00103DBC" w:rsidRDefault="00A854FD" w:rsidP="00DD3C37">
            <w:r w:rsidRPr="00103DBC">
              <w:t> </w:t>
            </w:r>
          </w:p>
        </w:tc>
        <w:tc>
          <w:tcPr>
            <w:tcW w:w="1134" w:type="dxa"/>
            <w:noWrap/>
            <w:hideMark/>
          </w:tcPr>
          <w:p w14:paraId="674456D1" w14:textId="77777777" w:rsidR="00A854FD" w:rsidRPr="00103DBC" w:rsidRDefault="00A854FD" w:rsidP="00DD3C37">
            <w:pPr>
              <w:jc w:val="right"/>
            </w:pPr>
            <w:r w:rsidRPr="00103DBC">
              <w:t>0.0%</w:t>
            </w:r>
          </w:p>
        </w:tc>
        <w:tc>
          <w:tcPr>
            <w:tcW w:w="1275" w:type="dxa"/>
            <w:noWrap/>
            <w:hideMark/>
          </w:tcPr>
          <w:p w14:paraId="43C3742E" w14:textId="77777777" w:rsidR="00A854FD" w:rsidRPr="00103DBC" w:rsidRDefault="00A854FD" w:rsidP="00DD3C37">
            <w:pPr>
              <w:jc w:val="right"/>
            </w:pPr>
            <w:r w:rsidRPr="00103DBC">
              <w:t>0.0%</w:t>
            </w:r>
          </w:p>
        </w:tc>
        <w:tc>
          <w:tcPr>
            <w:tcW w:w="1134" w:type="dxa"/>
            <w:noWrap/>
            <w:hideMark/>
          </w:tcPr>
          <w:p w14:paraId="3C4CE3E6" w14:textId="77777777" w:rsidR="00A854FD" w:rsidRPr="00103DBC" w:rsidRDefault="00A854FD" w:rsidP="00DD3C37">
            <w:pPr>
              <w:jc w:val="right"/>
            </w:pPr>
            <w:r w:rsidRPr="00103DBC">
              <w:t>0.1%</w:t>
            </w:r>
          </w:p>
        </w:tc>
      </w:tr>
      <w:tr w:rsidR="00A854FD" w:rsidRPr="00103DBC" w14:paraId="1523599C" w14:textId="77777777" w:rsidTr="00DD3C37">
        <w:trPr>
          <w:trHeight w:val="300"/>
        </w:trPr>
        <w:tc>
          <w:tcPr>
            <w:tcW w:w="1305" w:type="dxa"/>
            <w:noWrap/>
            <w:hideMark/>
          </w:tcPr>
          <w:p w14:paraId="7A9AF89C" w14:textId="77777777" w:rsidR="00A854FD" w:rsidRPr="00103DBC" w:rsidRDefault="00A854FD" w:rsidP="00DD3C37">
            <w:r w:rsidRPr="00103DBC">
              <w:t>CCG J</w:t>
            </w:r>
          </w:p>
        </w:tc>
        <w:tc>
          <w:tcPr>
            <w:tcW w:w="2410" w:type="dxa"/>
            <w:noWrap/>
            <w:hideMark/>
          </w:tcPr>
          <w:p w14:paraId="26407415" w14:textId="77777777" w:rsidR="00A854FD" w:rsidRPr="00103DBC" w:rsidRDefault="00A854FD" w:rsidP="00DD3C37">
            <w:pPr>
              <w:jc w:val="right"/>
            </w:pPr>
            <w:r w:rsidRPr="00103DBC">
              <w:t>12100</w:t>
            </w:r>
          </w:p>
        </w:tc>
        <w:tc>
          <w:tcPr>
            <w:tcW w:w="1985" w:type="dxa"/>
            <w:noWrap/>
            <w:hideMark/>
          </w:tcPr>
          <w:p w14:paraId="11B20367" w14:textId="77777777" w:rsidR="00A854FD" w:rsidRPr="00103DBC" w:rsidRDefault="00A854FD" w:rsidP="00DD3C37">
            <w:pPr>
              <w:jc w:val="right"/>
            </w:pPr>
            <w:r w:rsidRPr="00103DBC">
              <w:t>120</w:t>
            </w:r>
          </w:p>
        </w:tc>
        <w:tc>
          <w:tcPr>
            <w:tcW w:w="1134" w:type="dxa"/>
            <w:noWrap/>
            <w:hideMark/>
          </w:tcPr>
          <w:p w14:paraId="75393B9D" w14:textId="77777777" w:rsidR="00A854FD" w:rsidRPr="00103DBC" w:rsidRDefault="00A854FD" w:rsidP="00DD3C37">
            <w:pPr>
              <w:jc w:val="right"/>
            </w:pPr>
            <w:r w:rsidRPr="00103DBC">
              <w:t>1.0%</w:t>
            </w:r>
          </w:p>
        </w:tc>
        <w:tc>
          <w:tcPr>
            <w:tcW w:w="1275" w:type="dxa"/>
            <w:noWrap/>
            <w:hideMark/>
          </w:tcPr>
          <w:p w14:paraId="2FB0F4E4" w14:textId="77777777" w:rsidR="00A854FD" w:rsidRPr="00103DBC" w:rsidRDefault="00A854FD" w:rsidP="00DD3C37">
            <w:pPr>
              <w:jc w:val="right"/>
            </w:pPr>
            <w:r w:rsidRPr="00103DBC">
              <w:t>0.8%</w:t>
            </w:r>
          </w:p>
        </w:tc>
        <w:tc>
          <w:tcPr>
            <w:tcW w:w="1134" w:type="dxa"/>
            <w:noWrap/>
            <w:hideMark/>
          </w:tcPr>
          <w:p w14:paraId="32AF963C" w14:textId="77777777" w:rsidR="00A854FD" w:rsidRPr="00103DBC" w:rsidRDefault="00A854FD" w:rsidP="00DD3C37">
            <w:pPr>
              <w:jc w:val="right"/>
            </w:pPr>
            <w:r w:rsidRPr="00103DBC">
              <w:t>1.2%</w:t>
            </w:r>
          </w:p>
        </w:tc>
      </w:tr>
      <w:tr w:rsidR="00A854FD" w:rsidRPr="00103DBC" w14:paraId="774E9DFA" w14:textId="77777777" w:rsidTr="00DD3C37">
        <w:trPr>
          <w:trHeight w:val="300"/>
        </w:trPr>
        <w:tc>
          <w:tcPr>
            <w:tcW w:w="1305" w:type="dxa"/>
            <w:noWrap/>
            <w:hideMark/>
          </w:tcPr>
          <w:p w14:paraId="08317909" w14:textId="77777777" w:rsidR="00A854FD" w:rsidRPr="00103DBC" w:rsidRDefault="00A854FD" w:rsidP="00DD3C37">
            <w:r w:rsidRPr="00103DBC">
              <w:t>CCG K</w:t>
            </w:r>
          </w:p>
        </w:tc>
        <w:tc>
          <w:tcPr>
            <w:tcW w:w="2410" w:type="dxa"/>
            <w:noWrap/>
            <w:hideMark/>
          </w:tcPr>
          <w:p w14:paraId="6CFD0D0F" w14:textId="77777777" w:rsidR="00A854FD" w:rsidRPr="00103DBC" w:rsidRDefault="00A854FD" w:rsidP="00DD3C37">
            <w:pPr>
              <w:jc w:val="right"/>
            </w:pPr>
            <w:r w:rsidRPr="00103DBC">
              <w:t>3974</w:t>
            </w:r>
          </w:p>
        </w:tc>
        <w:tc>
          <w:tcPr>
            <w:tcW w:w="1985" w:type="dxa"/>
            <w:noWrap/>
            <w:hideMark/>
          </w:tcPr>
          <w:p w14:paraId="42EADA88" w14:textId="77777777" w:rsidR="00A854FD" w:rsidRPr="00103DBC" w:rsidRDefault="00A854FD" w:rsidP="00DD3C37">
            <w:r w:rsidRPr="00103DBC">
              <w:t> </w:t>
            </w:r>
          </w:p>
        </w:tc>
        <w:tc>
          <w:tcPr>
            <w:tcW w:w="1134" w:type="dxa"/>
            <w:noWrap/>
            <w:hideMark/>
          </w:tcPr>
          <w:p w14:paraId="46CE6467" w14:textId="77777777" w:rsidR="00A854FD" w:rsidRPr="00103DBC" w:rsidRDefault="00A854FD" w:rsidP="00DD3C37">
            <w:pPr>
              <w:jc w:val="right"/>
            </w:pPr>
            <w:r w:rsidRPr="00103DBC">
              <w:t>0.0%</w:t>
            </w:r>
          </w:p>
        </w:tc>
        <w:tc>
          <w:tcPr>
            <w:tcW w:w="1275" w:type="dxa"/>
            <w:noWrap/>
            <w:hideMark/>
          </w:tcPr>
          <w:p w14:paraId="76EEAAD1" w14:textId="77777777" w:rsidR="00A854FD" w:rsidRPr="00103DBC" w:rsidRDefault="00A854FD" w:rsidP="00DD3C37">
            <w:pPr>
              <w:jc w:val="right"/>
            </w:pPr>
            <w:r w:rsidRPr="00103DBC">
              <w:t>0.0%</w:t>
            </w:r>
          </w:p>
        </w:tc>
        <w:tc>
          <w:tcPr>
            <w:tcW w:w="1134" w:type="dxa"/>
            <w:noWrap/>
            <w:hideMark/>
          </w:tcPr>
          <w:p w14:paraId="3D1C073E" w14:textId="77777777" w:rsidR="00A854FD" w:rsidRPr="00103DBC" w:rsidRDefault="00A854FD" w:rsidP="00DD3C37">
            <w:pPr>
              <w:jc w:val="right"/>
            </w:pPr>
            <w:r w:rsidRPr="00103DBC">
              <w:t>0.1%</w:t>
            </w:r>
          </w:p>
        </w:tc>
      </w:tr>
      <w:tr w:rsidR="00A854FD" w:rsidRPr="00103DBC" w14:paraId="099A12B1" w14:textId="77777777" w:rsidTr="00DD3C37">
        <w:trPr>
          <w:trHeight w:val="300"/>
        </w:trPr>
        <w:tc>
          <w:tcPr>
            <w:tcW w:w="1305" w:type="dxa"/>
            <w:noWrap/>
            <w:hideMark/>
          </w:tcPr>
          <w:p w14:paraId="1E0F7277" w14:textId="77777777" w:rsidR="00A854FD" w:rsidRPr="00103DBC" w:rsidRDefault="00A854FD" w:rsidP="00DD3C37">
            <w:r w:rsidRPr="00103DBC">
              <w:t>CCG L</w:t>
            </w:r>
          </w:p>
        </w:tc>
        <w:tc>
          <w:tcPr>
            <w:tcW w:w="2410" w:type="dxa"/>
            <w:noWrap/>
            <w:hideMark/>
          </w:tcPr>
          <w:p w14:paraId="51A6EF69" w14:textId="77777777" w:rsidR="00A854FD" w:rsidRPr="00103DBC" w:rsidRDefault="00A854FD" w:rsidP="00DD3C37">
            <w:pPr>
              <w:jc w:val="right"/>
            </w:pPr>
            <w:r w:rsidRPr="00103DBC">
              <w:t>7219</w:t>
            </w:r>
          </w:p>
        </w:tc>
        <w:tc>
          <w:tcPr>
            <w:tcW w:w="1985" w:type="dxa"/>
            <w:noWrap/>
            <w:hideMark/>
          </w:tcPr>
          <w:p w14:paraId="0C3B611F" w14:textId="77777777" w:rsidR="00A854FD" w:rsidRPr="00103DBC" w:rsidRDefault="00A854FD" w:rsidP="00DD3C37">
            <w:r w:rsidRPr="00103DBC">
              <w:t> </w:t>
            </w:r>
          </w:p>
        </w:tc>
        <w:tc>
          <w:tcPr>
            <w:tcW w:w="1134" w:type="dxa"/>
            <w:noWrap/>
            <w:hideMark/>
          </w:tcPr>
          <w:p w14:paraId="5D098ACC" w14:textId="77777777" w:rsidR="00A854FD" w:rsidRPr="00103DBC" w:rsidRDefault="00A854FD" w:rsidP="00DD3C37">
            <w:pPr>
              <w:jc w:val="right"/>
            </w:pPr>
            <w:r w:rsidRPr="00103DBC">
              <w:t>0.0%</w:t>
            </w:r>
          </w:p>
        </w:tc>
        <w:tc>
          <w:tcPr>
            <w:tcW w:w="1275" w:type="dxa"/>
            <w:noWrap/>
            <w:hideMark/>
          </w:tcPr>
          <w:p w14:paraId="521E9836" w14:textId="77777777" w:rsidR="00A854FD" w:rsidRPr="00103DBC" w:rsidRDefault="00A854FD" w:rsidP="00DD3C37">
            <w:pPr>
              <w:jc w:val="right"/>
            </w:pPr>
            <w:r w:rsidRPr="00103DBC">
              <w:t>0.0%</w:t>
            </w:r>
          </w:p>
        </w:tc>
        <w:tc>
          <w:tcPr>
            <w:tcW w:w="1134" w:type="dxa"/>
            <w:noWrap/>
            <w:hideMark/>
          </w:tcPr>
          <w:p w14:paraId="7AC2433A" w14:textId="77777777" w:rsidR="00A854FD" w:rsidRPr="00103DBC" w:rsidRDefault="00A854FD" w:rsidP="00DD3C37">
            <w:pPr>
              <w:jc w:val="right"/>
            </w:pPr>
            <w:r w:rsidRPr="00103DBC">
              <w:t>0.1%</w:t>
            </w:r>
          </w:p>
        </w:tc>
      </w:tr>
      <w:tr w:rsidR="00A854FD" w:rsidRPr="00103DBC" w14:paraId="087F8505" w14:textId="77777777" w:rsidTr="00DD3C37">
        <w:trPr>
          <w:trHeight w:val="300"/>
        </w:trPr>
        <w:tc>
          <w:tcPr>
            <w:tcW w:w="1305" w:type="dxa"/>
            <w:noWrap/>
            <w:hideMark/>
          </w:tcPr>
          <w:p w14:paraId="76CBC546" w14:textId="77777777" w:rsidR="00A854FD" w:rsidRPr="00103DBC" w:rsidRDefault="00A854FD" w:rsidP="00DD3C37">
            <w:r w:rsidRPr="00103DBC">
              <w:t>CCG M</w:t>
            </w:r>
          </w:p>
        </w:tc>
        <w:tc>
          <w:tcPr>
            <w:tcW w:w="2410" w:type="dxa"/>
            <w:noWrap/>
            <w:hideMark/>
          </w:tcPr>
          <w:p w14:paraId="025BF862" w14:textId="77777777" w:rsidR="00A854FD" w:rsidRPr="00103DBC" w:rsidRDefault="00A854FD" w:rsidP="00DD3C37">
            <w:pPr>
              <w:jc w:val="right"/>
            </w:pPr>
            <w:r w:rsidRPr="00103DBC">
              <w:t>235</w:t>
            </w:r>
          </w:p>
        </w:tc>
        <w:tc>
          <w:tcPr>
            <w:tcW w:w="1985" w:type="dxa"/>
            <w:noWrap/>
            <w:hideMark/>
          </w:tcPr>
          <w:p w14:paraId="1D547516" w14:textId="77777777" w:rsidR="00A854FD" w:rsidRPr="00103DBC" w:rsidRDefault="00A854FD" w:rsidP="00DD3C37">
            <w:r w:rsidRPr="00103DBC">
              <w:t> </w:t>
            </w:r>
          </w:p>
        </w:tc>
        <w:tc>
          <w:tcPr>
            <w:tcW w:w="1134" w:type="dxa"/>
            <w:noWrap/>
            <w:hideMark/>
          </w:tcPr>
          <w:p w14:paraId="4C1C8A49" w14:textId="77777777" w:rsidR="00A854FD" w:rsidRPr="00103DBC" w:rsidRDefault="00A854FD" w:rsidP="00DD3C37">
            <w:pPr>
              <w:jc w:val="right"/>
            </w:pPr>
            <w:r w:rsidRPr="00103DBC">
              <w:t>0.0%</w:t>
            </w:r>
          </w:p>
        </w:tc>
        <w:tc>
          <w:tcPr>
            <w:tcW w:w="1275" w:type="dxa"/>
            <w:noWrap/>
            <w:hideMark/>
          </w:tcPr>
          <w:p w14:paraId="7DF1F353" w14:textId="77777777" w:rsidR="00A854FD" w:rsidRPr="00103DBC" w:rsidRDefault="00A854FD" w:rsidP="00DD3C37">
            <w:pPr>
              <w:jc w:val="right"/>
            </w:pPr>
            <w:r w:rsidRPr="00103DBC">
              <w:t>0.0%</w:t>
            </w:r>
          </w:p>
        </w:tc>
        <w:tc>
          <w:tcPr>
            <w:tcW w:w="1134" w:type="dxa"/>
            <w:noWrap/>
            <w:hideMark/>
          </w:tcPr>
          <w:p w14:paraId="4610AB11" w14:textId="77777777" w:rsidR="00A854FD" w:rsidRPr="00103DBC" w:rsidRDefault="00A854FD" w:rsidP="00DD3C37">
            <w:pPr>
              <w:jc w:val="right"/>
            </w:pPr>
            <w:r w:rsidRPr="00103DBC">
              <w:t>1.6%</w:t>
            </w:r>
          </w:p>
        </w:tc>
      </w:tr>
      <w:tr w:rsidR="00A854FD" w:rsidRPr="00103DBC" w14:paraId="7AB8BC9F" w14:textId="77777777" w:rsidTr="00DD3C37">
        <w:trPr>
          <w:trHeight w:val="300"/>
        </w:trPr>
        <w:tc>
          <w:tcPr>
            <w:tcW w:w="1305" w:type="dxa"/>
            <w:noWrap/>
            <w:hideMark/>
          </w:tcPr>
          <w:p w14:paraId="1F1EBC21" w14:textId="77777777" w:rsidR="00A854FD" w:rsidRPr="00103DBC" w:rsidRDefault="00A854FD" w:rsidP="00DD3C37">
            <w:r w:rsidRPr="00103DBC">
              <w:t>CCG N</w:t>
            </w:r>
          </w:p>
        </w:tc>
        <w:tc>
          <w:tcPr>
            <w:tcW w:w="2410" w:type="dxa"/>
            <w:noWrap/>
            <w:hideMark/>
          </w:tcPr>
          <w:p w14:paraId="7923F103" w14:textId="77777777" w:rsidR="00A854FD" w:rsidRPr="00103DBC" w:rsidRDefault="00A854FD" w:rsidP="00DD3C37">
            <w:pPr>
              <w:jc w:val="right"/>
            </w:pPr>
            <w:r w:rsidRPr="00103DBC">
              <w:t>9214</w:t>
            </w:r>
          </w:p>
        </w:tc>
        <w:tc>
          <w:tcPr>
            <w:tcW w:w="1985" w:type="dxa"/>
            <w:noWrap/>
            <w:hideMark/>
          </w:tcPr>
          <w:p w14:paraId="72E1F4AD" w14:textId="77777777" w:rsidR="00A854FD" w:rsidRPr="00103DBC" w:rsidRDefault="00A854FD" w:rsidP="00DD3C37">
            <w:pPr>
              <w:jc w:val="right"/>
            </w:pPr>
            <w:r w:rsidRPr="00103DBC">
              <w:t>72</w:t>
            </w:r>
          </w:p>
        </w:tc>
        <w:tc>
          <w:tcPr>
            <w:tcW w:w="1134" w:type="dxa"/>
            <w:noWrap/>
            <w:hideMark/>
          </w:tcPr>
          <w:p w14:paraId="617482F6" w14:textId="77777777" w:rsidR="00A854FD" w:rsidRPr="00103DBC" w:rsidRDefault="00A854FD" w:rsidP="00DD3C37">
            <w:pPr>
              <w:jc w:val="right"/>
            </w:pPr>
            <w:r w:rsidRPr="00103DBC">
              <w:t>0.8%</w:t>
            </w:r>
          </w:p>
        </w:tc>
        <w:tc>
          <w:tcPr>
            <w:tcW w:w="1275" w:type="dxa"/>
            <w:noWrap/>
            <w:hideMark/>
          </w:tcPr>
          <w:p w14:paraId="4DD109C8" w14:textId="77777777" w:rsidR="00A854FD" w:rsidRPr="00103DBC" w:rsidRDefault="00A854FD" w:rsidP="00DD3C37">
            <w:pPr>
              <w:jc w:val="right"/>
            </w:pPr>
            <w:r w:rsidRPr="00103DBC">
              <w:t>0.6%</w:t>
            </w:r>
          </w:p>
        </w:tc>
        <w:tc>
          <w:tcPr>
            <w:tcW w:w="1134" w:type="dxa"/>
            <w:noWrap/>
            <w:hideMark/>
          </w:tcPr>
          <w:p w14:paraId="67712581" w14:textId="77777777" w:rsidR="00A854FD" w:rsidRPr="00103DBC" w:rsidRDefault="00A854FD" w:rsidP="00DD3C37">
            <w:pPr>
              <w:jc w:val="right"/>
            </w:pPr>
            <w:r w:rsidRPr="00103DBC">
              <w:t>1.0%</w:t>
            </w:r>
          </w:p>
        </w:tc>
      </w:tr>
      <w:tr w:rsidR="00A854FD" w:rsidRPr="00103DBC" w14:paraId="4A0BA831" w14:textId="77777777" w:rsidTr="00DD3C37">
        <w:trPr>
          <w:trHeight w:val="300"/>
        </w:trPr>
        <w:tc>
          <w:tcPr>
            <w:tcW w:w="1305" w:type="dxa"/>
            <w:noWrap/>
            <w:hideMark/>
          </w:tcPr>
          <w:p w14:paraId="1C291C25" w14:textId="77777777" w:rsidR="00A854FD" w:rsidRPr="00103DBC" w:rsidRDefault="00A854FD" w:rsidP="00DD3C37">
            <w:r w:rsidRPr="00103DBC">
              <w:t>CCG O</w:t>
            </w:r>
          </w:p>
        </w:tc>
        <w:tc>
          <w:tcPr>
            <w:tcW w:w="2410" w:type="dxa"/>
            <w:noWrap/>
            <w:hideMark/>
          </w:tcPr>
          <w:p w14:paraId="70297EFF" w14:textId="77777777" w:rsidR="00A854FD" w:rsidRPr="00103DBC" w:rsidRDefault="00A854FD" w:rsidP="00DD3C37">
            <w:pPr>
              <w:jc w:val="right"/>
            </w:pPr>
            <w:r w:rsidRPr="00103DBC">
              <w:t>8918</w:t>
            </w:r>
          </w:p>
        </w:tc>
        <w:tc>
          <w:tcPr>
            <w:tcW w:w="1985" w:type="dxa"/>
            <w:noWrap/>
            <w:hideMark/>
          </w:tcPr>
          <w:p w14:paraId="02F9E863" w14:textId="77777777" w:rsidR="00A854FD" w:rsidRPr="00103DBC" w:rsidRDefault="00A854FD" w:rsidP="00DD3C37">
            <w:pPr>
              <w:jc w:val="right"/>
            </w:pPr>
            <w:r w:rsidRPr="00103DBC">
              <w:t>2</w:t>
            </w:r>
          </w:p>
        </w:tc>
        <w:tc>
          <w:tcPr>
            <w:tcW w:w="1134" w:type="dxa"/>
            <w:noWrap/>
            <w:hideMark/>
          </w:tcPr>
          <w:p w14:paraId="4854D93C" w14:textId="77777777" w:rsidR="00A854FD" w:rsidRPr="00103DBC" w:rsidRDefault="00A854FD" w:rsidP="00DD3C37">
            <w:pPr>
              <w:jc w:val="right"/>
            </w:pPr>
            <w:r w:rsidRPr="00103DBC">
              <w:t>0.0%</w:t>
            </w:r>
          </w:p>
        </w:tc>
        <w:tc>
          <w:tcPr>
            <w:tcW w:w="1275" w:type="dxa"/>
            <w:noWrap/>
            <w:hideMark/>
          </w:tcPr>
          <w:p w14:paraId="7A1EA046" w14:textId="77777777" w:rsidR="00A854FD" w:rsidRPr="00103DBC" w:rsidRDefault="00A854FD" w:rsidP="00DD3C37">
            <w:pPr>
              <w:jc w:val="right"/>
            </w:pPr>
            <w:r w:rsidRPr="00103DBC">
              <w:t>0.0%</w:t>
            </w:r>
          </w:p>
        </w:tc>
        <w:tc>
          <w:tcPr>
            <w:tcW w:w="1134" w:type="dxa"/>
            <w:noWrap/>
            <w:hideMark/>
          </w:tcPr>
          <w:p w14:paraId="03F7873C" w14:textId="77777777" w:rsidR="00A854FD" w:rsidRPr="00103DBC" w:rsidRDefault="00A854FD" w:rsidP="00DD3C37">
            <w:pPr>
              <w:jc w:val="right"/>
            </w:pPr>
            <w:r w:rsidRPr="00103DBC">
              <w:t>0.1%</w:t>
            </w:r>
          </w:p>
        </w:tc>
      </w:tr>
      <w:tr w:rsidR="00A854FD" w:rsidRPr="00103DBC" w14:paraId="3EDD9BCC" w14:textId="77777777" w:rsidTr="00DD3C37">
        <w:trPr>
          <w:trHeight w:val="300"/>
        </w:trPr>
        <w:tc>
          <w:tcPr>
            <w:tcW w:w="1305" w:type="dxa"/>
            <w:noWrap/>
            <w:hideMark/>
          </w:tcPr>
          <w:p w14:paraId="3C403DC3" w14:textId="77777777" w:rsidR="00A854FD" w:rsidRPr="00103DBC" w:rsidRDefault="00A854FD" w:rsidP="00DD3C37">
            <w:r w:rsidRPr="00103DBC">
              <w:t>CCG P</w:t>
            </w:r>
          </w:p>
        </w:tc>
        <w:tc>
          <w:tcPr>
            <w:tcW w:w="2410" w:type="dxa"/>
            <w:noWrap/>
            <w:hideMark/>
          </w:tcPr>
          <w:p w14:paraId="078E3324" w14:textId="77777777" w:rsidR="00A854FD" w:rsidRPr="00103DBC" w:rsidRDefault="00A854FD" w:rsidP="00DD3C37">
            <w:pPr>
              <w:jc w:val="right"/>
            </w:pPr>
            <w:r w:rsidRPr="00103DBC">
              <w:t>6089</w:t>
            </w:r>
          </w:p>
        </w:tc>
        <w:tc>
          <w:tcPr>
            <w:tcW w:w="1985" w:type="dxa"/>
            <w:noWrap/>
            <w:hideMark/>
          </w:tcPr>
          <w:p w14:paraId="754CA29F" w14:textId="77777777" w:rsidR="00A854FD" w:rsidRPr="00103DBC" w:rsidRDefault="00A854FD" w:rsidP="00DD3C37">
            <w:pPr>
              <w:jc w:val="right"/>
            </w:pPr>
            <w:r w:rsidRPr="00103DBC">
              <w:t>68</w:t>
            </w:r>
          </w:p>
        </w:tc>
        <w:tc>
          <w:tcPr>
            <w:tcW w:w="1134" w:type="dxa"/>
            <w:noWrap/>
            <w:hideMark/>
          </w:tcPr>
          <w:p w14:paraId="1807B6F5" w14:textId="77777777" w:rsidR="00A854FD" w:rsidRPr="00103DBC" w:rsidRDefault="00A854FD" w:rsidP="00DD3C37">
            <w:pPr>
              <w:jc w:val="right"/>
            </w:pPr>
            <w:r w:rsidRPr="00103DBC">
              <w:t>1.1%</w:t>
            </w:r>
          </w:p>
        </w:tc>
        <w:tc>
          <w:tcPr>
            <w:tcW w:w="1275" w:type="dxa"/>
            <w:noWrap/>
            <w:hideMark/>
          </w:tcPr>
          <w:p w14:paraId="7B029EF4" w14:textId="77777777" w:rsidR="00A854FD" w:rsidRPr="00103DBC" w:rsidRDefault="00A854FD" w:rsidP="00DD3C37">
            <w:pPr>
              <w:jc w:val="right"/>
            </w:pPr>
            <w:r w:rsidRPr="00103DBC">
              <w:t>0.9%</w:t>
            </w:r>
          </w:p>
        </w:tc>
        <w:tc>
          <w:tcPr>
            <w:tcW w:w="1134" w:type="dxa"/>
            <w:noWrap/>
            <w:hideMark/>
          </w:tcPr>
          <w:p w14:paraId="2E99018F" w14:textId="77777777" w:rsidR="00A854FD" w:rsidRPr="00103DBC" w:rsidRDefault="00A854FD" w:rsidP="00DD3C37">
            <w:pPr>
              <w:jc w:val="right"/>
            </w:pPr>
            <w:r w:rsidRPr="00103DBC">
              <w:t>1.4%</w:t>
            </w:r>
          </w:p>
        </w:tc>
      </w:tr>
      <w:tr w:rsidR="00A854FD" w:rsidRPr="00103DBC" w14:paraId="65E942F7" w14:textId="77777777" w:rsidTr="00DD3C37">
        <w:trPr>
          <w:trHeight w:val="300"/>
        </w:trPr>
        <w:tc>
          <w:tcPr>
            <w:tcW w:w="1305" w:type="dxa"/>
            <w:noWrap/>
            <w:hideMark/>
          </w:tcPr>
          <w:p w14:paraId="56AEBA93" w14:textId="77777777" w:rsidR="00A854FD" w:rsidRPr="00103DBC" w:rsidRDefault="00A854FD" w:rsidP="00DD3C37">
            <w:r w:rsidRPr="00103DBC">
              <w:t>CCG Q</w:t>
            </w:r>
          </w:p>
        </w:tc>
        <w:tc>
          <w:tcPr>
            <w:tcW w:w="2410" w:type="dxa"/>
            <w:noWrap/>
            <w:hideMark/>
          </w:tcPr>
          <w:p w14:paraId="08386E99" w14:textId="77777777" w:rsidR="00A854FD" w:rsidRPr="00103DBC" w:rsidRDefault="00A854FD" w:rsidP="00DD3C37">
            <w:pPr>
              <w:jc w:val="right"/>
            </w:pPr>
            <w:r w:rsidRPr="00103DBC">
              <w:t>5297</w:t>
            </w:r>
          </w:p>
        </w:tc>
        <w:tc>
          <w:tcPr>
            <w:tcW w:w="1985" w:type="dxa"/>
            <w:noWrap/>
            <w:hideMark/>
          </w:tcPr>
          <w:p w14:paraId="77F7AB36" w14:textId="77777777" w:rsidR="00A854FD" w:rsidRPr="00103DBC" w:rsidRDefault="00A854FD" w:rsidP="00DD3C37">
            <w:pPr>
              <w:jc w:val="right"/>
            </w:pPr>
            <w:r w:rsidRPr="00103DBC">
              <w:t>3</w:t>
            </w:r>
          </w:p>
        </w:tc>
        <w:tc>
          <w:tcPr>
            <w:tcW w:w="1134" w:type="dxa"/>
            <w:noWrap/>
            <w:hideMark/>
          </w:tcPr>
          <w:p w14:paraId="73702954" w14:textId="77777777" w:rsidR="00A854FD" w:rsidRPr="00103DBC" w:rsidRDefault="00A854FD" w:rsidP="00DD3C37">
            <w:pPr>
              <w:jc w:val="right"/>
            </w:pPr>
            <w:r w:rsidRPr="00103DBC">
              <w:t>0.1%</w:t>
            </w:r>
          </w:p>
        </w:tc>
        <w:tc>
          <w:tcPr>
            <w:tcW w:w="1275" w:type="dxa"/>
            <w:noWrap/>
            <w:hideMark/>
          </w:tcPr>
          <w:p w14:paraId="30EE7F51" w14:textId="77777777" w:rsidR="00A854FD" w:rsidRPr="00103DBC" w:rsidRDefault="00A854FD" w:rsidP="00DD3C37">
            <w:pPr>
              <w:jc w:val="right"/>
            </w:pPr>
            <w:r w:rsidRPr="00103DBC">
              <w:t>0.0%</w:t>
            </w:r>
          </w:p>
        </w:tc>
        <w:tc>
          <w:tcPr>
            <w:tcW w:w="1134" w:type="dxa"/>
            <w:noWrap/>
            <w:hideMark/>
          </w:tcPr>
          <w:p w14:paraId="48970D62" w14:textId="77777777" w:rsidR="00A854FD" w:rsidRPr="00103DBC" w:rsidRDefault="00A854FD" w:rsidP="00DD3C37">
            <w:pPr>
              <w:jc w:val="right"/>
            </w:pPr>
            <w:r w:rsidRPr="00103DBC">
              <w:t>0.2%</w:t>
            </w:r>
          </w:p>
        </w:tc>
      </w:tr>
      <w:tr w:rsidR="00A854FD" w:rsidRPr="00103DBC" w14:paraId="10841A03" w14:textId="77777777" w:rsidTr="00DD3C37">
        <w:trPr>
          <w:trHeight w:val="300"/>
        </w:trPr>
        <w:tc>
          <w:tcPr>
            <w:tcW w:w="1305" w:type="dxa"/>
            <w:noWrap/>
            <w:hideMark/>
          </w:tcPr>
          <w:p w14:paraId="40BAD9D1" w14:textId="77777777" w:rsidR="00A854FD" w:rsidRPr="00103DBC" w:rsidRDefault="00A854FD" w:rsidP="00DD3C37">
            <w:r w:rsidRPr="00103DBC">
              <w:t>CCG R</w:t>
            </w:r>
          </w:p>
        </w:tc>
        <w:tc>
          <w:tcPr>
            <w:tcW w:w="2410" w:type="dxa"/>
            <w:noWrap/>
            <w:hideMark/>
          </w:tcPr>
          <w:p w14:paraId="5B4309D4" w14:textId="77777777" w:rsidR="00A854FD" w:rsidRPr="00103DBC" w:rsidRDefault="00A854FD" w:rsidP="00DD3C37">
            <w:pPr>
              <w:jc w:val="right"/>
            </w:pPr>
            <w:r w:rsidRPr="00103DBC">
              <w:t>37879</w:t>
            </w:r>
          </w:p>
        </w:tc>
        <w:tc>
          <w:tcPr>
            <w:tcW w:w="1985" w:type="dxa"/>
            <w:noWrap/>
            <w:hideMark/>
          </w:tcPr>
          <w:p w14:paraId="35DD013A" w14:textId="77777777" w:rsidR="00A854FD" w:rsidRPr="00103DBC" w:rsidRDefault="00A854FD" w:rsidP="00DD3C37">
            <w:pPr>
              <w:jc w:val="right"/>
            </w:pPr>
            <w:r w:rsidRPr="00103DBC">
              <w:t>60</w:t>
            </w:r>
          </w:p>
        </w:tc>
        <w:tc>
          <w:tcPr>
            <w:tcW w:w="1134" w:type="dxa"/>
            <w:noWrap/>
            <w:hideMark/>
          </w:tcPr>
          <w:p w14:paraId="7A84E788" w14:textId="77777777" w:rsidR="00A854FD" w:rsidRPr="00103DBC" w:rsidRDefault="00A854FD" w:rsidP="00DD3C37">
            <w:pPr>
              <w:jc w:val="right"/>
            </w:pPr>
            <w:r w:rsidRPr="00103DBC">
              <w:t>0.2%</w:t>
            </w:r>
          </w:p>
        </w:tc>
        <w:tc>
          <w:tcPr>
            <w:tcW w:w="1275" w:type="dxa"/>
            <w:noWrap/>
            <w:hideMark/>
          </w:tcPr>
          <w:p w14:paraId="57B347F6" w14:textId="77777777" w:rsidR="00A854FD" w:rsidRPr="00103DBC" w:rsidRDefault="00A854FD" w:rsidP="00DD3C37">
            <w:pPr>
              <w:jc w:val="right"/>
            </w:pPr>
            <w:r w:rsidRPr="00103DBC">
              <w:t>0.1%</w:t>
            </w:r>
          </w:p>
        </w:tc>
        <w:tc>
          <w:tcPr>
            <w:tcW w:w="1134" w:type="dxa"/>
            <w:noWrap/>
            <w:hideMark/>
          </w:tcPr>
          <w:p w14:paraId="13DC9671" w14:textId="77777777" w:rsidR="00A854FD" w:rsidRPr="00103DBC" w:rsidRDefault="00A854FD" w:rsidP="00DD3C37">
            <w:pPr>
              <w:jc w:val="right"/>
            </w:pPr>
            <w:r w:rsidRPr="00103DBC">
              <w:t>0.2%</w:t>
            </w:r>
          </w:p>
        </w:tc>
      </w:tr>
      <w:tr w:rsidR="00A854FD" w:rsidRPr="00103DBC" w14:paraId="5AFCC8B5" w14:textId="77777777" w:rsidTr="00DD3C37">
        <w:trPr>
          <w:trHeight w:val="300"/>
        </w:trPr>
        <w:tc>
          <w:tcPr>
            <w:tcW w:w="1305" w:type="dxa"/>
            <w:noWrap/>
            <w:hideMark/>
          </w:tcPr>
          <w:p w14:paraId="36E697F8" w14:textId="77777777" w:rsidR="00A854FD" w:rsidRPr="00103DBC" w:rsidRDefault="00A854FD" w:rsidP="00DD3C37">
            <w:r w:rsidRPr="00103DBC">
              <w:t>CCG S</w:t>
            </w:r>
          </w:p>
        </w:tc>
        <w:tc>
          <w:tcPr>
            <w:tcW w:w="2410" w:type="dxa"/>
            <w:noWrap/>
            <w:hideMark/>
          </w:tcPr>
          <w:p w14:paraId="4760C562" w14:textId="77777777" w:rsidR="00A854FD" w:rsidRPr="00103DBC" w:rsidRDefault="00A854FD" w:rsidP="00DD3C37">
            <w:pPr>
              <w:jc w:val="right"/>
            </w:pPr>
            <w:r w:rsidRPr="00103DBC">
              <w:t>2466</w:t>
            </w:r>
          </w:p>
        </w:tc>
        <w:tc>
          <w:tcPr>
            <w:tcW w:w="1985" w:type="dxa"/>
            <w:noWrap/>
            <w:hideMark/>
          </w:tcPr>
          <w:p w14:paraId="66811498" w14:textId="77777777" w:rsidR="00A854FD" w:rsidRPr="00103DBC" w:rsidRDefault="00A854FD" w:rsidP="00DD3C37">
            <w:pPr>
              <w:jc w:val="right"/>
            </w:pPr>
            <w:r w:rsidRPr="00103DBC">
              <w:t>10</w:t>
            </w:r>
          </w:p>
        </w:tc>
        <w:tc>
          <w:tcPr>
            <w:tcW w:w="1134" w:type="dxa"/>
            <w:noWrap/>
            <w:hideMark/>
          </w:tcPr>
          <w:p w14:paraId="00FFFCD0" w14:textId="77777777" w:rsidR="00A854FD" w:rsidRPr="00103DBC" w:rsidRDefault="00A854FD" w:rsidP="00DD3C37">
            <w:pPr>
              <w:jc w:val="right"/>
            </w:pPr>
            <w:r w:rsidRPr="00103DBC">
              <w:t>0.4%</w:t>
            </w:r>
          </w:p>
        </w:tc>
        <w:tc>
          <w:tcPr>
            <w:tcW w:w="1275" w:type="dxa"/>
            <w:noWrap/>
            <w:hideMark/>
          </w:tcPr>
          <w:p w14:paraId="7792791F" w14:textId="77777777" w:rsidR="00A854FD" w:rsidRPr="00103DBC" w:rsidRDefault="00A854FD" w:rsidP="00DD3C37">
            <w:pPr>
              <w:jc w:val="right"/>
            </w:pPr>
            <w:r w:rsidRPr="00103DBC">
              <w:t>0.2%</w:t>
            </w:r>
          </w:p>
        </w:tc>
        <w:tc>
          <w:tcPr>
            <w:tcW w:w="1134" w:type="dxa"/>
            <w:noWrap/>
            <w:hideMark/>
          </w:tcPr>
          <w:p w14:paraId="493D97FE" w14:textId="77777777" w:rsidR="00A854FD" w:rsidRPr="00103DBC" w:rsidRDefault="00A854FD" w:rsidP="00DD3C37">
            <w:pPr>
              <w:jc w:val="right"/>
            </w:pPr>
            <w:r w:rsidRPr="00103DBC">
              <w:t>0.7%</w:t>
            </w:r>
          </w:p>
        </w:tc>
      </w:tr>
      <w:tr w:rsidR="00A854FD" w:rsidRPr="00103DBC" w14:paraId="17F0B819" w14:textId="77777777" w:rsidTr="00DD3C37">
        <w:trPr>
          <w:trHeight w:val="300"/>
        </w:trPr>
        <w:tc>
          <w:tcPr>
            <w:tcW w:w="1305" w:type="dxa"/>
            <w:noWrap/>
            <w:hideMark/>
          </w:tcPr>
          <w:p w14:paraId="2EACB500" w14:textId="77777777" w:rsidR="00A854FD" w:rsidRPr="00103DBC" w:rsidRDefault="00A854FD" w:rsidP="00DD3C37">
            <w:r w:rsidRPr="00103DBC">
              <w:t>CCG T</w:t>
            </w:r>
          </w:p>
        </w:tc>
        <w:tc>
          <w:tcPr>
            <w:tcW w:w="2410" w:type="dxa"/>
            <w:noWrap/>
            <w:hideMark/>
          </w:tcPr>
          <w:p w14:paraId="32A89465" w14:textId="77777777" w:rsidR="00A854FD" w:rsidRPr="00103DBC" w:rsidRDefault="00A854FD" w:rsidP="00DD3C37">
            <w:pPr>
              <w:jc w:val="right"/>
            </w:pPr>
            <w:r w:rsidRPr="00103DBC">
              <w:t>4872</w:t>
            </w:r>
          </w:p>
        </w:tc>
        <w:tc>
          <w:tcPr>
            <w:tcW w:w="1985" w:type="dxa"/>
            <w:noWrap/>
            <w:hideMark/>
          </w:tcPr>
          <w:p w14:paraId="0851C6E7" w14:textId="77777777" w:rsidR="00A854FD" w:rsidRPr="00103DBC" w:rsidRDefault="00A854FD" w:rsidP="00DD3C37">
            <w:pPr>
              <w:jc w:val="right"/>
            </w:pPr>
            <w:r w:rsidRPr="00103DBC">
              <w:t>30</w:t>
            </w:r>
          </w:p>
        </w:tc>
        <w:tc>
          <w:tcPr>
            <w:tcW w:w="1134" w:type="dxa"/>
            <w:noWrap/>
            <w:hideMark/>
          </w:tcPr>
          <w:p w14:paraId="44484816" w14:textId="77777777" w:rsidR="00A854FD" w:rsidRPr="00103DBC" w:rsidRDefault="00A854FD" w:rsidP="00DD3C37">
            <w:pPr>
              <w:jc w:val="right"/>
            </w:pPr>
            <w:r w:rsidRPr="00103DBC">
              <w:t>0.6%</w:t>
            </w:r>
          </w:p>
        </w:tc>
        <w:tc>
          <w:tcPr>
            <w:tcW w:w="1275" w:type="dxa"/>
            <w:noWrap/>
            <w:hideMark/>
          </w:tcPr>
          <w:p w14:paraId="2402485D" w14:textId="77777777" w:rsidR="00A854FD" w:rsidRPr="00103DBC" w:rsidRDefault="00A854FD" w:rsidP="00DD3C37">
            <w:pPr>
              <w:jc w:val="right"/>
            </w:pPr>
            <w:r w:rsidRPr="00103DBC">
              <w:t>0.4%</w:t>
            </w:r>
          </w:p>
        </w:tc>
        <w:tc>
          <w:tcPr>
            <w:tcW w:w="1134" w:type="dxa"/>
            <w:noWrap/>
            <w:hideMark/>
          </w:tcPr>
          <w:p w14:paraId="069EDF7F" w14:textId="77777777" w:rsidR="00A854FD" w:rsidRPr="00103DBC" w:rsidRDefault="00A854FD" w:rsidP="00DD3C37">
            <w:pPr>
              <w:jc w:val="right"/>
            </w:pPr>
            <w:r w:rsidRPr="00103DBC">
              <w:t>0.9%</w:t>
            </w:r>
          </w:p>
        </w:tc>
      </w:tr>
    </w:tbl>
    <w:p w14:paraId="6EC3DE00" w14:textId="77777777" w:rsidR="00A854FD" w:rsidRDefault="00A854FD"/>
    <w:p w14:paraId="2DFCB620" w14:textId="6865BFF9" w:rsidR="000D2247" w:rsidRDefault="000D2247" w:rsidP="00A854FD">
      <w:pPr>
        <w:ind w:left="-851" w:firstLine="851"/>
      </w:pPr>
      <w:r w:rsidRPr="00103DBC">
        <w:t>MRG Recommendations, Comments &amp; Updates:</w:t>
      </w:r>
    </w:p>
    <w:p w14:paraId="22829790" w14:textId="12324E9D" w:rsidR="00A854FD" w:rsidRDefault="00A854FD" w:rsidP="00A854FD">
      <w:r w:rsidRPr="00103DBC">
        <w:t>Summary of Discussion</w:t>
      </w:r>
      <w:r>
        <w:t xml:space="preserve"> </w:t>
      </w:r>
      <w:r w:rsidRPr="00103DBC">
        <w:t>18/10/13</w:t>
      </w:r>
    </w:p>
    <w:p w14:paraId="7995A541" w14:textId="77777777" w:rsidR="00A854FD" w:rsidRPr="00103DBC" w:rsidRDefault="00A854FD" w:rsidP="00A854FD">
      <w:pPr>
        <w:spacing w:after="240"/>
        <w:textboxTightWrap w:val="lastLineOnly"/>
      </w:pPr>
      <w:r w:rsidRPr="00103DBC">
        <w:t xml:space="preserve">The indicator was introduced by explaining the modifications that had been made regarding the recommendations that were made last time the indicator came to MRG. </w:t>
      </w:r>
    </w:p>
    <w:p w14:paraId="7CF1B15C" w14:textId="77777777" w:rsidR="00A854FD" w:rsidRPr="00103DBC" w:rsidRDefault="00A854FD" w:rsidP="00A854FD">
      <w:pPr>
        <w:spacing w:after="240"/>
        <w:textboxTightWrap w:val="lastLineOnly"/>
      </w:pPr>
      <w:r w:rsidRPr="00103DBC">
        <w:t>Please see individual indicator record of assurance for details.</w:t>
      </w:r>
    </w:p>
    <w:p w14:paraId="2EFEA1E5" w14:textId="5F2E1546" w:rsidR="00A854FD" w:rsidRPr="00103DBC" w:rsidRDefault="00A854FD" w:rsidP="00A854FD">
      <w:r w:rsidRPr="00103DBC">
        <w:t>MRG felt that voluntary work was beneficial to recovery for people with mental health issues, however felt that the indicator outcome matches the title. It was felt that in the quality statement, it should specify that voluntary work is not included although it was appreciated that this may have the same benefits as paid work.</w:t>
      </w:r>
    </w:p>
    <w:p w14:paraId="52E3C629" w14:textId="77777777" w:rsidR="000D2247" w:rsidRPr="00103DBC" w:rsidRDefault="000D2247"/>
    <w:p w14:paraId="47D64DA4" w14:textId="77777777" w:rsidR="000D2247" w:rsidRPr="00103DBC" w:rsidRDefault="000D2247"/>
    <w:tbl>
      <w:tblPr>
        <w:tblStyle w:val="TableGrid"/>
        <w:tblW w:w="9923" w:type="dxa"/>
        <w:tblLayout w:type="fixed"/>
        <w:tblLook w:val="01E0" w:firstRow="1" w:lastRow="1" w:firstColumn="1" w:lastColumn="1" w:noHBand="0" w:noVBand="0"/>
      </w:tblPr>
      <w:tblGrid>
        <w:gridCol w:w="1844"/>
        <w:gridCol w:w="8079"/>
      </w:tblGrid>
      <w:tr w:rsidR="00103DBC" w:rsidRPr="00103DBC" w14:paraId="6E784A76" w14:textId="77777777" w:rsidTr="00B34530">
        <w:tc>
          <w:tcPr>
            <w:tcW w:w="1844" w:type="dxa"/>
          </w:tcPr>
          <w:p w14:paraId="036D6645" w14:textId="77777777" w:rsidR="000D2247" w:rsidRPr="00103DBC" w:rsidRDefault="000D2247" w:rsidP="00103DBC">
            <w:pPr>
              <w:spacing w:before="60"/>
            </w:pPr>
            <w:r w:rsidRPr="00103DBC">
              <w:t>Ref code</w:t>
            </w:r>
          </w:p>
          <w:p w14:paraId="16F928CE" w14:textId="77777777" w:rsidR="000D2247" w:rsidRPr="00103DBC" w:rsidRDefault="000D2247" w:rsidP="00103DBC">
            <w:pPr>
              <w:spacing w:before="60"/>
              <w:rPr>
                <w:b/>
              </w:rPr>
            </w:pPr>
            <w:r w:rsidRPr="00103DBC">
              <w:rPr>
                <w:b/>
              </w:rPr>
              <w:t>IAP00338-01</w:t>
            </w:r>
          </w:p>
          <w:p w14:paraId="6F9F221A" w14:textId="77777777" w:rsidR="000D2247" w:rsidRPr="00103DBC" w:rsidRDefault="000D2247" w:rsidP="00103DBC">
            <w:pPr>
              <w:spacing w:before="60"/>
            </w:pPr>
            <w:r w:rsidRPr="00103DBC">
              <w:t>Made: 18/10/13</w:t>
            </w:r>
          </w:p>
        </w:tc>
        <w:tc>
          <w:tcPr>
            <w:tcW w:w="8079" w:type="dxa"/>
          </w:tcPr>
          <w:p w14:paraId="46EC3349" w14:textId="77777777" w:rsidR="000D2247" w:rsidRPr="00103DBC" w:rsidRDefault="000D2247" w:rsidP="00103DBC">
            <w:pPr>
              <w:rPr>
                <w:b/>
              </w:rPr>
            </w:pPr>
            <w:r w:rsidRPr="00103DBC">
              <w:rPr>
                <w:b/>
              </w:rPr>
              <w:t>Update the quality statement to say that voluntary work was not included, although this may be beneficial to recovery.</w:t>
            </w:r>
          </w:p>
        </w:tc>
      </w:tr>
      <w:tr w:rsidR="00103DBC" w:rsidRPr="00103DBC" w14:paraId="2D8A2CA4" w14:textId="77777777" w:rsidTr="00B34530">
        <w:tc>
          <w:tcPr>
            <w:tcW w:w="1844" w:type="dxa"/>
          </w:tcPr>
          <w:p w14:paraId="17CD93FF" w14:textId="77777777" w:rsidR="000D2247" w:rsidRPr="00103DBC" w:rsidRDefault="000D2247" w:rsidP="00103DBC">
            <w:r w:rsidRPr="00103DBC">
              <w:t xml:space="preserve">Update: </w:t>
            </w:r>
          </w:p>
          <w:p w14:paraId="44B34C51" w14:textId="77777777" w:rsidR="000D2247" w:rsidRPr="00103DBC" w:rsidRDefault="000D2247" w:rsidP="00103DBC">
            <w:r w:rsidRPr="00103DBC">
              <w:t>Made: 20/09/13</w:t>
            </w:r>
          </w:p>
        </w:tc>
        <w:tc>
          <w:tcPr>
            <w:tcW w:w="8079" w:type="dxa"/>
          </w:tcPr>
          <w:p w14:paraId="2D839F7C" w14:textId="77777777" w:rsidR="000D2247" w:rsidRPr="00103DBC" w:rsidRDefault="000D2247" w:rsidP="00103DBC"/>
        </w:tc>
      </w:tr>
      <w:tr w:rsidR="00103DBC" w:rsidRPr="00103DBC" w14:paraId="42428CB5" w14:textId="77777777" w:rsidTr="00B34530">
        <w:tc>
          <w:tcPr>
            <w:tcW w:w="1844" w:type="dxa"/>
          </w:tcPr>
          <w:p w14:paraId="28DF6C31" w14:textId="77777777" w:rsidR="000D2247" w:rsidRPr="00103DBC" w:rsidRDefault="000D2247" w:rsidP="00103DBC">
            <w:r w:rsidRPr="00103DBC">
              <w:t xml:space="preserve">Further Rec: </w:t>
            </w:r>
          </w:p>
          <w:p w14:paraId="1E465AC3" w14:textId="77777777" w:rsidR="000D2247" w:rsidRPr="00103DBC" w:rsidRDefault="000D2247" w:rsidP="00103DBC">
            <w:r w:rsidRPr="00103DBC">
              <w:t>Made: xx/xx/xx</w:t>
            </w:r>
          </w:p>
        </w:tc>
        <w:tc>
          <w:tcPr>
            <w:tcW w:w="8079" w:type="dxa"/>
          </w:tcPr>
          <w:p w14:paraId="0C149ED8" w14:textId="77777777" w:rsidR="000D2247" w:rsidRPr="00103DBC" w:rsidRDefault="000D2247" w:rsidP="00103DBC">
            <w:pPr>
              <w:rPr>
                <w:b/>
              </w:rPr>
            </w:pPr>
          </w:p>
          <w:p w14:paraId="0E1E7A32" w14:textId="77777777" w:rsidR="000D2247" w:rsidRPr="00103DBC" w:rsidRDefault="000D2247" w:rsidP="00103DBC">
            <w:pPr>
              <w:rPr>
                <w:b/>
              </w:rPr>
            </w:pPr>
          </w:p>
        </w:tc>
      </w:tr>
      <w:tr w:rsidR="00103DBC" w:rsidRPr="00103DBC" w14:paraId="6369FA83" w14:textId="77777777" w:rsidTr="00B34530">
        <w:tc>
          <w:tcPr>
            <w:tcW w:w="1844" w:type="dxa"/>
          </w:tcPr>
          <w:p w14:paraId="0E1CCC9B" w14:textId="77777777" w:rsidR="000D2247" w:rsidRPr="00103DBC" w:rsidRDefault="000D2247" w:rsidP="00103DBC">
            <w:r w:rsidRPr="00103DBC">
              <w:t xml:space="preserve">Update: </w:t>
            </w:r>
          </w:p>
          <w:p w14:paraId="01E2096A" w14:textId="77777777" w:rsidR="000D2247" w:rsidRPr="00103DBC" w:rsidRDefault="000D2247" w:rsidP="00103DBC">
            <w:r w:rsidRPr="00103DBC">
              <w:t>Made: xx/xx/xx</w:t>
            </w:r>
          </w:p>
        </w:tc>
        <w:tc>
          <w:tcPr>
            <w:tcW w:w="8079" w:type="dxa"/>
          </w:tcPr>
          <w:p w14:paraId="578FD656" w14:textId="77777777" w:rsidR="000D2247" w:rsidRPr="00103DBC" w:rsidRDefault="000D2247" w:rsidP="00103DBC">
            <w:pPr>
              <w:rPr>
                <w:b/>
              </w:rPr>
            </w:pPr>
          </w:p>
          <w:p w14:paraId="441E8F3D" w14:textId="77777777" w:rsidR="000D2247" w:rsidRPr="00103DBC" w:rsidRDefault="000D2247" w:rsidP="00103DBC">
            <w:pPr>
              <w:rPr>
                <w:b/>
              </w:rPr>
            </w:pPr>
          </w:p>
        </w:tc>
      </w:tr>
      <w:tr w:rsidR="00A854FD" w:rsidRPr="00103DBC" w14:paraId="3946E4DD" w14:textId="77777777" w:rsidTr="00215C2E">
        <w:tc>
          <w:tcPr>
            <w:tcW w:w="1844" w:type="dxa"/>
          </w:tcPr>
          <w:p w14:paraId="73BC6E3F" w14:textId="77777777" w:rsidR="00A854FD" w:rsidRPr="00103DBC" w:rsidRDefault="00A854FD" w:rsidP="00103DBC">
            <w:r w:rsidRPr="00103DBC">
              <w:t>Rec Status:</w:t>
            </w:r>
          </w:p>
        </w:tc>
        <w:tc>
          <w:tcPr>
            <w:tcW w:w="8079" w:type="dxa"/>
          </w:tcPr>
          <w:p w14:paraId="6C27431F" w14:textId="0C8972F8" w:rsidR="00A854FD" w:rsidRPr="00103DBC" w:rsidRDefault="00A854FD" w:rsidP="00103DBC">
            <w:pPr>
              <w:jc w:val="center"/>
              <w:rPr>
                <w:b/>
              </w:rPr>
            </w:pPr>
          </w:p>
        </w:tc>
      </w:tr>
    </w:tbl>
    <w:p w14:paraId="6FC6BBA3" w14:textId="77777777" w:rsidR="000D2247" w:rsidRPr="00103DBC" w:rsidRDefault="000D2247"/>
    <w:tbl>
      <w:tblPr>
        <w:tblStyle w:val="TableGrid"/>
        <w:tblW w:w="9900" w:type="dxa"/>
        <w:tblLook w:val="01E0" w:firstRow="1" w:lastRow="1" w:firstColumn="1" w:lastColumn="1" w:noHBand="0" w:noVBand="0"/>
      </w:tblPr>
      <w:tblGrid>
        <w:gridCol w:w="9900"/>
      </w:tblGrid>
      <w:tr w:rsidR="00103DBC" w:rsidRPr="00103DBC" w14:paraId="04FB7235" w14:textId="77777777" w:rsidTr="00B34530">
        <w:tc>
          <w:tcPr>
            <w:tcW w:w="9900" w:type="dxa"/>
          </w:tcPr>
          <w:p w14:paraId="361955C0" w14:textId="77777777" w:rsidR="000D2247" w:rsidRPr="00103DBC" w:rsidRDefault="000D2247" w:rsidP="00103DBC">
            <w:pPr>
              <w:spacing w:before="120" w:after="120"/>
            </w:pPr>
            <w:r w:rsidRPr="00103DBC">
              <w:rPr>
                <w:b/>
              </w:rPr>
              <w:t>Item 8.2:</w:t>
            </w:r>
            <w:r w:rsidRPr="00103DBC">
              <w:t xml:space="preserve"> </w:t>
            </w:r>
            <w:r w:rsidRPr="00103DBC">
              <w:rPr>
                <w:b/>
              </w:rPr>
              <w:t>Decision</w:t>
            </w:r>
          </w:p>
        </w:tc>
      </w:tr>
      <w:tr w:rsidR="00103DBC" w:rsidRPr="00103DBC" w14:paraId="70238420" w14:textId="77777777" w:rsidTr="00B34530">
        <w:tc>
          <w:tcPr>
            <w:tcW w:w="9900" w:type="dxa"/>
          </w:tcPr>
          <w:p w14:paraId="3D590B5C" w14:textId="77777777" w:rsidR="000D2247" w:rsidRPr="00103DBC" w:rsidRDefault="000D2247" w:rsidP="00103DBC">
            <w:pPr>
              <w:rPr>
                <w:b/>
              </w:rPr>
            </w:pPr>
          </w:p>
          <w:p w14:paraId="1C15936D" w14:textId="77777777" w:rsidR="000D2247" w:rsidRPr="00103DBC" w:rsidRDefault="000D2247" w:rsidP="00103DBC">
            <w:pPr>
              <w:rPr>
                <w:b/>
              </w:rPr>
            </w:pPr>
            <w:r w:rsidRPr="00103DBC">
              <w:rPr>
                <w:b/>
              </w:rPr>
              <w:t>This indicator was recommended for discussion by IGB on completion of the above recommendations.</w:t>
            </w:r>
          </w:p>
          <w:p w14:paraId="02C58F9F" w14:textId="77777777" w:rsidR="000D2247" w:rsidRPr="00103DBC" w:rsidRDefault="000D2247" w:rsidP="00103DBC">
            <w:pPr>
              <w:rPr>
                <w:b/>
              </w:rPr>
            </w:pPr>
          </w:p>
        </w:tc>
      </w:tr>
    </w:tbl>
    <w:p w14:paraId="1D90B6C4" w14:textId="77777777" w:rsidR="000D2247" w:rsidRPr="00103DBC" w:rsidRDefault="000D2247"/>
    <w:p w14:paraId="53C0406A" w14:textId="77777777" w:rsidR="000D2247" w:rsidRPr="00103DBC" w:rsidRDefault="000D2247">
      <w:r w:rsidRPr="00103DBC">
        <w:br w:type="page"/>
      </w:r>
    </w:p>
    <w:p w14:paraId="1173F9BA" w14:textId="77777777" w:rsidR="000D2247" w:rsidRPr="00103DBC" w:rsidRDefault="000D2247" w:rsidP="00103DBC">
      <w:pPr>
        <w:ind w:left="-851"/>
      </w:pPr>
      <w:r w:rsidRPr="00103DBC">
        <w:lastRenderedPageBreak/>
        <w:t>Revision – 21/02/2014</w:t>
      </w:r>
    </w:p>
    <w:p w14:paraId="29401888" w14:textId="77777777" w:rsidR="000D2247" w:rsidRPr="00103DBC" w:rsidRDefault="000D2247" w:rsidP="00103DBC">
      <w:pPr>
        <w:spacing w:after="200" w:line="276" w:lineRule="auto"/>
        <w:rPr>
          <w:b/>
        </w:rPr>
      </w:pPr>
    </w:p>
    <w:p w14:paraId="1AF9E995" w14:textId="77777777" w:rsidR="000D2247" w:rsidRPr="00103DBC" w:rsidRDefault="000D2247" w:rsidP="00103DBC">
      <w:pPr>
        <w:spacing w:after="200" w:line="276" w:lineRule="auto"/>
        <w:rPr>
          <w:b/>
        </w:rPr>
      </w:pPr>
      <w:r w:rsidRPr="00103DBC">
        <w:rPr>
          <w:b/>
        </w:rPr>
        <w:t xml:space="preserve">Correction to an application previously assured by MRG.  </w:t>
      </w:r>
    </w:p>
    <w:p w14:paraId="0082BA3F" w14:textId="77777777" w:rsidR="000D2247" w:rsidRPr="00103DBC" w:rsidRDefault="000D2247" w:rsidP="00103DBC">
      <w:pPr>
        <w:spacing w:after="200" w:line="276" w:lineRule="auto"/>
      </w:pPr>
      <w:r w:rsidRPr="00103DBC">
        <w:t>This paper concerns the CCGOIS indicator number 3.17 Proportion of adults in contact with secondary mental health services in paid employment.  (Indicator Assurance reference IAP00338)</w:t>
      </w:r>
    </w:p>
    <w:p w14:paraId="322FB072" w14:textId="77777777" w:rsidR="000D2247" w:rsidRPr="00103DBC" w:rsidRDefault="000D2247" w:rsidP="00103DBC">
      <w:pPr>
        <w:spacing w:after="200" w:line="276" w:lineRule="auto"/>
      </w:pPr>
      <w:r w:rsidRPr="00103DBC">
        <w:t>The indicator was presented to MRG on 20</w:t>
      </w:r>
      <w:r w:rsidRPr="00103DBC">
        <w:rPr>
          <w:vertAlign w:val="superscript"/>
        </w:rPr>
        <w:t>th</w:t>
      </w:r>
      <w:r w:rsidRPr="00103DBC">
        <w:t xml:space="preserve"> September and 18</w:t>
      </w:r>
      <w:r w:rsidRPr="00103DBC">
        <w:rPr>
          <w:vertAlign w:val="superscript"/>
        </w:rPr>
        <w:t>th</w:t>
      </w:r>
      <w:r w:rsidRPr="00103DBC">
        <w:t xml:space="preserve"> October 2013 when it was recommended to progress to IGB.  Before presentation to IGB, an error came to light in the explanation of data quality.  As a result, IGB requested that the indicator return to MRG for the specific issue of data quality to be re-considered.  </w:t>
      </w:r>
    </w:p>
    <w:p w14:paraId="6A90C9AC" w14:textId="77777777" w:rsidR="000D2247" w:rsidRPr="00103DBC" w:rsidRDefault="000D2247" w:rsidP="00103DBC">
      <w:pPr>
        <w:spacing w:after="200" w:line="276" w:lineRule="auto"/>
      </w:pPr>
    </w:p>
    <w:p w14:paraId="4F95C308" w14:textId="77777777" w:rsidR="000D2247" w:rsidRPr="00103DBC" w:rsidRDefault="000D2247" w:rsidP="000D2247">
      <w:pPr>
        <w:numPr>
          <w:ilvl w:val="0"/>
          <w:numId w:val="28"/>
        </w:numPr>
        <w:spacing w:after="200" w:line="276" w:lineRule="auto"/>
        <w:ind w:left="0" w:hanging="567"/>
        <w:contextualSpacing/>
      </w:pPr>
      <w:r w:rsidRPr="00103DBC">
        <w:rPr>
          <w:b/>
        </w:rPr>
        <w:t>Background</w:t>
      </w:r>
    </w:p>
    <w:p w14:paraId="3F67EF82" w14:textId="77777777" w:rsidR="000D2247" w:rsidRPr="00103DBC" w:rsidRDefault="000D2247" w:rsidP="00103DBC">
      <w:pPr>
        <w:spacing w:after="200" w:line="276" w:lineRule="auto"/>
        <w:ind w:left="-567" w:firstLine="567"/>
        <w:rPr>
          <w:u w:val="single"/>
        </w:rPr>
      </w:pPr>
      <w:r w:rsidRPr="00103DBC">
        <w:t xml:space="preserve">This section contains extracts from the original MRG papers as context: </w:t>
      </w:r>
    </w:p>
    <w:p w14:paraId="115C33C2" w14:textId="77777777" w:rsidR="000D2247" w:rsidRPr="00103DBC" w:rsidRDefault="000D2247" w:rsidP="00103DBC">
      <w:pPr>
        <w:spacing w:line="276" w:lineRule="auto"/>
        <w:ind w:hanging="567"/>
      </w:pPr>
      <w:r w:rsidRPr="00103DBC">
        <w:t>1.1</w:t>
      </w:r>
      <w:r w:rsidRPr="00103DBC">
        <w:tab/>
        <w:t xml:space="preserve">Extract from the rationale for the indicator </w:t>
      </w:r>
    </w:p>
    <w:p w14:paraId="193A51AD" w14:textId="77777777" w:rsidR="000D2247" w:rsidRPr="00103DBC" w:rsidRDefault="000D2247" w:rsidP="00103DBC">
      <w:pPr>
        <w:spacing w:after="200" w:line="276" w:lineRule="auto"/>
      </w:pPr>
      <w:r w:rsidRPr="00103DBC">
        <w:t>“The indicator is intended to measure improved employment outcomes for adults with mental health problems, reducing their risk of social exclusion and discrimination.  Supporting someone with their employment aspirations is a key part of the recovery process.</w:t>
      </w:r>
    </w:p>
    <w:p w14:paraId="6D5C162A" w14:textId="77777777" w:rsidR="000D2247" w:rsidRPr="00103DBC" w:rsidRDefault="000D2247" w:rsidP="00103DBC">
      <w:pPr>
        <w:spacing w:after="200" w:line="276" w:lineRule="auto"/>
      </w:pPr>
      <w:r w:rsidRPr="00103DBC">
        <w:t>CCGs could work with local authorities through health and well-being boards and other organisations to improve the opportunities for people with long-term mental health conditions to find suitable employment opportunities.  This indicator could also help inform CCGs about the type, level, intensity and quantity of mental health services they need to commission.”</w:t>
      </w:r>
    </w:p>
    <w:p w14:paraId="00CB2B91" w14:textId="77777777" w:rsidR="000D2247" w:rsidRPr="00103DBC" w:rsidRDefault="000D2247" w:rsidP="00103DBC">
      <w:pPr>
        <w:spacing w:line="276" w:lineRule="auto"/>
        <w:ind w:hanging="567"/>
      </w:pPr>
      <w:r w:rsidRPr="00103DBC">
        <w:t>1.2</w:t>
      </w:r>
      <w:r w:rsidRPr="00103DBC">
        <w:tab/>
        <w:t>Construction</w:t>
      </w:r>
    </w:p>
    <w:p w14:paraId="0D531925" w14:textId="77777777" w:rsidR="000D2247" w:rsidRPr="00103DBC" w:rsidRDefault="000D2247" w:rsidP="00103DBC">
      <w:pPr>
        <w:spacing w:line="276" w:lineRule="auto"/>
      </w:pPr>
      <w:r w:rsidRPr="00103DBC">
        <w:rPr>
          <w:u w:val="single"/>
        </w:rPr>
        <w:t>“Denominator:</w:t>
      </w:r>
      <w:r w:rsidRPr="00103DBC">
        <w:t xml:space="preserve"> The number of working age adults aged 18 to 69 who have received secondary mental health services at any point during the quarter.</w:t>
      </w:r>
    </w:p>
    <w:p w14:paraId="47F84E26" w14:textId="77777777" w:rsidR="000D2247" w:rsidRPr="00103DBC" w:rsidRDefault="000D2247" w:rsidP="00103DBC">
      <w:pPr>
        <w:spacing w:line="276" w:lineRule="auto"/>
      </w:pPr>
    </w:p>
    <w:p w14:paraId="1BDAE581" w14:textId="77777777" w:rsidR="000D2247" w:rsidRPr="00103DBC" w:rsidRDefault="000D2247" w:rsidP="00103DBC">
      <w:pPr>
        <w:spacing w:line="276" w:lineRule="auto"/>
      </w:pPr>
      <w:r w:rsidRPr="00103DBC">
        <w:t xml:space="preserve">Working age is defined as ages 18 to 69.  This matches the age range for a measure that has been used historically and therefore maintains a time series.  </w:t>
      </w:r>
    </w:p>
    <w:p w14:paraId="37A351FE" w14:textId="77777777" w:rsidR="000D2247" w:rsidRPr="00103DBC" w:rsidRDefault="000D2247" w:rsidP="00103DBC">
      <w:pPr>
        <w:spacing w:line="276" w:lineRule="auto"/>
      </w:pPr>
    </w:p>
    <w:p w14:paraId="0F8D45BB" w14:textId="77777777" w:rsidR="000D2247" w:rsidRPr="00103DBC" w:rsidRDefault="000D2247" w:rsidP="00103DBC">
      <w:pPr>
        <w:spacing w:line="276" w:lineRule="auto"/>
      </w:pPr>
      <w:r w:rsidRPr="00103DBC">
        <w:t>Secondary mental health services are any mental health services provided in a secondary care setting, including inpatient and outpatient care and care provided by community mental health teams.</w:t>
      </w:r>
    </w:p>
    <w:p w14:paraId="39B8E336" w14:textId="77777777" w:rsidR="000D2247" w:rsidRPr="00103DBC" w:rsidRDefault="000D2247" w:rsidP="00103DBC">
      <w:pPr>
        <w:spacing w:line="276" w:lineRule="auto"/>
      </w:pPr>
    </w:p>
    <w:p w14:paraId="04F16503" w14:textId="77777777" w:rsidR="000D2247" w:rsidRPr="00103DBC" w:rsidRDefault="000D2247" w:rsidP="00103DBC">
      <w:pPr>
        <w:spacing w:after="200" w:line="276" w:lineRule="auto"/>
      </w:pPr>
      <w:r w:rsidRPr="00103DBC">
        <w:rPr>
          <w:u w:val="single"/>
        </w:rPr>
        <w:t>Numerator:</w:t>
      </w:r>
      <w:r w:rsidRPr="00103DBC">
        <w:t xml:space="preserve"> Of people in the denominator, the number recorded as being in employment at their most recent assessment, formal review or other multi-disciplinary care planning meeting.</w:t>
      </w:r>
    </w:p>
    <w:p w14:paraId="3BBCE820" w14:textId="77777777" w:rsidR="000D2247" w:rsidRPr="00103DBC" w:rsidRDefault="000D2247" w:rsidP="00103DBC">
      <w:pPr>
        <w:spacing w:after="200" w:line="276" w:lineRule="auto"/>
      </w:pPr>
      <w:r w:rsidRPr="00103DBC">
        <w:t>The measure is focused on ‘paid’ employment, to be clear that voluntary work is to be excluded for the purposes of this measure.  Employment status is recorded using the following categories:</w:t>
      </w:r>
    </w:p>
    <w:p w14:paraId="5921EAC4" w14:textId="77777777" w:rsidR="000D2247" w:rsidRPr="00103DBC" w:rsidRDefault="000D2247" w:rsidP="000D2247">
      <w:pPr>
        <w:numPr>
          <w:ilvl w:val="0"/>
          <w:numId w:val="17"/>
        </w:numPr>
        <w:spacing w:after="200" w:line="276" w:lineRule="auto"/>
        <w:contextualSpacing/>
      </w:pPr>
      <w:r w:rsidRPr="00103DBC">
        <w:t>01 Employed</w:t>
      </w:r>
    </w:p>
    <w:p w14:paraId="05384490" w14:textId="77777777" w:rsidR="000D2247" w:rsidRPr="00103DBC" w:rsidRDefault="000D2247" w:rsidP="000D2247">
      <w:pPr>
        <w:numPr>
          <w:ilvl w:val="0"/>
          <w:numId w:val="17"/>
        </w:numPr>
        <w:spacing w:after="200" w:line="276" w:lineRule="auto"/>
        <w:contextualSpacing/>
      </w:pPr>
      <w:r w:rsidRPr="00103DBC">
        <w:t>02 Unemployed and Seeking Work</w:t>
      </w:r>
    </w:p>
    <w:p w14:paraId="5AAAF63E" w14:textId="77777777" w:rsidR="000D2247" w:rsidRPr="00103DBC" w:rsidRDefault="000D2247" w:rsidP="000D2247">
      <w:pPr>
        <w:numPr>
          <w:ilvl w:val="0"/>
          <w:numId w:val="17"/>
        </w:numPr>
        <w:spacing w:after="200" w:line="276" w:lineRule="auto"/>
        <w:contextualSpacing/>
      </w:pPr>
      <w:r w:rsidRPr="00103DBC">
        <w:lastRenderedPageBreak/>
        <w:t>03 Students who are undertaking full (at least 16 hours per week) or part-time (less than 16 hours per week) education or training and who are not working or actively seeking work</w:t>
      </w:r>
    </w:p>
    <w:p w14:paraId="6BB58F9F" w14:textId="77777777" w:rsidR="000D2247" w:rsidRPr="00103DBC" w:rsidRDefault="000D2247" w:rsidP="000D2247">
      <w:pPr>
        <w:numPr>
          <w:ilvl w:val="0"/>
          <w:numId w:val="17"/>
        </w:numPr>
        <w:spacing w:after="200" w:line="276" w:lineRule="auto"/>
        <w:contextualSpacing/>
      </w:pPr>
      <w:r w:rsidRPr="00103DBC">
        <w:t xml:space="preserve">04 Long-term sick or disabled, those who are receiving Incapacity Benefit, Income Support or </w:t>
      </w:r>
      <w:proofErr w:type="gramStart"/>
      <w:r w:rsidRPr="00103DBC">
        <w:t>both;</w:t>
      </w:r>
      <w:proofErr w:type="gramEnd"/>
      <w:r w:rsidRPr="00103DBC">
        <w:t xml:space="preserve"> or Employment and Support Allowance</w:t>
      </w:r>
    </w:p>
    <w:p w14:paraId="2F53C491" w14:textId="77777777" w:rsidR="000D2247" w:rsidRPr="00103DBC" w:rsidRDefault="000D2247" w:rsidP="000D2247">
      <w:pPr>
        <w:numPr>
          <w:ilvl w:val="0"/>
          <w:numId w:val="17"/>
        </w:numPr>
        <w:spacing w:after="200" w:line="276" w:lineRule="auto"/>
        <w:contextualSpacing/>
      </w:pPr>
      <w:r w:rsidRPr="00103DBC">
        <w:t>05 Homemaker looking after the family or home and who are not working or actively seeking work</w:t>
      </w:r>
    </w:p>
    <w:p w14:paraId="3BA8C79E" w14:textId="77777777" w:rsidR="000D2247" w:rsidRPr="00103DBC" w:rsidRDefault="000D2247" w:rsidP="000D2247">
      <w:pPr>
        <w:numPr>
          <w:ilvl w:val="0"/>
          <w:numId w:val="17"/>
        </w:numPr>
        <w:spacing w:after="200" w:line="276" w:lineRule="auto"/>
        <w:contextualSpacing/>
      </w:pPr>
      <w:r w:rsidRPr="00103DBC">
        <w:t>06 Not receiving benefits and who are not working or actively seeking work</w:t>
      </w:r>
    </w:p>
    <w:p w14:paraId="54FEC32D" w14:textId="77777777" w:rsidR="000D2247" w:rsidRPr="00103DBC" w:rsidRDefault="000D2247" w:rsidP="000D2247">
      <w:pPr>
        <w:numPr>
          <w:ilvl w:val="0"/>
          <w:numId w:val="17"/>
        </w:numPr>
        <w:spacing w:after="200" w:line="276" w:lineRule="auto"/>
        <w:contextualSpacing/>
      </w:pPr>
      <w:r w:rsidRPr="00103DBC">
        <w:t>07 Unpaid voluntary work who are not working or actively seeking work</w:t>
      </w:r>
    </w:p>
    <w:p w14:paraId="4C9279D3" w14:textId="77777777" w:rsidR="000D2247" w:rsidRPr="00103DBC" w:rsidRDefault="000D2247" w:rsidP="000D2247">
      <w:pPr>
        <w:numPr>
          <w:ilvl w:val="0"/>
          <w:numId w:val="17"/>
        </w:numPr>
        <w:spacing w:after="200" w:line="276" w:lineRule="auto"/>
        <w:contextualSpacing/>
      </w:pPr>
      <w:r w:rsidRPr="00103DBC">
        <w:t>08 Retired</w:t>
      </w:r>
    </w:p>
    <w:p w14:paraId="2A5883BF" w14:textId="77777777" w:rsidR="000D2247" w:rsidRPr="00103DBC" w:rsidRDefault="000D2247" w:rsidP="000D2247">
      <w:pPr>
        <w:numPr>
          <w:ilvl w:val="0"/>
          <w:numId w:val="17"/>
        </w:numPr>
        <w:spacing w:after="200" w:line="276" w:lineRule="auto"/>
        <w:contextualSpacing/>
      </w:pPr>
      <w:r w:rsidRPr="00103DBC">
        <w:t xml:space="preserve">ZZ Not Stated (person asked but declined to provide a response) </w:t>
      </w:r>
    </w:p>
    <w:p w14:paraId="20C3060A" w14:textId="77777777" w:rsidR="000D2247" w:rsidRPr="00103DBC" w:rsidRDefault="000D2247" w:rsidP="00103DBC">
      <w:pPr>
        <w:spacing w:after="200" w:line="276" w:lineRule="auto"/>
      </w:pPr>
    </w:p>
    <w:p w14:paraId="74CB6454" w14:textId="77777777" w:rsidR="000D2247" w:rsidRPr="00103DBC" w:rsidRDefault="000D2247" w:rsidP="00103DBC">
      <w:pPr>
        <w:spacing w:after="200" w:line="276" w:lineRule="auto"/>
      </w:pPr>
      <w:r w:rsidRPr="00103DBC">
        <w:t>Paid employment for this indicator is 01.  In employment means either an employee, self-employed, on Government employment &amp; training programmes, or an unpaid family worker (in a family owned business) (this is the International Labour Organization definition of basic economic activity).</w:t>
      </w:r>
    </w:p>
    <w:p w14:paraId="39D4DB49" w14:textId="77777777" w:rsidR="000D2247" w:rsidRPr="00103DBC" w:rsidRDefault="000D2247" w:rsidP="00103DBC">
      <w:pPr>
        <w:spacing w:after="200" w:line="276" w:lineRule="auto"/>
      </w:pPr>
      <w:r w:rsidRPr="00103DBC">
        <w:t xml:space="preserve">The indicator is not standardised.”  </w:t>
      </w:r>
    </w:p>
    <w:p w14:paraId="35ED413C" w14:textId="77777777" w:rsidR="000D2247" w:rsidRPr="00103DBC" w:rsidRDefault="000D2247" w:rsidP="00103DBC">
      <w:pPr>
        <w:spacing w:after="200" w:line="276" w:lineRule="auto"/>
      </w:pPr>
    </w:p>
    <w:p w14:paraId="69EC59BC" w14:textId="77777777" w:rsidR="000D2247" w:rsidRPr="00103DBC" w:rsidRDefault="000D2247" w:rsidP="000D2247">
      <w:pPr>
        <w:numPr>
          <w:ilvl w:val="0"/>
          <w:numId w:val="28"/>
        </w:numPr>
        <w:spacing w:after="200" w:line="276" w:lineRule="auto"/>
        <w:ind w:left="0" w:hanging="567"/>
        <w:contextualSpacing/>
      </w:pPr>
      <w:r w:rsidRPr="00103DBC">
        <w:rPr>
          <w:b/>
        </w:rPr>
        <w:t>Issue for correction</w:t>
      </w:r>
      <w:r w:rsidRPr="00103DBC">
        <w:t xml:space="preserve"> </w:t>
      </w:r>
    </w:p>
    <w:p w14:paraId="2B3B7151" w14:textId="77777777" w:rsidR="000D2247" w:rsidRPr="00103DBC" w:rsidRDefault="000D2247" w:rsidP="00103DBC">
      <w:pPr>
        <w:spacing w:after="200" w:line="276" w:lineRule="auto"/>
        <w:ind w:hanging="567"/>
      </w:pPr>
      <w:r w:rsidRPr="00103DBC">
        <w:t>2.1</w:t>
      </w:r>
      <w:r w:rsidRPr="00103DBC">
        <w:tab/>
        <w:t>In the application presented to MRG it was stated that “</w:t>
      </w:r>
      <w:r w:rsidRPr="00103DBC">
        <w:rPr>
          <w:i/>
        </w:rPr>
        <w:t>The completeness of employment status within MHMDS is around 92% (June 2013)”.</w:t>
      </w:r>
      <w:r w:rsidRPr="00103DBC">
        <w:t xml:space="preserve">  This has been found to be incorrect.  The figure of 92% relates to the percentage of valid employment codes, where submitted by the Mental Health Provider.  This is different from the overall data completeness for this field which was 38% for the twelve months to the end of July 2013.  </w:t>
      </w:r>
    </w:p>
    <w:p w14:paraId="2276F91C" w14:textId="77777777" w:rsidR="000D2247" w:rsidRPr="00103DBC" w:rsidRDefault="000D2247" w:rsidP="00103DBC">
      <w:pPr>
        <w:spacing w:after="200" w:line="276" w:lineRule="auto"/>
        <w:ind w:hanging="567"/>
      </w:pPr>
      <w:r w:rsidRPr="00103DBC">
        <w:t>2.2</w:t>
      </w:r>
      <w:r w:rsidRPr="00103DBC">
        <w:tab/>
        <w:t xml:space="preserve">Employment status is a ‘required’ field in the MHMDS; this means that if the patient’s employment status is recorded then it must be submitted.  Clinical guidance recommends that the check on a patient’s employment status should be carried out annually; hence the status should be recorded and submitted once per year. </w:t>
      </w:r>
    </w:p>
    <w:p w14:paraId="493F61FE" w14:textId="1E702082" w:rsidR="000D2247" w:rsidRPr="00103DBC" w:rsidRDefault="000D2247" w:rsidP="00103DBC">
      <w:pPr>
        <w:spacing w:after="200" w:line="276" w:lineRule="auto"/>
        <w:ind w:hanging="567"/>
      </w:pPr>
      <w:r w:rsidRPr="00103DBC">
        <w:t>2.3</w:t>
      </w:r>
      <w:r w:rsidRPr="00103DBC">
        <w:tab/>
        <w:t xml:space="preserve">SDS and the Mental Health team have undertaken some additional work in this area as part of an external commitment to provide data focussed on people with serious mental illness (SMI).  By investigating the numbers of people with SMI who are in paid employment it has highlighted that the completeness of the employment status field increases to 54% for those with SMI.  This </w:t>
      </w:r>
      <w:proofErr w:type="gramStart"/>
      <w:r w:rsidRPr="00103DBC">
        <w:t>is a reflection of</w:t>
      </w:r>
      <w:proofErr w:type="gramEnd"/>
      <w:r w:rsidRPr="00103DBC">
        <w:t xml:space="preserve"> policy direction from 2008 which has measured the employment status for patients that were on the Care Programme Approach (CPA), i.e. those patients with more serious illness.  Policy direction has moved away from focussing on patients on CPA to all patients in contact with mental health services, for this and other MH indicators.   </w:t>
      </w:r>
    </w:p>
    <w:p w14:paraId="4E9BCAE1" w14:textId="49C307A8" w:rsidR="000D2247" w:rsidRPr="00103DBC" w:rsidRDefault="000D2247" w:rsidP="00103DBC">
      <w:pPr>
        <w:spacing w:after="200" w:line="276" w:lineRule="auto"/>
        <w:ind w:hanging="567"/>
      </w:pPr>
    </w:p>
    <w:p w14:paraId="5A09A3C7" w14:textId="3EDCEAC6" w:rsidR="000D2247" w:rsidRPr="00103DBC" w:rsidRDefault="000D2247" w:rsidP="00103DBC">
      <w:pPr>
        <w:spacing w:after="200" w:line="276" w:lineRule="auto"/>
        <w:ind w:hanging="567"/>
      </w:pPr>
    </w:p>
    <w:p w14:paraId="3C2793D5" w14:textId="77777777" w:rsidR="000D2247" w:rsidRPr="00103DBC" w:rsidRDefault="000D2247" w:rsidP="00103DBC">
      <w:pPr>
        <w:spacing w:after="200" w:line="276" w:lineRule="auto"/>
        <w:ind w:hanging="567"/>
      </w:pPr>
    </w:p>
    <w:p w14:paraId="1F9F174E" w14:textId="77777777" w:rsidR="000D2247" w:rsidRPr="00103DBC" w:rsidRDefault="000D2247" w:rsidP="00103DBC">
      <w:pPr>
        <w:spacing w:after="200" w:line="276" w:lineRule="auto"/>
      </w:pPr>
      <w:r w:rsidRPr="00103DBC">
        <w:lastRenderedPageBreak/>
        <w:t>Table 1: Data to show the comparison between all MHMDS patients and those with SMI is shown below:</w:t>
      </w:r>
    </w:p>
    <w:tbl>
      <w:tblPr>
        <w:tblStyle w:val="TableGrid1"/>
        <w:tblW w:w="0" w:type="auto"/>
        <w:tblLook w:val="04A0" w:firstRow="1" w:lastRow="0" w:firstColumn="1" w:lastColumn="0" w:noHBand="0" w:noVBand="1"/>
      </w:tblPr>
      <w:tblGrid>
        <w:gridCol w:w="1459"/>
        <w:gridCol w:w="1459"/>
        <w:gridCol w:w="1521"/>
        <w:gridCol w:w="1521"/>
        <w:gridCol w:w="1534"/>
        <w:gridCol w:w="1522"/>
      </w:tblGrid>
      <w:tr w:rsidR="00103DBC" w:rsidRPr="00103DBC" w14:paraId="64A4CF02" w14:textId="77777777" w:rsidTr="00103DBC">
        <w:tc>
          <w:tcPr>
            <w:tcW w:w="1540" w:type="dxa"/>
          </w:tcPr>
          <w:p w14:paraId="354DD07F" w14:textId="77777777" w:rsidR="000D2247" w:rsidRPr="00103DBC" w:rsidRDefault="000D2247" w:rsidP="00103DBC"/>
        </w:tc>
        <w:tc>
          <w:tcPr>
            <w:tcW w:w="1540" w:type="dxa"/>
          </w:tcPr>
          <w:p w14:paraId="054464B8" w14:textId="77777777" w:rsidR="000D2247" w:rsidRPr="00103DBC" w:rsidRDefault="000D2247" w:rsidP="00103DBC">
            <w:pPr>
              <w:jc w:val="center"/>
            </w:pPr>
            <w:r w:rsidRPr="00103DBC">
              <w:t>Number of spells</w:t>
            </w:r>
            <w:r w:rsidRPr="00103DBC">
              <w:rPr>
                <w:vertAlign w:val="superscript"/>
              </w:rPr>
              <w:t>1</w:t>
            </w:r>
          </w:p>
        </w:tc>
        <w:tc>
          <w:tcPr>
            <w:tcW w:w="1540" w:type="dxa"/>
          </w:tcPr>
          <w:p w14:paraId="2BD88C62" w14:textId="77777777" w:rsidR="000D2247" w:rsidRPr="00103DBC" w:rsidRDefault="000D2247" w:rsidP="00103DBC">
            <w:pPr>
              <w:jc w:val="center"/>
            </w:pPr>
            <w:r w:rsidRPr="00103DBC">
              <w:t>Number with employment recorded</w:t>
            </w:r>
            <w:r w:rsidRPr="00103DBC">
              <w:rPr>
                <w:vertAlign w:val="superscript"/>
              </w:rPr>
              <w:t>2</w:t>
            </w:r>
          </w:p>
        </w:tc>
        <w:tc>
          <w:tcPr>
            <w:tcW w:w="1540" w:type="dxa"/>
          </w:tcPr>
          <w:p w14:paraId="2D8E6584" w14:textId="77777777" w:rsidR="000D2247" w:rsidRPr="00103DBC" w:rsidRDefault="000D2247" w:rsidP="00103DBC">
            <w:pPr>
              <w:jc w:val="center"/>
            </w:pPr>
            <w:r w:rsidRPr="00103DBC">
              <w:t>Percent with employment recorded</w:t>
            </w:r>
          </w:p>
        </w:tc>
        <w:tc>
          <w:tcPr>
            <w:tcW w:w="1541" w:type="dxa"/>
          </w:tcPr>
          <w:p w14:paraId="4AD95198" w14:textId="77777777" w:rsidR="000D2247" w:rsidRPr="00103DBC" w:rsidRDefault="000D2247" w:rsidP="00103DBC">
            <w:pPr>
              <w:jc w:val="center"/>
            </w:pPr>
            <w:r w:rsidRPr="00103DBC">
              <w:t>Number in employment</w:t>
            </w:r>
            <w:r w:rsidRPr="00103DBC">
              <w:rPr>
                <w:vertAlign w:val="superscript"/>
              </w:rPr>
              <w:t>3</w:t>
            </w:r>
          </w:p>
        </w:tc>
        <w:tc>
          <w:tcPr>
            <w:tcW w:w="1541" w:type="dxa"/>
          </w:tcPr>
          <w:p w14:paraId="0E1C097E" w14:textId="77777777" w:rsidR="000D2247" w:rsidRPr="00103DBC" w:rsidRDefault="000D2247" w:rsidP="00103DBC">
            <w:pPr>
              <w:jc w:val="center"/>
            </w:pPr>
            <w:r w:rsidRPr="00103DBC">
              <w:t>Percent in employment</w:t>
            </w:r>
          </w:p>
        </w:tc>
      </w:tr>
      <w:tr w:rsidR="00103DBC" w:rsidRPr="00103DBC" w14:paraId="5FA08230" w14:textId="77777777" w:rsidTr="00103DBC">
        <w:tc>
          <w:tcPr>
            <w:tcW w:w="1540" w:type="dxa"/>
          </w:tcPr>
          <w:p w14:paraId="21A66E53" w14:textId="77777777" w:rsidR="000D2247" w:rsidRPr="00103DBC" w:rsidRDefault="000D2247" w:rsidP="00103DBC">
            <w:r w:rsidRPr="00103DBC">
              <w:t>All patients</w:t>
            </w:r>
          </w:p>
        </w:tc>
        <w:tc>
          <w:tcPr>
            <w:tcW w:w="1540" w:type="dxa"/>
          </w:tcPr>
          <w:p w14:paraId="08E31D87" w14:textId="77777777" w:rsidR="000D2247" w:rsidRPr="00103DBC" w:rsidRDefault="000D2247" w:rsidP="00103DBC">
            <w:pPr>
              <w:jc w:val="right"/>
            </w:pPr>
            <w:r w:rsidRPr="00103DBC">
              <w:t>610,048</w:t>
            </w:r>
          </w:p>
        </w:tc>
        <w:tc>
          <w:tcPr>
            <w:tcW w:w="1540" w:type="dxa"/>
          </w:tcPr>
          <w:p w14:paraId="0BF08070" w14:textId="77777777" w:rsidR="000D2247" w:rsidRPr="00103DBC" w:rsidRDefault="000D2247" w:rsidP="00103DBC">
            <w:pPr>
              <w:jc w:val="right"/>
            </w:pPr>
            <w:r w:rsidRPr="00103DBC">
              <w:t>229,823</w:t>
            </w:r>
          </w:p>
        </w:tc>
        <w:tc>
          <w:tcPr>
            <w:tcW w:w="1540" w:type="dxa"/>
          </w:tcPr>
          <w:p w14:paraId="247C0B9A" w14:textId="77777777" w:rsidR="000D2247" w:rsidRPr="00103DBC" w:rsidRDefault="000D2247" w:rsidP="00103DBC">
            <w:pPr>
              <w:jc w:val="right"/>
            </w:pPr>
            <w:r w:rsidRPr="00103DBC">
              <w:t>37.67%</w:t>
            </w:r>
          </w:p>
        </w:tc>
        <w:tc>
          <w:tcPr>
            <w:tcW w:w="1541" w:type="dxa"/>
          </w:tcPr>
          <w:p w14:paraId="45D5CE4A" w14:textId="77777777" w:rsidR="000D2247" w:rsidRPr="00103DBC" w:rsidRDefault="000D2247" w:rsidP="00103DBC">
            <w:pPr>
              <w:jc w:val="right"/>
            </w:pPr>
            <w:r w:rsidRPr="00103DBC">
              <w:t>37,330</w:t>
            </w:r>
          </w:p>
        </w:tc>
        <w:tc>
          <w:tcPr>
            <w:tcW w:w="1541" w:type="dxa"/>
          </w:tcPr>
          <w:p w14:paraId="3657C154" w14:textId="77777777" w:rsidR="000D2247" w:rsidRPr="00103DBC" w:rsidRDefault="000D2247" w:rsidP="00103DBC">
            <w:pPr>
              <w:jc w:val="right"/>
            </w:pPr>
            <w:r w:rsidRPr="00103DBC">
              <w:t>6.12%</w:t>
            </w:r>
          </w:p>
        </w:tc>
      </w:tr>
      <w:tr w:rsidR="00103DBC" w:rsidRPr="00103DBC" w14:paraId="7AD29BA6" w14:textId="77777777" w:rsidTr="00103DBC">
        <w:tc>
          <w:tcPr>
            <w:tcW w:w="1540" w:type="dxa"/>
          </w:tcPr>
          <w:p w14:paraId="2BAF6100" w14:textId="77777777" w:rsidR="000D2247" w:rsidRPr="00103DBC" w:rsidRDefault="000D2247" w:rsidP="00103DBC">
            <w:r w:rsidRPr="00103DBC">
              <w:t>Patients with SMI</w:t>
            </w:r>
          </w:p>
        </w:tc>
        <w:tc>
          <w:tcPr>
            <w:tcW w:w="1540" w:type="dxa"/>
          </w:tcPr>
          <w:p w14:paraId="0229169E" w14:textId="77777777" w:rsidR="000D2247" w:rsidRPr="00103DBC" w:rsidRDefault="000D2247" w:rsidP="00103DBC">
            <w:pPr>
              <w:jc w:val="right"/>
            </w:pPr>
            <w:r w:rsidRPr="00103DBC">
              <w:t>226,237</w:t>
            </w:r>
          </w:p>
        </w:tc>
        <w:tc>
          <w:tcPr>
            <w:tcW w:w="1540" w:type="dxa"/>
          </w:tcPr>
          <w:p w14:paraId="7D556829" w14:textId="77777777" w:rsidR="000D2247" w:rsidRPr="00103DBC" w:rsidRDefault="000D2247" w:rsidP="00103DBC">
            <w:pPr>
              <w:jc w:val="right"/>
            </w:pPr>
            <w:r w:rsidRPr="00103DBC">
              <w:t>124,192</w:t>
            </w:r>
          </w:p>
        </w:tc>
        <w:tc>
          <w:tcPr>
            <w:tcW w:w="1540" w:type="dxa"/>
          </w:tcPr>
          <w:p w14:paraId="5089F903" w14:textId="77777777" w:rsidR="000D2247" w:rsidRPr="00103DBC" w:rsidRDefault="000D2247" w:rsidP="00103DBC">
            <w:pPr>
              <w:jc w:val="right"/>
            </w:pPr>
            <w:r w:rsidRPr="00103DBC">
              <w:t>54.89%</w:t>
            </w:r>
          </w:p>
        </w:tc>
        <w:tc>
          <w:tcPr>
            <w:tcW w:w="1541" w:type="dxa"/>
          </w:tcPr>
          <w:p w14:paraId="5822CC45" w14:textId="77777777" w:rsidR="000D2247" w:rsidRPr="00103DBC" w:rsidRDefault="000D2247" w:rsidP="00103DBC">
            <w:pPr>
              <w:jc w:val="right"/>
            </w:pPr>
            <w:r w:rsidRPr="00103DBC">
              <w:t>12,773</w:t>
            </w:r>
          </w:p>
        </w:tc>
        <w:tc>
          <w:tcPr>
            <w:tcW w:w="1541" w:type="dxa"/>
          </w:tcPr>
          <w:p w14:paraId="4A034749" w14:textId="77777777" w:rsidR="000D2247" w:rsidRPr="00103DBC" w:rsidRDefault="000D2247" w:rsidP="00103DBC">
            <w:pPr>
              <w:jc w:val="right"/>
            </w:pPr>
            <w:r w:rsidRPr="00103DBC">
              <w:t>5.65%</w:t>
            </w:r>
          </w:p>
        </w:tc>
      </w:tr>
    </w:tbl>
    <w:p w14:paraId="7CAA313A" w14:textId="77777777" w:rsidR="000D2247" w:rsidRPr="00103DBC" w:rsidRDefault="000D2247" w:rsidP="00103DBC">
      <w:pPr>
        <w:spacing w:line="276" w:lineRule="auto"/>
      </w:pPr>
      <w:r w:rsidRPr="00103DBC">
        <w:rPr>
          <w:vertAlign w:val="superscript"/>
        </w:rPr>
        <w:t xml:space="preserve">1 </w:t>
      </w:r>
      <w:r w:rsidRPr="00103DBC">
        <w:t>Number of people aged 18-69 with an open Adult Mental Health Care Spell (spell) at the end of the month</w:t>
      </w:r>
    </w:p>
    <w:p w14:paraId="282F7D13" w14:textId="77777777" w:rsidR="000D2247" w:rsidRPr="00103DBC" w:rsidRDefault="000D2247" w:rsidP="00103DBC">
      <w:pPr>
        <w:spacing w:line="276" w:lineRule="auto"/>
        <w:ind w:left="142" w:hanging="142"/>
      </w:pPr>
      <w:r w:rsidRPr="00103DBC">
        <w:rPr>
          <w:vertAlign w:val="superscript"/>
        </w:rPr>
        <w:t xml:space="preserve">2 </w:t>
      </w:r>
      <w:r w:rsidRPr="00103DBC">
        <w:t>Number of people aged 18-69 with an open spell at the end of the month who had Employment Status recorded in the previous 12 months</w:t>
      </w:r>
    </w:p>
    <w:p w14:paraId="40DE173F" w14:textId="77777777" w:rsidR="000D2247" w:rsidRPr="00103DBC" w:rsidRDefault="000D2247" w:rsidP="00103DBC">
      <w:pPr>
        <w:spacing w:line="276" w:lineRule="auto"/>
        <w:ind w:left="142" w:hanging="142"/>
      </w:pPr>
      <w:r w:rsidRPr="00103DBC">
        <w:rPr>
          <w:vertAlign w:val="superscript"/>
        </w:rPr>
        <w:t xml:space="preserve">3 </w:t>
      </w:r>
      <w:r w:rsidRPr="00103DBC">
        <w:t xml:space="preserve">Number of people aged 18-69 with an open spell at the end of the month whose most recent record </w:t>
      </w:r>
      <w:proofErr w:type="gramStart"/>
      <w:r w:rsidRPr="00103DBC">
        <w:t>of  Employment</w:t>
      </w:r>
      <w:proofErr w:type="gramEnd"/>
      <w:r w:rsidRPr="00103DBC">
        <w:t xml:space="preserve"> Status  in the previous 12 months showed they were employed.</w:t>
      </w:r>
    </w:p>
    <w:p w14:paraId="232EA175" w14:textId="77777777" w:rsidR="000D2247" w:rsidRPr="00103DBC" w:rsidRDefault="000D2247" w:rsidP="00103DBC">
      <w:pPr>
        <w:spacing w:line="276" w:lineRule="auto"/>
      </w:pPr>
      <w:r w:rsidRPr="00103DBC">
        <w:rPr>
          <w:bCs/>
        </w:rPr>
        <w:t>Data source: Mental Health Minimum Dataset (MHMDS) YTD File July 2013</w:t>
      </w:r>
    </w:p>
    <w:p w14:paraId="4EF4C99D" w14:textId="77777777" w:rsidR="000D2247" w:rsidRPr="00103DBC" w:rsidRDefault="000D2247" w:rsidP="00103DBC">
      <w:pPr>
        <w:spacing w:after="200" w:line="276" w:lineRule="auto"/>
      </w:pPr>
    </w:p>
    <w:p w14:paraId="1FE76A26" w14:textId="77777777" w:rsidR="000D2247" w:rsidRPr="00103DBC" w:rsidRDefault="000D2247" w:rsidP="00103DBC">
      <w:pPr>
        <w:spacing w:after="200" w:line="276" w:lineRule="auto"/>
        <w:ind w:hanging="567"/>
      </w:pPr>
      <w:r w:rsidRPr="00103DBC">
        <w:t>2.4</w:t>
      </w:r>
      <w:r w:rsidRPr="00103DBC">
        <w:tab/>
        <w:t xml:space="preserve">This correction to the data quality does not affect the indicator output figures previously presented to MRG but for completion we have provided CCG level data for the indicator is provided in Annex 1 which uses the same data source as Table 1 above.  This shows that the proportion of adults in contact with secondary mental health services in paid employment ranges from 0% to 16.1% at CCG level.  This is comparable to the ASCOF measure at Local Authority level for 2012/13 for which the range was 1.3% to 22% (with the caveat that the ASCOF measure uses data for patients on CPA and therefore has better completeness than the CCGOIS measure for all patients).  </w:t>
      </w:r>
    </w:p>
    <w:p w14:paraId="0BDFECAE" w14:textId="77777777" w:rsidR="000D2247" w:rsidRPr="00103DBC" w:rsidRDefault="000D2247" w:rsidP="00103DBC">
      <w:pPr>
        <w:spacing w:after="200" w:line="276" w:lineRule="auto"/>
      </w:pPr>
    </w:p>
    <w:p w14:paraId="28877D85" w14:textId="77777777" w:rsidR="000D2247" w:rsidRPr="00103DBC" w:rsidRDefault="000D2247" w:rsidP="00103DBC">
      <w:pPr>
        <w:spacing w:after="200" w:line="276" w:lineRule="auto"/>
        <w:ind w:hanging="567"/>
      </w:pPr>
      <w:r w:rsidRPr="00103DBC">
        <w:t>2.5</w:t>
      </w:r>
      <w:r w:rsidRPr="00103DBC">
        <w:tab/>
        <w:t xml:space="preserve">MRG members may be interested to note that development work is being carried out by the Royal College of Psychiatrists and HSCIC to improve the completeness of the recording of employment status via development of a Commissioning for Quality and Innovation (CQUIN) payment for this area.  </w:t>
      </w:r>
    </w:p>
    <w:p w14:paraId="70E71488" w14:textId="77777777" w:rsidR="000D2247" w:rsidRPr="00103DBC" w:rsidRDefault="000D2247" w:rsidP="00103DBC">
      <w:pPr>
        <w:spacing w:after="200" w:line="276" w:lineRule="auto"/>
      </w:pPr>
    </w:p>
    <w:p w14:paraId="6C0B8E9A" w14:textId="77777777" w:rsidR="000D2247" w:rsidRPr="00103DBC" w:rsidRDefault="000D2247" w:rsidP="000D2247">
      <w:pPr>
        <w:numPr>
          <w:ilvl w:val="0"/>
          <w:numId w:val="28"/>
        </w:numPr>
        <w:spacing w:after="200" w:line="276" w:lineRule="auto"/>
        <w:ind w:left="0" w:hanging="567"/>
        <w:contextualSpacing/>
        <w:rPr>
          <w:b/>
        </w:rPr>
      </w:pPr>
      <w:r w:rsidRPr="00103DBC">
        <w:rPr>
          <w:b/>
        </w:rPr>
        <w:t>Action proposed to be taken by the developer</w:t>
      </w:r>
    </w:p>
    <w:p w14:paraId="126AAB0D" w14:textId="77777777" w:rsidR="000D2247" w:rsidRPr="00103DBC" w:rsidRDefault="000D2247" w:rsidP="00103DBC">
      <w:pPr>
        <w:spacing w:after="200" w:line="276" w:lineRule="auto"/>
      </w:pPr>
      <w:r w:rsidRPr="00103DBC">
        <w:t xml:space="preserve">We will highlight this data completeness issue as a caveat in the Indicator Quality Statement.  We will also include information on the work being carried out to develop the CQUIN and promote improvements in recording of this </w:t>
      </w:r>
      <w:proofErr w:type="gramStart"/>
      <w:r w:rsidRPr="00103DBC">
        <w:t>particular piece</w:t>
      </w:r>
      <w:proofErr w:type="gramEnd"/>
      <w:r w:rsidRPr="00103DBC">
        <w:t xml:space="preserve"> of information.   </w:t>
      </w:r>
    </w:p>
    <w:p w14:paraId="2130C400" w14:textId="555F2D6A" w:rsidR="000D2247" w:rsidRPr="00103DBC" w:rsidRDefault="000D2247">
      <w:r w:rsidRPr="00103DBC">
        <w:br w:type="page"/>
      </w:r>
    </w:p>
    <w:p w14:paraId="66DC0944" w14:textId="77777777" w:rsidR="000D2247" w:rsidRPr="00103DBC" w:rsidRDefault="000D2247" w:rsidP="00103DBC">
      <w:pPr>
        <w:spacing w:after="200" w:line="276" w:lineRule="auto"/>
        <w:rPr>
          <w:b/>
        </w:rPr>
      </w:pPr>
      <w:r w:rsidRPr="00103DBC">
        <w:rPr>
          <w:b/>
        </w:rPr>
        <w:lastRenderedPageBreak/>
        <w:t>ANNEX 1</w:t>
      </w:r>
    </w:p>
    <w:p w14:paraId="225C6AAB" w14:textId="77777777" w:rsidR="000D2247" w:rsidRPr="00103DBC" w:rsidRDefault="000D2247" w:rsidP="00103DBC">
      <w:pPr>
        <w:spacing w:after="200" w:line="276" w:lineRule="auto"/>
      </w:pPr>
      <w:r w:rsidRPr="00103DBC">
        <w:t>Data for indicator 3.17; source MHMDS year to date July 2013</w:t>
      </w:r>
    </w:p>
    <w:p w14:paraId="4E74EA5A" w14:textId="77777777" w:rsidR="000D2247" w:rsidRPr="00103DBC" w:rsidRDefault="000D2247" w:rsidP="00103DBC">
      <w:pPr>
        <w:spacing w:after="200" w:line="276" w:lineRule="auto"/>
      </w:pPr>
      <w:r w:rsidRPr="00103DBC">
        <w:rPr>
          <w:noProof/>
        </w:rPr>
        <w:drawing>
          <wp:inline distT="0" distB="0" distL="0" distR="0" wp14:anchorId="1727DF29" wp14:editId="138C48B4">
            <wp:extent cx="2958861" cy="3963316"/>
            <wp:effectExtent l="0" t="0" r="0" b="0"/>
            <wp:docPr id="4" name="Picture 4" descr="Sample data for indicator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58971" cy="3963463"/>
                    </a:xfrm>
                    <a:prstGeom prst="rect">
                      <a:avLst/>
                    </a:prstGeom>
                    <a:noFill/>
                    <a:ln>
                      <a:noFill/>
                    </a:ln>
                  </pic:spPr>
                </pic:pic>
              </a:graphicData>
            </a:graphic>
          </wp:inline>
        </w:drawing>
      </w:r>
    </w:p>
    <w:p w14:paraId="764F5C6D" w14:textId="77777777" w:rsidR="000D2247" w:rsidRPr="00103DBC" w:rsidRDefault="000D2247"/>
    <w:p w14:paraId="5D99CAB7" w14:textId="77777777" w:rsidR="000D2247" w:rsidRPr="00103DBC" w:rsidRDefault="000D2247" w:rsidP="00A854FD">
      <w:pPr>
        <w:ind w:left="-851" w:firstLine="851"/>
      </w:pPr>
      <w:r w:rsidRPr="00103DBC">
        <w:t xml:space="preserve">Record of Assurance provided by </w:t>
      </w:r>
      <w:r w:rsidRPr="00103DBC">
        <w:rPr>
          <w:b/>
        </w:rPr>
        <w:t>Indicator Governance Board</w:t>
      </w:r>
    </w:p>
    <w:p w14:paraId="7002B7E7" w14:textId="77777777" w:rsidR="000D2247" w:rsidRPr="00103DBC" w:rsidRDefault="000D2247" w:rsidP="00103DBC"/>
    <w:tbl>
      <w:tblPr>
        <w:tblStyle w:val="TableGrid"/>
        <w:tblW w:w="9923" w:type="dxa"/>
        <w:tblLayout w:type="fixed"/>
        <w:tblLook w:val="01E0" w:firstRow="1" w:lastRow="1" w:firstColumn="1" w:lastColumn="1" w:noHBand="0" w:noVBand="0"/>
      </w:tblPr>
      <w:tblGrid>
        <w:gridCol w:w="2122"/>
        <w:gridCol w:w="7801"/>
      </w:tblGrid>
      <w:tr w:rsidR="00A854FD" w:rsidRPr="00103DBC" w14:paraId="613913D0" w14:textId="77777777" w:rsidTr="00A854FD">
        <w:tc>
          <w:tcPr>
            <w:tcW w:w="2122" w:type="dxa"/>
          </w:tcPr>
          <w:p w14:paraId="2072309A" w14:textId="705C545E" w:rsidR="00A854FD" w:rsidRPr="00103DBC" w:rsidRDefault="00A854FD" w:rsidP="00A854FD">
            <w:r w:rsidRPr="00103DBC">
              <w:rPr>
                <w:b/>
              </w:rPr>
              <w:t>Indicator Title</w:t>
            </w:r>
          </w:p>
        </w:tc>
        <w:tc>
          <w:tcPr>
            <w:tcW w:w="7801" w:type="dxa"/>
          </w:tcPr>
          <w:p w14:paraId="57BF4EA6" w14:textId="211D7E1B" w:rsidR="00A854FD" w:rsidRPr="00103DBC" w:rsidRDefault="00A854FD" w:rsidP="00A854FD">
            <w:pPr>
              <w:spacing w:after="240"/>
            </w:pPr>
            <w:r w:rsidRPr="00A854FD">
              <w:rPr>
                <w:bCs/>
              </w:rPr>
              <w:t>Percentage of adults in contact with secondary mental health services in paid employment</w:t>
            </w:r>
          </w:p>
        </w:tc>
      </w:tr>
      <w:tr w:rsidR="00A854FD" w:rsidRPr="00103DBC" w14:paraId="0EC0A92F" w14:textId="77777777" w:rsidTr="00A854FD">
        <w:tc>
          <w:tcPr>
            <w:tcW w:w="2122" w:type="dxa"/>
          </w:tcPr>
          <w:p w14:paraId="391CEFE8" w14:textId="63010A76" w:rsidR="00A854FD" w:rsidRPr="00103DBC" w:rsidRDefault="00A854FD" w:rsidP="00A854FD">
            <w:r w:rsidRPr="00103DBC">
              <w:t>Indicator Set</w:t>
            </w:r>
          </w:p>
        </w:tc>
        <w:tc>
          <w:tcPr>
            <w:tcW w:w="7801" w:type="dxa"/>
          </w:tcPr>
          <w:p w14:paraId="262C5B8B" w14:textId="39FB2A8F" w:rsidR="00A854FD" w:rsidRPr="00103DBC" w:rsidRDefault="00A854FD" w:rsidP="00A854FD">
            <w:pPr>
              <w:spacing w:after="240"/>
            </w:pPr>
            <w:r w:rsidRPr="00103DBC">
              <w:t>CCG Outcome Indicator Set</w:t>
            </w:r>
          </w:p>
        </w:tc>
      </w:tr>
      <w:tr w:rsidR="00A854FD" w:rsidRPr="00103DBC" w14:paraId="5EC84205" w14:textId="77777777" w:rsidTr="00A854FD">
        <w:tc>
          <w:tcPr>
            <w:tcW w:w="2122" w:type="dxa"/>
          </w:tcPr>
          <w:p w14:paraId="502804F8" w14:textId="76FF0618" w:rsidR="00A854FD" w:rsidRPr="00103DBC" w:rsidRDefault="00A854FD" w:rsidP="00A854FD">
            <w:r w:rsidRPr="00103DBC">
              <w:t>IAS Ref Code:</w:t>
            </w:r>
          </w:p>
        </w:tc>
        <w:tc>
          <w:tcPr>
            <w:tcW w:w="7801" w:type="dxa"/>
          </w:tcPr>
          <w:p w14:paraId="2A537550" w14:textId="3099BC48" w:rsidR="00A854FD" w:rsidRPr="00103DBC" w:rsidRDefault="00A854FD" w:rsidP="00A854FD">
            <w:pPr>
              <w:spacing w:after="240"/>
            </w:pPr>
            <w:r w:rsidRPr="00103DBC">
              <w:t>IAP00338</w:t>
            </w:r>
          </w:p>
        </w:tc>
      </w:tr>
      <w:tr w:rsidR="00A854FD" w:rsidRPr="00103DBC" w14:paraId="52224E9F" w14:textId="77777777" w:rsidTr="00A854FD">
        <w:tc>
          <w:tcPr>
            <w:tcW w:w="2122" w:type="dxa"/>
          </w:tcPr>
          <w:p w14:paraId="2897C826" w14:textId="77777777" w:rsidR="00A854FD" w:rsidRPr="00103DBC" w:rsidRDefault="00A854FD" w:rsidP="00A854FD">
            <w:r w:rsidRPr="00103DBC">
              <w:t xml:space="preserve">Description </w:t>
            </w:r>
          </w:p>
        </w:tc>
        <w:tc>
          <w:tcPr>
            <w:tcW w:w="7801" w:type="dxa"/>
          </w:tcPr>
          <w:p w14:paraId="61E610E0" w14:textId="739C73AE" w:rsidR="00A854FD" w:rsidRPr="00103DBC" w:rsidRDefault="00A854FD" w:rsidP="00A854FD">
            <w:pPr>
              <w:spacing w:after="240"/>
            </w:pPr>
            <w:r w:rsidRPr="00103DBC">
              <w:t>This indicator shows the percentage of adults receiving secondary mental health services in paid employment at the time of their most recent assessment, formal review or other multi-disciplinary care planning meeting.</w:t>
            </w:r>
          </w:p>
        </w:tc>
      </w:tr>
    </w:tbl>
    <w:p w14:paraId="092EFD29" w14:textId="77777777" w:rsidR="000D2247" w:rsidRPr="00103DBC" w:rsidRDefault="000D2247" w:rsidP="00103DBC"/>
    <w:tbl>
      <w:tblPr>
        <w:tblStyle w:val="TableGrid"/>
        <w:tblW w:w="9923" w:type="dxa"/>
        <w:tblLook w:val="01E0" w:firstRow="1" w:lastRow="1" w:firstColumn="1" w:lastColumn="1" w:noHBand="0" w:noVBand="0"/>
      </w:tblPr>
      <w:tblGrid>
        <w:gridCol w:w="2127"/>
        <w:gridCol w:w="1418"/>
        <w:gridCol w:w="1842"/>
        <w:gridCol w:w="4536"/>
      </w:tblGrid>
      <w:tr w:rsidR="00103DBC" w:rsidRPr="00103DBC" w14:paraId="1ED8E8A0" w14:textId="77777777" w:rsidTr="00B34530">
        <w:trPr>
          <w:trHeight w:val="229"/>
        </w:trPr>
        <w:tc>
          <w:tcPr>
            <w:tcW w:w="2127" w:type="dxa"/>
          </w:tcPr>
          <w:p w14:paraId="6AB2C7BD" w14:textId="77777777" w:rsidR="000D2247" w:rsidRPr="00103DBC" w:rsidRDefault="000D2247" w:rsidP="00103DBC">
            <w:r w:rsidRPr="00103DBC">
              <w:t xml:space="preserve">Initial IGB discussion </w:t>
            </w:r>
          </w:p>
        </w:tc>
        <w:tc>
          <w:tcPr>
            <w:tcW w:w="1418" w:type="dxa"/>
          </w:tcPr>
          <w:p w14:paraId="67A58030" w14:textId="77777777" w:rsidR="000D2247" w:rsidRPr="00103DBC" w:rsidRDefault="000D2247" w:rsidP="00103DBC">
            <w:r w:rsidRPr="00103DBC">
              <w:t>16/01/14</w:t>
            </w:r>
          </w:p>
        </w:tc>
        <w:tc>
          <w:tcPr>
            <w:tcW w:w="1842" w:type="dxa"/>
          </w:tcPr>
          <w:p w14:paraId="5333AC2B" w14:textId="77777777" w:rsidR="000D2247" w:rsidRPr="00103DBC" w:rsidRDefault="000D2247" w:rsidP="00103DBC">
            <w:pPr>
              <w:rPr>
                <w:b/>
              </w:rPr>
            </w:pPr>
            <w:r w:rsidRPr="00103DBC">
              <w:t>Further discussed</w:t>
            </w:r>
          </w:p>
        </w:tc>
        <w:tc>
          <w:tcPr>
            <w:tcW w:w="4536" w:type="dxa"/>
          </w:tcPr>
          <w:p w14:paraId="0060DBB2" w14:textId="77777777" w:rsidR="000D2247" w:rsidRPr="00103DBC" w:rsidRDefault="000D2247" w:rsidP="00103DBC">
            <w:pPr>
              <w:rPr>
                <w:b/>
              </w:rPr>
            </w:pPr>
          </w:p>
        </w:tc>
      </w:tr>
    </w:tbl>
    <w:p w14:paraId="0260F502" w14:textId="77777777" w:rsidR="000D2247" w:rsidRPr="00103DBC" w:rsidRDefault="000D2247" w:rsidP="00103DBC"/>
    <w:tbl>
      <w:tblPr>
        <w:tblStyle w:val="TableGrid"/>
        <w:tblW w:w="9923" w:type="dxa"/>
        <w:tblLayout w:type="fixed"/>
        <w:tblLook w:val="01E0" w:firstRow="1" w:lastRow="1" w:firstColumn="1" w:lastColumn="1" w:noHBand="0" w:noVBand="0"/>
      </w:tblPr>
      <w:tblGrid>
        <w:gridCol w:w="2119"/>
        <w:gridCol w:w="7804"/>
      </w:tblGrid>
      <w:tr w:rsidR="00A854FD" w:rsidRPr="00103DBC" w14:paraId="63B5E60E" w14:textId="77777777" w:rsidTr="00B34530">
        <w:tc>
          <w:tcPr>
            <w:tcW w:w="2119" w:type="dxa"/>
          </w:tcPr>
          <w:p w14:paraId="7FE48961" w14:textId="77777777" w:rsidR="00A854FD" w:rsidRPr="00103DBC" w:rsidRDefault="00A854FD" w:rsidP="00103DBC"/>
        </w:tc>
        <w:tc>
          <w:tcPr>
            <w:tcW w:w="7804" w:type="dxa"/>
          </w:tcPr>
          <w:p w14:paraId="7D774598" w14:textId="2C8EA59A" w:rsidR="00A854FD" w:rsidRPr="00103DBC" w:rsidRDefault="00A854FD" w:rsidP="00103DBC">
            <w:pPr>
              <w:spacing w:after="120"/>
            </w:pPr>
            <w:r w:rsidRPr="00103DBC">
              <w:rPr>
                <w:b/>
              </w:rPr>
              <w:t>Strategic Considerations &amp; Implications</w:t>
            </w:r>
          </w:p>
        </w:tc>
      </w:tr>
      <w:tr w:rsidR="00A854FD" w:rsidRPr="00103DBC" w14:paraId="1A6D2DCC" w14:textId="77777777" w:rsidTr="00B34530">
        <w:tc>
          <w:tcPr>
            <w:tcW w:w="2119" w:type="dxa"/>
          </w:tcPr>
          <w:p w14:paraId="008576D6" w14:textId="245B506F" w:rsidR="00A854FD" w:rsidRPr="00103DBC" w:rsidRDefault="00A854FD" w:rsidP="00A854FD">
            <w:r w:rsidRPr="00103DBC">
              <w:t>Applicant / Sponsor Organisation</w:t>
            </w:r>
          </w:p>
        </w:tc>
        <w:tc>
          <w:tcPr>
            <w:tcW w:w="7804" w:type="dxa"/>
          </w:tcPr>
          <w:p w14:paraId="5E2967BF" w14:textId="77777777" w:rsidR="00A854FD" w:rsidRPr="00103DBC" w:rsidRDefault="00A854FD" w:rsidP="00A854FD">
            <w:r w:rsidRPr="00103DBC">
              <w:t>NHS England</w:t>
            </w:r>
          </w:p>
          <w:p w14:paraId="1B2CA2C5" w14:textId="757DF7C7" w:rsidR="00A854FD" w:rsidRPr="00103DBC" w:rsidRDefault="00A854FD" w:rsidP="00A854FD">
            <w:pPr>
              <w:spacing w:after="120"/>
            </w:pPr>
            <w:r w:rsidRPr="00103DBC">
              <w:t>*Costing for assurance appraisal included in development cost</w:t>
            </w:r>
          </w:p>
        </w:tc>
      </w:tr>
      <w:tr w:rsidR="00A854FD" w:rsidRPr="00103DBC" w14:paraId="74F31955" w14:textId="77777777" w:rsidTr="00B34530">
        <w:tc>
          <w:tcPr>
            <w:tcW w:w="2119" w:type="dxa"/>
          </w:tcPr>
          <w:p w14:paraId="0DB046B3" w14:textId="00AA0C8E" w:rsidR="00A854FD" w:rsidRPr="00103DBC" w:rsidRDefault="00A854FD" w:rsidP="00A854FD">
            <w:proofErr w:type="gramStart"/>
            <w:r w:rsidRPr="00103DBC">
              <w:t>Assurance  process</w:t>
            </w:r>
            <w:proofErr w:type="gramEnd"/>
            <w:r w:rsidRPr="00103DBC">
              <w:t xml:space="preserve"> funded?</w:t>
            </w:r>
          </w:p>
        </w:tc>
        <w:tc>
          <w:tcPr>
            <w:tcW w:w="7804" w:type="dxa"/>
          </w:tcPr>
          <w:p w14:paraId="3E94FE78" w14:textId="2BAFCD4E" w:rsidR="00A854FD" w:rsidRPr="00103DBC" w:rsidRDefault="00A854FD" w:rsidP="00A854FD">
            <w:pPr>
              <w:spacing w:after="120"/>
            </w:pPr>
            <w:r>
              <w:t>Yes</w:t>
            </w:r>
          </w:p>
        </w:tc>
      </w:tr>
      <w:tr w:rsidR="00A854FD" w:rsidRPr="00103DBC" w14:paraId="51400F4C" w14:textId="77777777" w:rsidTr="00B34530">
        <w:tc>
          <w:tcPr>
            <w:tcW w:w="2119" w:type="dxa"/>
          </w:tcPr>
          <w:p w14:paraId="194DBD20" w14:textId="77777777" w:rsidR="00A854FD" w:rsidRPr="00103DBC" w:rsidRDefault="00A854FD" w:rsidP="00A854FD">
            <w:r w:rsidRPr="00103DBC">
              <w:lastRenderedPageBreak/>
              <w:t xml:space="preserve">Indicator rationale </w:t>
            </w:r>
          </w:p>
        </w:tc>
        <w:tc>
          <w:tcPr>
            <w:tcW w:w="7804" w:type="dxa"/>
          </w:tcPr>
          <w:p w14:paraId="565D380F" w14:textId="77777777" w:rsidR="00A854FD" w:rsidRPr="00103DBC" w:rsidRDefault="00A854FD" w:rsidP="00A854FD">
            <w:pPr>
              <w:spacing w:after="120"/>
            </w:pPr>
            <w:r w:rsidRPr="00103DBC">
              <w:t xml:space="preserve">This indicator provides an indication of the impact of long-term mental illness on employment among working age adults. The indicator is intended to measure improved employment outcomes for adults with mental health problems, reducing their risk of social exclusion and discrimination.  </w:t>
            </w:r>
          </w:p>
          <w:p w14:paraId="513C8392" w14:textId="77777777" w:rsidR="00A854FD" w:rsidRPr="00103DBC" w:rsidRDefault="00A854FD" w:rsidP="00A854FD">
            <w:r w:rsidRPr="00103DBC">
              <w:t>Using results from this indicator, CCGs could work with local authorities through health and well-being boards and other organisations to improve the opportunities for people with long-term mental health conditions to find suitable employment. This indicator could also help inform CCGs about the type, level, intensity and quantity of mental health services they need to commission.</w:t>
            </w:r>
          </w:p>
          <w:p w14:paraId="19905600" w14:textId="77777777" w:rsidR="00A854FD" w:rsidRPr="00103DBC" w:rsidRDefault="00A854FD" w:rsidP="00A854FD"/>
        </w:tc>
      </w:tr>
      <w:tr w:rsidR="00A854FD" w:rsidRPr="00103DBC" w14:paraId="3C6C9B87" w14:textId="77777777" w:rsidTr="00B34530">
        <w:tc>
          <w:tcPr>
            <w:tcW w:w="2119" w:type="dxa"/>
          </w:tcPr>
          <w:p w14:paraId="2197B386" w14:textId="77777777" w:rsidR="00A854FD" w:rsidRPr="00103DBC" w:rsidRDefault="00A854FD" w:rsidP="00A854FD">
            <w:r w:rsidRPr="00103DBC">
              <w:t xml:space="preserve">Basis for rationale </w:t>
            </w:r>
          </w:p>
          <w:p w14:paraId="53CED825" w14:textId="77777777" w:rsidR="00A854FD" w:rsidRPr="00103DBC" w:rsidRDefault="00A854FD" w:rsidP="00A854FD">
            <w:r w:rsidRPr="00103DBC">
              <w:t>[Details of quality statement, policy etc.]</w:t>
            </w:r>
            <w:r w:rsidRPr="00103DBC">
              <w:rPr>
                <w:i/>
              </w:rPr>
              <w:t xml:space="preserve"> </w:t>
            </w:r>
          </w:p>
        </w:tc>
        <w:tc>
          <w:tcPr>
            <w:tcW w:w="7804" w:type="dxa"/>
          </w:tcPr>
          <w:p w14:paraId="4146F3AF" w14:textId="77777777" w:rsidR="00A854FD" w:rsidRPr="00103DBC" w:rsidRDefault="00A854FD" w:rsidP="00A854FD">
            <w:r w:rsidRPr="00103DBC">
              <w:t xml:space="preserve">It is estimated that between 10% and 16% of people with a mental health condition (excluding depression) are in employment. However, between 86% and 90% of people with a mental health condition want to work </w:t>
            </w:r>
            <w:r w:rsidRPr="00103DBC">
              <w:rPr>
                <w:i/>
              </w:rPr>
              <w:t xml:space="preserve">(Work, Recovery and Inclusion: Employment support for people in contact with secondary mental health services – National Mental Health Development Unit, based on 2001 ONS data). </w:t>
            </w:r>
          </w:p>
          <w:p w14:paraId="59FF5E29" w14:textId="77777777" w:rsidR="00A854FD" w:rsidRPr="00103DBC" w:rsidRDefault="00A854FD" w:rsidP="00A854FD"/>
          <w:p w14:paraId="34CC1FB7" w14:textId="77777777" w:rsidR="00A854FD" w:rsidRPr="00103DBC" w:rsidRDefault="00A854FD" w:rsidP="00A854FD">
            <w:r w:rsidRPr="00103DBC">
              <w:t xml:space="preserve">The 2006 evidence review by Waddell and Burton “Is work good for your health and well-being?” </w:t>
            </w:r>
            <w:r w:rsidRPr="00103DBC">
              <w:rPr>
                <w:i/>
              </w:rPr>
              <w:t xml:space="preserve">(commissioned by the Department for Work and Pensions) </w:t>
            </w:r>
            <w:r w:rsidRPr="00103DBC">
              <w:t>concluded that work was generally good for both physical and mental health and well-being. The review found a strong association between worklessness and poor health.  This may be partly a health selection effect, but it is also to a large extent cause and effect.  There is strong evidence that unemployment is generally harmful to health, including:</w:t>
            </w:r>
          </w:p>
          <w:p w14:paraId="15E97AA3" w14:textId="77777777" w:rsidR="00A854FD" w:rsidRPr="00103DBC" w:rsidRDefault="00A854FD" w:rsidP="00A854FD">
            <w:pPr>
              <w:numPr>
                <w:ilvl w:val="0"/>
                <w:numId w:val="19"/>
              </w:numPr>
            </w:pPr>
            <w:r w:rsidRPr="00103DBC">
              <w:t xml:space="preserve">higher </w:t>
            </w:r>
            <w:proofErr w:type="gramStart"/>
            <w:r w:rsidRPr="00103DBC">
              <w:t>mortality;</w:t>
            </w:r>
            <w:proofErr w:type="gramEnd"/>
          </w:p>
          <w:p w14:paraId="391279CF" w14:textId="77777777" w:rsidR="00A854FD" w:rsidRPr="00103DBC" w:rsidRDefault="00A854FD" w:rsidP="00A854FD">
            <w:pPr>
              <w:numPr>
                <w:ilvl w:val="0"/>
                <w:numId w:val="19"/>
              </w:numPr>
            </w:pPr>
            <w:r w:rsidRPr="00103DBC">
              <w:t xml:space="preserve">poorer general health, long-standing illness, limiting longstanding </w:t>
            </w:r>
            <w:proofErr w:type="gramStart"/>
            <w:r w:rsidRPr="00103DBC">
              <w:t>illness;</w:t>
            </w:r>
            <w:proofErr w:type="gramEnd"/>
          </w:p>
          <w:p w14:paraId="14D7D5B1" w14:textId="77777777" w:rsidR="00A854FD" w:rsidRPr="00103DBC" w:rsidRDefault="00A854FD" w:rsidP="00A854FD">
            <w:pPr>
              <w:numPr>
                <w:ilvl w:val="0"/>
                <w:numId w:val="19"/>
              </w:numPr>
            </w:pPr>
            <w:r w:rsidRPr="00103DBC">
              <w:t xml:space="preserve">poorer mental health, psychological distress, minor psychological/psychiatric </w:t>
            </w:r>
            <w:proofErr w:type="gramStart"/>
            <w:r w:rsidRPr="00103DBC">
              <w:t>morbidity;</w:t>
            </w:r>
            <w:proofErr w:type="gramEnd"/>
          </w:p>
          <w:p w14:paraId="372D9276" w14:textId="77777777" w:rsidR="00A854FD" w:rsidRPr="00103DBC" w:rsidRDefault="00A854FD" w:rsidP="00A854FD">
            <w:pPr>
              <w:numPr>
                <w:ilvl w:val="0"/>
                <w:numId w:val="19"/>
              </w:numPr>
            </w:pPr>
            <w:r w:rsidRPr="00103DBC">
              <w:t>higher medical consultation, medication consumption and hospital admission rates.</w:t>
            </w:r>
          </w:p>
          <w:p w14:paraId="6A588451" w14:textId="77777777" w:rsidR="00A854FD" w:rsidRPr="00103DBC" w:rsidRDefault="00A854FD" w:rsidP="00A854FD"/>
          <w:p w14:paraId="60D91441" w14:textId="77777777" w:rsidR="00A854FD" w:rsidRPr="00103DBC" w:rsidRDefault="00A854FD" w:rsidP="00A854FD">
            <w:r w:rsidRPr="00103DBC">
              <w:t>There is strong evidence that re-employment leads to improved self-esteem, improved general and mental health, and reduced psychological distress and minor psychiatric morbidity.  The magnitude of this improvement is comparable to the adverse effects of job loss.</w:t>
            </w:r>
          </w:p>
          <w:p w14:paraId="02EAF2FC" w14:textId="77777777" w:rsidR="00A854FD" w:rsidRPr="00103DBC" w:rsidRDefault="00A854FD" w:rsidP="00A854FD"/>
          <w:p w14:paraId="0A785A35" w14:textId="77777777" w:rsidR="00A854FD" w:rsidRPr="00103DBC" w:rsidRDefault="00A854FD" w:rsidP="00A854FD">
            <w:r w:rsidRPr="00103DBC">
              <w:t xml:space="preserve">The CCG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w:t>
            </w:r>
            <w:proofErr w:type="gramStart"/>
            <w:r w:rsidRPr="00103DBC">
              <w:t>All of</w:t>
            </w:r>
            <w:proofErr w:type="gramEnd"/>
            <w:r w:rsidRPr="00103DBC">
              <w:t xml:space="preserve"> the CCG outcomes indicators have been chosen on the basis that they contribute to the overarching aims of the five domains in the NHS Outcomes Framework and it is intended as a tool for CCGs to drive local improvement and set priorities.  Reference: CCG OIS, NHS England. </w:t>
            </w:r>
            <w:hyperlink r:id="rId18" w:history="1">
              <w:r w:rsidRPr="00103DBC">
                <w:rPr>
                  <w:rStyle w:val="Hyperlink"/>
                  <w:color w:val="auto"/>
                </w:rPr>
                <w:t>http://www.england.nhs.uk/ccg-ois/</w:t>
              </w:r>
            </w:hyperlink>
          </w:p>
          <w:p w14:paraId="4629609F" w14:textId="77777777" w:rsidR="00A854FD" w:rsidRPr="00103DBC" w:rsidRDefault="00A854FD" w:rsidP="00A854FD"/>
        </w:tc>
      </w:tr>
      <w:tr w:rsidR="00A854FD" w:rsidRPr="00103DBC" w14:paraId="223EEB13" w14:textId="77777777" w:rsidTr="00B34530">
        <w:tc>
          <w:tcPr>
            <w:tcW w:w="2119" w:type="dxa"/>
          </w:tcPr>
          <w:p w14:paraId="2D976A8D" w14:textId="77777777" w:rsidR="00A854FD" w:rsidRPr="00103DBC" w:rsidRDefault="00A854FD" w:rsidP="00A854FD">
            <w:r w:rsidRPr="00103DBC">
              <w:t>Calculation Summary</w:t>
            </w:r>
          </w:p>
        </w:tc>
        <w:tc>
          <w:tcPr>
            <w:tcW w:w="7804" w:type="dxa"/>
          </w:tcPr>
          <w:p w14:paraId="24DF7B44" w14:textId="77777777" w:rsidR="00A854FD" w:rsidRPr="00103DBC" w:rsidRDefault="00A854FD" w:rsidP="00A854FD">
            <w:r w:rsidRPr="00103DBC">
              <w:t>Calculated as a percentage at CCG level.</w:t>
            </w:r>
          </w:p>
          <w:p w14:paraId="2C88A397" w14:textId="77777777" w:rsidR="00A854FD" w:rsidRPr="00103DBC" w:rsidRDefault="00A854FD" w:rsidP="00A854FD"/>
          <w:p w14:paraId="10F8A110" w14:textId="77777777" w:rsidR="00A854FD" w:rsidRPr="00103DBC" w:rsidRDefault="00A854FD" w:rsidP="00A854FD">
            <w:r w:rsidRPr="00103DBC">
              <w:t xml:space="preserve">[ X / </w:t>
            </w:r>
            <w:proofErr w:type="gramStart"/>
            <w:r w:rsidRPr="00103DBC">
              <w:t>Y ]</w:t>
            </w:r>
            <w:proofErr w:type="gramEnd"/>
            <w:r w:rsidRPr="00103DBC">
              <w:t xml:space="preserve"> x 100 = The percentage of adults receiving secondary mental health services in paid employment, given by CCG.</w:t>
            </w:r>
          </w:p>
          <w:p w14:paraId="2D47A80C" w14:textId="77777777" w:rsidR="00A854FD" w:rsidRPr="00103DBC" w:rsidRDefault="00A854FD" w:rsidP="00A854FD"/>
          <w:p w14:paraId="3106A7E8" w14:textId="77777777" w:rsidR="00A854FD" w:rsidRPr="00103DBC" w:rsidRDefault="00A854FD" w:rsidP="00A854FD">
            <w:r w:rsidRPr="00103DBC">
              <w:rPr>
                <w:b/>
              </w:rPr>
              <w:lastRenderedPageBreak/>
              <w:t>Denominator</w:t>
            </w:r>
            <w:r w:rsidRPr="00103DBC">
              <w:t xml:space="preserve"> (Y): The number of working age adults aged 18 to 69 who have received secondary mental health services at any point during the financial year.</w:t>
            </w:r>
          </w:p>
          <w:p w14:paraId="6764370F" w14:textId="77777777" w:rsidR="00A854FD" w:rsidRPr="00103DBC" w:rsidRDefault="00A854FD" w:rsidP="00A854FD"/>
          <w:p w14:paraId="0AA13B1B" w14:textId="77777777" w:rsidR="00A854FD" w:rsidRPr="00103DBC" w:rsidRDefault="00A854FD" w:rsidP="00A854FD">
            <w:pPr>
              <w:rPr>
                <w:i/>
              </w:rPr>
            </w:pPr>
            <w:r w:rsidRPr="00103DBC">
              <w:rPr>
                <w:i/>
              </w:rPr>
              <w:t>* age range consistent with PHOF indicator 1.08iii 1.08iii - Gap in the employment rate for those in contact with secondary mental health services and the overall employment rate, and ASCOF (1F) Proportion of adults in contact with secondary mental health services in paid employment</w:t>
            </w:r>
          </w:p>
          <w:p w14:paraId="66652990" w14:textId="77777777" w:rsidR="00A854FD" w:rsidRPr="00103DBC" w:rsidRDefault="00A854FD" w:rsidP="00A854FD"/>
          <w:p w14:paraId="51F86057" w14:textId="77777777" w:rsidR="00A854FD" w:rsidRPr="00103DBC" w:rsidRDefault="00A854FD" w:rsidP="00A854FD">
            <w:r w:rsidRPr="00103DBC">
              <w:rPr>
                <w:b/>
              </w:rPr>
              <w:t xml:space="preserve">Numerator </w:t>
            </w:r>
            <w:r w:rsidRPr="00103DBC">
              <w:t>(X): Of people in the denominator, the number recorded as being in employment. The most recent record of employment status for the person during the financial year is used.</w:t>
            </w:r>
          </w:p>
          <w:p w14:paraId="4094BA14" w14:textId="77777777" w:rsidR="00A854FD" w:rsidRPr="00103DBC" w:rsidRDefault="00A854FD" w:rsidP="00A854FD"/>
          <w:p w14:paraId="24B36E41" w14:textId="77777777" w:rsidR="00A854FD" w:rsidRPr="00103DBC" w:rsidRDefault="00A854FD" w:rsidP="00A854FD">
            <w:pPr>
              <w:rPr>
                <w:i/>
              </w:rPr>
            </w:pPr>
            <w:r w:rsidRPr="00103DBC">
              <w:rPr>
                <w:i/>
              </w:rPr>
              <w:t>*the MHMDS definition of [01] Employed states:</w:t>
            </w:r>
          </w:p>
          <w:p w14:paraId="1299770D" w14:textId="77777777" w:rsidR="00A854FD" w:rsidRPr="00103DBC" w:rsidRDefault="00A854FD" w:rsidP="00A854FD">
            <w:pPr>
              <w:pStyle w:val="ListParagraph"/>
              <w:numPr>
                <w:ilvl w:val="0"/>
                <w:numId w:val="29"/>
              </w:numPr>
              <w:rPr>
                <w:i/>
              </w:rPr>
            </w:pPr>
            <w:r w:rsidRPr="00103DBC">
              <w:rPr>
                <w:i/>
              </w:rPr>
              <w:t>Employed refers to those who are employed by a company and have their National Insurance paid for directly from their wages.</w:t>
            </w:r>
          </w:p>
          <w:p w14:paraId="2478F37C" w14:textId="77777777" w:rsidR="00A854FD" w:rsidRPr="00103DBC" w:rsidRDefault="00A854FD" w:rsidP="00A854FD">
            <w:pPr>
              <w:pStyle w:val="ListParagraph"/>
              <w:numPr>
                <w:ilvl w:val="0"/>
                <w:numId w:val="29"/>
              </w:numPr>
              <w:rPr>
                <w:i/>
              </w:rPr>
            </w:pPr>
            <w:r w:rsidRPr="00103DBC">
              <w:rPr>
                <w:i/>
              </w:rPr>
              <w:t>It also includes those who are self-employed (i.e. those who work for themselves and generally pay their National Insurance themselves); those who are in supported employment; and those who are in permitted work (i.e. those who are in paid work and who are also receiving Incapacity Benefit). It should also include those who are unpaid family workers (i.e. those who do unpaid work for a business they own or work for a business a relative owns).</w:t>
            </w:r>
          </w:p>
          <w:p w14:paraId="4F2193A5" w14:textId="77777777" w:rsidR="00A854FD" w:rsidRPr="00103DBC" w:rsidRDefault="00A854FD" w:rsidP="00A854FD">
            <w:pPr>
              <w:rPr>
                <w:i/>
              </w:rPr>
            </w:pPr>
          </w:p>
          <w:p w14:paraId="5629F23D" w14:textId="77777777" w:rsidR="00A854FD" w:rsidRPr="00103DBC" w:rsidRDefault="00A854FD" w:rsidP="00A854FD"/>
        </w:tc>
      </w:tr>
      <w:tr w:rsidR="00A854FD" w:rsidRPr="00103DBC" w14:paraId="20F6743F" w14:textId="77777777" w:rsidTr="00B34530">
        <w:tc>
          <w:tcPr>
            <w:tcW w:w="2119" w:type="dxa"/>
          </w:tcPr>
          <w:p w14:paraId="62CCF45E" w14:textId="77777777" w:rsidR="00A854FD" w:rsidRPr="00103DBC" w:rsidRDefault="00A854FD" w:rsidP="00A854FD">
            <w:r w:rsidRPr="00103DBC">
              <w:lastRenderedPageBreak/>
              <w:t>Risks &amp; assumptions</w:t>
            </w:r>
          </w:p>
        </w:tc>
        <w:tc>
          <w:tcPr>
            <w:tcW w:w="7804" w:type="dxa"/>
          </w:tcPr>
          <w:p w14:paraId="6BC7AA63" w14:textId="77777777" w:rsidR="00A854FD" w:rsidRPr="00103DBC" w:rsidRDefault="00A854FD" w:rsidP="00A854FD">
            <w:r w:rsidRPr="00103DBC">
              <w:t>This indicator may be influenced by the willingness of people with long-term mental health conditions to work.  This is likely to be affected by changes to financial incentives (including those implicit in the benefit system).</w:t>
            </w:r>
          </w:p>
          <w:p w14:paraId="65E09BE9" w14:textId="77777777" w:rsidR="00A854FD" w:rsidRPr="00103DBC" w:rsidRDefault="00A854FD" w:rsidP="00A854FD"/>
          <w:p w14:paraId="74CA34E6" w14:textId="77777777" w:rsidR="00A854FD" w:rsidRPr="00103DBC" w:rsidRDefault="00A854FD" w:rsidP="00A854FD">
            <w:r w:rsidRPr="00103DBC">
              <w:t>The ability of people with long-term mental health conditions to find employment will be greatly influenced by the general level of employment in their local area.  It is not currently possible to produce general employment statistics at CCG level however, so it is not possible to provide this as a direct comparison.</w:t>
            </w:r>
          </w:p>
          <w:p w14:paraId="0C5C540B" w14:textId="77777777" w:rsidR="00A854FD" w:rsidRPr="00103DBC" w:rsidRDefault="00A854FD" w:rsidP="00A854FD"/>
          <w:p w14:paraId="4D10E078" w14:textId="77777777" w:rsidR="00A854FD" w:rsidRPr="00103DBC" w:rsidRDefault="00A854FD" w:rsidP="00A854FD">
            <w:r w:rsidRPr="00103DBC">
              <w:t>The indicator doesn’t take into consideration severity of mental health condition</w:t>
            </w:r>
          </w:p>
          <w:p w14:paraId="1B803775" w14:textId="77777777" w:rsidR="00A854FD" w:rsidRPr="00103DBC" w:rsidRDefault="00A854FD" w:rsidP="00A854FD"/>
          <w:p w14:paraId="20DC5182" w14:textId="77777777" w:rsidR="00A854FD" w:rsidRPr="00103DBC" w:rsidRDefault="00A854FD" w:rsidP="00A854FD">
            <w:r w:rsidRPr="00103DBC">
              <w:t xml:space="preserve">The assignment of a CCG to a patient will be based on GP or practice code where possible and if not, then on the patient’s home postcode.  Where the patient’s practice and postcode are both unavailable, the responsible CCG is derived from the location of the hospital or trust.  As the numerator is a subset of the denominator, the same method will be used for any </w:t>
            </w:r>
            <w:proofErr w:type="gramStart"/>
            <w:r w:rsidRPr="00103DBC">
              <w:t>particular patient</w:t>
            </w:r>
            <w:proofErr w:type="gramEnd"/>
            <w:r w:rsidRPr="00103DBC">
              <w:t>.</w:t>
            </w:r>
          </w:p>
          <w:p w14:paraId="3F2F9F13" w14:textId="77777777" w:rsidR="00A854FD" w:rsidRPr="00103DBC" w:rsidRDefault="00A854FD" w:rsidP="00A854FD"/>
        </w:tc>
      </w:tr>
      <w:tr w:rsidR="00A854FD" w:rsidRPr="00103DBC" w14:paraId="0C43F59C" w14:textId="77777777" w:rsidTr="00B34530">
        <w:trPr>
          <w:trHeight w:val="267"/>
        </w:trPr>
        <w:tc>
          <w:tcPr>
            <w:tcW w:w="2119" w:type="dxa"/>
          </w:tcPr>
          <w:p w14:paraId="29D64E49" w14:textId="798C2427" w:rsidR="00A854FD" w:rsidRPr="00103DBC" w:rsidRDefault="00A854FD" w:rsidP="00A854FD">
            <w:r w:rsidRPr="00103DBC">
              <w:t xml:space="preserve">IG </w:t>
            </w:r>
            <w:proofErr w:type="gramStart"/>
            <w:r w:rsidRPr="00103DBC">
              <w:t>Considerations  [</w:t>
            </w:r>
            <w:proofErr w:type="gramEnd"/>
            <w:r w:rsidRPr="00103DBC">
              <w:t>e.g. release of under-lying data, intermediaries’ access to data, data ownership impact on production]</w:t>
            </w:r>
          </w:p>
        </w:tc>
        <w:tc>
          <w:tcPr>
            <w:tcW w:w="7804" w:type="dxa"/>
          </w:tcPr>
          <w:p w14:paraId="1D85FF3E" w14:textId="77777777" w:rsidR="00A854FD" w:rsidRPr="00103DBC" w:rsidRDefault="00A854FD" w:rsidP="00A854FD">
            <w:r w:rsidRPr="00103DBC">
              <w:rPr>
                <w:i/>
              </w:rPr>
              <w:t xml:space="preserve">Data Source:  </w:t>
            </w:r>
            <w:r w:rsidRPr="00103DBC">
              <w:t>MHMDS, v4.1 (HSCIC).</w:t>
            </w:r>
          </w:p>
          <w:p w14:paraId="389DB442" w14:textId="77777777" w:rsidR="00A854FD" w:rsidRPr="00103DBC" w:rsidRDefault="00D41F0B" w:rsidP="00A854FD">
            <w:hyperlink r:id="rId19" w:history="1">
              <w:r w:rsidR="00A854FD" w:rsidRPr="00103DBC">
                <w:rPr>
                  <w:rStyle w:val="Hyperlink"/>
                  <w:color w:val="auto"/>
                </w:rPr>
                <w:t>http://www.hscic.gov.uk/media/10688/MHMDSv41UserGuidance/pdf/MHMDS_v4.1_User_Guidance.pdf</w:t>
              </w:r>
            </w:hyperlink>
          </w:p>
          <w:p w14:paraId="15190D70" w14:textId="77777777" w:rsidR="00A854FD" w:rsidRPr="00103DBC" w:rsidRDefault="00A854FD" w:rsidP="00A854FD"/>
          <w:p w14:paraId="7D2543C5" w14:textId="77777777" w:rsidR="00A854FD" w:rsidRPr="00103DBC" w:rsidRDefault="00A854FD" w:rsidP="00A854FD">
            <w:r w:rsidRPr="00103DBC">
              <w:t>From April 2014, this will be superseded by the Mental Health and Learning Disabilities Dataset (MHLDDS), v1.0.</w:t>
            </w:r>
          </w:p>
          <w:p w14:paraId="19A5E4B7" w14:textId="77777777" w:rsidR="00A854FD" w:rsidRPr="00103DBC" w:rsidRDefault="00A854FD" w:rsidP="00A854FD"/>
        </w:tc>
      </w:tr>
      <w:tr w:rsidR="00A854FD" w:rsidRPr="00103DBC" w14:paraId="005F53E6" w14:textId="77777777" w:rsidTr="00B34530">
        <w:trPr>
          <w:trHeight w:val="427"/>
        </w:trPr>
        <w:tc>
          <w:tcPr>
            <w:tcW w:w="2119" w:type="dxa"/>
          </w:tcPr>
          <w:p w14:paraId="26320CD5" w14:textId="158A5BEE" w:rsidR="00A854FD" w:rsidRPr="00103DBC" w:rsidRDefault="00A854FD" w:rsidP="00A854FD">
            <w:r w:rsidRPr="00103DBC">
              <w:t xml:space="preserve">IG </w:t>
            </w:r>
            <w:proofErr w:type="gramStart"/>
            <w:r w:rsidRPr="00103DBC">
              <w:t>Considerations  [</w:t>
            </w:r>
            <w:proofErr w:type="gramEnd"/>
            <w:r w:rsidRPr="00103DBC">
              <w:t xml:space="preserve">e.g. release of </w:t>
            </w:r>
            <w:r w:rsidRPr="00103DBC">
              <w:lastRenderedPageBreak/>
              <w:t>under-lying data, intermediaries’ access to data, data ownership impact on production]</w:t>
            </w:r>
          </w:p>
        </w:tc>
        <w:tc>
          <w:tcPr>
            <w:tcW w:w="7804" w:type="dxa"/>
          </w:tcPr>
          <w:p w14:paraId="692312D4" w14:textId="77777777" w:rsidR="00A854FD" w:rsidRPr="00103DBC" w:rsidRDefault="00A854FD" w:rsidP="00A854FD">
            <w:r w:rsidRPr="00103DBC">
              <w:lastRenderedPageBreak/>
              <w:t xml:space="preserve">The underlying individual level data are held by the HSCIC and are made available to customers via several mechanisms depending on their </w:t>
            </w:r>
            <w:r w:rsidRPr="00103DBC">
              <w:lastRenderedPageBreak/>
              <w:t>requirements.  HSCIC publishes quarterly summaries of MHMDS data.  There is also a chargeable extract service that covers both bespoke and routine extracts.</w:t>
            </w:r>
          </w:p>
          <w:p w14:paraId="01964BDA" w14:textId="77777777" w:rsidR="00A854FD" w:rsidRPr="00103DBC" w:rsidRDefault="00A854FD" w:rsidP="00A854FD"/>
          <w:p w14:paraId="7DE88ED5" w14:textId="77777777" w:rsidR="00A854FD" w:rsidRPr="00103DBC" w:rsidRDefault="00A854FD" w:rsidP="00A854FD">
            <w:r w:rsidRPr="00103DBC">
              <w:t>MHMDS (version 4.1, release Amd 25/2012) is approved by ISB ref ISB 0011.</w:t>
            </w:r>
          </w:p>
          <w:p w14:paraId="5DBC7AC3" w14:textId="77777777" w:rsidR="00A854FD" w:rsidRPr="00103DBC" w:rsidRDefault="00A854FD" w:rsidP="00A854FD">
            <w:r w:rsidRPr="00103DBC">
              <w:t>MHMDS has been approved by ROCR license number ROCR/OR/0017/FT6/002MAND.</w:t>
            </w:r>
          </w:p>
          <w:p w14:paraId="22BE7A1C" w14:textId="77777777" w:rsidR="00A854FD" w:rsidRPr="00103DBC" w:rsidRDefault="00A854FD" w:rsidP="00A854FD"/>
        </w:tc>
      </w:tr>
      <w:tr w:rsidR="00A854FD" w:rsidRPr="00103DBC" w14:paraId="7388C724" w14:textId="77777777" w:rsidTr="00B34530">
        <w:tc>
          <w:tcPr>
            <w:tcW w:w="2119" w:type="dxa"/>
          </w:tcPr>
          <w:p w14:paraId="64225C38" w14:textId="77777777" w:rsidR="00A854FD" w:rsidRPr="00103DBC" w:rsidRDefault="00A854FD" w:rsidP="00A854FD">
            <w:r w:rsidRPr="00103DBC">
              <w:lastRenderedPageBreak/>
              <w:t>Potential impacts on other business areas [inc outstanding generic issues]</w:t>
            </w:r>
          </w:p>
        </w:tc>
        <w:tc>
          <w:tcPr>
            <w:tcW w:w="7804" w:type="dxa"/>
          </w:tcPr>
          <w:p w14:paraId="1538BCFF" w14:textId="77777777" w:rsidR="00A854FD" w:rsidRPr="00103DBC" w:rsidRDefault="00A854FD" w:rsidP="00A854FD">
            <w:r w:rsidRPr="00103DBC">
              <w:t xml:space="preserve">There are a number of similar indicators </w:t>
            </w:r>
            <w:proofErr w:type="gramStart"/>
            <w:r w:rsidRPr="00103DBC">
              <w:t>existing :</w:t>
            </w:r>
            <w:proofErr w:type="gramEnd"/>
          </w:p>
          <w:p w14:paraId="3CB72CAC" w14:textId="77777777" w:rsidR="00A854FD" w:rsidRPr="00103DBC" w:rsidRDefault="00A854FD" w:rsidP="00A854FD"/>
          <w:p w14:paraId="5A399880" w14:textId="77777777" w:rsidR="00A854FD" w:rsidRPr="00103DBC" w:rsidRDefault="00A854FD" w:rsidP="00A854FD">
            <w:proofErr w:type="gramStart"/>
            <w:r w:rsidRPr="00103DBC">
              <w:t>However;</w:t>
            </w:r>
            <w:proofErr w:type="gramEnd"/>
          </w:p>
          <w:p w14:paraId="6E9C546B" w14:textId="77777777" w:rsidR="00A854FD" w:rsidRPr="00103DBC" w:rsidRDefault="00A854FD" w:rsidP="00A854FD">
            <w:pPr>
              <w:pStyle w:val="ListParagraph"/>
              <w:numPr>
                <w:ilvl w:val="0"/>
                <w:numId w:val="27"/>
              </w:numPr>
            </w:pPr>
            <w:r w:rsidRPr="00103DBC">
              <w:t>None of these indicators are produced at Clinical Commissioning Group (CCG) level.</w:t>
            </w:r>
          </w:p>
          <w:p w14:paraId="7E5F789D" w14:textId="77777777" w:rsidR="00A854FD" w:rsidRPr="00103DBC" w:rsidRDefault="00A854FD" w:rsidP="00A854FD">
            <w:pPr>
              <w:pStyle w:val="ListParagraph"/>
              <w:numPr>
                <w:ilvl w:val="0"/>
                <w:numId w:val="27"/>
              </w:numPr>
            </w:pPr>
            <w:r w:rsidRPr="00103DBC">
              <w:t>The proposed indicator looks at everyone on the MHMDS whereas ASCOF is (</w:t>
            </w:r>
            <w:proofErr w:type="gramStart"/>
            <w:r w:rsidRPr="00103DBC">
              <w:t>at the moment</w:t>
            </w:r>
            <w:proofErr w:type="gramEnd"/>
            <w:r w:rsidRPr="00103DBC">
              <w:t xml:space="preserve">) restricted to people on the Care Programme Approach. This was based on advice from the mental health team at HSCIC. </w:t>
            </w:r>
          </w:p>
          <w:p w14:paraId="2FA32708" w14:textId="77777777" w:rsidR="00A854FD" w:rsidRPr="00103DBC" w:rsidRDefault="00A854FD" w:rsidP="00A854FD"/>
          <w:p w14:paraId="211D2B76" w14:textId="77777777" w:rsidR="00A854FD" w:rsidRPr="00103DBC" w:rsidRDefault="00A854FD" w:rsidP="00A854FD">
            <w:r w:rsidRPr="00103DBC">
              <w:t xml:space="preserve">NHS Outcomes Framework (NHSOF), 2.5 </w:t>
            </w:r>
            <w:r w:rsidRPr="00103DBC">
              <w:rPr>
                <w:i/>
              </w:rPr>
              <w:t>Employment of people with mental illness</w:t>
            </w:r>
          </w:p>
          <w:p w14:paraId="77190144" w14:textId="77777777" w:rsidR="00A854FD" w:rsidRPr="00103DBC" w:rsidRDefault="00A854FD" w:rsidP="00A854FD">
            <w:r w:rsidRPr="00103DBC">
              <w:t>This indicator shows the gap between the employment rate for those with a long-term mental health condition and the employment rate for the working-age population.</w:t>
            </w:r>
          </w:p>
          <w:p w14:paraId="15527EC6" w14:textId="77777777" w:rsidR="00A854FD" w:rsidRPr="00103DBC" w:rsidRDefault="00A854FD" w:rsidP="00A854FD"/>
          <w:p w14:paraId="18D62928" w14:textId="77777777" w:rsidR="00A854FD" w:rsidRPr="00103DBC" w:rsidRDefault="00A854FD" w:rsidP="00A854FD">
            <w:pPr>
              <w:rPr>
                <w:i/>
              </w:rPr>
            </w:pPr>
            <w:r w:rsidRPr="00103DBC">
              <w:t xml:space="preserve">Adult Social Care Outcomes Framework (ASCOF), 1F </w:t>
            </w:r>
            <w:r w:rsidRPr="00103DBC">
              <w:rPr>
                <w:i/>
              </w:rPr>
              <w:t>Proportion of adults in contact with secondary mental health services in paid employment</w:t>
            </w:r>
          </w:p>
          <w:p w14:paraId="6AF591FC" w14:textId="77777777" w:rsidR="00A854FD" w:rsidRPr="00103DBC" w:rsidRDefault="00A854FD" w:rsidP="00A854FD">
            <w:r w:rsidRPr="00103DBC">
              <w:t>This indicator shows the employment rate for those with a long-term mental health condition.</w:t>
            </w:r>
          </w:p>
          <w:p w14:paraId="69EE6210" w14:textId="77777777" w:rsidR="00A854FD" w:rsidRPr="00103DBC" w:rsidRDefault="00A854FD" w:rsidP="00A854FD"/>
          <w:p w14:paraId="7934E0D7" w14:textId="77777777" w:rsidR="00A854FD" w:rsidRPr="00103DBC" w:rsidRDefault="00A854FD" w:rsidP="00A854FD">
            <w:r w:rsidRPr="00103DBC">
              <w:t xml:space="preserve">Public Health Outcomes Framework (PHOF), 1.8iii </w:t>
            </w:r>
          </w:p>
          <w:p w14:paraId="7CA2A0EC" w14:textId="77777777" w:rsidR="00A854FD" w:rsidRPr="00103DBC" w:rsidRDefault="00A854FD" w:rsidP="00A854FD">
            <w:r w:rsidRPr="00103DBC">
              <w:t xml:space="preserve">This indicator shows the difference between two employment rates at local authority level: adults in contact with secondary mental health services in paid employment, compared to the percentage of all respondents to the Annual Population Survey.  The proposed indicator is </w:t>
            </w:r>
            <w:proofErr w:type="gramStart"/>
            <w:r w:rsidRPr="00103DBC">
              <w:t>similar to</w:t>
            </w:r>
            <w:proofErr w:type="gramEnd"/>
            <w:r w:rsidRPr="00103DBC">
              <w:t xml:space="preserve"> the first part of this.</w:t>
            </w:r>
          </w:p>
          <w:p w14:paraId="060471A7" w14:textId="77777777" w:rsidR="00A854FD" w:rsidRPr="00103DBC" w:rsidRDefault="00A854FD" w:rsidP="00A854FD"/>
        </w:tc>
      </w:tr>
      <w:tr w:rsidR="00A854FD" w:rsidRPr="00103DBC" w14:paraId="3503DDB3" w14:textId="77777777" w:rsidTr="00B34530">
        <w:tc>
          <w:tcPr>
            <w:tcW w:w="2119" w:type="dxa"/>
          </w:tcPr>
          <w:p w14:paraId="614CA81D" w14:textId="77777777" w:rsidR="00A854FD" w:rsidRPr="00103DBC" w:rsidRDefault="00A854FD" w:rsidP="00A854FD">
            <w:r w:rsidRPr="00103DBC">
              <w:t>Implementation Method</w:t>
            </w:r>
          </w:p>
          <w:p w14:paraId="54DA3A13" w14:textId="77777777" w:rsidR="00A854FD" w:rsidRPr="00103DBC" w:rsidRDefault="00A854FD" w:rsidP="00A854FD">
            <w:pPr>
              <w:rPr>
                <w:i/>
              </w:rPr>
            </w:pPr>
            <w:r w:rsidRPr="00103DBC">
              <w:t>[inc production funding]</w:t>
            </w:r>
          </w:p>
        </w:tc>
        <w:tc>
          <w:tcPr>
            <w:tcW w:w="7804" w:type="dxa"/>
          </w:tcPr>
          <w:p w14:paraId="52F2C710" w14:textId="77777777" w:rsidR="00A854FD" w:rsidRPr="00103DBC" w:rsidRDefault="00A854FD" w:rsidP="00A854FD">
            <w:r w:rsidRPr="00103DBC">
              <w:t xml:space="preserve">NHS England has commissioned HSCIC to produce and disseminate the CCG OIS indicators; this is funded via the Grant </w:t>
            </w:r>
            <w:proofErr w:type="gramStart"/>
            <w:r w:rsidRPr="00103DBC">
              <w:t>In</w:t>
            </w:r>
            <w:proofErr w:type="gramEnd"/>
            <w:r w:rsidRPr="00103DBC">
              <w:t xml:space="preserve"> Aid funding to HSCIC.</w:t>
            </w:r>
          </w:p>
          <w:p w14:paraId="46CB9AB0" w14:textId="77777777" w:rsidR="00A854FD" w:rsidRPr="00103DBC" w:rsidRDefault="00A854FD" w:rsidP="00A854FD"/>
          <w:p w14:paraId="0BFA1EAB" w14:textId="77777777" w:rsidR="00A854FD" w:rsidRPr="00103DBC" w:rsidRDefault="00A854FD" w:rsidP="00A854FD">
            <w:r w:rsidRPr="00103DBC">
              <w:t>Collection of the data for the CCG OIS is via existing data collections, in this case by the Mental Health Minimum Dataset (MHMDS).  Testing and specification of this indicator was carried out by the Specification Development Service.  The construction of the indicators will be carried out by Clinical Indicators via the CI Platform at HSCIC.</w:t>
            </w:r>
          </w:p>
          <w:p w14:paraId="1577399A" w14:textId="77777777" w:rsidR="00A854FD" w:rsidRPr="00103DBC" w:rsidRDefault="00A854FD" w:rsidP="00A854FD"/>
          <w:p w14:paraId="19E97442" w14:textId="77777777" w:rsidR="00A854FD" w:rsidRPr="00103DBC" w:rsidRDefault="00A854FD" w:rsidP="00A854FD">
            <w:r w:rsidRPr="00103DBC">
              <w:t xml:space="preserve">Dissemination and presentation of the CCG OIS will be via </w:t>
            </w:r>
            <w:proofErr w:type="gramStart"/>
            <w:r w:rsidRPr="00103DBC">
              <w:t>a number of</w:t>
            </w:r>
            <w:proofErr w:type="gramEnd"/>
            <w:r w:rsidRPr="00103DBC">
              <w:t xml:space="preserve"> routes:</w:t>
            </w:r>
          </w:p>
          <w:p w14:paraId="2C1DBB01" w14:textId="760226F4" w:rsidR="00A854FD" w:rsidRPr="00103DBC" w:rsidRDefault="00A854FD" w:rsidP="00A854FD">
            <w:pPr>
              <w:pStyle w:val="ListParagraph"/>
              <w:numPr>
                <w:ilvl w:val="0"/>
                <w:numId w:val="24"/>
              </w:numPr>
            </w:pPr>
            <w:r w:rsidRPr="00103DBC">
              <w:t xml:space="preserve">The indicators and their underlying data will be made publicly available via the HSCIC website and the Indicator Portal. </w:t>
            </w:r>
          </w:p>
          <w:p w14:paraId="0B9BE398" w14:textId="77777777" w:rsidR="00A854FD" w:rsidRPr="00103DBC" w:rsidRDefault="00A854FD" w:rsidP="00A854FD">
            <w:pPr>
              <w:pStyle w:val="ListParagraph"/>
              <w:numPr>
                <w:ilvl w:val="0"/>
                <w:numId w:val="24"/>
              </w:numPr>
            </w:pPr>
            <w:r w:rsidRPr="00103DBC">
              <w:t>The data will also be provided to NHS England for use in their internal Intelligence Tool.</w:t>
            </w:r>
          </w:p>
          <w:p w14:paraId="7676E39B" w14:textId="77777777" w:rsidR="00A854FD" w:rsidRPr="00103DBC" w:rsidRDefault="00A854FD" w:rsidP="00A854FD"/>
          <w:p w14:paraId="4A06A3A6" w14:textId="77777777" w:rsidR="00A854FD" w:rsidRPr="00103DBC" w:rsidRDefault="00A854FD" w:rsidP="00A854FD">
            <w:r w:rsidRPr="00103DBC">
              <w:t xml:space="preserve">Subject to confirmation by NHS England, the calculated indicator, numerator and denominator for CCGs will be supplied by messaging to the Calculating </w:t>
            </w:r>
            <w:r w:rsidRPr="00103DBC">
              <w:lastRenderedPageBreak/>
              <w:t>Quality Reporting Service (CQRS) for use by CCGs as part of their management information.</w:t>
            </w:r>
          </w:p>
          <w:p w14:paraId="7BC0F855" w14:textId="77777777" w:rsidR="00A854FD" w:rsidRPr="00103DBC" w:rsidRDefault="00A854FD" w:rsidP="00A854FD"/>
        </w:tc>
      </w:tr>
    </w:tbl>
    <w:p w14:paraId="705CE993" w14:textId="77777777" w:rsidR="000D2247" w:rsidRPr="00103DBC" w:rsidRDefault="000D2247" w:rsidP="00103DBC"/>
    <w:p w14:paraId="51DCA842" w14:textId="77777777" w:rsidR="000D2247" w:rsidRPr="00103DBC" w:rsidRDefault="000D2247" w:rsidP="00103DBC"/>
    <w:tbl>
      <w:tblPr>
        <w:tblStyle w:val="TableGrid"/>
        <w:tblW w:w="9923" w:type="dxa"/>
        <w:tblLayout w:type="fixed"/>
        <w:tblLook w:val="01E0" w:firstRow="1" w:lastRow="1" w:firstColumn="1" w:lastColumn="1" w:noHBand="0" w:noVBand="0"/>
      </w:tblPr>
      <w:tblGrid>
        <w:gridCol w:w="2119"/>
        <w:gridCol w:w="7804"/>
      </w:tblGrid>
      <w:tr w:rsidR="00A854FD" w:rsidRPr="00103DBC" w14:paraId="7C6E5E5A" w14:textId="77777777" w:rsidTr="00B34530">
        <w:trPr>
          <w:trHeight w:val="404"/>
        </w:trPr>
        <w:tc>
          <w:tcPr>
            <w:tcW w:w="2119" w:type="dxa"/>
          </w:tcPr>
          <w:p w14:paraId="2D87D109" w14:textId="77777777" w:rsidR="00A854FD" w:rsidRPr="00103DBC" w:rsidRDefault="00A854FD" w:rsidP="00103DBC"/>
        </w:tc>
        <w:tc>
          <w:tcPr>
            <w:tcW w:w="7804" w:type="dxa"/>
          </w:tcPr>
          <w:p w14:paraId="4E6B10BF" w14:textId="226852EA" w:rsidR="00A854FD" w:rsidRPr="00103DBC" w:rsidRDefault="00A854FD" w:rsidP="00103DBC">
            <w:r w:rsidRPr="00103DBC">
              <w:rPr>
                <w:b/>
              </w:rPr>
              <w:t>Development Advice / Peer Review (undertaken as part of assurance process)</w:t>
            </w:r>
          </w:p>
        </w:tc>
      </w:tr>
      <w:tr w:rsidR="00103DBC" w:rsidRPr="00103DBC" w14:paraId="3931990B" w14:textId="77777777" w:rsidTr="00B34530">
        <w:trPr>
          <w:trHeight w:val="404"/>
        </w:trPr>
        <w:tc>
          <w:tcPr>
            <w:tcW w:w="2119" w:type="dxa"/>
          </w:tcPr>
          <w:p w14:paraId="47F45F47" w14:textId="77777777" w:rsidR="000D2247" w:rsidRPr="00103DBC" w:rsidRDefault="000D2247" w:rsidP="00103DBC">
            <w:r w:rsidRPr="00103DBC">
              <w:t>Range of input during development</w:t>
            </w:r>
          </w:p>
        </w:tc>
        <w:tc>
          <w:tcPr>
            <w:tcW w:w="7804" w:type="dxa"/>
          </w:tcPr>
          <w:p w14:paraId="04F80056" w14:textId="77777777" w:rsidR="000D2247" w:rsidRPr="00103DBC" w:rsidRDefault="000D2247" w:rsidP="00103DBC">
            <w:r w:rsidRPr="00103DBC">
              <w:t>HSCIC Mental Health team have advised on the use of MHMDS data.</w:t>
            </w:r>
          </w:p>
        </w:tc>
      </w:tr>
      <w:tr w:rsidR="00103DBC" w:rsidRPr="00103DBC" w14:paraId="05EE775C" w14:textId="77777777" w:rsidTr="00B34530">
        <w:trPr>
          <w:trHeight w:val="413"/>
        </w:trPr>
        <w:tc>
          <w:tcPr>
            <w:tcW w:w="2119" w:type="dxa"/>
          </w:tcPr>
          <w:p w14:paraId="3EC8FE82" w14:textId="77777777" w:rsidR="000D2247" w:rsidRPr="00103DBC" w:rsidRDefault="000D2247" w:rsidP="00103DBC">
            <w:r w:rsidRPr="00103DBC">
              <w:t>Assurance Service</w:t>
            </w:r>
          </w:p>
          <w:p w14:paraId="3FD88DF4" w14:textId="77777777" w:rsidR="000D2247" w:rsidRPr="00103DBC" w:rsidRDefault="000D2247" w:rsidP="00103DBC">
            <w:pPr>
              <w:rPr>
                <w:i/>
              </w:rPr>
            </w:pPr>
            <w:r w:rsidRPr="00103DBC">
              <w:t>Peer Reviewers:</w:t>
            </w:r>
          </w:p>
        </w:tc>
        <w:tc>
          <w:tcPr>
            <w:tcW w:w="7804" w:type="dxa"/>
          </w:tcPr>
          <w:p w14:paraId="71CAA37A" w14:textId="77777777" w:rsidR="000D2247" w:rsidRPr="00103DBC" w:rsidRDefault="000D2247" w:rsidP="00103DBC">
            <w:r w:rsidRPr="00103DBC">
              <w:t>Andrea Johnson, Clinical Indicators, HSCIC</w:t>
            </w:r>
          </w:p>
        </w:tc>
      </w:tr>
      <w:tr w:rsidR="00103DBC" w:rsidRPr="00103DBC" w14:paraId="4D851E7C" w14:textId="77777777" w:rsidTr="00B34530">
        <w:trPr>
          <w:trHeight w:val="413"/>
        </w:trPr>
        <w:tc>
          <w:tcPr>
            <w:tcW w:w="2119" w:type="dxa"/>
          </w:tcPr>
          <w:p w14:paraId="2865B79A" w14:textId="77777777" w:rsidR="000D2247" w:rsidRPr="00103DBC" w:rsidRDefault="000D2247" w:rsidP="00103DBC">
            <w:r w:rsidRPr="00103DBC">
              <w:t>Peer Review summary:</w:t>
            </w:r>
          </w:p>
        </w:tc>
        <w:tc>
          <w:tcPr>
            <w:tcW w:w="7804" w:type="dxa"/>
          </w:tcPr>
          <w:p w14:paraId="614144BE" w14:textId="77777777" w:rsidR="000D2247" w:rsidRPr="00103DBC" w:rsidRDefault="000D2247" w:rsidP="00103DBC">
            <w:r w:rsidRPr="00103DBC">
              <w:t>Comments received from peer review are summarised below. All were subsequently discussed at MRG.</w:t>
            </w:r>
          </w:p>
          <w:p w14:paraId="1FF716E6" w14:textId="77777777" w:rsidR="000D2247" w:rsidRPr="00103DBC" w:rsidRDefault="000D2247" w:rsidP="00103DBC">
            <w:pPr>
              <w:rPr>
                <w:highlight w:val="yellow"/>
              </w:rPr>
            </w:pPr>
            <w:r w:rsidRPr="00103DBC">
              <w:rPr>
                <w:highlight w:val="yellow"/>
              </w:rPr>
              <w:t xml:space="preserve"> </w:t>
            </w:r>
          </w:p>
          <w:p w14:paraId="65364248" w14:textId="77777777" w:rsidR="000D2247" w:rsidRPr="00103DBC" w:rsidRDefault="000D2247" w:rsidP="00103DBC">
            <w:r w:rsidRPr="00103DBC">
              <w:t>The peer reviewer noted that:</w:t>
            </w:r>
          </w:p>
          <w:p w14:paraId="6D999DFE" w14:textId="77777777" w:rsidR="000D2247" w:rsidRPr="00103DBC" w:rsidRDefault="000D2247" w:rsidP="000D2247">
            <w:pPr>
              <w:pStyle w:val="ListParagraph"/>
              <w:numPr>
                <w:ilvl w:val="0"/>
                <w:numId w:val="23"/>
              </w:numPr>
              <w:ind w:left="360"/>
            </w:pPr>
            <w:r w:rsidRPr="00103DBC">
              <w:t>Although whole population local labour force statistics are available at Local Authority level, they are not currently available and are not able to be produced at CCG level.  Where CCG boundaries are not co-terminus with LA boundaries, reliable comparisons cannot be made.</w:t>
            </w:r>
          </w:p>
          <w:p w14:paraId="394F114F" w14:textId="77777777" w:rsidR="000D2247" w:rsidRPr="00103DBC" w:rsidRDefault="000D2247" w:rsidP="000D2247">
            <w:pPr>
              <w:pStyle w:val="ListParagraph"/>
              <w:numPr>
                <w:ilvl w:val="0"/>
                <w:numId w:val="23"/>
              </w:numPr>
              <w:ind w:left="360"/>
            </w:pPr>
            <w:r w:rsidRPr="00103DBC">
              <w:t xml:space="preserve">The wider economy and general local employment opportunities (i.e. not just those in receipt of secondary mental health services) could affect performance on this indicator. </w:t>
            </w:r>
          </w:p>
          <w:p w14:paraId="2957DD3E" w14:textId="001802A7" w:rsidR="000D2247" w:rsidRPr="00103DBC" w:rsidRDefault="000D2247" w:rsidP="000D2247">
            <w:pPr>
              <w:pStyle w:val="ListParagraph"/>
              <w:numPr>
                <w:ilvl w:val="0"/>
                <w:numId w:val="23"/>
              </w:numPr>
              <w:ind w:left="360"/>
            </w:pPr>
            <w:r w:rsidRPr="00103DBC">
              <w:t xml:space="preserve">The original application did not </w:t>
            </w:r>
            <w:r w:rsidR="004D28F6" w:rsidRPr="00103DBC">
              <w:t>explicitly</w:t>
            </w:r>
            <w:r w:rsidRPr="00103DBC">
              <w:t xml:space="preserve"> specify if those without a valid employment code are excluded or included in the dataset. Issues of missing data and how it is handled are not explained.  This was subsequently covered in the MRG discussion regarding the update on data completeness.</w:t>
            </w:r>
          </w:p>
          <w:p w14:paraId="2ACF4953" w14:textId="77777777" w:rsidR="000D2247" w:rsidRPr="00103DBC" w:rsidRDefault="000D2247" w:rsidP="000D2247">
            <w:pPr>
              <w:pStyle w:val="ListParagraph"/>
              <w:numPr>
                <w:ilvl w:val="0"/>
                <w:numId w:val="23"/>
              </w:numPr>
              <w:ind w:left="360"/>
            </w:pPr>
            <w:r w:rsidRPr="00103DBC">
              <w:t>Training and voluntary work are excluded from the indicator. The evidence base mentions that paid work reduces the risk of social isolation. The same could be argued for voluntary work and training as both get people socially involved and enhance skills necessary for employment.  This was tested at the MRG stage.</w:t>
            </w:r>
          </w:p>
          <w:p w14:paraId="6D3CB8A9" w14:textId="77777777" w:rsidR="000D2247" w:rsidRPr="00103DBC" w:rsidRDefault="000D2247" w:rsidP="00103DBC">
            <w:pPr>
              <w:spacing w:after="120"/>
            </w:pPr>
          </w:p>
        </w:tc>
      </w:tr>
    </w:tbl>
    <w:p w14:paraId="06EF54E4" w14:textId="4A0F20FC" w:rsidR="000D2247" w:rsidRDefault="000D2247" w:rsidP="00103DBC"/>
    <w:p w14:paraId="6A63265E" w14:textId="696F104B" w:rsidR="00D54FE0" w:rsidRDefault="00D54FE0" w:rsidP="00103DBC">
      <w:r>
        <w:t>Record of MRG discussions:</w:t>
      </w:r>
    </w:p>
    <w:p w14:paraId="4171464D" w14:textId="6C894D30" w:rsidR="00D54FE0" w:rsidRDefault="00D54FE0" w:rsidP="00103DBC">
      <w:r w:rsidRPr="00103DBC">
        <w:t>Discussion dates:</w:t>
      </w:r>
      <w:r>
        <w:t xml:space="preserve"> </w:t>
      </w:r>
      <w:r w:rsidRPr="00103DBC">
        <w:t>20/09/13 18/10/13</w:t>
      </w:r>
      <w:r>
        <w:t xml:space="preserve"> </w:t>
      </w:r>
      <w:r w:rsidRPr="00103DBC">
        <w:t>&amp; 28/02/14</w:t>
      </w:r>
    </w:p>
    <w:p w14:paraId="204E07AD" w14:textId="77777777" w:rsidR="00D54FE0" w:rsidRPr="00103DBC" w:rsidRDefault="00D54FE0" w:rsidP="00103DB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1915"/>
        <w:gridCol w:w="4724"/>
      </w:tblGrid>
      <w:tr w:rsidR="00D54FE0" w:rsidRPr="00103DBC" w14:paraId="71CB710B" w14:textId="77777777" w:rsidTr="00DD3C37">
        <w:tc>
          <w:tcPr>
            <w:tcW w:w="1322" w:type="pct"/>
          </w:tcPr>
          <w:p w14:paraId="024DBFD1" w14:textId="77777777" w:rsidR="00D54FE0" w:rsidRPr="00103DBC" w:rsidRDefault="00D54FE0" w:rsidP="00DD3C37">
            <w:r w:rsidRPr="00103DBC">
              <w:t>Heather Dawe</w:t>
            </w:r>
          </w:p>
        </w:tc>
        <w:tc>
          <w:tcPr>
            <w:tcW w:w="1061" w:type="pct"/>
          </w:tcPr>
          <w:p w14:paraId="7BC46B9F" w14:textId="77777777" w:rsidR="00D54FE0" w:rsidRPr="00103DBC" w:rsidRDefault="00D54FE0" w:rsidP="00DD3C37">
            <w:r w:rsidRPr="00103DBC">
              <w:t>HSCIC</w:t>
            </w:r>
          </w:p>
        </w:tc>
        <w:tc>
          <w:tcPr>
            <w:tcW w:w="2618" w:type="pct"/>
          </w:tcPr>
          <w:p w14:paraId="3961A388" w14:textId="77777777" w:rsidR="00D54FE0" w:rsidRPr="00103DBC" w:rsidRDefault="00D54FE0" w:rsidP="00DD3C37">
            <w:r w:rsidRPr="00103DBC">
              <w:t>Programme Manager, Clinical Indicators</w:t>
            </w:r>
          </w:p>
        </w:tc>
      </w:tr>
      <w:tr w:rsidR="00D54FE0" w:rsidRPr="00103DBC" w14:paraId="24434B29" w14:textId="77777777" w:rsidTr="00DD3C37">
        <w:tc>
          <w:tcPr>
            <w:tcW w:w="1322" w:type="pct"/>
          </w:tcPr>
          <w:p w14:paraId="24BCAEA1" w14:textId="77777777" w:rsidR="00D54FE0" w:rsidRPr="00103DBC" w:rsidRDefault="00D54FE0" w:rsidP="00DD3C37">
            <w:r w:rsidRPr="00103DBC">
              <w:t>Paul Fryers</w:t>
            </w:r>
          </w:p>
        </w:tc>
        <w:tc>
          <w:tcPr>
            <w:tcW w:w="1061" w:type="pct"/>
          </w:tcPr>
          <w:p w14:paraId="7584253C" w14:textId="77777777" w:rsidR="00D54FE0" w:rsidRPr="00103DBC" w:rsidRDefault="00D54FE0" w:rsidP="00DD3C37">
            <w:r w:rsidRPr="00103DBC">
              <w:t>Public Health England</w:t>
            </w:r>
          </w:p>
        </w:tc>
        <w:tc>
          <w:tcPr>
            <w:tcW w:w="2618" w:type="pct"/>
            <w:vAlign w:val="center"/>
          </w:tcPr>
          <w:p w14:paraId="69956B53" w14:textId="77777777" w:rsidR="00D54FE0" w:rsidRPr="00103DBC" w:rsidRDefault="00D54FE0" w:rsidP="00DD3C37">
            <w:r w:rsidRPr="00103DBC">
              <w:t>Deputy Director, East Midlands Knowledge and Intelligence Team</w:t>
            </w:r>
          </w:p>
        </w:tc>
      </w:tr>
      <w:tr w:rsidR="00D54FE0" w:rsidRPr="00103DBC" w14:paraId="7DE69853" w14:textId="77777777" w:rsidTr="00DD3C37">
        <w:tc>
          <w:tcPr>
            <w:tcW w:w="1322" w:type="pct"/>
          </w:tcPr>
          <w:p w14:paraId="44A72EF9" w14:textId="77777777" w:rsidR="00D54FE0" w:rsidRPr="00103DBC" w:rsidRDefault="00D54FE0" w:rsidP="00DD3C37">
            <w:r w:rsidRPr="00103DBC">
              <w:t>Alyson Whitmarsh</w:t>
            </w:r>
          </w:p>
        </w:tc>
        <w:tc>
          <w:tcPr>
            <w:tcW w:w="1061" w:type="pct"/>
          </w:tcPr>
          <w:p w14:paraId="5CC1E072" w14:textId="77777777" w:rsidR="00D54FE0" w:rsidRPr="00103DBC" w:rsidRDefault="00D54FE0" w:rsidP="00DD3C37">
            <w:r w:rsidRPr="00103DBC">
              <w:t>HSCIC</w:t>
            </w:r>
          </w:p>
        </w:tc>
        <w:tc>
          <w:tcPr>
            <w:tcW w:w="2618" w:type="pct"/>
            <w:vAlign w:val="center"/>
          </w:tcPr>
          <w:p w14:paraId="14CC5507" w14:textId="77777777" w:rsidR="00D54FE0" w:rsidRPr="00103DBC" w:rsidRDefault="00D54FE0" w:rsidP="00DD3C37">
            <w:r w:rsidRPr="00103DBC">
              <w:t>Programme Manager, Clinical Audit</w:t>
            </w:r>
          </w:p>
        </w:tc>
      </w:tr>
      <w:tr w:rsidR="00D54FE0" w:rsidRPr="00103DBC" w14:paraId="2B3203C2" w14:textId="77777777" w:rsidTr="00DD3C37">
        <w:tc>
          <w:tcPr>
            <w:tcW w:w="1322" w:type="pct"/>
          </w:tcPr>
          <w:p w14:paraId="126E9D7E" w14:textId="77777777" w:rsidR="00D54FE0" w:rsidRPr="00103DBC" w:rsidRDefault="00D54FE0" w:rsidP="00DD3C37">
            <w:r w:rsidRPr="00103DBC">
              <w:t xml:space="preserve">Irena </w:t>
            </w:r>
            <w:proofErr w:type="spellStart"/>
            <w:r w:rsidRPr="00103DBC">
              <w:t>Begaj</w:t>
            </w:r>
            <w:proofErr w:type="spellEnd"/>
            <w:r w:rsidRPr="00103DBC">
              <w:t xml:space="preserve"> </w:t>
            </w:r>
          </w:p>
        </w:tc>
        <w:tc>
          <w:tcPr>
            <w:tcW w:w="1061" w:type="pct"/>
          </w:tcPr>
          <w:p w14:paraId="389CAFA2" w14:textId="77777777" w:rsidR="00D54FE0" w:rsidRPr="00103DBC" w:rsidRDefault="00D54FE0" w:rsidP="00DD3C37">
            <w:r w:rsidRPr="00103DBC">
              <w:t>UHB</w:t>
            </w:r>
          </w:p>
        </w:tc>
        <w:tc>
          <w:tcPr>
            <w:tcW w:w="2618" w:type="pct"/>
          </w:tcPr>
          <w:p w14:paraId="6E0AB0EA" w14:textId="77777777" w:rsidR="00D54FE0" w:rsidRPr="00103DBC" w:rsidRDefault="00D54FE0" w:rsidP="00DD3C37">
            <w:r w:rsidRPr="00103DBC">
              <w:t>Statistical Intelligence Analyst</w:t>
            </w:r>
          </w:p>
        </w:tc>
      </w:tr>
      <w:tr w:rsidR="00D54FE0" w:rsidRPr="00103DBC" w14:paraId="390CF088" w14:textId="77777777" w:rsidTr="00DD3C37">
        <w:tc>
          <w:tcPr>
            <w:tcW w:w="1322" w:type="pct"/>
          </w:tcPr>
          <w:p w14:paraId="38C701F8" w14:textId="77777777" w:rsidR="00D54FE0" w:rsidRPr="00103DBC" w:rsidRDefault="00D54FE0" w:rsidP="00DD3C37">
            <w:r w:rsidRPr="00103DBC">
              <w:t>Chris Dew</w:t>
            </w:r>
          </w:p>
        </w:tc>
        <w:tc>
          <w:tcPr>
            <w:tcW w:w="1061" w:type="pct"/>
          </w:tcPr>
          <w:p w14:paraId="45A34E6D" w14:textId="77777777" w:rsidR="00D54FE0" w:rsidRPr="00103DBC" w:rsidRDefault="00D54FE0" w:rsidP="00DD3C37">
            <w:r w:rsidRPr="00103DBC">
              <w:t>HSCIC</w:t>
            </w:r>
          </w:p>
        </w:tc>
        <w:tc>
          <w:tcPr>
            <w:tcW w:w="2618" w:type="pct"/>
          </w:tcPr>
          <w:p w14:paraId="25048271" w14:textId="77777777" w:rsidR="00D54FE0" w:rsidRPr="00103DBC" w:rsidRDefault="00D54FE0" w:rsidP="00DD3C37">
            <w:r w:rsidRPr="00103DBC">
              <w:t>Section Head, Clinical Indicators</w:t>
            </w:r>
          </w:p>
        </w:tc>
      </w:tr>
      <w:tr w:rsidR="00D54FE0" w:rsidRPr="00103DBC" w14:paraId="46AF496F" w14:textId="77777777" w:rsidTr="00DD3C37">
        <w:tc>
          <w:tcPr>
            <w:tcW w:w="1322" w:type="pct"/>
          </w:tcPr>
          <w:p w14:paraId="4074762F" w14:textId="77777777" w:rsidR="00D54FE0" w:rsidRPr="00103DBC" w:rsidRDefault="00D54FE0" w:rsidP="00DD3C37">
            <w:r w:rsidRPr="00103DBC">
              <w:t>Andy Sutherland</w:t>
            </w:r>
          </w:p>
        </w:tc>
        <w:tc>
          <w:tcPr>
            <w:tcW w:w="1061" w:type="pct"/>
          </w:tcPr>
          <w:p w14:paraId="4EE6CEAD" w14:textId="77777777" w:rsidR="00D54FE0" w:rsidRPr="00103DBC" w:rsidRDefault="00D54FE0" w:rsidP="00DD3C37">
            <w:r w:rsidRPr="00103DBC">
              <w:t>HSCIC</w:t>
            </w:r>
          </w:p>
        </w:tc>
        <w:tc>
          <w:tcPr>
            <w:tcW w:w="2618" w:type="pct"/>
          </w:tcPr>
          <w:p w14:paraId="0793A861" w14:textId="77777777" w:rsidR="00D54FE0" w:rsidRPr="00103DBC" w:rsidRDefault="00D54FE0" w:rsidP="00DD3C37">
            <w:r w:rsidRPr="00103DBC">
              <w:t>Statistics Head of Profession</w:t>
            </w:r>
          </w:p>
        </w:tc>
      </w:tr>
      <w:tr w:rsidR="00D54FE0" w:rsidRPr="00103DBC" w14:paraId="1606095A" w14:textId="77777777" w:rsidTr="00DD3C37">
        <w:tc>
          <w:tcPr>
            <w:tcW w:w="1322" w:type="pct"/>
          </w:tcPr>
          <w:p w14:paraId="4DA10A01" w14:textId="77777777" w:rsidR="00D54FE0" w:rsidRPr="00103DBC" w:rsidRDefault="00D54FE0" w:rsidP="00DD3C37">
            <w:r w:rsidRPr="00103DBC">
              <w:t>Daniel Sutcliffe</w:t>
            </w:r>
          </w:p>
        </w:tc>
        <w:tc>
          <w:tcPr>
            <w:tcW w:w="1061" w:type="pct"/>
          </w:tcPr>
          <w:p w14:paraId="3609AAAC" w14:textId="77777777" w:rsidR="00D54FE0" w:rsidRPr="00103DBC" w:rsidRDefault="00D54FE0" w:rsidP="00DD3C37">
            <w:r w:rsidRPr="00103DBC">
              <w:t>NICE</w:t>
            </w:r>
          </w:p>
        </w:tc>
        <w:tc>
          <w:tcPr>
            <w:tcW w:w="2618" w:type="pct"/>
            <w:vAlign w:val="center"/>
          </w:tcPr>
          <w:p w14:paraId="2BE547F3" w14:textId="77777777" w:rsidR="00D54FE0" w:rsidRPr="00103DBC" w:rsidRDefault="00D54FE0" w:rsidP="00DD3C37">
            <w:r w:rsidRPr="00103DBC">
              <w:t>Programme Manager</w:t>
            </w:r>
          </w:p>
        </w:tc>
      </w:tr>
      <w:tr w:rsidR="00D54FE0" w:rsidRPr="00103DBC" w14:paraId="4FBAFC3E" w14:textId="77777777" w:rsidTr="00DD3C37">
        <w:tc>
          <w:tcPr>
            <w:tcW w:w="1322" w:type="pct"/>
          </w:tcPr>
          <w:p w14:paraId="00A16D88" w14:textId="77777777" w:rsidR="00D54FE0" w:rsidRPr="00103DBC" w:rsidRDefault="00D54FE0" w:rsidP="00DD3C37">
            <w:r w:rsidRPr="00103DBC">
              <w:t xml:space="preserve">Paul </w:t>
            </w:r>
            <w:proofErr w:type="spellStart"/>
            <w:r w:rsidRPr="00103DBC">
              <w:t>Iggulden</w:t>
            </w:r>
            <w:proofErr w:type="spellEnd"/>
          </w:p>
        </w:tc>
        <w:tc>
          <w:tcPr>
            <w:tcW w:w="1061" w:type="pct"/>
          </w:tcPr>
          <w:p w14:paraId="4BF3B7D9" w14:textId="77777777" w:rsidR="00D54FE0" w:rsidRPr="00103DBC" w:rsidRDefault="00D54FE0" w:rsidP="00DD3C37">
            <w:r w:rsidRPr="00103DBC">
              <w:t>HSCIC</w:t>
            </w:r>
          </w:p>
        </w:tc>
        <w:tc>
          <w:tcPr>
            <w:tcW w:w="2618" w:type="pct"/>
          </w:tcPr>
          <w:p w14:paraId="5FE0D793" w14:textId="77777777" w:rsidR="00D54FE0" w:rsidRPr="00103DBC" w:rsidRDefault="00D54FE0" w:rsidP="00DD3C37">
            <w:r w:rsidRPr="00103DBC">
              <w:t>Interim Head of Clinical Analysis Research &amp; Development</w:t>
            </w:r>
          </w:p>
        </w:tc>
      </w:tr>
      <w:tr w:rsidR="00D54FE0" w:rsidRPr="00103DBC" w14:paraId="6A392F50" w14:textId="77777777" w:rsidTr="00DD3C37">
        <w:tc>
          <w:tcPr>
            <w:tcW w:w="1322" w:type="pct"/>
          </w:tcPr>
          <w:p w14:paraId="536BA832" w14:textId="77777777" w:rsidR="00D54FE0" w:rsidRPr="00103DBC" w:rsidRDefault="00D54FE0" w:rsidP="00DD3C37">
            <w:r w:rsidRPr="00103DBC">
              <w:t>Julie Stroud</w:t>
            </w:r>
          </w:p>
        </w:tc>
        <w:tc>
          <w:tcPr>
            <w:tcW w:w="1061" w:type="pct"/>
          </w:tcPr>
          <w:p w14:paraId="64205F8D" w14:textId="77777777" w:rsidR="00D54FE0" w:rsidRPr="00103DBC" w:rsidRDefault="00D54FE0" w:rsidP="00DD3C37">
            <w:r w:rsidRPr="00103DBC">
              <w:t>HSCIC</w:t>
            </w:r>
          </w:p>
        </w:tc>
        <w:tc>
          <w:tcPr>
            <w:tcW w:w="2618" w:type="pct"/>
          </w:tcPr>
          <w:p w14:paraId="48FE98D0" w14:textId="77777777" w:rsidR="00D54FE0" w:rsidRPr="00103DBC" w:rsidRDefault="00D54FE0" w:rsidP="00DD3C37">
            <w:r w:rsidRPr="00103DBC">
              <w:t>Programme Head, Population Health</w:t>
            </w:r>
          </w:p>
        </w:tc>
      </w:tr>
      <w:tr w:rsidR="00D54FE0" w:rsidRPr="00103DBC" w14:paraId="0B05B76C" w14:textId="77777777" w:rsidTr="00DD3C37">
        <w:tc>
          <w:tcPr>
            <w:tcW w:w="1322" w:type="pct"/>
          </w:tcPr>
          <w:p w14:paraId="2ED90268" w14:textId="77777777" w:rsidR="00D54FE0" w:rsidRPr="00103DBC" w:rsidRDefault="00D54FE0" w:rsidP="00DD3C37">
            <w:r w:rsidRPr="00103DBC">
              <w:t>Gerry Firkins</w:t>
            </w:r>
          </w:p>
        </w:tc>
        <w:tc>
          <w:tcPr>
            <w:tcW w:w="1061" w:type="pct"/>
          </w:tcPr>
          <w:p w14:paraId="563E0A4D" w14:textId="77777777" w:rsidR="00D54FE0" w:rsidRPr="00103DBC" w:rsidRDefault="00D54FE0" w:rsidP="00DD3C37">
            <w:r w:rsidRPr="00103DBC">
              <w:t>HSCIC</w:t>
            </w:r>
          </w:p>
        </w:tc>
        <w:tc>
          <w:tcPr>
            <w:tcW w:w="2618" w:type="pct"/>
          </w:tcPr>
          <w:p w14:paraId="251E007E" w14:textId="77777777" w:rsidR="00D54FE0" w:rsidRPr="00103DBC" w:rsidRDefault="00D54FE0" w:rsidP="00DD3C37">
            <w:r w:rsidRPr="00103DBC">
              <w:t>NHS Sec Management Domain Lead</w:t>
            </w:r>
          </w:p>
        </w:tc>
      </w:tr>
      <w:tr w:rsidR="00D54FE0" w:rsidRPr="00103DBC" w14:paraId="75726814" w14:textId="77777777" w:rsidTr="00DD3C37">
        <w:tc>
          <w:tcPr>
            <w:tcW w:w="1322" w:type="pct"/>
          </w:tcPr>
          <w:p w14:paraId="755A4EF2" w14:textId="77777777" w:rsidR="00D54FE0" w:rsidRPr="00103DBC" w:rsidRDefault="00D54FE0" w:rsidP="00DD3C37">
            <w:r w:rsidRPr="00103DBC">
              <w:t>John Sharp</w:t>
            </w:r>
          </w:p>
        </w:tc>
        <w:tc>
          <w:tcPr>
            <w:tcW w:w="1061" w:type="pct"/>
          </w:tcPr>
          <w:p w14:paraId="24939A45" w14:textId="77777777" w:rsidR="00D54FE0" w:rsidRPr="00103DBC" w:rsidRDefault="00D54FE0" w:rsidP="00DD3C37">
            <w:r w:rsidRPr="00103DBC">
              <w:t>HSCIC</w:t>
            </w:r>
          </w:p>
        </w:tc>
        <w:tc>
          <w:tcPr>
            <w:tcW w:w="2618" w:type="pct"/>
          </w:tcPr>
          <w:p w14:paraId="4D920263" w14:textId="77777777" w:rsidR="00D54FE0" w:rsidRPr="00103DBC" w:rsidRDefault="00D54FE0" w:rsidP="00DD3C37">
            <w:r w:rsidRPr="00103DBC">
              <w:t>Head of Data Quality</w:t>
            </w:r>
          </w:p>
        </w:tc>
      </w:tr>
    </w:tbl>
    <w:p w14:paraId="26985A23" w14:textId="599DBCE2" w:rsidR="000D2247" w:rsidRDefault="000D2247" w:rsidP="00103DBC"/>
    <w:p w14:paraId="13641A33" w14:textId="77777777" w:rsidR="00D54FE0" w:rsidRPr="00103DBC" w:rsidRDefault="00D54FE0" w:rsidP="00103DBC"/>
    <w:tbl>
      <w:tblPr>
        <w:tblStyle w:val="TableGrid"/>
        <w:tblW w:w="9923" w:type="dxa"/>
        <w:tblLook w:val="01E0" w:firstRow="1" w:lastRow="1" w:firstColumn="1" w:lastColumn="1" w:noHBand="0" w:noVBand="0"/>
      </w:tblPr>
      <w:tblGrid>
        <w:gridCol w:w="2116"/>
        <w:gridCol w:w="7807"/>
      </w:tblGrid>
      <w:tr w:rsidR="00A854FD" w:rsidRPr="00103DBC" w14:paraId="65C35A5D" w14:textId="77777777" w:rsidTr="00A854FD">
        <w:tc>
          <w:tcPr>
            <w:tcW w:w="2116" w:type="dxa"/>
          </w:tcPr>
          <w:p w14:paraId="17B6ED05" w14:textId="77777777" w:rsidR="00A854FD" w:rsidRPr="00103DBC" w:rsidRDefault="00A854FD" w:rsidP="00A854FD">
            <w:r w:rsidRPr="00103DBC">
              <w:lastRenderedPageBreak/>
              <w:t xml:space="preserve">Summary of MRG discussions: </w:t>
            </w:r>
          </w:p>
        </w:tc>
        <w:tc>
          <w:tcPr>
            <w:tcW w:w="7807" w:type="dxa"/>
          </w:tcPr>
          <w:p w14:paraId="5FAFA53E" w14:textId="3A21E8FE" w:rsidR="00A854FD" w:rsidRPr="00103DBC" w:rsidRDefault="00A854FD" w:rsidP="00A854FD">
            <w:pPr>
              <w:pStyle w:val="ListParagraph"/>
              <w:numPr>
                <w:ilvl w:val="0"/>
                <w:numId w:val="23"/>
              </w:numPr>
              <w:ind w:left="360"/>
            </w:pPr>
            <w:r w:rsidRPr="00103DBC">
              <w:t xml:space="preserve">The number of indicators measuring the subject with different definitions was questioned, and whether the creation of another was justifiable. MRG concluded that if the definition is tied to the ASCOF approach this was acceptable, however the creation of a fourth definition was not desirable. It was queried as to what extent this indicator added value over the ones already in existence. </w:t>
            </w:r>
          </w:p>
          <w:p w14:paraId="70631FDA" w14:textId="2E36C677" w:rsidR="00A854FD" w:rsidRPr="00103DBC" w:rsidRDefault="00A854FD" w:rsidP="00A854FD">
            <w:pPr>
              <w:pStyle w:val="ListParagraph"/>
              <w:numPr>
                <w:ilvl w:val="0"/>
                <w:numId w:val="23"/>
              </w:numPr>
            </w:pPr>
            <w:r w:rsidRPr="00103DBC">
              <w:t xml:space="preserve">The applicant has identified that there are similar indicators in other outcome frameworks, but these cannot be produced at CCG level in </w:t>
            </w:r>
            <w:proofErr w:type="gramStart"/>
            <w:r w:rsidRPr="00103DBC">
              <w:t>the  indicator</w:t>
            </w:r>
            <w:proofErr w:type="gramEnd"/>
            <w:r w:rsidRPr="00103DBC">
              <w:t xml:space="preserve"> quality statement</w:t>
            </w:r>
          </w:p>
          <w:p w14:paraId="25C9D05A" w14:textId="77777777" w:rsidR="00A854FD" w:rsidRPr="00103DBC" w:rsidRDefault="00A854FD" w:rsidP="00A854FD"/>
          <w:p w14:paraId="4A4AE4BC" w14:textId="77777777" w:rsidR="00A854FD" w:rsidRPr="00103DBC" w:rsidRDefault="00A854FD" w:rsidP="00A854FD">
            <w:pPr>
              <w:pStyle w:val="ListParagraph"/>
              <w:numPr>
                <w:ilvl w:val="0"/>
                <w:numId w:val="23"/>
              </w:numPr>
              <w:ind w:left="360"/>
            </w:pPr>
            <w:r w:rsidRPr="00103DBC">
              <w:t>The title was amended. from ‘Proportion of’ to ‘Percentage of’</w:t>
            </w:r>
          </w:p>
          <w:p w14:paraId="3635EA8C" w14:textId="77777777" w:rsidR="00A854FD" w:rsidRPr="00103DBC" w:rsidRDefault="00A854FD" w:rsidP="00A854FD"/>
          <w:p w14:paraId="4D73C610" w14:textId="77777777" w:rsidR="00A854FD" w:rsidRPr="00103DBC" w:rsidRDefault="00A854FD" w:rsidP="00A854FD">
            <w:pPr>
              <w:pStyle w:val="ListParagraph"/>
              <w:numPr>
                <w:ilvl w:val="0"/>
                <w:numId w:val="23"/>
              </w:numPr>
              <w:ind w:left="360"/>
            </w:pPr>
            <w:r w:rsidRPr="00103DBC">
              <w:t xml:space="preserve">MRG queried what would happen if an individual had more than one interaction with mental health services. </w:t>
            </w:r>
          </w:p>
          <w:p w14:paraId="6D823F68" w14:textId="77777777" w:rsidR="00A854FD" w:rsidRPr="00103DBC" w:rsidRDefault="00A854FD" w:rsidP="00A854FD">
            <w:pPr>
              <w:pStyle w:val="ListParagraph"/>
              <w:numPr>
                <w:ilvl w:val="0"/>
                <w:numId w:val="23"/>
              </w:numPr>
            </w:pPr>
            <w:r w:rsidRPr="00103DBC">
              <w:t xml:space="preserve">The applicant updated the group that as it is the last episode counted, individuals would be counted once. MHMDS data tracks an individual </w:t>
            </w:r>
            <w:proofErr w:type="gramStart"/>
            <w:r w:rsidRPr="00103DBC">
              <w:t>in the event that</w:t>
            </w:r>
            <w:proofErr w:type="gramEnd"/>
            <w:r w:rsidRPr="00103DBC">
              <w:t xml:space="preserve"> they move as it is based on NHS number. Patients are tracked such that only the CCG of the most recent contact is counted and are only counted once in this indicator even if they have more than one practice or CCG in the period.</w:t>
            </w:r>
          </w:p>
          <w:p w14:paraId="38C772B1" w14:textId="77777777" w:rsidR="00A854FD" w:rsidRPr="00103DBC" w:rsidRDefault="00A854FD" w:rsidP="00A854FD"/>
          <w:p w14:paraId="5687B828" w14:textId="66F1D835" w:rsidR="00A854FD" w:rsidRPr="00103DBC" w:rsidRDefault="00A854FD" w:rsidP="00A854FD">
            <w:pPr>
              <w:pStyle w:val="ListParagraph"/>
              <w:numPr>
                <w:ilvl w:val="0"/>
                <w:numId w:val="23"/>
              </w:numPr>
              <w:ind w:left="360"/>
            </w:pPr>
            <w:r w:rsidRPr="00103DBC">
              <w:t xml:space="preserve">MRG noted that the severity of mental illness is not reflected in the indicator and it may be of interest to see if there were a difference between CCGs in the effect of severity of illness on the indicator. It was also noted that there were different models of care e.g. Tower Hamlets work to move people away from secondary care lists and have them managed by GPs. The less severe patients are therefore managed in primary care. MRG concluded that although it was felt that this may call into question some of the </w:t>
            </w:r>
            <w:proofErr w:type="gramStart"/>
            <w:r w:rsidRPr="00103DBC">
              <w:t>data,  a</w:t>
            </w:r>
            <w:proofErr w:type="gramEnd"/>
            <w:r w:rsidRPr="00103DBC">
              <w:t xml:space="preserve"> caveat could be placed on it rather than disregarding the usefulness of the indicator itself.</w:t>
            </w:r>
          </w:p>
          <w:p w14:paraId="2FB0B7CA" w14:textId="77777777" w:rsidR="00A854FD" w:rsidRPr="00103DBC" w:rsidRDefault="00A854FD" w:rsidP="00A854FD"/>
          <w:p w14:paraId="29879162" w14:textId="77777777" w:rsidR="00A854FD" w:rsidRPr="00103DBC" w:rsidRDefault="00A854FD" w:rsidP="00A854FD">
            <w:pPr>
              <w:pStyle w:val="ListParagraph"/>
              <w:numPr>
                <w:ilvl w:val="0"/>
                <w:numId w:val="23"/>
              </w:numPr>
              <w:ind w:left="360"/>
            </w:pPr>
            <w:r w:rsidRPr="00103DBC">
              <w:t xml:space="preserve">A query was raised about why the focus was only on paid employment and that unpaid employment was excluded, as the rationale points to employment and meaningful activity. The coding does give an option for unpaid voluntary work which was suggested </w:t>
            </w:r>
            <w:proofErr w:type="gramStart"/>
            <w:r w:rsidRPr="00103DBC">
              <w:t>as  a</w:t>
            </w:r>
            <w:proofErr w:type="gramEnd"/>
            <w:r w:rsidRPr="00103DBC">
              <w:t xml:space="preserve"> possible contextual indicator. </w:t>
            </w:r>
          </w:p>
          <w:p w14:paraId="50E11DA3" w14:textId="77777777" w:rsidR="00A854FD" w:rsidRPr="00103DBC" w:rsidRDefault="00A854FD" w:rsidP="00A854FD">
            <w:pPr>
              <w:pStyle w:val="ListParagraph"/>
              <w:numPr>
                <w:ilvl w:val="0"/>
                <w:numId w:val="23"/>
              </w:numPr>
              <w:ind w:left="360"/>
            </w:pPr>
            <w:r w:rsidRPr="00103DBC">
              <w:t xml:space="preserve">Further discussion took place regarding the use of the voluntary work and student/training codes. CCGs wanting to know if their services help people get better presents a strong case for having the voluntary work included. It was suggested to add a contextual indicator for voluntary work alongside the main indicator. </w:t>
            </w:r>
          </w:p>
          <w:p w14:paraId="673AE987" w14:textId="77777777" w:rsidR="00A854FD" w:rsidRPr="00103DBC" w:rsidRDefault="00A854FD" w:rsidP="00A854FD">
            <w:pPr>
              <w:pStyle w:val="ListParagraph"/>
              <w:numPr>
                <w:ilvl w:val="0"/>
                <w:numId w:val="23"/>
              </w:numPr>
            </w:pPr>
            <w:r w:rsidRPr="00103DBC">
              <w:t>Subsequent research was undertaken into producing a contextual indicator using code 07 – voluntary work. This revealed that in 206 CCGs (97.6%) the percentage of people doing unpaid voluntary work who are not working or actively seeking work is less than 3% of the number of adults who have received secondary mental health services.  In only 4 CCGs (in the same county) is the percentage more than 10%.  One reason for the low percentage in most CCGs would be the definition of the code 07, which excludes anybody doing unpaid voluntary work but who is actively seeking work.  Therefore, it was not considered to be useful.</w:t>
            </w:r>
          </w:p>
          <w:p w14:paraId="5A1DCEC9" w14:textId="77777777" w:rsidR="00A854FD" w:rsidRPr="00103DBC" w:rsidRDefault="00A854FD" w:rsidP="00A854FD">
            <w:pPr>
              <w:pStyle w:val="ListParagraph"/>
              <w:numPr>
                <w:ilvl w:val="0"/>
                <w:numId w:val="23"/>
              </w:numPr>
            </w:pPr>
            <w:r w:rsidRPr="00103DBC">
              <w:t xml:space="preserve">MRG concluded that although there was a view that voluntary work was beneficial to recovery for people with mental health issues, in this case the indicator outcome matches the title. It was felt that in the </w:t>
            </w:r>
            <w:r w:rsidRPr="00103DBC">
              <w:lastRenderedPageBreak/>
              <w:t>quality statement, it should specify that voluntary work is not included although it was appreciated that this may have the same benefits as paid work.</w:t>
            </w:r>
          </w:p>
          <w:p w14:paraId="4492E0B1" w14:textId="77777777" w:rsidR="00A854FD" w:rsidRPr="00103DBC" w:rsidRDefault="00A854FD" w:rsidP="00A854FD"/>
          <w:p w14:paraId="51C2C0D0" w14:textId="77777777" w:rsidR="00A854FD" w:rsidRPr="00103DBC" w:rsidRDefault="00A854FD" w:rsidP="00A854FD">
            <w:pPr>
              <w:pStyle w:val="ListParagraph"/>
              <w:numPr>
                <w:ilvl w:val="0"/>
                <w:numId w:val="23"/>
              </w:numPr>
              <w:ind w:left="360"/>
            </w:pPr>
            <w:r w:rsidRPr="00103DBC">
              <w:t xml:space="preserve">MRG members noted that the significant difference between this indicator and others in the NHSOF and PHOF is in not being able to access background employment rates, therefore having a high score on this indicator may be an indication that an area has high unemployment levels in general. This point needs to be </w:t>
            </w:r>
            <w:proofErr w:type="gramStart"/>
            <w:r w:rsidRPr="00103DBC">
              <w:t>absolutely clear</w:t>
            </w:r>
            <w:proofErr w:type="gramEnd"/>
            <w:r w:rsidRPr="00103DBC">
              <w:t xml:space="preserve"> in the metadata. </w:t>
            </w:r>
          </w:p>
          <w:p w14:paraId="376BD596" w14:textId="5F11A211" w:rsidR="00A854FD" w:rsidRPr="00103DBC" w:rsidRDefault="00A854FD" w:rsidP="00A854FD">
            <w:pPr>
              <w:pStyle w:val="ListParagraph"/>
              <w:numPr>
                <w:ilvl w:val="0"/>
                <w:numId w:val="23"/>
              </w:numPr>
            </w:pPr>
            <w:r w:rsidRPr="00103DBC">
              <w:t>The fact that it isn’t possible to incorporate local labour force survey information is included in the indicator quality statement as a limitation of the indicator.  The statement will also identify that when interpreting results, the user should be aware that a high score may be an indication that an area has high unemployment levels in general.</w:t>
            </w:r>
          </w:p>
          <w:p w14:paraId="3EEDB628" w14:textId="77777777" w:rsidR="00A854FD" w:rsidRPr="00103DBC" w:rsidRDefault="00A854FD" w:rsidP="00A854FD"/>
          <w:p w14:paraId="4071EE21" w14:textId="77777777" w:rsidR="00A854FD" w:rsidRPr="00103DBC" w:rsidRDefault="00D41F0B" w:rsidP="00A854FD">
            <w:r>
              <w:pict w14:anchorId="5D86CAF0">
                <v:rect id="_x0000_i1025" style="width:379.4pt;height:1pt" o:hralign="center" o:hrstd="t" o:hrnoshade="t" o:hr="t" fillcolor="#bfbfbf [2412]" stroked="f"/>
              </w:pict>
            </w:r>
          </w:p>
          <w:p w14:paraId="6DC93A68" w14:textId="77777777" w:rsidR="00A854FD" w:rsidRPr="00103DBC" w:rsidRDefault="00A854FD" w:rsidP="00A854FD"/>
          <w:p w14:paraId="5BD2A07D" w14:textId="6305530E" w:rsidR="00A854FD" w:rsidRPr="00103DBC" w:rsidRDefault="00A854FD" w:rsidP="00A854FD">
            <w:r w:rsidRPr="00103DBC">
              <w:t>Subsequent to the indicator being presented to MRG on 18th October 2013 (when it was recommended to progress to IGB), the applicant highlighted an error in the explanation of data quality.  As a result, the indicator returned to MRG for re-consideration with regards to the specific issue of data quality:</w:t>
            </w:r>
          </w:p>
          <w:p w14:paraId="3A63CD3A" w14:textId="77777777" w:rsidR="00A854FD" w:rsidRPr="00103DBC" w:rsidRDefault="00A854FD" w:rsidP="00A854FD"/>
          <w:p w14:paraId="21C5008A" w14:textId="521FEF78" w:rsidR="00A854FD" w:rsidRPr="00103DBC" w:rsidRDefault="00A854FD" w:rsidP="00A854FD">
            <w:pPr>
              <w:pStyle w:val="ListParagraph"/>
              <w:numPr>
                <w:ilvl w:val="0"/>
                <w:numId w:val="23"/>
              </w:numPr>
              <w:ind w:left="360"/>
            </w:pPr>
            <w:r w:rsidRPr="00103DBC">
              <w:t xml:space="preserve">In the original application it was stated that “The completeness of employment status within MHMDS is around 92% (June 2013)”.  However, this figure relates to the percentage of valid employment codes, where submitted by the Mental Health Provider.  This is different from the overall data completeness for this field which was 38% for the twelve months to the end of July 2013.  </w:t>
            </w:r>
          </w:p>
          <w:p w14:paraId="1DB27923" w14:textId="77777777" w:rsidR="00A854FD" w:rsidRPr="00103DBC" w:rsidRDefault="00A854FD" w:rsidP="00A854FD">
            <w:pPr>
              <w:pStyle w:val="ListParagraph"/>
              <w:numPr>
                <w:ilvl w:val="0"/>
                <w:numId w:val="23"/>
              </w:numPr>
              <w:ind w:left="360"/>
            </w:pPr>
            <w:r w:rsidRPr="00103DBC">
              <w:t xml:space="preserve">Employment status is a ‘required’ field in the MHMDS; this means that if the patient’s employment status is recorded then it must be submitted.  Clinical guidance recommends that the check on a patient’s employment status should be carried out annually; hence the status should be recorded and submitted once per year. </w:t>
            </w:r>
          </w:p>
          <w:p w14:paraId="62DE06BC" w14:textId="77777777" w:rsidR="00A854FD" w:rsidRPr="00103DBC" w:rsidRDefault="00A854FD" w:rsidP="00A854FD">
            <w:pPr>
              <w:pStyle w:val="ListParagraph"/>
              <w:numPr>
                <w:ilvl w:val="0"/>
                <w:numId w:val="23"/>
              </w:numPr>
              <w:ind w:left="360"/>
            </w:pPr>
            <w:r w:rsidRPr="00103DBC">
              <w:t xml:space="preserve">SDS and the Mental Health team have undertaken some additional work in this area as part of an external commitment to provide data focussed on people with serious mental illness (SMI).  By investigating the numbers of people with SMI who are in paid employment it has highlighted that the completeness of the employment status field increases to 54% for those with SMI.  This </w:t>
            </w:r>
            <w:proofErr w:type="gramStart"/>
            <w:r w:rsidRPr="00103DBC">
              <w:t>is a reflection of</w:t>
            </w:r>
            <w:proofErr w:type="gramEnd"/>
            <w:r w:rsidRPr="00103DBC">
              <w:t xml:space="preserve"> policy direction from 2008 which has measured the employment status for patients that were on the Care Programme Approach (CPA), i.e. those patients with more serious illness.  Policy direction has moved away from focussing on patients on CPA to all patients in contact with mental health services, for this and other MH indicators. </w:t>
            </w:r>
          </w:p>
          <w:p w14:paraId="7AB53E06" w14:textId="77777777" w:rsidR="00A854FD" w:rsidRPr="00103DBC" w:rsidRDefault="00A854FD" w:rsidP="00A854FD">
            <w:r w:rsidRPr="00103DBC">
              <w:t xml:space="preserve">  </w:t>
            </w:r>
          </w:p>
          <w:p w14:paraId="16196352" w14:textId="77777777" w:rsidR="00A854FD" w:rsidRPr="00103DBC" w:rsidRDefault="00A854FD" w:rsidP="00A854FD">
            <w:pPr>
              <w:pStyle w:val="ListParagraph"/>
              <w:numPr>
                <w:ilvl w:val="0"/>
                <w:numId w:val="23"/>
              </w:numPr>
              <w:ind w:left="360"/>
            </w:pPr>
            <w:r w:rsidRPr="00103DBC">
              <w:t xml:space="preserve">It was highlighted by the applicant that the MHMDS data is already in use for the equivalent ASCOF indicator and is the only data source that will support CCG level analysis.  </w:t>
            </w:r>
          </w:p>
          <w:p w14:paraId="6703ED12" w14:textId="77777777" w:rsidR="00A854FD" w:rsidRPr="00103DBC" w:rsidRDefault="00A854FD" w:rsidP="00A854FD">
            <w:pPr>
              <w:pStyle w:val="ListParagraph"/>
              <w:numPr>
                <w:ilvl w:val="0"/>
                <w:numId w:val="23"/>
              </w:numPr>
              <w:ind w:left="360"/>
            </w:pPr>
            <w:r w:rsidRPr="00103DBC">
              <w:t xml:space="preserve">Output figures show that the proportion of adults in contact with secondary mental health services in paid employment ranges from 0% to 16.1% at CCG level.  This is comparable to the ASCOF measure at Local Authority level for 2012/13 for which the range was 1.3% to 22% (with the caveat that the ASCOF measure uses data for patients on CPA and therefore has better completeness than the CCGOIS measure for all patients).  </w:t>
            </w:r>
          </w:p>
          <w:p w14:paraId="1CAAB2CB" w14:textId="77777777" w:rsidR="00A854FD" w:rsidRPr="00103DBC" w:rsidRDefault="00A854FD" w:rsidP="00A854FD">
            <w:pPr>
              <w:spacing w:after="200" w:line="276" w:lineRule="auto"/>
            </w:pPr>
          </w:p>
          <w:p w14:paraId="5B99D4C2" w14:textId="77777777" w:rsidR="00A854FD" w:rsidRPr="00103DBC" w:rsidRDefault="00A854FD" w:rsidP="00A854FD">
            <w:pPr>
              <w:pStyle w:val="ListParagraph"/>
              <w:numPr>
                <w:ilvl w:val="0"/>
                <w:numId w:val="23"/>
              </w:numPr>
              <w:ind w:left="360"/>
            </w:pPr>
            <w:r w:rsidRPr="00103DBC">
              <w:t xml:space="preserve">The applicant updated MRG members that development work is being carried out by the Royal College of Psychiatrists and HSCIC to improve the completeness of the recording of employment status via development of a Commissioning for Quality and Innovation (CQUIN) payment for this area.  </w:t>
            </w:r>
          </w:p>
          <w:p w14:paraId="37840D77" w14:textId="77777777" w:rsidR="00A854FD" w:rsidRPr="00103DBC" w:rsidRDefault="00A854FD" w:rsidP="00A854FD">
            <w:pPr>
              <w:pStyle w:val="ListParagraph"/>
              <w:numPr>
                <w:ilvl w:val="0"/>
                <w:numId w:val="23"/>
              </w:numPr>
              <w:ind w:left="360"/>
            </w:pPr>
            <w:r w:rsidRPr="00103DBC">
              <w:t xml:space="preserve">A caveat highlighting data completeness is included in the Indicator Quality Statement, alongside information on the work being carried out to develop the CQUIN and promote improvements in recording of this </w:t>
            </w:r>
            <w:proofErr w:type="gramStart"/>
            <w:r w:rsidRPr="00103DBC">
              <w:t>particular piece</w:t>
            </w:r>
            <w:proofErr w:type="gramEnd"/>
            <w:r w:rsidRPr="00103DBC">
              <w:t xml:space="preserve"> of information.   </w:t>
            </w:r>
          </w:p>
          <w:p w14:paraId="600552CA" w14:textId="77777777" w:rsidR="00A854FD" w:rsidRPr="00103DBC" w:rsidRDefault="00A854FD" w:rsidP="00A854FD"/>
          <w:p w14:paraId="4745F0F0" w14:textId="77777777" w:rsidR="00A854FD" w:rsidRPr="00103DBC" w:rsidRDefault="00A854FD" w:rsidP="00A854FD">
            <w:pPr>
              <w:pStyle w:val="ListParagraph"/>
              <w:numPr>
                <w:ilvl w:val="0"/>
                <w:numId w:val="23"/>
              </w:numPr>
              <w:ind w:left="360"/>
            </w:pPr>
            <w:r w:rsidRPr="00103DBC">
              <w:t>It was suggested that the recording level by CCG is reported alongside the indicator as contextual information. This will be done on production of the indicator later in 14/15, and has been added to the output in the Spec.</w:t>
            </w:r>
          </w:p>
          <w:p w14:paraId="6139140E" w14:textId="77777777" w:rsidR="00A854FD" w:rsidRPr="00103DBC" w:rsidRDefault="00A854FD" w:rsidP="00A854FD">
            <w:pPr>
              <w:pStyle w:val="ListParagraph"/>
              <w:ind w:left="360"/>
            </w:pPr>
          </w:p>
        </w:tc>
      </w:tr>
      <w:tr w:rsidR="00D54FE0" w:rsidRPr="00103DBC" w14:paraId="4D1C10B4" w14:textId="77777777" w:rsidTr="00A854FD">
        <w:tc>
          <w:tcPr>
            <w:tcW w:w="2116" w:type="dxa"/>
          </w:tcPr>
          <w:p w14:paraId="16C01CC4" w14:textId="2D7C7402" w:rsidR="00D54FE0" w:rsidRPr="00103DBC" w:rsidRDefault="00D54FE0" w:rsidP="00A854FD">
            <w:r w:rsidRPr="00103DBC">
              <w:rPr>
                <w:i/>
              </w:rPr>
              <w:lastRenderedPageBreak/>
              <w:t>Outcome of MRG consideration:</w:t>
            </w:r>
          </w:p>
        </w:tc>
        <w:tc>
          <w:tcPr>
            <w:tcW w:w="7807" w:type="dxa"/>
          </w:tcPr>
          <w:p w14:paraId="631C3B4E" w14:textId="3A15A126" w:rsidR="00D54FE0" w:rsidRPr="00103DBC" w:rsidRDefault="00D54FE0" w:rsidP="00D54FE0">
            <w:r w:rsidRPr="00D54FE0">
              <w:rPr>
                <w:b/>
              </w:rPr>
              <w:t>Some concerns expressed as caveats or limitations</w:t>
            </w:r>
          </w:p>
        </w:tc>
      </w:tr>
      <w:tr w:rsidR="00D54FE0" w:rsidRPr="00103DBC" w14:paraId="22614E02" w14:textId="77777777" w:rsidTr="00A854FD">
        <w:trPr>
          <w:trHeight w:val="805"/>
        </w:trPr>
        <w:tc>
          <w:tcPr>
            <w:tcW w:w="2116" w:type="dxa"/>
          </w:tcPr>
          <w:p w14:paraId="0BDCE15C" w14:textId="636E6527" w:rsidR="00D54FE0" w:rsidRPr="00103DBC" w:rsidRDefault="00D54FE0" w:rsidP="00D54FE0">
            <w:r w:rsidRPr="00103DBC">
              <w:t>MRG statement of recommendation:</w:t>
            </w:r>
          </w:p>
        </w:tc>
        <w:tc>
          <w:tcPr>
            <w:tcW w:w="7807" w:type="dxa"/>
          </w:tcPr>
          <w:p w14:paraId="1D2B86AD" w14:textId="77777777" w:rsidR="00D54FE0" w:rsidRPr="00103DBC" w:rsidRDefault="00D54FE0" w:rsidP="00D54FE0">
            <w:r w:rsidRPr="00103DBC">
              <w:t xml:space="preserve">The consensus among MRG members is that the data quality is currently at a poor level and comparison at CCG level would not be possible. However, it is hoped that the indicator will drive up data quality and </w:t>
            </w:r>
            <w:proofErr w:type="gramStart"/>
            <w:r w:rsidRPr="00103DBC">
              <w:t>in light of</w:t>
            </w:r>
            <w:proofErr w:type="gramEnd"/>
            <w:r w:rsidRPr="00103DBC">
              <w:t xml:space="preserve"> this MRG members have queried whether it is possible to attach a “provisional” status to both the indicator and /or assurance.</w:t>
            </w:r>
          </w:p>
          <w:p w14:paraId="29DA57D7" w14:textId="77777777" w:rsidR="00D54FE0" w:rsidRPr="00103DBC" w:rsidRDefault="00D54FE0" w:rsidP="00D54FE0"/>
          <w:p w14:paraId="3868A767" w14:textId="77777777" w:rsidR="00D54FE0" w:rsidRPr="00103DBC" w:rsidRDefault="00D54FE0" w:rsidP="00D54FE0">
            <w:r w:rsidRPr="00103DBC">
              <w:t xml:space="preserve">This indicator is recommended for discussion by IGB on the basis that relevant data quality warnings are highlighted, and it is further recommended that a data quality improvement plan is put in place which can be revisited when the indicator is reviewed.  This is to ensure there has been </w:t>
            </w:r>
            <w:proofErr w:type="gramStart"/>
            <w:r w:rsidRPr="00103DBC">
              <w:t>sufficient</w:t>
            </w:r>
            <w:proofErr w:type="gramEnd"/>
            <w:r w:rsidRPr="00103DBC">
              <w:t xml:space="preserve"> commitment to improve data quality, and improvements have been made. </w:t>
            </w:r>
          </w:p>
          <w:p w14:paraId="33BE30C2" w14:textId="77777777" w:rsidR="00D54FE0" w:rsidRPr="00103DBC" w:rsidRDefault="00D54FE0" w:rsidP="00D54FE0"/>
        </w:tc>
      </w:tr>
    </w:tbl>
    <w:p w14:paraId="7716BD18" w14:textId="77777777" w:rsidR="000D2247" w:rsidRPr="00103DBC" w:rsidRDefault="000D2247" w:rsidP="00103DBC">
      <w:pPr>
        <w:ind w:left="-851"/>
      </w:pPr>
    </w:p>
    <w:p w14:paraId="33A3B27C" w14:textId="77777777" w:rsidR="000D2247" w:rsidRPr="00103DBC" w:rsidRDefault="000D2247" w:rsidP="00D54FE0">
      <w:pPr>
        <w:ind w:left="-131" w:firstLine="131"/>
      </w:pPr>
      <w:r w:rsidRPr="00103DBC">
        <w:t>Review:</w:t>
      </w:r>
    </w:p>
    <w:p w14:paraId="2A031A50" w14:textId="77777777" w:rsidR="000D2247" w:rsidRPr="00103DBC" w:rsidRDefault="000D2247" w:rsidP="00103DBC">
      <w:pPr>
        <w:ind w:left="-851"/>
      </w:pPr>
    </w:p>
    <w:tbl>
      <w:tblPr>
        <w:tblStyle w:val="TableGrid"/>
        <w:tblW w:w="9923" w:type="dxa"/>
        <w:tblLayout w:type="fixed"/>
        <w:tblLook w:val="01E0" w:firstRow="1" w:lastRow="1" w:firstColumn="1" w:lastColumn="1" w:noHBand="0" w:noVBand="0"/>
      </w:tblPr>
      <w:tblGrid>
        <w:gridCol w:w="2127"/>
        <w:gridCol w:w="7796"/>
      </w:tblGrid>
      <w:tr w:rsidR="00D54FE0" w:rsidRPr="00103DBC" w14:paraId="349435A4" w14:textId="77777777" w:rsidTr="00B34530">
        <w:trPr>
          <w:trHeight w:val="285"/>
        </w:trPr>
        <w:tc>
          <w:tcPr>
            <w:tcW w:w="2127" w:type="dxa"/>
          </w:tcPr>
          <w:p w14:paraId="1D134B95" w14:textId="7F59B6ED" w:rsidR="00D54FE0" w:rsidRPr="00103DBC" w:rsidRDefault="00D54FE0" w:rsidP="00103DBC">
            <w:r w:rsidRPr="00103DBC">
              <w:t>Review Timescale</w:t>
            </w:r>
          </w:p>
        </w:tc>
        <w:tc>
          <w:tcPr>
            <w:tcW w:w="7796" w:type="dxa"/>
          </w:tcPr>
          <w:p w14:paraId="08475BAA" w14:textId="6A509826" w:rsidR="00D54FE0" w:rsidRPr="00103DBC" w:rsidRDefault="00D54FE0" w:rsidP="00103DBC">
            <w:r>
              <w:t>Other</w:t>
            </w:r>
          </w:p>
        </w:tc>
      </w:tr>
      <w:tr w:rsidR="00D54FE0" w:rsidRPr="00103DBC" w14:paraId="063271F9" w14:textId="77777777" w:rsidTr="00B34530">
        <w:trPr>
          <w:trHeight w:val="285"/>
        </w:trPr>
        <w:tc>
          <w:tcPr>
            <w:tcW w:w="2127" w:type="dxa"/>
          </w:tcPr>
          <w:p w14:paraId="26BC7D53" w14:textId="64E71FC7" w:rsidR="00D54FE0" w:rsidRPr="00103DBC" w:rsidRDefault="00D54FE0" w:rsidP="00103DBC">
            <w:r w:rsidRPr="00103DBC">
              <w:t xml:space="preserve">Rationale         </w:t>
            </w:r>
          </w:p>
        </w:tc>
        <w:tc>
          <w:tcPr>
            <w:tcW w:w="7796" w:type="dxa"/>
          </w:tcPr>
          <w:p w14:paraId="251C4AFD" w14:textId="77777777" w:rsidR="00D54FE0" w:rsidRPr="00103DBC" w:rsidRDefault="00D54FE0" w:rsidP="00D54FE0">
            <w:r w:rsidRPr="00103DBC">
              <w:t xml:space="preserve">Issues to </w:t>
            </w:r>
            <w:proofErr w:type="gramStart"/>
            <w:r w:rsidRPr="00103DBC">
              <w:t>consider  –</w:t>
            </w:r>
            <w:proofErr w:type="gramEnd"/>
            <w:r w:rsidRPr="00103DBC">
              <w:t xml:space="preserve"> Changes to process, policy data source, coding definitions HES definitions ]</w:t>
            </w:r>
          </w:p>
          <w:p w14:paraId="49758588" w14:textId="77777777" w:rsidR="00D54FE0" w:rsidRPr="00103DBC" w:rsidRDefault="00D54FE0" w:rsidP="00D54FE0"/>
          <w:p w14:paraId="3C908008" w14:textId="77777777" w:rsidR="00D54FE0" w:rsidRPr="00103DBC" w:rsidRDefault="00D54FE0" w:rsidP="00D54FE0">
            <w:r w:rsidRPr="00103DBC">
              <w:t xml:space="preserve">It is proposed to review the indicator after the first year of data to re-visit the issues raised at MRG and review data completeness. </w:t>
            </w:r>
          </w:p>
          <w:p w14:paraId="28209CF7" w14:textId="77777777" w:rsidR="00D54FE0" w:rsidRPr="00103DBC" w:rsidRDefault="00D54FE0" w:rsidP="00103DBC"/>
        </w:tc>
      </w:tr>
    </w:tbl>
    <w:p w14:paraId="781DD1FF" w14:textId="77777777" w:rsidR="000D2247" w:rsidRPr="00103DBC" w:rsidRDefault="000D2247" w:rsidP="00103DBC"/>
    <w:p w14:paraId="2B0E0FE9" w14:textId="77777777" w:rsidR="000D2247" w:rsidRPr="00103DBC" w:rsidRDefault="000D2247" w:rsidP="00103DBC"/>
    <w:p w14:paraId="55852340" w14:textId="47498FE0" w:rsidR="000D2247" w:rsidRPr="00D54FE0" w:rsidRDefault="00D54FE0" w:rsidP="00103DBC">
      <w:pPr>
        <w:tabs>
          <w:tab w:val="left" w:pos="2830"/>
        </w:tabs>
        <w:ind w:left="-851"/>
      </w:pPr>
      <w:r>
        <w:t xml:space="preserve">             </w:t>
      </w:r>
      <w:r w:rsidR="000D2247" w:rsidRPr="00D54FE0">
        <w:t>IGB Sign-off</w:t>
      </w:r>
      <w:r w:rsidRPr="00D54FE0">
        <w:t xml:space="preserve"> Indicator Assurance Process Output</w:t>
      </w:r>
    </w:p>
    <w:p w14:paraId="6FA644A2" w14:textId="77777777" w:rsidR="000D2247" w:rsidRPr="00103DBC" w:rsidRDefault="000D2247" w:rsidP="00103DBC"/>
    <w:tbl>
      <w:tblPr>
        <w:tblStyle w:val="TableGrid"/>
        <w:tblW w:w="9923" w:type="dxa"/>
        <w:tblLayout w:type="fixed"/>
        <w:tblLook w:val="01E0" w:firstRow="1" w:lastRow="1" w:firstColumn="1" w:lastColumn="1" w:noHBand="0" w:noVBand="0"/>
      </w:tblPr>
      <w:tblGrid>
        <w:gridCol w:w="2124"/>
        <w:gridCol w:w="7799"/>
      </w:tblGrid>
      <w:tr w:rsidR="00D54FE0" w:rsidRPr="00103DBC" w14:paraId="48BBB93E" w14:textId="77777777" w:rsidTr="000E35B3">
        <w:trPr>
          <w:trHeight w:val="230"/>
        </w:trPr>
        <w:tc>
          <w:tcPr>
            <w:tcW w:w="2124" w:type="dxa"/>
          </w:tcPr>
          <w:p w14:paraId="49BE5E72" w14:textId="45950F37" w:rsidR="00D54FE0" w:rsidRPr="00103DBC" w:rsidRDefault="00D54FE0" w:rsidP="00103DBC">
            <w:pPr>
              <w:rPr>
                <w:i/>
              </w:rPr>
            </w:pPr>
            <w:r w:rsidRPr="00103DBC">
              <w:rPr>
                <w:i/>
              </w:rPr>
              <w:t>Final Appraisal Status</w:t>
            </w:r>
          </w:p>
        </w:tc>
        <w:tc>
          <w:tcPr>
            <w:tcW w:w="7799" w:type="dxa"/>
          </w:tcPr>
          <w:p w14:paraId="4BC11126" w14:textId="63F86BBF" w:rsidR="00D54FE0" w:rsidRPr="00103DBC" w:rsidRDefault="00D54FE0" w:rsidP="00103DBC">
            <w:pPr>
              <w:rPr>
                <w:b/>
              </w:rPr>
            </w:pPr>
            <w:r w:rsidRPr="00103DBC">
              <w:rPr>
                <w:b/>
              </w:rPr>
              <w:t>Assured</w:t>
            </w:r>
          </w:p>
        </w:tc>
      </w:tr>
      <w:tr w:rsidR="00103DBC" w:rsidRPr="00103DBC" w14:paraId="3D79F2E9" w14:textId="77777777" w:rsidTr="00B34530">
        <w:tc>
          <w:tcPr>
            <w:tcW w:w="2124" w:type="dxa"/>
          </w:tcPr>
          <w:p w14:paraId="34724EFE" w14:textId="77777777" w:rsidR="000D2247" w:rsidRPr="00103DBC" w:rsidRDefault="000D2247" w:rsidP="00103DBC">
            <w:r w:rsidRPr="00103DBC">
              <w:t>Basis of Sign-off</w:t>
            </w:r>
          </w:p>
          <w:p w14:paraId="204D2CEF" w14:textId="77777777" w:rsidR="000D2247" w:rsidRPr="00103DBC" w:rsidRDefault="000D2247" w:rsidP="00103DBC">
            <w:r w:rsidRPr="00103DBC">
              <w:t xml:space="preserve">[Detail caveats and </w:t>
            </w:r>
            <w:proofErr w:type="gramStart"/>
            <w:r w:rsidRPr="00103DBC">
              <w:t>limitations ]</w:t>
            </w:r>
            <w:proofErr w:type="gramEnd"/>
          </w:p>
        </w:tc>
        <w:tc>
          <w:tcPr>
            <w:tcW w:w="7799" w:type="dxa"/>
          </w:tcPr>
          <w:p w14:paraId="4BC18B50" w14:textId="77777777" w:rsidR="000D2247" w:rsidRPr="00103DBC" w:rsidRDefault="000D2247" w:rsidP="00103DBC">
            <w:r w:rsidRPr="00103DBC">
              <w:t>The indicator methodology was signed off as assured for inclusion in the indicator library with a review date of 1 year.</w:t>
            </w:r>
          </w:p>
          <w:p w14:paraId="5B0A68A2" w14:textId="77777777" w:rsidR="000D2247" w:rsidRPr="00103DBC" w:rsidRDefault="000D2247" w:rsidP="00103DBC"/>
          <w:p w14:paraId="395CF042" w14:textId="77777777" w:rsidR="000D2247" w:rsidRPr="00103DBC" w:rsidRDefault="000D2247" w:rsidP="00103DBC"/>
        </w:tc>
      </w:tr>
      <w:tr w:rsidR="00103DBC" w:rsidRPr="00103DBC" w14:paraId="7AE27678" w14:textId="77777777" w:rsidTr="00B34530">
        <w:tc>
          <w:tcPr>
            <w:tcW w:w="2124" w:type="dxa"/>
          </w:tcPr>
          <w:p w14:paraId="0A68B3CF" w14:textId="77777777" w:rsidR="000D2247" w:rsidRPr="00103DBC" w:rsidRDefault="000D2247" w:rsidP="00103DBC">
            <w:r w:rsidRPr="00103DBC">
              <w:t>Sign-off Date</w:t>
            </w:r>
          </w:p>
        </w:tc>
        <w:tc>
          <w:tcPr>
            <w:tcW w:w="7799" w:type="dxa"/>
          </w:tcPr>
          <w:p w14:paraId="6DC6B389" w14:textId="77777777" w:rsidR="000D2247" w:rsidRPr="00103DBC" w:rsidRDefault="000D2247" w:rsidP="00103DBC">
            <w:r w:rsidRPr="00103DBC">
              <w:t>June 2014</w:t>
            </w:r>
          </w:p>
        </w:tc>
      </w:tr>
    </w:tbl>
    <w:p w14:paraId="5CE7C26B" w14:textId="77777777" w:rsidR="000D2247" w:rsidRPr="00103DBC" w:rsidRDefault="000D2247" w:rsidP="00103DBC"/>
    <w:p w14:paraId="090FFC08" w14:textId="400D3321" w:rsidR="000D2247" w:rsidRPr="00103DBC" w:rsidRDefault="00225CCC" w:rsidP="00225CCC">
      <w:pPr>
        <w:autoSpaceDE w:val="0"/>
        <w:autoSpaceDN w:val="0"/>
      </w:pPr>
      <w:r w:rsidRPr="00225CCC">
        <w:rPr>
          <w:rFonts w:eastAsia="Times New Roman"/>
        </w:rPr>
        <w:t>See our </w:t>
      </w:r>
      <w:hyperlink r:id="rId20" w:anchor="what-to-do" w:history="1">
        <w:r w:rsidRPr="00225CCC">
          <w:rPr>
            <w:rStyle w:val="Hyperlink"/>
            <w:rFonts w:eastAsia="Times New Roman"/>
          </w:rPr>
          <w:t>accessibility statement</w:t>
        </w:r>
      </w:hyperlink>
      <w:r w:rsidRPr="00225CCC">
        <w:rPr>
          <w:rFonts w:eastAsia="Times New Roman"/>
        </w:rPr>
        <w:t> if you’re having problems with this document.</w:t>
      </w:r>
      <w:r w:rsidRPr="00225CCC">
        <w:rPr>
          <w:rFonts w:eastAsia="Times New Roman"/>
          <w:color w:val="000000"/>
        </w:rPr>
        <w:t xml:space="preserve"> </w:t>
      </w:r>
    </w:p>
    <w:p w14:paraId="7A51FFD3" w14:textId="77777777" w:rsidR="00173180" w:rsidRPr="00103DBC" w:rsidRDefault="00173180" w:rsidP="00BD69FE">
      <w:pPr>
        <w:rPr>
          <w:b/>
        </w:rPr>
      </w:pPr>
    </w:p>
    <w:sectPr w:rsidR="00173180" w:rsidRPr="00103DBC">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4F508" w14:textId="77777777" w:rsidR="00103DBC" w:rsidRDefault="00103DBC" w:rsidP="00A66FD3">
      <w:r>
        <w:separator/>
      </w:r>
    </w:p>
  </w:endnote>
  <w:endnote w:type="continuationSeparator" w:id="0">
    <w:p w14:paraId="2B0236B6" w14:textId="77777777" w:rsidR="00103DBC" w:rsidRDefault="00103DBC" w:rsidP="00A6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100640634"/>
      <w:docPartObj>
        <w:docPartGallery w:val="Page Numbers (Bottom of Page)"/>
        <w:docPartUnique/>
      </w:docPartObj>
    </w:sdtPr>
    <w:sdtEndPr>
      <w:rPr>
        <w:noProof/>
      </w:rPr>
    </w:sdtEndPr>
    <w:sdtContent>
      <w:sdt>
        <w:sdtPr>
          <w:rPr>
            <w:color w:val="auto"/>
            <w:sz w:val="18"/>
            <w:szCs w:val="18"/>
          </w:rPr>
          <w:id w:val="-861506761"/>
          <w:docPartObj>
            <w:docPartGallery w:val="Page Numbers (Bottom of Page)"/>
            <w:docPartUnique/>
          </w:docPartObj>
        </w:sdtPr>
        <w:sdtEndPr>
          <w:rPr>
            <w:noProof/>
          </w:rPr>
        </w:sdtEndPr>
        <w:sdtContent>
          <w:p w14:paraId="6A6DCEAA" w14:textId="472953F7" w:rsidR="00103DBC" w:rsidRPr="00103DBC" w:rsidRDefault="00103DBC" w:rsidP="00103DBC">
            <w:pPr>
              <w:pStyle w:val="Footer"/>
              <w:tabs>
                <w:tab w:val="left" w:pos="426"/>
              </w:tabs>
              <w:rPr>
                <w:color w:val="auto"/>
                <w:sz w:val="18"/>
                <w:szCs w:val="18"/>
              </w:rPr>
            </w:pPr>
            <w:r w:rsidRPr="00103DBC">
              <w:rPr>
                <w:color w:val="auto"/>
                <w:sz w:val="18"/>
                <w:szCs w:val="18"/>
              </w:rPr>
              <w:t>IAP00</w:t>
            </w:r>
            <w:r>
              <w:rPr>
                <w:color w:val="auto"/>
                <w:sz w:val="18"/>
                <w:szCs w:val="18"/>
              </w:rPr>
              <w:t>338</w:t>
            </w:r>
            <w:r w:rsidRPr="00103DBC">
              <w:rPr>
                <w:color w:val="auto"/>
                <w:sz w:val="18"/>
                <w:szCs w:val="18"/>
              </w:rPr>
              <w:t xml:space="preserve"> Supporting documentation</w:t>
            </w:r>
          </w:p>
          <w:p w14:paraId="4E718D7B" w14:textId="2A4363A6" w:rsidR="00103DBC" w:rsidRPr="00103DBC" w:rsidRDefault="00103DBC" w:rsidP="00103DBC">
            <w:pPr>
              <w:pStyle w:val="Footer"/>
              <w:tabs>
                <w:tab w:val="left" w:pos="426"/>
              </w:tabs>
              <w:rPr>
                <w:color w:val="auto"/>
                <w:sz w:val="18"/>
                <w:szCs w:val="18"/>
              </w:rPr>
            </w:pPr>
            <w:r w:rsidRPr="00103DBC">
              <w:rPr>
                <w:color w:val="auto"/>
                <w:sz w:val="18"/>
                <w:szCs w:val="18"/>
              </w:rPr>
              <w:t>Copyright © 2019 NHS Digital</w:t>
            </w:r>
            <w:r w:rsidRPr="00103DBC">
              <w:rPr>
                <w:color w:val="auto"/>
                <w:sz w:val="18"/>
                <w:szCs w:val="18"/>
              </w:rPr>
              <w:tab/>
            </w:r>
            <w:r w:rsidRPr="00103DBC">
              <w:rPr>
                <w:color w:val="auto"/>
                <w:sz w:val="18"/>
                <w:szCs w:val="18"/>
              </w:rPr>
              <w:fldChar w:fldCharType="begin"/>
            </w:r>
            <w:r w:rsidRPr="00103DBC">
              <w:rPr>
                <w:color w:val="auto"/>
                <w:sz w:val="18"/>
                <w:szCs w:val="18"/>
              </w:rPr>
              <w:instrText xml:space="preserve"> PAGE   \* MERGEFORMAT </w:instrText>
            </w:r>
            <w:r w:rsidRPr="00103DBC">
              <w:rPr>
                <w:color w:val="auto"/>
                <w:sz w:val="18"/>
                <w:szCs w:val="18"/>
              </w:rPr>
              <w:fldChar w:fldCharType="separate"/>
            </w:r>
            <w:r w:rsidRPr="00103DBC">
              <w:rPr>
                <w:color w:val="auto"/>
                <w:sz w:val="18"/>
                <w:szCs w:val="18"/>
              </w:rPr>
              <w:t>1</w:t>
            </w:r>
            <w:r w:rsidRPr="00103DBC">
              <w:rPr>
                <w:noProof/>
                <w:color w:val="auto"/>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BC92B" w14:textId="77777777" w:rsidR="00103DBC" w:rsidRDefault="00103DBC" w:rsidP="00A66FD3">
      <w:r>
        <w:separator/>
      </w:r>
    </w:p>
  </w:footnote>
  <w:footnote w:type="continuationSeparator" w:id="0">
    <w:p w14:paraId="7DCA01C9" w14:textId="77777777" w:rsidR="00103DBC" w:rsidRDefault="00103DBC" w:rsidP="00A66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F8F5" w14:textId="77777777" w:rsidR="00103DBC" w:rsidRPr="00103DBC" w:rsidRDefault="00103DBC" w:rsidP="00103DBC">
    <w:pPr>
      <w:pStyle w:val="Header"/>
      <w:jc w:val="center"/>
      <w:rPr>
        <w:rFonts w:ascii="Arial" w:hAnsi="Arial" w:cs="Arial"/>
        <w:b/>
        <w:bCs/>
      </w:rPr>
    </w:pPr>
    <w:r w:rsidRPr="00103DBC">
      <w:rPr>
        <w:rFonts w:ascii="Arial" w:hAnsi="Arial" w:cs="Arial"/>
        <w:b/>
        <w:bCs/>
      </w:rPr>
      <w:t>NICE inherited this indicator and all its supporting documentation from NHS Digital on 1 April 2020</w:t>
    </w:r>
  </w:p>
  <w:p w14:paraId="3C212DF7" w14:textId="77777777" w:rsidR="00103DBC" w:rsidRDefault="00103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D00C8"/>
    <w:multiLevelType w:val="hybridMultilevel"/>
    <w:tmpl w:val="4672F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D07035"/>
    <w:multiLevelType w:val="hybridMultilevel"/>
    <w:tmpl w:val="6FF81E82"/>
    <w:lvl w:ilvl="0" w:tplc="08090001">
      <w:start w:val="1"/>
      <w:numFmt w:val="bullet"/>
      <w:lvlText w:val=""/>
      <w:lvlJc w:val="left"/>
      <w:pPr>
        <w:ind w:left="360" w:hanging="360"/>
      </w:pPr>
      <w:rPr>
        <w:rFonts w:ascii="Symbol" w:hAnsi="Symbol" w:hint="default"/>
      </w:rPr>
    </w:lvl>
    <w:lvl w:ilvl="1" w:tplc="CB3EBFFC">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C3DC9"/>
    <w:multiLevelType w:val="hybridMultilevel"/>
    <w:tmpl w:val="F50678B2"/>
    <w:lvl w:ilvl="0" w:tplc="08090001">
      <w:start w:val="1"/>
      <w:numFmt w:val="bullet"/>
      <w:lvlText w:val=""/>
      <w:lvlJc w:val="left"/>
      <w:pPr>
        <w:ind w:left="720" w:hanging="360"/>
      </w:pPr>
      <w:rPr>
        <w:rFonts w:ascii="Symbol" w:hAnsi="Symbol" w:hint="default"/>
      </w:rPr>
    </w:lvl>
    <w:lvl w:ilvl="1" w:tplc="B36CD092">
      <w:numFmt w:val="bullet"/>
      <w:lvlText w:val="•"/>
      <w:lvlJc w:val="left"/>
      <w:pPr>
        <w:ind w:left="1800" w:hanging="72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20ED2"/>
    <w:multiLevelType w:val="hybridMultilevel"/>
    <w:tmpl w:val="5C66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D775F8"/>
    <w:multiLevelType w:val="hybridMultilevel"/>
    <w:tmpl w:val="F35EFEFA"/>
    <w:lvl w:ilvl="0" w:tplc="08090001">
      <w:start w:val="1"/>
      <w:numFmt w:val="bullet"/>
      <w:lvlText w:val=""/>
      <w:lvlJc w:val="left"/>
      <w:pPr>
        <w:tabs>
          <w:tab w:val="num" w:pos="360"/>
        </w:tabs>
        <w:ind w:left="36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6A4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A0665B"/>
    <w:multiLevelType w:val="hybridMultilevel"/>
    <w:tmpl w:val="FBD60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B66C95"/>
    <w:multiLevelType w:val="hybridMultilevel"/>
    <w:tmpl w:val="BBF8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9533C5"/>
    <w:multiLevelType w:val="hybridMultilevel"/>
    <w:tmpl w:val="87B014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3823C1"/>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46DC8"/>
    <w:multiLevelType w:val="hybridMultilevel"/>
    <w:tmpl w:val="BB7C3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393162"/>
    <w:multiLevelType w:val="hybridMultilevel"/>
    <w:tmpl w:val="65620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B02E7"/>
    <w:multiLevelType w:val="hybridMultilevel"/>
    <w:tmpl w:val="064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7B18"/>
    <w:multiLevelType w:val="hybridMultilevel"/>
    <w:tmpl w:val="1BCE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877705"/>
    <w:multiLevelType w:val="hybridMultilevel"/>
    <w:tmpl w:val="87682F4C"/>
    <w:lvl w:ilvl="0" w:tplc="08090001">
      <w:start w:val="1"/>
      <w:numFmt w:val="bullet"/>
      <w:lvlText w:val=""/>
      <w:lvlJc w:val="left"/>
      <w:pPr>
        <w:ind w:left="360" w:hanging="360"/>
      </w:pPr>
      <w:rPr>
        <w:rFonts w:ascii="Symbol" w:hAnsi="Symbol" w:hint="default"/>
      </w:rPr>
    </w:lvl>
    <w:lvl w:ilvl="1" w:tplc="B36CD092">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9E32E9"/>
    <w:multiLevelType w:val="hybridMultilevel"/>
    <w:tmpl w:val="B37C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31AD1"/>
    <w:multiLevelType w:val="hybridMultilevel"/>
    <w:tmpl w:val="E32A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F5ED6"/>
    <w:multiLevelType w:val="hybridMultilevel"/>
    <w:tmpl w:val="0390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96822"/>
    <w:multiLevelType w:val="hybridMultilevel"/>
    <w:tmpl w:val="59EE8B8E"/>
    <w:lvl w:ilvl="0" w:tplc="76226B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CC46772"/>
    <w:multiLevelType w:val="hybridMultilevel"/>
    <w:tmpl w:val="DEC2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D22EB"/>
    <w:multiLevelType w:val="hybridMultilevel"/>
    <w:tmpl w:val="B220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47C6C"/>
    <w:multiLevelType w:val="hybridMultilevel"/>
    <w:tmpl w:val="2026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81906"/>
    <w:multiLevelType w:val="hybridMultilevel"/>
    <w:tmpl w:val="03926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3D5CAA"/>
    <w:multiLevelType w:val="hybridMultilevel"/>
    <w:tmpl w:val="BD1C9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DD5A34"/>
    <w:multiLevelType w:val="hybridMultilevel"/>
    <w:tmpl w:val="7702EB20"/>
    <w:lvl w:ilvl="0" w:tplc="926E2EB0">
      <w:start w:val="1"/>
      <w:numFmt w:val="lowerLetter"/>
      <w:lvlText w:val="%1."/>
      <w:lvlJc w:val="left"/>
      <w:pPr>
        <w:ind w:left="360" w:hanging="360"/>
      </w:pPr>
      <w:rPr>
        <w:rFonts w:hint="default"/>
      </w:rPr>
    </w:lvl>
    <w:lvl w:ilvl="1" w:tplc="B36CD092">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7"/>
  </w:num>
  <w:num w:numId="3">
    <w:abstractNumId w:val="16"/>
  </w:num>
  <w:num w:numId="4">
    <w:abstractNumId w:val="4"/>
  </w:num>
  <w:num w:numId="5">
    <w:abstractNumId w:val="20"/>
  </w:num>
  <w:num w:numId="6">
    <w:abstractNumId w:val="9"/>
  </w:num>
  <w:num w:numId="7">
    <w:abstractNumId w:val="0"/>
  </w:num>
  <w:num w:numId="8">
    <w:abstractNumId w:val="24"/>
  </w:num>
  <w:num w:numId="9">
    <w:abstractNumId w:val="25"/>
  </w:num>
  <w:num w:numId="10">
    <w:abstractNumId w:val="15"/>
  </w:num>
  <w:num w:numId="11">
    <w:abstractNumId w:val="18"/>
  </w:num>
  <w:num w:numId="12">
    <w:abstractNumId w:val="10"/>
  </w:num>
  <w:num w:numId="13">
    <w:abstractNumId w:val="1"/>
  </w:num>
  <w:num w:numId="14">
    <w:abstractNumId w:val="22"/>
  </w:num>
  <w:num w:numId="15">
    <w:abstractNumId w:val="5"/>
  </w:num>
  <w:num w:numId="16">
    <w:abstractNumId w:val="29"/>
  </w:num>
  <w:num w:numId="17">
    <w:abstractNumId w:val="3"/>
  </w:num>
  <w:num w:numId="18">
    <w:abstractNumId w:val="19"/>
  </w:num>
  <w:num w:numId="19">
    <w:abstractNumId w:val="11"/>
  </w:num>
  <w:num w:numId="20">
    <w:abstractNumId w:val="6"/>
  </w:num>
  <w:num w:numId="21">
    <w:abstractNumId w:val="17"/>
  </w:num>
  <w:num w:numId="22">
    <w:abstractNumId w:val="23"/>
  </w:num>
  <w:num w:numId="23">
    <w:abstractNumId w:val="14"/>
  </w:num>
  <w:num w:numId="24">
    <w:abstractNumId w:val="2"/>
  </w:num>
  <w:num w:numId="25">
    <w:abstractNumId w:val="7"/>
  </w:num>
  <w:num w:numId="26">
    <w:abstractNumId w:val="12"/>
  </w:num>
  <w:num w:numId="27">
    <w:abstractNumId w:val="13"/>
  </w:num>
  <w:num w:numId="28">
    <w:abstractNumId w:val="21"/>
  </w:num>
  <w:num w:numId="29">
    <w:abstractNumId w:val="26"/>
  </w:num>
  <w:num w:numId="30">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2674"/>
    <w:rsid w:val="00020DA2"/>
    <w:rsid w:val="000578B9"/>
    <w:rsid w:val="00067EA7"/>
    <w:rsid w:val="000B237E"/>
    <w:rsid w:val="000D2247"/>
    <w:rsid w:val="000E6E20"/>
    <w:rsid w:val="00103DBC"/>
    <w:rsid w:val="001625F6"/>
    <w:rsid w:val="00173180"/>
    <w:rsid w:val="001B2CB6"/>
    <w:rsid w:val="00225CCC"/>
    <w:rsid w:val="00230D71"/>
    <w:rsid w:val="002330DA"/>
    <w:rsid w:val="002378AE"/>
    <w:rsid w:val="00271D88"/>
    <w:rsid w:val="002D5943"/>
    <w:rsid w:val="00311EDB"/>
    <w:rsid w:val="00345F61"/>
    <w:rsid w:val="003A041E"/>
    <w:rsid w:val="003A5F69"/>
    <w:rsid w:val="0047224C"/>
    <w:rsid w:val="004846E4"/>
    <w:rsid w:val="00494DD1"/>
    <w:rsid w:val="004C64BB"/>
    <w:rsid w:val="004D28F6"/>
    <w:rsid w:val="004F4EF7"/>
    <w:rsid w:val="00542ADE"/>
    <w:rsid w:val="00557D20"/>
    <w:rsid w:val="00573709"/>
    <w:rsid w:val="00594078"/>
    <w:rsid w:val="005C41B0"/>
    <w:rsid w:val="00606204"/>
    <w:rsid w:val="0065376A"/>
    <w:rsid w:val="00682EA3"/>
    <w:rsid w:val="00686E69"/>
    <w:rsid w:val="006A0711"/>
    <w:rsid w:val="006A54FE"/>
    <w:rsid w:val="006F0E9F"/>
    <w:rsid w:val="00724B3F"/>
    <w:rsid w:val="0074120A"/>
    <w:rsid w:val="00755FD2"/>
    <w:rsid w:val="00763298"/>
    <w:rsid w:val="007D537B"/>
    <w:rsid w:val="007F2AFF"/>
    <w:rsid w:val="008E3DA3"/>
    <w:rsid w:val="008E727F"/>
    <w:rsid w:val="00905AD8"/>
    <w:rsid w:val="009548EE"/>
    <w:rsid w:val="0095543E"/>
    <w:rsid w:val="009735F2"/>
    <w:rsid w:val="0097791C"/>
    <w:rsid w:val="00995190"/>
    <w:rsid w:val="00996B00"/>
    <w:rsid w:val="009B3878"/>
    <w:rsid w:val="00A57976"/>
    <w:rsid w:val="00A66FD3"/>
    <w:rsid w:val="00A854FD"/>
    <w:rsid w:val="00A8619F"/>
    <w:rsid w:val="00A92C54"/>
    <w:rsid w:val="00AD2B29"/>
    <w:rsid w:val="00AE1906"/>
    <w:rsid w:val="00B34530"/>
    <w:rsid w:val="00B9518E"/>
    <w:rsid w:val="00BC1A3B"/>
    <w:rsid w:val="00BD69FE"/>
    <w:rsid w:val="00BF6261"/>
    <w:rsid w:val="00C05CDF"/>
    <w:rsid w:val="00C405E9"/>
    <w:rsid w:val="00C44C97"/>
    <w:rsid w:val="00CA1393"/>
    <w:rsid w:val="00CD0F59"/>
    <w:rsid w:val="00CF15E4"/>
    <w:rsid w:val="00D41F0B"/>
    <w:rsid w:val="00D54FE0"/>
    <w:rsid w:val="00DC46F5"/>
    <w:rsid w:val="00DC79F9"/>
    <w:rsid w:val="00E11432"/>
    <w:rsid w:val="00E55904"/>
    <w:rsid w:val="00EC34BA"/>
    <w:rsid w:val="00F00583"/>
    <w:rsid w:val="00F07749"/>
    <w:rsid w:val="00F54835"/>
    <w:rsid w:val="00F60439"/>
    <w:rsid w:val="00F61A39"/>
    <w:rsid w:val="00F8596F"/>
    <w:rsid w:val="00FA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0D2247"/>
    <w:pPr>
      <w:keepNext/>
      <w:spacing w:before="140" w:after="280"/>
      <w:outlineLvl w:val="0"/>
    </w:pPr>
    <w:rPr>
      <w:rFonts w:eastAsia="Times New Roman"/>
      <w:b/>
      <w:bCs/>
      <w:color w:val="4F81BD" w:themeColor="accent1"/>
      <w:spacing w:val="-14"/>
      <w:kern w:val="28"/>
      <w:sz w:val="4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link w:val="ListParagraphChar"/>
    <w:uiPriority w:val="34"/>
    <w:qFormat/>
    <w:rsid w:val="00682EA3"/>
    <w:pPr>
      <w:ind w:left="720"/>
      <w:contextualSpacing/>
    </w:pPr>
  </w:style>
  <w:style w:type="paragraph" w:styleId="FootnoteText">
    <w:name w:val="footnote text"/>
    <w:basedOn w:val="Normal"/>
    <w:link w:val="FootnoteTextChar"/>
    <w:uiPriority w:val="99"/>
    <w:semiHidden/>
    <w:unhideWhenUsed/>
    <w:rsid w:val="00A66FD3"/>
    <w:rPr>
      <w:sz w:val="20"/>
      <w:szCs w:val="20"/>
    </w:rPr>
  </w:style>
  <w:style w:type="character" w:customStyle="1" w:styleId="FootnoteTextChar">
    <w:name w:val="Footnote Text Char"/>
    <w:basedOn w:val="DefaultParagraphFont"/>
    <w:link w:val="FootnoteText"/>
    <w:uiPriority w:val="99"/>
    <w:semiHidden/>
    <w:rsid w:val="00A66FD3"/>
    <w:rPr>
      <w:sz w:val="20"/>
      <w:szCs w:val="20"/>
    </w:rPr>
  </w:style>
  <w:style w:type="character" w:styleId="FootnoteReference">
    <w:name w:val="footnote reference"/>
    <w:basedOn w:val="DefaultParagraphFont"/>
    <w:uiPriority w:val="99"/>
    <w:semiHidden/>
    <w:unhideWhenUsed/>
    <w:rsid w:val="00A66FD3"/>
    <w:rPr>
      <w:vertAlign w:val="superscript"/>
    </w:rPr>
  </w:style>
  <w:style w:type="character" w:customStyle="1" w:styleId="normaltextrun1">
    <w:name w:val="normaltextrun1"/>
    <w:basedOn w:val="DefaultParagraphFont"/>
    <w:rsid w:val="007F2AFF"/>
  </w:style>
  <w:style w:type="paragraph" w:customStyle="1" w:styleId="paragraph1">
    <w:name w:val="paragraph1"/>
    <w:basedOn w:val="Normal"/>
    <w:rsid w:val="007F2AFF"/>
    <w:rPr>
      <w:rFonts w:ascii="Times New Roman" w:eastAsia="Times New Roman" w:hAnsi="Times New Roman" w:cs="Times New Roman"/>
      <w:sz w:val="24"/>
      <w:szCs w:val="24"/>
      <w:lang w:eastAsia="en-GB"/>
    </w:rPr>
  </w:style>
  <w:style w:type="character" w:customStyle="1" w:styleId="eop">
    <w:name w:val="eop"/>
    <w:basedOn w:val="DefaultParagraphFont"/>
    <w:rsid w:val="007F2AFF"/>
  </w:style>
  <w:style w:type="character" w:customStyle="1" w:styleId="Heading1Char">
    <w:name w:val="Heading 1 Char"/>
    <w:basedOn w:val="DefaultParagraphFont"/>
    <w:link w:val="Heading1"/>
    <w:rsid w:val="000D2247"/>
    <w:rPr>
      <w:rFonts w:eastAsia="Times New Roman"/>
      <w:b/>
      <w:bCs/>
      <w:color w:val="4F81BD" w:themeColor="accent1"/>
      <w:spacing w:val="-14"/>
      <w:kern w:val="28"/>
      <w:sz w:val="42"/>
      <w:szCs w:val="32"/>
      <w14:ligatures w14:val="standardContextual"/>
    </w:rPr>
  </w:style>
  <w:style w:type="paragraph" w:customStyle="1" w:styleId="FrontpageTitle">
    <w:name w:val="Frontpage_Title"/>
    <w:basedOn w:val="Normal"/>
    <w:link w:val="FrontpageTitleChar"/>
    <w:autoRedefine/>
    <w:qFormat/>
    <w:rsid w:val="000D2247"/>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0D2247"/>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0D2247"/>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0D2247"/>
    <w:rPr>
      <w:rFonts w:eastAsia="Times New Roman" w:cs="Times New Roman"/>
      <w:b/>
      <w:color w:val="4F81BD" w:themeColor="accent1"/>
      <w:sz w:val="35"/>
      <w:szCs w:val="42"/>
    </w:rPr>
  </w:style>
  <w:style w:type="paragraph" w:styleId="Footer">
    <w:name w:val="footer"/>
    <w:basedOn w:val="Normal"/>
    <w:link w:val="FooterChar"/>
    <w:autoRedefine/>
    <w:uiPriority w:val="99"/>
    <w:unhideWhenUsed/>
    <w:qFormat/>
    <w:rsid w:val="000D2247"/>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0D2247"/>
    <w:rPr>
      <w:rFonts w:eastAsia="Times New Roman" w:cs="Times New Roman"/>
      <w:color w:val="9BBB59" w:themeColor="accent3"/>
      <w:sz w:val="17"/>
      <w:szCs w:val="24"/>
    </w:rPr>
  </w:style>
  <w:style w:type="character" w:customStyle="1" w:styleId="ListParagraphChar">
    <w:name w:val="List Paragraph Char"/>
    <w:basedOn w:val="DefaultParagraphFont"/>
    <w:link w:val="ListParagraph"/>
    <w:uiPriority w:val="34"/>
    <w:rsid w:val="000D2247"/>
  </w:style>
  <w:style w:type="table" w:customStyle="1" w:styleId="TableGrid1">
    <w:name w:val="Table Grid1"/>
    <w:basedOn w:val="TableNormal"/>
    <w:next w:val="TableGrid"/>
    <w:uiPriority w:val="59"/>
    <w:rsid w:val="000D2247"/>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247"/>
    <w:rPr>
      <w:color w:val="808080"/>
    </w:rPr>
  </w:style>
  <w:style w:type="paragraph" w:customStyle="1" w:styleId="CharCharCharCharCharCharCharCharCharCharChar">
    <w:name w:val="Char Char Char Char Char Char Char Char Char Char Char"/>
    <w:basedOn w:val="Normal"/>
    <w:rsid w:val="000D2247"/>
    <w:pPr>
      <w:spacing w:after="120" w:line="240" w:lineRule="exact"/>
      <w:jc w:val="both"/>
    </w:pPr>
    <w:rPr>
      <w:rFonts w:ascii="Verdana" w:eastAsia="Times New Roman" w:hAnsi="Verdana" w:cs="Times New Roman"/>
      <w:sz w:val="20"/>
      <w:szCs w:val="20"/>
      <w:lang w:val="en-US"/>
    </w:rPr>
  </w:style>
  <w:style w:type="paragraph" w:customStyle="1" w:styleId="CharCharChar">
    <w:name w:val="Char Char Char"/>
    <w:basedOn w:val="Normal"/>
    <w:rsid w:val="000D2247"/>
    <w:pPr>
      <w:spacing w:after="120" w:line="240" w:lineRule="exact"/>
      <w:jc w:val="both"/>
    </w:pPr>
    <w:rPr>
      <w:rFonts w:ascii="Verdana" w:eastAsia="Times New Roman" w:hAnsi="Verdana" w:cs="Times New Roman"/>
      <w:sz w:val="20"/>
      <w:szCs w:val="20"/>
      <w:lang w:val="en-US"/>
    </w:rPr>
  </w:style>
  <w:style w:type="paragraph" w:styleId="Header">
    <w:name w:val="header"/>
    <w:basedOn w:val="Normal"/>
    <w:link w:val="HeaderChar"/>
    <w:uiPriority w:val="99"/>
    <w:qFormat/>
    <w:rsid w:val="000D2247"/>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0D2247"/>
    <w:rPr>
      <w:rFonts w:ascii="Times New Roman" w:eastAsia="Times New Roman" w:hAnsi="Times New Roman" w:cs="Times New Roman"/>
      <w:sz w:val="24"/>
      <w:szCs w:val="24"/>
      <w:lang w:eastAsia="en-GB"/>
    </w:rPr>
  </w:style>
  <w:style w:type="paragraph" w:customStyle="1" w:styleId="Default">
    <w:name w:val="Default"/>
    <w:rsid w:val="000D2247"/>
    <w:pPr>
      <w:autoSpaceDE w:val="0"/>
      <w:autoSpaceDN w:val="0"/>
      <w:adjustRightInd w:val="0"/>
    </w:pPr>
    <w:rPr>
      <w:rFonts w:eastAsia="Times New Roman"/>
      <w:color w:val="000000"/>
      <w:sz w:val="24"/>
      <w:szCs w:val="24"/>
      <w:lang w:eastAsia="en-GB"/>
    </w:rPr>
  </w:style>
  <w:style w:type="table" w:styleId="TableGridLight">
    <w:name w:val="Grid Table Light"/>
    <w:basedOn w:val="TableNormal"/>
    <w:uiPriority w:val="40"/>
    <w:rsid w:val="00B345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sChild>
        <w:div w:id="557593092">
          <w:marLeft w:val="0"/>
          <w:marRight w:val="0"/>
          <w:marTop w:val="0"/>
          <w:marBottom w:val="0"/>
          <w:divBdr>
            <w:top w:val="none" w:sz="0" w:space="0" w:color="auto"/>
            <w:left w:val="none" w:sz="0" w:space="0" w:color="auto"/>
            <w:bottom w:val="none" w:sz="0" w:space="0" w:color="auto"/>
            <w:right w:val="none" w:sz="0" w:space="0" w:color="auto"/>
          </w:divBdr>
          <w:divsChild>
            <w:div w:id="198470287">
              <w:marLeft w:val="0"/>
              <w:marRight w:val="0"/>
              <w:marTop w:val="0"/>
              <w:marBottom w:val="0"/>
              <w:divBdr>
                <w:top w:val="none" w:sz="0" w:space="0" w:color="auto"/>
                <w:left w:val="none" w:sz="0" w:space="0" w:color="auto"/>
                <w:bottom w:val="none" w:sz="0" w:space="0" w:color="auto"/>
                <w:right w:val="none" w:sz="0" w:space="0" w:color="auto"/>
              </w:divBdr>
              <w:divsChild>
                <w:div w:id="392778341">
                  <w:marLeft w:val="0"/>
                  <w:marRight w:val="0"/>
                  <w:marTop w:val="0"/>
                  <w:marBottom w:val="0"/>
                  <w:divBdr>
                    <w:top w:val="none" w:sz="0" w:space="0" w:color="auto"/>
                    <w:left w:val="none" w:sz="0" w:space="0" w:color="auto"/>
                    <w:bottom w:val="none" w:sz="0" w:space="0" w:color="auto"/>
                    <w:right w:val="none" w:sz="0" w:space="0" w:color="auto"/>
                  </w:divBdr>
                  <w:divsChild>
                    <w:div w:id="800655291">
                      <w:marLeft w:val="0"/>
                      <w:marRight w:val="0"/>
                      <w:marTop w:val="0"/>
                      <w:marBottom w:val="0"/>
                      <w:divBdr>
                        <w:top w:val="none" w:sz="0" w:space="0" w:color="auto"/>
                        <w:left w:val="none" w:sz="0" w:space="0" w:color="auto"/>
                        <w:bottom w:val="none" w:sz="0" w:space="0" w:color="auto"/>
                        <w:right w:val="none" w:sz="0" w:space="0" w:color="auto"/>
                      </w:divBdr>
                      <w:divsChild>
                        <w:div w:id="1131703992">
                          <w:marLeft w:val="0"/>
                          <w:marRight w:val="0"/>
                          <w:marTop w:val="0"/>
                          <w:marBottom w:val="0"/>
                          <w:divBdr>
                            <w:top w:val="none" w:sz="0" w:space="0" w:color="auto"/>
                            <w:left w:val="none" w:sz="0" w:space="0" w:color="auto"/>
                            <w:bottom w:val="none" w:sz="0" w:space="0" w:color="auto"/>
                            <w:right w:val="none" w:sz="0" w:space="0" w:color="auto"/>
                          </w:divBdr>
                          <w:divsChild>
                            <w:div w:id="1113327228">
                              <w:marLeft w:val="0"/>
                              <w:marRight w:val="0"/>
                              <w:marTop w:val="0"/>
                              <w:marBottom w:val="0"/>
                              <w:divBdr>
                                <w:top w:val="none" w:sz="0" w:space="0" w:color="auto"/>
                                <w:left w:val="none" w:sz="0" w:space="0" w:color="auto"/>
                                <w:bottom w:val="none" w:sz="0" w:space="0" w:color="auto"/>
                                <w:right w:val="none" w:sz="0" w:space="0" w:color="auto"/>
                              </w:divBdr>
                              <w:divsChild>
                                <w:div w:id="1424111101">
                                  <w:marLeft w:val="0"/>
                                  <w:marRight w:val="0"/>
                                  <w:marTop w:val="0"/>
                                  <w:marBottom w:val="0"/>
                                  <w:divBdr>
                                    <w:top w:val="none" w:sz="0" w:space="0" w:color="auto"/>
                                    <w:left w:val="none" w:sz="0" w:space="0" w:color="auto"/>
                                    <w:bottom w:val="none" w:sz="0" w:space="0" w:color="auto"/>
                                    <w:right w:val="none" w:sz="0" w:space="0" w:color="auto"/>
                                  </w:divBdr>
                                  <w:divsChild>
                                    <w:div w:id="425426431">
                                      <w:marLeft w:val="0"/>
                                      <w:marRight w:val="0"/>
                                      <w:marTop w:val="0"/>
                                      <w:marBottom w:val="0"/>
                                      <w:divBdr>
                                        <w:top w:val="none" w:sz="0" w:space="0" w:color="auto"/>
                                        <w:left w:val="none" w:sz="0" w:space="0" w:color="auto"/>
                                        <w:bottom w:val="none" w:sz="0" w:space="0" w:color="auto"/>
                                        <w:right w:val="none" w:sz="0" w:space="0" w:color="auto"/>
                                      </w:divBdr>
                                      <w:divsChild>
                                        <w:div w:id="592132721">
                                          <w:marLeft w:val="0"/>
                                          <w:marRight w:val="0"/>
                                          <w:marTop w:val="0"/>
                                          <w:marBottom w:val="0"/>
                                          <w:divBdr>
                                            <w:top w:val="none" w:sz="0" w:space="0" w:color="auto"/>
                                            <w:left w:val="none" w:sz="0" w:space="0" w:color="auto"/>
                                            <w:bottom w:val="none" w:sz="0" w:space="0" w:color="auto"/>
                                            <w:right w:val="none" w:sz="0" w:space="0" w:color="auto"/>
                                          </w:divBdr>
                                          <w:divsChild>
                                            <w:div w:id="1165633630">
                                              <w:marLeft w:val="0"/>
                                              <w:marRight w:val="0"/>
                                              <w:marTop w:val="0"/>
                                              <w:marBottom w:val="0"/>
                                              <w:divBdr>
                                                <w:top w:val="none" w:sz="0" w:space="0" w:color="auto"/>
                                                <w:left w:val="none" w:sz="0" w:space="0" w:color="auto"/>
                                                <w:bottom w:val="none" w:sz="0" w:space="0" w:color="auto"/>
                                                <w:right w:val="none" w:sz="0" w:space="0" w:color="auto"/>
                                              </w:divBdr>
                                              <w:divsChild>
                                                <w:div w:id="1081214845">
                                                  <w:marLeft w:val="0"/>
                                                  <w:marRight w:val="0"/>
                                                  <w:marTop w:val="0"/>
                                                  <w:marBottom w:val="0"/>
                                                  <w:divBdr>
                                                    <w:top w:val="none" w:sz="0" w:space="0" w:color="auto"/>
                                                    <w:left w:val="none" w:sz="0" w:space="0" w:color="auto"/>
                                                    <w:bottom w:val="none" w:sz="0" w:space="0" w:color="auto"/>
                                                    <w:right w:val="none" w:sz="0" w:space="0" w:color="auto"/>
                                                  </w:divBdr>
                                                  <w:divsChild>
                                                    <w:div w:id="253784697">
                                                      <w:marLeft w:val="0"/>
                                                      <w:marRight w:val="0"/>
                                                      <w:marTop w:val="0"/>
                                                      <w:marBottom w:val="0"/>
                                                      <w:divBdr>
                                                        <w:top w:val="single" w:sz="12" w:space="0" w:color="ABABAB"/>
                                                        <w:left w:val="single" w:sz="6" w:space="0" w:color="ABABAB"/>
                                                        <w:bottom w:val="none" w:sz="0" w:space="0" w:color="auto"/>
                                                        <w:right w:val="single" w:sz="6" w:space="0" w:color="ABABAB"/>
                                                      </w:divBdr>
                                                      <w:divsChild>
                                                        <w:div w:id="449932800">
                                                          <w:marLeft w:val="0"/>
                                                          <w:marRight w:val="0"/>
                                                          <w:marTop w:val="0"/>
                                                          <w:marBottom w:val="0"/>
                                                          <w:divBdr>
                                                            <w:top w:val="none" w:sz="0" w:space="0" w:color="auto"/>
                                                            <w:left w:val="none" w:sz="0" w:space="0" w:color="auto"/>
                                                            <w:bottom w:val="none" w:sz="0" w:space="0" w:color="auto"/>
                                                            <w:right w:val="none" w:sz="0" w:space="0" w:color="auto"/>
                                                          </w:divBdr>
                                                          <w:divsChild>
                                                            <w:div w:id="222107260">
                                                              <w:marLeft w:val="0"/>
                                                              <w:marRight w:val="0"/>
                                                              <w:marTop w:val="0"/>
                                                              <w:marBottom w:val="0"/>
                                                              <w:divBdr>
                                                                <w:top w:val="none" w:sz="0" w:space="0" w:color="auto"/>
                                                                <w:left w:val="none" w:sz="0" w:space="0" w:color="auto"/>
                                                                <w:bottom w:val="none" w:sz="0" w:space="0" w:color="auto"/>
                                                                <w:right w:val="none" w:sz="0" w:space="0" w:color="auto"/>
                                                              </w:divBdr>
                                                              <w:divsChild>
                                                                <w:div w:id="1694376619">
                                                                  <w:marLeft w:val="0"/>
                                                                  <w:marRight w:val="0"/>
                                                                  <w:marTop w:val="0"/>
                                                                  <w:marBottom w:val="0"/>
                                                                  <w:divBdr>
                                                                    <w:top w:val="none" w:sz="0" w:space="0" w:color="auto"/>
                                                                    <w:left w:val="none" w:sz="0" w:space="0" w:color="auto"/>
                                                                    <w:bottom w:val="none" w:sz="0" w:space="0" w:color="auto"/>
                                                                    <w:right w:val="none" w:sz="0" w:space="0" w:color="auto"/>
                                                                  </w:divBdr>
                                                                  <w:divsChild>
                                                                    <w:div w:id="1086342952">
                                                                      <w:marLeft w:val="0"/>
                                                                      <w:marRight w:val="0"/>
                                                                      <w:marTop w:val="0"/>
                                                                      <w:marBottom w:val="0"/>
                                                                      <w:divBdr>
                                                                        <w:top w:val="none" w:sz="0" w:space="0" w:color="auto"/>
                                                                        <w:left w:val="none" w:sz="0" w:space="0" w:color="auto"/>
                                                                        <w:bottom w:val="none" w:sz="0" w:space="0" w:color="auto"/>
                                                                        <w:right w:val="none" w:sz="0" w:space="0" w:color="auto"/>
                                                                      </w:divBdr>
                                                                      <w:divsChild>
                                                                        <w:div w:id="1686787386">
                                                                          <w:marLeft w:val="-75"/>
                                                                          <w:marRight w:val="0"/>
                                                                          <w:marTop w:val="30"/>
                                                                          <w:marBottom w:val="30"/>
                                                                          <w:divBdr>
                                                                            <w:top w:val="none" w:sz="0" w:space="0" w:color="auto"/>
                                                                            <w:left w:val="none" w:sz="0" w:space="0" w:color="auto"/>
                                                                            <w:bottom w:val="none" w:sz="0" w:space="0" w:color="auto"/>
                                                                            <w:right w:val="none" w:sz="0" w:space="0" w:color="auto"/>
                                                                          </w:divBdr>
                                                                          <w:divsChild>
                                                                            <w:div w:id="1344748220">
                                                                              <w:marLeft w:val="0"/>
                                                                              <w:marRight w:val="0"/>
                                                                              <w:marTop w:val="0"/>
                                                                              <w:marBottom w:val="0"/>
                                                                              <w:divBdr>
                                                                                <w:top w:val="none" w:sz="0" w:space="0" w:color="auto"/>
                                                                                <w:left w:val="none" w:sz="0" w:space="0" w:color="auto"/>
                                                                                <w:bottom w:val="none" w:sz="0" w:space="0" w:color="auto"/>
                                                                                <w:right w:val="none" w:sz="0" w:space="0" w:color="auto"/>
                                                                              </w:divBdr>
                                                                              <w:divsChild>
                                                                                <w:div w:id="384720861">
                                                                                  <w:marLeft w:val="0"/>
                                                                                  <w:marRight w:val="0"/>
                                                                                  <w:marTop w:val="0"/>
                                                                                  <w:marBottom w:val="0"/>
                                                                                  <w:divBdr>
                                                                                    <w:top w:val="none" w:sz="0" w:space="0" w:color="auto"/>
                                                                                    <w:left w:val="none" w:sz="0" w:space="0" w:color="auto"/>
                                                                                    <w:bottom w:val="none" w:sz="0" w:space="0" w:color="auto"/>
                                                                                    <w:right w:val="none" w:sz="0" w:space="0" w:color="auto"/>
                                                                                  </w:divBdr>
                                                                                  <w:divsChild>
                                                                                    <w:div w:id="1037435988">
                                                                                      <w:marLeft w:val="0"/>
                                                                                      <w:marRight w:val="0"/>
                                                                                      <w:marTop w:val="0"/>
                                                                                      <w:marBottom w:val="0"/>
                                                                                      <w:divBdr>
                                                                                        <w:top w:val="none" w:sz="0" w:space="0" w:color="auto"/>
                                                                                        <w:left w:val="none" w:sz="0" w:space="0" w:color="auto"/>
                                                                                        <w:bottom w:val="none" w:sz="0" w:space="0" w:color="auto"/>
                                                                                        <w:right w:val="none" w:sz="0" w:space="0" w:color="auto"/>
                                                                                      </w:divBdr>
                                                                                      <w:divsChild>
                                                                                        <w:div w:id="1398168150">
                                                                                          <w:marLeft w:val="0"/>
                                                                                          <w:marRight w:val="0"/>
                                                                                          <w:marTop w:val="0"/>
                                                                                          <w:marBottom w:val="0"/>
                                                                                          <w:divBdr>
                                                                                            <w:top w:val="none" w:sz="0" w:space="0" w:color="auto"/>
                                                                                            <w:left w:val="none" w:sz="0" w:space="0" w:color="auto"/>
                                                                                            <w:bottom w:val="none" w:sz="0" w:space="0" w:color="auto"/>
                                                                                            <w:right w:val="none" w:sz="0" w:space="0" w:color="auto"/>
                                                                                          </w:divBdr>
                                                                                          <w:divsChild>
                                                                                            <w:div w:id="76634263">
                                                                                              <w:marLeft w:val="0"/>
                                                                                              <w:marRight w:val="0"/>
                                                                                              <w:marTop w:val="0"/>
                                                                                              <w:marBottom w:val="0"/>
                                                                                              <w:divBdr>
                                                                                                <w:top w:val="none" w:sz="0" w:space="0" w:color="auto"/>
                                                                                                <w:left w:val="none" w:sz="0" w:space="0" w:color="auto"/>
                                                                                                <w:bottom w:val="none" w:sz="0" w:space="0" w:color="auto"/>
                                                                                                <w:right w:val="none" w:sz="0" w:space="0" w:color="auto"/>
                                                                                              </w:divBdr>
                                                                                            </w:div>
                                                                                            <w:div w:id="1168516450">
                                                                                              <w:marLeft w:val="0"/>
                                                                                              <w:marRight w:val="0"/>
                                                                                              <w:marTop w:val="0"/>
                                                                                              <w:marBottom w:val="0"/>
                                                                                              <w:divBdr>
                                                                                                <w:top w:val="none" w:sz="0" w:space="0" w:color="auto"/>
                                                                                                <w:left w:val="none" w:sz="0" w:space="0" w:color="auto"/>
                                                                                                <w:bottom w:val="none" w:sz="0" w:space="0" w:color="auto"/>
                                                                                                <w:right w:val="none" w:sz="0" w:space="0" w:color="auto"/>
                                                                                              </w:divBdr>
                                                                                            </w:div>
                                                                                            <w:div w:id="930704319">
                                                                                              <w:marLeft w:val="0"/>
                                                                                              <w:marRight w:val="0"/>
                                                                                              <w:marTop w:val="0"/>
                                                                                              <w:marBottom w:val="0"/>
                                                                                              <w:divBdr>
                                                                                                <w:top w:val="none" w:sz="0" w:space="0" w:color="auto"/>
                                                                                                <w:left w:val="none" w:sz="0" w:space="0" w:color="auto"/>
                                                                                                <w:bottom w:val="none" w:sz="0" w:space="0" w:color="auto"/>
                                                                                                <w:right w:val="none" w:sz="0" w:space="0" w:color="auto"/>
                                                                                              </w:divBdr>
                                                                                            </w:div>
                                                                                            <w:div w:id="89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1627737740">
      <w:bodyDiv w:val="1"/>
      <w:marLeft w:val="0"/>
      <w:marRight w:val="0"/>
      <w:marTop w:val="0"/>
      <w:marBottom w:val="0"/>
      <w:divBdr>
        <w:top w:val="none" w:sz="0" w:space="0" w:color="auto"/>
        <w:left w:val="none" w:sz="0" w:space="0" w:color="auto"/>
        <w:bottom w:val="none" w:sz="0" w:space="0" w:color="auto"/>
        <w:right w:val="none" w:sz="0" w:space="0" w:color="auto"/>
      </w:divBdr>
    </w:div>
    <w:div w:id="1741175473">
      <w:bodyDiv w:val="1"/>
      <w:marLeft w:val="0"/>
      <w:marRight w:val="0"/>
      <w:marTop w:val="0"/>
      <w:marBottom w:val="0"/>
      <w:divBdr>
        <w:top w:val="none" w:sz="0" w:space="0" w:color="auto"/>
        <w:left w:val="none" w:sz="0" w:space="0" w:color="auto"/>
        <w:bottom w:val="none" w:sz="0" w:space="0" w:color="auto"/>
        <w:right w:val="none" w:sz="0" w:space="0" w:color="auto"/>
      </w:divBdr>
      <w:divsChild>
        <w:div w:id="364520303">
          <w:marLeft w:val="0"/>
          <w:marRight w:val="0"/>
          <w:marTop w:val="0"/>
          <w:marBottom w:val="0"/>
          <w:divBdr>
            <w:top w:val="none" w:sz="0" w:space="0" w:color="auto"/>
            <w:left w:val="none" w:sz="0" w:space="0" w:color="auto"/>
            <w:bottom w:val="none" w:sz="0" w:space="0" w:color="auto"/>
            <w:right w:val="none" w:sz="0" w:space="0" w:color="auto"/>
          </w:divBdr>
          <w:divsChild>
            <w:div w:id="1439063908">
              <w:marLeft w:val="0"/>
              <w:marRight w:val="0"/>
              <w:marTop w:val="0"/>
              <w:marBottom w:val="0"/>
              <w:divBdr>
                <w:top w:val="none" w:sz="0" w:space="0" w:color="auto"/>
                <w:left w:val="none" w:sz="0" w:space="0" w:color="auto"/>
                <w:bottom w:val="none" w:sz="0" w:space="0" w:color="auto"/>
                <w:right w:val="none" w:sz="0" w:space="0" w:color="auto"/>
              </w:divBdr>
              <w:divsChild>
                <w:div w:id="2088457441">
                  <w:marLeft w:val="0"/>
                  <w:marRight w:val="0"/>
                  <w:marTop w:val="0"/>
                  <w:marBottom w:val="0"/>
                  <w:divBdr>
                    <w:top w:val="none" w:sz="0" w:space="0" w:color="auto"/>
                    <w:left w:val="none" w:sz="0" w:space="0" w:color="auto"/>
                    <w:bottom w:val="none" w:sz="0" w:space="0" w:color="auto"/>
                    <w:right w:val="none" w:sz="0" w:space="0" w:color="auto"/>
                  </w:divBdr>
                  <w:divsChild>
                    <w:div w:id="1293443913">
                      <w:marLeft w:val="0"/>
                      <w:marRight w:val="0"/>
                      <w:marTop w:val="0"/>
                      <w:marBottom w:val="0"/>
                      <w:divBdr>
                        <w:top w:val="none" w:sz="0" w:space="0" w:color="auto"/>
                        <w:left w:val="none" w:sz="0" w:space="0" w:color="auto"/>
                        <w:bottom w:val="none" w:sz="0" w:space="0" w:color="auto"/>
                        <w:right w:val="none" w:sz="0" w:space="0" w:color="auto"/>
                      </w:divBdr>
                      <w:divsChild>
                        <w:div w:id="960724589">
                          <w:marLeft w:val="0"/>
                          <w:marRight w:val="0"/>
                          <w:marTop w:val="0"/>
                          <w:marBottom w:val="0"/>
                          <w:divBdr>
                            <w:top w:val="none" w:sz="0" w:space="0" w:color="auto"/>
                            <w:left w:val="none" w:sz="0" w:space="0" w:color="auto"/>
                            <w:bottom w:val="none" w:sz="0" w:space="0" w:color="auto"/>
                            <w:right w:val="none" w:sz="0" w:space="0" w:color="auto"/>
                          </w:divBdr>
                          <w:divsChild>
                            <w:div w:id="1317681491">
                              <w:marLeft w:val="0"/>
                              <w:marRight w:val="0"/>
                              <w:marTop w:val="0"/>
                              <w:marBottom w:val="0"/>
                              <w:divBdr>
                                <w:top w:val="none" w:sz="0" w:space="0" w:color="auto"/>
                                <w:left w:val="none" w:sz="0" w:space="0" w:color="auto"/>
                                <w:bottom w:val="none" w:sz="0" w:space="0" w:color="auto"/>
                                <w:right w:val="none" w:sz="0" w:space="0" w:color="auto"/>
                              </w:divBdr>
                              <w:divsChild>
                                <w:div w:id="1720276576">
                                  <w:marLeft w:val="0"/>
                                  <w:marRight w:val="0"/>
                                  <w:marTop w:val="0"/>
                                  <w:marBottom w:val="0"/>
                                  <w:divBdr>
                                    <w:top w:val="none" w:sz="0" w:space="0" w:color="auto"/>
                                    <w:left w:val="none" w:sz="0" w:space="0" w:color="auto"/>
                                    <w:bottom w:val="none" w:sz="0" w:space="0" w:color="auto"/>
                                    <w:right w:val="none" w:sz="0" w:space="0" w:color="auto"/>
                                  </w:divBdr>
                                  <w:divsChild>
                                    <w:div w:id="1075394129">
                                      <w:marLeft w:val="0"/>
                                      <w:marRight w:val="0"/>
                                      <w:marTop w:val="0"/>
                                      <w:marBottom w:val="0"/>
                                      <w:divBdr>
                                        <w:top w:val="none" w:sz="0" w:space="0" w:color="auto"/>
                                        <w:left w:val="none" w:sz="0" w:space="0" w:color="auto"/>
                                        <w:bottom w:val="none" w:sz="0" w:space="0" w:color="auto"/>
                                        <w:right w:val="none" w:sz="0" w:space="0" w:color="auto"/>
                                      </w:divBdr>
                                      <w:divsChild>
                                        <w:div w:id="834027726">
                                          <w:marLeft w:val="0"/>
                                          <w:marRight w:val="0"/>
                                          <w:marTop w:val="0"/>
                                          <w:marBottom w:val="0"/>
                                          <w:divBdr>
                                            <w:top w:val="none" w:sz="0" w:space="0" w:color="auto"/>
                                            <w:left w:val="none" w:sz="0" w:space="0" w:color="auto"/>
                                            <w:bottom w:val="none" w:sz="0" w:space="0" w:color="auto"/>
                                            <w:right w:val="none" w:sz="0" w:space="0" w:color="auto"/>
                                          </w:divBdr>
                                          <w:divsChild>
                                            <w:div w:id="330373276">
                                              <w:marLeft w:val="0"/>
                                              <w:marRight w:val="0"/>
                                              <w:marTop w:val="0"/>
                                              <w:marBottom w:val="0"/>
                                              <w:divBdr>
                                                <w:top w:val="none" w:sz="0" w:space="0" w:color="auto"/>
                                                <w:left w:val="none" w:sz="0" w:space="0" w:color="auto"/>
                                                <w:bottom w:val="none" w:sz="0" w:space="0" w:color="auto"/>
                                                <w:right w:val="none" w:sz="0" w:space="0" w:color="auto"/>
                                              </w:divBdr>
                                              <w:divsChild>
                                                <w:div w:id="1171216067">
                                                  <w:marLeft w:val="0"/>
                                                  <w:marRight w:val="0"/>
                                                  <w:marTop w:val="0"/>
                                                  <w:marBottom w:val="0"/>
                                                  <w:divBdr>
                                                    <w:top w:val="none" w:sz="0" w:space="0" w:color="auto"/>
                                                    <w:left w:val="none" w:sz="0" w:space="0" w:color="auto"/>
                                                    <w:bottom w:val="none" w:sz="0" w:space="0" w:color="auto"/>
                                                    <w:right w:val="none" w:sz="0" w:space="0" w:color="auto"/>
                                                  </w:divBdr>
                                                  <w:divsChild>
                                                    <w:div w:id="853301179">
                                                      <w:marLeft w:val="0"/>
                                                      <w:marRight w:val="0"/>
                                                      <w:marTop w:val="0"/>
                                                      <w:marBottom w:val="0"/>
                                                      <w:divBdr>
                                                        <w:top w:val="single" w:sz="12" w:space="0" w:color="ABABAB"/>
                                                        <w:left w:val="single" w:sz="6" w:space="0" w:color="ABABAB"/>
                                                        <w:bottom w:val="none" w:sz="0" w:space="0" w:color="auto"/>
                                                        <w:right w:val="single" w:sz="6" w:space="0" w:color="ABABAB"/>
                                                      </w:divBdr>
                                                      <w:divsChild>
                                                        <w:div w:id="315300880">
                                                          <w:marLeft w:val="0"/>
                                                          <w:marRight w:val="0"/>
                                                          <w:marTop w:val="0"/>
                                                          <w:marBottom w:val="0"/>
                                                          <w:divBdr>
                                                            <w:top w:val="none" w:sz="0" w:space="0" w:color="auto"/>
                                                            <w:left w:val="none" w:sz="0" w:space="0" w:color="auto"/>
                                                            <w:bottom w:val="none" w:sz="0" w:space="0" w:color="auto"/>
                                                            <w:right w:val="none" w:sz="0" w:space="0" w:color="auto"/>
                                                          </w:divBdr>
                                                          <w:divsChild>
                                                            <w:div w:id="113258066">
                                                              <w:marLeft w:val="0"/>
                                                              <w:marRight w:val="0"/>
                                                              <w:marTop w:val="0"/>
                                                              <w:marBottom w:val="0"/>
                                                              <w:divBdr>
                                                                <w:top w:val="none" w:sz="0" w:space="0" w:color="auto"/>
                                                                <w:left w:val="none" w:sz="0" w:space="0" w:color="auto"/>
                                                                <w:bottom w:val="none" w:sz="0" w:space="0" w:color="auto"/>
                                                                <w:right w:val="none" w:sz="0" w:space="0" w:color="auto"/>
                                                              </w:divBdr>
                                                              <w:divsChild>
                                                                <w:div w:id="1848711263">
                                                                  <w:marLeft w:val="0"/>
                                                                  <w:marRight w:val="0"/>
                                                                  <w:marTop w:val="0"/>
                                                                  <w:marBottom w:val="0"/>
                                                                  <w:divBdr>
                                                                    <w:top w:val="none" w:sz="0" w:space="0" w:color="auto"/>
                                                                    <w:left w:val="none" w:sz="0" w:space="0" w:color="auto"/>
                                                                    <w:bottom w:val="none" w:sz="0" w:space="0" w:color="auto"/>
                                                                    <w:right w:val="none" w:sz="0" w:space="0" w:color="auto"/>
                                                                  </w:divBdr>
                                                                  <w:divsChild>
                                                                    <w:div w:id="216596619">
                                                                      <w:marLeft w:val="0"/>
                                                                      <w:marRight w:val="0"/>
                                                                      <w:marTop w:val="0"/>
                                                                      <w:marBottom w:val="0"/>
                                                                      <w:divBdr>
                                                                        <w:top w:val="none" w:sz="0" w:space="0" w:color="auto"/>
                                                                        <w:left w:val="none" w:sz="0" w:space="0" w:color="auto"/>
                                                                        <w:bottom w:val="none" w:sz="0" w:space="0" w:color="auto"/>
                                                                        <w:right w:val="none" w:sz="0" w:space="0" w:color="auto"/>
                                                                      </w:divBdr>
                                                                      <w:divsChild>
                                                                        <w:div w:id="1611544116">
                                                                          <w:marLeft w:val="-75"/>
                                                                          <w:marRight w:val="0"/>
                                                                          <w:marTop w:val="30"/>
                                                                          <w:marBottom w:val="30"/>
                                                                          <w:divBdr>
                                                                            <w:top w:val="none" w:sz="0" w:space="0" w:color="auto"/>
                                                                            <w:left w:val="none" w:sz="0" w:space="0" w:color="auto"/>
                                                                            <w:bottom w:val="none" w:sz="0" w:space="0" w:color="auto"/>
                                                                            <w:right w:val="none" w:sz="0" w:space="0" w:color="auto"/>
                                                                          </w:divBdr>
                                                                          <w:divsChild>
                                                                            <w:div w:id="1237478724">
                                                                              <w:marLeft w:val="0"/>
                                                                              <w:marRight w:val="0"/>
                                                                              <w:marTop w:val="0"/>
                                                                              <w:marBottom w:val="0"/>
                                                                              <w:divBdr>
                                                                                <w:top w:val="none" w:sz="0" w:space="0" w:color="auto"/>
                                                                                <w:left w:val="none" w:sz="0" w:space="0" w:color="auto"/>
                                                                                <w:bottom w:val="none" w:sz="0" w:space="0" w:color="auto"/>
                                                                                <w:right w:val="none" w:sz="0" w:space="0" w:color="auto"/>
                                                                              </w:divBdr>
                                                                              <w:divsChild>
                                                                                <w:div w:id="56322824">
                                                                                  <w:marLeft w:val="0"/>
                                                                                  <w:marRight w:val="0"/>
                                                                                  <w:marTop w:val="0"/>
                                                                                  <w:marBottom w:val="0"/>
                                                                                  <w:divBdr>
                                                                                    <w:top w:val="none" w:sz="0" w:space="0" w:color="auto"/>
                                                                                    <w:left w:val="none" w:sz="0" w:space="0" w:color="auto"/>
                                                                                    <w:bottom w:val="none" w:sz="0" w:space="0" w:color="auto"/>
                                                                                    <w:right w:val="none" w:sz="0" w:space="0" w:color="auto"/>
                                                                                  </w:divBdr>
                                                                                  <w:divsChild>
                                                                                    <w:div w:id="1441610589">
                                                                                      <w:marLeft w:val="0"/>
                                                                                      <w:marRight w:val="0"/>
                                                                                      <w:marTop w:val="0"/>
                                                                                      <w:marBottom w:val="0"/>
                                                                                      <w:divBdr>
                                                                                        <w:top w:val="none" w:sz="0" w:space="0" w:color="auto"/>
                                                                                        <w:left w:val="none" w:sz="0" w:space="0" w:color="auto"/>
                                                                                        <w:bottom w:val="none" w:sz="0" w:space="0" w:color="auto"/>
                                                                                        <w:right w:val="none" w:sz="0" w:space="0" w:color="auto"/>
                                                                                      </w:divBdr>
                                                                                      <w:divsChild>
                                                                                        <w:div w:id="775713499">
                                                                                          <w:marLeft w:val="0"/>
                                                                                          <w:marRight w:val="0"/>
                                                                                          <w:marTop w:val="0"/>
                                                                                          <w:marBottom w:val="0"/>
                                                                                          <w:divBdr>
                                                                                            <w:top w:val="none" w:sz="0" w:space="0" w:color="auto"/>
                                                                                            <w:left w:val="none" w:sz="0" w:space="0" w:color="auto"/>
                                                                                            <w:bottom w:val="none" w:sz="0" w:space="0" w:color="auto"/>
                                                                                            <w:right w:val="none" w:sz="0" w:space="0" w:color="auto"/>
                                                                                          </w:divBdr>
                                                                                          <w:divsChild>
                                                                                            <w:div w:id="638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cic.gov.uk/media/10688/MHMDSv41UserGuidance/pdf/MHMDS_v4.1_User_Guidance.pdf" TargetMode="External"/><Relationship Id="rId13" Type="http://schemas.openxmlformats.org/officeDocument/2006/relationships/hyperlink" Target="http://www.hscic.gov.uk/media/10688/MHMDSv41UserGuidance/pdf/MHMDS_v4.1_User_Guidance.pdf" TargetMode="External"/><Relationship Id="rId18" Type="http://schemas.openxmlformats.org/officeDocument/2006/relationships/hyperlink" Target="http://www.england.nhs.uk/ccg-oi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ice.org.uk/PH22" TargetMode="External"/><Relationship Id="rId20" Type="http://schemas.openxmlformats.org/officeDocument/2006/relationships/hyperlink" Target="https://www.nice.org.uk/accessi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nt.digital.nhs.uk/mhsds/spec"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214326/hwwb-is-work-good-for-you.pdf" TargetMode="External"/><Relationship Id="rId23" Type="http://schemas.openxmlformats.org/officeDocument/2006/relationships/fontTable" Target="fontTable.xml"/><Relationship Id="rId10" Type="http://schemas.openxmlformats.org/officeDocument/2006/relationships/hyperlink" Target="http://content.digital.nhs.uk/mhsds" TargetMode="External"/><Relationship Id="rId19" Type="http://schemas.openxmlformats.org/officeDocument/2006/relationships/hyperlink" Target="http://www.hscic.gov.uk/media/10688/MHMDSv41UserGuidance/pdf/MHMDS_v4.1_User_Guidance.pdf" TargetMode="External"/><Relationship Id="rId4" Type="http://schemas.openxmlformats.org/officeDocument/2006/relationships/settings" Target="settings.xml"/><Relationship Id="rId9" Type="http://schemas.openxmlformats.org/officeDocument/2006/relationships/hyperlink" Target="http://content.digital.nhs.uk/mhsds" TargetMode="External"/><Relationship Id="rId14" Type="http://schemas.openxmlformats.org/officeDocument/2006/relationships/hyperlink" Target="http://www.hscic.gov.uk/media/10994/MHMDS-Appx-3-Data-Quality-Measures/xls/Appendix_3_-_MHMDS_v4.1_Data_Quality_Measures.xls"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D9B5989F7E4AC2B86EC6A27B26F44B"/>
        <w:category>
          <w:name w:val="General"/>
          <w:gallery w:val="placeholder"/>
        </w:category>
        <w:types>
          <w:type w:val="bbPlcHdr"/>
        </w:types>
        <w:behaviors>
          <w:behavior w:val="content"/>
        </w:behaviors>
        <w:guid w:val="{756DB17E-FB21-4F76-9047-4D07A0705DBC}"/>
      </w:docPartPr>
      <w:docPartBody>
        <w:p w:rsidR="00940C74" w:rsidRDefault="00940C74" w:rsidP="00940C74">
          <w:pPr>
            <w:pStyle w:val="64D9B5989F7E4AC2B86EC6A27B26F44B"/>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33"/>
    <w:rsid w:val="00940C74"/>
    <w:rsid w:val="00BA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C74"/>
    <w:rPr>
      <w:color w:val="808080"/>
    </w:rPr>
  </w:style>
  <w:style w:type="paragraph" w:customStyle="1" w:styleId="645ACBE39A59410AA05DED41E2618005">
    <w:name w:val="645ACBE39A59410AA05DED41E2618005"/>
    <w:rsid w:val="00BA3C33"/>
  </w:style>
  <w:style w:type="paragraph" w:customStyle="1" w:styleId="EB748ECB78914D128E114790FBE1284C">
    <w:name w:val="EB748ECB78914D128E114790FBE1284C"/>
    <w:rsid w:val="00BA3C33"/>
  </w:style>
  <w:style w:type="paragraph" w:customStyle="1" w:styleId="2A102F2E2CA94EFCB7EC6F592D7229B3">
    <w:name w:val="2A102F2E2CA94EFCB7EC6F592D7229B3"/>
    <w:rsid w:val="00BA3C33"/>
  </w:style>
  <w:style w:type="paragraph" w:customStyle="1" w:styleId="12F7F23F76E74D469E671E21CE92A0EE">
    <w:name w:val="12F7F23F76E74D469E671E21CE92A0EE"/>
    <w:rsid w:val="00BA3C33"/>
  </w:style>
  <w:style w:type="paragraph" w:customStyle="1" w:styleId="506EA2E7B1204A3FBF542D197F8DF36A">
    <w:name w:val="506EA2E7B1204A3FBF542D197F8DF36A"/>
    <w:rsid w:val="00BA3C33"/>
  </w:style>
  <w:style w:type="paragraph" w:customStyle="1" w:styleId="0A3F6D5C9CF64B24B75DB4D30F1CD43D">
    <w:name w:val="0A3F6D5C9CF64B24B75DB4D30F1CD43D"/>
    <w:rsid w:val="00BA3C33"/>
  </w:style>
  <w:style w:type="paragraph" w:customStyle="1" w:styleId="886C119E414649C99263AB80AF504636">
    <w:name w:val="886C119E414649C99263AB80AF504636"/>
    <w:rsid w:val="00BA3C33"/>
  </w:style>
  <w:style w:type="paragraph" w:customStyle="1" w:styleId="46CED0B909F54630BBF55C82BEEF003C">
    <w:name w:val="46CED0B909F54630BBF55C82BEEF003C"/>
    <w:rsid w:val="00BA3C33"/>
  </w:style>
  <w:style w:type="paragraph" w:customStyle="1" w:styleId="64D9B5989F7E4AC2B86EC6A27B26F44B">
    <w:name w:val="64D9B5989F7E4AC2B86EC6A27B26F44B"/>
    <w:rsid w:val="00940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A2F2-8A87-47A7-901F-FBCCB389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62398891</Template>
  <TotalTime>0</TotalTime>
  <Pages>45</Pages>
  <Words>13748</Words>
  <Characters>78365</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2020-03-11T14:19:00Z</dcterms:created>
  <dcterms:modified xsi:type="dcterms:W3CDTF">2020-03-11T14:21:00Z</dcterms:modified>
</cp:coreProperties>
</file>