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C6B43FC" w14:textId="2F3EF7E2" w:rsidR="00482C01" w:rsidRDefault="009B0E59" w:rsidP="00482C01">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6A1C1341" w14:textId="77777777" w:rsidR="00482C01" w:rsidRDefault="00482C01" w:rsidP="00482C01">
      <w:pPr>
        <w:jc w:val="center"/>
        <w:rPr>
          <w:rFonts w:ascii="Arial" w:hAnsi="Arial" w:cs="Arial"/>
          <w:b/>
          <w:sz w:val="32"/>
          <w:szCs w:val="32"/>
        </w:rPr>
      </w:pPr>
    </w:p>
    <w:p w14:paraId="2D3688DF" w14:textId="77777777" w:rsidR="00D27F21" w:rsidRPr="000A4D29" w:rsidRDefault="00D27F21" w:rsidP="00D27F21">
      <w:pPr>
        <w:pStyle w:val="Heading1"/>
        <w:rPr>
          <w:b w:val="0"/>
          <w:bCs w:val="0"/>
          <w:sz w:val="24"/>
          <w:szCs w:val="24"/>
          <w:lang w:eastAsia="en-GB"/>
        </w:rPr>
      </w:pPr>
      <w:r w:rsidRPr="000A4D29">
        <w:rPr>
          <w:b w:val="0"/>
          <w:bCs w:val="0"/>
          <w:sz w:val="24"/>
          <w:szCs w:val="24"/>
          <w:lang w:eastAsia="en-GB"/>
        </w:rPr>
        <w:t xml:space="preserve">Assurance date: </w:t>
      </w:r>
      <w:r>
        <w:rPr>
          <w:b w:val="0"/>
          <w:bCs w:val="0"/>
          <w:sz w:val="24"/>
          <w:szCs w:val="24"/>
          <w:lang w:eastAsia="en-GB"/>
        </w:rPr>
        <w:t>March 2022</w:t>
      </w:r>
    </w:p>
    <w:p w14:paraId="202DAD87" w14:textId="7346023B" w:rsidR="00D27F21" w:rsidRPr="000A4D29" w:rsidRDefault="00D27F21" w:rsidP="00D27F21">
      <w:pPr>
        <w:pStyle w:val="Heading1"/>
        <w:rPr>
          <w:b w:val="0"/>
          <w:bCs w:val="0"/>
          <w:sz w:val="24"/>
          <w:szCs w:val="24"/>
          <w:lang w:eastAsia="en-GB"/>
        </w:rPr>
      </w:pPr>
      <w:r w:rsidRPr="000A4D29">
        <w:rPr>
          <w:b w:val="0"/>
          <w:bCs w:val="0"/>
          <w:sz w:val="24"/>
          <w:szCs w:val="24"/>
          <w:lang w:eastAsia="en-GB"/>
        </w:rPr>
        <w:t xml:space="preserve">Review date: </w:t>
      </w:r>
      <w:r>
        <w:rPr>
          <w:b w:val="0"/>
          <w:bCs w:val="0"/>
          <w:sz w:val="24"/>
          <w:szCs w:val="24"/>
          <w:lang w:eastAsia="en-GB"/>
        </w:rPr>
        <w:t>March 202</w:t>
      </w:r>
      <w:r>
        <w:rPr>
          <w:b w:val="0"/>
          <w:bCs w:val="0"/>
          <w:sz w:val="24"/>
          <w:szCs w:val="24"/>
          <w:lang w:eastAsia="en-GB"/>
        </w:rPr>
        <w:t>5</w:t>
      </w:r>
    </w:p>
    <w:p w14:paraId="047E7BC9" w14:textId="2AE4257E" w:rsidR="009B0E59" w:rsidRPr="009B0E59" w:rsidRDefault="009B0E59" w:rsidP="009B0E59">
      <w:pPr>
        <w:pStyle w:val="Heading1"/>
        <w:rPr>
          <w:lang w:eastAsia="en-GB"/>
        </w:rPr>
      </w:pPr>
      <w:r w:rsidRPr="009B0E59">
        <w:rPr>
          <w:lang w:eastAsia="en-GB"/>
        </w:rPr>
        <w:t xml:space="preserve">Indicator </w:t>
      </w:r>
      <w:r w:rsidR="00FF79D5">
        <w:rPr>
          <w:lang w:eastAsia="en-GB"/>
        </w:rPr>
        <w:t>IAP00</w:t>
      </w:r>
      <w:r w:rsidR="00A42BAE">
        <w:rPr>
          <w:lang w:eastAsia="en-GB"/>
        </w:rPr>
        <w:t>338</w:t>
      </w:r>
    </w:p>
    <w:p w14:paraId="4CC8FC60" w14:textId="77777777" w:rsidR="00A42BAE" w:rsidRDefault="00A42BAE" w:rsidP="009B0E59">
      <w:pPr>
        <w:pStyle w:val="Heading1"/>
        <w:rPr>
          <w:b w:val="0"/>
          <w:bCs w:val="0"/>
          <w:kern w:val="0"/>
          <w:sz w:val="24"/>
          <w:szCs w:val="24"/>
          <w:lang w:eastAsia="en-GB"/>
        </w:rPr>
      </w:pPr>
      <w:r w:rsidRPr="00A42BAE">
        <w:rPr>
          <w:b w:val="0"/>
          <w:bCs w:val="0"/>
          <w:kern w:val="0"/>
          <w:sz w:val="24"/>
          <w:szCs w:val="24"/>
          <w:lang w:eastAsia="en-GB"/>
        </w:rPr>
        <w:t>Percentage of adults in contact with secondary mental health services in employment</w:t>
      </w:r>
    </w:p>
    <w:p w14:paraId="7C25BFBC" w14:textId="0CE1C82C"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7B4F86D5"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A42BAE">
              <w:rPr>
                <w:rFonts w:ascii="Arial" w:hAnsi="Arial" w:cs="Arial"/>
                <w:sz w:val="22"/>
                <w:szCs w:val="22"/>
              </w:rPr>
              <w:t>CCG</w:t>
            </w:r>
            <w:r w:rsidR="006A6B79">
              <w:rPr>
                <w:rFonts w:ascii="Arial" w:hAnsi="Arial" w:cs="Arial"/>
                <w:sz w:val="22"/>
                <w:szCs w:val="22"/>
              </w:rPr>
              <w:t xml:space="preserve"> outcomes </w:t>
            </w:r>
            <w:r w:rsidR="00A42BAE">
              <w:rPr>
                <w:rFonts w:ascii="Arial" w:hAnsi="Arial" w:cs="Arial"/>
                <w:sz w:val="22"/>
                <w:szCs w:val="22"/>
              </w:rPr>
              <w:t>indicator set domain</w:t>
            </w:r>
            <w:r w:rsidR="00F75B77">
              <w:rPr>
                <w:rFonts w:ascii="Arial" w:hAnsi="Arial" w:cs="Arial"/>
                <w:sz w:val="22"/>
                <w:szCs w:val="22"/>
              </w:rPr>
              <w:t xml:space="preserve"> </w:t>
            </w:r>
            <w:r w:rsidR="00A42BAE">
              <w:rPr>
                <w:rFonts w:ascii="Arial" w:hAnsi="Arial" w:cs="Arial"/>
                <w:sz w:val="22"/>
                <w:szCs w:val="22"/>
              </w:rPr>
              <w:t>3</w:t>
            </w:r>
            <w:r w:rsidR="00F75B77">
              <w:rPr>
                <w:rFonts w:ascii="Arial" w:hAnsi="Arial" w:cs="Arial"/>
                <w:sz w:val="22"/>
                <w:szCs w:val="22"/>
              </w:rPr>
              <w:t xml:space="preserve"> – </w:t>
            </w:r>
            <w:r w:rsidR="00A42BAE" w:rsidRPr="00A42BAE">
              <w:rPr>
                <w:rFonts w:ascii="Arial" w:hAnsi="Arial" w:cs="Arial"/>
                <w:sz w:val="22"/>
                <w:szCs w:val="22"/>
              </w:rPr>
              <w:t>Helping people to recover from episodes of ill health or following injury</w:t>
            </w:r>
            <w:r w:rsidR="00402BFB">
              <w:rPr>
                <w:rFonts w:ascii="Arial" w:hAnsi="Arial" w:cs="Arial"/>
                <w:sz w:val="22"/>
                <w:szCs w:val="22"/>
              </w:rPr>
              <w:t>.</w:t>
            </w:r>
          </w:p>
          <w:p w14:paraId="6A0AAFD7" w14:textId="70DD5B33" w:rsidR="00645411" w:rsidRPr="006E1387" w:rsidRDefault="00A42BAE" w:rsidP="00284539">
            <w:pPr>
              <w:spacing w:before="120" w:after="120"/>
              <w:rPr>
                <w:rFonts w:ascii="Arial" w:hAnsi="Arial" w:cs="Arial"/>
                <w:sz w:val="22"/>
                <w:szCs w:val="22"/>
              </w:rPr>
            </w:pPr>
            <w:r>
              <w:rPr>
                <w:rFonts w:ascii="Arial" w:hAnsi="Arial" w:cs="Arial"/>
                <w:sz w:val="22"/>
                <w:szCs w:val="22"/>
              </w:rPr>
              <w:t>This indicator displays the percentage of adults receiving community mental health, learning disabilities or autism services in employment. It is presented on a quarterly basis but with a year</w:t>
            </w:r>
            <w:r w:rsidR="00904B1D">
              <w:rPr>
                <w:rFonts w:ascii="Arial" w:hAnsi="Arial" w:cs="Arial"/>
                <w:sz w:val="22"/>
                <w:szCs w:val="22"/>
              </w:rPr>
              <w:t>’</w:t>
            </w:r>
            <w:r>
              <w:rPr>
                <w:rFonts w:ascii="Arial" w:hAnsi="Arial" w:cs="Arial"/>
                <w:sz w:val="22"/>
                <w:szCs w:val="22"/>
              </w:rPr>
              <w:t>s worth of data each quarter. At a national level the indicator value has ranged between 5% and 8% over the reporting period (</w:t>
            </w:r>
            <w:r w:rsidR="00E91FCD">
              <w:rPr>
                <w:rFonts w:ascii="Arial" w:hAnsi="Arial" w:cs="Arial"/>
                <w:sz w:val="22"/>
                <w:szCs w:val="22"/>
              </w:rPr>
              <w:t>June</w:t>
            </w:r>
            <w:r>
              <w:rPr>
                <w:rFonts w:ascii="Arial" w:hAnsi="Arial" w:cs="Arial"/>
                <w:sz w:val="22"/>
                <w:szCs w:val="22"/>
              </w:rPr>
              <w:t xml:space="preserve"> 2016 to June 2020)</w:t>
            </w:r>
            <w:r w:rsidR="00B00221">
              <w:rPr>
                <w:rFonts w:ascii="Arial" w:hAnsi="Arial" w:cs="Arial"/>
                <w:sz w:val="22"/>
                <w:szCs w:val="22"/>
              </w:rPr>
              <w:t>, rising to a consistent 7% through 2018/19 before falling back to 6%</w:t>
            </w:r>
            <w:r>
              <w:rPr>
                <w:rFonts w:ascii="Arial" w:hAnsi="Arial" w:cs="Arial"/>
                <w:sz w:val="22"/>
                <w:szCs w:val="22"/>
              </w:rPr>
              <w:t>. At CCG level in June 2020 the percentage range is between 1% and 26%.</w:t>
            </w:r>
          </w:p>
        </w:tc>
        <w:tc>
          <w:tcPr>
            <w:tcW w:w="3047" w:type="dxa"/>
          </w:tcPr>
          <w:p w14:paraId="34B49690" w14:textId="1389F426" w:rsidR="00E05AB5" w:rsidRDefault="00E05AB5"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is based </w:t>
            </w:r>
            <w:r w:rsidR="005B620E">
              <w:rPr>
                <w:rFonts w:eastAsiaTheme="minorEastAsia" w:cs="Arial"/>
                <w:color w:val="000000" w:themeColor="dark1"/>
                <w:kern w:val="24"/>
                <w:sz w:val="22"/>
                <w:szCs w:val="22"/>
              </w:rPr>
              <w:t>on</w:t>
            </w:r>
            <w:r w:rsidR="00220702">
              <w:rPr>
                <w:rFonts w:eastAsiaTheme="minorEastAsia" w:cs="Arial"/>
                <w:color w:val="000000" w:themeColor="dark1"/>
                <w:kern w:val="24"/>
                <w:sz w:val="22"/>
                <w:szCs w:val="22"/>
              </w:rPr>
              <w:t xml:space="preserve"> a recogni</w:t>
            </w:r>
            <w:r w:rsidR="00A27390">
              <w:rPr>
                <w:rFonts w:eastAsiaTheme="minorEastAsia" w:cs="Arial"/>
                <w:color w:val="000000" w:themeColor="dark1"/>
                <w:kern w:val="24"/>
                <w:sz w:val="22"/>
                <w:szCs w:val="22"/>
              </w:rPr>
              <w:t>s</w:t>
            </w:r>
            <w:r w:rsidR="00220702">
              <w:rPr>
                <w:rFonts w:eastAsiaTheme="minorEastAsia" w:cs="Arial"/>
                <w:color w:val="000000" w:themeColor="dark1"/>
                <w:kern w:val="24"/>
                <w:sz w:val="22"/>
                <w:szCs w:val="22"/>
              </w:rPr>
              <w:t>ed dataset</w:t>
            </w:r>
            <w:r w:rsidR="006A6B79">
              <w:rPr>
                <w:rFonts w:eastAsiaTheme="minorEastAsia" w:cs="Arial"/>
                <w:color w:val="000000" w:themeColor="dark1"/>
                <w:kern w:val="24"/>
                <w:sz w:val="22"/>
                <w:szCs w:val="22"/>
              </w:rPr>
              <w:t>.</w:t>
            </w:r>
          </w:p>
          <w:p w14:paraId="78280FB7" w14:textId="3A22F8AD" w:rsidR="00E05AB5" w:rsidRPr="006E1387" w:rsidRDefault="00A27390" w:rsidP="00EC7278">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Indicator </w:t>
            </w:r>
            <w:r w:rsidR="00B00221">
              <w:rPr>
                <w:rFonts w:eastAsiaTheme="minorEastAsia" w:cs="Arial"/>
                <w:color w:val="000000" w:themeColor="dark1"/>
                <w:kern w:val="24"/>
                <w:sz w:val="22"/>
                <w:szCs w:val="22"/>
              </w:rPr>
              <w:t>had shown improvement up to 2019 but has begun to fall</w:t>
            </w:r>
            <w:r w:rsidR="009A4376">
              <w:rPr>
                <w:rFonts w:eastAsiaTheme="minorEastAsia" w:cs="Arial"/>
                <w:color w:val="000000" w:themeColor="dark1"/>
                <w:kern w:val="24"/>
                <w:sz w:val="22"/>
                <w:szCs w:val="22"/>
              </w:rPr>
              <w:t>.</w:t>
            </w:r>
            <w:r w:rsidR="00187006">
              <w:rPr>
                <w:rFonts w:eastAsiaTheme="minorEastAsia" w:cs="Arial"/>
                <w:color w:val="000000" w:themeColor="dark1"/>
                <w:kern w:val="24"/>
                <w:sz w:val="22"/>
                <w:szCs w:val="22"/>
              </w:rPr>
              <w:t xml:space="preserve"> </w:t>
            </w:r>
            <w:r w:rsidR="009A4376">
              <w:rPr>
                <w:rFonts w:eastAsiaTheme="minorEastAsia" w:cs="Arial"/>
                <w:color w:val="000000" w:themeColor="dark1"/>
                <w:kern w:val="24"/>
                <w:sz w:val="22"/>
                <w:szCs w:val="22"/>
              </w:rPr>
              <w:t>Variation can be seen</w:t>
            </w:r>
            <w:r>
              <w:rPr>
                <w:rFonts w:eastAsiaTheme="minorEastAsia" w:cs="Arial"/>
                <w:color w:val="000000" w:themeColor="dark1"/>
                <w:kern w:val="24"/>
                <w:sz w:val="22"/>
                <w:szCs w:val="22"/>
              </w:rPr>
              <w:t xml:space="preserve"> by geography</w:t>
            </w:r>
            <w:r w:rsidR="00B00221">
              <w:rPr>
                <w:rFonts w:eastAsiaTheme="minorEastAsia" w:cs="Arial"/>
                <w:color w:val="000000" w:themeColor="dark1"/>
                <w:kern w:val="24"/>
                <w:sz w:val="22"/>
                <w:szCs w:val="22"/>
              </w:rPr>
              <w:t>.</w:t>
            </w: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67D19D99" w14:textId="1EAEC52D" w:rsidR="0019550C" w:rsidRDefault="0019550C" w:rsidP="005F3926">
            <w:pPr>
              <w:spacing w:before="120" w:after="120"/>
              <w:rPr>
                <w:rFonts w:ascii="Arial" w:hAnsi="Arial" w:cs="Arial"/>
                <w:sz w:val="22"/>
                <w:szCs w:val="22"/>
              </w:rPr>
            </w:pPr>
            <w:r>
              <w:rPr>
                <w:rFonts w:ascii="Arial" w:hAnsi="Arial" w:cs="Arial"/>
                <w:sz w:val="22"/>
                <w:szCs w:val="22"/>
              </w:rPr>
              <w:t xml:space="preserve">From indicator </w:t>
            </w:r>
            <w:r w:rsidR="00521D6D">
              <w:rPr>
                <w:rFonts w:ascii="Arial" w:hAnsi="Arial" w:cs="Arial"/>
                <w:sz w:val="22"/>
                <w:szCs w:val="22"/>
              </w:rPr>
              <w:t>quality statement</w:t>
            </w:r>
            <w:r w:rsidR="00521D6D">
              <w:rPr>
                <w:rStyle w:val="FootnoteReference"/>
                <w:rFonts w:ascii="Arial" w:hAnsi="Arial" w:cs="Arial"/>
                <w:sz w:val="22"/>
                <w:szCs w:val="22"/>
              </w:rPr>
              <w:footnoteReference w:id="1"/>
            </w:r>
            <w:r w:rsidR="00521D6D">
              <w:rPr>
                <w:rFonts w:ascii="Arial" w:hAnsi="Arial" w:cs="Arial"/>
                <w:sz w:val="22"/>
                <w:szCs w:val="22"/>
              </w:rPr>
              <w:t>:</w:t>
            </w:r>
          </w:p>
          <w:p w14:paraId="49BC8B55" w14:textId="61D27326" w:rsidR="00B00221" w:rsidRPr="00B00221" w:rsidRDefault="0019550C" w:rsidP="00B00221">
            <w:pPr>
              <w:spacing w:before="120" w:after="120"/>
              <w:rPr>
                <w:rFonts w:ascii="Arial" w:hAnsi="Arial" w:cs="Arial"/>
                <w:sz w:val="22"/>
                <w:szCs w:val="22"/>
              </w:rPr>
            </w:pPr>
            <w:r>
              <w:rPr>
                <w:rFonts w:ascii="Arial" w:hAnsi="Arial" w:cs="Arial"/>
                <w:sz w:val="22"/>
                <w:szCs w:val="22"/>
              </w:rPr>
              <w:t>“</w:t>
            </w:r>
            <w:r w:rsidR="00B00221" w:rsidRPr="00B00221">
              <w:rPr>
                <w:rFonts w:ascii="Arial" w:hAnsi="Arial" w:cs="Arial"/>
                <w:sz w:val="22"/>
                <w:szCs w:val="22"/>
              </w:rPr>
              <w:t xml:space="preserve">This indicator forms part of Domain 3 - Helping people to recover from episodes of ill health or following injury and is intended to measure improved employment outcomes for adults with mental health problems, reducing their risk of social exclusion and discrimination. Employment outcomes </w:t>
            </w:r>
            <w:r w:rsidR="00B00221" w:rsidRPr="00B00221">
              <w:rPr>
                <w:rFonts w:ascii="Arial" w:hAnsi="Arial" w:cs="Arial"/>
                <w:sz w:val="22"/>
                <w:szCs w:val="22"/>
              </w:rPr>
              <w:lastRenderedPageBreak/>
              <w:t>demonstrate quality of life and are indicative that health and social care support are personalised. Employment is a wider determinat</w:t>
            </w:r>
            <w:r w:rsidR="005A6EF4">
              <w:rPr>
                <w:rFonts w:ascii="Arial" w:hAnsi="Arial" w:cs="Arial"/>
                <w:sz w:val="22"/>
                <w:szCs w:val="22"/>
              </w:rPr>
              <w:t>e</w:t>
            </w:r>
            <w:r w:rsidR="00B00221" w:rsidRPr="00B00221">
              <w:rPr>
                <w:rFonts w:ascii="Arial" w:hAnsi="Arial" w:cs="Arial"/>
                <w:sz w:val="22"/>
                <w:szCs w:val="22"/>
              </w:rPr>
              <w:t xml:space="preserve"> of health and social care inequalities.</w:t>
            </w:r>
          </w:p>
          <w:p w14:paraId="5C07EC1C" w14:textId="485B7B72" w:rsidR="005F3926" w:rsidRDefault="00B00221" w:rsidP="00B00221">
            <w:pPr>
              <w:spacing w:before="120" w:after="120"/>
              <w:rPr>
                <w:rFonts w:ascii="Arial" w:hAnsi="Arial" w:cs="Arial"/>
                <w:sz w:val="22"/>
                <w:szCs w:val="22"/>
              </w:rPr>
            </w:pPr>
            <w:r w:rsidRPr="00B00221">
              <w:rPr>
                <w:rFonts w:ascii="Arial" w:hAnsi="Arial" w:cs="Arial"/>
                <w:sz w:val="22"/>
                <w:szCs w:val="22"/>
              </w:rPr>
              <w:t>In employment refers to either an employee, self-employed, on government-supported training and employment programmes, or an unpaid family worker (in a family owned business), in accordance with the Labour Organization Definition of basic economic activity. This indicator does not include voluntary work in its numerator, although it is recognised that this form of employment may be beneficial to the recovery of people with mental health issues.</w:t>
            </w:r>
            <w:r w:rsidR="0019550C" w:rsidRPr="0019550C">
              <w:rPr>
                <w:rFonts w:ascii="Arial" w:hAnsi="Arial" w:cs="Arial"/>
                <w:sz w:val="22"/>
                <w:szCs w:val="22"/>
              </w:rPr>
              <w:t xml:space="preserve">” </w:t>
            </w:r>
          </w:p>
          <w:p w14:paraId="262975E8" w14:textId="727B08F0" w:rsidR="00DB3196" w:rsidRDefault="00DB3196" w:rsidP="00B00221">
            <w:pPr>
              <w:spacing w:before="120" w:after="120"/>
              <w:rPr>
                <w:rFonts w:ascii="Arial" w:hAnsi="Arial" w:cs="Arial"/>
                <w:sz w:val="22"/>
                <w:szCs w:val="22"/>
              </w:rPr>
            </w:pPr>
            <w:r w:rsidRPr="00DB3196">
              <w:rPr>
                <w:rFonts w:ascii="Arial" w:hAnsi="Arial" w:cs="Arial"/>
                <w:sz w:val="22"/>
                <w:szCs w:val="22"/>
              </w:rPr>
              <w:t>The 2006 evidence review by Waddell and Burton “Is work good for your health and well-being?”</w:t>
            </w:r>
            <w:r w:rsidR="00667E0F" w:rsidRPr="00667E0F">
              <w:rPr>
                <w:rStyle w:val="FootnoteReference"/>
              </w:rPr>
              <w:fldChar w:fldCharType="begin"/>
            </w:r>
            <w:r w:rsidR="00667E0F" w:rsidRPr="00667E0F">
              <w:rPr>
                <w:rFonts w:ascii="Arial" w:hAnsi="Arial" w:cs="Arial"/>
                <w:sz w:val="22"/>
                <w:szCs w:val="22"/>
                <w:vertAlign w:val="superscript"/>
              </w:rPr>
              <w:instrText xml:space="preserve"> NOTEREF _Ref96944495 \h </w:instrText>
            </w:r>
            <w:r w:rsidR="00667E0F" w:rsidRPr="00667E0F">
              <w:rPr>
                <w:rStyle w:val="FootnoteReference"/>
              </w:rPr>
              <w:instrText xml:space="preserve"> \* MERGEFORMAT </w:instrText>
            </w:r>
            <w:r w:rsidR="00667E0F" w:rsidRPr="00667E0F">
              <w:rPr>
                <w:rStyle w:val="FootnoteReference"/>
              </w:rPr>
            </w:r>
            <w:r w:rsidR="00667E0F" w:rsidRPr="00667E0F">
              <w:rPr>
                <w:rStyle w:val="FootnoteReference"/>
              </w:rPr>
              <w:fldChar w:fldCharType="separate"/>
            </w:r>
            <w:r w:rsidR="00667E0F" w:rsidRPr="00667E0F">
              <w:rPr>
                <w:rFonts w:ascii="Arial" w:hAnsi="Arial" w:cs="Arial"/>
                <w:sz w:val="22"/>
                <w:szCs w:val="22"/>
                <w:vertAlign w:val="superscript"/>
              </w:rPr>
              <w:t>2</w:t>
            </w:r>
            <w:r w:rsidR="00667E0F" w:rsidRPr="00667E0F">
              <w:rPr>
                <w:rStyle w:val="FootnoteReference"/>
              </w:rPr>
              <w:fldChar w:fldCharType="end"/>
            </w:r>
            <w:r w:rsidRPr="00DB3196">
              <w:rPr>
                <w:rFonts w:ascii="Arial" w:hAnsi="Arial" w:cs="Arial"/>
                <w:sz w:val="22"/>
                <w:szCs w:val="22"/>
              </w:rPr>
              <w:t xml:space="preserve"> (commissioned by the Department for Work and Pensions) concluded that work was generally good for both physical and mental health and well-being.</w:t>
            </w:r>
          </w:p>
          <w:p w14:paraId="46FD2163" w14:textId="195BD159" w:rsidR="007603D4" w:rsidRPr="006E1387" w:rsidRDefault="007603D4" w:rsidP="00B00221">
            <w:pPr>
              <w:spacing w:before="120" w:after="120"/>
              <w:rPr>
                <w:rFonts w:ascii="Arial" w:hAnsi="Arial" w:cs="Arial"/>
                <w:sz w:val="22"/>
                <w:szCs w:val="22"/>
              </w:rPr>
            </w:pPr>
            <w:r>
              <w:rPr>
                <w:rFonts w:ascii="Arial" w:hAnsi="Arial" w:cs="Arial"/>
                <w:sz w:val="22"/>
                <w:szCs w:val="22"/>
              </w:rPr>
              <w:t>Improving access to employment for those with mental health conditions was stated as a priority action in the NHS Five Year Forward View for Mental Health</w:t>
            </w:r>
            <w:r w:rsidR="00667E0F" w:rsidRPr="00667E0F">
              <w:rPr>
                <w:rStyle w:val="FootnoteReference"/>
              </w:rPr>
              <w:fldChar w:fldCharType="begin"/>
            </w:r>
            <w:r w:rsidR="00667E0F" w:rsidRPr="00667E0F">
              <w:rPr>
                <w:rFonts w:ascii="Arial" w:hAnsi="Arial" w:cs="Arial"/>
                <w:sz w:val="22"/>
                <w:szCs w:val="22"/>
                <w:vertAlign w:val="superscript"/>
              </w:rPr>
              <w:instrText xml:space="preserve"> NOTEREF _Ref96944562 \h </w:instrText>
            </w:r>
            <w:r w:rsidR="00667E0F" w:rsidRPr="00667E0F">
              <w:rPr>
                <w:rStyle w:val="FootnoteReference"/>
              </w:rPr>
              <w:instrText xml:space="preserve"> \* MERGEFORMAT </w:instrText>
            </w:r>
            <w:r w:rsidR="00667E0F" w:rsidRPr="00667E0F">
              <w:rPr>
                <w:rStyle w:val="FootnoteReference"/>
              </w:rPr>
            </w:r>
            <w:r w:rsidR="00667E0F" w:rsidRPr="00667E0F">
              <w:rPr>
                <w:rStyle w:val="FootnoteReference"/>
              </w:rPr>
              <w:fldChar w:fldCharType="separate"/>
            </w:r>
            <w:r w:rsidR="00667E0F" w:rsidRPr="00667E0F">
              <w:rPr>
                <w:rFonts w:ascii="Arial" w:hAnsi="Arial" w:cs="Arial"/>
                <w:sz w:val="22"/>
                <w:szCs w:val="22"/>
                <w:vertAlign w:val="superscript"/>
              </w:rPr>
              <w:t>3</w:t>
            </w:r>
            <w:r w:rsidR="00667E0F" w:rsidRPr="00667E0F">
              <w:rPr>
                <w:rStyle w:val="FootnoteReference"/>
              </w:rPr>
              <w:fldChar w:fldCharType="end"/>
            </w:r>
            <w:r>
              <w:rPr>
                <w:rFonts w:ascii="Arial" w:hAnsi="Arial" w:cs="Arial"/>
                <w:sz w:val="22"/>
                <w:szCs w:val="22"/>
              </w:rPr>
              <w:t>.</w:t>
            </w:r>
          </w:p>
        </w:tc>
        <w:tc>
          <w:tcPr>
            <w:tcW w:w="3047" w:type="dxa"/>
          </w:tcPr>
          <w:p w14:paraId="12B8C1AB" w14:textId="27CB954F" w:rsidR="00E05AB5" w:rsidRPr="006E1387" w:rsidRDefault="00187006" w:rsidP="00AE6604">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Evidence base exists</w:t>
            </w:r>
            <w:r w:rsidR="005A6EF4">
              <w:rPr>
                <w:rFonts w:eastAsiaTheme="minorEastAsia" w:cs="Arial"/>
                <w:color w:val="000000" w:themeColor="dark1"/>
                <w:kern w:val="24"/>
                <w:sz w:val="22"/>
                <w:szCs w:val="22"/>
              </w:rPr>
              <w:t>, including a commissioned Department of Work and Pensions evidence review</w:t>
            </w:r>
            <w:bookmarkStart w:id="1" w:name="_Ref96944495"/>
            <w:r w:rsidR="00667E0F">
              <w:rPr>
                <w:rStyle w:val="FootnoteReference"/>
                <w:rFonts w:cs="Arial"/>
                <w:sz w:val="22"/>
                <w:szCs w:val="22"/>
              </w:rPr>
              <w:footnoteReference w:id="2"/>
            </w:r>
            <w:bookmarkEnd w:id="1"/>
            <w:r>
              <w:rPr>
                <w:rFonts w:eastAsiaTheme="minorEastAsia" w:cs="Arial"/>
                <w:color w:val="000000" w:themeColor="dark1"/>
                <w:kern w:val="24"/>
                <w:sz w:val="22"/>
                <w:szCs w:val="22"/>
              </w:rPr>
              <w:t xml:space="preserve">. </w:t>
            </w:r>
            <w:r w:rsidR="005A6EF4">
              <w:rPr>
                <w:rFonts w:eastAsiaTheme="minorEastAsia" w:cs="Arial"/>
                <w:color w:val="000000" w:themeColor="dark1"/>
                <w:kern w:val="24"/>
                <w:sz w:val="22"/>
                <w:szCs w:val="22"/>
              </w:rPr>
              <w:t xml:space="preserve">Improving access to employment is a priority action in the </w:t>
            </w:r>
            <w:r w:rsidR="005A6EF4">
              <w:rPr>
                <w:rFonts w:cs="Arial"/>
                <w:sz w:val="22"/>
                <w:szCs w:val="22"/>
              </w:rPr>
              <w:t xml:space="preserve">NHS Five Year </w:t>
            </w:r>
            <w:r w:rsidR="005A6EF4">
              <w:rPr>
                <w:rFonts w:cs="Arial"/>
                <w:sz w:val="22"/>
                <w:szCs w:val="22"/>
              </w:rPr>
              <w:lastRenderedPageBreak/>
              <w:t>Forward View for Mental Health</w:t>
            </w:r>
            <w:bookmarkStart w:id="2" w:name="_Ref96944562"/>
            <w:r w:rsidR="00667E0F">
              <w:rPr>
                <w:rStyle w:val="FootnoteReference"/>
                <w:rFonts w:cs="Arial"/>
                <w:sz w:val="22"/>
                <w:szCs w:val="22"/>
              </w:rPr>
              <w:footnoteReference w:id="3"/>
            </w:r>
            <w:bookmarkEnd w:id="2"/>
            <w:r w:rsidR="005A6EF4">
              <w:rPr>
                <w:rFonts w:cs="Arial"/>
                <w:sz w:val="22"/>
                <w:szCs w:val="22"/>
              </w:rPr>
              <w: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lastRenderedPageBreak/>
              <w:t xml:space="preserve">Specification </w:t>
            </w:r>
          </w:p>
        </w:tc>
        <w:tc>
          <w:tcPr>
            <w:tcW w:w="4092" w:type="dxa"/>
          </w:tcPr>
          <w:p w14:paraId="4EF99DA3" w14:textId="77777777" w:rsidR="00B00221" w:rsidRDefault="00F2277C" w:rsidP="00B00221">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Numerator: </w:t>
            </w:r>
            <w:r w:rsidR="00B00221" w:rsidRPr="00B00221">
              <w:rPr>
                <w:rFonts w:ascii="Arial" w:hAnsi="Arial" w:cs="Arial"/>
                <w:color w:val="000000"/>
                <w:kern w:val="24"/>
                <w:sz w:val="22"/>
                <w:szCs w:val="22"/>
                <w:lang w:eastAsia="en-GB"/>
              </w:rPr>
              <w:t>Of people in the denominator, the number recorded as being in employment at their most recent assessment, formal review, or other multi-disciplinary care planning meeting.</w:t>
            </w:r>
          </w:p>
          <w:p w14:paraId="4FC7B690" w14:textId="75C28A16" w:rsidR="00455B14" w:rsidRPr="006E1387" w:rsidRDefault="00455B14" w:rsidP="00B00221">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Denominator:</w:t>
            </w:r>
            <w:r w:rsidR="00402BFB">
              <w:rPr>
                <w:rFonts w:ascii="Arial" w:hAnsi="Arial" w:cs="Arial"/>
                <w:color w:val="000000"/>
                <w:kern w:val="24"/>
                <w:sz w:val="22"/>
                <w:szCs w:val="22"/>
                <w:lang w:eastAsia="en-GB"/>
              </w:rPr>
              <w:t xml:space="preserve"> </w:t>
            </w:r>
            <w:r w:rsidR="00B00221" w:rsidRPr="00B00221">
              <w:rPr>
                <w:rFonts w:ascii="Arial" w:hAnsi="Arial" w:cs="Arial"/>
                <w:color w:val="000000"/>
                <w:kern w:val="24"/>
                <w:sz w:val="22"/>
                <w:szCs w:val="22"/>
                <w:lang w:eastAsia="en-GB"/>
              </w:rPr>
              <w:t>CCG level count of working age adults aged 18 to 69 who have received NHS funded community mental health, learning disabilities or autism services at any point during the year.</w:t>
            </w:r>
            <w:r w:rsidR="00B00221">
              <w:rPr>
                <w:rFonts w:ascii="Arial" w:hAnsi="Arial" w:cs="Arial"/>
                <w:color w:val="000000"/>
                <w:kern w:val="24"/>
                <w:sz w:val="22"/>
                <w:szCs w:val="22"/>
                <w:lang w:eastAsia="en-GB"/>
              </w:rPr>
              <w:t xml:space="preserve"> </w:t>
            </w:r>
            <w:r w:rsidR="00B00221" w:rsidRPr="00B00221">
              <w:rPr>
                <w:rFonts w:ascii="Arial" w:hAnsi="Arial" w:cs="Arial"/>
                <w:color w:val="000000"/>
                <w:kern w:val="24"/>
                <w:sz w:val="22"/>
                <w:szCs w:val="22"/>
                <w:lang w:eastAsia="en-GB"/>
              </w:rPr>
              <w:t xml:space="preserve">Defined in </w:t>
            </w:r>
            <w:r w:rsidR="00E84EE8">
              <w:rPr>
                <w:rFonts w:ascii="Arial" w:hAnsi="Arial" w:cs="Arial"/>
                <w:color w:val="000000"/>
                <w:kern w:val="24"/>
                <w:sz w:val="22"/>
                <w:szCs w:val="22"/>
                <w:lang w:eastAsia="en-GB"/>
              </w:rPr>
              <w:t>Mental Health Services Data Set (</w:t>
            </w:r>
            <w:r w:rsidR="00B00221" w:rsidRPr="00B00221">
              <w:rPr>
                <w:rFonts w:ascii="Arial" w:hAnsi="Arial" w:cs="Arial"/>
                <w:color w:val="000000"/>
                <w:kern w:val="24"/>
                <w:sz w:val="22"/>
                <w:szCs w:val="22"/>
                <w:lang w:eastAsia="en-GB"/>
              </w:rPr>
              <w:t>MHSDS</w:t>
            </w:r>
            <w:r w:rsidR="00E84EE8">
              <w:rPr>
                <w:rFonts w:ascii="Arial" w:hAnsi="Arial" w:cs="Arial"/>
                <w:color w:val="000000"/>
                <w:kern w:val="24"/>
                <w:sz w:val="22"/>
                <w:szCs w:val="22"/>
                <w:lang w:eastAsia="en-GB"/>
              </w:rPr>
              <w:t>)</w:t>
            </w:r>
            <w:r w:rsidR="00B00221" w:rsidRPr="00B00221">
              <w:rPr>
                <w:rFonts w:ascii="Arial" w:hAnsi="Arial" w:cs="Arial"/>
                <w:color w:val="000000"/>
                <w:kern w:val="24"/>
                <w:sz w:val="22"/>
                <w:szCs w:val="22"/>
                <w:lang w:eastAsia="en-GB"/>
              </w:rPr>
              <w:t xml:space="preserve"> as the number of people aged 18 to 69 with an open Adult Mental health care, learning disabilities or autism services referral at the end of the reporting period.</w:t>
            </w:r>
          </w:p>
          <w:p w14:paraId="158FFEDA" w14:textId="488C6CC3"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463F62">
              <w:rPr>
                <w:rFonts w:ascii="Arial" w:hAnsi="Arial" w:cs="Arial"/>
                <w:color w:val="000000"/>
                <w:kern w:val="24"/>
                <w:sz w:val="22"/>
                <w:szCs w:val="22"/>
                <w:lang w:eastAsia="en-GB"/>
              </w:rPr>
              <w:t>None</w:t>
            </w:r>
          </w:p>
          <w:p w14:paraId="46400236" w14:textId="6D93200F" w:rsidR="00402BFB" w:rsidRDefault="00F656C3"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lastRenderedPageBreak/>
              <w:t xml:space="preserve">Methodology: </w:t>
            </w:r>
            <w:r w:rsidR="00011892">
              <w:rPr>
                <w:rFonts w:ascii="Arial" w:hAnsi="Arial" w:cs="Arial"/>
                <w:color w:val="000000"/>
                <w:kern w:val="24"/>
                <w:sz w:val="22"/>
                <w:szCs w:val="22"/>
                <w:lang w:eastAsia="en-GB"/>
              </w:rPr>
              <w:t>Percentage</w:t>
            </w:r>
          </w:p>
          <w:p w14:paraId="241B73C2" w14:textId="7A127347"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0438E0">
              <w:rPr>
                <w:rFonts w:ascii="Arial" w:hAnsi="Arial" w:cs="Arial"/>
                <w:color w:val="000000"/>
                <w:kern w:val="24"/>
                <w:sz w:val="22"/>
                <w:szCs w:val="22"/>
                <w:lang w:eastAsia="en-GB"/>
              </w:rPr>
              <w:t>England,</w:t>
            </w:r>
            <w:r w:rsidR="00BA478F">
              <w:rPr>
                <w:rFonts w:ascii="Arial" w:hAnsi="Arial" w:cs="Arial"/>
                <w:color w:val="000000"/>
                <w:kern w:val="24"/>
                <w:sz w:val="22"/>
                <w:szCs w:val="22"/>
                <w:lang w:eastAsia="en-GB"/>
              </w:rPr>
              <w:t xml:space="preserve"> </w:t>
            </w:r>
            <w:r w:rsidR="00B00221">
              <w:rPr>
                <w:rFonts w:ascii="Arial" w:hAnsi="Arial" w:cs="Arial"/>
                <w:color w:val="000000"/>
                <w:kern w:val="24"/>
                <w:sz w:val="22"/>
                <w:szCs w:val="22"/>
                <w:lang w:eastAsia="en-GB"/>
              </w:rPr>
              <w:t>CCG.</w:t>
            </w:r>
          </w:p>
          <w:p w14:paraId="5B155699" w14:textId="586CADA3"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B00221">
              <w:rPr>
                <w:rFonts w:ascii="Arial" w:hAnsi="Arial" w:cs="Arial"/>
                <w:color w:val="000000"/>
                <w:kern w:val="24"/>
                <w:sz w:val="22"/>
                <w:szCs w:val="22"/>
                <w:lang w:eastAsia="en-GB"/>
              </w:rPr>
              <w:t xml:space="preserve">Mental </w:t>
            </w:r>
            <w:r w:rsidR="00E84EE8">
              <w:rPr>
                <w:rFonts w:ascii="Arial" w:hAnsi="Arial" w:cs="Arial"/>
                <w:color w:val="000000"/>
                <w:kern w:val="24"/>
                <w:sz w:val="22"/>
                <w:szCs w:val="22"/>
                <w:lang w:eastAsia="en-GB"/>
              </w:rPr>
              <w:t>H</w:t>
            </w:r>
            <w:r w:rsidR="00B00221">
              <w:rPr>
                <w:rFonts w:ascii="Arial" w:hAnsi="Arial" w:cs="Arial"/>
                <w:color w:val="000000"/>
                <w:kern w:val="24"/>
                <w:sz w:val="22"/>
                <w:szCs w:val="22"/>
                <w:lang w:eastAsia="en-GB"/>
              </w:rPr>
              <w:t xml:space="preserve">ealth </w:t>
            </w:r>
            <w:r w:rsidR="00E84EE8">
              <w:rPr>
                <w:rFonts w:ascii="Arial" w:hAnsi="Arial" w:cs="Arial"/>
                <w:color w:val="000000"/>
                <w:kern w:val="24"/>
                <w:sz w:val="22"/>
                <w:szCs w:val="22"/>
                <w:lang w:eastAsia="en-GB"/>
              </w:rPr>
              <w:t>S</w:t>
            </w:r>
            <w:r w:rsidR="00B00221">
              <w:rPr>
                <w:rFonts w:ascii="Arial" w:hAnsi="Arial" w:cs="Arial"/>
                <w:color w:val="000000"/>
                <w:kern w:val="24"/>
                <w:sz w:val="22"/>
                <w:szCs w:val="22"/>
                <w:lang w:eastAsia="en-GB"/>
              </w:rPr>
              <w:t xml:space="preserve">ervices </w:t>
            </w:r>
            <w:r w:rsidR="00E84EE8">
              <w:rPr>
                <w:rFonts w:ascii="Arial" w:hAnsi="Arial" w:cs="Arial"/>
                <w:color w:val="000000"/>
                <w:kern w:val="24"/>
                <w:sz w:val="22"/>
                <w:szCs w:val="22"/>
                <w:lang w:eastAsia="en-GB"/>
              </w:rPr>
              <w:t>D</w:t>
            </w:r>
            <w:r w:rsidR="00B00221">
              <w:rPr>
                <w:rFonts w:ascii="Arial" w:hAnsi="Arial" w:cs="Arial"/>
                <w:color w:val="000000"/>
                <w:kern w:val="24"/>
                <w:sz w:val="22"/>
                <w:szCs w:val="22"/>
                <w:lang w:eastAsia="en-GB"/>
              </w:rPr>
              <w:t xml:space="preserve">ata </w:t>
            </w:r>
            <w:r w:rsidR="00E84EE8">
              <w:rPr>
                <w:rFonts w:ascii="Arial" w:hAnsi="Arial" w:cs="Arial"/>
                <w:color w:val="000000"/>
                <w:kern w:val="24"/>
                <w:sz w:val="22"/>
                <w:szCs w:val="22"/>
                <w:lang w:eastAsia="en-GB"/>
              </w:rPr>
              <w:t>S</w:t>
            </w:r>
            <w:r w:rsidR="00B00221">
              <w:rPr>
                <w:rFonts w:ascii="Arial" w:hAnsi="Arial" w:cs="Arial"/>
                <w:color w:val="000000"/>
                <w:kern w:val="24"/>
                <w:sz w:val="22"/>
                <w:szCs w:val="22"/>
                <w:lang w:eastAsia="en-GB"/>
              </w:rPr>
              <w:t xml:space="preserve">et </w:t>
            </w:r>
            <w:r w:rsidR="00145666">
              <w:rPr>
                <w:rFonts w:ascii="Arial" w:hAnsi="Arial" w:cs="Arial"/>
                <w:color w:val="000000"/>
                <w:kern w:val="24"/>
                <w:sz w:val="22"/>
                <w:szCs w:val="22"/>
                <w:lang w:eastAsia="en-GB"/>
              </w:rPr>
              <w:t>(MHSDS)</w:t>
            </w:r>
          </w:p>
          <w:p w14:paraId="134E4565" w14:textId="3E6F6C04" w:rsidR="00A54F81" w:rsidRPr="006E1387" w:rsidRDefault="00873503" w:rsidP="00EB525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Disclosure control:</w:t>
            </w:r>
            <w:r w:rsidR="00E84EE8">
              <w:rPr>
                <w:rFonts w:ascii="Arial" w:hAnsi="Arial" w:cs="Arial"/>
                <w:color w:val="000000"/>
                <w:kern w:val="24"/>
                <w:sz w:val="22"/>
                <w:szCs w:val="22"/>
                <w:lang w:eastAsia="en-GB"/>
              </w:rPr>
              <w:t xml:space="preserve"> Any value calculated from a numerator of 0 to 4 is suppressed. Secondary suppression is applied if only one CCG is suppressed in this way. CCG numerator and denominators are rounded to the nearest 5, though rates are calculated from unrounded data.</w:t>
            </w:r>
            <w:r w:rsidR="00EB5258">
              <w:t xml:space="preserve"> </w:t>
            </w:r>
          </w:p>
        </w:tc>
        <w:tc>
          <w:tcPr>
            <w:tcW w:w="3047" w:type="dxa"/>
          </w:tcPr>
          <w:p w14:paraId="3C3529D2" w14:textId="0B8323A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lastRenderedPageBreak/>
              <w:t>The indicator has defined components necessary to construct the indicator</w:t>
            </w:r>
            <w:r w:rsidR="00217BF3">
              <w:rPr>
                <w:rFonts w:ascii="Arial" w:eastAsiaTheme="minorEastAsia" w:hAnsi="Arial" w:cs="Arial"/>
                <w:color w:val="000000" w:themeColor="dark1"/>
                <w:kern w:val="24"/>
                <w:sz w:val="22"/>
                <w:szCs w:val="22"/>
              </w:rPr>
              <w:t>.</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05B1B510" w14:textId="77777777" w:rsidR="007603D4" w:rsidRDefault="00974F41" w:rsidP="00974F41">
            <w:pPr>
              <w:spacing w:before="120" w:after="120"/>
              <w:rPr>
                <w:rFonts w:ascii="Arial" w:hAnsi="Arial" w:cs="Arial"/>
                <w:sz w:val="22"/>
                <w:szCs w:val="22"/>
              </w:rPr>
            </w:pPr>
            <w:r>
              <w:rPr>
                <w:rFonts w:ascii="Arial" w:hAnsi="Arial" w:cs="Arial"/>
                <w:sz w:val="22"/>
                <w:szCs w:val="22"/>
              </w:rPr>
              <w:t xml:space="preserve">Source dataset is relatively new (2016) however fields used were in the predecessor dataset so are </w:t>
            </w:r>
            <w:r w:rsidR="003A78B6">
              <w:rPr>
                <w:rFonts w:ascii="Arial" w:hAnsi="Arial" w:cs="Arial"/>
                <w:sz w:val="22"/>
                <w:szCs w:val="22"/>
              </w:rPr>
              <w:t>well established.</w:t>
            </w:r>
            <w:r w:rsidR="00C578AA">
              <w:rPr>
                <w:rFonts w:ascii="Arial" w:hAnsi="Arial" w:cs="Arial"/>
                <w:sz w:val="22"/>
                <w:szCs w:val="22"/>
              </w:rPr>
              <w:t xml:space="preserve"> </w:t>
            </w:r>
          </w:p>
          <w:p w14:paraId="23202A2C" w14:textId="47B0988B" w:rsidR="002B4762" w:rsidRPr="006E1387" w:rsidRDefault="00C578AA" w:rsidP="002B4762">
            <w:pPr>
              <w:spacing w:before="120" w:after="120"/>
              <w:rPr>
                <w:rFonts w:ascii="Arial" w:hAnsi="Arial" w:cs="Arial"/>
                <w:sz w:val="22"/>
                <w:szCs w:val="22"/>
              </w:rPr>
            </w:pPr>
            <w:r>
              <w:rPr>
                <w:rFonts w:ascii="Arial" w:hAnsi="Arial" w:cs="Arial"/>
                <w:color w:val="000000"/>
                <w:kern w:val="24"/>
                <w:sz w:val="22"/>
                <w:szCs w:val="22"/>
                <w:lang w:eastAsia="en-GB"/>
              </w:rPr>
              <w:t>Completeness of the employment status field at source is poor, around 32% nationally in the most recent data</w:t>
            </w:r>
            <w:bookmarkStart w:id="3" w:name="_Ref96944522"/>
            <w:r>
              <w:rPr>
                <w:rStyle w:val="FootnoteReference"/>
                <w:rFonts w:ascii="Arial" w:hAnsi="Arial" w:cs="Arial"/>
                <w:color w:val="000000"/>
                <w:kern w:val="24"/>
                <w:sz w:val="22"/>
                <w:szCs w:val="22"/>
                <w:lang w:eastAsia="en-GB"/>
              </w:rPr>
              <w:footnoteReference w:id="4"/>
            </w:r>
            <w:bookmarkEnd w:id="3"/>
            <w:r>
              <w:rPr>
                <w:rFonts w:ascii="Arial" w:hAnsi="Arial" w:cs="Arial"/>
                <w:color w:val="000000"/>
                <w:kern w:val="24"/>
                <w:sz w:val="22"/>
                <w:szCs w:val="22"/>
                <w:lang w:eastAsia="en-GB"/>
              </w:rPr>
              <w:t>, which has been decreasing in recent years therefore caution must be taken in interpretation. This percentage is displayed in the data alongside the indicator value.</w:t>
            </w:r>
          </w:p>
        </w:tc>
        <w:tc>
          <w:tcPr>
            <w:tcW w:w="3047" w:type="dxa"/>
          </w:tcPr>
          <w:p w14:paraId="7956D8E5" w14:textId="77777777" w:rsidR="00455B14" w:rsidRDefault="00262A3E" w:rsidP="00EC7278">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Data has been flowing for some time and data sources will continue</w:t>
            </w:r>
            <w:r w:rsidR="002B77DF">
              <w:rPr>
                <w:rFonts w:ascii="Arial" w:eastAsiaTheme="minorEastAsia" w:hAnsi="Arial" w:cs="Arial"/>
                <w:color w:val="000000" w:themeColor="dark1"/>
                <w:kern w:val="24"/>
                <w:sz w:val="22"/>
                <w:szCs w:val="22"/>
                <w:lang w:eastAsia="en-GB"/>
              </w:rPr>
              <w:t>.</w:t>
            </w:r>
          </w:p>
          <w:p w14:paraId="7C614BB1" w14:textId="13CBC13B" w:rsidR="00C578AA" w:rsidRPr="006E1387" w:rsidRDefault="00C578AA" w:rsidP="00EC7278">
            <w:pPr>
              <w:spacing w:before="120" w:after="120"/>
              <w:rPr>
                <w:rFonts w:ascii="Arial" w:eastAsiaTheme="minorEastAsia" w:hAnsi="Arial" w:cs="Arial"/>
                <w:color w:val="000000" w:themeColor="dark1"/>
                <w:kern w:val="24"/>
                <w:sz w:val="22"/>
                <w:szCs w:val="22"/>
                <w:lang w:eastAsia="en-GB"/>
              </w:rPr>
            </w:pPr>
            <w:r w:rsidRPr="00E0378F">
              <w:rPr>
                <w:rFonts w:ascii="Arial" w:eastAsiaTheme="minorEastAsia" w:hAnsi="Arial" w:cs="Arial"/>
                <w:color w:val="000000" w:themeColor="dark1"/>
                <w:kern w:val="24"/>
                <w:sz w:val="22"/>
                <w:szCs w:val="22"/>
                <w:lang w:eastAsia="en-GB"/>
              </w:rPr>
              <w:t>Data quality issues from source.</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4BB33FF6" w14:textId="1F589C65" w:rsidR="00EB5258" w:rsidRDefault="002B77DF" w:rsidP="00EB5258">
            <w:pPr>
              <w:spacing w:before="120" w:after="120"/>
              <w:rPr>
                <w:rFonts w:ascii="Arial" w:hAnsi="Arial" w:cs="Arial"/>
                <w:sz w:val="22"/>
                <w:szCs w:val="22"/>
              </w:rPr>
            </w:pPr>
            <w:r>
              <w:rPr>
                <w:rFonts w:ascii="Arial" w:hAnsi="Arial" w:cs="Arial"/>
                <w:sz w:val="22"/>
                <w:szCs w:val="22"/>
              </w:rPr>
              <w:t>Indicator methodology is well established</w:t>
            </w:r>
            <w:r w:rsidR="009A4376">
              <w:rPr>
                <w:rFonts w:ascii="Arial" w:hAnsi="Arial" w:cs="Arial"/>
                <w:sz w:val="22"/>
                <w:szCs w:val="22"/>
              </w:rPr>
              <w:t>.</w:t>
            </w:r>
            <w:r w:rsidR="00DF420B">
              <w:rPr>
                <w:rFonts w:ascii="Arial" w:hAnsi="Arial" w:cs="Arial"/>
                <w:sz w:val="22"/>
                <w:szCs w:val="22"/>
              </w:rPr>
              <w:t xml:space="preserve"> </w:t>
            </w:r>
            <w:r w:rsidR="00974F41">
              <w:rPr>
                <w:rFonts w:ascii="Arial" w:hAnsi="Arial" w:cs="Arial"/>
                <w:sz w:val="22"/>
                <w:szCs w:val="22"/>
              </w:rPr>
              <w:t>Employment status is a required field in the dataset.</w:t>
            </w:r>
          </w:p>
          <w:p w14:paraId="2117977B" w14:textId="2367B972" w:rsidR="009F3187" w:rsidRPr="00D27F21" w:rsidRDefault="00C578AA" w:rsidP="00262A3E">
            <w:pPr>
              <w:spacing w:before="120" w:after="120"/>
              <w:rPr>
                <w:rFonts w:ascii="Arial" w:hAnsi="Arial" w:cs="Arial"/>
                <w:sz w:val="22"/>
                <w:szCs w:val="22"/>
              </w:rPr>
            </w:pPr>
            <w:r>
              <w:rPr>
                <w:rFonts w:ascii="Arial" w:hAnsi="Arial" w:cs="Arial"/>
                <w:sz w:val="22"/>
                <w:szCs w:val="22"/>
              </w:rPr>
              <w:t>Employment status of the general population is not available at CCG level therefore direct comparison cannot be made.</w:t>
            </w:r>
          </w:p>
        </w:tc>
        <w:tc>
          <w:tcPr>
            <w:tcW w:w="3047" w:type="dxa"/>
          </w:tcPr>
          <w:p w14:paraId="29506238" w14:textId="2D49B6D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A0ECD0F" w:rsidR="00217BF3"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041011" w:rsidRPr="006E1387" w14:paraId="515852F3" w14:textId="598C7331" w:rsidTr="00D27F21">
        <w:trPr>
          <w:trHeight w:val="796"/>
        </w:trPr>
        <w:tc>
          <w:tcPr>
            <w:tcW w:w="1878" w:type="dxa"/>
          </w:tcPr>
          <w:p w14:paraId="5DC1BD3A" w14:textId="17F33E7B" w:rsidR="00041011" w:rsidRPr="006E1387" w:rsidRDefault="00041011" w:rsidP="00041011">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6C854FEE" w14:textId="7E09C23C" w:rsidR="00041011" w:rsidRPr="006E1387" w:rsidRDefault="00C578AA" w:rsidP="00BA30D0">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Data completeness issue referenced in Feasibility.</w:t>
            </w:r>
          </w:p>
        </w:tc>
        <w:tc>
          <w:tcPr>
            <w:tcW w:w="3047" w:type="dxa"/>
          </w:tcPr>
          <w:p w14:paraId="7C2C11AA" w14:textId="6BF5BCF7" w:rsidR="00041011" w:rsidRPr="006E1387" w:rsidRDefault="00B00221" w:rsidP="00EC7278">
            <w:pPr>
              <w:pStyle w:val="NICEnormal"/>
              <w:spacing w:before="120" w:after="120" w:line="240" w:lineRule="auto"/>
              <w:rPr>
                <w:rFonts w:cs="Arial"/>
                <w:color w:val="000000"/>
                <w:kern w:val="24"/>
                <w:sz w:val="22"/>
                <w:szCs w:val="22"/>
                <w:lang w:eastAsia="en-GB"/>
              </w:rPr>
            </w:pPr>
            <w:r>
              <w:rPr>
                <w:rFonts w:eastAsiaTheme="minorEastAsia" w:cs="Arial"/>
                <w:color w:val="000000" w:themeColor="dark1"/>
                <w:kern w:val="24"/>
                <w:sz w:val="22"/>
                <w:szCs w:val="22"/>
              </w:rPr>
              <w:t>Data quality issues from source.</w:t>
            </w:r>
          </w:p>
        </w:tc>
      </w:tr>
    </w:tbl>
    <w:p w14:paraId="37D9A2F5" w14:textId="084C27AB" w:rsidR="004A517E" w:rsidRDefault="004A517E">
      <w:pPr>
        <w:rPr>
          <w:rFonts w:ascii="Arial" w:hAnsi="Arial"/>
          <w:lang w:val="en-US"/>
        </w:rPr>
      </w:pPr>
    </w:p>
    <w:p w14:paraId="55E62290" w14:textId="0468E89E" w:rsidR="00937DDA" w:rsidRDefault="00D27F21" w:rsidP="00937DDA">
      <w:pPr>
        <w:pStyle w:val="Paragraphnonumbers"/>
      </w:pPr>
      <w:r>
        <w:rPr>
          <w:b/>
        </w:rPr>
        <w:t>S</w:t>
      </w:r>
      <w:r w:rsidR="00937DDA" w:rsidRPr="00B12039">
        <w:rPr>
          <w:b/>
        </w:rPr>
        <w:t>ummary:</w:t>
      </w:r>
      <w:r w:rsidR="00937DDA">
        <w:t xml:space="preserve"> </w:t>
      </w:r>
      <w:r>
        <w:t>Indicator to be renewed</w:t>
      </w:r>
      <w:r w:rsidR="002B77DF">
        <w:t>.</w:t>
      </w:r>
    </w:p>
    <w:p w14:paraId="168C6537" w14:textId="77777777" w:rsidR="0083363F" w:rsidRPr="00217BF3" w:rsidRDefault="0083363F" w:rsidP="0083363F">
      <w:pPr>
        <w:pStyle w:val="Paragraphnonumbers"/>
      </w:pPr>
      <w:r>
        <w:t>Potential impact of COVID-19 on this indicator, though difficult to predict.</w:t>
      </w:r>
    </w:p>
    <w:p w14:paraId="300914F6" w14:textId="77777777" w:rsidR="008A57CB" w:rsidRDefault="008A57CB" w:rsidP="008A57CB">
      <w:pPr>
        <w:pStyle w:val="Paragraphnonumbers"/>
        <w:rPr>
          <w:b/>
        </w:rPr>
      </w:pPr>
      <w:r>
        <w:rPr>
          <w:b/>
        </w:rPr>
        <w:t xml:space="preserve">NHS Digital Indicator reference: </w:t>
      </w:r>
    </w:p>
    <w:p w14:paraId="123085F8" w14:textId="5CD8DE3B" w:rsidR="00D73835" w:rsidRDefault="008A57CB" w:rsidP="00D27F21">
      <w:pPr>
        <w:pStyle w:val="Paragraphnonumbers"/>
      </w:pPr>
      <w:bookmarkStart w:id="4" w:name="_Hlk77848804"/>
      <w:r>
        <w:t>CCG Outcomes Indicator Set – 3.17</w:t>
      </w:r>
      <w:r w:rsidRPr="00DE10E3">
        <w:t xml:space="preserve"> </w:t>
      </w:r>
      <w:bookmarkEnd w:id="4"/>
      <w:r w:rsidRPr="008A57CB">
        <w:t>Percentage of adults in contact with secondary mental health services in employment</w:t>
      </w:r>
      <w:r w:rsidR="006C3D61">
        <w:t xml:space="preserve"> </w:t>
      </w:r>
    </w:p>
    <w:sectPr w:rsidR="00D73835" w:rsidSect="00192B09">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D8F8686" w:rsidR="00BB14CA" w:rsidRPr="008C1C95" w:rsidRDefault="00026ADF" w:rsidP="00E0378F">
    <w:pPr>
      <w:pStyle w:val="Footer"/>
    </w:pPr>
    <w:r>
      <w:t xml:space="preserve">IAP00338 </w:t>
    </w:r>
    <w:r w:rsidRPr="00026ADF">
      <w:t>Percentage of adults in contact with secondary mental health services in employment</w:t>
    </w:r>
    <w:r>
      <w:t xml:space="preserve">: </w:t>
    </w:r>
    <w:r w:rsidR="009B0E59">
      <w:t xml:space="preserve"> Validity assessment </w:t>
    </w:r>
    <w:r>
      <w:t>March 2022</w:t>
    </w:r>
    <w:r w:rsidR="009B0E59">
      <w:tab/>
    </w:r>
    <w:r w:rsidR="009B0E59">
      <w:tab/>
    </w:r>
    <w:r w:rsidR="00BB14CA">
      <w:fldChar w:fldCharType="begin"/>
    </w:r>
    <w:r w:rsidR="00BB14CA">
      <w:instrText xml:space="preserve"> PAGE </w:instrText>
    </w:r>
    <w:r w:rsidR="00BB14CA">
      <w:fldChar w:fldCharType="separate"/>
    </w:r>
    <w:r w:rsidR="00731333">
      <w:rPr>
        <w:noProof/>
      </w:rPr>
      <w:t>4</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731333">
      <w:rPr>
        <w:noProof/>
      </w:rPr>
      <w:t>4</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1CF1D59" w14:textId="0D35E201" w:rsidR="00521D6D" w:rsidRDefault="00521D6D">
      <w:pPr>
        <w:pStyle w:val="FootnoteText"/>
      </w:pPr>
      <w:r>
        <w:rPr>
          <w:rStyle w:val="FootnoteReference"/>
        </w:rPr>
        <w:footnoteRef/>
      </w:r>
      <w:r>
        <w:t xml:space="preserve"> NHS Digital. </w:t>
      </w:r>
      <w:r w:rsidR="00B00221">
        <w:t>CCG</w:t>
      </w:r>
      <w:r w:rsidR="00EB5258">
        <w:t xml:space="preserve"> </w:t>
      </w:r>
      <w:r>
        <w:t xml:space="preserve">outcomes </w:t>
      </w:r>
      <w:r w:rsidR="00B00221">
        <w:t>indicator set</w:t>
      </w:r>
      <w:r w:rsidR="00EB5258">
        <w:t>,</w:t>
      </w:r>
      <w:r>
        <w:t xml:space="preserve"> Indicator Quality Statement, Domain </w:t>
      </w:r>
      <w:r w:rsidR="00B00221">
        <w:t>3</w:t>
      </w:r>
      <w:r>
        <w:t xml:space="preserve">. </w:t>
      </w:r>
      <w:r w:rsidR="00B00221">
        <w:t>3</w:t>
      </w:r>
      <w:r w:rsidR="00DF420B" w:rsidRPr="00DF420B">
        <w:t>.</w:t>
      </w:r>
      <w:r w:rsidR="00B00221">
        <w:t>17</w:t>
      </w:r>
      <w:r w:rsidR="00DF420B" w:rsidRPr="00DF420B">
        <w:t xml:space="preserve"> </w:t>
      </w:r>
      <w:r w:rsidR="00B00221" w:rsidRPr="00B00221">
        <w:t>Percentage of adults in contact with secondary mental health services in employment</w:t>
      </w:r>
      <w:r>
        <w:t xml:space="preserve">. Version </w:t>
      </w:r>
      <w:r w:rsidR="00B00221">
        <w:t>1</w:t>
      </w:r>
      <w:r>
        <w:t>.</w:t>
      </w:r>
      <w:r w:rsidR="00B00221">
        <w:t>9</w:t>
      </w:r>
      <w:r>
        <w:t xml:space="preserve">, </w:t>
      </w:r>
      <w:r w:rsidR="00B00221">
        <w:t>October</w:t>
      </w:r>
      <w:r w:rsidR="00A27390">
        <w:t xml:space="preserve"> </w:t>
      </w:r>
      <w:r w:rsidR="009A4376">
        <w:t>20</w:t>
      </w:r>
      <w:r w:rsidR="00B00221">
        <w:t>20</w:t>
      </w:r>
    </w:p>
  </w:footnote>
  <w:footnote w:id="2">
    <w:p w14:paraId="48174EF5" w14:textId="77777777" w:rsidR="00667E0F" w:rsidRDefault="00667E0F" w:rsidP="00667E0F">
      <w:pPr>
        <w:pStyle w:val="FootnoteText"/>
      </w:pPr>
      <w:r>
        <w:rPr>
          <w:rStyle w:val="FootnoteReference"/>
        </w:rPr>
        <w:footnoteRef/>
      </w:r>
      <w:r>
        <w:t xml:space="preserve"> </w:t>
      </w:r>
      <w:hyperlink r:id="rId1" w:history="1">
        <w:r w:rsidRPr="00691479">
          <w:rPr>
            <w:rStyle w:val="Hyperlink"/>
          </w:rPr>
          <w:t>https://www.gov.uk/government/publications/is-work-good-for-your-health-and-well-being</w:t>
        </w:r>
      </w:hyperlink>
      <w:r>
        <w:t xml:space="preserve"> </w:t>
      </w:r>
    </w:p>
  </w:footnote>
  <w:footnote w:id="3">
    <w:p w14:paraId="482BB990" w14:textId="77777777" w:rsidR="00667E0F" w:rsidRDefault="00667E0F" w:rsidP="00667E0F">
      <w:pPr>
        <w:pStyle w:val="FootnoteText"/>
      </w:pPr>
      <w:r>
        <w:rPr>
          <w:rStyle w:val="FootnoteReference"/>
        </w:rPr>
        <w:footnoteRef/>
      </w:r>
      <w:r>
        <w:t xml:space="preserve"> </w:t>
      </w:r>
      <w:hyperlink r:id="rId2" w:history="1">
        <w:r w:rsidRPr="005C0F00">
          <w:rPr>
            <w:rStyle w:val="Hyperlink"/>
          </w:rPr>
          <w:t>https://www.england.nhs.uk/mental-health/taskforce/</w:t>
        </w:r>
      </w:hyperlink>
      <w:r>
        <w:t xml:space="preserve"> </w:t>
      </w:r>
    </w:p>
  </w:footnote>
  <w:footnote w:id="4">
    <w:p w14:paraId="5EF614D0" w14:textId="77777777" w:rsidR="00C578AA" w:rsidRDefault="00C578AA" w:rsidP="00C578AA">
      <w:pPr>
        <w:pStyle w:val="FootnoteText"/>
      </w:pPr>
      <w:r>
        <w:rPr>
          <w:rStyle w:val="FootnoteReference"/>
        </w:rPr>
        <w:footnoteRef/>
      </w:r>
      <w:r>
        <w:t xml:space="preserve"> </w:t>
      </w:r>
      <w:hyperlink r:id="rId3" w:history="1">
        <w:r w:rsidRPr="005C0F00">
          <w:rPr>
            <w:rStyle w:val="Hyperlink"/>
          </w:rPr>
          <w:t>https://digital.nhs.uk/data-and-information/publications/statistical/mental-health-services-monthly-statistics/final-september-2021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A576E9A"/>
    <w:multiLevelType w:val="hybridMultilevel"/>
    <w:tmpl w:val="CF58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3"/>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892"/>
    <w:rsid w:val="00011FC6"/>
    <w:rsid w:val="0001222B"/>
    <w:rsid w:val="00015441"/>
    <w:rsid w:val="00016234"/>
    <w:rsid w:val="00017F45"/>
    <w:rsid w:val="000200AB"/>
    <w:rsid w:val="00020637"/>
    <w:rsid w:val="0002076F"/>
    <w:rsid w:val="0002231A"/>
    <w:rsid w:val="00023CA5"/>
    <w:rsid w:val="00024D0A"/>
    <w:rsid w:val="00025A5C"/>
    <w:rsid w:val="0002655B"/>
    <w:rsid w:val="00026ADF"/>
    <w:rsid w:val="00027B76"/>
    <w:rsid w:val="000300AE"/>
    <w:rsid w:val="00030385"/>
    <w:rsid w:val="0003213D"/>
    <w:rsid w:val="0003305F"/>
    <w:rsid w:val="00034649"/>
    <w:rsid w:val="00035D96"/>
    <w:rsid w:val="00036EE4"/>
    <w:rsid w:val="00037552"/>
    <w:rsid w:val="00041011"/>
    <w:rsid w:val="000414CD"/>
    <w:rsid w:val="0004386A"/>
    <w:rsid w:val="000438E0"/>
    <w:rsid w:val="000453F8"/>
    <w:rsid w:val="00050710"/>
    <w:rsid w:val="000523A6"/>
    <w:rsid w:val="000524FA"/>
    <w:rsid w:val="00052A67"/>
    <w:rsid w:val="00052B85"/>
    <w:rsid w:val="00053145"/>
    <w:rsid w:val="00056013"/>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24A0"/>
    <w:rsid w:val="000E4899"/>
    <w:rsid w:val="000E7E3C"/>
    <w:rsid w:val="000F3B49"/>
    <w:rsid w:val="000F6502"/>
    <w:rsid w:val="001043B0"/>
    <w:rsid w:val="001066B8"/>
    <w:rsid w:val="00110A94"/>
    <w:rsid w:val="00110AD8"/>
    <w:rsid w:val="00112FAE"/>
    <w:rsid w:val="0011312D"/>
    <w:rsid w:val="001131E2"/>
    <w:rsid w:val="001134E7"/>
    <w:rsid w:val="00121C0F"/>
    <w:rsid w:val="00124CBD"/>
    <w:rsid w:val="001252AE"/>
    <w:rsid w:val="00125557"/>
    <w:rsid w:val="001306F4"/>
    <w:rsid w:val="00130EC7"/>
    <w:rsid w:val="00134FDA"/>
    <w:rsid w:val="00135081"/>
    <w:rsid w:val="001352C4"/>
    <w:rsid w:val="00136466"/>
    <w:rsid w:val="001368F7"/>
    <w:rsid w:val="001377B8"/>
    <w:rsid w:val="00140B46"/>
    <w:rsid w:val="00140D83"/>
    <w:rsid w:val="001413FC"/>
    <w:rsid w:val="00145666"/>
    <w:rsid w:val="00145D3C"/>
    <w:rsid w:val="001503E8"/>
    <w:rsid w:val="00154516"/>
    <w:rsid w:val="00155A83"/>
    <w:rsid w:val="00156264"/>
    <w:rsid w:val="00156529"/>
    <w:rsid w:val="001579DA"/>
    <w:rsid w:val="00161404"/>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006"/>
    <w:rsid w:val="00187570"/>
    <w:rsid w:val="00192188"/>
    <w:rsid w:val="00192B09"/>
    <w:rsid w:val="001936A7"/>
    <w:rsid w:val="00193D4B"/>
    <w:rsid w:val="00194E6C"/>
    <w:rsid w:val="0019550C"/>
    <w:rsid w:val="00196653"/>
    <w:rsid w:val="00196E29"/>
    <w:rsid w:val="001976DA"/>
    <w:rsid w:val="001A056C"/>
    <w:rsid w:val="001A23E4"/>
    <w:rsid w:val="001A281B"/>
    <w:rsid w:val="001A3011"/>
    <w:rsid w:val="001A48E7"/>
    <w:rsid w:val="001A73CD"/>
    <w:rsid w:val="001A7C9F"/>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305"/>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7BF3"/>
    <w:rsid w:val="00220661"/>
    <w:rsid w:val="00220702"/>
    <w:rsid w:val="002213B0"/>
    <w:rsid w:val="0022189B"/>
    <w:rsid w:val="002223A6"/>
    <w:rsid w:val="002229AD"/>
    <w:rsid w:val="00224AEE"/>
    <w:rsid w:val="00225FF4"/>
    <w:rsid w:val="00230A13"/>
    <w:rsid w:val="00230C67"/>
    <w:rsid w:val="002331C6"/>
    <w:rsid w:val="002363B6"/>
    <w:rsid w:val="00236B76"/>
    <w:rsid w:val="002408EA"/>
    <w:rsid w:val="00241410"/>
    <w:rsid w:val="002549B2"/>
    <w:rsid w:val="002563DF"/>
    <w:rsid w:val="0026014A"/>
    <w:rsid w:val="0026108E"/>
    <w:rsid w:val="002614ED"/>
    <w:rsid w:val="00262A3E"/>
    <w:rsid w:val="00265142"/>
    <w:rsid w:val="00266AA6"/>
    <w:rsid w:val="00266B50"/>
    <w:rsid w:val="00270605"/>
    <w:rsid w:val="00271804"/>
    <w:rsid w:val="00271857"/>
    <w:rsid w:val="00276AC9"/>
    <w:rsid w:val="00277ED2"/>
    <w:rsid w:val="00280F8A"/>
    <w:rsid w:val="00284539"/>
    <w:rsid w:val="00284F52"/>
    <w:rsid w:val="00286537"/>
    <w:rsid w:val="00286C3A"/>
    <w:rsid w:val="00287467"/>
    <w:rsid w:val="002901B9"/>
    <w:rsid w:val="00291A5B"/>
    <w:rsid w:val="00292B2C"/>
    <w:rsid w:val="0029330E"/>
    <w:rsid w:val="00296E2E"/>
    <w:rsid w:val="002A23A7"/>
    <w:rsid w:val="002A5503"/>
    <w:rsid w:val="002A6812"/>
    <w:rsid w:val="002A7339"/>
    <w:rsid w:val="002A7A24"/>
    <w:rsid w:val="002B4762"/>
    <w:rsid w:val="002B565A"/>
    <w:rsid w:val="002B71D2"/>
    <w:rsid w:val="002B77DF"/>
    <w:rsid w:val="002C0DA9"/>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5E5F"/>
    <w:rsid w:val="00376C2A"/>
    <w:rsid w:val="00377277"/>
    <w:rsid w:val="00377304"/>
    <w:rsid w:val="00381BEA"/>
    <w:rsid w:val="00381FB7"/>
    <w:rsid w:val="00382495"/>
    <w:rsid w:val="00384090"/>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A78B6"/>
    <w:rsid w:val="003B0286"/>
    <w:rsid w:val="003B091A"/>
    <w:rsid w:val="003B1C33"/>
    <w:rsid w:val="003B254D"/>
    <w:rsid w:val="003B298F"/>
    <w:rsid w:val="003B69AA"/>
    <w:rsid w:val="003C1A06"/>
    <w:rsid w:val="003C3023"/>
    <w:rsid w:val="003C39D1"/>
    <w:rsid w:val="003C4DB4"/>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2BFB"/>
    <w:rsid w:val="00405B03"/>
    <w:rsid w:val="00405FDF"/>
    <w:rsid w:val="004068EA"/>
    <w:rsid w:val="004075B6"/>
    <w:rsid w:val="00407F14"/>
    <w:rsid w:val="00410E4D"/>
    <w:rsid w:val="00411C38"/>
    <w:rsid w:val="0041238E"/>
    <w:rsid w:val="004150FB"/>
    <w:rsid w:val="00416EA1"/>
    <w:rsid w:val="00420952"/>
    <w:rsid w:val="00422E2D"/>
    <w:rsid w:val="00423C0E"/>
    <w:rsid w:val="00423DB4"/>
    <w:rsid w:val="0042425C"/>
    <w:rsid w:val="004247FB"/>
    <w:rsid w:val="004271A0"/>
    <w:rsid w:val="0042742A"/>
    <w:rsid w:val="004306C0"/>
    <w:rsid w:val="00431F8B"/>
    <w:rsid w:val="00433F81"/>
    <w:rsid w:val="00440CCA"/>
    <w:rsid w:val="00442D76"/>
    <w:rsid w:val="004440AF"/>
    <w:rsid w:val="00446BEE"/>
    <w:rsid w:val="00450E6D"/>
    <w:rsid w:val="004518F7"/>
    <w:rsid w:val="0045334C"/>
    <w:rsid w:val="004539A8"/>
    <w:rsid w:val="004539D9"/>
    <w:rsid w:val="00455B14"/>
    <w:rsid w:val="00456B1D"/>
    <w:rsid w:val="004615CD"/>
    <w:rsid w:val="00461C01"/>
    <w:rsid w:val="00462AFA"/>
    <w:rsid w:val="0046325E"/>
    <w:rsid w:val="00463F62"/>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6448"/>
    <w:rsid w:val="004D756F"/>
    <w:rsid w:val="004E0E78"/>
    <w:rsid w:val="004E39D5"/>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D6D"/>
    <w:rsid w:val="00523BB4"/>
    <w:rsid w:val="005243EC"/>
    <w:rsid w:val="005245EF"/>
    <w:rsid w:val="005249CF"/>
    <w:rsid w:val="00525DD1"/>
    <w:rsid w:val="00527A29"/>
    <w:rsid w:val="005343E1"/>
    <w:rsid w:val="005353CB"/>
    <w:rsid w:val="00535CCD"/>
    <w:rsid w:val="00545970"/>
    <w:rsid w:val="00546504"/>
    <w:rsid w:val="00550783"/>
    <w:rsid w:val="005508EE"/>
    <w:rsid w:val="005533F8"/>
    <w:rsid w:val="005536FB"/>
    <w:rsid w:val="00555CC8"/>
    <w:rsid w:val="00556B58"/>
    <w:rsid w:val="005577FA"/>
    <w:rsid w:val="00561A27"/>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A6EF4"/>
    <w:rsid w:val="005B0095"/>
    <w:rsid w:val="005B5C8B"/>
    <w:rsid w:val="005B620E"/>
    <w:rsid w:val="005B6D38"/>
    <w:rsid w:val="005B73E7"/>
    <w:rsid w:val="005B795C"/>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2905"/>
    <w:rsid w:val="005F3926"/>
    <w:rsid w:val="005F3989"/>
    <w:rsid w:val="005F3C5C"/>
    <w:rsid w:val="005F5AFD"/>
    <w:rsid w:val="005F6BB8"/>
    <w:rsid w:val="005F6F0A"/>
    <w:rsid w:val="005F7681"/>
    <w:rsid w:val="00601291"/>
    <w:rsid w:val="00601414"/>
    <w:rsid w:val="0060351B"/>
    <w:rsid w:val="00607959"/>
    <w:rsid w:val="0061221F"/>
    <w:rsid w:val="00614078"/>
    <w:rsid w:val="006150A0"/>
    <w:rsid w:val="0061798B"/>
    <w:rsid w:val="006179BD"/>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6F1A"/>
    <w:rsid w:val="00667C21"/>
    <w:rsid w:val="00667CFA"/>
    <w:rsid w:val="00667E0F"/>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A6B79"/>
    <w:rsid w:val="006B17FD"/>
    <w:rsid w:val="006B44E2"/>
    <w:rsid w:val="006C0C61"/>
    <w:rsid w:val="006C3D61"/>
    <w:rsid w:val="006D0590"/>
    <w:rsid w:val="006D3730"/>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6F6EBC"/>
    <w:rsid w:val="007038F5"/>
    <w:rsid w:val="0070542C"/>
    <w:rsid w:val="007067D1"/>
    <w:rsid w:val="00713287"/>
    <w:rsid w:val="007136A7"/>
    <w:rsid w:val="007139DD"/>
    <w:rsid w:val="007143AC"/>
    <w:rsid w:val="00715962"/>
    <w:rsid w:val="00716007"/>
    <w:rsid w:val="00716835"/>
    <w:rsid w:val="00716ACF"/>
    <w:rsid w:val="00716B04"/>
    <w:rsid w:val="007210C5"/>
    <w:rsid w:val="007250F1"/>
    <w:rsid w:val="00726FF0"/>
    <w:rsid w:val="00727230"/>
    <w:rsid w:val="00730AA4"/>
    <w:rsid w:val="0073113B"/>
    <w:rsid w:val="00731333"/>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3D4"/>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19BF"/>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E7E62"/>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1915"/>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63F"/>
    <w:rsid w:val="008338B5"/>
    <w:rsid w:val="00833D43"/>
    <w:rsid w:val="00836D1E"/>
    <w:rsid w:val="00840FF7"/>
    <w:rsid w:val="00841169"/>
    <w:rsid w:val="00843F79"/>
    <w:rsid w:val="00844032"/>
    <w:rsid w:val="008443D8"/>
    <w:rsid w:val="008445E7"/>
    <w:rsid w:val="00844854"/>
    <w:rsid w:val="00847D3A"/>
    <w:rsid w:val="00855549"/>
    <w:rsid w:val="0086032D"/>
    <w:rsid w:val="00861B3D"/>
    <w:rsid w:val="00862879"/>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57CB"/>
    <w:rsid w:val="008A6605"/>
    <w:rsid w:val="008A6A0C"/>
    <w:rsid w:val="008B183A"/>
    <w:rsid w:val="008B4B98"/>
    <w:rsid w:val="008C183F"/>
    <w:rsid w:val="008C1C95"/>
    <w:rsid w:val="008C3D9F"/>
    <w:rsid w:val="008C4122"/>
    <w:rsid w:val="008C4BD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4B1D"/>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DDA"/>
    <w:rsid w:val="00937E8B"/>
    <w:rsid w:val="00937F69"/>
    <w:rsid w:val="009460E7"/>
    <w:rsid w:val="00947483"/>
    <w:rsid w:val="00947FDB"/>
    <w:rsid w:val="00952219"/>
    <w:rsid w:val="009535CF"/>
    <w:rsid w:val="009539B0"/>
    <w:rsid w:val="00953F4A"/>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4F4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376"/>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2922"/>
    <w:rsid w:val="009D49AA"/>
    <w:rsid w:val="009D4FBB"/>
    <w:rsid w:val="009D7602"/>
    <w:rsid w:val="009E3151"/>
    <w:rsid w:val="009E680B"/>
    <w:rsid w:val="009F1902"/>
    <w:rsid w:val="009F3187"/>
    <w:rsid w:val="009F4086"/>
    <w:rsid w:val="009F4F44"/>
    <w:rsid w:val="009F7239"/>
    <w:rsid w:val="00A00242"/>
    <w:rsid w:val="00A0249B"/>
    <w:rsid w:val="00A0479E"/>
    <w:rsid w:val="00A04E75"/>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27390"/>
    <w:rsid w:val="00A3050E"/>
    <w:rsid w:val="00A305B3"/>
    <w:rsid w:val="00A32C40"/>
    <w:rsid w:val="00A3325A"/>
    <w:rsid w:val="00A40427"/>
    <w:rsid w:val="00A4094A"/>
    <w:rsid w:val="00A426B6"/>
    <w:rsid w:val="00A426BE"/>
    <w:rsid w:val="00A42BA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560"/>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6604"/>
    <w:rsid w:val="00AE76CB"/>
    <w:rsid w:val="00AF108A"/>
    <w:rsid w:val="00AF10F5"/>
    <w:rsid w:val="00AF1393"/>
    <w:rsid w:val="00AF1C4F"/>
    <w:rsid w:val="00AF27B4"/>
    <w:rsid w:val="00AF5D31"/>
    <w:rsid w:val="00AF6DD8"/>
    <w:rsid w:val="00B00221"/>
    <w:rsid w:val="00B01831"/>
    <w:rsid w:val="00B0269C"/>
    <w:rsid w:val="00B02E55"/>
    <w:rsid w:val="00B03527"/>
    <w:rsid w:val="00B0389A"/>
    <w:rsid w:val="00B0538C"/>
    <w:rsid w:val="00B05610"/>
    <w:rsid w:val="00B05A1F"/>
    <w:rsid w:val="00B06D4E"/>
    <w:rsid w:val="00B119ED"/>
    <w:rsid w:val="00B11A62"/>
    <w:rsid w:val="00B14C5C"/>
    <w:rsid w:val="00B14C68"/>
    <w:rsid w:val="00B14DDE"/>
    <w:rsid w:val="00B157D0"/>
    <w:rsid w:val="00B15EF3"/>
    <w:rsid w:val="00B17751"/>
    <w:rsid w:val="00B17DE0"/>
    <w:rsid w:val="00B22A36"/>
    <w:rsid w:val="00B265EB"/>
    <w:rsid w:val="00B27031"/>
    <w:rsid w:val="00B307EC"/>
    <w:rsid w:val="00B31F24"/>
    <w:rsid w:val="00B32429"/>
    <w:rsid w:val="00B341DA"/>
    <w:rsid w:val="00B44CE2"/>
    <w:rsid w:val="00B453BB"/>
    <w:rsid w:val="00B50B39"/>
    <w:rsid w:val="00B5253C"/>
    <w:rsid w:val="00B53A23"/>
    <w:rsid w:val="00B54BE5"/>
    <w:rsid w:val="00B55D4E"/>
    <w:rsid w:val="00B570F4"/>
    <w:rsid w:val="00B57BE4"/>
    <w:rsid w:val="00B67460"/>
    <w:rsid w:val="00B67A85"/>
    <w:rsid w:val="00B70575"/>
    <w:rsid w:val="00B70FFB"/>
    <w:rsid w:val="00B712E5"/>
    <w:rsid w:val="00B72513"/>
    <w:rsid w:val="00B73B73"/>
    <w:rsid w:val="00B77084"/>
    <w:rsid w:val="00B809E7"/>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0D0"/>
    <w:rsid w:val="00BA31F9"/>
    <w:rsid w:val="00BA3317"/>
    <w:rsid w:val="00BA3FDA"/>
    <w:rsid w:val="00BA4313"/>
    <w:rsid w:val="00BA4784"/>
    <w:rsid w:val="00BA478F"/>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6C9"/>
    <w:rsid w:val="00BF3B0A"/>
    <w:rsid w:val="00BF4B06"/>
    <w:rsid w:val="00BF54C1"/>
    <w:rsid w:val="00BF5BDB"/>
    <w:rsid w:val="00BF7FE0"/>
    <w:rsid w:val="00C0050E"/>
    <w:rsid w:val="00C026AC"/>
    <w:rsid w:val="00C0570D"/>
    <w:rsid w:val="00C066A3"/>
    <w:rsid w:val="00C130C8"/>
    <w:rsid w:val="00C13168"/>
    <w:rsid w:val="00C13F60"/>
    <w:rsid w:val="00C14404"/>
    <w:rsid w:val="00C1480F"/>
    <w:rsid w:val="00C17D6A"/>
    <w:rsid w:val="00C203C9"/>
    <w:rsid w:val="00C21776"/>
    <w:rsid w:val="00C22E43"/>
    <w:rsid w:val="00C23238"/>
    <w:rsid w:val="00C235DF"/>
    <w:rsid w:val="00C2539E"/>
    <w:rsid w:val="00C278DE"/>
    <w:rsid w:val="00C2796B"/>
    <w:rsid w:val="00C3004B"/>
    <w:rsid w:val="00C31F4C"/>
    <w:rsid w:val="00C3209A"/>
    <w:rsid w:val="00C32ADC"/>
    <w:rsid w:val="00C32B39"/>
    <w:rsid w:val="00C35755"/>
    <w:rsid w:val="00C41156"/>
    <w:rsid w:val="00C42E13"/>
    <w:rsid w:val="00C4427F"/>
    <w:rsid w:val="00C47DDE"/>
    <w:rsid w:val="00C50912"/>
    <w:rsid w:val="00C50FF0"/>
    <w:rsid w:val="00C56073"/>
    <w:rsid w:val="00C578AA"/>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69C"/>
    <w:rsid w:val="00CB4A8A"/>
    <w:rsid w:val="00CB60DD"/>
    <w:rsid w:val="00CB6E1F"/>
    <w:rsid w:val="00CB7E4D"/>
    <w:rsid w:val="00CC04DE"/>
    <w:rsid w:val="00CC12E7"/>
    <w:rsid w:val="00CC3F84"/>
    <w:rsid w:val="00CC6E2D"/>
    <w:rsid w:val="00CD24A8"/>
    <w:rsid w:val="00CD315A"/>
    <w:rsid w:val="00CD319A"/>
    <w:rsid w:val="00CD5502"/>
    <w:rsid w:val="00CE0526"/>
    <w:rsid w:val="00CE1DF0"/>
    <w:rsid w:val="00CE1ED9"/>
    <w:rsid w:val="00CE3665"/>
    <w:rsid w:val="00CE4F42"/>
    <w:rsid w:val="00CF0BB4"/>
    <w:rsid w:val="00CF1333"/>
    <w:rsid w:val="00CF1BB4"/>
    <w:rsid w:val="00CF2FF8"/>
    <w:rsid w:val="00CF3F6B"/>
    <w:rsid w:val="00CF4851"/>
    <w:rsid w:val="00CF58B7"/>
    <w:rsid w:val="00CF58D0"/>
    <w:rsid w:val="00CF5DD6"/>
    <w:rsid w:val="00D0069F"/>
    <w:rsid w:val="00D007C0"/>
    <w:rsid w:val="00D05493"/>
    <w:rsid w:val="00D11C27"/>
    <w:rsid w:val="00D13EFE"/>
    <w:rsid w:val="00D148D5"/>
    <w:rsid w:val="00D16E6A"/>
    <w:rsid w:val="00D172EA"/>
    <w:rsid w:val="00D1792B"/>
    <w:rsid w:val="00D224A1"/>
    <w:rsid w:val="00D2279D"/>
    <w:rsid w:val="00D2772A"/>
    <w:rsid w:val="00D27F21"/>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196"/>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488C"/>
    <w:rsid w:val="00DE5EE7"/>
    <w:rsid w:val="00DE642E"/>
    <w:rsid w:val="00DF1EC1"/>
    <w:rsid w:val="00DF343E"/>
    <w:rsid w:val="00DF420B"/>
    <w:rsid w:val="00DF67C3"/>
    <w:rsid w:val="00DF6CEB"/>
    <w:rsid w:val="00E0098A"/>
    <w:rsid w:val="00E009D9"/>
    <w:rsid w:val="00E027D1"/>
    <w:rsid w:val="00E0378F"/>
    <w:rsid w:val="00E03F71"/>
    <w:rsid w:val="00E045EE"/>
    <w:rsid w:val="00E05AB5"/>
    <w:rsid w:val="00E06ED0"/>
    <w:rsid w:val="00E1082D"/>
    <w:rsid w:val="00E130CB"/>
    <w:rsid w:val="00E14934"/>
    <w:rsid w:val="00E172BE"/>
    <w:rsid w:val="00E2160E"/>
    <w:rsid w:val="00E24E02"/>
    <w:rsid w:val="00E25210"/>
    <w:rsid w:val="00E255EC"/>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4EE8"/>
    <w:rsid w:val="00E85E09"/>
    <w:rsid w:val="00E8605D"/>
    <w:rsid w:val="00E91FCD"/>
    <w:rsid w:val="00E92CE2"/>
    <w:rsid w:val="00E93CDD"/>
    <w:rsid w:val="00E949AC"/>
    <w:rsid w:val="00E977FB"/>
    <w:rsid w:val="00EA0944"/>
    <w:rsid w:val="00EA1325"/>
    <w:rsid w:val="00EA22D5"/>
    <w:rsid w:val="00EA241F"/>
    <w:rsid w:val="00EA2704"/>
    <w:rsid w:val="00EA4221"/>
    <w:rsid w:val="00EB2FE6"/>
    <w:rsid w:val="00EB3CD8"/>
    <w:rsid w:val="00EB5258"/>
    <w:rsid w:val="00EB6F5F"/>
    <w:rsid w:val="00EC7278"/>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277C"/>
    <w:rsid w:val="00F24175"/>
    <w:rsid w:val="00F25246"/>
    <w:rsid w:val="00F307D6"/>
    <w:rsid w:val="00F31A8E"/>
    <w:rsid w:val="00F32C2D"/>
    <w:rsid w:val="00F33108"/>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2CF4"/>
    <w:rsid w:val="00F53495"/>
    <w:rsid w:val="00F559F9"/>
    <w:rsid w:val="00F56168"/>
    <w:rsid w:val="00F561EE"/>
    <w:rsid w:val="00F63D66"/>
    <w:rsid w:val="00F64504"/>
    <w:rsid w:val="00F6458C"/>
    <w:rsid w:val="00F6478A"/>
    <w:rsid w:val="00F656C3"/>
    <w:rsid w:val="00F6661C"/>
    <w:rsid w:val="00F6682D"/>
    <w:rsid w:val="00F701C7"/>
    <w:rsid w:val="00F7531F"/>
    <w:rsid w:val="00F75B77"/>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1D41"/>
    <w:rsid w:val="00FB2379"/>
    <w:rsid w:val="00FB25E5"/>
    <w:rsid w:val="00FB3848"/>
    <w:rsid w:val="00FB5293"/>
    <w:rsid w:val="00FB5446"/>
    <w:rsid w:val="00FC0D46"/>
    <w:rsid w:val="00FC10ED"/>
    <w:rsid w:val="00FC1841"/>
    <w:rsid w:val="00FC2D11"/>
    <w:rsid w:val="00FC373B"/>
    <w:rsid w:val="00FC6230"/>
    <w:rsid w:val="00FD0268"/>
    <w:rsid w:val="00FD02CE"/>
    <w:rsid w:val="00FD05BA"/>
    <w:rsid w:val="00FD0638"/>
    <w:rsid w:val="00FD0AFD"/>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AE6604"/>
    <w:rPr>
      <w:sz w:val="20"/>
      <w:szCs w:val="20"/>
    </w:rPr>
  </w:style>
  <w:style w:type="character" w:customStyle="1" w:styleId="EndnoteTextChar">
    <w:name w:val="Endnote Text Char"/>
    <w:basedOn w:val="DefaultParagraphFont"/>
    <w:link w:val="EndnoteText"/>
    <w:semiHidden/>
    <w:rsid w:val="00AE6604"/>
    <w:rPr>
      <w:lang w:eastAsia="en-US"/>
    </w:rPr>
  </w:style>
  <w:style w:type="character" w:customStyle="1" w:styleId="UnresolvedMention2">
    <w:name w:val="Unresolved Mention2"/>
    <w:basedOn w:val="DefaultParagraphFont"/>
    <w:uiPriority w:val="99"/>
    <w:semiHidden/>
    <w:unhideWhenUsed/>
    <w:rsid w:val="00DB3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2397861">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igital.nhs.uk/data-and-information/publications/statistical/mental-health-services-monthly-statistics/final-september-2021" TargetMode="External"/><Relationship Id="rId2" Type="http://schemas.openxmlformats.org/officeDocument/2006/relationships/hyperlink" Target="https://www.england.nhs.uk/mental-health/taskforce/" TargetMode="External"/><Relationship Id="rId1" Type="http://schemas.openxmlformats.org/officeDocument/2006/relationships/hyperlink" Target="https://www.gov.uk/government/publications/is-work-good-for-your-health-and-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7124-1930-4416-A504-92FE8CBE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2022-02-28T12:43:00Z</dcterms:created>
  <dcterms:modified xsi:type="dcterms:W3CDTF">2022-03-16T21:01:00Z</dcterms:modified>
</cp:coreProperties>
</file>