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5EA7E" w14:textId="0DDB4226" w:rsidR="00CE6EED" w:rsidRPr="00661BCF" w:rsidRDefault="00CE6EED" w:rsidP="00CE6EED">
      <w:pPr>
        <w:jc w:val="center"/>
        <w:rPr>
          <w:rFonts w:asciiTheme="minorHAnsi" w:hAnsiTheme="minorHAnsi" w:cstheme="minorHAnsi"/>
          <w:b/>
          <w:bCs/>
          <w:sz w:val="28"/>
          <w:szCs w:val="28"/>
        </w:rPr>
      </w:pPr>
      <w:r w:rsidRPr="00661BCF">
        <w:rPr>
          <w:rFonts w:asciiTheme="minorHAnsi" w:hAnsiTheme="minorHAnsi" w:cstheme="minorHAnsi"/>
          <w:b/>
          <w:bCs/>
          <w:sz w:val="28"/>
          <w:szCs w:val="28"/>
        </w:rPr>
        <w:t>NHS Digital</w:t>
      </w:r>
    </w:p>
    <w:p w14:paraId="6D81B0DF" w14:textId="77777777" w:rsidR="00CE6EED" w:rsidRPr="00661BCF" w:rsidRDefault="00CE6EED" w:rsidP="00CE6EED">
      <w:pPr>
        <w:jc w:val="center"/>
        <w:rPr>
          <w:rFonts w:asciiTheme="minorHAnsi" w:hAnsiTheme="minorHAnsi" w:cstheme="minorHAnsi"/>
          <w:b/>
          <w:bCs/>
          <w:sz w:val="28"/>
          <w:szCs w:val="28"/>
        </w:rPr>
      </w:pPr>
      <w:r w:rsidRPr="00661BCF">
        <w:rPr>
          <w:rFonts w:asciiTheme="minorHAnsi" w:hAnsiTheme="minorHAnsi" w:cstheme="minorHAnsi"/>
          <w:b/>
          <w:bCs/>
          <w:sz w:val="28"/>
          <w:szCs w:val="28"/>
        </w:rPr>
        <w:t>Indicator Supporting Documentation</w:t>
      </w:r>
    </w:p>
    <w:p w14:paraId="3C4D560E" w14:textId="36339FB5" w:rsidR="00CE6EED" w:rsidRPr="00661BCF" w:rsidRDefault="00CE6EED" w:rsidP="00CE6EED">
      <w:pPr>
        <w:jc w:val="center"/>
        <w:rPr>
          <w:rFonts w:asciiTheme="minorHAnsi" w:hAnsiTheme="minorHAnsi" w:cstheme="minorHAnsi"/>
          <w:b/>
          <w:bCs/>
          <w:sz w:val="28"/>
          <w:szCs w:val="28"/>
        </w:rPr>
      </w:pPr>
      <w:r w:rsidRPr="00661BCF">
        <w:rPr>
          <w:rFonts w:asciiTheme="minorHAnsi" w:hAnsiTheme="minorHAnsi" w:cstheme="minorHAnsi"/>
          <w:b/>
          <w:bCs/>
          <w:sz w:val="28"/>
          <w:szCs w:val="28"/>
        </w:rPr>
        <w:t>IAP00342 Emergency hospital admissions for hip fracture in people aged 60 and over</w:t>
      </w:r>
    </w:p>
    <w:p w14:paraId="7582B4A6" w14:textId="77777777" w:rsidR="00CE6EED" w:rsidRPr="00661BCF" w:rsidRDefault="00CE6EED" w:rsidP="00CE6EED">
      <w:pPr>
        <w:jc w:val="center"/>
        <w:rPr>
          <w:rFonts w:asciiTheme="minorHAnsi" w:hAnsiTheme="minorHAnsi" w:cstheme="minorHAnsi"/>
        </w:rPr>
      </w:pPr>
    </w:p>
    <w:tbl>
      <w:tblPr>
        <w:tblStyle w:val="TableGrid1"/>
        <w:tblW w:w="14742" w:type="dxa"/>
        <w:tblLayout w:type="fixed"/>
        <w:tblLook w:val="04A0" w:firstRow="1" w:lastRow="0" w:firstColumn="1" w:lastColumn="0" w:noHBand="0" w:noVBand="1"/>
      </w:tblPr>
      <w:tblGrid>
        <w:gridCol w:w="3261"/>
        <w:gridCol w:w="11481"/>
      </w:tblGrid>
      <w:tr w:rsidR="00CE6EED" w:rsidRPr="00661BCF" w14:paraId="3D5C7BE6" w14:textId="77777777" w:rsidTr="00CE6EED">
        <w:tc>
          <w:tcPr>
            <w:tcW w:w="3261" w:type="dxa"/>
          </w:tcPr>
          <w:p w14:paraId="2A274525"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IAP Code</w:t>
            </w:r>
          </w:p>
        </w:tc>
        <w:tc>
          <w:tcPr>
            <w:tcW w:w="11481" w:type="dxa"/>
          </w:tcPr>
          <w:p w14:paraId="3F947515"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IAP00342</w:t>
            </w:r>
          </w:p>
        </w:tc>
      </w:tr>
      <w:tr w:rsidR="00CE6EED" w:rsidRPr="00661BCF" w14:paraId="07126194" w14:textId="77777777" w:rsidTr="00CE6EED">
        <w:tc>
          <w:tcPr>
            <w:tcW w:w="3261" w:type="dxa"/>
          </w:tcPr>
          <w:p w14:paraId="2009F528"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Title</w:t>
            </w:r>
          </w:p>
        </w:tc>
        <w:tc>
          <w:tcPr>
            <w:tcW w:w="11481" w:type="dxa"/>
          </w:tcPr>
          <w:p w14:paraId="390EC7C3"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 xml:space="preserve">Emergency hospital admissions for hip fracture in people aged 60 and over  </w:t>
            </w:r>
          </w:p>
        </w:tc>
      </w:tr>
      <w:tr w:rsidR="00CE6EED" w:rsidRPr="00661BCF" w14:paraId="5CA34A8A" w14:textId="77777777" w:rsidTr="00CE6EED">
        <w:tc>
          <w:tcPr>
            <w:tcW w:w="3261" w:type="dxa"/>
          </w:tcPr>
          <w:p w14:paraId="67362728"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Published by</w:t>
            </w:r>
          </w:p>
        </w:tc>
        <w:tc>
          <w:tcPr>
            <w:tcW w:w="11481" w:type="dxa"/>
          </w:tcPr>
          <w:p w14:paraId="238912CF"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NHS Digital</w:t>
            </w:r>
          </w:p>
        </w:tc>
      </w:tr>
      <w:tr w:rsidR="00CE6EED" w:rsidRPr="00661BCF" w14:paraId="1C58966C" w14:textId="77777777" w:rsidTr="00CE6EED">
        <w:tc>
          <w:tcPr>
            <w:tcW w:w="3261" w:type="dxa"/>
          </w:tcPr>
          <w:p w14:paraId="7F6F8AF0"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Reporting period</w:t>
            </w:r>
          </w:p>
        </w:tc>
        <w:tc>
          <w:tcPr>
            <w:tcW w:w="11481" w:type="dxa"/>
          </w:tcPr>
          <w:p w14:paraId="75320E39"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Annual</w:t>
            </w:r>
          </w:p>
        </w:tc>
      </w:tr>
      <w:tr w:rsidR="00CE6EED" w:rsidRPr="00661BCF" w14:paraId="4E33F5A7" w14:textId="77777777" w:rsidTr="00CE6EED">
        <w:tc>
          <w:tcPr>
            <w:tcW w:w="3261" w:type="dxa"/>
          </w:tcPr>
          <w:p w14:paraId="0D8F6E80"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Geographical Coverage</w:t>
            </w:r>
          </w:p>
        </w:tc>
        <w:tc>
          <w:tcPr>
            <w:tcW w:w="11481" w:type="dxa"/>
          </w:tcPr>
          <w:p w14:paraId="528EDFFE"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England</w:t>
            </w:r>
          </w:p>
        </w:tc>
      </w:tr>
      <w:tr w:rsidR="00CE6EED" w:rsidRPr="00661BCF" w14:paraId="3ADF7671" w14:textId="77777777" w:rsidTr="00CE6EED">
        <w:tc>
          <w:tcPr>
            <w:tcW w:w="3261" w:type="dxa"/>
          </w:tcPr>
          <w:p w14:paraId="3A63F477"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Reporting level(s)</w:t>
            </w:r>
          </w:p>
        </w:tc>
        <w:tc>
          <w:tcPr>
            <w:tcW w:w="11481" w:type="dxa"/>
          </w:tcPr>
          <w:p w14:paraId="27A6492E" w14:textId="77777777" w:rsidR="00012D07" w:rsidRPr="00661BCF" w:rsidRDefault="00012D07" w:rsidP="00661BCF">
            <w:pPr>
              <w:rPr>
                <w:rFonts w:asciiTheme="minorHAnsi" w:hAnsiTheme="minorHAnsi" w:cstheme="minorHAnsi"/>
              </w:rPr>
            </w:pPr>
          </w:p>
          <w:p w14:paraId="31523C48"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CCG and National</w:t>
            </w:r>
          </w:p>
        </w:tc>
      </w:tr>
      <w:tr w:rsidR="00CE6EED" w:rsidRPr="00661BCF" w14:paraId="6AD99504" w14:textId="77777777" w:rsidTr="00CE6EED">
        <w:tc>
          <w:tcPr>
            <w:tcW w:w="3261" w:type="dxa"/>
          </w:tcPr>
          <w:p w14:paraId="29CF9030"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Based on data from</w:t>
            </w:r>
          </w:p>
        </w:tc>
        <w:tc>
          <w:tcPr>
            <w:tcW w:w="11481" w:type="dxa"/>
          </w:tcPr>
          <w:p w14:paraId="1ADB51B0"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Hospital Episodes Statistics (HES), National Health Application and Infrastructure Services (NHAIS), Office for National Statistics (ONS) mid-year population estimates</w:t>
            </w:r>
          </w:p>
        </w:tc>
      </w:tr>
      <w:tr w:rsidR="00CE6EED" w:rsidRPr="00661BCF" w14:paraId="1DDE8F9B" w14:textId="77777777" w:rsidTr="00CE6EED">
        <w:tc>
          <w:tcPr>
            <w:tcW w:w="3261" w:type="dxa"/>
          </w:tcPr>
          <w:p w14:paraId="3836B09E"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Contact Author Name</w:t>
            </w:r>
          </w:p>
        </w:tc>
        <w:tc>
          <w:tcPr>
            <w:tcW w:w="11481" w:type="dxa"/>
          </w:tcPr>
          <w:p w14:paraId="2522621C" w14:textId="77777777" w:rsidR="00012D07" w:rsidRPr="00661BCF" w:rsidRDefault="00012D07" w:rsidP="00661BCF">
            <w:pPr>
              <w:rPr>
                <w:rFonts w:asciiTheme="minorHAnsi" w:hAnsiTheme="minorHAnsi" w:cstheme="minorHAnsi"/>
              </w:rPr>
            </w:pPr>
          </w:p>
          <w:p w14:paraId="331A954E"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The NHS Digital Clinical Indicators team</w:t>
            </w:r>
          </w:p>
        </w:tc>
      </w:tr>
      <w:tr w:rsidR="00CE6EED" w:rsidRPr="00661BCF" w14:paraId="55A570EF" w14:textId="77777777" w:rsidTr="00CE6EED">
        <w:tc>
          <w:tcPr>
            <w:tcW w:w="3261" w:type="dxa"/>
          </w:tcPr>
          <w:p w14:paraId="7E37DE9C"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Contact Author Email</w:t>
            </w:r>
          </w:p>
        </w:tc>
        <w:tc>
          <w:tcPr>
            <w:tcW w:w="11481" w:type="dxa"/>
          </w:tcPr>
          <w:p w14:paraId="4063F471"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clinical.indicators@nhs.net</w:t>
            </w:r>
          </w:p>
        </w:tc>
      </w:tr>
      <w:tr w:rsidR="00CE6EED" w:rsidRPr="00661BCF" w14:paraId="617F6700" w14:textId="77777777" w:rsidTr="00CE6EED">
        <w:tc>
          <w:tcPr>
            <w:tcW w:w="3261" w:type="dxa"/>
          </w:tcPr>
          <w:p w14:paraId="46EA7184"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Rating</w:t>
            </w:r>
          </w:p>
        </w:tc>
        <w:tc>
          <w:tcPr>
            <w:tcW w:w="11481" w:type="dxa"/>
          </w:tcPr>
          <w:p w14:paraId="2B11B5FD"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Fit for use</w:t>
            </w:r>
          </w:p>
        </w:tc>
      </w:tr>
      <w:tr w:rsidR="00CE6EED" w:rsidRPr="00661BCF" w14:paraId="2A4872DB" w14:textId="77777777" w:rsidTr="00CE6EED">
        <w:tc>
          <w:tcPr>
            <w:tcW w:w="3261" w:type="dxa"/>
          </w:tcPr>
          <w:p w14:paraId="6F9F5EC3"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Assurance date</w:t>
            </w:r>
          </w:p>
        </w:tc>
        <w:tc>
          <w:tcPr>
            <w:tcW w:w="11481" w:type="dxa"/>
          </w:tcPr>
          <w:p w14:paraId="50035108"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13/09/2018</w:t>
            </w:r>
          </w:p>
        </w:tc>
      </w:tr>
      <w:tr w:rsidR="00CE6EED" w:rsidRPr="00661BCF" w14:paraId="65B501AD" w14:textId="77777777" w:rsidTr="00CE6EED">
        <w:tc>
          <w:tcPr>
            <w:tcW w:w="3261" w:type="dxa"/>
          </w:tcPr>
          <w:p w14:paraId="386AF1F5"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Review date</w:t>
            </w:r>
          </w:p>
        </w:tc>
        <w:tc>
          <w:tcPr>
            <w:tcW w:w="11481" w:type="dxa"/>
          </w:tcPr>
          <w:p w14:paraId="79D118E5"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02/12/2018</w:t>
            </w:r>
            <w:bookmarkStart w:id="0" w:name="_GoBack"/>
            <w:bookmarkEnd w:id="0"/>
          </w:p>
        </w:tc>
      </w:tr>
      <w:tr w:rsidR="00CE6EED" w:rsidRPr="00661BCF" w14:paraId="68980DD6" w14:textId="77777777" w:rsidTr="00CE6EED">
        <w:tc>
          <w:tcPr>
            <w:tcW w:w="3261" w:type="dxa"/>
          </w:tcPr>
          <w:p w14:paraId="6C0E26AE"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Indicator set</w:t>
            </w:r>
          </w:p>
        </w:tc>
        <w:tc>
          <w:tcPr>
            <w:tcW w:w="11481" w:type="dxa"/>
          </w:tcPr>
          <w:p w14:paraId="75EEE36F"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CCG Indicator Outcomes Set</w:t>
            </w:r>
          </w:p>
        </w:tc>
      </w:tr>
      <w:tr w:rsidR="00CE6EED" w:rsidRPr="00661BCF" w14:paraId="4C6F898D" w14:textId="77777777" w:rsidTr="00CE6EED">
        <w:tc>
          <w:tcPr>
            <w:tcW w:w="3261" w:type="dxa"/>
          </w:tcPr>
          <w:p w14:paraId="2C57B5F7"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 xml:space="preserve">Brief Description </w:t>
            </w:r>
          </w:p>
          <w:p w14:paraId="3BEC9BCC" w14:textId="3259329A" w:rsidR="00012D07" w:rsidRPr="00661BCF" w:rsidRDefault="00012D07" w:rsidP="00661BCF">
            <w:pPr>
              <w:rPr>
                <w:rFonts w:asciiTheme="minorHAnsi" w:hAnsiTheme="minorHAnsi" w:cstheme="minorHAnsi"/>
                <w:b/>
              </w:rPr>
            </w:pPr>
          </w:p>
        </w:tc>
        <w:tc>
          <w:tcPr>
            <w:tcW w:w="11481" w:type="dxa"/>
          </w:tcPr>
          <w:p w14:paraId="7F21BD7E"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 xml:space="preserve">The indicator is a rate per 100,000 registered patients directly standardised by age and sex using the England population for the standard population. The indicator is published with 95% confidence intervals </w:t>
            </w:r>
            <w:r w:rsidRPr="00661BCF">
              <w:rPr>
                <w:rFonts w:asciiTheme="minorHAnsi" w:hAnsiTheme="minorHAnsi" w:cstheme="minorHAnsi"/>
              </w:rPr>
              <w:lastRenderedPageBreak/>
              <w:t>recognising the existence of natural variation among the Clinical Commissioning Group (CCG) populations.</w:t>
            </w:r>
          </w:p>
        </w:tc>
      </w:tr>
      <w:tr w:rsidR="00CE6EED" w:rsidRPr="00661BCF" w14:paraId="77911328" w14:textId="77777777" w:rsidTr="00CE6EED">
        <w:tc>
          <w:tcPr>
            <w:tcW w:w="3261" w:type="dxa"/>
          </w:tcPr>
          <w:p w14:paraId="6DFCCCF2"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lastRenderedPageBreak/>
              <w:t>Purpose</w:t>
            </w:r>
          </w:p>
        </w:tc>
        <w:tc>
          <w:tcPr>
            <w:tcW w:w="11481" w:type="dxa"/>
          </w:tcPr>
          <w:p w14:paraId="164F613E"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Hip fracture is a major public health issue. It is the most common reason for admission to an orthopaedic trauma ward and predominantly affects older people. Incidence is growing with the increase in the ageing population. About 70,000 to 75,000 hip fractures (proximal femoral fractures) occur annually in the UK, with a cost, including medical and social care, amounting to around £2 billion a year.</w:t>
            </w:r>
          </w:p>
          <w:p w14:paraId="7E524EC7" w14:textId="77777777" w:rsidR="00012D07" w:rsidRPr="00661BCF" w:rsidRDefault="00012D07" w:rsidP="00661BCF">
            <w:pPr>
              <w:rPr>
                <w:rFonts w:asciiTheme="minorHAnsi" w:hAnsiTheme="minorHAnsi" w:cstheme="minorHAnsi"/>
              </w:rPr>
            </w:pPr>
          </w:p>
          <w:p w14:paraId="36A51E88"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It is expected that Clinical Commissioning Groups (CCGs) will use this to identify how improvements in care and the desired reduction of emergency hip fracture admissions will be delivered.</w:t>
            </w:r>
          </w:p>
        </w:tc>
      </w:tr>
      <w:tr w:rsidR="00CE6EED" w:rsidRPr="00661BCF" w14:paraId="082A4ABD" w14:textId="77777777" w:rsidTr="00CE6EED">
        <w:tc>
          <w:tcPr>
            <w:tcW w:w="3261" w:type="dxa"/>
          </w:tcPr>
          <w:p w14:paraId="1398D7E0" w14:textId="77777777" w:rsidR="00012D07" w:rsidRPr="00661BCF" w:rsidRDefault="00012D07" w:rsidP="00661BCF">
            <w:pPr>
              <w:rPr>
                <w:rFonts w:asciiTheme="minorHAnsi" w:hAnsiTheme="minorHAnsi" w:cstheme="minorHAnsi"/>
                <w:bCs/>
              </w:rPr>
            </w:pPr>
            <w:r w:rsidRPr="00661BCF">
              <w:rPr>
                <w:rFonts w:asciiTheme="minorHAnsi" w:hAnsiTheme="minorHAnsi" w:cstheme="minorHAnsi"/>
              </w:rPr>
              <w:t>Definition</w:t>
            </w:r>
          </w:p>
        </w:tc>
        <w:tc>
          <w:tcPr>
            <w:tcW w:w="11481" w:type="dxa"/>
          </w:tcPr>
          <w:p w14:paraId="699E670B"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The indicator is a rate per 100,000 registered patients directly standardised by age and sex using the England population for the standard population. The indicator is published with 95% confidence intervals recognising the existence of natural variation among the Clinical Commissioning Group (CCG) populations.</w:t>
            </w:r>
          </w:p>
          <w:p w14:paraId="7CE3F373" w14:textId="77777777" w:rsidR="00012D07" w:rsidRPr="00661BCF" w:rsidRDefault="00012D07" w:rsidP="00661BCF">
            <w:pPr>
              <w:rPr>
                <w:rFonts w:asciiTheme="minorHAnsi" w:hAnsiTheme="minorHAnsi" w:cstheme="minorHAnsi"/>
              </w:rPr>
            </w:pPr>
          </w:p>
          <w:p w14:paraId="4FFF768A"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The indicator is limited to those aged 60 years and over, aligning to the Best Practice Tariff (BPT) for hip fracture care and the National Hip Fracture Database (NHFD). Selecting this age range puts the focus on people with osteoporosis and those who are more at risk of falling, moving it away from other causes such as falls from height or road traffic accidents.</w:t>
            </w:r>
          </w:p>
          <w:p w14:paraId="16737E67" w14:textId="77777777" w:rsidR="00012D07" w:rsidRPr="00661BCF" w:rsidRDefault="00012D07" w:rsidP="00661BCF">
            <w:pPr>
              <w:rPr>
                <w:rFonts w:asciiTheme="minorHAnsi" w:hAnsiTheme="minorHAnsi" w:cstheme="minorHAnsi"/>
              </w:rPr>
            </w:pPr>
          </w:p>
          <w:p w14:paraId="67C4E8F7"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 xml:space="preserve">The indicator measures the rate of emergency admissions for hip fracture, as opposed to the rate of people admitted as an emergency with hip fracture. If a person fractures a hip more than once in a year, they </w:t>
            </w:r>
            <w:proofErr w:type="gramStart"/>
            <w:r w:rsidRPr="00661BCF">
              <w:rPr>
                <w:rFonts w:asciiTheme="minorHAnsi" w:hAnsiTheme="minorHAnsi" w:cstheme="minorHAnsi"/>
              </w:rPr>
              <w:t>would</w:t>
            </w:r>
            <w:proofErr w:type="gramEnd"/>
            <w:r w:rsidRPr="00661BCF">
              <w:rPr>
                <w:rFonts w:asciiTheme="minorHAnsi" w:hAnsiTheme="minorHAnsi" w:cstheme="minorHAnsi"/>
              </w:rPr>
              <w:t xml:space="preserve"> appear multiple times in the numerator.</w:t>
            </w:r>
          </w:p>
        </w:tc>
      </w:tr>
      <w:tr w:rsidR="00CE6EED" w:rsidRPr="00661BCF" w14:paraId="205C5A3E" w14:textId="77777777" w:rsidTr="00CE6EED">
        <w:tc>
          <w:tcPr>
            <w:tcW w:w="3261" w:type="dxa"/>
          </w:tcPr>
          <w:p w14:paraId="5981E390"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Data Source</w:t>
            </w:r>
          </w:p>
        </w:tc>
        <w:tc>
          <w:tcPr>
            <w:tcW w:w="11481" w:type="dxa"/>
          </w:tcPr>
          <w:p w14:paraId="67040046"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Hospital Episodes Statistics (HES), National Health Application and Infrastructure Services (NHAIS), Office for National Statistics (ONS) mid-year population estimates.</w:t>
            </w:r>
          </w:p>
          <w:p w14:paraId="1F8B6C07" w14:textId="77777777" w:rsidR="00012D07" w:rsidRPr="00661BCF" w:rsidRDefault="00012D07" w:rsidP="00661BCF">
            <w:pPr>
              <w:rPr>
                <w:rFonts w:asciiTheme="minorHAnsi" w:hAnsiTheme="minorHAnsi" w:cstheme="minorHAnsi"/>
              </w:rPr>
            </w:pPr>
          </w:p>
          <w:p w14:paraId="42BBFFEA"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 xml:space="preserve">The underlying HES data is held by NHS Digital and made available to customers via several mechanisms depending on their requirements. These include the publication of aggregated output, an </w:t>
            </w:r>
            <w:r w:rsidRPr="00661BCF">
              <w:rPr>
                <w:rFonts w:asciiTheme="minorHAnsi" w:hAnsiTheme="minorHAnsi" w:cstheme="minorHAnsi"/>
              </w:rPr>
              <w:lastRenderedPageBreak/>
              <w:t>extract service that covers both bespoke and routine extracts and direct access via an interrogation tool to the underlying data for certain customers.</w:t>
            </w:r>
          </w:p>
          <w:p w14:paraId="415596C3" w14:textId="77777777" w:rsidR="00012D07" w:rsidRPr="00661BCF" w:rsidRDefault="00012D07" w:rsidP="00661BCF">
            <w:pPr>
              <w:rPr>
                <w:rFonts w:asciiTheme="minorHAnsi" w:hAnsiTheme="minorHAnsi" w:cstheme="minorHAnsi"/>
              </w:rPr>
            </w:pPr>
          </w:p>
          <w:p w14:paraId="0B85A01E"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The underlying data required for the construction of the indicator are available on a monthly basis around 4 to 5 months after the start of the month in which the attendance took place. The full year annual data refresh occurs around 8 months after the financial year end.</w:t>
            </w:r>
          </w:p>
        </w:tc>
      </w:tr>
      <w:tr w:rsidR="00CE6EED" w:rsidRPr="00661BCF" w14:paraId="57C2BCC4" w14:textId="77777777" w:rsidTr="00CE6EED">
        <w:tc>
          <w:tcPr>
            <w:tcW w:w="3261" w:type="dxa"/>
          </w:tcPr>
          <w:p w14:paraId="11FED0F9"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lastRenderedPageBreak/>
              <w:t>Numerator</w:t>
            </w:r>
          </w:p>
        </w:tc>
        <w:tc>
          <w:tcPr>
            <w:tcW w:w="11481" w:type="dxa"/>
          </w:tcPr>
          <w:p w14:paraId="77A388C4"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The number of admission spell records where the first episode contains a primary diagnosis of hip fracture in people aged 60 and over.</w:t>
            </w:r>
          </w:p>
        </w:tc>
      </w:tr>
      <w:tr w:rsidR="00CE6EED" w:rsidRPr="00661BCF" w14:paraId="0D6E4DBC" w14:textId="77777777" w:rsidTr="00CE6EED">
        <w:tc>
          <w:tcPr>
            <w:tcW w:w="3261" w:type="dxa"/>
          </w:tcPr>
          <w:p w14:paraId="64D084E4"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Denominator</w:t>
            </w:r>
          </w:p>
        </w:tc>
        <w:tc>
          <w:tcPr>
            <w:tcW w:w="11481" w:type="dxa"/>
          </w:tcPr>
          <w:p w14:paraId="2E8708EE"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Clinical Commissioning Group (CCG) level count of people registered with the constituent GP Practices.</w:t>
            </w:r>
          </w:p>
        </w:tc>
      </w:tr>
      <w:tr w:rsidR="00CE6EED" w:rsidRPr="00661BCF" w14:paraId="5035A3FC" w14:textId="77777777" w:rsidTr="00CE6EED">
        <w:tc>
          <w:tcPr>
            <w:tcW w:w="3261" w:type="dxa"/>
          </w:tcPr>
          <w:p w14:paraId="5BA8CC68"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Calculation</w:t>
            </w:r>
          </w:p>
        </w:tc>
        <w:tc>
          <w:tcPr>
            <w:tcW w:w="11481" w:type="dxa"/>
          </w:tcPr>
          <w:p w14:paraId="75B6AAF0"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 xml:space="preserve">This indicator is calculated as a rate directly standardised by age and sex per 100,000 patients. </w:t>
            </w:r>
          </w:p>
          <w:p w14:paraId="7BC8AE5F" w14:textId="77777777" w:rsidR="00012D07" w:rsidRPr="00661BCF" w:rsidRDefault="00012D07" w:rsidP="00661BCF">
            <w:pPr>
              <w:rPr>
                <w:rFonts w:asciiTheme="minorHAnsi" w:hAnsiTheme="minorHAnsi" w:cstheme="minorHAnsi"/>
              </w:rPr>
            </w:pPr>
          </w:p>
          <w:p w14:paraId="5CD67602"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The standard population used for the direct method is the England population in appropriate ONS mid-year population estimates. The age groups used are: 0 to 19, 20 to 24, 25 to 29, 30 to 34, 35 to 39, 40 to 44, 45 to 49, 50 to 54, 55 to 59, 60 to 64, 65 to 69, 70 to 74, 75+.</w:t>
            </w:r>
          </w:p>
          <w:p w14:paraId="2A7A228A" w14:textId="77777777" w:rsidR="00012D07" w:rsidRPr="00661BCF" w:rsidRDefault="00012D07" w:rsidP="00661BCF">
            <w:pPr>
              <w:rPr>
                <w:rFonts w:asciiTheme="minorHAnsi" w:hAnsiTheme="minorHAnsi" w:cstheme="minorHAnsi"/>
              </w:rPr>
            </w:pPr>
          </w:p>
          <w:p w14:paraId="2A8BCC9E"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 xml:space="preserve">95% confidence intervals are calculated using Dobson's and </w:t>
            </w:r>
            <w:proofErr w:type="spellStart"/>
            <w:r w:rsidRPr="00661BCF">
              <w:rPr>
                <w:rFonts w:asciiTheme="minorHAnsi" w:hAnsiTheme="minorHAnsi" w:cstheme="minorHAnsi"/>
              </w:rPr>
              <w:t>Byar's</w:t>
            </w:r>
            <w:proofErr w:type="spellEnd"/>
            <w:r w:rsidRPr="00661BCF">
              <w:rPr>
                <w:rFonts w:asciiTheme="minorHAnsi" w:hAnsiTheme="minorHAnsi" w:cstheme="minorHAnsi"/>
              </w:rPr>
              <w:t xml:space="preserve"> methods. </w:t>
            </w:r>
            <w:proofErr w:type="spellStart"/>
            <w:r w:rsidRPr="00661BCF">
              <w:rPr>
                <w:rFonts w:asciiTheme="minorHAnsi" w:hAnsiTheme="minorHAnsi" w:cstheme="minorHAnsi"/>
              </w:rPr>
              <w:t>Byar’s</w:t>
            </w:r>
            <w:proofErr w:type="spellEnd"/>
            <w:r w:rsidRPr="00661BCF">
              <w:rPr>
                <w:rFonts w:asciiTheme="minorHAnsi" w:hAnsiTheme="minorHAnsi" w:cstheme="minorHAnsi"/>
              </w:rPr>
              <w:t xml:space="preserve"> method is recommended for larger counts whereas for smaller numerators (less than 389) a more exact method based on the Poisson distribution (Dobson’s method) is used. Further details on the calculations used can be found in the </w:t>
            </w:r>
            <w:proofErr w:type="spellStart"/>
            <w:r w:rsidRPr="00661BCF">
              <w:rPr>
                <w:rFonts w:asciiTheme="minorHAnsi" w:hAnsiTheme="minorHAnsi" w:cstheme="minorHAnsi"/>
              </w:rPr>
              <w:t>techincal</w:t>
            </w:r>
            <w:proofErr w:type="spellEnd"/>
            <w:r w:rsidRPr="00661BCF">
              <w:rPr>
                <w:rFonts w:asciiTheme="minorHAnsi" w:hAnsiTheme="minorHAnsi" w:cstheme="minorHAnsi"/>
              </w:rPr>
              <w:t xml:space="preserve"> </w:t>
            </w:r>
            <w:proofErr w:type="spellStart"/>
            <w:r w:rsidRPr="00661BCF">
              <w:rPr>
                <w:rFonts w:asciiTheme="minorHAnsi" w:hAnsiTheme="minorHAnsi" w:cstheme="minorHAnsi"/>
              </w:rPr>
              <w:t>specifcation</w:t>
            </w:r>
            <w:proofErr w:type="spellEnd"/>
            <w:r w:rsidRPr="00661BCF">
              <w:rPr>
                <w:rFonts w:asciiTheme="minorHAnsi" w:hAnsiTheme="minorHAnsi" w:cstheme="minorHAnsi"/>
              </w:rPr>
              <w:t>.</w:t>
            </w:r>
          </w:p>
        </w:tc>
      </w:tr>
      <w:tr w:rsidR="00CE6EED" w:rsidRPr="00661BCF" w14:paraId="570335D1" w14:textId="77777777" w:rsidTr="00CE6EED">
        <w:tc>
          <w:tcPr>
            <w:tcW w:w="3261" w:type="dxa"/>
          </w:tcPr>
          <w:p w14:paraId="34E0EB8A"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Interpretation Guidelines</w:t>
            </w:r>
          </w:p>
        </w:tc>
        <w:tc>
          <w:tcPr>
            <w:tcW w:w="11481" w:type="dxa"/>
          </w:tcPr>
          <w:p w14:paraId="33B8E3AD" w14:textId="77777777" w:rsidR="00012D07" w:rsidRPr="00661BCF" w:rsidRDefault="00012D07" w:rsidP="00661BCF">
            <w:pPr>
              <w:rPr>
                <w:rFonts w:asciiTheme="minorHAnsi" w:hAnsiTheme="minorHAnsi" w:cstheme="minorHAnsi"/>
              </w:rPr>
            </w:pPr>
          </w:p>
        </w:tc>
      </w:tr>
      <w:tr w:rsidR="00CE6EED" w:rsidRPr="00661BCF" w14:paraId="4F320ABF" w14:textId="77777777" w:rsidTr="00CE6EED">
        <w:tc>
          <w:tcPr>
            <w:tcW w:w="3261" w:type="dxa"/>
          </w:tcPr>
          <w:p w14:paraId="31348831" w14:textId="77777777" w:rsidR="00012D07" w:rsidRPr="00661BCF" w:rsidRDefault="00012D07" w:rsidP="00661BCF">
            <w:pPr>
              <w:rPr>
                <w:rFonts w:asciiTheme="minorHAnsi" w:hAnsiTheme="minorHAnsi" w:cstheme="minorHAnsi"/>
                <w:b/>
              </w:rPr>
            </w:pPr>
            <w:r w:rsidRPr="00661BCF">
              <w:rPr>
                <w:rFonts w:asciiTheme="minorHAnsi" w:hAnsiTheme="minorHAnsi" w:cstheme="minorHAnsi"/>
              </w:rPr>
              <w:t>Caveats</w:t>
            </w:r>
          </w:p>
        </w:tc>
        <w:tc>
          <w:tcPr>
            <w:tcW w:w="11481" w:type="dxa"/>
          </w:tcPr>
          <w:p w14:paraId="47597D8B" w14:textId="77777777" w:rsidR="00012D07" w:rsidRPr="00661BCF" w:rsidRDefault="00012D07" w:rsidP="00661BCF">
            <w:pPr>
              <w:rPr>
                <w:rFonts w:asciiTheme="minorHAnsi" w:hAnsiTheme="minorHAnsi" w:cstheme="minorHAnsi"/>
              </w:rPr>
            </w:pPr>
            <w:r w:rsidRPr="00661BCF">
              <w:rPr>
                <w:rFonts w:asciiTheme="minorHAnsi" w:hAnsiTheme="minorHAnsi" w:cstheme="minorHAnsi"/>
              </w:rPr>
              <w:t xml:space="preserve">A patient could fracture both hips </w:t>
            </w:r>
            <w:proofErr w:type="gramStart"/>
            <w:r w:rsidRPr="00661BCF">
              <w:rPr>
                <w:rFonts w:asciiTheme="minorHAnsi" w:hAnsiTheme="minorHAnsi" w:cstheme="minorHAnsi"/>
              </w:rPr>
              <w:t>or</w:t>
            </w:r>
            <w:proofErr w:type="gramEnd"/>
            <w:r w:rsidRPr="00661BCF">
              <w:rPr>
                <w:rFonts w:asciiTheme="minorHAnsi" w:hAnsiTheme="minorHAnsi" w:cstheme="minorHAnsi"/>
              </w:rPr>
              <w:t xml:space="preserve"> fracture a hip more than once in a year. In such a case they would appear twice in the numerator data.</w:t>
            </w:r>
          </w:p>
        </w:tc>
      </w:tr>
    </w:tbl>
    <w:p w14:paraId="4DD325A4" w14:textId="77777777" w:rsidR="00012D07" w:rsidRPr="00661BCF" w:rsidRDefault="00012D07" w:rsidP="00012D07">
      <w:pPr>
        <w:rPr>
          <w:rFonts w:asciiTheme="minorHAnsi" w:hAnsiTheme="minorHAnsi" w:cstheme="minorHAnsi"/>
          <w:b/>
        </w:rPr>
      </w:pPr>
    </w:p>
    <w:p w14:paraId="76C80D4D" w14:textId="2A77BA53" w:rsidR="00012D07" w:rsidRPr="00661BCF" w:rsidRDefault="00012D07">
      <w:pPr>
        <w:spacing w:after="0"/>
        <w:textboxTightWrap w:val="none"/>
        <w:rPr>
          <w:rFonts w:asciiTheme="minorHAnsi" w:hAnsiTheme="minorHAnsi" w:cstheme="minorHAnsi"/>
          <w:b/>
          <w:noProof/>
          <w:sz w:val="35"/>
          <w:szCs w:val="42"/>
          <w:lang w:eastAsia="en-GB"/>
        </w:rPr>
      </w:pPr>
      <w:r w:rsidRPr="00661BCF">
        <w:rPr>
          <w:rFonts w:asciiTheme="minorHAnsi" w:hAnsiTheme="minorHAnsi" w:cstheme="minorHAnsi"/>
          <w:noProof/>
          <w:lang w:eastAsia="en-GB"/>
        </w:rPr>
        <w:br w:type="page"/>
      </w:r>
    </w:p>
    <w:p w14:paraId="787386F2" w14:textId="6DC0C3E1" w:rsidR="00012D07" w:rsidRPr="00661BCF" w:rsidRDefault="00012D07" w:rsidP="00B77C41">
      <w:pPr>
        <w:pStyle w:val="Frontpagesubhead"/>
        <w:rPr>
          <w:rFonts w:asciiTheme="minorHAnsi" w:hAnsiTheme="minorHAnsi" w:cstheme="minorHAnsi"/>
          <w:noProof/>
          <w:color w:val="auto"/>
          <w:lang w:eastAsia="en-GB"/>
        </w:rPr>
        <w:sectPr w:rsidR="00012D07" w:rsidRPr="00661BCF" w:rsidSect="00012D07">
          <w:headerReference w:type="default" r:id="rId7"/>
          <w:footerReference w:type="default" r:id="rId8"/>
          <w:pgSz w:w="16838" w:h="11906" w:orient="landscape"/>
          <w:pgMar w:top="1021" w:right="1021" w:bottom="1021" w:left="1021" w:header="454" w:footer="680" w:gutter="0"/>
          <w:cols w:space="708"/>
          <w:docGrid w:linePitch="360"/>
        </w:sectPr>
      </w:pPr>
    </w:p>
    <w:tbl>
      <w:tblPr>
        <w:tblStyle w:val="TableGrid"/>
        <w:tblpPr w:leftFromText="180" w:rightFromText="180" w:horzAnchor="margin" w:tblpY="619"/>
        <w:tblW w:w="0" w:type="auto"/>
        <w:tblLook w:val="04A0" w:firstRow="1" w:lastRow="0" w:firstColumn="1" w:lastColumn="0" w:noHBand="0" w:noVBand="1"/>
      </w:tblPr>
      <w:tblGrid>
        <w:gridCol w:w="3114"/>
        <w:gridCol w:w="6740"/>
      </w:tblGrid>
      <w:tr w:rsidR="00CE6EED" w:rsidRPr="00661BCF" w14:paraId="548A2425" w14:textId="77777777" w:rsidTr="00CE6EED">
        <w:tc>
          <w:tcPr>
            <w:tcW w:w="3114" w:type="dxa"/>
          </w:tcPr>
          <w:p w14:paraId="3F82D7A1" w14:textId="142865C0" w:rsidR="00CE6EED" w:rsidRPr="00661BCF" w:rsidRDefault="00CE6EED" w:rsidP="00CE6EED">
            <w:pPr>
              <w:pStyle w:val="Frontpagesubhead"/>
              <w:rPr>
                <w:rFonts w:asciiTheme="minorHAnsi" w:hAnsiTheme="minorHAnsi" w:cstheme="minorHAnsi"/>
                <w:b w:val="0"/>
                <w:bCs/>
                <w:noProof/>
                <w:color w:val="auto"/>
                <w:lang w:eastAsia="en-GB"/>
              </w:rPr>
            </w:pPr>
          </w:p>
        </w:tc>
        <w:tc>
          <w:tcPr>
            <w:tcW w:w="6740" w:type="dxa"/>
          </w:tcPr>
          <w:p w14:paraId="19971841" w14:textId="7CC7B2EF" w:rsidR="00CE6EED" w:rsidRPr="00661BCF" w:rsidRDefault="00CE6EED" w:rsidP="00CE6EED">
            <w:pPr>
              <w:pStyle w:val="Frontpagesubhead"/>
              <w:rPr>
                <w:rFonts w:asciiTheme="minorHAnsi" w:hAnsiTheme="minorHAnsi" w:cstheme="minorHAnsi"/>
                <w:noProof/>
                <w:color w:val="auto"/>
                <w:lang w:eastAsia="en-GB"/>
              </w:rPr>
            </w:pPr>
            <w:r w:rsidRPr="00661BCF">
              <w:rPr>
                <w:rFonts w:asciiTheme="minorHAnsi" w:eastAsia="MS Mincho" w:hAnsiTheme="minorHAnsi" w:cstheme="minorHAnsi"/>
                <w:color w:val="auto"/>
              </w:rPr>
              <w:t>Application Form</w:t>
            </w:r>
          </w:p>
        </w:tc>
      </w:tr>
      <w:tr w:rsidR="00CE6EED" w:rsidRPr="00661BCF" w14:paraId="054253AC" w14:textId="77777777" w:rsidTr="00CE6EED">
        <w:tc>
          <w:tcPr>
            <w:tcW w:w="3114" w:type="dxa"/>
          </w:tcPr>
          <w:p w14:paraId="52997190" w14:textId="74783008" w:rsidR="00CE6EED" w:rsidRPr="00661BCF" w:rsidRDefault="00CE6EED" w:rsidP="00CE6EED">
            <w:pPr>
              <w:pStyle w:val="Frontpagesubhead"/>
              <w:rPr>
                <w:rFonts w:asciiTheme="minorHAnsi" w:hAnsiTheme="minorHAnsi" w:cstheme="minorHAnsi"/>
                <w:b w:val="0"/>
                <w:bCs/>
                <w:noProof/>
                <w:color w:val="auto"/>
                <w:lang w:eastAsia="en-GB"/>
              </w:rPr>
            </w:pPr>
            <w:r w:rsidRPr="00661BCF">
              <w:rPr>
                <w:rFonts w:asciiTheme="minorHAnsi" w:hAnsiTheme="minorHAnsi" w:cstheme="minorHAnsi"/>
                <w:b w:val="0"/>
                <w:bCs/>
                <w:color w:val="auto"/>
                <w:sz w:val="22"/>
                <w:szCs w:val="22"/>
              </w:rPr>
              <w:t>Set or domain</w:t>
            </w:r>
          </w:p>
        </w:tc>
        <w:tc>
          <w:tcPr>
            <w:tcW w:w="6740" w:type="dxa"/>
          </w:tcPr>
          <w:p w14:paraId="63A67E26" w14:textId="41D7AB80" w:rsidR="00CE6EED" w:rsidRPr="00661BCF" w:rsidRDefault="00CE6EED" w:rsidP="00CE6EED">
            <w:pPr>
              <w:pStyle w:val="Frontpagesubhead"/>
              <w:rPr>
                <w:rFonts w:asciiTheme="minorHAnsi" w:hAnsiTheme="minorHAnsi" w:cstheme="minorHAnsi"/>
                <w:b w:val="0"/>
                <w:bCs/>
                <w:noProof/>
                <w:color w:val="auto"/>
                <w:lang w:eastAsia="en-GB"/>
              </w:rPr>
            </w:pPr>
            <w:r w:rsidRPr="00661BCF">
              <w:rPr>
                <w:rFonts w:asciiTheme="minorHAnsi" w:hAnsiTheme="minorHAnsi" w:cstheme="minorHAnsi"/>
                <w:b w:val="0"/>
                <w:bCs/>
                <w:color w:val="auto"/>
                <w:sz w:val="22"/>
                <w:szCs w:val="22"/>
              </w:rPr>
              <w:t>CCG OIS 1.22</w:t>
            </w:r>
          </w:p>
        </w:tc>
      </w:tr>
      <w:tr w:rsidR="00CE6EED" w:rsidRPr="00661BCF" w14:paraId="204D314D" w14:textId="77777777" w:rsidTr="00CE6EED">
        <w:tc>
          <w:tcPr>
            <w:tcW w:w="3114" w:type="dxa"/>
          </w:tcPr>
          <w:p w14:paraId="5C90951F" w14:textId="09DB2C70" w:rsidR="00CE6EED" w:rsidRPr="00661BCF" w:rsidRDefault="00CE6EED" w:rsidP="00CE6EED">
            <w:pPr>
              <w:pStyle w:val="Frontpagesubhead"/>
              <w:rPr>
                <w:rFonts w:asciiTheme="minorHAnsi" w:hAnsiTheme="minorHAnsi" w:cstheme="minorHAnsi"/>
                <w:b w:val="0"/>
                <w:bCs/>
                <w:noProof/>
                <w:color w:val="auto"/>
                <w:lang w:eastAsia="en-GB"/>
              </w:rPr>
            </w:pPr>
            <w:r w:rsidRPr="00661BCF">
              <w:rPr>
                <w:rFonts w:asciiTheme="minorHAnsi" w:hAnsiTheme="minorHAnsi" w:cstheme="minorHAnsi"/>
                <w:b w:val="0"/>
                <w:bCs/>
                <w:color w:val="auto"/>
                <w:sz w:val="22"/>
                <w:szCs w:val="22"/>
              </w:rPr>
              <w:t>Topic area</w:t>
            </w:r>
          </w:p>
        </w:tc>
        <w:tc>
          <w:tcPr>
            <w:tcW w:w="6740" w:type="dxa"/>
          </w:tcPr>
          <w:p w14:paraId="31B5A379" w14:textId="38447D7C" w:rsidR="00CE6EED" w:rsidRPr="00661BCF" w:rsidRDefault="00CE6EED" w:rsidP="00CE6EED">
            <w:pPr>
              <w:pStyle w:val="Frontpagesubhead"/>
              <w:rPr>
                <w:rFonts w:asciiTheme="minorHAnsi" w:hAnsiTheme="minorHAnsi" w:cstheme="minorHAnsi"/>
                <w:b w:val="0"/>
                <w:bCs/>
                <w:noProof/>
                <w:color w:val="auto"/>
                <w:lang w:eastAsia="en-GB"/>
              </w:rPr>
            </w:pPr>
            <w:r w:rsidRPr="00661BCF">
              <w:rPr>
                <w:rFonts w:asciiTheme="minorHAnsi" w:hAnsiTheme="minorHAnsi" w:cstheme="minorHAnsi"/>
                <w:b w:val="0"/>
                <w:bCs/>
                <w:color w:val="auto"/>
                <w:sz w:val="22"/>
                <w:szCs w:val="22"/>
              </w:rPr>
              <w:t>Hip fracture</w:t>
            </w:r>
          </w:p>
        </w:tc>
      </w:tr>
      <w:tr w:rsidR="00CE6EED" w:rsidRPr="00661BCF" w14:paraId="738C5587" w14:textId="77777777" w:rsidTr="00CE6EED">
        <w:tc>
          <w:tcPr>
            <w:tcW w:w="3114" w:type="dxa"/>
          </w:tcPr>
          <w:p w14:paraId="4C69105E" w14:textId="368ECBC0" w:rsidR="00CE6EED" w:rsidRPr="00661BCF" w:rsidRDefault="00CE6EED" w:rsidP="00CE6EED">
            <w:pPr>
              <w:pStyle w:val="Frontpagesubhead"/>
              <w:rPr>
                <w:rFonts w:asciiTheme="minorHAnsi" w:hAnsiTheme="minorHAnsi" w:cstheme="minorHAnsi"/>
                <w:b w:val="0"/>
                <w:bCs/>
                <w:noProof/>
                <w:color w:val="auto"/>
                <w:lang w:eastAsia="en-GB"/>
              </w:rPr>
            </w:pPr>
            <w:r w:rsidRPr="00661BCF">
              <w:rPr>
                <w:rFonts w:asciiTheme="minorHAnsi" w:hAnsiTheme="minorHAnsi" w:cstheme="minorHAnsi"/>
                <w:b w:val="0"/>
                <w:bCs/>
                <w:color w:val="auto"/>
                <w:sz w:val="22"/>
                <w:szCs w:val="22"/>
              </w:rPr>
              <w:t>Definition</w:t>
            </w:r>
          </w:p>
        </w:tc>
        <w:tc>
          <w:tcPr>
            <w:tcW w:w="6740" w:type="dxa"/>
          </w:tcPr>
          <w:p w14:paraId="1F2B4617" w14:textId="77777777" w:rsidR="00CE6EED" w:rsidRPr="00661BCF" w:rsidRDefault="00CE6EED" w:rsidP="00CE6EED">
            <w:pPr>
              <w:spacing w:before="240"/>
              <w:rPr>
                <w:rFonts w:asciiTheme="minorHAnsi" w:hAnsiTheme="minorHAnsi" w:cstheme="minorHAnsi"/>
                <w:bCs/>
                <w:sz w:val="22"/>
                <w:szCs w:val="22"/>
              </w:rPr>
            </w:pPr>
            <w:r w:rsidRPr="00661BCF">
              <w:rPr>
                <w:rFonts w:asciiTheme="minorHAnsi" w:hAnsiTheme="minorHAnsi" w:cstheme="minorHAnsi"/>
                <w:bCs/>
                <w:sz w:val="22"/>
                <w:szCs w:val="22"/>
              </w:rPr>
              <w:t>CCG OIS 1.22 measures the number of emergency admissions for people aged 60 and over with hip fracture.</w:t>
            </w:r>
          </w:p>
          <w:p w14:paraId="5A2CA2D1" w14:textId="77777777" w:rsidR="00CE6EED" w:rsidRPr="00661BCF" w:rsidRDefault="00CE6EED" w:rsidP="00CE6EED">
            <w:pPr>
              <w:spacing w:before="240"/>
              <w:rPr>
                <w:rFonts w:asciiTheme="minorHAnsi" w:hAnsiTheme="minorHAnsi" w:cstheme="minorHAnsi"/>
                <w:bCs/>
                <w:sz w:val="22"/>
                <w:szCs w:val="22"/>
              </w:rPr>
            </w:pPr>
          </w:p>
          <w:p w14:paraId="7D6F0A2F" w14:textId="77777777" w:rsidR="00CE6EED" w:rsidRPr="00661BCF" w:rsidRDefault="00CE6EED" w:rsidP="00CE6EED">
            <w:pPr>
              <w:spacing w:before="240"/>
              <w:rPr>
                <w:rFonts w:asciiTheme="minorHAnsi" w:hAnsiTheme="minorHAnsi" w:cstheme="minorHAnsi"/>
                <w:bCs/>
                <w:sz w:val="22"/>
                <w:szCs w:val="22"/>
              </w:rPr>
            </w:pPr>
            <w:r w:rsidRPr="00661BCF">
              <w:rPr>
                <w:rFonts w:asciiTheme="minorHAnsi" w:hAnsiTheme="minorHAnsi" w:cstheme="minorHAnsi"/>
                <w:bCs/>
                <w:sz w:val="22"/>
                <w:szCs w:val="22"/>
              </w:rPr>
              <w:t>Directly age and sex standardised emergency admission rate for hip fracture in those aged 60 years and over, per 100,000 registered patients, 95% confidence intervals (CI).</w:t>
            </w:r>
          </w:p>
          <w:p w14:paraId="27E69A3F" w14:textId="77777777" w:rsidR="00CE6EED" w:rsidRPr="00661BCF" w:rsidRDefault="00CE6EED" w:rsidP="00CE6EED">
            <w:pPr>
              <w:spacing w:before="240"/>
              <w:rPr>
                <w:rFonts w:asciiTheme="minorHAnsi" w:hAnsiTheme="minorHAnsi" w:cstheme="minorHAnsi"/>
                <w:bCs/>
                <w:sz w:val="22"/>
                <w:szCs w:val="22"/>
              </w:rPr>
            </w:pPr>
          </w:p>
          <w:p w14:paraId="75A5C53B" w14:textId="54B82F63" w:rsidR="00CE6EED" w:rsidRPr="00661BCF" w:rsidRDefault="00CE6EED" w:rsidP="00CE6EED">
            <w:pPr>
              <w:pStyle w:val="Frontpagesubhead"/>
              <w:rPr>
                <w:rFonts w:asciiTheme="minorHAnsi" w:hAnsiTheme="minorHAnsi" w:cstheme="minorHAnsi"/>
                <w:b w:val="0"/>
                <w:bCs/>
                <w:noProof/>
                <w:color w:val="auto"/>
                <w:lang w:eastAsia="en-GB"/>
              </w:rPr>
            </w:pPr>
            <w:r w:rsidRPr="00661BCF">
              <w:rPr>
                <w:rFonts w:asciiTheme="minorHAnsi" w:hAnsiTheme="minorHAnsi" w:cstheme="minorHAnsi"/>
                <w:b w:val="0"/>
                <w:bCs/>
                <w:color w:val="auto"/>
                <w:sz w:val="22"/>
                <w:szCs w:val="22"/>
              </w:rPr>
              <w:t xml:space="preserve">This indicator is restricted to admissions for people who are 60 years old and over. Under the age of 60, osteoporosis is not as important a factor as it is over 60. Reducing the number of cases under 60 means reducing alcoholism, road traffic accidents and falls from a height, while in the over 60s it means reducing osteoporosis and falls from standing. NICE CG124 covers 18 and above, however using 60 as the cut off would bring the figure in to line with the Best Practice Tariff and the National Hip Fracture Database. </w:t>
            </w:r>
            <w:proofErr w:type="gramStart"/>
            <w:r w:rsidRPr="00661BCF">
              <w:rPr>
                <w:rFonts w:asciiTheme="minorHAnsi" w:hAnsiTheme="minorHAnsi" w:cstheme="minorHAnsi"/>
                <w:b w:val="0"/>
                <w:bCs/>
                <w:color w:val="auto"/>
                <w:sz w:val="22"/>
                <w:szCs w:val="22"/>
              </w:rPr>
              <w:t>The vast majority of</w:t>
            </w:r>
            <w:proofErr w:type="gramEnd"/>
            <w:r w:rsidRPr="00661BCF">
              <w:rPr>
                <w:rFonts w:asciiTheme="minorHAnsi" w:hAnsiTheme="minorHAnsi" w:cstheme="minorHAnsi"/>
                <w:b w:val="0"/>
                <w:bCs/>
                <w:color w:val="auto"/>
                <w:sz w:val="22"/>
                <w:szCs w:val="22"/>
              </w:rPr>
              <w:t xml:space="preserve"> cases (around 94%) are for people aged 60 years and over.  </w:t>
            </w:r>
          </w:p>
        </w:tc>
      </w:tr>
      <w:tr w:rsidR="00CE6EED" w:rsidRPr="00661BCF" w14:paraId="41D63FDB" w14:textId="77777777" w:rsidTr="00CE6EED">
        <w:tc>
          <w:tcPr>
            <w:tcW w:w="3114" w:type="dxa"/>
          </w:tcPr>
          <w:p w14:paraId="6775F723" w14:textId="535C7AEA" w:rsidR="00CE6EED" w:rsidRPr="00661BCF" w:rsidRDefault="00CE6EED" w:rsidP="00CE6EED">
            <w:pPr>
              <w:pStyle w:val="Frontpagesubhead"/>
              <w:rPr>
                <w:rFonts w:asciiTheme="minorHAnsi" w:hAnsiTheme="minorHAnsi" w:cstheme="minorHAnsi"/>
                <w:b w:val="0"/>
                <w:bCs/>
                <w:color w:val="auto"/>
                <w:sz w:val="22"/>
                <w:szCs w:val="22"/>
              </w:rPr>
            </w:pPr>
            <w:r w:rsidRPr="00661BCF">
              <w:rPr>
                <w:rFonts w:asciiTheme="minorHAnsi" w:hAnsiTheme="minorHAnsi" w:cstheme="minorHAnsi"/>
                <w:b w:val="0"/>
                <w:bCs/>
                <w:color w:val="auto"/>
                <w:sz w:val="22"/>
                <w:szCs w:val="22"/>
              </w:rPr>
              <w:t>Indicator owner &amp; contact details</w:t>
            </w:r>
          </w:p>
        </w:tc>
        <w:tc>
          <w:tcPr>
            <w:tcW w:w="6740" w:type="dxa"/>
          </w:tcPr>
          <w:p w14:paraId="3396F8DF" w14:textId="1DE4525B" w:rsidR="00CE6EED" w:rsidRPr="00661BCF" w:rsidRDefault="00CE6EED" w:rsidP="00CE6EED">
            <w:pPr>
              <w:spacing w:before="240"/>
              <w:rPr>
                <w:rFonts w:asciiTheme="minorHAnsi" w:hAnsiTheme="minorHAnsi" w:cstheme="minorHAnsi"/>
                <w:bCs/>
                <w:sz w:val="22"/>
                <w:szCs w:val="22"/>
              </w:rPr>
            </w:pPr>
            <w:r w:rsidRPr="00661BCF">
              <w:rPr>
                <w:rFonts w:asciiTheme="minorHAnsi" w:hAnsiTheme="minorHAnsi" w:cstheme="minorHAnsi"/>
                <w:bCs/>
                <w:sz w:val="22"/>
                <w:szCs w:val="22"/>
              </w:rPr>
              <w:t>TBC</w:t>
            </w:r>
          </w:p>
        </w:tc>
      </w:tr>
      <w:tr w:rsidR="00CE6EED" w:rsidRPr="00661BCF" w14:paraId="13B3F138" w14:textId="77777777" w:rsidTr="00CE6EED">
        <w:tc>
          <w:tcPr>
            <w:tcW w:w="3114" w:type="dxa"/>
          </w:tcPr>
          <w:p w14:paraId="3BC07983" w14:textId="6074CE6C" w:rsidR="00CE6EED" w:rsidRPr="00661BCF" w:rsidRDefault="00CE6EED" w:rsidP="00CE6EED">
            <w:pPr>
              <w:pStyle w:val="Frontpagesubhead"/>
              <w:rPr>
                <w:rFonts w:asciiTheme="minorHAnsi" w:hAnsiTheme="minorHAnsi" w:cstheme="minorHAnsi"/>
                <w:b w:val="0"/>
                <w:bCs/>
                <w:color w:val="auto"/>
                <w:sz w:val="22"/>
                <w:szCs w:val="22"/>
              </w:rPr>
            </w:pPr>
            <w:r w:rsidRPr="00661BCF">
              <w:rPr>
                <w:rFonts w:asciiTheme="minorHAnsi" w:hAnsiTheme="minorHAnsi" w:cstheme="minorHAnsi"/>
                <w:color w:val="auto"/>
                <w:sz w:val="22"/>
                <w:szCs w:val="22"/>
              </w:rPr>
              <w:t>Sponsor</w:t>
            </w:r>
          </w:p>
        </w:tc>
        <w:tc>
          <w:tcPr>
            <w:tcW w:w="6740" w:type="dxa"/>
          </w:tcPr>
          <w:p w14:paraId="6202779F" w14:textId="7C1FDEEC" w:rsidR="00CE6EED" w:rsidRPr="00661BCF" w:rsidRDefault="00CE6EED" w:rsidP="00CE6EED">
            <w:pPr>
              <w:spacing w:before="240"/>
              <w:rPr>
                <w:rFonts w:asciiTheme="minorHAnsi" w:hAnsiTheme="minorHAnsi" w:cstheme="minorHAnsi"/>
                <w:bCs/>
                <w:sz w:val="22"/>
                <w:szCs w:val="22"/>
              </w:rPr>
            </w:pPr>
            <w:r w:rsidRPr="00661BCF">
              <w:rPr>
                <w:rFonts w:asciiTheme="minorHAnsi" w:hAnsiTheme="minorHAnsi" w:cstheme="minorHAnsi"/>
                <w:sz w:val="22"/>
                <w:szCs w:val="22"/>
              </w:rPr>
              <w:t>TBC</w:t>
            </w:r>
          </w:p>
        </w:tc>
      </w:tr>
      <w:tr w:rsidR="00CE6EED" w:rsidRPr="00661BCF" w14:paraId="7E1351AB" w14:textId="77777777" w:rsidTr="00CE6EED">
        <w:tc>
          <w:tcPr>
            <w:tcW w:w="3114" w:type="dxa"/>
          </w:tcPr>
          <w:p w14:paraId="6323CEA4" w14:textId="46311112" w:rsidR="00CE6EED" w:rsidRPr="00661BCF" w:rsidRDefault="00CE6EED" w:rsidP="00CE6EED">
            <w:pPr>
              <w:pStyle w:val="Frontpagesubhead"/>
              <w:rPr>
                <w:rFonts w:asciiTheme="minorHAnsi" w:hAnsiTheme="minorHAnsi" w:cstheme="minorHAnsi"/>
                <w:color w:val="auto"/>
                <w:sz w:val="22"/>
                <w:szCs w:val="22"/>
              </w:rPr>
            </w:pPr>
            <w:r w:rsidRPr="00661BCF">
              <w:rPr>
                <w:rFonts w:asciiTheme="minorHAnsi" w:hAnsiTheme="minorHAnsi" w:cstheme="minorHAnsi"/>
                <w:color w:val="auto"/>
                <w:sz w:val="22"/>
                <w:szCs w:val="22"/>
              </w:rPr>
              <w:t>Endorsement</w:t>
            </w:r>
          </w:p>
        </w:tc>
        <w:tc>
          <w:tcPr>
            <w:tcW w:w="6740" w:type="dxa"/>
          </w:tcPr>
          <w:p w14:paraId="6368B46E"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Advice has been taken from the NHS Classification Service (National Clinical Classifications Helpdesk) on which ICD-10 codes to use to filter for hip fracture. Their advice is to use the codes as listed in the indicator definition (Section A1).</w:t>
            </w:r>
          </w:p>
          <w:p w14:paraId="42DED872" w14:textId="77777777" w:rsidR="00CE6EED" w:rsidRPr="00661BCF" w:rsidRDefault="00CE6EED" w:rsidP="00CE6EED">
            <w:pPr>
              <w:spacing w:before="240"/>
              <w:rPr>
                <w:rFonts w:asciiTheme="minorHAnsi" w:hAnsiTheme="minorHAnsi" w:cstheme="minorHAnsi"/>
                <w:sz w:val="22"/>
                <w:szCs w:val="22"/>
              </w:rPr>
            </w:pPr>
          </w:p>
          <w:p w14:paraId="6FBB4357" w14:textId="7A226A3F"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 xml:space="preserve">Clinical input was received from Rob </w:t>
            </w:r>
            <w:proofErr w:type="spellStart"/>
            <w:r w:rsidRPr="00661BCF">
              <w:rPr>
                <w:rFonts w:asciiTheme="minorHAnsi" w:hAnsiTheme="minorHAnsi" w:cstheme="minorHAnsi"/>
                <w:sz w:val="22"/>
                <w:szCs w:val="22"/>
              </w:rPr>
              <w:t>Wakeman</w:t>
            </w:r>
            <w:proofErr w:type="spellEnd"/>
            <w:r w:rsidRPr="00661BCF">
              <w:rPr>
                <w:rFonts w:asciiTheme="minorHAnsi" w:hAnsiTheme="minorHAnsi" w:cstheme="minorHAnsi"/>
                <w:sz w:val="22"/>
                <w:szCs w:val="22"/>
              </w:rPr>
              <w:t>, NHFD Clinical Lead for Orthopaedic Surgery.</w:t>
            </w:r>
          </w:p>
        </w:tc>
      </w:tr>
      <w:tr w:rsidR="00CE6EED" w:rsidRPr="00661BCF" w14:paraId="515F3F79" w14:textId="77777777" w:rsidTr="00CE6EED">
        <w:tc>
          <w:tcPr>
            <w:tcW w:w="3114" w:type="dxa"/>
          </w:tcPr>
          <w:p w14:paraId="7A4075C0" w14:textId="77777777"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Evidence and Policy base</w:t>
            </w:r>
          </w:p>
          <w:p w14:paraId="38CA5CD8" w14:textId="15F24CE0" w:rsidR="00CE6EED" w:rsidRPr="00661BCF" w:rsidRDefault="00CE6EED" w:rsidP="00CE6EED">
            <w:pPr>
              <w:pStyle w:val="Frontpagesubhead"/>
              <w:rPr>
                <w:rFonts w:asciiTheme="minorHAnsi" w:hAnsiTheme="minorHAnsi" w:cstheme="minorHAnsi"/>
                <w:color w:val="auto"/>
                <w:sz w:val="22"/>
                <w:szCs w:val="22"/>
              </w:rPr>
            </w:pPr>
            <w:r w:rsidRPr="00661BCF">
              <w:rPr>
                <w:rFonts w:asciiTheme="minorHAnsi" w:hAnsiTheme="minorHAnsi" w:cstheme="minorHAnsi"/>
                <w:color w:val="auto"/>
                <w:sz w:val="22"/>
                <w:szCs w:val="22"/>
              </w:rPr>
              <w:t>Including related national incentives, critical business question, NICE quality standard and set or domain rationale, if appropriate</w:t>
            </w:r>
          </w:p>
        </w:tc>
        <w:tc>
          <w:tcPr>
            <w:tcW w:w="6740" w:type="dxa"/>
          </w:tcPr>
          <w:p w14:paraId="0B7BE640"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The Clinical Commissioning Group Outcomes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w:t>
            </w:r>
          </w:p>
          <w:p w14:paraId="2B3CD38F"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 xml:space="preserve">This indicator is based on the NICE Quality Standard (QS) 16: Hip Fracture in adults, issued March 2012, </w:t>
            </w:r>
            <w:hyperlink r:id="rId9" w:history="1">
              <w:r w:rsidRPr="00661BCF">
                <w:rPr>
                  <w:rStyle w:val="Hyperlink"/>
                  <w:rFonts w:cstheme="minorHAnsi"/>
                  <w:color w:val="auto"/>
                  <w:sz w:val="22"/>
                  <w:szCs w:val="22"/>
                </w:rPr>
                <w:t>http://guidance.nice.org.uk/QS16</w:t>
              </w:r>
            </w:hyperlink>
            <w:r w:rsidRPr="00661BCF">
              <w:rPr>
                <w:rFonts w:asciiTheme="minorHAnsi" w:hAnsiTheme="minorHAnsi" w:cstheme="minorHAnsi"/>
                <w:sz w:val="22"/>
                <w:szCs w:val="22"/>
              </w:rPr>
              <w:t xml:space="preserve">. </w:t>
            </w:r>
          </w:p>
          <w:p w14:paraId="578CD22A" w14:textId="77777777" w:rsidR="00CE6EED" w:rsidRPr="00661BCF" w:rsidRDefault="00CE6EED" w:rsidP="00CE6EED">
            <w:pPr>
              <w:spacing w:before="240"/>
              <w:rPr>
                <w:rFonts w:asciiTheme="minorHAnsi" w:hAnsiTheme="minorHAnsi" w:cstheme="minorHAnsi"/>
                <w:sz w:val="22"/>
                <w:szCs w:val="22"/>
              </w:rPr>
            </w:pPr>
          </w:p>
          <w:p w14:paraId="50677E75"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This indicator supports the intentions of QS149 which is concerned with managing osteoporosis, although this is aimed at patients aged 18+.</w:t>
            </w:r>
          </w:p>
          <w:p w14:paraId="2D6B293E" w14:textId="77777777" w:rsidR="00CE6EED" w:rsidRPr="00661BCF" w:rsidRDefault="00CE6EED" w:rsidP="00CE6EED">
            <w:pPr>
              <w:spacing w:before="240"/>
              <w:rPr>
                <w:rFonts w:asciiTheme="minorHAnsi" w:hAnsiTheme="minorHAnsi" w:cstheme="minorHAnsi"/>
                <w:sz w:val="22"/>
                <w:szCs w:val="22"/>
              </w:rPr>
            </w:pPr>
          </w:p>
          <w:p w14:paraId="031A0818"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In the original (02/12/13) application form for this indicator it was recorded that NICE Clinical Guideline 124 stated that:</w:t>
            </w:r>
          </w:p>
          <w:p w14:paraId="18B528A9" w14:textId="77777777" w:rsidR="00CE6EED" w:rsidRPr="00661BCF" w:rsidRDefault="00CE6EED" w:rsidP="00CE6EED">
            <w:pPr>
              <w:ind w:left="720"/>
              <w:rPr>
                <w:rFonts w:asciiTheme="minorHAnsi" w:hAnsiTheme="minorHAnsi" w:cstheme="minorHAnsi"/>
                <w:i/>
                <w:sz w:val="22"/>
                <w:szCs w:val="22"/>
              </w:rPr>
            </w:pPr>
            <w:r w:rsidRPr="00661BCF">
              <w:rPr>
                <w:rFonts w:asciiTheme="minorHAnsi" w:hAnsiTheme="minorHAnsi" w:cstheme="minorHAnsi"/>
                <w:i/>
                <w:sz w:val="22"/>
                <w:szCs w:val="22"/>
              </w:rPr>
              <w:t xml:space="preserve">“…around 70,000 to 75,000 hip fractures (proximal femoral </w:t>
            </w:r>
            <w:proofErr w:type="spellStart"/>
            <w:r w:rsidRPr="00661BCF">
              <w:rPr>
                <w:rFonts w:asciiTheme="minorHAnsi" w:hAnsiTheme="minorHAnsi" w:cstheme="minorHAnsi"/>
                <w:i/>
                <w:sz w:val="22"/>
                <w:szCs w:val="22"/>
              </w:rPr>
              <w:t>ractures</w:t>
            </w:r>
            <w:proofErr w:type="spellEnd"/>
            <w:r w:rsidRPr="00661BCF">
              <w:rPr>
                <w:rFonts w:asciiTheme="minorHAnsi" w:hAnsiTheme="minorHAnsi" w:cstheme="minorHAnsi"/>
                <w:i/>
                <w:sz w:val="22"/>
                <w:szCs w:val="22"/>
              </w:rPr>
              <w:t>) occur annually in the UK, with a cost (including medical and social care) amounting to around £2 billion a year.”</w:t>
            </w:r>
          </w:p>
          <w:p w14:paraId="78E587C0" w14:textId="77777777" w:rsidR="00CE6EED" w:rsidRPr="00661BCF" w:rsidRDefault="00CE6EED" w:rsidP="00CE6EED">
            <w:pPr>
              <w:rPr>
                <w:rFonts w:asciiTheme="minorHAnsi" w:hAnsiTheme="minorHAnsi" w:cstheme="minorHAnsi"/>
                <w:sz w:val="22"/>
                <w:szCs w:val="22"/>
              </w:rPr>
            </w:pPr>
            <w:r w:rsidRPr="00661BCF">
              <w:rPr>
                <w:rFonts w:asciiTheme="minorHAnsi" w:hAnsiTheme="minorHAnsi" w:cstheme="minorHAnsi"/>
                <w:sz w:val="22"/>
                <w:szCs w:val="22"/>
              </w:rPr>
              <w:t>However, since then CG124 has been updated to state:</w:t>
            </w:r>
          </w:p>
          <w:p w14:paraId="1895D5FA" w14:textId="77777777" w:rsidR="00CE6EED" w:rsidRPr="00661BCF" w:rsidRDefault="00CE6EED" w:rsidP="00CE6EED">
            <w:pPr>
              <w:ind w:left="720"/>
              <w:rPr>
                <w:rFonts w:asciiTheme="minorHAnsi" w:hAnsiTheme="minorHAnsi" w:cstheme="minorHAnsi"/>
                <w:i/>
                <w:sz w:val="22"/>
                <w:szCs w:val="22"/>
              </w:rPr>
            </w:pPr>
            <w:r w:rsidRPr="00661BCF">
              <w:rPr>
                <w:rFonts w:asciiTheme="minorHAnsi" w:hAnsiTheme="minorHAnsi" w:cstheme="minorHAnsi"/>
                <w:i/>
                <w:sz w:val="22"/>
                <w:szCs w:val="22"/>
              </w:rPr>
              <w:t>“About 65,000 hip fractures occur each year and the annual cost (not including the considerable cost of social care) for all UK hip fracture cases is about £1 billion.”</w:t>
            </w:r>
          </w:p>
          <w:p w14:paraId="4658A282" w14:textId="77777777" w:rsidR="00CE6EED" w:rsidRPr="00661BCF" w:rsidRDefault="00CE6EED" w:rsidP="00CE6EED">
            <w:pPr>
              <w:spacing w:before="240"/>
              <w:rPr>
                <w:rFonts w:asciiTheme="minorHAnsi" w:hAnsiTheme="minorHAnsi" w:cstheme="minorHAnsi"/>
                <w:sz w:val="22"/>
                <w:szCs w:val="22"/>
              </w:rPr>
            </w:pPr>
          </w:p>
        </w:tc>
      </w:tr>
      <w:tr w:rsidR="00CE6EED" w:rsidRPr="00661BCF" w14:paraId="38AC7035" w14:textId="77777777" w:rsidTr="00CE6EED">
        <w:tc>
          <w:tcPr>
            <w:tcW w:w="3114" w:type="dxa"/>
          </w:tcPr>
          <w:p w14:paraId="5B778B31" w14:textId="52683186"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lastRenderedPageBreak/>
              <w:t>Data source</w:t>
            </w:r>
          </w:p>
        </w:tc>
        <w:tc>
          <w:tcPr>
            <w:tcW w:w="6740" w:type="dxa"/>
          </w:tcPr>
          <w:p w14:paraId="1423B391" w14:textId="0240B05C"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 xml:space="preserve">  Hospital Episodes Statistics (HES), NHAIS (Exeter) GP population data and Office for National Statistics (ONS) mid-year England population estimates for the respective calendar years.</w:t>
            </w:r>
          </w:p>
        </w:tc>
      </w:tr>
      <w:tr w:rsidR="00CE6EED" w:rsidRPr="00661BCF" w14:paraId="43876552" w14:textId="77777777" w:rsidTr="00CE6EED">
        <w:tc>
          <w:tcPr>
            <w:tcW w:w="3114" w:type="dxa"/>
          </w:tcPr>
          <w:p w14:paraId="532535FA" w14:textId="3C46CDBC"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Justification of source and others considered</w:t>
            </w:r>
          </w:p>
        </w:tc>
        <w:tc>
          <w:tcPr>
            <w:tcW w:w="6740" w:type="dxa"/>
          </w:tcPr>
          <w:p w14:paraId="5594AB95" w14:textId="77777777" w:rsidR="00CE6EED" w:rsidRPr="00661BCF" w:rsidRDefault="00CE6EED" w:rsidP="00CE6EED">
            <w:pPr>
              <w:spacing w:before="240"/>
              <w:rPr>
                <w:rFonts w:asciiTheme="minorHAnsi" w:hAnsiTheme="minorHAnsi" w:cstheme="minorHAnsi"/>
                <w:sz w:val="22"/>
                <w:szCs w:val="22"/>
              </w:rPr>
            </w:pPr>
          </w:p>
        </w:tc>
      </w:tr>
      <w:tr w:rsidR="00CE6EED" w:rsidRPr="00661BCF" w14:paraId="1435771D" w14:textId="77777777" w:rsidTr="00CE6EED">
        <w:tc>
          <w:tcPr>
            <w:tcW w:w="3114" w:type="dxa"/>
          </w:tcPr>
          <w:p w14:paraId="76F35817" w14:textId="62274A02"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Data availability</w:t>
            </w:r>
          </w:p>
        </w:tc>
        <w:tc>
          <w:tcPr>
            <w:tcW w:w="6740" w:type="dxa"/>
          </w:tcPr>
          <w:p w14:paraId="70875E31" w14:textId="184F0A9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The underlying data required for the construction of the indicator are available on a monthly basis around 4 – 5 months after the start of the month in which the attendance took place. The full year annual data refresh occurs around 8 months after the financial year end.</w:t>
            </w:r>
          </w:p>
        </w:tc>
      </w:tr>
      <w:tr w:rsidR="00CE6EED" w:rsidRPr="00661BCF" w14:paraId="2F286DB8" w14:textId="77777777" w:rsidTr="00CE6EED">
        <w:tc>
          <w:tcPr>
            <w:tcW w:w="3114" w:type="dxa"/>
          </w:tcPr>
          <w:p w14:paraId="42F923E8" w14:textId="3D05F2A7"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Data quality</w:t>
            </w:r>
          </w:p>
        </w:tc>
        <w:tc>
          <w:tcPr>
            <w:tcW w:w="6740" w:type="dxa"/>
          </w:tcPr>
          <w:p w14:paraId="283ABD19" w14:textId="77777777"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 xml:space="preserve"> </w:t>
            </w:r>
            <w:proofErr w:type="spellStart"/>
            <w:r w:rsidRPr="00661BCF">
              <w:rPr>
                <w:rFonts w:asciiTheme="minorHAnsi" w:hAnsiTheme="minorHAnsi" w:cstheme="minorHAnsi"/>
                <w:b/>
                <w:sz w:val="22"/>
                <w:szCs w:val="22"/>
              </w:rPr>
              <w:t>i</w:t>
            </w:r>
            <w:proofErr w:type="spellEnd"/>
            <w:r w:rsidRPr="00661BCF">
              <w:rPr>
                <w:rFonts w:asciiTheme="minorHAnsi" w:hAnsiTheme="minorHAnsi" w:cstheme="minorHAnsi"/>
                <w:b/>
                <w:sz w:val="22"/>
                <w:szCs w:val="22"/>
              </w:rPr>
              <w:t>) What data quality checks are relevant to this indicator?</w:t>
            </w:r>
          </w:p>
          <w:p w14:paraId="7075260C" w14:textId="77777777" w:rsidR="00CE6EED" w:rsidRPr="00661BCF" w:rsidRDefault="00CE6EED" w:rsidP="00CE6EED">
            <w:pPr>
              <w:spacing w:before="240"/>
              <w:rPr>
                <w:rFonts w:asciiTheme="minorHAnsi" w:hAnsiTheme="minorHAnsi" w:cstheme="minorHAnsi"/>
              </w:rPr>
            </w:pPr>
            <w:r w:rsidRPr="00661BCF">
              <w:rPr>
                <w:rFonts w:asciiTheme="minorHAnsi" w:hAnsiTheme="minorHAnsi" w:cstheme="minorHAnsi"/>
                <w:b/>
                <w:sz w:val="22"/>
                <w:szCs w:val="22"/>
              </w:rPr>
              <w:t>Coverage</w:t>
            </w:r>
            <w:r w:rsidRPr="00661BCF">
              <w:rPr>
                <w:rFonts w:asciiTheme="minorHAnsi" w:hAnsiTheme="minorHAnsi" w:cstheme="minorHAnsi"/>
              </w:rPr>
              <w:t xml:space="preserve"> </w:t>
            </w:r>
            <w:sdt>
              <w:sdtPr>
                <w:rPr>
                  <w:rFonts w:asciiTheme="minorHAnsi" w:hAnsiTheme="minorHAnsi" w:cstheme="minorHAnsi"/>
                </w:rPr>
                <w:id w:val="-1734614186"/>
                <w14:checkbox>
                  <w14:checked w14:val="0"/>
                  <w14:checkedState w14:val="2612" w14:font="MS Gothic"/>
                  <w14:uncheckedState w14:val="2610" w14:font="MS Gothic"/>
                </w14:checkbox>
              </w:sdtPr>
              <w:sdtEndPr/>
              <w:sdtContent>
                <w:r w:rsidRPr="00661BCF">
                  <w:rPr>
                    <w:rFonts w:ascii="Segoe UI Symbol" w:eastAsia="MS Gothic" w:hAnsi="Segoe UI Symbol" w:cs="Segoe UI Symbol"/>
                  </w:rPr>
                  <w:t>☐</w:t>
                </w:r>
              </w:sdtContent>
            </w:sdt>
            <w:r w:rsidRPr="00661BCF">
              <w:rPr>
                <w:rFonts w:asciiTheme="minorHAnsi" w:hAnsiTheme="minorHAnsi" w:cstheme="minorHAnsi"/>
              </w:rPr>
              <w:t xml:space="preserve"> </w:t>
            </w:r>
          </w:p>
          <w:p w14:paraId="59417C84" w14:textId="77777777" w:rsidR="00CE6EED" w:rsidRPr="00661BCF" w:rsidRDefault="00CE6EED" w:rsidP="00CE6EED">
            <w:pPr>
              <w:spacing w:before="240"/>
              <w:rPr>
                <w:rFonts w:asciiTheme="minorHAnsi" w:hAnsiTheme="minorHAnsi" w:cstheme="minorHAnsi"/>
                <w:sz w:val="20"/>
              </w:rPr>
            </w:pPr>
            <w:r w:rsidRPr="00661BCF">
              <w:rPr>
                <w:rFonts w:asciiTheme="minorHAnsi" w:hAnsiTheme="minorHAnsi" w:cstheme="minorHAnsi"/>
                <w:b/>
                <w:sz w:val="22"/>
                <w:szCs w:val="22"/>
              </w:rPr>
              <w:t>Completeness</w:t>
            </w:r>
            <w:r w:rsidRPr="00661BCF">
              <w:rPr>
                <w:rFonts w:asciiTheme="minorHAnsi" w:hAnsiTheme="minorHAnsi" w:cstheme="minorHAnsi"/>
              </w:rPr>
              <w:t xml:space="preserve"> </w:t>
            </w:r>
            <w:sdt>
              <w:sdtPr>
                <w:rPr>
                  <w:rFonts w:asciiTheme="minorHAnsi" w:hAnsiTheme="minorHAnsi" w:cstheme="minorHAnsi"/>
                </w:rPr>
                <w:id w:val="-1726368152"/>
                <w14:checkbox>
                  <w14:checked w14:val="0"/>
                  <w14:checkedState w14:val="2612" w14:font="MS Gothic"/>
                  <w14:uncheckedState w14:val="2610" w14:font="MS Gothic"/>
                </w14:checkbox>
              </w:sdtPr>
              <w:sdtEndPr/>
              <w:sdtContent>
                <w:r w:rsidRPr="00661BCF">
                  <w:rPr>
                    <w:rFonts w:ascii="Segoe UI Symbol" w:eastAsia="MS Gothic" w:hAnsi="Segoe UI Symbol" w:cs="Segoe UI Symbol"/>
                  </w:rPr>
                  <w:t>☐</w:t>
                </w:r>
              </w:sdtContent>
            </w:sdt>
            <w:r w:rsidRPr="00661BCF">
              <w:rPr>
                <w:rFonts w:asciiTheme="minorHAnsi" w:hAnsiTheme="minorHAnsi" w:cstheme="minorHAnsi"/>
              </w:rPr>
              <w:t xml:space="preserve"> </w:t>
            </w:r>
            <w:r w:rsidRPr="00661BCF">
              <w:rPr>
                <w:rFonts w:asciiTheme="minorHAnsi" w:hAnsiTheme="minorHAnsi" w:cstheme="minorHAnsi"/>
                <w:b/>
                <w:sz w:val="22"/>
                <w:szCs w:val="22"/>
              </w:rPr>
              <w:t>Validity</w:t>
            </w:r>
            <w:r w:rsidRPr="00661BCF">
              <w:rPr>
                <w:rFonts w:asciiTheme="minorHAnsi" w:hAnsiTheme="minorHAnsi" w:cstheme="minorHAnsi"/>
                <w:szCs w:val="20"/>
              </w:rPr>
              <w:t xml:space="preserve"> </w:t>
            </w:r>
            <w:sdt>
              <w:sdtPr>
                <w:rPr>
                  <w:rFonts w:asciiTheme="minorHAnsi" w:hAnsiTheme="minorHAnsi" w:cstheme="minorHAnsi"/>
                  <w:szCs w:val="20"/>
                </w:rPr>
                <w:id w:val="325330801"/>
                <w14:checkbox>
                  <w14:checked w14:val="0"/>
                  <w14:checkedState w14:val="2612" w14:font="MS Gothic"/>
                  <w14:uncheckedState w14:val="2610" w14:font="MS Gothic"/>
                </w14:checkbox>
              </w:sdtPr>
              <w:sdtEndPr/>
              <w:sdtContent>
                <w:r w:rsidRPr="00661BCF">
                  <w:rPr>
                    <w:rFonts w:ascii="Segoe UI Symbol" w:eastAsia="MS Gothic" w:hAnsi="Segoe UI Symbol" w:cs="Segoe UI Symbol"/>
                    <w:szCs w:val="20"/>
                  </w:rPr>
                  <w:t>☐</w:t>
                </w:r>
              </w:sdtContent>
            </w:sdt>
            <w:r w:rsidRPr="00661BCF">
              <w:rPr>
                <w:rFonts w:asciiTheme="minorHAnsi" w:hAnsiTheme="minorHAnsi" w:cstheme="minorHAnsi"/>
              </w:rPr>
              <w:t xml:space="preserve"> </w:t>
            </w:r>
          </w:p>
          <w:p w14:paraId="4052ABFF" w14:textId="77777777" w:rsidR="00CE6EED" w:rsidRPr="00661BCF" w:rsidRDefault="00CE6EED" w:rsidP="00CE6EED">
            <w:pPr>
              <w:spacing w:before="240"/>
              <w:rPr>
                <w:rFonts w:asciiTheme="minorHAnsi" w:hAnsiTheme="minorHAnsi" w:cstheme="minorHAnsi"/>
                <w:sz w:val="20"/>
              </w:rPr>
            </w:pPr>
            <w:r w:rsidRPr="00661BCF">
              <w:rPr>
                <w:rFonts w:asciiTheme="minorHAnsi" w:hAnsiTheme="minorHAnsi" w:cstheme="minorHAnsi"/>
                <w:b/>
                <w:sz w:val="22"/>
                <w:szCs w:val="22"/>
              </w:rPr>
              <w:t>Default</w:t>
            </w:r>
            <w:r w:rsidRPr="00661BCF">
              <w:rPr>
                <w:rFonts w:asciiTheme="minorHAnsi" w:hAnsiTheme="minorHAnsi" w:cstheme="minorHAnsi"/>
              </w:rPr>
              <w:t xml:space="preserve"> </w:t>
            </w:r>
            <w:sdt>
              <w:sdtPr>
                <w:rPr>
                  <w:rFonts w:asciiTheme="minorHAnsi" w:hAnsiTheme="minorHAnsi" w:cstheme="minorHAnsi"/>
                </w:rPr>
                <w:id w:val="1614473230"/>
                <w14:checkbox>
                  <w14:checked w14:val="0"/>
                  <w14:checkedState w14:val="2612" w14:font="MS Gothic"/>
                  <w14:uncheckedState w14:val="2610" w14:font="MS Gothic"/>
                </w14:checkbox>
              </w:sdtPr>
              <w:sdtEndPr/>
              <w:sdtContent>
                <w:r w:rsidRPr="00661BCF">
                  <w:rPr>
                    <w:rFonts w:ascii="Segoe UI Symbol" w:eastAsia="MS Gothic" w:hAnsi="Segoe UI Symbol" w:cs="Segoe UI Symbol"/>
                  </w:rPr>
                  <w:t>☐</w:t>
                </w:r>
              </w:sdtContent>
            </w:sdt>
            <w:r w:rsidRPr="00661BCF">
              <w:rPr>
                <w:rFonts w:asciiTheme="minorHAnsi" w:hAnsiTheme="minorHAnsi" w:cstheme="minorHAnsi"/>
              </w:rPr>
              <w:t xml:space="preserve"> </w:t>
            </w:r>
          </w:p>
          <w:p w14:paraId="6AE35B0A" w14:textId="3E9D1986"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b/>
                <w:sz w:val="22"/>
                <w:szCs w:val="22"/>
              </w:rPr>
              <w:t>Integrity</w:t>
            </w:r>
            <w:r w:rsidRPr="00661BCF">
              <w:rPr>
                <w:rFonts w:asciiTheme="minorHAnsi" w:hAnsiTheme="minorHAnsi" w:cstheme="minorHAnsi"/>
              </w:rPr>
              <w:t xml:space="preserve"> </w:t>
            </w:r>
            <w:sdt>
              <w:sdtPr>
                <w:rPr>
                  <w:rFonts w:asciiTheme="minorHAnsi" w:hAnsiTheme="minorHAnsi" w:cstheme="minorHAnsi"/>
                </w:rPr>
                <w:id w:val="-1098483664"/>
                <w14:checkbox>
                  <w14:checked w14:val="0"/>
                  <w14:checkedState w14:val="2612" w14:font="MS Gothic"/>
                  <w14:uncheckedState w14:val="2610" w14:font="MS Gothic"/>
                </w14:checkbox>
              </w:sdtPr>
              <w:sdtEndPr/>
              <w:sdtContent>
                <w:r w:rsidRPr="00661BCF">
                  <w:rPr>
                    <w:rFonts w:ascii="Segoe UI Symbol" w:eastAsia="MS Gothic" w:hAnsi="Segoe UI Symbol" w:cs="Segoe UI Symbol"/>
                  </w:rPr>
                  <w:t>☐</w:t>
                </w:r>
              </w:sdtContent>
            </w:sdt>
            <w:r w:rsidRPr="00661BCF">
              <w:rPr>
                <w:rFonts w:asciiTheme="minorHAnsi" w:hAnsiTheme="minorHAnsi" w:cstheme="minorHAnsi"/>
              </w:rPr>
              <w:t xml:space="preserve"> </w:t>
            </w:r>
            <w:r w:rsidRPr="00661BCF">
              <w:rPr>
                <w:rFonts w:asciiTheme="minorHAnsi" w:hAnsiTheme="minorHAnsi" w:cstheme="minorHAnsi"/>
                <w:b/>
                <w:sz w:val="22"/>
                <w:szCs w:val="22"/>
              </w:rPr>
              <w:t>Timeliness</w:t>
            </w:r>
            <w:r w:rsidRPr="00661BCF">
              <w:rPr>
                <w:rFonts w:asciiTheme="minorHAnsi" w:hAnsiTheme="minorHAnsi" w:cstheme="minorHAnsi"/>
                <w:sz w:val="22"/>
                <w:szCs w:val="22"/>
              </w:rPr>
              <w:t xml:space="preserve"> </w:t>
            </w:r>
            <w:sdt>
              <w:sdtPr>
                <w:rPr>
                  <w:rFonts w:asciiTheme="minorHAnsi" w:hAnsiTheme="minorHAnsi" w:cstheme="minorHAnsi"/>
                  <w:sz w:val="22"/>
                  <w:szCs w:val="22"/>
                </w:rPr>
                <w:id w:val="1086498859"/>
                <w14:checkbox>
                  <w14:checked w14:val="0"/>
                  <w14:checkedState w14:val="2612" w14:font="MS Gothic"/>
                  <w14:uncheckedState w14:val="2610" w14:font="MS Gothic"/>
                </w14:checkbox>
              </w:sdtPr>
              <w:sdtEndPr/>
              <w:sdtContent>
                <w:r w:rsidRPr="00661BCF">
                  <w:rPr>
                    <w:rFonts w:ascii="Segoe UI Symbol" w:eastAsia="MS Gothic" w:hAnsi="Segoe UI Symbol" w:cs="Segoe UI Symbol"/>
                    <w:sz w:val="22"/>
                    <w:szCs w:val="22"/>
                  </w:rPr>
                  <w:t>☐</w:t>
                </w:r>
              </w:sdtContent>
            </w:sdt>
            <w:r w:rsidRPr="00661BCF">
              <w:rPr>
                <w:rFonts w:asciiTheme="minorHAnsi" w:hAnsiTheme="minorHAnsi" w:cstheme="minorHAnsi"/>
              </w:rPr>
              <w:t xml:space="preserve"> </w:t>
            </w:r>
            <w:r w:rsidRPr="00661BCF">
              <w:rPr>
                <w:rFonts w:asciiTheme="minorHAnsi" w:hAnsiTheme="minorHAnsi" w:cstheme="minorHAnsi"/>
                <w:b/>
                <w:sz w:val="22"/>
                <w:szCs w:val="22"/>
              </w:rPr>
              <w:t>Other</w:t>
            </w:r>
            <w:r w:rsidRPr="00661BCF">
              <w:rPr>
                <w:rFonts w:asciiTheme="minorHAnsi" w:hAnsiTheme="minorHAnsi" w:cstheme="minorHAnsi"/>
                <w:szCs w:val="20"/>
              </w:rPr>
              <w:t xml:space="preserve"> </w:t>
            </w:r>
            <w:sdt>
              <w:sdtPr>
                <w:rPr>
                  <w:rFonts w:asciiTheme="minorHAnsi" w:hAnsiTheme="minorHAnsi" w:cstheme="minorHAnsi"/>
                  <w:szCs w:val="20"/>
                </w:rPr>
                <w:id w:val="1928450506"/>
                <w14:checkbox>
                  <w14:checked w14:val="0"/>
                  <w14:checkedState w14:val="2612" w14:font="MS Gothic"/>
                  <w14:uncheckedState w14:val="2610" w14:font="MS Gothic"/>
                </w14:checkbox>
              </w:sdtPr>
              <w:sdtEndPr/>
              <w:sdtContent>
                <w:r w:rsidRPr="00661BCF">
                  <w:rPr>
                    <w:rFonts w:ascii="Segoe UI Symbol" w:eastAsia="MS Gothic" w:hAnsi="Segoe UI Symbol" w:cs="Segoe UI Symbol"/>
                    <w:szCs w:val="20"/>
                  </w:rPr>
                  <w:t>☐</w:t>
                </w:r>
              </w:sdtContent>
            </w:sdt>
          </w:p>
        </w:tc>
      </w:tr>
      <w:tr w:rsidR="00CE6EED" w:rsidRPr="00661BCF" w14:paraId="259FED84" w14:textId="77777777" w:rsidTr="00CE6EED">
        <w:tc>
          <w:tcPr>
            <w:tcW w:w="3114" w:type="dxa"/>
          </w:tcPr>
          <w:p w14:paraId="6F8CAD92" w14:textId="767E793F"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Data quality</w:t>
            </w:r>
          </w:p>
        </w:tc>
        <w:tc>
          <w:tcPr>
            <w:tcW w:w="6740" w:type="dxa"/>
          </w:tcPr>
          <w:p w14:paraId="03679DA7" w14:textId="77777777"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b/>
                <w:sz w:val="22"/>
                <w:szCs w:val="22"/>
              </w:rPr>
              <w:t xml:space="preserve">If you included ‘Other’ as a data quality check, please describe the check, how it will be measured, and its reason for use below: </w:t>
            </w:r>
          </w:p>
          <w:p w14:paraId="02EBA830" w14:textId="3917B8BB"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fldChar w:fldCharType="begin">
                <w:ffData>
                  <w:name w:val="Text5"/>
                  <w:enabled/>
                  <w:calcOnExit w:val="0"/>
                  <w:textInput/>
                </w:ffData>
              </w:fldChar>
            </w:r>
            <w:r w:rsidRPr="00661BCF">
              <w:rPr>
                <w:rFonts w:asciiTheme="minorHAnsi" w:hAnsiTheme="minorHAnsi" w:cstheme="minorHAnsi"/>
                <w:b/>
                <w:sz w:val="22"/>
                <w:szCs w:val="22"/>
              </w:rPr>
              <w:instrText xml:space="preserve"> FORMTEXT </w:instrText>
            </w:r>
            <w:r w:rsidRPr="00661BCF">
              <w:rPr>
                <w:rFonts w:asciiTheme="minorHAnsi" w:hAnsiTheme="minorHAnsi" w:cstheme="minorHAnsi"/>
                <w:b/>
                <w:sz w:val="22"/>
                <w:szCs w:val="22"/>
              </w:rPr>
            </w:r>
            <w:r w:rsidRPr="00661BCF">
              <w:rPr>
                <w:rFonts w:asciiTheme="minorHAnsi" w:hAnsiTheme="minorHAnsi" w:cstheme="minorHAnsi"/>
                <w:b/>
                <w:sz w:val="22"/>
                <w:szCs w:val="22"/>
              </w:rPr>
              <w:fldChar w:fldCharType="separate"/>
            </w:r>
            <w:r w:rsidRPr="00661BCF">
              <w:rPr>
                <w:rFonts w:asciiTheme="minorHAnsi" w:hAnsiTheme="minorHAnsi" w:cstheme="minorHAnsi"/>
                <w:b/>
                <w:sz w:val="22"/>
                <w:szCs w:val="22"/>
              </w:rPr>
              <w:t> </w:t>
            </w:r>
            <w:r w:rsidRPr="00661BCF">
              <w:rPr>
                <w:rFonts w:asciiTheme="minorHAnsi" w:hAnsiTheme="minorHAnsi" w:cstheme="minorHAnsi"/>
                <w:b/>
                <w:sz w:val="22"/>
                <w:szCs w:val="22"/>
              </w:rPr>
              <w:t> </w:t>
            </w:r>
            <w:r w:rsidRPr="00661BCF">
              <w:rPr>
                <w:rFonts w:asciiTheme="minorHAnsi" w:hAnsiTheme="minorHAnsi" w:cstheme="minorHAnsi"/>
                <w:b/>
                <w:sz w:val="22"/>
                <w:szCs w:val="22"/>
              </w:rPr>
              <w:t> </w:t>
            </w:r>
            <w:r w:rsidRPr="00661BCF">
              <w:rPr>
                <w:rFonts w:asciiTheme="minorHAnsi" w:hAnsiTheme="minorHAnsi" w:cstheme="minorHAnsi"/>
                <w:b/>
                <w:sz w:val="22"/>
                <w:szCs w:val="22"/>
              </w:rPr>
              <w:t> </w:t>
            </w:r>
            <w:r w:rsidRPr="00661BCF">
              <w:rPr>
                <w:rFonts w:asciiTheme="minorHAnsi" w:hAnsiTheme="minorHAnsi" w:cstheme="minorHAnsi"/>
                <w:b/>
                <w:sz w:val="22"/>
                <w:szCs w:val="22"/>
              </w:rPr>
              <w:t> </w:t>
            </w:r>
            <w:r w:rsidRPr="00661BCF">
              <w:rPr>
                <w:rFonts w:asciiTheme="minorHAnsi" w:hAnsiTheme="minorHAnsi" w:cstheme="minorHAnsi"/>
                <w:b/>
                <w:sz w:val="22"/>
                <w:szCs w:val="22"/>
              </w:rPr>
              <w:fldChar w:fldCharType="end"/>
            </w:r>
            <w:r w:rsidRPr="00661BCF">
              <w:rPr>
                <w:rFonts w:asciiTheme="minorHAnsi" w:hAnsiTheme="minorHAnsi" w:cstheme="minorHAnsi"/>
                <w:b/>
                <w:sz w:val="22"/>
                <w:szCs w:val="22"/>
              </w:rPr>
              <w:t xml:space="preserve">                                                                                                   </w:t>
            </w:r>
          </w:p>
        </w:tc>
      </w:tr>
      <w:tr w:rsidR="00CE6EED" w:rsidRPr="00661BCF" w14:paraId="644A7643" w14:textId="77777777" w:rsidTr="00CE6EED">
        <w:tc>
          <w:tcPr>
            <w:tcW w:w="3114" w:type="dxa"/>
          </w:tcPr>
          <w:p w14:paraId="4D286723" w14:textId="6CFE5FB8"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Data quality</w:t>
            </w:r>
          </w:p>
        </w:tc>
        <w:tc>
          <w:tcPr>
            <w:tcW w:w="6740" w:type="dxa"/>
          </w:tcPr>
          <w:p w14:paraId="17A7D164" w14:textId="77777777" w:rsidR="00CE6EED" w:rsidRPr="00661BCF" w:rsidRDefault="00CE6EED" w:rsidP="00CE6EED">
            <w:pPr>
              <w:textboxTightWrap w:val="allLines"/>
              <w:rPr>
                <w:rFonts w:asciiTheme="minorHAnsi" w:hAnsiTheme="minorHAnsi" w:cstheme="minorHAnsi"/>
                <w:sz w:val="20"/>
              </w:rPr>
            </w:pPr>
            <w:r w:rsidRPr="00661BCF">
              <w:rPr>
                <w:rFonts w:asciiTheme="minorHAnsi" w:hAnsiTheme="minorHAnsi" w:cstheme="minorHAnsi"/>
                <w:b/>
                <w:sz w:val="22"/>
                <w:szCs w:val="22"/>
              </w:rPr>
              <w:t xml:space="preserve">ii)  What are the current values for the data quality checks selected? </w:t>
            </w:r>
            <w:r w:rsidRPr="00661BCF">
              <w:rPr>
                <w:rFonts w:asciiTheme="minorHAnsi" w:hAnsiTheme="minorHAnsi" w:cstheme="minorHAnsi"/>
                <w:sz w:val="20"/>
              </w:rPr>
              <w:t xml:space="preserve">The period of data the current values are calculated from </w:t>
            </w:r>
            <w:r w:rsidRPr="00661BCF">
              <w:rPr>
                <w:rFonts w:asciiTheme="minorHAnsi" w:hAnsiTheme="minorHAnsi" w:cstheme="minorHAnsi"/>
                <w:sz w:val="20"/>
              </w:rPr>
              <w:lastRenderedPageBreak/>
              <w:t xml:space="preserve">should be stated. Current values should be recorded as a percentage and calculated as described below. </w:t>
            </w:r>
          </w:p>
          <w:p w14:paraId="1C18B622" w14:textId="77777777" w:rsidR="00CE6EED" w:rsidRPr="00661BCF" w:rsidRDefault="00CE6EED" w:rsidP="00CE6EED">
            <w:pPr>
              <w:textboxTightWrap w:val="allLines"/>
              <w:rPr>
                <w:rFonts w:asciiTheme="minorHAnsi" w:hAnsiTheme="minorHAnsi" w:cstheme="minorHAnsi"/>
                <w:b/>
                <w:sz w:val="20"/>
              </w:rPr>
            </w:pPr>
            <w:r w:rsidRPr="00661BCF">
              <w:rPr>
                <w:rFonts w:asciiTheme="minorHAnsi" w:hAnsiTheme="minorHAnsi" w:cstheme="minorHAnsi"/>
                <w:b/>
                <w:sz w:val="22"/>
              </w:rPr>
              <w:t>Period of data:</w:t>
            </w:r>
            <w:r w:rsidRPr="00661BCF">
              <w:rPr>
                <w:rFonts w:asciiTheme="minorHAnsi" w:hAnsiTheme="minorHAnsi" w:cstheme="minorHAnsi"/>
                <w:b/>
                <w:sz w:val="20"/>
              </w:rPr>
              <w:t xml:space="preserve">                    </w:t>
            </w:r>
          </w:p>
          <w:p w14:paraId="7B0FF0CB" w14:textId="77777777"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b/>
                <w:sz w:val="22"/>
                <w:szCs w:val="22"/>
              </w:rPr>
              <w:t xml:space="preserve">Coverage:           </w:t>
            </w:r>
          </w:p>
          <w:p w14:paraId="2D958FA9" w14:textId="77777777" w:rsidR="00CE6EED" w:rsidRPr="00661BCF" w:rsidRDefault="00CE6EED" w:rsidP="00CE6EED">
            <w:pPr>
              <w:spacing w:after="0"/>
              <w:textboxTightWrap w:val="allLines"/>
              <w:rPr>
                <w:rFonts w:asciiTheme="minorHAnsi" w:hAnsiTheme="minorHAnsi" w:cstheme="minorHAnsi"/>
                <w:b/>
                <w:sz w:val="22"/>
                <w:szCs w:val="22"/>
                <w:lang w:eastAsia="en-GB"/>
              </w:rPr>
            </w:pPr>
            <w:r w:rsidRPr="00661BCF">
              <w:rPr>
                <w:rFonts w:asciiTheme="minorHAnsi" w:hAnsiTheme="minorHAnsi" w:cstheme="minorHAnsi"/>
                <w:b/>
                <w:sz w:val="20"/>
              </w:rPr>
              <w:t xml:space="preserve">Calculation:        </w:t>
            </w:r>
          </w:p>
          <w:p w14:paraId="5DB5203B"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Completeness:</w:t>
            </w:r>
            <w:r w:rsidRPr="00661BCF">
              <w:rPr>
                <w:rFonts w:asciiTheme="minorHAnsi" w:hAnsiTheme="minorHAnsi" w:cstheme="minorHAnsi"/>
              </w:rPr>
              <w:t xml:space="preserve">          </w:t>
            </w:r>
          </w:p>
          <w:p w14:paraId="08A26F79" w14:textId="77777777" w:rsidR="00CE6EED" w:rsidRPr="00661BCF" w:rsidRDefault="00CE6EED" w:rsidP="00CE6EED">
            <w:pPr>
              <w:spacing w:after="0"/>
              <w:textboxTightWrap w:val="allLines"/>
              <w:rPr>
                <w:rFonts w:asciiTheme="minorHAnsi" w:hAnsiTheme="minorHAnsi" w:cstheme="minorHAnsi"/>
              </w:rPr>
            </w:pPr>
            <w:r w:rsidRPr="00661BCF">
              <w:rPr>
                <w:rFonts w:asciiTheme="minorHAnsi" w:hAnsiTheme="minorHAnsi" w:cstheme="minorHAnsi"/>
                <w:b/>
                <w:sz w:val="20"/>
              </w:rPr>
              <w:t xml:space="preserve">Calculation:             </w:t>
            </w:r>
          </w:p>
          <w:p w14:paraId="5A9B27FB"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Validity:</w:t>
            </w:r>
            <w:r w:rsidRPr="00661BCF">
              <w:rPr>
                <w:rFonts w:asciiTheme="minorHAnsi" w:hAnsiTheme="minorHAnsi" w:cstheme="minorHAnsi"/>
              </w:rPr>
              <w:t xml:space="preserve">         </w:t>
            </w:r>
          </w:p>
          <w:p w14:paraId="0D59BCC7" w14:textId="77777777" w:rsidR="00CE6EED" w:rsidRPr="00661BCF" w:rsidRDefault="00CE6EED" w:rsidP="00CE6EED">
            <w:pPr>
              <w:spacing w:after="0"/>
              <w:textboxTightWrap w:val="allLines"/>
              <w:rPr>
                <w:rFonts w:asciiTheme="minorHAnsi" w:hAnsiTheme="minorHAnsi" w:cstheme="minorHAnsi"/>
                <w:sz w:val="20"/>
              </w:rPr>
            </w:pPr>
            <w:r w:rsidRPr="00661BCF">
              <w:rPr>
                <w:rFonts w:asciiTheme="minorHAnsi" w:hAnsiTheme="minorHAnsi" w:cstheme="minorHAnsi"/>
                <w:b/>
                <w:sz w:val="20"/>
              </w:rPr>
              <w:t xml:space="preserve">Calculation:    </w:t>
            </w:r>
          </w:p>
          <w:p w14:paraId="46ABC3AF"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Default:</w:t>
            </w:r>
            <w:r w:rsidRPr="00661BCF">
              <w:rPr>
                <w:rFonts w:asciiTheme="minorHAnsi" w:hAnsiTheme="minorHAnsi" w:cstheme="minorHAnsi"/>
              </w:rPr>
              <w:t xml:space="preserve">         </w:t>
            </w:r>
          </w:p>
          <w:p w14:paraId="467EDC8D" w14:textId="77777777" w:rsidR="00CE6EED" w:rsidRPr="00661BCF" w:rsidRDefault="00CE6EED" w:rsidP="00CE6EED">
            <w:pPr>
              <w:spacing w:after="0"/>
              <w:textboxTightWrap w:val="allLines"/>
              <w:rPr>
                <w:rFonts w:asciiTheme="minorHAnsi" w:hAnsiTheme="minorHAnsi" w:cstheme="minorHAnsi"/>
                <w:sz w:val="20"/>
              </w:rPr>
            </w:pPr>
            <w:r w:rsidRPr="00661BCF">
              <w:rPr>
                <w:rFonts w:asciiTheme="minorHAnsi" w:hAnsiTheme="minorHAnsi" w:cstheme="minorHAnsi"/>
                <w:b/>
                <w:sz w:val="20"/>
              </w:rPr>
              <w:t>Calculation:</w:t>
            </w:r>
            <w:r w:rsidRPr="00661BCF">
              <w:rPr>
                <w:rFonts w:asciiTheme="minorHAnsi" w:hAnsiTheme="minorHAnsi" w:cstheme="minorHAnsi"/>
              </w:rPr>
              <w:t xml:space="preserve">     </w:t>
            </w:r>
          </w:p>
          <w:p w14:paraId="0BDFEE1C"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Integrity:</w:t>
            </w:r>
            <w:r w:rsidRPr="00661BCF">
              <w:rPr>
                <w:rFonts w:asciiTheme="minorHAnsi" w:hAnsiTheme="minorHAnsi" w:cstheme="minorHAnsi"/>
              </w:rPr>
              <w:t xml:space="preserve">         </w:t>
            </w:r>
          </w:p>
          <w:p w14:paraId="28BE5654" w14:textId="77777777" w:rsidR="00CE6EED" w:rsidRPr="00661BCF" w:rsidRDefault="00CE6EED" w:rsidP="00CE6EED">
            <w:pPr>
              <w:spacing w:after="0"/>
              <w:textboxTightWrap w:val="allLines"/>
              <w:rPr>
                <w:rFonts w:asciiTheme="minorHAnsi" w:hAnsiTheme="minorHAnsi" w:cstheme="minorHAnsi"/>
                <w:sz w:val="20"/>
              </w:rPr>
            </w:pPr>
            <w:r w:rsidRPr="00661BCF">
              <w:rPr>
                <w:rFonts w:asciiTheme="minorHAnsi" w:hAnsiTheme="minorHAnsi" w:cstheme="minorHAnsi"/>
                <w:b/>
                <w:sz w:val="20"/>
              </w:rPr>
              <w:t xml:space="preserve">Calculation:       </w:t>
            </w:r>
          </w:p>
          <w:p w14:paraId="2902AA29"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Timeliness:</w:t>
            </w:r>
            <w:r w:rsidRPr="00661BCF">
              <w:rPr>
                <w:rFonts w:asciiTheme="minorHAnsi" w:hAnsiTheme="minorHAnsi" w:cstheme="minorHAnsi"/>
              </w:rPr>
              <w:t xml:space="preserve">         </w:t>
            </w:r>
          </w:p>
          <w:p w14:paraId="6646B1F8"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0"/>
              </w:rPr>
              <w:t xml:space="preserve">Calculation: </w:t>
            </w:r>
          </w:p>
          <w:p w14:paraId="41267772" w14:textId="77777777"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b/>
                <w:sz w:val="22"/>
                <w:szCs w:val="22"/>
              </w:rPr>
              <w:t xml:space="preserve">Other:            </w:t>
            </w:r>
          </w:p>
          <w:p w14:paraId="2209929E" w14:textId="7BC13005"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b/>
                <w:sz w:val="20"/>
              </w:rPr>
              <w:t>Calculation:</w:t>
            </w:r>
          </w:p>
        </w:tc>
      </w:tr>
      <w:tr w:rsidR="00CE6EED" w:rsidRPr="00661BCF" w14:paraId="4D743F2E" w14:textId="77777777" w:rsidTr="00CE6EED">
        <w:tc>
          <w:tcPr>
            <w:tcW w:w="3114" w:type="dxa"/>
          </w:tcPr>
          <w:p w14:paraId="077FD65B" w14:textId="75AAFD2B"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lastRenderedPageBreak/>
              <w:t>Data quality</w:t>
            </w:r>
          </w:p>
        </w:tc>
        <w:tc>
          <w:tcPr>
            <w:tcW w:w="6740" w:type="dxa"/>
          </w:tcPr>
          <w:p w14:paraId="7FA89BDA" w14:textId="77777777" w:rsidR="00CE6EED" w:rsidRPr="00661BCF" w:rsidRDefault="00CE6EED" w:rsidP="00CE6EED">
            <w:pPr>
              <w:textboxTightWrap w:val="allLines"/>
              <w:rPr>
                <w:rFonts w:asciiTheme="minorHAnsi" w:hAnsiTheme="minorHAnsi" w:cstheme="minorHAnsi"/>
                <w:sz w:val="20"/>
              </w:rPr>
            </w:pPr>
            <w:r w:rsidRPr="00661BCF">
              <w:rPr>
                <w:rFonts w:asciiTheme="minorHAnsi" w:hAnsiTheme="minorHAnsi" w:cstheme="minorHAnsi"/>
                <w:b/>
                <w:sz w:val="22"/>
                <w:szCs w:val="22"/>
              </w:rPr>
              <w:t xml:space="preserve">iii) What are the thresholds for the data quality checks selected? </w:t>
            </w:r>
          </w:p>
          <w:p w14:paraId="026FF9BA" w14:textId="77777777"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b/>
                <w:sz w:val="22"/>
                <w:szCs w:val="22"/>
              </w:rPr>
              <w:t xml:space="preserve">Coverage:           </w:t>
            </w:r>
          </w:p>
          <w:p w14:paraId="1CCC0E0B"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Completeness:</w:t>
            </w:r>
            <w:r w:rsidRPr="00661BCF">
              <w:rPr>
                <w:rFonts w:asciiTheme="minorHAnsi" w:hAnsiTheme="minorHAnsi" w:cstheme="minorHAnsi"/>
              </w:rPr>
              <w:t xml:space="preserve">          </w:t>
            </w:r>
          </w:p>
          <w:p w14:paraId="5B437BB0"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Validity:</w:t>
            </w:r>
            <w:r w:rsidRPr="00661BCF">
              <w:rPr>
                <w:rFonts w:asciiTheme="minorHAnsi" w:hAnsiTheme="minorHAnsi" w:cstheme="minorHAnsi"/>
              </w:rPr>
              <w:t xml:space="preserve">         </w:t>
            </w:r>
          </w:p>
          <w:p w14:paraId="46ECE88D"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Default:</w:t>
            </w:r>
            <w:r w:rsidRPr="00661BCF">
              <w:rPr>
                <w:rFonts w:asciiTheme="minorHAnsi" w:hAnsiTheme="minorHAnsi" w:cstheme="minorHAnsi"/>
              </w:rPr>
              <w:t xml:space="preserve">         </w:t>
            </w:r>
          </w:p>
          <w:p w14:paraId="09A24C5B"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Integrity:</w:t>
            </w:r>
            <w:r w:rsidRPr="00661BCF">
              <w:rPr>
                <w:rFonts w:asciiTheme="minorHAnsi" w:hAnsiTheme="minorHAnsi" w:cstheme="minorHAnsi"/>
              </w:rPr>
              <w:t xml:space="preserve">         </w:t>
            </w:r>
          </w:p>
          <w:p w14:paraId="3257FE73"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Timeliness:</w:t>
            </w:r>
            <w:r w:rsidRPr="00661BCF">
              <w:rPr>
                <w:rFonts w:asciiTheme="minorHAnsi" w:hAnsiTheme="minorHAnsi" w:cstheme="minorHAnsi"/>
              </w:rPr>
              <w:t xml:space="preserve">         </w:t>
            </w:r>
          </w:p>
          <w:p w14:paraId="4E4F2611" w14:textId="74C94EE0"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b/>
                <w:sz w:val="22"/>
                <w:szCs w:val="22"/>
              </w:rPr>
              <w:t xml:space="preserve">Other:            </w:t>
            </w:r>
            <w:r w:rsidRPr="00661BCF">
              <w:rPr>
                <w:rFonts w:asciiTheme="minorHAnsi" w:hAnsiTheme="minorHAnsi" w:cstheme="minorHAnsi"/>
                <w:b/>
                <w:sz w:val="20"/>
              </w:rPr>
              <w:t xml:space="preserve"> </w:t>
            </w:r>
          </w:p>
        </w:tc>
      </w:tr>
      <w:tr w:rsidR="00CE6EED" w:rsidRPr="00661BCF" w14:paraId="2A89602F" w14:textId="77777777" w:rsidTr="00CE6EED">
        <w:tc>
          <w:tcPr>
            <w:tcW w:w="3114" w:type="dxa"/>
          </w:tcPr>
          <w:p w14:paraId="283C3338" w14:textId="3BBF470B"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Data quality</w:t>
            </w:r>
          </w:p>
        </w:tc>
        <w:tc>
          <w:tcPr>
            <w:tcW w:w="6740" w:type="dxa"/>
          </w:tcPr>
          <w:p w14:paraId="733BC06A" w14:textId="77777777" w:rsidR="00CE6EED" w:rsidRPr="00661BCF" w:rsidRDefault="00CE6EED" w:rsidP="00CE6EED">
            <w:pPr>
              <w:textboxTightWrap w:val="allLines"/>
              <w:rPr>
                <w:rFonts w:asciiTheme="minorHAnsi" w:hAnsiTheme="minorHAnsi" w:cstheme="minorHAnsi"/>
                <w:sz w:val="20"/>
              </w:rPr>
            </w:pPr>
            <w:r w:rsidRPr="00661BCF">
              <w:rPr>
                <w:rFonts w:asciiTheme="minorHAnsi" w:hAnsiTheme="minorHAnsi" w:cstheme="minorHAnsi"/>
                <w:b/>
                <w:sz w:val="22"/>
                <w:szCs w:val="22"/>
              </w:rPr>
              <w:t xml:space="preserve">iv) What is the rationale for the selection of the data quality checks and thresholds selected above? </w:t>
            </w:r>
          </w:p>
          <w:p w14:paraId="2885A7F6" w14:textId="56519E70"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sz w:val="20"/>
              </w:rPr>
              <w:t xml:space="preserve">                                                                                                                              </w:t>
            </w:r>
          </w:p>
        </w:tc>
      </w:tr>
      <w:tr w:rsidR="00CE6EED" w:rsidRPr="00661BCF" w14:paraId="769E0891" w14:textId="77777777" w:rsidTr="00CE6EED">
        <w:tc>
          <w:tcPr>
            <w:tcW w:w="3114" w:type="dxa"/>
          </w:tcPr>
          <w:p w14:paraId="11749162" w14:textId="3415448B"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Data quality</w:t>
            </w:r>
          </w:p>
        </w:tc>
        <w:tc>
          <w:tcPr>
            <w:tcW w:w="6740" w:type="dxa"/>
          </w:tcPr>
          <w:p w14:paraId="27BB8908" w14:textId="77777777" w:rsidR="00CE6EED" w:rsidRPr="00661BCF" w:rsidRDefault="00CE6EED" w:rsidP="00CE6EED">
            <w:pPr>
              <w:textboxTightWrap w:val="allLines"/>
              <w:rPr>
                <w:rFonts w:asciiTheme="minorHAnsi" w:hAnsiTheme="minorHAnsi" w:cstheme="minorHAnsi"/>
                <w:sz w:val="20"/>
                <w:szCs w:val="22"/>
              </w:rPr>
            </w:pPr>
            <w:r w:rsidRPr="00661BCF">
              <w:rPr>
                <w:rFonts w:asciiTheme="minorHAnsi" w:hAnsiTheme="minorHAnsi" w:cstheme="minorHAnsi"/>
                <w:b/>
                <w:sz w:val="22"/>
                <w:szCs w:val="22"/>
              </w:rPr>
              <w:t xml:space="preserve">v) Describe how you would plan to improve data quality should it not meet, or subsequently fall below, the thresholds required for this indicator. </w:t>
            </w:r>
          </w:p>
          <w:p w14:paraId="3FFA0BA8" w14:textId="6084B02D"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b/>
                <w:sz w:val="22"/>
                <w:szCs w:val="22"/>
              </w:rPr>
              <w:t xml:space="preserve">                                                                                                                  </w:t>
            </w:r>
          </w:p>
        </w:tc>
      </w:tr>
      <w:tr w:rsidR="00CE6EED" w:rsidRPr="00661BCF" w14:paraId="1E3750BF" w14:textId="77777777" w:rsidTr="00CE6EED">
        <w:tc>
          <w:tcPr>
            <w:tcW w:w="3114" w:type="dxa"/>
          </w:tcPr>
          <w:p w14:paraId="0B83317F" w14:textId="2EF35047"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Data quality</w:t>
            </w:r>
          </w:p>
        </w:tc>
        <w:tc>
          <w:tcPr>
            <w:tcW w:w="6740" w:type="dxa"/>
          </w:tcPr>
          <w:p w14:paraId="4B216EB3" w14:textId="77777777"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b/>
                <w:sz w:val="22"/>
                <w:szCs w:val="22"/>
              </w:rPr>
              <w:t xml:space="preserve">vi) Who will own the data quality risks and issues for this indicator? </w:t>
            </w:r>
          </w:p>
          <w:p w14:paraId="5CA0B586"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Name:</w:t>
            </w:r>
            <w:r w:rsidRPr="00661BCF">
              <w:rPr>
                <w:rFonts w:asciiTheme="minorHAnsi" w:hAnsiTheme="minorHAnsi" w:cstheme="minorHAnsi"/>
              </w:rPr>
              <w:t xml:space="preserve">                               </w:t>
            </w:r>
          </w:p>
          <w:p w14:paraId="1C60B01F"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Job Title:</w:t>
            </w:r>
            <w:r w:rsidRPr="00661BCF">
              <w:rPr>
                <w:rFonts w:asciiTheme="minorHAnsi" w:hAnsiTheme="minorHAnsi" w:cstheme="minorHAnsi"/>
              </w:rPr>
              <w:t xml:space="preserve">                               </w:t>
            </w:r>
          </w:p>
          <w:p w14:paraId="445151F4"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Role:</w:t>
            </w:r>
            <w:r w:rsidRPr="00661BCF">
              <w:rPr>
                <w:rFonts w:asciiTheme="minorHAnsi" w:hAnsiTheme="minorHAnsi" w:cstheme="minorHAnsi"/>
              </w:rPr>
              <w:t xml:space="preserve">                               </w:t>
            </w:r>
          </w:p>
          <w:p w14:paraId="7EC1DC6C" w14:textId="77777777" w:rsidR="00CE6EED" w:rsidRPr="00661BCF" w:rsidRDefault="00CE6EED" w:rsidP="00CE6EED">
            <w:pPr>
              <w:textboxTightWrap w:val="allLines"/>
              <w:rPr>
                <w:rFonts w:asciiTheme="minorHAnsi" w:hAnsiTheme="minorHAnsi" w:cstheme="minorHAnsi"/>
              </w:rPr>
            </w:pPr>
            <w:r w:rsidRPr="00661BCF">
              <w:rPr>
                <w:rFonts w:asciiTheme="minorHAnsi" w:hAnsiTheme="minorHAnsi" w:cstheme="minorHAnsi"/>
                <w:b/>
                <w:sz w:val="22"/>
                <w:szCs w:val="22"/>
              </w:rPr>
              <w:t>Email:</w:t>
            </w:r>
            <w:r w:rsidRPr="00661BCF">
              <w:rPr>
                <w:rFonts w:asciiTheme="minorHAnsi" w:hAnsiTheme="minorHAnsi" w:cstheme="minorHAnsi"/>
              </w:rPr>
              <w:t xml:space="preserve">                               </w:t>
            </w:r>
          </w:p>
          <w:p w14:paraId="430E7F52" w14:textId="6E3212D1"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b/>
                <w:sz w:val="22"/>
                <w:szCs w:val="22"/>
              </w:rPr>
              <w:t>Telephone:</w:t>
            </w:r>
            <w:r w:rsidRPr="00661BCF">
              <w:rPr>
                <w:rFonts w:asciiTheme="minorHAnsi" w:hAnsiTheme="minorHAnsi" w:cstheme="minorHAnsi"/>
              </w:rPr>
              <w:t xml:space="preserve">                               </w:t>
            </w:r>
          </w:p>
        </w:tc>
      </w:tr>
      <w:tr w:rsidR="00CE6EED" w:rsidRPr="00661BCF" w14:paraId="41679D65" w14:textId="77777777" w:rsidTr="00CE6EED">
        <w:tc>
          <w:tcPr>
            <w:tcW w:w="3114" w:type="dxa"/>
          </w:tcPr>
          <w:p w14:paraId="04A21D58" w14:textId="475B8E15"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lastRenderedPageBreak/>
              <w:t>Data quality</w:t>
            </w:r>
          </w:p>
        </w:tc>
        <w:tc>
          <w:tcPr>
            <w:tcW w:w="6740" w:type="dxa"/>
          </w:tcPr>
          <w:p w14:paraId="3F0E0F92" w14:textId="77777777" w:rsidR="00CE6EED" w:rsidRPr="00661BCF" w:rsidRDefault="00CE6EED" w:rsidP="00CE6EED">
            <w:pPr>
              <w:spacing w:before="240"/>
              <w:textboxTightWrap w:val="allLines"/>
              <w:rPr>
                <w:rFonts w:asciiTheme="minorHAnsi" w:hAnsiTheme="minorHAnsi" w:cstheme="minorHAnsi"/>
                <w:sz w:val="20"/>
                <w:szCs w:val="22"/>
              </w:rPr>
            </w:pPr>
            <w:r w:rsidRPr="00661BCF">
              <w:rPr>
                <w:rFonts w:asciiTheme="minorHAnsi" w:hAnsiTheme="minorHAnsi" w:cstheme="minorHAnsi"/>
                <w:b/>
                <w:sz w:val="22"/>
                <w:szCs w:val="22"/>
              </w:rPr>
              <w:t xml:space="preserve">vii) Describe how the data quality risks and issues will be managed for this indicator, including the escalation process. </w:t>
            </w:r>
          </w:p>
          <w:p w14:paraId="5A4C6FBD" w14:textId="197832C0"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b/>
                <w:sz w:val="22"/>
                <w:szCs w:val="22"/>
              </w:rPr>
              <w:t xml:space="preserve">                                                                                                                  </w:t>
            </w:r>
          </w:p>
        </w:tc>
      </w:tr>
      <w:tr w:rsidR="00CE6EED" w:rsidRPr="00661BCF" w14:paraId="6534A739" w14:textId="77777777" w:rsidTr="00CE6EED">
        <w:tc>
          <w:tcPr>
            <w:tcW w:w="3114" w:type="dxa"/>
          </w:tcPr>
          <w:p w14:paraId="6C31462C" w14:textId="1E6690C0"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Data quality</w:t>
            </w:r>
          </w:p>
        </w:tc>
        <w:tc>
          <w:tcPr>
            <w:tcW w:w="6740" w:type="dxa"/>
          </w:tcPr>
          <w:p w14:paraId="30001D42" w14:textId="77777777" w:rsidR="00CE6EED" w:rsidRPr="00661BCF" w:rsidRDefault="00CE6EED" w:rsidP="00CE6EED">
            <w:pPr>
              <w:textboxTightWrap w:val="allLines"/>
              <w:rPr>
                <w:rFonts w:asciiTheme="minorHAnsi" w:hAnsiTheme="minorHAnsi" w:cstheme="minorHAnsi"/>
                <w:sz w:val="20"/>
                <w:szCs w:val="22"/>
              </w:rPr>
            </w:pPr>
            <w:r w:rsidRPr="00661BCF">
              <w:rPr>
                <w:rFonts w:asciiTheme="minorHAnsi" w:hAnsiTheme="minorHAnsi" w:cstheme="minorHAnsi"/>
                <w:b/>
                <w:sz w:val="22"/>
                <w:szCs w:val="22"/>
              </w:rPr>
              <w:t xml:space="preserve">viii) Describe any assumptions you have made about data quality for this indicator. </w:t>
            </w:r>
          </w:p>
          <w:p w14:paraId="395DF960" w14:textId="0F6F47DE" w:rsidR="00CE6EED" w:rsidRPr="00661BCF" w:rsidRDefault="00CE6EED" w:rsidP="00CE6EED">
            <w:pPr>
              <w:spacing w:before="240"/>
              <w:textboxTightWrap w:val="allLines"/>
              <w:rPr>
                <w:rFonts w:asciiTheme="minorHAnsi" w:hAnsiTheme="minorHAnsi" w:cstheme="minorHAnsi"/>
                <w:b/>
                <w:sz w:val="22"/>
                <w:szCs w:val="22"/>
              </w:rPr>
            </w:pPr>
            <w:r w:rsidRPr="00661BCF">
              <w:rPr>
                <w:rFonts w:asciiTheme="minorHAnsi" w:hAnsiTheme="minorHAnsi" w:cstheme="minorHAnsi"/>
                <w:b/>
                <w:sz w:val="22"/>
                <w:szCs w:val="22"/>
              </w:rPr>
              <w:t xml:space="preserve">                                                                                                                  </w:t>
            </w:r>
          </w:p>
        </w:tc>
      </w:tr>
      <w:tr w:rsidR="00CE6EED" w:rsidRPr="00661BCF" w14:paraId="0807A943" w14:textId="77777777" w:rsidTr="00CE6EED">
        <w:tc>
          <w:tcPr>
            <w:tcW w:w="3114" w:type="dxa"/>
          </w:tcPr>
          <w:p w14:paraId="6B1C4885" w14:textId="5FCBD669"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Data quality</w:t>
            </w:r>
          </w:p>
        </w:tc>
        <w:tc>
          <w:tcPr>
            <w:tcW w:w="6740" w:type="dxa"/>
          </w:tcPr>
          <w:p w14:paraId="28F524B1" w14:textId="77777777"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b/>
                <w:sz w:val="22"/>
                <w:szCs w:val="22"/>
              </w:rPr>
              <w:t>ix) Describe any data quality constraints you are aware of for this indicator.</w:t>
            </w:r>
            <w:r w:rsidRPr="00661BCF">
              <w:rPr>
                <w:rFonts w:asciiTheme="minorHAnsi" w:hAnsiTheme="minorHAnsi" w:cstheme="minorHAnsi"/>
                <w:sz w:val="20"/>
                <w:szCs w:val="22"/>
              </w:rPr>
              <w:t xml:space="preserve"> </w:t>
            </w:r>
          </w:p>
          <w:p w14:paraId="3716FD7E" w14:textId="5F8D5A5D"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b/>
                <w:sz w:val="22"/>
                <w:szCs w:val="22"/>
              </w:rPr>
              <w:t xml:space="preserve">                                                                                                                  </w:t>
            </w:r>
          </w:p>
        </w:tc>
      </w:tr>
      <w:tr w:rsidR="00CE6EED" w:rsidRPr="00661BCF" w14:paraId="7FA90283" w14:textId="77777777" w:rsidTr="00CE6EED">
        <w:tc>
          <w:tcPr>
            <w:tcW w:w="3114" w:type="dxa"/>
          </w:tcPr>
          <w:p w14:paraId="31CCDA8E" w14:textId="29ED70FC"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Data quality</w:t>
            </w:r>
          </w:p>
        </w:tc>
        <w:tc>
          <w:tcPr>
            <w:tcW w:w="6740" w:type="dxa"/>
          </w:tcPr>
          <w:p w14:paraId="11D26AA2" w14:textId="77777777"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 xml:space="preserve">x) Additional data quality information: </w:t>
            </w:r>
          </w:p>
          <w:p w14:paraId="505172E3" w14:textId="77777777"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 xml:space="preserve">                                                                                                                 </w:t>
            </w:r>
          </w:p>
          <w:p w14:paraId="1AE93528" w14:textId="5FB1447B" w:rsidR="00CE6EED" w:rsidRPr="00661BCF" w:rsidRDefault="00CE6EED" w:rsidP="00CE6EED">
            <w:pPr>
              <w:textboxTightWrap w:val="allLines"/>
              <w:rPr>
                <w:rFonts w:asciiTheme="minorHAnsi" w:hAnsiTheme="minorHAnsi" w:cstheme="minorHAnsi"/>
                <w:b/>
                <w:sz w:val="22"/>
                <w:szCs w:val="22"/>
              </w:rPr>
            </w:pPr>
            <w:r w:rsidRPr="00661BCF">
              <w:rPr>
                <w:rFonts w:asciiTheme="minorHAnsi" w:hAnsiTheme="minorHAnsi" w:cstheme="minorHAnsi"/>
                <w:b/>
                <w:sz w:val="22"/>
                <w:szCs w:val="22"/>
              </w:rPr>
              <w:t xml:space="preserve">                                                                                                                  </w:t>
            </w:r>
          </w:p>
        </w:tc>
      </w:tr>
      <w:tr w:rsidR="00CE6EED" w:rsidRPr="00661BCF" w14:paraId="2C39D8FD" w14:textId="77777777" w:rsidTr="00CE6EED">
        <w:tc>
          <w:tcPr>
            <w:tcW w:w="3114" w:type="dxa"/>
          </w:tcPr>
          <w:p w14:paraId="4D369AC8" w14:textId="42462FFC"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Quality assurance</w:t>
            </w:r>
          </w:p>
        </w:tc>
        <w:tc>
          <w:tcPr>
            <w:tcW w:w="6740" w:type="dxa"/>
          </w:tcPr>
          <w:p w14:paraId="42DCD08F" w14:textId="77777777" w:rsidR="00CE6EED" w:rsidRPr="00661BCF" w:rsidRDefault="00CE6EED" w:rsidP="00CE6EED">
            <w:pPr>
              <w:spacing w:before="240"/>
              <w:rPr>
                <w:rFonts w:asciiTheme="minorHAnsi" w:hAnsiTheme="minorHAnsi" w:cstheme="minorHAnsi"/>
                <w:b/>
                <w:sz w:val="22"/>
                <w:szCs w:val="22"/>
              </w:rPr>
            </w:pPr>
          </w:p>
        </w:tc>
      </w:tr>
      <w:tr w:rsidR="00CE6EED" w:rsidRPr="00661BCF" w14:paraId="420E1D50" w14:textId="77777777" w:rsidTr="00CE6EED">
        <w:tc>
          <w:tcPr>
            <w:tcW w:w="3114" w:type="dxa"/>
          </w:tcPr>
          <w:p w14:paraId="39AD3684" w14:textId="32876FA3"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Data linkage</w:t>
            </w:r>
          </w:p>
        </w:tc>
        <w:tc>
          <w:tcPr>
            <w:tcW w:w="6740" w:type="dxa"/>
          </w:tcPr>
          <w:p w14:paraId="45114197" w14:textId="77777777" w:rsidR="00CE6EED" w:rsidRPr="00661BCF" w:rsidRDefault="00CE6EED" w:rsidP="00CE6EED">
            <w:pPr>
              <w:spacing w:before="240"/>
              <w:rPr>
                <w:rFonts w:asciiTheme="minorHAnsi" w:hAnsiTheme="minorHAnsi" w:cstheme="minorHAnsi"/>
                <w:b/>
                <w:sz w:val="22"/>
                <w:szCs w:val="22"/>
              </w:rPr>
            </w:pPr>
          </w:p>
        </w:tc>
      </w:tr>
      <w:tr w:rsidR="00CE6EED" w:rsidRPr="00661BCF" w14:paraId="490803F4" w14:textId="77777777" w:rsidTr="00CE6EED">
        <w:tc>
          <w:tcPr>
            <w:tcW w:w="3114" w:type="dxa"/>
          </w:tcPr>
          <w:p w14:paraId="29BD5DB2" w14:textId="538C8A05"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Quality of data linkage</w:t>
            </w:r>
          </w:p>
        </w:tc>
        <w:tc>
          <w:tcPr>
            <w:tcW w:w="6740" w:type="dxa"/>
          </w:tcPr>
          <w:p w14:paraId="60C036ED" w14:textId="77777777" w:rsidR="00CE6EED" w:rsidRPr="00661BCF" w:rsidRDefault="00CE6EED" w:rsidP="00CE6EED">
            <w:pPr>
              <w:spacing w:before="240"/>
              <w:rPr>
                <w:rFonts w:asciiTheme="minorHAnsi" w:hAnsiTheme="minorHAnsi" w:cstheme="minorHAnsi"/>
                <w:b/>
                <w:sz w:val="22"/>
                <w:szCs w:val="22"/>
              </w:rPr>
            </w:pPr>
          </w:p>
        </w:tc>
      </w:tr>
      <w:tr w:rsidR="00CE6EED" w:rsidRPr="00661BCF" w14:paraId="5FA9F335" w14:textId="77777777" w:rsidTr="00CE6EED">
        <w:tc>
          <w:tcPr>
            <w:tcW w:w="3114" w:type="dxa"/>
          </w:tcPr>
          <w:p w14:paraId="3170921E" w14:textId="15E42EDE"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b/>
                <w:sz w:val="22"/>
                <w:szCs w:val="22"/>
              </w:rPr>
              <w:t>Data fields</w:t>
            </w:r>
          </w:p>
        </w:tc>
        <w:tc>
          <w:tcPr>
            <w:tcW w:w="6740" w:type="dxa"/>
          </w:tcPr>
          <w:p w14:paraId="6DE6C2BA" w14:textId="77777777" w:rsidR="00CE6EED" w:rsidRPr="00661BCF" w:rsidRDefault="00CE6EED" w:rsidP="00CE6EED">
            <w:pPr>
              <w:autoSpaceDE w:val="0"/>
              <w:autoSpaceDN w:val="0"/>
              <w:adjustRightInd w:val="0"/>
              <w:spacing w:after="0"/>
              <w:textboxTightWrap w:val="none"/>
              <w:rPr>
                <w:rFonts w:asciiTheme="minorHAnsi" w:hAnsiTheme="minorHAnsi" w:cstheme="minorHAnsi"/>
              </w:rPr>
            </w:pPr>
            <w:r w:rsidRPr="00661BCF">
              <w:rPr>
                <w:rFonts w:asciiTheme="minorHAnsi" w:hAnsiTheme="minorHAnsi" w:cstheme="minorHAnsi"/>
              </w:rPr>
              <w:t xml:space="preserve"> HES Data fields:</w:t>
            </w:r>
            <w:r w:rsidRPr="00661BCF">
              <w:rPr>
                <w:rFonts w:asciiTheme="minorHAnsi" w:hAnsiTheme="minorHAnsi" w:cstheme="minorHAnsi"/>
              </w:rPr>
              <w:br/>
            </w:r>
            <w:r w:rsidRPr="00661BCF">
              <w:rPr>
                <w:rFonts w:asciiTheme="minorHAnsi" w:hAnsiTheme="minorHAnsi" w:cstheme="minorHAnsi"/>
              </w:rPr>
              <w:br/>
              <w:t>DIAG_4_01</w:t>
            </w:r>
          </w:p>
          <w:p w14:paraId="48C94FBB" w14:textId="77777777" w:rsidR="00CE6EED" w:rsidRPr="00661BCF" w:rsidRDefault="00CE6EED" w:rsidP="00CE6EED">
            <w:pPr>
              <w:autoSpaceDE w:val="0"/>
              <w:autoSpaceDN w:val="0"/>
              <w:adjustRightInd w:val="0"/>
              <w:spacing w:after="0"/>
              <w:textboxTightWrap w:val="none"/>
              <w:rPr>
                <w:rFonts w:asciiTheme="minorHAnsi" w:hAnsiTheme="minorHAnsi" w:cstheme="minorHAnsi"/>
              </w:rPr>
            </w:pPr>
            <w:r w:rsidRPr="00661BCF">
              <w:rPr>
                <w:rFonts w:asciiTheme="minorHAnsi" w:hAnsiTheme="minorHAnsi" w:cstheme="minorHAnsi"/>
              </w:rPr>
              <w:t>CLASSPAT</w:t>
            </w:r>
          </w:p>
          <w:p w14:paraId="6E04A401" w14:textId="77777777" w:rsidR="00CE6EED" w:rsidRPr="00661BCF" w:rsidRDefault="00CE6EED" w:rsidP="00CE6EED">
            <w:pPr>
              <w:autoSpaceDE w:val="0"/>
              <w:autoSpaceDN w:val="0"/>
              <w:adjustRightInd w:val="0"/>
              <w:spacing w:after="0"/>
              <w:textboxTightWrap w:val="none"/>
              <w:rPr>
                <w:rFonts w:asciiTheme="minorHAnsi" w:hAnsiTheme="minorHAnsi" w:cstheme="minorHAnsi"/>
              </w:rPr>
            </w:pPr>
            <w:r w:rsidRPr="00661BCF">
              <w:rPr>
                <w:rFonts w:asciiTheme="minorHAnsi" w:hAnsiTheme="minorHAnsi" w:cstheme="minorHAnsi"/>
              </w:rPr>
              <w:t>EPITYPE</w:t>
            </w:r>
          </w:p>
          <w:p w14:paraId="4314A9DB" w14:textId="77777777" w:rsidR="00CE6EED" w:rsidRPr="00661BCF" w:rsidRDefault="00CE6EED" w:rsidP="00CE6EED">
            <w:pPr>
              <w:autoSpaceDE w:val="0"/>
              <w:autoSpaceDN w:val="0"/>
              <w:adjustRightInd w:val="0"/>
              <w:spacing w:after="0"/>
              <w:textboxTightWrap w:val="none"/>
              <w:rPr>
                <w:rFonts w:asciiTheme="minorHAnsi" w:hAnsiTheme="minorHAnsi" w:cstheme="minorHAnsi"/>
              </w:rPr>
            </w:pPr>
            <w:r w:rsidRPr="00661BCF">
              <w:rPr>
                <w:rFonts w:asciiTheme="minorHAnsi" w:hAnsiTheme="minorHAnsi" w:cstheme="minorHAnsi"/>
              </w:rPr>
              <w:t>EPISTAT</w:t>
            </w:r>
          </w:p>
          <w:p w14:paraId="0AC51B31" w14:textId="77777777" w:rsidR="00CE6EED" w:rsidRPr="00661BCF" w:rsidRDefault="00CE6EED" w:rsidP="00CE6EED">
            <w:pPr>
              <w:autoSpaceDE w:val="0"/>
              <w:autoSpaceDN w:val="0"/>
              <w:adjustRightInd w:val="0"/>
              <w:spacing w:after="0"/>
              <w:textboxTightWrap w:val="none"/>
              <w:rPr>
                <w:rFonts w:asciiTheme="minorHAnsi" w:hAnsiTheme="minorHAnsi" w:cstheme="minorHAnsi"/>
              </w:rPr>
            </w:pPr>
            <w:r w:rsidRPr="00661BCF">
              <w:rPr>
                <w:rFonts w:asciiTheme="minorHAnsi" w:hAnsiTheme="minorHAnsi" w:cstheme="minorHAnsi"/>
              </w:rPr>
              <w:t>SEX</w:t>
            </w:r>
          </w:p>
          <w:p w14:paraId="46B0D81B" w14:textId="77777777" w:rsidR="00CE6EED" w:rsidRPr="00661BCF" w:rsidRDefault="00CE6EED" w:rsidP="00CE6EED">
            <w:pPr>
              <w:autoSpaceDE w:val="0"/>
              <w:autoSpaceDN w:val="0"/>
              <w:adjustRightInd w:val="0"/>
              <w:spacing w:after="0"/>
              <w:textboxTightWrap w:val="none"/>
              <w:rPr>
                <w:rFonts w:asciiTheme="minorHAnsi" w:hAnsiTheme="minorHAnsi" w:cstheme="minorHAnsi"/>
              </w:rPr>
            </w:pPr>
            <w:r w:rsidRPr="00661BCF">
              <w:rPr>
                <w:rFonts w:asciiTheme="minorHAnsi" w:hAnsiTheme="minorHAnsi" w:cstheme="minorHAnsi"/>
              </w:rPr>
              <w:t>STARTAGE</w:t>
            </w:r>
          </w:p>
          <w:p w14:paraId="095F4B38" w14:textId="77777777" w:rsidR="00CE6EED" w:rsidRPr="00661BCF" w:rsidRDefault="00CE6EED" w:rsidP="00CE6EED">
            <w:pPr>
              <w:autoSpaceDE w:val="0"/>
              <w:autoSpaceDN w:val="0"/>
              <w:adjustRightInd w:val="0"/>
              <w:spacing w:after="0"/>
              <w:textboxTightWrap w:val="none"/>
              <w:rPr>
                <w:rFonts w:asciiTheme="minorHAnsi" w:hAnsiTheme="minorHAnsi" w:cstheme="minorHAnsi"/>
              </w:rPr>
            </w:pPr>
            <w:r w:rsidRPr="00661BCF">
              <w:rPr>
                <w:rFonts w:asciiTheme="minorHAnsi" w:hAnsiTheme="minorHAnsi" w:cstheme="minorHAnsi"/>
              </w:rPr>
              <w:t>EPIORDER</w:t>
            </w:r>
          </w:p>
          <w:p w14:paraId="27D55ACB" w14:textId="77777777" w:rsidR="00CE6EED" w:rsidRPr="00661BCF" w:rsidRDefault="00CE6EED" w:rsidP="00CE6EED">
            <w:pPr>
              <w:autoSpaceDE w:val="0"/>
              <w:autoSpaceDN w:val="0"/>
              <w:adjustRightInd w:val="0"/>
              <w:spacing w:after="0"/>
              <w:textboxTightWrap w:val="none"/>
              <w:rPr>
                <w:rFonts w:asciiTheme="minorHAnsi" w:hAnsiTheme="minorHAnsi" w:cstheme="minorHAnsi"/>
              </w:rPr>
            </w:pPr>
            <w:r w:rsidRPr="00661BCF">
              <w:rPr>
                <w:rFonts w:asciiTheme="minorHAnsi" w:hAnsiTheme="minorHAnsi" w:cstheme="minorHAnsi"/>
              </w:rPr>
              <w:t>ADMISORC</w:t>
            </w:r>
          </w:p>
          <w:p w14:paraId="3F08E11B" w14:textId="77777777" w:rsidR="00CE6EED" w:rsidRPr="00661BCF" w:rsidRDefault="00CE6EED" w:rsidP="00CE6EED">
            <w:pPr>
              <w:autoSpaceDE w:val="0"/>
              <w:autoSpaceDN w:val="0"/>
              <w:adjustRightInd w:val="0"/>
              <w:spacing w:after="0"/>
              <w:textboxTightWrap w:val="none"/>
              <w:rPr>
                <w:rFonts w:asciiTheme="minorHAnsi" w:hAnsiTheme="minorHAnsi" w:cstheme="minorHAnsi"/>
              </w:rPr>
            </w:pPr>
            <w:r w:rsidRPr="00661BCF">
              <w:rPr>
                <w:rFonts w:asciiTheme="minorHAnsi" w:hAnsiTheme="minorHAnsi" w:cstheme="minorHAnsi"/>
              </w:rPr>
              <w:t>ADMIMETH</w:t>
            </w:r>
          </w:p>
          <w:p w14:paraId="52B0ADF6" w14:textId="77777777" w:rsidR="00CE6EED" w:rsidRPr="00661BCF" w:rsidRDefault="00CE6EED" w:rsidP="00CE6EED">
            <w:pPr>
              <w:autoSpaceDE w:val="0"/>
              <w:autoSpaceDN w:val="0"/>
              <w:adjustRightInd w:val="0"/>
              <w:spacing w:after="0"/>
              <w:textboxTightWrap w:val="none"/>
              <w:rPr>
                <w:rFonts w:asciiTheme="minorHAnsi" w:hAnsiTheme="minorHAnsi" w:cstheme="minorHAnsi"/>
              </w:rPr>
            </w:pPr>
            <w:r w:rsidRPr="00661BCF">
              <w:rPr>
                <w:rFonts w:asciiTheme="minorHAnsi" w:hAnsiTheme="minorHAnsi" w:cstheme="minorHAnsi"/>
              </w:rPr>
              <w:t>ADMIDATE</w:t>
            </w:r>
          </w:p>
          <w:p w14:paraId="46A2692E" w14:textId="5F0E9872"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rPr>
              <w:t>CCG_RESPONSIBILITY</w:t>
            </w:r>
          </w:p>
        </w:tc>
      </w:tr>
      <w:tr w:rsidR="00CE6EED" w:rsidRPr="00661BCF" w14:paraId="24B521C8" w14:textId="77777777" w:rsidTr="00CE6EED">
        <w:tc>
          <w:tcPr>
            <w:tcW w:w="3114" w:type="dxa"/>
          </w:tcPr>
          <w:p w14:paraId="53DDBE69" w14:textId="77777777" w:rsidR="00CE6EED" w:rsidRPr="00661BCF" w:rsidRDefault="00CE6EED" w:rsidP="00CE6EED">
            <w:pPr>
              <w:spacing w:before="240" w:after="0"/>
              <w:ind w:left="34"/>
              <w:rPr>
                <w:rFonts w:asciiTheme="minorHAnsi" w:hAnsiTheme="minorHAnsi" w:cstheme="minorHAnsi"/>
                <w:b/>
                <w:sz w:val="22"/>
                <w:szCs w:val="22"/>
              </w:rPr>
            </w:pPr>
            <w:r w:rsidRPr="00661BCF">
              <w:rPr>
                <w:rFonts w:asciiTheme="minorHAnsi" w:hAnsiTheme="minorHAnsi" w:cstheme="minorHAnsi"/>
                <w:b/>
                <w:sz w:val="22"/>
                <w:szCs w:val="22"/>
              </w:rPr>
              <w:t>Data filters</w:t>
            </w:r>
          </w:p>
          <w:p w14:paraId="5498EAF0" w14:textId="77777777" w:rsidR="00CE6EED" w:rsidRPr="00661BCF" w:rsidRDefault="00CE6EED" w:rsidP="00CE6EED">
            <w:pPr>
              <w:spacing w:before="240"/>
              <w:rPr>
                <w:rFonts w:asciiTheme="minorHAnsi" w:hAnsiTheme="minorHAnsi" w:cstheme="minorHAnsi"/>
                <w:b/>
                <w:sz w:val="22"/>
                <w:szCs w:val="22"/>
              </w:rPr>
            </w:pPr>
          </w:p>
        </w:tc>
        <w:tc>
          <w:tcPr>
            <w:tcW w:w="6740" w:type="dxa"/>
          </w:tcPr>
          <w:p w14:paraId="7CDEAA4B" w14:textId="77777777" w:rsidR="00CE6EED" w:rsidRPr="00661BCF" w:rsidRDefault="00CE6EED" w:rsidP="00CE6EED">
            <w:pPr>
              <w:spacing w:before="240" w:after="0"/>
              <w:rPr>
                <w:rFonts w:asciiTheme="minorHAnsi" w:hAnsiTheme="minorHAnsi" w:cstheme="minorHAnsi"/>
                <w:sz w:val="22"/>
                <w:szCs w:val="22"/>
              </w:rPr>
            </w:pPr>
            <w:r w:rsidRPr="00661BCF">
              <w:rPr>
                <w:rFonts w:asciiTheme="minorHAnsi" w:hAnsiTheme="minorHAnsi" w:cstheme="minorHAnsi"/>
                <w:sz w:val="22"/>
                <w:szCs w:val="22"/>
              </w:rPr>
              <w:t>HES Data filters:</w:t>
            </w:r>
          </w:p>
          <w:p w14:paraId="0537EB85" w14:textId="77777777" w:rsidR="00CE6EED" w:rsidRPr="00661BCF" w:rsidRDefault="00CE6EED" w:rsidP="00CE6EED">
            <w:pPr>
              <w:pStyle w:val="ListParagraph"/>
              <w:numPr>
                <w:ilvl w:val="0"/>
                <w:numId w:val="6"/>
              </w:numPr>
              <w:spacing w:before="240" w:after="0"/>
              <w:rPr>
                <w:rFonts w:asciiTheme="minorHAnsi" w:hAnsiTheme="minorHAnsi" w:cstheme="minorHAnsi"/>
                <w:sz w:val="22"/>
                <w:szCs w:val="22"/>
              </w:rPr>
            </w:pPr>
            <w:r w:rsidRPr="00661BCF">
              <w:rPr>
                <w:rFonts w:asciiTheme="minorHAnsi" w:hAnsiTheme="minorHAnsi" w:cstheme="minorHAnsi"/>
                <w:sz w:val="22"/>
                <w:szCs w:val="22"/>
              </w:rPr>
              <w:t>Field Name: DIAG_4_01</w:t>
            </w:r>
            <w:r w:rsidRPr="00661BCF">
              <w:rPr>
                <w:rFonts w:asciiTheme="minorHAnsi" w:hAnsiTheme="minorHAnsi" w:cstheme="minorHAnsi"/>
                <w:sz w:val="22"/>
                <w:szCs w:val="22"/>
              </w:rPr>
              <w:br/>
              <w:t>Conditions: Is equal to S72.0, S72.1, S72.2</w:t>
            </w:r>
            <w:r w:rsidRPr="00661BCF">
              <w:rPr>
                <w:rFonts w:asciiTheme="minorHAnsi" w:hAnsiTheme="minorHAnsi" w:cstheme="minorHAnsi"/>
                <w:sz w:val="22"/>
                <w:szCs w:val="22"/>
              </w:rPr>
              <w:br/>
              <w:t>Rationale: Selects relevant hip fracture codes</w:t>
            </w:r>
          </w:p>
          <w:p w14:paraId="4D5312ED" w14:textId="77777777" w:rsidR="00CE6EED" w:rsidRPr="00661BCF" w:rsidRDefault="00CE6EED" w:rsidP="00CE6EED">
            <w:pPr>
              <w:pStyle w:val="ListParagraph"/>
              <w:numPr>
                <w:ilvl w:val="0"/>
                <w:numId w:val="6"/>
              </w:numPr>
              <w:spacing w:before="240" w:after="0"/>
              <w:rPr>
                <w:rFonts w:asciiTheme="minorHAnsi" w:hAnsiTheme="minorHAnsi" w:cstheme="minorHAnsi"/>
                <w:sz w:val="22"/>
                <w:szCs w:val="22"/>
              </w:rPr>
            </w:pPr>
            <w:r w:rsidRPr="00661BCF">
              <w:rPr>
                <w:rFonts w:asciiTheme="minorHAnsi" w:hAnsiTheme="minorHAnsi" w:cstheme="minorHAnsi"/>
                <w:sz w:val="22"/>
                <w:szCs w:val="22"/>
              </w:rPr>
              <w:t>Field Name: CLASSPAT</w:t>
            </w:r>
            <w:r w:rsidRPr="00661BCF">
              <w:rPr>
                <w:rFonts w:asciiTheme="minorHAnsi" w:hAnsiTheme="minorHAnsi" w:cstheme="minorHAnsi"/>
                <w:sz w:val="22"/>
                <w:szCs w:val="22"/>
              </w:rPr>
              <w:br/>
              <w:t>Conditions: Is equal to 1</w:t>
            </w:r>
            <w:r w:rsidRPr="00661BCF">
              <w:rPr>
                <w:rFonts w:asciiTheme="minorHAnsi" w:hAnsiTheme="minorHAnsi" w:cstheme="minorHAnsi"/>
                <w:sz w:val="22"/>
                <w:szCs w:val="22"/>
              </w:rPr>
              <w:br/>
              <w:t>Rationale: Selects ordinary cases only, excluding day case admissions, regular day/night attenders, maternity and births</w:t>
            </w:r>
          </w:p>
          <w:p w14:paraId="0709DE20" w14:textId="77777777" w:rsidR="00CE6EED" w:rsidRPr="00661BCF" w:rsidRDefault="00CE6EED" w:rsidP="00CE6EED">
            <w:pPr>
              <w:pStyle w:val="ListParagraph"/>
              <w:numPr>
                <w:ilvl w:val="0"/>
                <w:numId w:val="6"/>
              </w:numPr>
              <w:spacing w:before="240" w:after="0"/>
              <w:rPr>
                <w:rFonts w:asciiTheme="minorHAnsi" w:hAnsiTheme="minorHAnsi" w:cstheme="minorHAnsi"/>
                <w:sz w:val="22"/>
                <w:szCs w:val="22"/>
              </w:rPr>
            </w:pPr>
            <w:r w:rsidRPr="00661BCF">
              <w:rPr>
                <w:rFonts w:asciiTheme="minorHAnsi" w:hAnsiTheme="minorHAnsi" w:cstheme="minorHAnsi"/>
                <w:sz w:val="22"/>
                <w:szCs w:val="22"/>
              </w:rPr>
              <w:lastRenderedPageBreak/>
              <w:t>Field Name: EPITYPE</w:t>
            </w:r>
            <w:r w:rsidRPr="00661BCF">
              <w:rPr>
                <w:rFonts w:asciiTheme="minorHAnsi" w:hAnsiTheme="minorHAnsi" w:cstheme="minorHAnsi"/>
                <w:sz w:val="22"/>
                <w:szCs w:val="22"/>
              </w:rPr>
              <w:br/>
              <w:t>Conditions: Is equal to 1</w:t>
            </w:r>
            <w:r w:rsidRPr="00661BCF">
              <w:rPr>
                <w:rFonts w:asciiTheme="minorHAnsi" w:hAnsiTheme="minorHAnsi" w:cstheme="minorHAnsi"/>
                <w:sz w:val="22"/>
                <w:szCs w:val="22"/>
              </w:rPr>
              <w:br/>
              <w:t>Rationale: Selects general episodes only, excluding delivery and birth related episodes</w:t>
            </w:r>
          </w:p>
          <w:p w14:paraId="209B24CE" w14:textId="77777777" w:rsidR="00CE6EED" w:rsidRPr="00661BCF" w:rsidRDefault="00CE6EED" w:rsidP="00CE6EED">
            <w:pPr>
              <w:pStyle w:val="ListParagraph"/>
              <w:numPr>
                <w:ilvl w:val="0"/>
                <w:numId w:val="6"/>
              </w:numPr>
              <w:spacing w:before="240" w:after="0"/>
              <w:rPr>
                <w:rFonts w:asciiTheme="minorHAnsi" w:hAnsiTheme="minorHAnsi" w:cstheme="minorHAnsi"/>
                <w:sz w:val="22"/>
                <w:szCs w:val="22"/>
              </w:rPr>
            </w:pPr>
            <w:r w:rsidRPr="00661BCF">
              <w:rPr>
                <w:rFonts w:asciiTheme="minorHAnsi" w:hAnsiTheme="minorHAnsi" w:cstheme="minorHAnsi"/>
                <w:sz w:val="22"/>
                <w:szCs w:val="22"/>
              </w:rPr>
              <w:t>Field Name: EPISTAT</w:t>
            </w:r>
            <w:r w:rsidRPr="00661BCF">
              <w:rPr>
                <w:rFonts w:asciiTheme="minorHAnsi" w:hAnsiTheme="minorHAnsi" w:cstheme="minorHAnsi"/>
                <w:sz w:val="22"/>
                <w:szCs w:val="22"/>
              </w:rPr>
              <w:br/>
              <w:t>Conditions: Is equal to 3</w:t>
            </w:r>
            <w:r w:rsidRPr="00661BCF">
              <w:rPr>
                <w:rFonts w:asciiTheme="minorHAnsi" w:hAnsiTheme="minorHAnsi" w:cstheme="minorHAnsi"/>
                <w:sz w:val="22"/>
                <w:szCs w:val="22"/>
              </w:rPr>
              <w:br/>
              <w:t>Rationale: Selects finished hospital episodes</w:t>
            </w:r>
          </w:p>
          <w:p w14:paraId="7ADFA8A2" w14:textId="77777777" w:rsidR="00CE6EED" w:rsidRPr="00661BCF" w:rsidRDefault="00CE6EED" w:rsidP="00CE6EED">
            <w:pPr>
              <w:pStyle w:val="ListParagraph"/>
              <w:numPr>
                <w:ilvl w:val="0"/>
                <w:numId w:val="6"/>
              </w:numPr>
              <w:spacing w:before="240" w:after="0"/>
              <w:rPr>
                <w:rFonts w:asciiTheme="minorHAnsi" w:hAnsiTheme="minorHAnsi" w:cstheme="minorHAnsi"/>
                <w:sz w:val="22"/>
                <w:szCs w:val="22"/>
              </w:rPr>
            </w:pPr>
            <w:r w:rsidRPr="00661BCF">
              <w:rPr>
                <w:rFonts w:asciiTheme="minorHAnsi" w:hAnsiTheme="minorHAnsi" w:cstheme="minorHAnsi"/>
                <w:sz w:val="22"/>
                <w:szCs w:val="22"/>
              </w:rPr>
              <w:t>Field Name: SEX</w:t>
            </w:r>
            <w:r w:rsidRPr="00661BCF">
              <w:rPr>
                <w:rFonts w:asciiTheme="minorHAnsi" w:hAnsiTheme="minorHAnsi" w:cstheme="minorHAnsi"/>
                <w:sz w:val="22"/>
                <w:szCs w:val="22"/>
              </w:rPr>
              <w:br/>
              <w:t>Conditions: Is equal to 1 or 2</w:t>
            </w:r>
            <w:r w:rsidRPr="00661BCF">
              <w:rPr>
                <w:rFonts w:asciiTheme="minorHAnsi" w:hAnsiTheme="minorHAnsi" w:cstheme="minorHAnsi"/>
                <w:sz w:val="22"/>
                <w:szCs w:val="22"/>
              </w:rPr>
              <w:br/>
              <w:t>Rationale: Selects valid sex</w:t>
            </w:r>
          </w:p>
          <w:p w14:paraId="715538B9" w14:textId="77777777" w:rsidR="00CE6EED" w:rsidRPr="00661BCF" w:rsidRDefault="00CE6EED" w:rsidP="00CE6EED">
            <w:pPr>
              <w:pStyle w:val="ListParagraph"/>
              <w:numPr>
                <w:ilvl w:val="0"/>
                <w:numId w:val="6"/>
              </w:numPr>
              <w:spacing w:before="240" w:after="0"/>
              <w:rPr>
                <w:rFonts w:asciiTheme="minorHAnsi" w:hAnsiTheme="minorHAnsi" w:cstheme="minorHAnsi"/>
                <w:sz w:val="22"/>
                <w:szCs w:val="22"/>
              </w:rPr>
            </w:pPr>
            <w:r w:rsidRPr="00661BCF">
              <w:rPr>
                <w:rFonts w:asciiTheme="minorHAnsi" w:hAnsiTheme="minorHAnsi" w:cstheme="minorHAnsi"/>
                <w:sz w:val="22"/>
                <w:szCs w:val="22"/>
              </w:rPr>
              <w:t>Field Name: STARTAGE</w:t>
            </w:r>
            <w:r w:rsidRPr="00661BCF">
              <w:rPr>
                <w:rFonts w:asciiTheme="minorHAnsi" w:hAnsiTheme="minorHAnsi" w:cstheme="minorHAnsi"/>
                <w:sz w:val="22"/>
                <w:szCs w:val="22"/>
              </w:rPr>
              <w:br/>
              <w:t>Conditions: Is between 60 and 120</w:t>
            </w:r>
            <w:r w:rsidRPr="00661BCF">
              <w:rPr>
                <w:rFonts w:asciiTheme="minorHAnsi" w:hAnsiTheme="minorHAnsi" w:cstheme="minorHAnsi"/>
                <w:sz w:val="22"/>
                <w:szCs w:val="22"/>
              </w:rPr>
              <w:br/>
              <w:t>Rationale: Selects valid ages</w:t>
            </w:r>
          </w:p>
          <w:p w14:paraId="6D6E045F" w14:textId="77777777" w:rsidR="00CE6EED" w:rsidRPr="00661BCF" w:rsidRDefault="00CE6EED" w:rsidP="00CE6EED">
            <w:pPr>
              <w:pStyle w:val="ListParagraph"/>
              <w:numPr>
                <w:ilvl w:val="0"/>
                <w:numId w:val="6"/>
              </w:numPr>
              <w:spacing w:before="240" w:after="0"/>
              <w:rPr>
                <w:rFonts w:asciiTheme="minorHAnsi" w:hAnsiTheme="minorHAnsi" w:cstheme="minorHAnsi"/>
                <w:sz w:val="22"/>
                <w:szCs w:val="22"/>
              </w:rPr>
            </w:pPr>
            <w:r w:rsidRPr="00661BCF">
              <w:rPr>
                <w:rFonts w:asciiTheme="minorHAnsi" w:hAnsiTheme="minorHAnsi" w:cstheme="minorHAnsi"/>
                <w:sz w:val="22"/>
                <w:szCs w:val="22"/>
              </w:rPr>
              <w:t>Field Name: ADMISORC</w:t>
            </w:r>
            <w:r w:rsidRPr="00661BCF">
              <w:rPr>
                <w:rFonts w:asciiTheme="minorHAnsi" w:hAnsiTheme="minorHAnsi" w:cstheme="minorHAnsi"/>
                <w:sz w:val="22"/>
                <w:szCs w:val="22"/>
              </w:rPr>
              <w:br/>
              <w:t>Conditions: Is not equal to any of the following: 51, 52, 53</w:t>
            </w:r>
            <w:r w:rsidRPr="00661BCF">
              <w:rPr>
                <w:rFonts w:asciiTheme="minorHAnsi" w:hAnsiTheme="minorHAnsi" w:cstheme="minorHAnsi"/>
                <w:sz w:val="22"/>
                <w:szCs w:val="22"/>
              </w:rPr>
              <w:br/>
              <w:t>Rationale: Excludes provider transfers</w:t>
            </w:r>
          </w:p>
          <w:p w14:paraId="30AA9165" w14:textId="77777777" w:rsidR="00CE6EED" w:rsidRPr="00661BCF" w:rsidRDefault="00CE6EED" w:rsidP="00CE6EED">
            <w:pPr>
              <w:pStyle w:val="ListParagraph"/>
              <w:numPr>
                <w:ilvl w:val="0"/>
                <w:numId w:val="6"/>
              </w:numPr>
              <w:spacing w:before="240" w:after="0"/>
              <w:rPr>
                <w:rFonts w:asciiTheme="minorHAnsi" w:hAnsiTheme="minorHAnsi" w:cstheme="minorHAnsi"/>
                <w:sz w:val="22"/>
                <w:szCs w:val="22"/>
              </w:rPr>
            </w:pPr>
            <w:r w:rsidRPr="00661BCF">
              <w:rPr>
                <w:rFonts w:asciiTheme="minorHAnsi" w:hAnsiTheme="minorHAnsi" w:cstheme="minorHAnsi"/>
                <w:sz w:val="22"/>
                <w:szCs w:val="22"/>
              </w:rPr>
              <w:t>Field Name: EPIORDER</w:t>
            </w:r>
            <w:r w:rsidRPr="00661BCF">
              <w:rPr>
                <w:rFonts w:asciiTheme="minorHAnsi" w:hAnsiTheme="minorHAnsi" w:cstheme="minorHAnsi"/>
                <w:sz w:val="22"/>
                <w:szCs w:val="22"/>
              </w:rPr>
              <w:br/>
              <w:t>Conditions: Is equal to 1</w:t>
            </w:r>
            <w:r w:rsidRPr="00661BCF">
              <w:rPr>
                <w:rFonts w:asciiTheme="minorHAnsi" w:hAnsiTheme="minorHAnsi" w:cstheme="minorHAnsi"/>
                <w:sz w:val="22"/>
                <w:szCs w:val="22"/>
              </w:rPr>
              <w:br/>
              <w:t>Rationale: Selects the first episode in an admission spell</w:t>
            </w:r>
          </w:p>
          <w:p w14:paraId="1A98A44A" w14:textId="77777777" w:rsidR="00CE6EED" w:rsidRPr="00661BCF" w:rsidRDefault="00CE6EED" w:rsidP="00CE6EED">
            <w:pPr>
              <w:pStyle w:val="ListParagraph"/>
              <w:numPr>
                <w:ilvl w:val="0"/>
                <w:numId w:val="6"/>
              </w:numPr>
              <w:spacing w:before="240" w:after="0"/>
              <w:rPr>
                <w:rFonts w:asciiTheme="minorHAnsi" w:hAnsiTheme="minorHAnsi" w:cstheme="minorHAnsi"/>
                <w:sz w:val="22"/>
                <w:szCs w:val="22"/>
              </w:rPr>
            </w:pPr>
            <w:r w:rsidRPr="00661BCF">
              <w:rPr>
                <w:rFonts w:asciiTheme="minorHAnsi" w:hAnsiTheme="minorHAnsi" w:cstheme="minorHAnsi"/>
                <w:sz w:val="22"/>
                <w:szCs w:val="22"/>
              </w:rPr>
              <w:t>Field Name: ADMIMETH</w:t>
            </w:r>
            <w:r w:rsidRPr="00661BCF">
              <w:rPr>
                <w:rFonts w:asciiTheme="minorHAnsi" w:hAnsiTheme="minorHAnsi" w:cstheme="minorHAnsi"/>
                <w:sz w:val="22"/>
                <w:szCs w:val="22"/>
              </w:rPr>
              <w:br/>
              <w:t>Conditions: Is equal to any of the following: 21, 22, 23, 24, 25, 28, 2A, 2B, 2C, 2D</w:t>
            </w:r>
            <w:r w:rsidRPr="00661BCF">
              <w:rPr>
                <w:rFonts w:asciiTheme="minorHAnsi" w:hAnsiTheme="minorHAnsi" w:cstheme="minorHAnsi"/>
                <w:sz w:val="22"/>
                <w:szCs w:val="22"/>
              </w:rPr>
              <w:br/>
              <w:t>Rationale: Selects emergency admissions only</w:t>
            </w:r>
          </w:p>
          <w:p w14:paraId="6CE36121" w14:textId="77777777" w:rsidR="00CE6EED" w:rsidRPr="00661BCF" w:rsidRDefault="00CE6EED" w:rsidP="00CE6EED">
            <w:pPr>
              <w:pStyle w:val="ListParagraph"/>
              <w:numPr>
                <w:ilvl w:val="0"/>
                <w:numId w:val="6"/>
              </w:numPr>
              <w:spacing w:before="240" w:after="0"/>
              <w:rPr>
                <w:rFonts w:asciiTheme="minorHAnsi" w:hAnsiTheme="minorHAnsi" w:cstheme="minorHAnsi"/>
                <w:sz w:val="22"/>
                <w:szCs w:val="22"/>
              </w:rPr>
            </w:pPr>
            <w:r w:rsidRPr="00661BCF">
              <w:rPr>
                <w:rFonts w:asciiTheme="minorHAnsi" w:hAnsiTheme="minorHAnsi" w:cstheme="minorHAnsi"/>
                <w:sz w:val="22"/>
                <w:szCs w:val="22"/>
              </w:rPr>
              <w:t>Field Name: ADMIDATE</w:t>
            </w:r>
            <w:r w:rsidRPr="00661BCF">
              <w:rPr>
                <w:rFonts w:asciiTheme="minorHAnsi" w:hAnsiTheme="minorHAnsi" w:cstheme="minorHAnsi"/>
                <w:sz w:val="22"/>
                <w:szCs w:val="22"/>
              </w:rPr>
              <w:br/>
              <w:t xml:space="preserve">Conditions: Is limited to admissions within the </w:t>
            </w:r>
            <w:proofErr w:type="gramStart"/>
            <w:r w:rsidRPr="00661BCF">
              <w:rPr>
                <w:rFonts w:asciiTheme="minorHAnsi" w:hAnsiTheme="minorHAnsi" w:cstheme="minorHAnsi"/>
                <w:sz w:val="22"/>
                <w:szCs w:val="22"/>
              </w:rPr>
              <w:t>12 month</w:t>
            </w:r>
            <w:proofErr w:type="gramEnd"/>
            <w:r w:rsidRPr="00661BCF">
              <w:rPr>
                <w:rFonts w:asciiTheme="minorHAnsi" w:hAnsiTheme="minorHAnsi" w:cstheme="minorHAnsi"/>
                <w:sz w:val="22"/>
                <w:szCs w:val="22"/>
              </w:rPr>
              <w:t xml:space="preserve"> reporting period, the same reporting period is applied across multiple data years.</w:t>
            </w:r>
            <w:r w:rsidRPr="00661BCF">
              <w:rPr>
                <w:rFonts w:asciiTheme="minorHAnsi" w:hAnsiTheme="minorHAnsi" w:cstheme="minorHAnsi"/>
                <w:sz w:val="22"/>
                <w:szCs w:val="22"/>
              </w:rPr>
              <w:br/>
              <w:t>Rationale: Data is presented annually with an admission date within the year of interest</w:t>
            </w:r>
          </w:p>
          <w:p w14:paraId="0979E78F" w14:textId="6A121C4E" w:rsidR="00CE6EED" w:rsidRPr="00661BCF" w:rsidRDefault="00CE6EED" w:rsidP="00CE6EED">
            <w:pPr>
              <w:autoSpaceDE w:val="0"/>
              <w:autoSpaceDN w:val="0"/>
              <w:adjustRightInd w:val="0"/>
              <w:spacing w:after="0"/>
              <w:textboxTightWrap w:val="none"/>
              <w:rPr>
                <w:rFonts w:asciiTheme="minorHAnsi" w:hAnsiTheme="minorHAnsi" w:cstheme="minorHAnsi"/>
              </w:rPr>
            </w:pPr>
            <w:r w:rsidRPr="00661BCF">
              <w:rPr>
                <w:rFonts w:asciiTheme="minorHAnsi" w:hAnsiTheme="minorHAnsi" w:cstheme="minorHAnsi"/>
                <w:sz w:val="22"/>
                <w:szCs w:val="22"/>
              </w:rPr>
              <w:t>Field Name: CCG_RESPONSIBILITY</w:t>
            </w:r>
            <w:r w:rsidRPr="00661BCF">
              <w:rPr>
                <w:rFonts w:asciiTheme="minorHAnsi" w:hAnsiTheme="minorHAnsi" w:cstheme="minorHAnsi"/>
                <w:sz w:val="22"/>
                <w:szCs w:val="22"/>
              </w:rPr>
              <w:br/>
              <w:t>Conditions: CCGs in England only</w:t>
            </w:r>
            <w:r w:rsidRPr="00661BCF">
              <w:rPr>
                <w:rFonts w:asciiTheme="minorHAnsi" w:hAnsiTheme="minorHAnsi" w:cstheme="minorHAnsi"/>
                <w:sz w:val="22"/>
                <w:szCs w:val="22"/>
              </w:rPr>
              <w:br/>
              <w:t>Rationale: Excludes those registered with GPs outside of England.</w:t>
            </w:r>
          </w:p>
        </w:tc>
      </w:tr>
      <w:tr w:rsidR="00CE6EED" w:rsidRPr="00661BCF" w14:paraId="7B9EEA17" w14:textId="77777777" w:rsidTr="00CE6EED">
        <w:tc>
          <w:tcPr>
            <w:tcW w:w="3114" w:type="dxa"/>
          </w:tcPr>
          <w:p w14:paraId="56D017D5" w14:textId="77777777" w:rsidR="00CE6EED" w:rsidRPr="00661BCF" w:rsidRDefault="00CE6EED" w:rsidP="00CE6EED">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lastRenderedPageBreak/>
              <w:t xml:space="preserve">Justifications of inclusions and exclusions </w:t>
            </w:r>
          </w:p>
          <w:p w14:paraId="167DFDFF" w14:textId="082F3893" w:rsidR="00CE6EED" w:rsidRPr="00661BCF" w:rsidRDefault="00CE6EED" w:rsidP="00CE6EED">
            <w:pPr>
              <w:spacing w:before="240" w:after="0"/>
              <w:ind w:left="34"/>
              <w:rPr>
                <w:rFonts w:asciiTheme="minorHAnsi" w:hAnsiTheme="minorHAnsi" w:cstheme="minorHAnsi"/>
                <w:b/>
                <w:sz w:val="22"/>
                <w:szCs w:val="22"/>
              </w:rPr>
            </w:pPr>
            <w:r w:rsidRPr="00661BCF">
              <w:rPr>
                <w:rFonts w:asciiTheme="minorHAnsi" w:hAnsiTheme="minorHAnsi" w:cstheme="minorHAnsi"/>
                <w:sz w:val="22"/>
                <w:szCs w:val="22"/>
              </w:rPr>
              <w:t>and how these adhere to standard definitions</w:t>
            </w:r>
          </w:p>
        </w:tc>
        <w:tc>
          <w:tcPr>
            <w:tcW w:w="6740" w:type="dxa"/>
          </w:tcPr>
          <w:p w14:paraId="7A85D73B" w14:textId="169A0BFD" w:rsidR="00CE6EED" w:rsidRPr="00661BCF" w:rsidRDefault="00CE6EED" w:rsidP="00CE6EED">
            <w:pPr>
              <w:spacing w:before="240" w:after="0"/>
              <w:rPr>
                <w:rFonts w:asciiTheme="minorHAnsi" w:hAnsiTheme="minorHAnsi" w:cstheme="minorHAnsi"/>
                <w:sz w:val="22"/>
                <w:szCs w:val="22"/>
              </w:rPr>
            </w:pPr>
            <w:r w:rsidRPr="00661BCF">
              <w:rPr>
                <w:rFonts w:asciiTheme="minorHAnsi" w:hAnsiTheme="minorHAnsi" w:cstheme="minorHAnsi"/>
                <w:sz w:val="22"/>
                <w:szCs w:val="22"/>
              </w:rPr>
              <w:t>Rationale entered above, as per standard spec document</w:t>
            </w:r>
          </w:p>
        </w:tc>
      </w:tr>
      <w:tr w:rsidR="00CE6EED" w:rsidRPr="00661BCF" w14:paraId="610A9FE9" w14:textId="77777777" w:rsidTr="00CE6EED">
        <w:tc>
          <w:tcPr>
            <w:tcW w:w="3114" w:type="dxa"/>
          </w:tcPr>
          <w:p w14:paraId="11F58F58" w14:textId="6FA5A201" w:rsidR="00CE6EED" w:rsidRPr="00661BCF" w:rsidRDefault="00CE6EED" w:rsidP="00CE6EED">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Data processing</w:t>
            </w:r>
          </w:p>
        </w:tc>
        <w:tc>
          <w:tcPr>
            <w:tcW w:w="6740" w:type="dxa"/>
          </w:tcPr>
          <w:p w14:paraId="1488D972" w14:textId="77777777" w:rsidR="00CE6EED" w:rsidRPr="00661BCF" w:rsidRDefault="00CE6EED" w:rsidP="00CE6EED">
            <w:pPr>
              <w:spacing w:before="240" w:after="0"/>
              <w:rPr>
                <w:rFonts w:asciiTheme="minorHAnsi" w:hAnsiTheme="minorHAnsi" w:cstheme="minorHAnsi"/>
                <w:sz w:val="22"/>
                <w:szCs w:val="22"/>
              </w:rPr>
            </w:pPr>
          </w:p>
        </w:tc>
      </w:tr>
      <w:tr w:rsidR="00CE6EED" w:rsidRPr="00661BCF" w14:paraId="7D00AD6E" w14:textId="77777777" w:rsidTr="00CE6EED">
        <w:tc>
          <w:tcPr>
            <w:tcW w:w="3114" w:type="dxa"/>
          </w:tcPr>
          <w:p w14:paraId="78C9F7AE" w14:textId="5798AD0F" w:rsidR="00CE6EED" w:rsidRPr="00661BCF" w:rsidRDefault="00CE6EED" w:rsidP="00CE6EED">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Numerator</w:t>
            </w:r>
          </w:p>
        </w:tc>
        <w:tc>
          <w:tcPr>
            <w:tcW w:w="6740" w:type="dxa"/>
          </w:tcPr>
          <w:p w14:paraId="772FBA08" w14:textId="1733F1D7" w:rsidR="00CE6EED" w:rsidRPr="00661BCF" w:rsidRDefault="00CE6EED" w:rsidP="00CE6EED">
            <w:pPr>
              <w:spacing w:before="240" w:after="0"/>
              <w:rPr>
                <w:rFonts w:asciiTheme="minorHAnsi" w:hAnsiTheme="minorHAnsi" w:cstheme="minorHAnsi"/>
                <w:sz w:val="22"/>
                <w:szCs w:val="22"/>
              </w:rPr>
            </w:pPr>
            <w:r w:rsidRPr="00661BCF">
              <w:rPr>
                <w:rFonts w:asciiTheme="minorHAnsi" w:hAnsiTheme="minorHAnsi" w:cstheme="minorHAnsi"/>
                <w:sz w:val="22"/>
                <w:szCs w:val="22"/>
              </w:rPr>
              <w:t>The number of emergency admission episodes where the first episode contains a primary diagnosis of hip fracture in people aged 60 years and over.</w:t>
            </w:r>
          </w:p>
        </w:tc>
      </w:tr>
      <w:tr w:rsidR="00CE6EED" w:rsidRPr="00661BCF" w14:paraId="44480A26" w14:textId="77777777" w:rsidTr="00CE6EED">
        <w:tc>
          <w:tcPr>
            <w:tcW w:w="3114" w:type="dxa"/>
          </w:tcPr>
          <w:p w14:paraId="76AEE5D3" w14:textId="1ABA306B" w:rsidR="00CE6EED" w:rsidRPr="00661BCF" w:rsidRDefault="00CE6EED" w:rsidP="00CE6EED">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Denominator</w:t>
            </w:r>
          </w:p>
        </w:tc>
        <w:tc>
          <w:tcPr>
            <w:tcW w:w="6740" w:type="dxa"/>
          </w:tcPr>
          <w:p w14:paraId="73E03FD3"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CCG level count of patients aged 60 years and over registered with the constituent GP Practices, provided by NHAIS (Exeter) Systems.</w:t>
            </w:r>
          </w:p>
          <w:p w14:paraId="2EB3D6E6" w14:textId="7CFD8260" w:rsidR="00CE6EED" w:rsidRPr="00661BCF" w:rsidRDefault="00CE6EED" w:rsidP="00CE6EED">
            <w:pPr>
              <w:spacing w:before="240" w:after="0"/>
              <w:rPr>
                <w:rFonts w:asciiTheme="minorHAnsi" w:hAnsiTheme="minorHAnsi" w:cstheme="minorHAnsi"/>
                <w:sz w:val="22"/>
                <w:szCs w:val="22"/>
              </w:rPr>
            </w:pPr>
            <w:r w:rsidRPr="00661BCF">
              <w:rPr>
                <w:rFonts w:asciiTheme="minorHAnsi" w:hAnsiTheme="minorHAnsi" w:cstheme="minorHAnsi"/>
                <w:sz w:val="22"/>
                <w:szCs w:val="22"/>
              </w:rPr>
              <w:lastRenderedPageBreak/>
              <w:t xml:space="preserve">Counts of registered patients are extracted on 1st April each year, and GP practices are mapped to CCGs using the mapping on this date. When calculating indicators, the count of registered patients and GP to CCG mapping are taken from the 1st April within the specific time period. For </w:t>
            </w:r>
            <w:proofErr w:type="gramStart"/>
            <w:r w:rsidRPr="00661BCF">
              <w:rPr>
                <w:rFonts w:asciiTheme="minorHAnsi" w:hAnsiTheme="minorHAnsi" w:cstheme="minorHAnsi"/>
                <w:sz w:val="22"/>
                <w:szCs w:val="22"/>
              </w:rPr>
              <w:t>example</w:t>
            </w:r>
            <w:proofErr w:type="gramEnd"/>
            <w:r w:rsidRPr="00661BCF">
              <w:rPr>
                <w:rFonts w:asciiTheme="minorHAnsi" w:hAnsiTheme="minorHAnsi" w:cstheme="minorHAnsi"/>
                <w:sz w:val="22"/>
                <w:szCs w:val="22"/>
              </w:rPr>
              <w:t xml:space="preserve"> the 12 month period July 2013 to June 2014 would use the 1</w:t>
            </w:r>
            <w:r w:rsidRPr="00661BCF">
              <w:rPr>
                <w:rFonts w:asciiTheme="minorHAnsi" w:hAnsiTheme="minorHAnsi" w:cstheme="minorHAnsi"/>
                <w:sz w:val="22"/>
                <w:szCs w:val="22"/>
                <w:vertAlign w:val="superscript"/>
              </w:rPr>
              <w:t>st</w:t>
            </w:r>
            <w:r w:rsidRPr="00661BCF">
              <w:rPr>
                <w:rFonts w:asciiTheme="minorHAnsi" w:hAnsiTheme="minorHAnsi" w:cstheme="minorHAnsi"/>
                <w:sz w:val="22"/>
                <w:szCs w:val="22"/>
              </w:rPr>
              <w:t xml:space="preserve"> April 2014 registered patient counts and the GP to CCG map as it was on this date.</w:t>
            </w:r>
          </w:p>
        </w:tc>
      </w:tr>
      <w:tr w:rsidR="00CE6EED" w:rsidRPr="00661BCF" w14:paraId="289DD40A" w14:textId="77777777" w:rsidTr="00CE6EED">
        <w:tc>
          <w:tcPr>
            <w:tcW w:w="3114" w:type="dxa"/>
          </w:tcPr>
          <w:p w14:paraId="13BAC1F4" w14:textId="49DC44E5" w:rsidR="00CE6EED" w:rsidRPr="00661BCF" w:rsidRDefault="00CE6EED" w:rsidP="00CE6EED">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lastRenderedPageBreak/>
              <w:t>Computation</w:t>
            </w:r>
          </w:p>
        </w:tc>
        <w:tc>
          <w:tcPr>
            <w:tcW w:w="6740" w:type="dxa"/>
          </w:tcPr>
          <w:p w14:paraId="7EAF5D5E" w14:textId="224BE70D"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This indicator is calculated as a rate directly standardised by age and sex. See below for standardisation methodology.</w:t>
            </w:r>
          </w:p>
        </w:tc>
      </w:tr>
      <w:tr w:rsidR="00CE6EED" w:rsidRPr="00661BCF" w14:paraId="37942646" w14:textId="77777777" w:rsidTr="00CE6EED">
        <w:tc>
          <w:tcPr>
            <w:tcW w:w="3114" w:type="dxa"/>
          </w:tcPr>
          <w:p w14:paraId="5C645C73" w14:textId="498D0A72" w:rsidR="00CE6EED" w:rsidRPr="00661BCF" w:rsidRDefault="00CE6EED" w:rsidP="00CE6EED">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Risk adjustment or standardisation type and methodology</w:t>
            </w:r>
          </w:p>
        </w:tc>
        <w:tc>
          <w:tcPr>
            <w:tcW w:w="6740" w:type="dxa"/>
          </w:tcPr>
          <w:sdt>
            <w:sdtPr>
              <w:rPr>
                <w:rFonts w:asciiTheme="minorHAnsi" w:hAnsiTheme="minorHAnsi" w:cstheme="minorHAnsi"/>
                <w:b/>
                <w:sz w:val="22"/>
                <w:szCs w:val="22"/>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42D68809"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b/>
                    <w:sz w:val="22"/>
                    <w:szCs w:val="22"/>
                  </w:rPr>
                  <w:t>Direct Standardisation</w:t>
                </w:r>
              </w:p>
            </w:sdtContent>
          </w:sdt>
          <w:p w14:paraId="3B2DAC31" w14:textId="77777777" w:rsidR="00CE6EED" w:rsidRPr="00661BCF" w:rsidRDefault="00CE6EED" w:rsidP="00CE6EED">
            <w:pPr>
              <w:spacing w:before="240"/>
              <w:rPr>
                <w:rFonts w:asciiTheme="minorHAnsi" w:hAnsiTheme="minorHAnsi" w:cstheme="minorHAnsi"/>
                <w:i/>
                <w:sz w:val="22"/>
                <w:szCs w:val="22"/>
              </w:rPr>
            </w:pPr>
            <w:r w:rsidRPr="00661BCF">
              <w:rPr>
                <w:rFonts w:asciiTheme="minorHAnsi" w:hAnsiTheme="minorHAnsi" w:cstheme="minorHAnsi"/>
                <w:i/>
                <w:sz w:val="22"/>
                <w:szCs w:val="22"/>
              </w:rPr>
              <w:t>Variables and methodology:</w:t>
            </w:r>
          </w:p>
          <w:p w14:paraId="6233B55B"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The directly age and sex standardised rate (DSR) is the rate of events that would occur in a standard population if that population were to experience the age and sex specific rates of the subject population. The age and sex specific rates of the subject population are applied to the age and sex structure of the standard population.</w:t>
            </w:r>
          </w:p>
          <w:p w14:paraId="74C150ED" w14:textId="77777777" w:rsidR="00CE6EED" w:rsidRPr="00661BCF" w:rsidRDefault="00CE6EED" w:rsidP="00CE6EED">
            <w:pPr>
              <w:spacing w:before="240"/>
              <w:jc w:val="center"/>
              <w:rPr>
                <w:rFonts w:asciiTheme="minorHAnsi" w:hAnsiTheme="minorHAnsi" w:cstheme="minorHAnsi"/>
                <w:sz w:val="22"/>
                <w:szCs w:val="22"/>
              </w:rPr>
            </w:pPr>
            <w:r w:rsidRPr="00661BCF">
              <w:rPr>
                <w:rFonts w:asciiTheme="minorHAnsi" w:hAnsiTheme="minorHAnsi" w:cstheme="minorHAnsi"/>
                <w:noProof/>
                <w:lang w:eastAsia="en-GB"/>
              </w:rPr>
              <w:drawing>
                <wp:inline distT="0" distB="0" distL="0" distR="0" wp14:anchorId="5271CDBE" wp14:editId="4203CDB2">
                  <wp:extent cx="1676400" cy="571500"/>
                  <wp:effectExtent l="0" t="0" r="0" b="0"/>
                  <wp:docPr id="1" name="Picture 1" descr="Formula for the directly age and sex standardised rate (D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76400" cy="571500"/>
                          </a:xfrm>
                          <a:prstGeom prst="rect">
                            <a:avLst/>
                          </a:prstGeom>
                        </pic:spPr>
                      </pic:pic>
                    </a:graphicData>
                  </a:graphic>
                </wp:inline>
              </w:drawing>
            </w:r>
          </w:p>
          <w:p w14:paraId="374A9161" w14:textId="77777777" w:rsidR="00CE6EED" w:rsidRPr="00661BCF" w:rsidRDefault="00CE6EED" w:rsidP="00CE6EED">
            <w:pPr>
              <w:spacing w:before="240"/>
              <w:jc w:val="center"/>
              <w:rPr>
                <w:rFonts w:asciiTheme="minorHAnsi" w:hAnsiTheme="minorHAnsi" w:cstheme="minorHAnsi"/>
                <w:sz w:val="22"/>
                <w:szCs w:val="22"/>
              </w:rPr>
            </w:pPr>
          </w:p>
          <w:p w14:paraId="42B804B0"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Where:</w:t>
            </w:r>
          </w:p>
          <w:p w14:paraId="2898B499" w14:textId="77777777" w:rsidR="00CE6EED" w:rsidRPr="00661BCF" w:rsidRDefault="00CE6EED" w:rsidP="00CE6EED">
            <w:pPr>
              <w:spacing w:before="240"/>
              <w:rPr>
                <w:rFonts w:asciiTheme="minorHAnsi" w:hAnsiTheme="minorHAnsi" w:cstheme="minorHAnsi"/>
                <w:sz w:val="22"/>
                <w:szCs w:val="22"/>
              </w:rPr>
            </w:pPr>
            <w:r w:rsidRPr="00661BCF">
              <w:rPr>
                <w:rFonts w:ascii="Cambria Math" w:hAnsi="Cambria Math" w:cs="Cambria Math"/>
                <w:sz w:val="22"/>
                <w:szCs w:val="22"/>
              </w:rPr>
              <w:t>𝑂</w:t>
            </w:r>
            <w:r w:rsidRPr="00661BCF">
              <w:rPr>
                <w:rFonts w:ascii="Cambria Math" w:hAnsi="Cambria Math" w:cs="Cambria Math"/>
                <w:sz w:val="22"/>
                <w:szCs w:val="22"/>
                <w:vertAlign w:val="subscript"/>
              </w:rPr>
              <w:t>𝑖</w:t>
            </w:r>
            <w:r w:rsidRPr="00661BCF">
              <w:rPr>
                <w:rFonts w:asciiTheme="minorHAnsi" w:hAnsiTheme="minorHAnsi" w:cstheme="minorHAnsi"/>
                <w:sz w:val="22"/>
                <w:szCs w:val="22"/>
              </w:rPr>
              <w:t xml:space="preserve"> is the observed number of events in the local or subject population in age and sex group </w:t>
            </w:r>
            <w:proofErr w:type="gramStart"/>
            <w:r w:rsidRPr="00661BCF">
              <w:rPr>
                <w:rFonts w:ascii="Cambria Math" w:hAnsi="Cambria Math" w:cs="Cambria Math"/>
                <w:sz w:val="22"/>
                <w:szCs w:val="22"/>
              </w:rPr>
              <w:t>𝑖</w:t>
            </w:r>
            <w:r w:rsidRPr="00661BCF">
              <w:rPr>
                <w:rFonts w:asciiTheme="minorHAnsi" w:hAnsiTheme="minorHAnsi" w:cstheme="minorHAnsi"/>
                <w:sz w:val="22"/>
                <w:szCs w:val="22"/>
              </w:rPr>
              <w:t>;</w:t>
            </w:r>
            <w:proofErr w:type="gramEnd"/>
          </w:p>
          <w:p w14:paraId="05551133" w14:textId="77777777" w:rsidR="00CE6EED" w:rsidRPr="00661BCF" w:rsidRDefault="00CE6EED" w:rsidP="00CE6EED">
            <w:pPr>
              <w:spacing w:before="240"/>
              <w:rPr>
                <w:rFonts w:asciiTheme="minorHAnsi" w:hAnsiTheme="minorHAnsi" w:cstheme="minorHAnsi"/>
                <w:sz w:val="22"/>
                <w:szCs w:val="22"/>
              </w:rPr>
            </w:pPr>
            <w:r w:rsidRPr="00661BCF">
              <w:rPr>
                <w:rFonts w:ascii="Cambria Math" w:hAnsi="Cambria Math" w:cs="Cambria Math"/>
                <w:sz w:val="22"/>
                <w:szCs w:val="22"/>
              </w:rPr>
              <w:t>𝑛</w:t>
            </w:r>
            <w:r w:rsidRPr="00661BCF">
              <w:rPr>
                <w:rFonts w:ascii="Cambria Math" w:hAnsi="Cambria Math" w:cs="Cambria Math"/>
                <w:sz w:val="22"/>
                <w:szCs w:val="22"/>
                <w:vertAlign w:val="subscript"/>
              </w:rPr>
              <w:t>𝑖</w:t>
            </w:r>
            <w:r w:rsidRPr="00661BCF">
              <w:rPr>
                <w:rFonts w:asciiTheme="minorHAnsi" w:hAnsiTheme="minorHAnsi" w:cstheme="minorHAnsi"/>
                <w:sz w:val="22"/>
                <w:szCs w:val="22"/>
                <w:vertAlign w:val="subscript"/>
              </w:rPr>
              <w:t xml:space="preserve"> </w:t>
            </w:r>
            <w:r w:rsidRPr="00661BCF">
              <w:rPr>
                <w:rFonts w:asciiTheme="minorHAnsi" w:hAnsiTheme="minorHAnsi" w:cstheme="minorHAnsi"/>
                <w:sz w:val="22"/>
                <w:szCs w:val="22"/>
              </w:rPr>
              <w:t xml:space="preserve">is the number of individuals in the local or subject denominator population in age and sex group </w:t>
            </w:r>
            <w:r w:rsidRPr="00661BCF">
              <w:rPr>
                <w:rFonts w:ascii="Cambria Math" w:hAnsi="Cambria Math" w:cs="Cambria Math"/>
                <w:sz w:val="22"/>
                <w:szCs w:val="22"/>
              </w:rPr>
              <w:t>𝑖</w:t>
            </w:r>
            <w:r w:rsidRPr="00661BCF">
              <w:rPr>
                <w:rFonts w:asciiTheme="minorHAnsi" w:hAnsiTheme="minorHAnsi" w:cstheme="minorHAnsi"/>
                <w:sz w:val="22"/>
                <w:szCs w:val="22"/>
              </w:rPr>
              <w:t>, or the population × period at risk (e.g. 'person-years'</w:t>
            </w:r>
            <w:proofErr w:type="gramStart"/>
            <w:r w:rsidRPr="00661BCF">
              <w:rPr>
                <w:rFonts w:asciiTheme="minorHAnsi" w:hAnsiTheme="minorHAnsi" w:cstheme="minorHAnsi"/>
                <w:sz w:val="22"/>
                <w:szCs w:val="22"/>
              </w:rPr>
              <w:t>);</w:t>
            </w:r>
            <w:proofErr w:type="gramEnd"/>
          </w:p>
          <w:p w14:paraId="2B818D2C" w14:textId="77777777" w:rsidR="00CE6EED" w:rsidRPr="00661BCF" w:rsidRDefault="00CE6EED" w:rsidP="00CE6EED">
            <w:pPr>
              <w:spacing w:before="240"/>
              <w:rPr>
                <w:rFonts w:asciiTheme="minorHAnsi" w:hAnsiTheme="minorHAnsi" w:cstheme="minorHAnsi"/>
                <w:sz w:val="22"/>
                <w:szCs w:val="22"/>
              </w:rPr>
            </w:pPr>
            <w:r w:rsidRPr="00661BCF">
              <w:rPr>
                <w:rFonts w:ascii="Cambria Math" w:hAnsi="Cambria Math" w:cs="Cambria Math"/>
                <w:sz w:val="22"/>
                <w:szCs w:val="22"/>
              </w:rPr>
              <w:t>𝑊</w:t>
            </w:r>
            <w:r w:rsidRPr="00661BCF">
              <w:rPr>
                <w:rFonts w:ascii="Cambria Math" w:hAnsi="Cambria Math" w:cs="Cambria Math"/>
                <w:sz w:val="22"/>
                <w:szCs w:val="22"/>
                <w:vertAlign w:val="subscript"/>
              </w:rPr>
              <w:t>𝑖</w:t>
            </w:r>
            <w:r w:rsidRPr="00661BCF">
              <w:rPr>
                <w:rFonts w:asciiTheme="minorHAnsi" w:hAnsiTheme="minorHAnsi" w:cstheme="minorHAnsi"/>
                <w:sz w:val="22"/>
                <w:szCs w:val="22"/>
              </w:rPr>
              <w:t xml:space="preserve"> is the number (or proportion) of individuals in the reference or standard population in age and sex group </w:t>
            </w:r>
            <w:r w:rsidRPr="00661BCF">
              <w:rPr>
                <w:rFonts w:ascii="Cambria Math" w:hAnsi="Cambria Math" w:cs="Cambria Math"/>
                <w:sz w:val="22"/>
                <w:szCs w:val="22"/>
              </w:rPr>
              <w:t>𝑖</w:t>
            </w:r>
            <w:r w:rsidRPr="00661BCF">
              <w:rPr>
                <w:rFonts w:asciiTheme="minorHAnsi" w:hAnsiTheme="minorHAnsi" w:cstheme="minorHAnsi"/>
                <w:sz w:val="22"/>
                <w:szCs w:val="22"/>
              </w:rPr>
              <w:t>.</w:t>
            </w:r>
          </w:p>
          <w:p w14:paraId="113BA0CA" w14:textId="24119AF1"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The standard population used for the direct method is the England population in appropriate ONS mid-year population estimates. The age groups used are: 60 to 64, 65 to 69, 70 to 74, 75 to 79, 80 to 84, 85 to 89, 90+.</w:t>
            </w:r>
          </w:p>
        </w:tc>
      </w:tr>
      <w:tr w:rsidR="00CE6EED" w:rsidRPr="00661BCF" w14:paraId="4E9F1A17" w14:textId="77777777" w:rsidTr="00CE6EED">
        <w:tc>
          <w:tcPr>
            <w:tcW w:w="3114" w:type="dxa"/>
          </w:tcPr>
          <w:p w14:paraId="48B8CDDB" w14:textId="77777777" w:rsidR="00CE6EED" w:rsidRPr="00661BCF" w:rsidRDefault="00CE6EED" w:rsidP="00CE6EED">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Justification of risk adjustment type and variables</w:t>
            </w:r>
          </w:p>
          <w:p w14:paraId="74E4A62D" w14:textId="74BE31CF" w:rsidR="00CE6EED" w:rsidRPr="00661BCF" w:rsidRDefault="00CE6EED" w:rsidP="00CE6EED">
            <w:pPr>
              <w:spacing w:before="240"/>
              <w:ind w:left="34"/>
              <w:rPr>
                <w:rFonts w:asciiTheme="minorHAnsi" w:hAnsiTheme="minorHAnsi" w:cstheme="minorHAnsi"/>
                <w:b/>
                <w:sz w:val="22"/>
                <w:szCs w:val="22"/>
              </w:rPr>
            </w:pPr>
            <w:r w:rsidRPr="00661BCF">
              <w:rPr>
                <w:rFonts w:asciiTheme="minorHAnsi" w:hAnsiTheme="minorHAnsi" w:cstheme="minorHAnsi"/>
                <w:sz w:val="22"/>
                <w:szCs w:val="22"/>
              </w:rPr>
              <w:t>or why risk adjustment is not used</w:t>
            </w:r>
          </w:p>
        </w:tc>
        <w:tc>
          <w:tcPr>
            <w:tcW w:w="6740" w:type="dxa"/>
          </w:tcPr>
          <w:p w14:paraId="02C8061C" w14:textId="77777777" w:rsidR="00CE6EED" w:rsidRPr="00661BCF" w:rsidRDefault="00CE6EED" w:rsidP="00CE6EED">
            <w:pPr>
              <w:spacing w:before="240"/>
              <w:rPr>
                <w:rFonts w:asciiTheme="minorHAnsi" w:hAnsiTheme="minorHAnsi" w:cstheme="minorHAnsi"/>
                <w:b/>
                <w:sz w:val="22"/>
                <w:szCs w:val="22"/>
              </w:rPr>
            </w:pPr>
          </w:p>
        </w:tc>
      </w:tr>
      <w:tr w:rsidR="00CE6EED" w:rsidRPr="00661BCF" w14:paraId="5A3FA7E4" w14:textId="77777777" w:rsidTr="00CE6EED">
        <w:tc>
          <w:tcPr>
            <w:tcW w:w="3114" w:type="dxa"/>
          </w:tcPr>
          <w:p w14:paraId="40C495C2" w14:textId="5718A939" w:rsidR="00CE6EED" w:rsidRPr="00661BCF" w:rsidRDefault="00CE6EED" w:rsidP="00CE6EED">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lastRenderedPageBreak/>
              <w:t>Confidence interval / control limit use and methodology</w:t>
            </w:r>
          </w:p>
        </w:tc>
        <w:tc>
          <w:tcPr>
            <w:tcW w:w="6740" w:type="dxa"/>
          </w:tcPr>
          <w:sdt>
            <w:sdtPr>
              <w:rPr>
                <w:rFonts w:asciiTheme="minorHAnsi" w:hAnsiTheme="minorHAnsi" w:cstheme="minorHAnsi"/>
                <w:sz w:val="22"/>
                <w:szCs w:val="22"/>
              </w:r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p w14:paraId="6820CFEA"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Confidence Intervals</w:t>
                </w:r>
              </w:p>
            </w:sdtContent>
          </w:sdt>
          <w:p w14:paraId="4DD5268A" w14:textId="77777777" w:rsidR="00CE6EED" w:rsidRPr="00661BCF" w:rsidRDefault="00CE6EED" w:rsidP="00CE6EED">
            <w:pPr>
              <w:spacing w:before="240"/>
              <w:rPr>
                <w:rFonts w:asciiTheme="minorHAnsi" w:hAnsiTheme="minorHAnsi" w:cstheme="minorHAnsi"/>
                <w:i/>
                <w:sz w:val="22"/>
                <w:szCs w:val="22"/>
              </w:rPr>
            </w:pPr>
            <w:r w:rsidRPr="00661BCF">
              <w:rPr>
                <w:rFonts w:asciiTheme="minorHAnsi" w:hAnsiTheme="minorHAnsi" w:cstheme="minorHAnsi"/>
                <w:i/>
                <w:sz w:val="22"/>
                <w:szCs w:val="22"/>
              </w:rPr>
              <w:t>Methodology:</w:t>
            </w:r>
          </w:p>
          <w:p w14:paraId="05345082"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 xml:space="preserve">95% confidence intervals are calculated using Dobson’s and </w:t>
            </w:r>
            <w:proofErr w:type="spellStart"/>
            <w:r w:rsidRPr="00661BCF">
              <w:rPr>
                <w:rFonts w:asciiTheme="minorHAnsi" w:hAnsiTheme="minorHAnsi" w:cstheme="minorHAnsi"/>
                <w:sz w:val="22"/>
                <w:szCs w:val="22"/>
              </w:rPr>
              <w:t>Byar’s</w:t>
            </w:r>
            <w:proofErr w:type="spellEnd"/>
            <w:r w:rsidRPr="00661BCF">
              <w:rPr>
                <w:rFonts w:asciiTheme="minorHAnsi" w:hAnsiTheme="minorHAnsi" w:cstheme="minorHAnsi"/>
                <w:sz w:val="22"/>
                <w:szCs w:val="22"/>
              </w:rPr>
              <w:t xml:space="preserve"> methods. </w:t>
            </w:r>
            <w:proofErr w:type="spellStart"/>
            <w:r w:rsidRPr="00661BCF">
              <w:rPr>
                <w:rFonts w:asciiTheme="minorHAnsi" w:hAnsiTheme="minorHAnsi" w:cstheme="minorHAnsi"/>
                <w:sz w:val="22"/>
                <w:szCs w:val="22"/>
              </w:rPr>
              <w:t>Byar’s</w:t>
            </w:r>
            <w:proofErr w:type="spellEnd"/>
            <w:r w:rsidRPr="00661BCF">
              <w:rPr>
                <w:rFonts w:asciiTheme="minorHAnsi" w:hAnsiTheme="minorHAnsi" w:cstheme="minorHAnsi"/>
                <w:sz w:val="22"/>
                <w:szCs w:val="22"/>
              </w:rPr>
              <w:t xml:space="preserve"> method is recommended for larger counts whereas for smaller numerators (less than 389) a more exact method based on the Poisson distribution (Dobson’s method) is used:</w:t>
            </w:r>
          </w:p>
          <w:p w14:paraId="43012C92" w14:textId="77777777" w:rsidR="00CE6EED" w:rsidRPr="00661BCF" w:rsidRDefault="00CE6EED" w:rsidP="00CE6EED">
            <w:pPr>
              <w:spacing w:before="240"/>
              <w:jc w:val="center"/>
              <w:rPr>
                <w:rFonts w:asciiTheme="minorHAnsi" w:hAnsiTheme="minorHAnsi" w:cstheme="minorHAnsi"/>
                <w:sz w:val="22"/>
                <w:szCs w:val="22"/>
              </w:rPr>
            </w:pPr>
            <w:r w:rsidRPr="00661BCF">
              <w:rPr>
                <w:rFonts w:asciiTheme="minorHAnsi" w:hAnsiTheme="minorHAnsi" w:cstheme="minorHAnsi"/>
                <w:noProof/>
                <w:lang w:eastAsia="en-GB"/>
              </w:rPr>
              <w:drawing>
                <wp:inline distT="0" distB="0" distL="0" distR="0" wp14:anchorId="0363D7D8" wp14:editId="41571B9E">
                  <wp:extent cx="3002280" cy="1303020"/>
                  <wp:effectExtent l="0" t="0" r="7620" b="0"/>
                  <wp:docPr id="3" name="Picture 3" descr="Formula for 95% confidence intervals ar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02280" cy="1303020"/>
                          </a:xfrm>
                          <a:prstGeom prst="rect">
                            <a:avLst/>
                          </a:prstGeom>
                        </pic:spPr>
                      </pic:pic>
                    </a:graphicData>
                  </a:graphic>
                </wp:inline>
              </w:drawing>
            </w:r>
          </w:p>
          <w:p w14:paraId="1F17B05D" w14:textId="77777777" w:rsidR="00CE6EED" w:rsidRPr="00661BCF" w:rsidRDefault="00CE6EED" w:rsidP="00CE6EED">
            <w:pPr>
              <w:spacing w:before="240"/>
              <w:rPr>
                <w:rFonts w:asciiTheme="minorHAnsi" w:hAnsiTheme="minorHAnsi" w:cstheme="minorHAnsi"/>
                <w:sz w:val="22"/>
                <w:szCs w:val="22"/>
              </w:rPr>
            </w:pPr>
          </w:p>
          <w:p w14:paraId="6AD592A9"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Where:</w:t>
            </w:r>
          </w:p>
          <w:p w14:paraId="1E68440C" w14:textId="77777777" w:rsidR="00CE6EED" w:rsidRPr="00661BCF" w:rsidRDefault="00CE6EED" w:rsidP="00CE6EED">
            <w:pPr>
              <w:spacing w:before="240"/>
              <w:rPr>
                <w:rFonts w:asciiTheme="minorHAnsi" w:hAnsiTheme="minorHAnsi" w:cstheme="minorHAnsi"/>
                <w:sz w:val="22"/>
                <w:szCs w:val="22"/>
              </w:rPr>
            </w:pPr>
            <w:r w:rsidRPr="00661BCF">
              <w:rPr>
                <w:rFonts w:ascii="Cambria Math" w:hAnsi="Cambria Math" w:cs="Cambria Math"/>
                <w:sz w:val="22"/>
                <w:szCs w:val="22"/>
              </w:rPr>
              <w:t>𝑂</w:t>
            </w:r>
            <w:r w:rsidRPr="00661BCF">
              <w:rPr>
                <w:rFonts w:asciiTheme="minorHAnsi" w:hAnsiTheme="minorHAnsi" w:cstheme="minorHAnsi"/>
                <w:sz w:val="22"/>
                <w:szCs w:val="22"/>
              </w:rPr>
              <w:t xml:space="preserve"> is the total number of observed admissions in the subject population</w:t>
            </w:r>
          </w:p>
          <w:p w14:paraId="21075482" w14:textId="77777777" w:rsidR="00CE6EED" w:rsidRPr="00661BCF" w:rsidRDefault="00CE6EED" w:rsidP="00CE6EED">
            <w:pPr>
              <w:spacing w:before="240"/>
              <w:jc w:val="center"/>
              <w:rPr>
                <w:rFonts w:asciiTheme="minorHAnsi" w:hAnsiTheme="minorHAnsi" w:cstheme="minorHAnsi"/>
                <w:sz w:val="22"/>
                <w:szCs w:val="22"/>
              </w:rPr>
            </w:pPr>
            <w:r w:rsidRPr="00661BCF">
              <w:rPr>
                <w:rFonts w:asciiTheme="minorHAnsi" w:hAnsiTheme="minorHAnsi" w:cstheme="minorHAnsi"/>
                <w:noProof/>
                <w:lang w:eastAsia="en-GB"/>
              </w:rPr>
              <w:drawing>
                <wp:inline distT="0" distB="0" distL="0" distR="0" wp14:anchorId="74A7E0E6" wp14:editId="44BF5546">
                  <wp:extent cx="1524000" cy="1363980"/>
                  <wp:effectExtent l="0" t="0" r="0" b="7620"/>
                  <wp:docPr id="4" name="Picture 4" descr="Formula for: 𝑂 is the total number of observed admissions in the subjec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524000" cy="1363980"/>
                          </a:xfrm>
                          <a:prstGeom prst="rect">
                            <a:avLst/>
                          </a:prstGeom>
                        </pic:spPr>
                      </pic:pic>
                    </a:graphicData>
                  </a:graphic>
                </wp:inline>
              </w:drawing>
            </w:r>
          </w:p>
          <w:p w14:paraId="3141B207" w14:textId="77777777" w:rsidR="00CE6EED" w:rsidRPr="00661BCF" w:rsidRDefault="00CE6EED" w:rsidP="00CE6EED">
            <w:pPr>
              <w:spacing w:before="240"/>
              <w:rPr>
                <w:rFonts w:asciiTheme="minorHAnsi" w:hAnsiTheme="minorHAnsi" w:cstheme="minorHAnsi"/>
                <w:sz w:val="22"/>
                <w:szCs w:val="22"/>
              </w:rPr>
            </w:pPr>
            <w:r w:rsidRPr="00661BCF">
              <w:rPr>
                <w:rFonts w:ascii="Cambria Math" w:hAnsi="Cambria Math" w:cs="Cambria Math"/>
                <w:sz w:val="22"/>
                <w:szCs w:val="22"/>
              </w:rPr>
              <w:t>𝑂</w:t>
            </w:r>
            <w:r w:rsidRPr="00661BCF">
              <w:rPr>
                <w:rFonts w:ascii="Cambria Math" w:hAnsi="Cambria Math" w:cs="Cambria Math"/>
                <w:sz w:val="22"/>
                <w:szCs w:val="22"/>
                <w:vertAlign w:val="subscript"/>
              </w:rPr>
              <w:t>𝑙𝑜𝑤𝑒𝑟</w:t>
            </w:r>
            <w:r w:rsidRPr="00661BCF">
              <w:rPr>
                <w:rFonts w:asciiTheme="minorHAnsi" w:hAnsiTheme="minorHAnsi" w:cstheme="minorHAnsi"/>
                <w:sz w:val="22"/>
                <w:szCs w:val="22"/>
              </w:rPr>
              <w:t xml:space="preserve"> and </w:t>
            </w:r>
            <w:r w:rsidRPr="00661BCF">
              <w:rPr>
                <w:rFonts w:ascii="Cambria Math" w:hAnsi="Cambria Math" w:cs="Cambria Math"/>
                <w:sz w:val="22"/>
                <w:szCs w:val="22"/>
              </w:rPr>
              <w:t>𝑂</w:t>
            </w:r>
            <w:r w:rsidRPr="00661BCF">
              <w:rPr>
                <w:rFonts w:ascii="Cambria Math" w:hAnsi="Cambria Math" w:cs="Cambria Math"/>
                <w:sz w:val="22"/>
                <w:szCs w:val="22"/>
                <w:vertAlign w:val="subscript"/>
              </w:rPr>
              <w:t>𝑢𝑝𝑝𝑒𝑟</w:t>
            </w:r>
            <w:r w:rsidRPr="00661BCF">
              <w:rPr>
                <w:rFonts w:asciiTheme="minorHAnsi" w:hAnsiTheme="minorHAnsi" w:cstheme="minorHAnsi"/>
                <w:sz w:val="22"/>
                <w:szCs w:val="22"/>
              </w:rPr>
              <w:t xml:space="preserve"> are the lower and upper confidence limits for the observed number of </w:t>
            </w:r>
            <w:proofErr w:type="gramStart"/>
            <w:r w:rsidRPr="00661BCF">
              <w:rPr>
                <w:rFonts w:asciiTheme="minorHAnsi" w:hAnsiTheme="minorHAnsi" w:cstheme="minorHAnsi"/>
                <w:sz w:val="22"/>
                <w:szCs w:val="22"/>
              </w:rPr>
              <w:t>events;</w:t>
            </w:r>
            <w:proofErr w:type="gramEnd"/>
          </w:p>
          <w:p w14:paraId="4057963A" w14:textId="77777777" w:rsidR="00CE6EED" w:rsidRPr="00661BCF" w:rsidRDefault="00CE6EED" w:rsidP="00CE6EED">
            <w:pPr>
              <w:spacing w:before="240"/>
              <w:rPr>
                <w:rFonts w:asciiTheme="minorHAnsi" w:hAnsiTheme="minorHAnsi" w:cstheme="minorHAnsi"/>
                <w:sz w:val="22"/>
                <w:szCs w:val="22"/>
              </w:rPr>
            </w:pPr>
          </w:p>
          <w:p w14:paraId="7B2B072F"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When O &lt; 389 then,</w:t>
            </w:r>
          </w:p>
          <w:p w14:paraId="3CBF874B" w14:textId="77777777" w:rsidR="00CE6EED" w:rsidRPr="00661BCF" w:rsidRDefault="00CE6EED" w:rsidP="00CE6EED">
            <w:pPr>
              <w:spacing w:before="240"/>
              <w:jc w:val="center"/>
              <w:rPr>
                <w:rFonts w:asciiTheme="minorHAnsi" w:hAnsiTheme="minorHAnsi" w:cstheme="minorHAnsi"/>
                <w:sz w:val="22"/>
                <w:szCs w:val="22"/>
              </w:rPr>
            </w:pPr>
            <w:r w:rsidRPr="00661BCF">
              <w:rPr>
                <w:rFonts w:asciiTheme="minorHAnsi" w:hAnsiTheme="minorHAnsi" w:cstheme="minorHAnsi"/>
                <w:noProof/>
                <w:lang w:eastAsia="en-GB"/>
              </w:rPr>
              <w:drawing>
                <wp:inline distT="0" distB="0" distL="0" distR="0" wp14:anchorId="300196A2" wp14:editId="6BEB50B1">
                  <wp:extent cx="1485900" cy="1127760"/>
                  <wp:effectExtent l="0" t="0" r="0" b="0"/>
                  <wp:docPr id="6" name="Picture 6" descr="Formula: 𝑂𝑙𝑜𝑤𝑒𝑟 and 𝑂𝑢𝑝𝑝𝑒𝑟 are the lower and upper confidence limits for the observed number of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85900" cy="1127760"/>
                          </a:xfrm>
                          <a:prstGeom prst="rect">
                            <a:avLst/>
                          </a:prstGeom>
                        </pic:spPr>
                      </pic:pic>
                    </a:graphicData>
                  </a:graphic>
                </wp:inline>
              </w:drawing>
            </w:r>
          </w:p>
          <w:p w14:paraId="1AB60D68"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where:</w:t>
            </w:r>
          </w:p>
          <w:p w14:paraId="552D1B5B" w14:textId="77777777" w:rsidR="00CE6EED" w:rsidRPr="00661BCF" w:rsidRDefault="00CE6EED" w:rsidP="00CE6EED">
            <w:pPr>
              <w:spacing w:before="240"/>
              <w:rPr>
                <w:rFonts w:asciiTheme="minorHAnsi" w:hAnsiTheme="minorHAnsi" w:cstheme="minorHAnsi"/>
                <w:sz w:val="22"/>
                <w:szCs w:val="22"/>
              </w:rPr>
            </w:pPr>
            <w:r w:rsidRPr="00661BCF">
              <w:rPr>
                <w:rFonts w:ascii="Cambria Math" w:hAnsi="Cambria Math" w:cs="Cambria Math"/>
                <w:sz w:val="22"/>
                <w:szCs w:val="22"/>
              </w:rPr>
              <w:t>𝜒</w:t>
            </w:r>
            <w:r w:rsidRPr="00661BCF">
              <w:rPr>
                <w:rFonts w:asciiTheme="minorHAnsi" w:hAnsiTheme="minorHAnsi" w:cstheme="minorHAnsi"/>
                <w:sz w:val="22"/>
                <w:szCs w:val="22"/>
                <w:vertAlign w:val="superscript"/>
              </w:rPr>
              <w:t>2</w:t>
            </w:r>
            <w:r w:rsidRPr="00661BCF">
              <w:rPr>
                <w:rFonts w:asciiTheme="minorHAnsi" w:hAnsiTheme="minorHAnsi" w:cstheme="minorHAnsi"/>
                <w:sz w:val="22"/>
                <w:szCs w:val="22"/>
                <w:vertAlign w:val="subscript"/>
              </w:rPr>
              <w:t>lower</w:t>
            </w:r>
            <w:r w:rsidRPr="00661BCF">
              <w:rPr>
                <w:rFonts w:asciiTheme="minorHAnsi" w:hAnsiTheme="minorHAnsi" w:cstheme="minorHAnsi"/>
                <w:sz w:val="22"/>
                <w:szCs w:val="22"/>
              </w:rPr>
              <w:t xml:space="preserve"> is the 97.5th percentile value from the </w:t>
            </w:r>
            <w:r w:rsidRPr="00661BCF">
              <w:rPr>
                <w:rFonts w:ascii="Cambria Math" w:hAnsi="Cambria Math" w:cs="Cambria Math"/>
                <w:sz w:val="22"/>
                <w:szCs w:val="22"/>
              </w:rPr>
              <w:t>𝜒</w:t>
            </w:r>
            <w:r w:rsidRPr="00661BCF">
              <w:rPr>
                <w:rFonts w:asciiTheme="minorHAnsi" w:hAnsiTheme="minorHAnsi" w:cstheme="minorHAnsi"/>
                <w:sz w:val="22"/>
                <w:szCs w:val="22"/>
                <w:vertAlign w:val="superscript"/>
              </w:rPr>
              <w:t>2</w:t>
            </w:r>
            <w:r w:rsidRPr="00661BCF">
              <w:rPr>
                <w:rFonts w:asciiTheme="minorHAnsi" w:hAnsiTheme="minorHAnsi" w:cstheme="minorHAnsi"/>
                <w:sz w:val="22"/>
                <w:szCs w:val="22"/>
              </w:rPr>
              <w:t xml:space="preserve"> distribution with </w:t>
            </w:r>
            <w:r w:rsidRPr="00661BCF">
              <w:rPr>
                <w:rFonts w:asciiTheme="minorHAnsi" w:hAnsiTheme="minorHAnsi" w:cstheme="minorHAnsi"/>
                <w:i/>
                <w:sz w:val="22"/>
                <w:szCs w:val="22"/>
              </w:rPr>
              <w:t>2O</w:t>
            </w:r>
            <w:r w:rsidRPr="00661BCF">
              <w:rPr>
                <w:rFonts w:asciiTheme="minorHAnsi" w:hAnsiTheme="minorHAnsi" w:cstheme="minorHAnsi"/>
                <w:sz w:val="22"/>
                <w:szCs w:val="22"/>
              </w:rPr>
              <w:t xml:space="preserve"> degrees of </w:t>
            </w:r>
            <w:proofErr w:type="gramStart"/>
            <w:r w:rsidRPr="00661BCF">
              <w:rPr>
                <w:rFonts w:asciiTheme="minorHAnsi" w:hAnsiTheme="minorHAnsi" w:cstheme="minorHAnsi"/>
                <w:sz w:val="22"/>
                <w:szCs w:val="22"/>
              </w:rPr>
              <w:t>freedom;</w:t>
            </w:r>
            <w:proofErr w:type="gramEnd"/>
          </w:p>
          <w:p w14:paraId="3E7F6453" w14:textId="77777777" w:rsidR="00CE6EED" w:rsidRPr="00661BCF" w:rsidRDefault="00CE6EED" w:rsidP="00CE6EED">
            <w:pPr>
              <w:spacing w:before="240"/>
              <w:rPr>
                <w:rFonts w:asciiTheme="minorHAnsi" w:hAnsiTheme="minorHAnsi" w:cstheme="minorHAnsi"/>
                <w:sz w:val="22"/>
                <w:szCs w:val="22"/>
              </w:rPr>
            </w:pPr>
            <w:r w:rsidRPr="00661BCF">
              <w:rPr>
                <w:rFonts w:ascii="Cambria Math" w:hAnsi="Cambria Math" w:cs="Cambria Math"/>
                <w:sz w:val="22"/>
                <w:szCs w:val="22"/>
              </w:rPr>
              <w:lastRenderedPageBreak/>
              <w:t>𝜒</w:t>
            </w:r>
            <w:r w:rsidRPr="00661BCF">
              <w:rPr>
                <w:rFonts w:asciiTheme="minorHAnsi" w:hAnsiTheme="minorHAnsi" w:cstheme="minorHAnsi"/>
                <w:sz w:val="22"/>
                <w:szCs w:val="22"/>
                <w:vertAlign w:val="superscript"/>
              </w:rPr>
              <w:t>2</w:t>
            </w:r>
            <w:r w:rsidRPr="00661BCF">
              <w:rPr>
                <w:rFonts w:asciiTheme="minorHAnsi" w:hAnsiTheme="minorHAnsi" w:cstheme="minorHAnsi"/>
                <w:sz w:val="22"/>
                <w:szCs w:val="22"/>
                <w:vertAlign w:val="subscript"/>
              </w:rPr>
              <w:t>upper</w:t>
            </w:r>
            <w:r w:rsidRPr="00661BCF">
              <w:rPr>
                <w:rFonts w:asciiTheme="minorHAnsi" w:hAnsiTheme="minorHAnsi" w:cstheme="minorHAnsi"/>
                <w:sz w:val="22"/>
                <w:szCs w:val="22"/>
              </w:rPr>
              <w:t xml:space="preserve"> is the 2.5th percentile value from the </w:t>
            </w:r>
            <w:r w:rsidRPr="00661BCF">
              <w:rPr>
                <w:rFonts w:ascii="Cambria Math" w:hAnsi="Cambria Math" w:cs="Cambria Math"/>
                <w:sz w:val="22"/>
                <w:szCs w:val="22"/>
              </w:rPr>
              <w:t>𝜒</w:t>
            </w:r>
            <w:r w:rsidRPr="00661BCF">
              <w:rPr>
                <w:rFonts w:asciiTheme="minorHAnsi" w:hAnsiTheme="minorHAnsi" w:cstheme="minorHAnsi"/>
                <w:sz w:val="22"/>
                <w:szCs w:val="22"/>
                <w:vertAlign w:val="superscript"/>
              </w:rPr>
              <w:t>2</w:t>
            </w:r>
            <w:r w:rsidRPr="00661BCF">
              <w:rPr>
                <w:rFonts w:asciiTheme="minorHAnsi" w:hAnsiTheme="minorHAnsi" w:cstheme="minorHAnsi"/>
                <w:sz w:val="22"/>
                <w:szCs w:val="22"/>
              </w:rPr>
              <w:t xml:space="preserve"> distribution with </w:t>
            </w:r>
            <w:r w:rsidRPr="00661BCF">
              <w:rPr>
                <w:rFonts w:asciiTheme="minorHAnsi" w:hAnsiTheme="minorHAnsi" w:cstheme="minorHAnsi"/>
                <w:i/>
                <w:sz w:val="22"/>
                <w:szCs w:val="22"/>
              </w:rPr>
              <w:t>2O+2</w:t>
            </w:r>
            <w:r w:rsidRPr="00661BCF">
              <w:rPr>
                <w:rFonts w:asciiTheme="minorHAnsi" w:hAnsiTheme="minorHAnsi" w:cstheme="minorHAnsi"/>
                <w:sz w:val="22"/>
                <w:szCs w:val="22"/>
              </w:rPr>
              <w:t xml:space="preserve"> degrees of </w:t>
            </w:r>
            <w:proofErr w:type="gramStart"/>
            <w:r w:rsidRPr="00661BCF">
              <w:rPr>
                <w:rFonts w:asciiTheme="minorHAnsi" w:hAnsiTheme="minorHAnsi" w:cstheme="minorHAnsi"/>
                <w:sz w:val="22"/>
                <w:szCs w:val="22"/>
              </w:rPr>
              <w:t>freedom;</w:t>
            </w:r>
            <w:proofErr w:type="gramEnd"/>
          </w:p>
          <w:p w14:paraId="38389E11" w14:textId="77777777" w:rsidR="00CE6EED" w:rsidRPr="00661BCF" w:rsidRDefault="00CE6EED" w:rsidP="00CE6EED">
            <w:pPr>
              <w:spacing w:before="240"/>
              <w:rPr>
                <w:rFonts w:asciiTheme="minorHAnsi" w:hAnsiTheme="minorHAnsi" w:cstheme="minorHAnsi"/>
                <w:sz w:val="22"/>
                <w:szCs w:val="22"/>
              </w:rPr>
            </w:pPr>
          </w:p>
          <w:p w14:paraId="6F14CAD0"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 xml:space="preserve">When </w:t>
            </w:r>
            <w:r w:rsidRPr="00661BCF">
              <w:rPr>
                <w:rFonts w:asciiTheme="minorHAnsi" w:hAnsiTheme="minorHAnsi" w:cstheme="minorHAnsi"/>
                <w:i/>
                <w:sz w:val="22"/>
                <w:szCs w:val="22"/>
              </w:rPr>
              <w:t>O</w:t>
            </w:r>
            <w:r w:rsidRPr="00661BCF">
              <w:rPr>
                <w:rFonts w:asciiTheme="minorHAnsi" w:hAnsiTheme="minorHAnsi" w:cstheme="minorHAnsi"/>
                <w:sz w:val="22"/>
                <w:szCs w:val="22"/>
              </w:rPr>
              <w:t xml:space="preserve"> &gt;= 389 then,</w:t>
            </w:r>
          </w:p>
          <w:p w14:paraId="0BB58933" w14:textId="6DA1E7D9" w:rsidR="00CE6EED" w:rsidRPr="00661BCF" w:rsidRDefault="00CE6EED" w:rsidP="00CE6EED">
            <w:pPr>
              <w:spacing w:before="240"/>
              <w:jc w:val="center"/>
              <w:rPr>
                <w:rFonts w:asciiTheme="minorHAnsi" w:hAnsiTheme="minorHAnsi" w:cstheme="minorHAnsi"/>
                <w:sz w:val="22"/>
                <w:szCs w:val="22"/>
              </w:rPr>
            </w:pPr>
            <w:r w:rsidRPr="00661BCF">
              <w:rPr>
                <w:rFonts w:asciiTheme="minorHAnsi" w:hAnsiTheme="minorHAnsi" w:cstheme="minorHAnsi"/>
                <w:noProof/>
                <w:lang w:eastAsia="en-GB"/>
              </w:rPr>
              <w:drawing>
                <wp:inline distT="0" distB="0" distL="0" distR="0" wp14:anchorId="4243D3C2" wp14:editId="1C08224A">
                  <wp:extent cx="3070860" cy="1143000"/>
                  <wp:effectExtent l="0" t="0" r="0" b="0"/>
                  <wp:docPr id="7" name="Picture 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070860" cy="1143000"/>
                          </a:xfrm>
                          <a:prstGeom prst="rect">
                            <a:avLst/>
                          </a:prstGeom>
                        </pic:spPr>
                      </pic:pic>
                    </a:graphicData>
                  </a:graphic>
                </wp:inline>
              </w:drawing>
            </w:r>
          </w:p>
          <w:p w14:paraId="4E5D11EA" w14:textId="77777777" w:rsidR="00CE6EED" w:rsidRPr="00661BCF" w:rsidRDefault="00CE6EED" w:rsidP="00CE6EED">
            <w:pPr>
              <w:spacing w:before="240"/>
              <w:rPr>
                <w:rFonts w:asciiTheme="minorHAnsi" w:hAnsiTheme="minorHAnsi" w:cstheme="minorHAnsi"/>
                <w:sz w:val="22"/>
                <w:szCs w:val="22"/>
              </w:rPr>
            </w:pPr>
            <w:r w:rsidRPr="00661BCF">
              <w:rPr>
                <w:rFonts w:asciiTheme="minorHAnsi" w:hAnsiTheme="minorHAnsi" w:cstheme="minorHAnsi"/>
                <w:sz w:val="22"/>
                <w:szCs w:val="22"/>
              </w:rPr>
              <w:t>Where:</w:t>
            </w:r>
          </w:p>
          <w:p w14:paraId="50B210E9" w14:textId="6385142C" w:rsidR="00CE6EED" w:rsidRPr="00661BCF" w:rsidRDefault="00CE6EED" w:rsidP="00CE6EED">
            <w:pPr>
              <w:spacing w:before="240"/>
              <w:rPr>
                <w:rFonts w:asciiTheme="minorHAnsi" w:hAnsiTheme="minorHAnsi" w:cstheme="minorHAnsi"/>
                <w:b/>
                <w:sz w:val="22"/>
                <w:szCs w:val="22"/>
              </w:rPr>
            </w:pPr>
            <w:r w:rsidRPr="00661BCF">
              <w:rPr>
                <w:rFonts w:asciiTheme="minorHAnsi" w:hAnsiTheme="minorHAnsi" w:cstheme="minorHAnsi"/>
                <w:i/>
                <w:sz w:val="22"/>
                <w:szCs w:val="22"/>
              </w:rPr>
              <w:t>z</w:t>
            </w:r>
            <w:r w:rsidRPr="00661BCF">
              <w:rPr>
                <w:rFonts w:asciiTheme="minorHAnsi" w:hAnsiTheme="minorHAnsi" w:cstheme="minorHAnsi"/>
                <w:sz w:val="22"/>
                <w:szCs w:val="22"/>
              </w:rPr>
              <w:t xml:space="preserve"> is the 97.5th percentile value from the Standard Normal distribution.</w:t>
            </w:r>
          </w:p>
        </w:tc>
      </w:tr>
      <w:tr w:rsidR="00661BCF" w:rsidRPr="00661BCF" w14:paraId="659DBDF0" w14:textId="77777777" w:rsidTr="00CE6EED">
        <w:tc>
          <w:tcPr>
            <w:tcW w:w="3114" w:type="dxa"/>
          </w:tcPr>
          <w:p w14:paraId="22E2E288" w14:textId="6F1946ED"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lastRenderedPageBreak/>
              <w:t>Justification of confidence intervals / control limits used</w:t>
            </w:r>
          </w:p>
        </w:tc>
        <w:tc>
          <w:tcPr>
            <w:tcW w:w="6740" w:type="dxa"/>
          </w:tcPr>
          <w:p w14:paraId="751945F5" w14:textId="77777777" w:rsidR="00661BCF" w:rsidRPr="00661BCF" w:rsidRDefault="00661BCF" w:rsidP="00661BCF">
            <w:pPr>
              <w:spacing w:before="240"/>
              <w:rPr>
                <w:rFonts w:asciiTheme="minorHAnsi" w:hAnsiTheme="minorHAnsi" w:cstheme="minorHAnsi"/>
                <w:sz w:val="22"/>
                <w:szCs w:val="22"/>
              </w:rPr>
            </w:pPr>
          </w:p>
        </w:tc>
      </w:tr>
      <w:tr w:rsidR="00661BCF" w:rsidRPr="00661BCF" w14:paraId="4E3E64F5" w14:textId="77777777" w:rsidTr="00CE6EED">
        <w:tc>
          <w:tcPr>
            <w:tcW w:w="3114" w:type="dxa"/>
          </w:tcPr>
          <w:p w14:paraId="2BCD9628" w14:textId="64A31D8C"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Presentation of indicator</w:t>
            </w:r>
          </w:p>
        </w:tc>
        <w:tc>
          <w:tcPr>
            <w:tcW w:w="6740" w:type="dxa"/>
          </w:tcPr>
          <w:p w14:paraId="60B17EE4" w14:textId="77777777" w:rsidR="00661BCF" w:rsidRPr="00661BCF" w:rsidRDefault="00661BCF" w:rsidP="00661BCF">
            <w:pPr>
              <w:spacing w:before="240"/>
              <w:rPr>
                <w:rFonts w:asciiTheme="minorHAnsi" w:hAnsiTheme="minorHAnsi" w:cstheme="minorHAnsi"/>
                <w:sz w:val="22"/>
                <w:szCs w:val="22"/>
              </w:rPr>
            </w:pPr>
            <w:r w:rsidRPr="00661BCF">
              <w:rPr>
                <w:rFonts w:asciiTheme="minorHAnsi" w:hAnsiTheme="minorHAnsi" w:cstheme="minorHAnsi"/>
                <w:sz w:val="22"/>
                <w:szCs w:val="22"/>
              </w:rPr>
              <w:t>This indicator:</w:t>
            </w:r>
          </w:p>
          <w:p w14:paraId="145DD469" w14:textId="77777777" w:rsidR="00661BCF" w:rsidRPr="00661BCF" w:rsidRDefault="00661BCF" w:rsidP="00661BCF">
            <w:pPr>
              <w:pStyle w:val="ListParagraph"/>
              <w:numPr>
                <w:ilvl w:val="0"/>
                <w:numId w:val="7"/>
              </w:numPr>
              <w:spacing w:before="240"/>
              <w:rPr>
                <w:rFonts w:asciiTheme="minorHAnsi" w:hAnsiTheme="minorHAnsi" w:cstheme="minorHAnsi"/>
                <w:sz w:val="22"/>
                <w:szCs w:val="22"/>
              </w:rPr>
            </w:pPr>
            <w:r w:rsidRPr="00661BCF">
              <w:rPr>
                <w:rFonts w:asciiTheme="minorHAnsi" w:hAnsiTheme="minorHAnsi" w:cstheme="minorHAnsi"/>
                <w:sz w:val="22"/>
                <w:szCs w:val="22"/>
              </w:rPr>
              <w:t>Is released in .csv and .xlsx formats</w:t>
            </w:r>
          </w:p>
          <w:p w14:paraId="6EAA82FA" w14:textId="77777777" w:rsidR="00661BCF" w:rsidRPr="00661BCF" w:rsidRDefault="00661BCF" w:rsidP="00661BCF">
            <w:pPr>
              <w:pStyle w:val="ListParagraph"/>
              <w:numPr>
                <w:ilvl w:val="0"/>
                <w:numId w:val="7"/>
              </w:numPr>
              <w:spacing w:before="240"/>
              <w:rPr>
                <w:rFonts w:asciiTheme="minorHAnsi" w:hAnsiTheme="minorHAnsi" w:cstheme="minorHAnsi"/>
                <w:sz w:val="22"/>
                <w:szCs w:val="22"/>
              </w:rPr>
            </w:pPr>
            <w:r w:rsidRPr="00661BCF">
              <w:rPr>
                <w:rFonts w:asciiTheme="minorHAnsi" w:hAnsiTheme="minorHAnsi" w:cstheme="minorHAnsi"/>
                <w:sz w:val="22"/>
                <w:szCs w:val="22"/>
              </w:rPr>
              <w:t>Has finalised data for financial years 2013/14 to 2015/16, provisional data is broken down differently.</w:t>
            </w:r>
          </w:p>
          <w:p w14:paraId="1E6FB1ED" w14:textId="77777777" w:rsidR="00661BCF" w:rsidRPr="00661BCF" w:rsidRDefault="00661BCF" w:rsidP="00661BCF">
            <w:pPr>
              <w:pStyle w:val="ListParagraph"/>
              <w:numPr>
                <w:ilvl w:val="0"/>
                <w:numId w:val="7"/>
              </w:numPr>
              <w:spacing w:before="240"/>
              <w:rPr>
                <w:rFonts w:asciiTheme="minorHAnsi" w:hAnsiTheme="minorHAnsi" w:cstheme="minorHAnsi"/>
                <w:sz w:val="22"/>
                <w:szCs w:val="22"/>
              </w:rPr>
            </w:pPr>
            <w:r w:rsidRPr="00661BCF">
              <w:rPr>
                <w:rFonts w:asciiTheme="minorHAnsi" w:hAnsiTheme="minorHAnsi" w:cstheme="minorHAnsi"/>
                <w:sz w:val="22"/>
                <w:szCs w:val="22"/>
              </w:rPr>
              <w:t>Has finalised data broken down to CCG- and national- level.</w:t>
            </w:r>
          </w:p>
          <w:p w14:paraId="0906357B" w14:textId="3E098360" w:rsidR="00661BCF" w:rsidRPr="00661BCF" w:rsidRDefault="00661BCF" w:rsidP="00661BCF">
            <w:pPr>
              <w:spacing w:before="240"/>
              <w:rPr>
                <w:rFonts w:asciiTheme="minorHAnsi" w:hAnsiTheme="minorHAnsi" w:cstheme="minorHAnsi"/>
                <w:sz w:val="22"/>
                <w:szCs w:val="22"/>
              </w:rPr>
            </w:pPr>
            <w:r w:rsidRPr="00661BCF">
              <w:rPr>
                <w:rFonts w:asciiTheme="minorHAnsi" w:hAnsiTheme="minorHAnsi" w:cstheme="minorHAnsi"/>
                <w:sz w:val="22"/>
                <w:szCs w:val="22"/>
              </w:rPr>
              <w:t>Present upper and lower confidence intervals along with numerator and denominator values used in the calculation of the actual indicator values</w:t>
            </w:r>
          </w:p>
        </w:tc>
      </w:tr>
      <w:tr w:rsidR="00661BCF" w:rsidRPr="00661BCF" w14:paraId="320D76AB" w14:textId="77777777" w:rsidTr="00CE6EED">
        <w:tc>
          <w:tcPr>
            <w:tcW w:w="3114" w:type="dxa"/>
          </w:tcPr>
          <w:p w14:paraId="498E4800" w14:textId="77777777"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Contextual information provided alongside indicator</w:t>
            </w:r>
          </w:p>
          <w:p w14:paraId="7053A739" w14:textId="726D0595"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sz w:val="22"/>
                <w:szCs w:val="22"/>
              </w:rPr>
              <w:t>with justification</w:t>
            </w:r>
          </w:p>
        </w:tc>
        <w:tc>
          <w:tcPr>
            <w:tcW w:w="6740" w:type="dxa"/>
          </w:tcPr>
          <w:p w14:paraId="544339CE" w14:textId="77777777" w:rsidR="00661BCF" w:rsidRPr="00661BCF" w:rsidRDefault="00661BCF" w:rsidP="00661BCF">
            <w:pPr>
              <w:spacing w:before="240"/>
              <w:rPr>
                <w:rFonts w:asciiTheme="minorHAnsi" w:hAnsiTheme="minorHAnsi" w:cstheme="minorHAnsi"/>
                <w:sz w:val="22"/>
                <w:szCs w:val="22"/>
              </w:rPr>
            </w:pPr>
          </w:p>
        </w:tc>
      </w:tr>
      <w:tr w:rsidR="00661BCF" w:rsidRPr="00661BCF" w14:paraId="54BB9E72" w14:textId="77777777" w:rsidTr="00CE6EED">
        <w:tc>
          <w:tcPr>
            <w:tcW w:w="3114" w:type="dxa"/>
          </w:tcPr>
          <w:p w14:paraId="78DAE6EF" w14:textId="3CBA4DD6"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Calculation and data source of contextual information</w:t>
            </w:r>
          </w:p>
        </w:tc>
        <w:tc>
          <w:tcPr>
            <w:tcW w:w="6740" w:type="dxa"/>
          </w:tcPr>
          <w:p w14:paraId="00DA60AE" w14:textId="77777777" w:rsidR="00661BCF" w:rsidRPr="00661BCF" w:rsidRDefault="00661BCF" w:rsidP="00661BCF">
            <w:pPr>
              <w:spacing w:before="240"/>
              <w:rPr>
                <w:rFonts w:asciiTheme="minorHAnsi" w:hAnsiTheme="minorHAnsi" w:cstheme="minorHAnsi"/>
                <w:sz w:val="22"/>
                <w:szCs w:val="22"/>
              </w:rPr>
            </w:pPr>
          </w:p>
        </w:tc>
      </w:tr>
      <w:tr w:rsidR="00661BCF" w:rsidRPr="00661BCF" w14:paraId="563B75E6" w14:textId="77777777" w:rsidTr="00CE6EED">
        <w:tc>
          <w:tcPr>
            <w:tcW w:w="3114" w:type="dxa"/>
          </w:tcPr>
          <w:p w14:paraId="4226D8FD" w14:textId="77777777"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Use of bandings, benchmarks or targets</w:t>
            </w:r>
          </w:p>
          <w:p w14:paraId="0A90F312" w14:textId="675F32FB"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sz w:val="22"/>
                <w:szCs w:val="22"/>
              </w:rPr>
              <w:t>with justification</w:t>
            </w:r>
          </w:p>
        </w:tc>
        <w:tc>
          <w:tcPr>
            <w:tcW w:w="6740" w:type="dxa"/>
          </w:tcPr>
          <w:p w14:paraId="75C9B541" w14:textId="77777777" w:rsidR="00661BCF" w:rsidRPr="00661BCF" w:rsidRDefault="00661BCF" w:rsidP="00661BCF">
            <w:pPr>
              <w:spacing w:before="240"/>
              <w:rPr>
                <w:rFonts w:asciiTheme="minorHAnsi" w:hAnsiTheme="minorHAnsi" w:cstheme="minorHAnsi"/>
                <w:sz w:val="22"/>
                <w:szCs w:val="22"/>
              </w:rPr>
            </w:pPr>
          </w:p>
        </w:tc>
      </w:tr>
      <w:tr w:rsidR="00661BCF" w:rsidRPr="00661BCF" w14:paraId="462AB1DA" w14:textId="77777777" w:rsidTr="00CE6EED">
        <w:tc>
          <w:tcPr>
            <w:tcW w:w="3114" w:type="dxa"/>
          </w:tcPr>
          <w:p w14:paraId="6EF5CBAA" w14:textId="77777777"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lastRenderedPageBreak/>
              <w:t>Banding, benchmark or target methodology</w:t>
            </w:r>
          </w:p>
          <w:p w14:paraId="7F16BE9F" w14:textId="66931FEF"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sz w:val="22"/>
                <w:szCs w:val="22"/>
              </w:rPr>
              <w:t>if appropriate</w:t>
            </w:r>
          </w:p>
        </w:tc>
        <w:tc>
          <w:tcPr>
            <w:tcW w:w="6740" w:type="dxa"/>
          </w:tcPr>
          <w:p w14:paraId="269BE847" w14:textId="77777777" w:rsidR="00661BCF" w:rsidRPr="00661BCF" w:rsidRDefault="00661BCF" w:rsidP="00661BCF">
            <w:pPr>
              <w:spacing w:before="240"/>
              <w:rPr>
                <w:rFonts w:asciiTheme="minorHAnsi" w:hAnsiTheme="minorHAnsi" w:cstheme="minorHAnsi"/>
                <w:sz w:val="22"/>
                <w:szCs w:val="22"/>
              </w:rPr>
            </w:pPr>
          </w:p>
        </w:tc>
      </w:tr>
      <w:tr w:rsidR="00661BCF" w:rsidRPr="00661BCF" w14:paraId="48F8DEE6" w14:textId="77777777" w:rsidTr="00CE6EED">
        <w:tc>
          <w:tcPr>
            <w:tcW w:w="3114" w:type="dxa"/>
          </w:tcPr>
          <w:p w14:paraId="68638D39" w14:textId="3BA3E176"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Interpretation guidelines</w:t>
            </w:r>
          </w:p>
        </w:tc>
        <w:tc>
          <w:tcPr>
            <w:tcW w:w="6740" w:type="dxa"/>
          </w:tcPr>
          <w:p w14:paraId="4E2DAAA8" w14:textId="190D3C1E" w:rsidR="00661BCF" w:rsidRPr="00661BCF" w:rsidRDefault="00661BCF" w:rsidP="00661BCF">
            <w:pPr>
              <w:spacing w:before="240"/>
              <w:rPr>
                <w:rFonts w:asciiTheme="minorHAnsi" w:hAnsiTheme="minorHAnsi" w:cstheme="minorHAnsi"/>
                <w:sz w:val="22"/>
                <w:szCs w:val="22"/>
              </w:rPr>
            </w:pPr>
            <w:r w:rsidRPr="00661BCF">
              <w:rPr>
                <w:rFonts w:asciiTheme="minorHAnsi" w:hAnsiTheme="minorHAnsi" w:cstheme="minorHAnsi"/>
                <w:sz w:val="22"/>
                <w:szCs w:val="22"/>
              </w:rPr>
              <w:t>This indicator requires careful interpretation and should not be viewed in isolation, but instead be considered alongside information from other indicators and alternative sources such as patient feedback, staff surveys and similar material. When evaluated together, these will help to provide a holistic view of CCG outcomes and provide a more complete overview of the impact of the CCGs’ processes on outcomes.</w:t>
            </w:r>
          </w:p>
        </w:tc>
      </w:tr>
      <w:tr w:rsidR="00661BCF" w:rsidRPr="00661BCF" w14:paraId="70BAF59E" w14:textId="77777777" w:rsidTr="00CE6EED">
        <w:tc>
          <w:tcPr>
            <w:tcW w:w="3114" w:type="dxa"/>
          </w:tcPr>
          <w:p w14:paraId="7BEBE62E" w14:textId="4F6DB305"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Limitations and potential bias</w:t>
            </w:r>
          </w:p>
        </w:tc>
        <w:tc>
          <w:tcPr>
            <w:tcW w:w="6740" w:type="dxa"/>
          </w:tcPr>
          <w:p w14:paraId="3E79B423" w14:textId="77777777" w:rsidR="00661BCF" w:rsidRPr="00661BCF" w:rsidRDefault="00661BCF" w:rsidP="00661BCF">
            <w:pPr>
              <w:spacing w:before="240"/>
              <w:rPr>
                <w:rFonts w:asciiTheme="minorHAnsi" w:hAnsiTheme="minorHAnsi" w:cstheme="minorHAnsi"/>
                <w:sz w:val="22"/>
                <w:szCs w:val="22"/>
              </w:rPr>
            </w:pPr>
          </w:p>
          <w:p w14:paraId="5E007D14" w14:textId="77777777" w:rsidR="00661BCF" w:rsidRPr="00661BCF" w:rsidRDefault="00661BCF" w:rsidP="00661BCF">
            <w:pPr>
              <w:pStyle w:val="ListParagraph"/>
              <w:numPr>
                <w:ilvl w:val="0"/>
                <w:numId w:val="8"/>
              </w:numPr>
              <w:spacing w:before="240"/>
              <w:rPr>
                <w:rFonts w:asciiTheme="minorHAnsi" w:hAnsiTheme="minorHAnsi" w:cstheme="minorHAnsi"/>
                <w:sz w:val="22"/>
                <w:szCs w:val="22"/>
              </w:rPr>
            </w:pPr>
            <w:r w:rsidRPr="00661BCF">
              <w:rPr>
                <w:rFonts w:asciiTheme="minorHAnsi" w:hAnsiTheme="minorHAnsi" w:cstheme="minorHAnsi"/>
                <w:sz w:val="22"/>
                <w:szCs w:val="22"/>
              </w:rPr>
              <w:t>This indicator requires careful interpretation and should not be used in isolation. It should be taken in conjunction with other indicators and information from other sources that together form a holistic view of CCG outcomes and a fuller overview of how CCG processes are impacting on outcomes.</w:t>
            </w:r>
          </w:p>
          <w:p w14:paraId="53CB445A" w14:textId="77777777" w:rsidR="00661BCF" w:rsidRPr="00661BCF" w:rsidRDefault="00661BCF" w:rsidP="00661BCF">
            <w:pPr>
              <w:pStyle w:val="ListParagraph"/>
              <w:numPr>
                <w:ilvl w:val="0"/>
                <w:numId w:val="8"/>
              </w:numPr>
              <w:spacing w:before="240"/>
              <w:rPr>
                <w:rFonts w:asciiTheme="minorHAnsi" w:hAnsiTheme="minorHAnsi" w:cstheme="minorHAnsi"/>
                <w:sz w:val="22"/>
                <w:szCs w:val="22"/>
              </w:rPr>
            </w:pPr>
            <w:r w:rsidRPr="00661BCF">
              <w:rPr>
                <w:rFonts w:asciiTheme="minorHAnsi" w:hAnsiTheme="minorHAnsi" w:cstheme="minorHAnsi"/>
                <w:sz w:val="22"/>
                <w:szCs w:val="22"/>
              </w:rPr>
              <w:t>Standardisation is by age and sex and does not encompass any other factors that could potentially influence the rate.</w:t>
            </w:r>
          </w:p>
          <w:p w14:paraId="380A139A" w14:textId="77777777" w:rsidR="00661BCF" w:rsidRPr="00661BCF" w:rsidRDefault="00661BCF" w:rsidP="00661BCF">
            <w:pPr>
              <w:pStyle w:val="ListParagraph"/>
              <w:numPr>
                <w:ilvl w:val="0"/>
                <w:numId w:val="8"/>
              </w:numPr>
              <w:spacing w:before="240"/>
              <w:rPr>
                <w:rFonts w:asciiTheme="minorHAnsi" w:hAnsiTheme="minorHAnsi" w:cstheme="minorHAnsi"/>
                <w:sz w:val="22"/>
                <w:szCs w:val="22"/>
              </w:rPr>
            </w:pPr>
            <w:r w:rsidRPr="00661BCF">
              <w:rPr>
                <w:rFonts w:asciiTheme="minorHAnsi" w:hAnsiTheme="minorHAnsi" w:cstheme="minorHAnsi"/>
                <w:sz w:val="22"/>
                <w:szCs w:val="22"/>
              </w:rPr>
              <w:t xml:space="preserve">Differences in </w:t>
            </w:r>
            <w:proofErr w:type="spellStart"/>
            <w:r w:rsidRPr="00661BCF">
              <w:rPr>
                <w:rFonts w:asciiTheme="minorHAnsi" w:hAnsiTheme="minorHAnsi" w:cstheme="minorHAnsi"/>
                <w:sz w:val="22"/>
                <w:szCs w:val="22"/>
              </w:rPr>
              <w:t>casemix</w:t>
            </w:r>
            <w:proofErr w:type="spellEnd"/>
            <w:r w:rsidRPr="00661BCF">
              <w:rPr>
                <w:rFonts w:asciiTheme="minorHAnsi" w:hAnsiTheme="minorHAnsi" w:cstheme="minorHAnsi"/>
                <w:sz w:val="22"/>
                <w:szCs w:val="22"/>
              </w:rPr>
              <w:t xml:space="preserve"> (beyond that accounted for by standardisation), comorbidities and other potential risk factors also contribute to the variation.</w:t>
            </w:r>
          </w:p>
          <w:p w14:paraId="759ECBCA" w14:textId="77777777" w:rsidR="00661BCF" w:rsidRPr="00661BCF" w:rsidRDefault="00661BCF" w:rsidP="00661BCF">
            <w:pPr>
              <w:pStyle w:val="ListParagraph"/>
              <w:numPr>
                <w:ilvl w:val="0"/>
                <w:numId w:val="8"/>
              </w:numPr>
              <w:spacing w:before="240"/>
              <w:rPr>
                <w:rFonts w:asciiTheme="minorHAnsi" w:hAnsiTheme="minorHAnsi" w:cstheme="minorHAnsi"/>
                <w:sz w:val="22"/>
                <w:szCs w:val="22"/>
              </w:rPr>
            </w:pPr>
            <w:r w:rsidRPr="00661BCF">
              <w:rPr>
                <w:rFonts w:asciiTheme="minorHAnsi" w:hAnsiTheme="minorHAnsi" w:cstheme="minorHAnsi"/>
                <w:sz w:val="22"/>
                <w:szCs w:val="22"/>
              </w:rPr>
              <w:t xml:space="preserve">There may be variation in the prevalence of </w:t>
            </w:r>
            <w:proofErr w:type="gramStart"/>
            <w:r w:rsidRPr="00661BCF">
              <w:rPr>
                <w:rFonts w:asciiTheme="minorHAnsi" w:hAnsiTheme="minorHAnsi" w:cstheme="minorHAnsi"/>
                <w:sz w:val="22"/>
                <w:szCs w:val="22"/>
              </w:rPr>
              <w:t>particular conditions</w:t>
            </w:r>
            <w:proofErr w:type="gramEnd"/>
            <w:r w:rsidRPr="00661BCF">
              <w:rPr>
                <w:rFonts w:asciiTheme="minorHAnsi" w:hAnsiTheme="minorHAnsi" w:cstheme="minorHAnsi"/>
                <w:sz w:val="22"/>
                <w:szCs w:val="22"/>
              </w:rPr>
              <w:t xml:space="preserve"> due to differing levels of deprivation, for other geo-demographic reasons or between patients of different ethnic heritages.</w:t>
            </w:r>
          </w:p>
          <w:p w14:paraId="67FD0435" w14:textId="77777777" w:rsidR="00661BCF" w:rsidRPr="00661BCF" w:rsidRDefault="00661BCF" w:rsidP="00661BCF">
            <w:pPr>
              <w:pStyle w:val="ListParagraph"/>
              <w:numPr>
                <w:ilvl w:val="0"/>
                <w:numId w:val="8"/>
              </w:numPr>
              <w:spacing w:before="240"/>
              <w:rPr>
                <w:rFonts w:asciiTheme="minorHAnsi" w:hAnsiTheme="minorHAnsi" w:cstheme="minorHAnsi"/>
                <w:sz w:val="22"/>
                <w:szCs w:val="22"/>
              </w:rPr>
            </w:pPr>
            <w:r w:rsidRPr="00661BCF">
              <w:rPr>
                <w:rFonts w:asciiTheme="minorHAnsi" w:hAnsiTheme="minorHAnsi" w:cstheme="minorHAnsi"/>
                <w:sz w:val="22"/>
                <w:szCs w:val="22"/>
              </w:rPr>
              <w:t xml:space="preserve">A number of factors outside the control of healthcare providers, such as the socio-economic mix of local populations, may determine whether a patient is admitted; </w:t>
            </w:r>
            <w:proofErr w:type="gramStart"/>
            <w:r w:rsidRPr="00661BCF">
              <w:rPr>
                <w:rFonts w:asciiTheme="minorHAnsi" w:hAnsiTheme="minorHAnsi" w:cstheme="minorHAnsi"/>
                <w:sz w:val="22"/>
                <w:szCs w:val="22"/>
              </w:rPr>
              <w:t>thus</w:t>
            </w:r>
            <w:proofErr w:type="gramEnd"/>
            <w:r w:rsidRPr="00661BCF">
              <w:rPr>
                <w:rFonts w:asciiTheme="minorHAnsi" w:hAnsiTheme="minorHAnsi" w:cstheme="minorHAnsi"/>
                <w:sz w:val="22"/>
                <w:szCs w:val="22"/>
              </w:rPr>
              <w:t xml:space="preserve"> this could influence rates.</w:t>
            </w:r>
          </w:p>
          <w:p w14:paraId="709760F5" w14:textId="77777777" w:rsidR="00661BCF" w:rsidRPr="00661BCF" w:rsidRDefault="00661BCF" w:rsidP="00661BCF">
            <w:pPr>
              <w:pStyle w:val="ListParagraph"/>
              <w:numPr>
                <w:ilvl w:val="0"/>
                <w:numId w:val="8"/>
              </w:numPr>
              <w:spacing w:before="240"/>
              <w:rPr>
                <w:rFonts w:asciiTheme="minorHAnsi" w:hAnsiTheme="minorHAnsi" w:cstheme="minorHAnsi"/>
                <w:sz w:val="22"/>
                <w:szCs w:val="22"/>
              </w:rPr>
            </w:pPr>
            <w:r w:rsidRPr="00661BCF">
              <w:rPr>
                <w:rFonts w:asciiTheme="minorHAnsi" w:hAnsiTheme="minorHAnsi" w:cstheme="minorHAnsi"/>
                <w:sz w:val="22"/>
                <w:szCs w:val="22"/>
              </w:rPr>
              <w:t xml:space="preserve">The patterns of providing care may vary between organisations in terms </w:t>
            </w:r>
            <w:proofErr w:type="gramStart"/>
            <w:r w:rsidRPr="00661BCF">
              <w:rPr>
                <w:rFonts w:asciiTheme="minorHAnsi" w:hAnsiTheme="minorHAnsi" w:cstheme="minorHAnsi"/>
                <w:sz w:val="22"/>
                <w:szCs w:val="22"/>
              </w:rPr>
              <w:t>of:</w:t>
            </w:r>
            <w:proofErr w:type="gramEnd"/>
            <w:r w:rsidRPr="00661BCF">
              <w:rPr>
                <w:rFonts w:asciiTheme="minorHAnsi" w:hAnsiTheme="minorHAnsi" w:cstheme="minorHAnsi"/>
                <w:sz w:val="22"/>
                <w:szCs w:val="22"/>
              </w:rPr>
              <w:t xml:space="preserve"> extent of treatment in primary care settings; referral policies and practices; hospital outpatient facilities/walk-in clinics; and hospital inpatient admission policies and practices.</w:t>
            </w:r>
          </w:p>
          <w:p w14:paraId="7A6F92EF" w14:textId="77777777" w:rsidR="00661BCF" w:rsidRPr="00661BCF" w:rsidRDefault="00661BCF" w:rsidP="00661BCF">
            <w:pPr>
              <w:pStyle w:val="ListParagraph"/>
              <w:numPr>
                <w:ilvl w:val="0"/>
                <w:numId w:val="8"/>
              </w:numPr>
              <w:spacing w:before="240"/>
              <w:rPr>
                <w:rFonts w:asciiTheme="minorHAnsi" w:hAnsiTheme="minorHAnsi" w:cstheme="minorHAnsi"/>
                <w:sz w:val="22"/>
                <w:szCs w:val="22"/>
              </w:rPr>
            </w:pPr>
            <w:r w:rsidRPr="00661BCF">
              <w:rPr>
                <w:rFonts w:asciiTheme="minorHAnsi" w:hAnsiTheme="minorHAnsi" w:cstheme="minorHAnsi"/>
                <w:sz w:val="22"/>
                <w:szCs w:val="22"/>
              </w:rPr>
              <w:t>There may be local variation in data quality, particularly in terms of diagnostic and procedure coding.</w:t>
            </w:r>
          </w:p>
          <w:p w14:paraId="23EA5B3D" w14:textId="2564C573" w:rsidR="00661BCF" w:rsidRPr="00661BCF" w:rsidRDefault="00661BCF" w:rsidP="00661BCF">
            <w:pPr>
              <w:spacing w:before="240"/>
              <w:rPr>
                <w:rFonts w:asciiTheme="minorHAnsi" w:hAnsiTheme="minorHAnsi" w:cstheme="minorHAnsi"/>
                <w:sz w:val="22"/>
                <w:szCs w:val="22"/>
              </w:rPr>
            </w:pPr>
            <w:r w:rsidRPr="00661BCF">
              <w:rPr>
                <w:rFonts w:asciiTheme="minorHAnsi" w:hAnsiTheme="minorHAnsi" w:cstheme="minorHAnsi"/>
                <w:sz w:val="22"/>
                <w:szCs w:val="22"/>
              </w:rPr>
              <w:t>Some factors causing or exacerbating relevant conditions are outside the control and influence of the NHS and CCGs. These can vary by region, and may include environmental factors such as air quality, occupational hazards and deprivation.</w:t>
            </w:r>
          </w:p>
        </w:tc>
      </w:tr>
      <w:tr w:rsidR="00661BCF" w:rsidRPr="00661BCF" w14:paraId="45EB70CD" w14:textId="77777777" w:rsidTr="00CE6EED">
        <w:tc>
          <w:tcPr>
            <w:tcW w:w="3114" w:type="dxa"/>
          </w:tcPr>
          <w:p w14:paraId="6F742A3A" w14:textId="74533259"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lastRenderedPageBreak/>
              <w:t>Improvement actions</w:t>
            </w:r>
          </w:p>
        </w:tc>
        <w:tc>
          <w:tcPr>
            <w:tcW w:w="6740" w:type="dxa"/>
          </w:tcPr>
          <w:p w14:paraId="5684F658" w14:textId="36BF8448" w:rsidR="00661BCF" w:rsidRPr="00661BCF" w:rsidRDefault="00661BCF" w:rsidP="00661BCF">
            <w:pPr>
              <w:spacing w:before="240"/>
              <w:rPr>
                <w:rFonts w:asciiTheme="minorHAnsi" w:hAnsiTheme="minorHAnsi" w:cstheme="minorHAnsi"/>
                <w:sz w:val="22"/>
                <w:szCs w:val="22"/>
              </w:rPr>
            </w:pPr>
            <w:r w:rsidRPr="00661BCF">
              <w:rPr>
                <w:rFonts w:asciiTheme="minorHAnsi" w:hAnsiTheme="minorHAnsi" w:cstheme="minorHAnsi"/>
                <w:sz w:val="22"/>
                <w:szCs w:val="22"/>
              </w:rPr>
              <w:t>It is expected that CCGs will use this to identify how improvements in care and the desired reduction of emergency hip fracture admissions will be delivered.</w:t>
            </w:r>
          </w:p>
        </w:tc>
      </w:tr>
      <w:tr w:rsidR="00661BCF" w:rsidRPr="00661BCF" w14:paraId="7FC278AD" w14:textId="77777777" w:rsidTr="00CE6EED">
        <w:tc>
          <w:tcPr>
            <w:tcW w:w="3114" w:type="dxa"/>
          </w:tcPr>
          <w:p w14:paraId="746EDA4D" w14:textId="629C6FFE"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Evidence of variability</w:t>
            </w:r>
          </w:p>
        </w:tc>
        <w:tc>
          <w:tcPr>
            <w:tcW w:w="6740" w:type="dxa"/>
          </w:tcPr>
          <w:p w14:paraId="5BB9BE32" w14:textId="77777777" w:rsidR="00661BCF" w:rsidRPr="00661BCF" w:rsidRDefault="00661BCF" w:rsidP="00661BCF">
            <w:pPr>
              <w:spacing w:before="240"/>
              <w:rPr>
                <w:rFonts w:asciiTheme="minorHAnsi" w:hAnsiTheme="minorHAnsi" w:cstheme="minorHAnsi"/>
                <w:sz w:val="22"/>
                <w:szCs w:val="22"/>
              </w:rPr>
            </w:pPr>
          </w:p>
        </w:tc>
      </w:tr>
      <w:tr w:rsidR="00661BCF" w:rsidRPr="00661BCF" w14:paraId="2F6F4613" w14:textId="77777777" w:rsidTr="00CE6EED">
        <w:tc>
          <w:tcPr>
            <w:tcW w:w="3114" w:type="dxa"/>
          </w:tcPr>
          <w:p w14:paraId="6BFD30EC" w14:textId="72D64A38"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Similar existing indicators</w:t>
            </w:r>
          </w:p>
        </w:tc>
        <w:tc>
          <w:tcPr>
            <w:tcW w:w="6740" w:type="dxa"/>
          </w:tcPr>
          <w:p w14:paraId="21EA2D86" w14:textId="77777777" w:rsidR="00661BCF" w:rsidRPr="00661BCF" w:rsidRDefault="00661BCF" w:rsidP="00661BCF">
            <w:pPr>
              <w:spacing w:before="240"/>
              <w:rPr>
                <w:rFonts w:asciiTheme="minorHAnsi" w:hAnsiTheme="minorHAnsi" w:cstheme="minorHAnsi"/>
                <w:sz w:val="22"/>
                <w:szCs w:val="22"/>
              </w:rPr>
            </w:pPr>
            <w:r w:rsidRPr="00661BCF">
              <w:rPr>
                <w:rFonts w:asciiTheme="minorHAnsi" w:hAnsiTheme="minorHAnsi" w:cstheme="minorHAnsi"/>
                <w:sz w:val="22"/>
                <w:szCs w:val="22"/>
              </w:rPr>
              <w:t>The Public Health Outcomes Framework (PHOF) indicator 4.14, Emergency admissions for fractured neck of femur in those aged 65 years and over, is published at National, Regional, County and Unitary Authority level.</w:t>
            </w:r>
            <w:r w:rsidRPr="00661BCF">
              <w:rPr>
                <w:rFonts w:asciiTheme="minorHAnsi" w:hAnsiTheme="minorHAnsi" w:cstheme="minorHAnsi"/>
              </w:rPr>
              <w:t xml:space="preserve"> </w:t>
            </w:r>
            <w:r w:rsidRPr="00661BCF">
              <w:rPr>
                <w:rFonts w:asciiTheme="minorHAnsi" w:hAnsiTheme="minorHAnsi" w:cstheme="minorHAnsi"/>
                <w:sz w:val="22"/>
                <w:szCs w:val="22"/>
              </w:rPr>
              <w:t xml:space="preserve">Further information can be found at: </w:t>
            </w:r>
            <w:hyperlink r:id="rId15" w:history="1">
              <w:r w:rsidRPr="00661BCF">
                <w:rPr>
                  <w:rStyle w:val="Hyperlink"/>
                  <w:rFonts w:cstheme="minorHAnsi"/>
                  <w:color w:val="auto"/>
                  <w:sz w:val="22"/>
                  <w:szCs w:val="22"/>
                </w:rPr>
                <w:t>http://www.phoutcomes.info/</w:t>
              </w:r>
            </w:hyperlink>
            <w:r w:rsidRPr="00661BCF">
              <w:rPr>
                <w:rFonts w:asciiTheme="minorHAnsi" w:hAnsiTheme="minorHAnsi" w:cstheme="minorHAnsi"/>
                <w:sz w:val="22"/>
                <w:szCs w:val="22"/>
              </w:rPr>
              <w:t>. PHOF 4.14 differs to hip fracture indicators in the CCG OIS in terms of the level it is produced at and the age range included. The CCG OIS indicators include those aged 60 years and over, aligning to the BPT for hip fracture care and the NHFD, whereas the 60-64 years age group would not be considered older people by any of the standard measures used in public health.</w:t>
            </w:r>
          </w:p>
          <w:p w14:paraId="6B4ACB89" w14:textId="2FE125CD" w:rsidR="00661BCF" w:rsidRPr="00661BCF" w:rsidRDefault="00661BCF" w:rsidP="00661BCF">
            <w:pPr>
              <w:spacing w:before="240"/>
              <w:rPr>
                <w:rFonts w:asciiTheme="minorHAnsi" w:hAnsiTheme="minorHAnsi" w:cstheme="minorHAnsi"/>
                <w:sz w:val="22"/>
                <w:szCs w:val="22"/>
              </w:rPr>
            </w:pPr>
            <w:proofErr w:type="gramStart"/>
            <w:r w:rsidRPr="00661BCF">
              <w:rPr>
                <w:rFonts w:asciiTheme="minorHAnsi" w:hAnsiTheme="minorHAnsi" w:cstheme="minorHAnsi"/>
                <w:sz w:val="22"/>
                <w:szCs w:val="22"/>
              </w:rPr>
              <w:t>A number of</w:t>
            </w:r>
            <w:proofErr w:type="gramEnd"/>
            <w:r w:rsidRPr="00661BCF">
              <w:rPr>
                <w:rFonts w:asciiTheme="minorHAnsi" w:hAnsiTheme="minorHAnsi" w:cstheme="minorHAnsi"/>
                <w:sz w:val="22"/>
                <w:szCs w:val="22"/>
              </w:rPr>
              <w:t xml:space="preserve"> indicators relating to hip fracture are published at provider level in the NHFD annual report. The reports can be found at: </w:t>
            </w:r>
            <w:hyperlink r:id="rId16" w:history="1">
              <w:r w:rsidRPr="00661BCF">
                <w:rPr>
                  <w:rStyle w:val="Hyperlink"/>
                  <w:rFonts w:cstheme="minorHAnsi"/>
                  <w:color w:val="auto"/>
                  <w:sz w:val="22"/>
                  <w:szCs w:val="22"/>
                </w:rPr>
                <w:t>http://www.nhfd.co.uk/</w:t>
              </w:r>
            </w:hyperlink>
            <w:r w:rsidRPr="00661BCF">
              <w:rPr>
                <w:rFonts w:asciiTheme="minorHAnsi" w:hAnsiTheme="minorHAnsi" w:cstheme="minorHAnsi"/>
                <w:sz w:val="22"/>
                <w:szCs w:val="22"/>
              </w:rPr>
              <w:t>.</w:t>
            </w:r>
          </w:p>
        </w:tc>
      </w:tr>
      <w:tr w:rsidR="00661BCF" w:rsidRPr="00661BCF" w14:paraId="2D5BA521" w14:textId="77777777" w:rsidTr="00CE6EED">
        <w:tc>
          <w:tcPr>
            <w:tcW w:w="3114" w:type="dxa"/>
          </w:tcPr>
          <w:p w14:paraId="27ED8E08" w14:textId="2FDA9EEF"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Coherence and comparability</w:t>
            </w:r>
          </w:p>
        </w:tc>
        <w:tc>
          <w:tcPr>
            <w:tcW w:w="6740" w:type="dxa"/>
          </w:tcPr>
          <w:p w14:paraId="5F6E811A" w14:textId="77777777" w:rsidR="00661BCF" w:rsidRPr="00661BCF" w:rsidRDefault="00661BCF" w:rsidP="00661BCF">
            <w:pPr>
              <w:spacing w:before="240"/>
              <w:rPr>
                <w:rFonts w:asciiTheme="minorHAnsi" w:hAnsiTheme="minorHAnsi" w:cstheme="minorHAnsi"/>
                <w:sz w:val="22"/>
                <w:szCs w:val="22"/>
              </w:rPr>
            </w:pPr>
          </w:p>
        </w:tc>
      </w:tr>
      <w:tr w:rsidR="00661BCF" w:rsidRPr="00661BCF" w14:paraId="7ECB0161" w14:textId="77777777" w:rsidTr="00CE6EED">
        <w:tc>
          <w:tcPr>
            <w:tcW w:w="3114" w:type="dxa"/>
          </w:tcPr>
          <w:p w14:paraId="17C38AFD" w14:textId="4D00DBBA"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Undesired behaviours and/or gaming</w:t>
            </w:r>
          </w:p>
        </w:tc>
        <w:tc>
          <w:tcPr>
            <w:tcW w:w="6740" w:type="dxa"/>
          </w:tcPr>
          <w:p w14:paraId="43B7D74A" w14:textId="77777777" w:rsidR="00661BCF" w:rsidRPr="00661BCF" w:rsidRDefault="00661BCF" w:rsidP="00661BCF">
            <w:pPr>
              <w:spacing w:before="240"/>
              <w:rPr>
                <w:rFonts w:asciiTheme="minorHAnsi" w:hAnsiTheme="minorHAnsi" w:cstheme="minorHAnsi"/>
                <w:sz w:val="22"/>
                <w:szCs w:val="22"/>
              </w:rPr>
            </w:pPr>
          </w:p>
        </w:tc>
      </w:tr>
      <w:tr w:rsidR="00661BCF" w:rsidRPr="00661BCF" w14:paraId="311DC7F2" w14:textId="77777777" w:rsidTr="00CE6EED">
        <w:tc>
          <w:tcPr>
            <w:tcW w:w="3114" w:type="dxa"/>
          </w:tcPr>
          <w:p w14:paraId="6EBC36CF" w14:textId="5E8C4CF4"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Approach to indicator review</w:t>
            </w:r>
          </w:p>
        </w:tc>
        <w:tc>
          <w:tcPr>
            <w:tcW w:w="6740" w:type="dxa"/>
          </w:tcPr>
          <w:p w14:paraId="477115C4" w14:textId="77777777" w:rsidR="00661BCF" w:rsidRPr="00661BCF" w:rsidRDefault="00661BCF" w:rsidP="00661BCF">
            <w:pPr>
              <w:spacing w:before="240"/>
              <w:rPr>
                <w:rFonts w:asciiTheme="minorHAnsi" w:hAnsiTheme="minorHAnsi" w:cstheme="minorHAnsi"/>
                <w:sz w:val="22"/>
                <w:szCs w:val="22"/>
              </w:rPr>
            </w:pPr>
            <w:r w:rsidRPr="00661BCF">
              <w:rPr>
                <w:rFonts w:asciiTheme="minorHAnsi" w:hAnsiTheme="minorHAnsi" w:cstheme="minorHAnsi"/>
                <w:sz w:val="22"/>
                <w:szCs w:val="22"/>
              </w:rPr>
              <w:t xml:space="preserve">Comments can be made through various media, including NHS Digital general enquiries by email </w:t>
            </w:r>
            <w:hyperlink r:id="rId17" w:history="1">
              <w:r w:rsidRPr="00661BCF">
                <w:rPr>
                  <w:rStyle w:val="Hyperlink"/>
                  <w:rFonts w:cstheme="minorHAnsi"/>
                  <w:color w:val="auto"/>
                  <w:sz w:val="22"/>
                  <w:szCs w:val="22"/>
                </w:rPr>
                <w:t>enquiries@nhsdigital.nhs.uk</w:t>
              </w:r>
            </w:hyperlink>
            <w:r w:rsidRPr="00661BCF">
              <w:rPr>
                <w:rFonts w:asciiTheme="minorHAnsi" w:hAnsiTheme="minorHAnsi" w:cstheme="minorHAnsi"/>
                <w:sz w:val="22"/>
                <w:szCs w:val="22"/>
              </w:rPr>
              <w:t xml:space="preserve"> or by telephone 0300 303 5678.</w:t>
            </w:r>
          </w:p>
          <w:p w14:paraId="458F9A43" w14:textId="585CD3F9" w:rsidR="00661BCF" w:rsidRPr="00661BCF" w:rsidRDefault="00661BCF" w:rsidP="00661BCF">
            <w:pPr>
              <w:spacing w:before="240"/>
              <w:rPr>
                <w:rFonts w:asciiTheme="minorHAnsi" w:hAnsiTheme="minorHAnsi" w:cstheme="minorHAnsi"/>
                <w:sz w:val="22"/>
                <w:szCs w:val="22"/>
              </w:rPr>
            </w:pPr>
            <w:r w:rsidRPr="00661BCF">
              <w:rPr>
                <w:rFonts w:asciiTheme="minorHAnsi" w:hAnsiTheme="minorHAnsi" w:cstheme="minorHAnsi"/>
                <w:sz w:val="22"/>
                <w:szCs w:val="22"/>
              </w:rPr>
              <w:t>As well as initially assuring the quality and methodology of this indicator, the NHS Digital’s Indicator Assurance Process will be used on an on-going basis to review any new indicators. User needs and feedback will be taken into consideration during this assurance process.</w:t>
            </w:r>
          </w:p>
        </w:tc>
      </w:tr>
      <w:tr w:rsidR="00661BCF" w:rsidRPr="00661BCF" w14:paraId="7190B9C4" w14:textId="77777777" w:rsidTr="00CE6EED">
        <w:tc>
          <w:tcPr>
            <w:tcW w:w="3114" w:type="dxa"/>
          </w:tcPr>
          <w:p w14:paraId="4A41B564" w14:textId="583376CF"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Disclosure control</w:t>
            </w:r>
          </w:p>
        </w:tc>
        <w:tc>
          <w:tcPr>
            <w:tcW w:w="6740" w:type="dxa"/>
          </w:tcPr>
          <w:p w14:paraId="4961BE89" w14:textId="77777777" w:rsidR="00661BCF" w:rsidRPr="00661BCF" w:rsidRDefault="00661BCF" w:rsidP="00661BCF">
            <w:pPr>
              <w:spacing w:before="240"/>
              <w:rPr>
                <w:rFonts w:asciiTheme="minorHAnsi" w:hAnsiTheme="minorHAnsi" w:cstheme="minorHAnsi"/>
                <w:sz w:val="22"/>
                <w:szCs w:val="22"/>
              </w:rPr>
            </w:pPr>
            <w:r w:rsidRPr="00661BCF">
              <w:rPr>
                <w:rFonts w:asciiTheme="minorHAnsi" w:hAnsiTheme="minorHAnsi" w:cstheme="minorHAnsi"/>
                <w:sz w:val="22"/>
                <w:szCs w:val="22"/>
              </w:rPr>
              <w:t>When publishing the data, if the indicator is calculated from a numerator of 1 to 5, the value is suppressed to ensure an individual’s identity is not at risk of being disclosed. If there is only one value suppressed in this way, the rate based upon the next lowest numerator is also suppressed; this reduces the risk of the first suppressed number being identifiable in isolation.</w:t>
            </w:r>
          </w:p>
          <w:p w14:paraId="55D899CA" w14:textId="45D777B8" w:rsidR="00661BCF" w:rsidRPr="00661BCF" w:rsidRDefault="00661BCF" w:rsidP="00661BCF">
            <w:pPr>
              <w:spacing w:before="240"/>
              <w:rPr>
                <w:rFonts w:asciiTheme="minorHAnsi" w:hAnsiTheme="minorHAnsi" w:cstheme="minorHAnsi"/>
                <w:sz w:val="22"/>
                <w:szCs w:val="22"/>
              </w:rPr>
            </w:pPr>
            <w:r w:rsidRPr="00661BCF">
              <w:rPr>
                <w:rFonts w:asciiTheme="minorHAnsi" w:hAnsiTheme="minorHAnsi" w:cstheme="minorHAnsi"/>
                <w:sz w:val="22"/>
                <w:szCs w:val="22"/>
              </w:rPr>
              <w:t>Rates are rounded to one decimal place before publication.</w:t>
            </w:r>
          </w:p>
        </w:tc>
      </w:tr>
      <w:tr w:rsidR="00661BCF" w:rsidRPr="00661BCF" w14:paraId="0BC7A177" w14:textId="77777777" w:rsidTr="00CE6EED">
        <w:tc>
          <w:tcPr>
            <w:tcW w:w="3114" w:type="dxa"/>
          </w:tcPr>
          <w:p w14:paraId="76FF7D3D" w14:textId="048A076F" w:rsidR="00661BCF" w:rsidRPr="00661BCF" w:rsidRDefault="00661BCF" w:rsidP="00661BCF">
            <w:pPr>
              <w:spacing w:before="240"/>
              <w:ind w:left="34"/>
              <w:rPr>
                <w:rFonts w:asciiTheme="minorHAnsi" w:hAnsiTheme="minorHAnsi" w:cstheme="minorHAnsi"/>
                <w:b/>
                <w:sz w:val="22"/>
                <w:szCs w:val="22"/>
              </w:rPr>
            </w:pPr>
            <w:r w:rsidRPr="00661BCF">
              <w:rPr>
                <w:rFonts w:asciiTheme="minorHAnsi" w:hAnsiTheme="minorHAnsi" w:cstheme="minorHAnsi"/>
                <w:b/>
                <w:sz w:val="22"/>
                <w:szCs w:val="22"/>
              </w:rPr>
              <w:t>Copyright</w:t>
            </w:r>
          </w:p>
        </w:tc>
        <w:tc>
          <w:tcPr>
            <w:tcW w:w="6740" w:type="dxa"/>
          </w:tcPr>
          <w:p w14:paraId="42748964" w14:textId="3E4BDF74" w:rsidR="00661BCF" w:rsidRPr="00661BCF" w:rsidRDefault="00661BCF" w:rsidP="00661BCF">
            <w:pPr>
              <w:spacing w:before="240"/>
              <w:rPr>
                <w:rFonts w:asciiTheme="minorHAnsi" w:hAnsiTheme="minorHAnsi" w:cstheme="minorHAnsi"/>
                <w:sz w:val="22"/>
                <w:szCs w:val="22"/>
              </w:rPr>
            </w:pPr>
            <w:r w:rsidRPr="00661BCF">
              <w:rPr>
                <w:rFonts w:asciiTheme="minorHAnsi" w:hAnsiTheme="minorHAnsi" w:cstheme="minorHAnsi"/>
                <w:sz w:val="22"/>
                <w:szCs w:val="22"/>
              </w:rPr>
              <w:t>HES and NHAIS are publicly available, with no restrictions on re-use.</w:t>
            </w:r>
          </w:p>
        </w:tc>
      </w:tr>
    </w:tbl>
    <w:p w14:paraId="6C367CCD" w14:textId="0E8BFEAA" w:rsidR="00772A5C" w:rsidRPr="00661BCF" w:rsidRDefault="00772A5C">
      <w:pPr>
        <w:rPr>
          <w:rFonts w:asciiTheme="minorHAnsi" w:hAnsiTheme="minorHAnsi" w:cstheme="minorHAnsi"/>
        </w:rPr>
      </w:pPr>
    </w:p>
    <w:p w14:paraId="6C367CF8" w14:textId="0EADC7A9" w:rsidR="00772A5C" w:rsidRPr="00661BCF" w:rsidRDefault="00772A5C">
      <w:pPr>
        <w:rPr>
          <w:rFonts w:asciiTheme="minorHAnsi" w:hAnsiTheme="minorHAnsi" w:cstheme="minorHAnsi"/>
        </w:rPr>
      </w:pPr>
    </w:p>
    <w:p w14:paraId="09E853AA" w14:textId="7EE22407" w:rsidR="00B916CF" w:rsidRPr="00661BCF" w:rsidRDefault="00B916CF">
      <w:pPr>
        <w:spacing w:after="0"/>
        <w:textboxTightWrap w:val="none"/>
        <w:rPr>
          <w:rFonts w:asciiTheme="minorHAnsi" w:hAnsiTheme="minorHAnsi" w:cstheme="minorHAnsi"/>
        </w:rPr>
      </w:pPr>
    </w:p>
    <w:p w14:paraId="3975DCF6" w14:textId="77777777" w:rsidR="00B916CF" w:rsidRPr="00661BCF" w:rsidRDefault="00B916CF" w:rsidP="00661BCF">
      <w:pPr>
        <w:tabs>
          <w:tab w:val="left" w:pos="1492"/>
          <w:tab w:val="center" w:pos="4487"/>
        </w:tabs>
        <w:jc w:val="center"/>
        <w:rPr>
          <w:rFonts w:asciiTheme="minorHAnsi" w:hAnsiTheme="minorHAnsi" w:cstheme="minorHAnsi"/>
          <w:b/>
          <w:bCs/>
          <w:sz w:val="32"/>
          <w:szCs w:val="32"/>
          <w:u w:val="single"/>
        </w:rPr>
      </w:pPr>
      <w:r w:rsidRPr="00661BCF">
        <w:rPr>
          <w:rFonts w:asciiTheme="minorHAnsi" w:hAnsiTheme="minorHAnsi" w:cstheme="minorHAnsi"/>
          <w:b/>
          <w:bCs/>
          <w:sz w:val="32"/>
          <w:szCs w:val="32"/>
          <w:u w:val="single"/>
        </w:rPr>
        <w:t>Indicator Assurance Extension Cover Sheet</w:t>
      </w:r>
    </w:p>
    <w:tbl>
      <w:tblPr>
        <w:tblStyle w:val="TableGrid1"/>
        <w:tblW w:w="9072" w:type="dxa"/>
        <w:tblLook w:val="04A0" w:firstRow="1" w:lastRow="0" w:firstColumn="1" w:lastColumn="0" w:noHBand="0" w:noVBand="1"/>
      </w:tblPr>
      <w:tblGrid>
        <w:gridCol w:w="1166"/>
        <w:gridCol w:w="6398"/>
        <w:gridCol w:w="1508"/>
      </w:tblGrid>
      <w:tr w:rsidR="00661BCF" w:rsidRPr="00661BCF" w14:paraId="35E1BDC2" w14:textId="77777777" w:rsidTr="00661BCF">
        <w:tc>
          <w:tcPr>
            <w:tcW w:w="1166" w:type="dxa"/>
          </w:tcPr>
          <w:p w14:paraId="53E9D2F4" w14:textId="77777777" w:rsidR="00661BCF" w:rsidRPr="00661BCF" w:rsidRDefault="00661BCF" w:rsidP="00661BCF">
            <w:pPr>
              <w:pStyle w:val="ListParagraph"/>
              <w:tabs>
                <w:tab w:val="right" w:pos="14580"/>
              </w:tabs>
              <w:spacing w:after="120" w:line="276" w:lineRule="auto"/>
              <w:ind w:left="720" w:firstLine="0"/>
              <w:contextualSpacing/>
              <w:textboxTightWrap w:val="none"/>
              <w:rPr>
                <w:rFonts w:asciiTheme="minorHAnsi" w:hAnsiTheme="minorHAnsi" w:cstheme="minorHAnsi"/>
                <w:sz w:val="22"/>
                <w:szCs w:val="22"/>
              </w:rPr>
            </w:pPr>
          </w:p>
        </w:tc>
        <w:tc>
          <w:tcPr>
            <w:tcW w:w="6398" w:type="dxa"/>
          </w:tcPr>
          <w:p w14:paraId="4C4ECAE2" w14:textId="44CD83E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b/>
                <w:sz w:val="22"/>
                <w:szCs w:val="22"/>
              </w:rPr>
              <w:t>Criteria Check List lapsed date 02.12.2016</w:t>
            </w:r>
          </w:p>
        </w:tc>
        <w:tc>
          <w:tcPr>
            <w:tcW w:w="1508" w:type="dxa"/>
          </w:tcPr>
          <w:p w14:paraId="05CA1DB1" w14:textId="77777777" w:rsidR="00661BCF" w:rsidRPr="00661BCF" w:rsidRDefault="00661BCF" w:rsidP="00661BCF">
            <w:pPr>
              <w:rPr>
                <w:rFonts w:asciiTheme="minorHAnsi" w:hAnsiTheme="minorHAnsi" w:cstheme="minorHAnsi"/>
                <w:sz w:val="22"/>
                <w:szCs w:val="22"/>
              </w:rPr>
            </w:pPr>
          </w:p>
        </w:tc>
      </w:tr>
      <w:tr w:rsidR="00CE6EED" w:rsidRPr="00661BCF" w14:paraId="6266EDE7" w14:textId="77777777" w:rsidTr="00661BCF">
        <w:tc>
          <w:tcPr>
            <w:tcW w:w="1166" w:type="dxa"/>
            <w:hideMark/>
          </w:tcPr>
          <w:p w14:paraId="294922CA" w14:textId="77777777" w:rsidR="00B916CF" w:rsidRPr="00661BCF" w:rsidRDefault="00B916CF" w:rsidP="00B916CF">
            <w:pPr>
              <w:pStyle w:val="ListParagraph"/>
              <w:numPr>
                <w:ilvl w:val="0"/>
                <w:numId w:val="13"/>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 </w:t>
            </w:r>
          </w:p>
        </w:tc>
        <w:tc>
          <w:tcPr>
            <w:tcW w:w="6398" w:type="dxa"/>
            <w:hideMark/>
          </w:tcPr>
          <w:p w14:paraId="75C8722D"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There is evidence that IGB assured the indicator to a period ending 1</w:t>
            </w:r>
            <w:r w:rsidRPr="00661BCF">
              <w:rPr>
                <w:rFonts w:asciiTheme="minorHAnsi" w:hAnsiTheme="minorHAnsi" w:cstheme="minorHAnsi"/>
                <w:sz w:val="22"/>
                <w:szCs w:val="22"/>
                <w:vertAlign w:val="superscript"/>
              </w:rPr>
              <w:t>st</w:t>
            </w:r>
            <w:r w:rsidRPr="00661BCF">
              <w:rPr>
                <w:rFonts w:asciiTheme="minorHAnsi" w:hAnsiTheme="minorHAnsi" w:cstheme="minorHAnsi"/>
                <w:sz w:val="22"/>
                <w:szCs w:val="22"/>
              </w:rPr>
              <w:t xml:space="preserve"> January 2016 or after </w:t>
            </w:r>
          </w:p>
        </w:tc>
        <w:tc>
          <w:tcPr>
            <w:tcW w:w="1508" w:type="dxa"/>
            <w:hideMark/>
          </w:tcPr>
          <w:p w14:paraId="25D11D8A"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Yes </w:t>
            </w:r>
          </w:p>
        </w:tc>
      </w:tr>
      <w:tr w:rsidR="00CE6EED" w:rsidRPr="00661BCF" w14:paraId="4526A7C4" w14:textId="77777777" w:rsidTr="00661BCF">
        <w:tc>
          <w:tcPr>
            <w:tcW w:w="1166" w:type="dxa"/>
            <w:hideMark/>
          </w:tcPr>
          <w:p w14:paraId="21C1AEA8"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 </w:t>
            </w:r>
          </w:p>
          <w:p w14:paraId="1E56208D" w14:textId="77777777" w:rsidR="00B916CF" w:rsidRPr="00661BCF" w:rsidRDefault="00B916CF" w:rsidP="00B916CF">
            <w:pPr>
              <w:pStyle w:val="ListParagraph"/>
              <w:numPr>
                <w:ilvl w:val="0"/>
                <w:numId w:val="14"/>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 </w:t>
            </w:r>
          </w:p>
        </w:tc>
        <w:tc>
          <w:tcPr>
            <w:tcW w:w="6398" w:type="dxa"/>
            <w:hideMark/>
          </w:tcPr>
          <w:p w14:paraId="692B7991"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Are there any outstanding caveats? List them here: </w:t>
            </w:r>
          </w:p>
          <w:p w14:paraId="43E3A04B" w14:textId="77777777" w:rsidR="00B916CF" w:rsidRPr="00661BCF" w:rsidRDefault="00B916CF" w:rsidP="00661BCF">
            <w:pPr>
              <w:ind w:left="130"/>
              <w:rPr>
                <w:rFonts w:asciiTheme="minorHAnsi" w:hAnsiTheme="minorHAnsi" w:cstheme="minorHAnsi"/>
                <w:sz w:val="22"/>
                <w:szCs w:val="22"/>
              </w:rPr>
            </w:pPr>
            <w:r w:rsidRPr="00661BCF">
              <w:rPr>
                <w:rFonts w:asciiTheme="minorHAnsi" w:hAnsiTheme="minorHAnsi" w:cstheme="minorHAnsi"/>
                <w:sz w:val="22"/>
                <w:szCs w:val="22"/>
              </w:rPr>
              <w:t>Review with:</w:t>
            </w:r>
          </w:p>
          <w:p w14:paraId="0E893750" w14:textId="77777777" w:rsidR="00B916CF" w:rsidRPr="00661BCF" w:rsidRDefault="00B916CF" w:rsidP="00B916CF">
            <w:pPr>
              <w:pStyle w:val="ListParagraph"/>
              <w:numPr>
                <w:ilvl w:val="0"/>
                <w:numId w:val="27"/>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IAP00339 Hip fracture: collaborative orthogeriatric care</w:t>
            </w:r>
          </w:p>
          <w:p w14:paraId="411BB847" w14:textId="77777777" w:rsidR="00B916CF" w:rsidRPr="00661BCF" w:rsidRDefault="00B916CF" w:rsidP="00B916CF">
            <w:pPr>
              <w:pStyle w:val="ListParagraph"/>
              <w:numPr>
                <w:ilvl w:val="0"/>
                <w:numId w:val="27"/>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IAP00340 Of people with hip fracture, the proportion who receive surgery on the day of, or the day after, admission</w:t>
            </w:r>
          </w:p>
          <w:p w14:paraId="5F7948D1" w14:textId="77777777" w:rsidR="00B916CF" w:rsidRPr="00661BCF" w:rsidRDefault="00B916CF" w:rsidP="00B916CF">
            <w:pPr>
              <w:pStyle w:val="ListParagraph"/>
              <w:numPr>
                <w:ilvl w:val="0"/>
                <w:numId w:val="27"/>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IAP00341 Hip fracture: multifactorial risk assessment</w:t>
            </w:r>
          </w:p>
        </w:tc>
        <w:tc>
          <w:tcPr>
            <w:tcW w:w="1508" w:type="dxa"/>
            <w:hideMark/>
          </w:tcPr>
          <w:p w14:paraId="4AEB6FA3"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No </w:t>
            </w:r>
          </w:p>
        </w:tc>
      </w:tr>
      <w:tr w:rsidR="00CE6EED" w:rsidRPr="00661BCF" w14:paraId="3FD8AFD8" w14:textId="77777777" w:rsidTr="00661BCF">
        <w:trPr>
          <w:trHeight w:val="510"/>
        </w:trPr>
        <w:tc>
          <w:tcPr>
            <w:tcW w:w="1166" w:type="dxa"/>
            <w:hideMark/>
          </w:tcPr>
          <w:p w14:paraId="76FEE517" w14:textId="77777777" w:rsidR="00B916CF" w:rsidRPr="00661BCF" w:rsidRDefault="00B916CF" w:rsidP="00B916CF">
            <w:pPr>
              <w:pStyle w:val="ListParagraph"/>
              <w:numPr>
                <w:ilvl w:val="0"/>
                <w:numId w:val="15"/>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 </w:t>
            </w:r>
          </w:p>
        </w:tc>
        <w:tc>
          <w:tcPr>
            <w:tcW w:w="6398" w:type="dxa"/>
            <w:hideMark/>
          </w:tcPr>
          <w:p w14:paraId="2BA789DC"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 xml:space="preserve">Are there any changes </w:t>
            </w:r>
            <w:proofErr w:type="gramStart"/>
            <w:r w:rsidRPr="00661BCF">
              <w:rPr>
                <w:rFonts w:asciiTheme="minorHAnsi" w:hAnsiTheme="minorHAnsi" w:cstheme="minorHAnsi"/>
                <w:sz w:val="22"/>
                <w:szCs w:val="22"/>
              </w:rPr>
              <w:t>to …</w:t>
            </w:r>
            <w:proofErr w:type="gramEnd"/>
            <w:r w:rsidRPr="00661BCF">
              <w:rPr>
                <w:rFonts w:asciiTheme="minorHAnsi" w:hAnsiTheme="minorHAnsi" w:cstheme="minorHAnsi"/>
                <w:sz w:val="22"/>
                <w:szCs w:val="22"/>
              </w:rPr>
              <w:t> </w:t>
            </w:r>
          </w:p>
          <w:p w14:paraId="556082FB" w14:textId="77777777" w:rsidR="00B916CF" w:rsidRPr="00661BCF" w:rsidRDefault="00B916CF" w:rsidP="00B916CF">
            <w:pPr>
              <w:pStyle w:val="ListParagraph"/>
              <w:numPr>
                <w:ilvl w:val="0"/>
                <w:numId w:val="16"/>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Policy </w:t>
            </w:r>
          </w:p>
        </w:tc>
        <w:tc>
          <w:tcPr>
            <w:tcW w:w="1508" w:type="dxa"/>
            <w:hideMark/>
          </w:tcPr>
          <w:p w14:paraId="728DAAA7"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No </w:t>
            </w:r>
          </w:p>
        </w:tc>
      </w:tr>
      <w:tr w:rsidR="00CE6EED" w:rsidRPr="00661BCF" w14:paraId="49F558B7" w14:textId="77777777" w:rsidTr="00661BCF">
        <w:tc>
          <w:tcPr>
            <w:tcW w:w="0" w:type="auto"/>
            <w:hideMark/>
          </w:tcPr>
          <w:p w14:paraId="76DECFF3" w14:textId="77777777" w:rsidR="00B916CF" w:rsidRPr="00661BCF" w:rsidRDefault="00B916CF" w:rsidP="00661BCF">
            <w:pPr>
              <w:rPr>
                <w:rFonts w:asciiTheme="minorHAnsi" w:hAnsiTheme="minorHAnsi" w:cstheme="minorHAnsi"/>
                <w:sz w:val="22"/>
                <w:szCs w:val="22"/>
              </w:rPr>
            </w:pPr>
          </w:p>
        </w:tc>
        <w:tc>
          <w:tcPr>
            <w:tcW w:w="6398" w:type="dxa"/>
            <w:hideMark/>
          </w:tcPr>
          <w:p w14:paraId="5CDC9F5A" w14:textId="77777777" w:rsidR="00B916CF" w:rsidRPr="00661BCF" w:rsidRDefault="00B916CF" w:rsidP="00B916CF">
            <w:pPr>
              <w:pStyle w:val="ListParagraph"/>
              <w:numPr>
                <w:ilvl w:val="0"/>
                <w:numId w:val="17"/>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Data source </w:t>
            </w:r>
          </w:p>
        </w:tc>
        <w:tc>
          <w:tcPr>
            <w:tcW w:w="1508" w:type="dxa"/>
            <w:hideMark/>
          </w:tcPr>
          <w:p w14:paraId="16DA2620"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No </w:t>
            </w:r>
          </w:p>
        </w:tc>
      </w:tr>
      <w:tr w:rsidR="00CE6EED" w:rsidRPr="00661BCF" w14:paraId="57401D1E" w14:textId="77777777" w:rsidTr="00661BCF">
        <w:tc>
          <w:tcPr>
            <w:tcW w:w="0" w:type="auto"/>
            <w:hideMark/>
          </w:tcPr>
          <w:p w14:paraId="64593C12" w14:textId="77777777" w:rsidR="00B916CF" w:rsidRPr="00661BCF" w:rsidRDefault="00B916CF" w:rsidP="00661BCF">
            <w:pPr>
              <w:rPr>
                <w:rFonts w:asciiTheme="minorHAnsi" w:hAnsiTheme="minorHAnsi" w:cstheme="minorHAnsi"/>
                <w:sz w:val="22"/>
                <w:szCs w:val="22"/>
              </w:rPr>
            </w:pPr>
          </w:p>
        </w:tc>
        <w:tc>
          <w:tcPr>
            <w:tcW w:w="6398" w:type="dxa"/>
            <w:hideMark/>
          </w:tcPr>
          <w:p w14:paraId="4E626557" w14:textId="77777777" w:rsidR="00B916CF" w:rsidRPr="00661BCF" w:rsidRDefault="00B916CF" w:rsidP="00B916CF">
            <w:pPr>
              <w:pStyle w:val="ListParagraph"/>
              <w:numPr>
                <w:ilvl w:val="0"/>
                <w:numId w:val="18"/>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Sponsoring organisation </w:t>
            </w:r>
          </w:p>
        </w:tc>
        <w:tc>
          <w:tcPr>
            <w:tcW w:w="1508" w:type="dxa"/>
            <w:hideMark/>
          </w:tcPr>
          <w:p w14:paraId="2FD69C8A"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No </w:t>
            </w:r>
          </w:p>
        </w:tc>
      </w:tr>
      <w:tr w:rsidR="00CE6EED" w:rsidRPr="00661BCF" w14:paraId="1EA75484" w14:textId="77777777" w:rsidTr="00661BCF">
        <w:tc>
          <w:tcPr>
            <w:tcW w:w="0" w:type="auto"/>
            <w:hideMark/>
          </w:tcPr>
          <w:p w14:paraId="51A9F093" w14:textId="77777777" w:rsidR="00B916CF" w:rsidRPr="00661BCF" w:rsidRDefault="00B916CF" w:rsidP="00661BCF">
            <w:pPr>
              <w:rPr>
                <w:rFonts w:asciiTheme="minorHAnsi" w:hAnsiTheme="minorHAnsi" w:cstheme="minorHAnsi"/>
                <w:sz w:val="22"/>
                <w:szCs w:val="22"/>
              </w:rPr>
            </w:pPr>
          </w:p>
        </w:tc>
        <w:tc>
          <w:tcPr>
            <w:tcW w:w="6398" w:type="dxa"/>
            <w:hideMark/>
          </w:tcPr>
          <w:p w14:paraId="7F7F07B9" w14:textId="77777777" w:rsidR="00B916CF" w:rsidRPr="00661BCF" w:rsidRDefault="00B916CF" w:rsidP="00B916CF">
            <w:pPr>
              <w:pStyle w:val="ListParagraph"/>
              <w:numPr>
                <w:ilvl w:val="0"/>
                <w:numId w:val="19"/>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Methodology </w:t>
            </w:r>
          </w:p>
        </w:tc>
        <w:tc>
          <w:tcPr>
            <w:tcW w:w="1508" w:type="dxa"/>
            <w:hideMark/>
          </w:tcPr>
          <w:p w14:paraId="4758399F"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No </w:t>
            </w:r>
          </w:p>
        </w:tc>
      </w:tr>
      <w:tr w:rsidR="00CE6EED" w:rsidRPr="00661BCF" w14:paraId="31C99B0E" w14:textId="77777777" w:rsidTr="00661BCF">
        <w:tc>
          <w:tcPr>
            <w:tcW w:w="1166" w:type="dxa"/>
            <w:hideMark/>
          </w:tcPr>
          <w:p w14:paraId="146217EF" w14:textId="77777777" w:rsidR="00B916CF" w:rsidRPr="00661BCF" w:rsidRDefault="00B916CF" w:rsidP="00B916CF">
            <w:pPr>
              <w:pStyle w:val="ListParagraph"/>
              <w:numPr>
                <w:ilvl w:val="0"/>
                <w:numId w:val="20"/>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 </w:t>
            </w:r>
          </w:p>
        </w:tc>
        <w:tc>
          <w:tcPr>
            <w:tcW w:w="6398" w:type="dxa"/>
            <w:hideMark/>
          </w:tcPr>
          <w:p w14:paraId="123CE659"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Are there any issues with data quality? </w:t>
            </w:r>
          </w:p>
        </w:tc>
        <w:tc>
          <w:tcPr>
            <w:tcW w:w="1508" w:type="dxa"/>
            <w:hideMark/>
          </w:tcPr>
          <w:p w14:paraId="455D927D"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No </w:t>
            </w:r>
          </w:p>
        </w:tc>
      </w:tr>
      <w:tr w:rsidR="00CE6EED" w:rsidRPr="00661BCF" w14:paraId="79D2F548" w14:textId="77777777" w:rsidTr="00661BCF">
        <w:tc>
          <w:tcPr>
            <w:tcW w:w="1166" w:type="dxa"/>
            <w:hideMark/>
          </w:tcPr>
          <w:p w14:paraId="1E4E332B" w14:textId="77777777" w:rsidR="00B916CF" w:rsidRPr="00661BCF" w:rsidRDefault="00B916CF" w:rsidP="00B916CF">
            <w:pPr>
              <w:pStyle w:val="ListParagraph"/>
              <w:numPr>
                <w:ilvl w:val="0"/>
                <w:numId w:val="21"/>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 </w:t>
            </w:r>
          </w:p>
        </w:tc>
        <w:tc>
          <w:tcPr>
            <w:tcW w:w="6398" w:type="dxa"/>
            <w:hideMark/>
          </w:tcPr>
          <w:p w14:paraId="390DAC3F"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Has the indicator been superseded by another indicator? If yes, what is the new indicator’s reference number and title? </w:t>
            </w:r>
          </w:p>
        </w:tc>
        <w:tc>
          <w:tcPr>
            <w:tcW w:w="1508" w:type="dxa"/>
            <w:hideMark/>
          </w:tcPr>
          <w:p w14:paraId="5C95CC7E"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No </w:t>
            </w:r>
          </w:p>
        </w:tc>
      </w:tr>
      <w:tr w:rsidR="00CE6EED" w:rsidRPr="00661BCF" w14:paraId="01B07AC8" w14:textId="77777777" w:rsidTr="00661BCF">
        <w:tc>
          <w:tcPr>
            <w:tcW w:w="1166" w:type="dxa"/>
            <w:hideMark/>
          </w:tcPr>
          <w:p w14:paraId="2D18C07F" w14:textId="77777777" w:rsidR="00B916CF" w:rsidRPr="00661BCF" w:rsidRDefault="00B916CF" w:rsidP="00B916CF">
            <w:pPr>
              <w:pStyle w:val="ListParagraph"/>
              <w:numPr>
                <w:ilvl w:val="0"/>
                <w:numId w:val="22"/>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 </w:t>
            </w:r>
          </w:p>
        </w:tc>
        <w:tc>
          <w:tcPr>
            <w:tcW w:w="6398" w:type="dxa"/>
            <w:hideMark/>
          </w:tcPr>
          <w:p w14:paraId="299D8CFF"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Has the indicator been withdrawn by the sponsoring organisation?  </w:t>
            </w:r>
          </w:p>
        </w:tc>
        <w:tc>
          <w:tcPr>
            <w:tcW w:w="1508" w:type="dxa"/>
            <w:hideMark/>
          </w:tcPr>
          <w:p w14:paraId="1C36E9B5"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No </w:t>
            </w:r>
          </w:p>
        </w:tc>
      </w:tr>
      <w:tr w:rsidR="00CE6EED" w:rsidRPr="00661BCF" w14:paraId="137546C9" w14:textId="77777777" w:rsidTr="00661BCF">
        <w:tc>
          <w:tcPr>
            <w:tcW w:w="1166" w:type="dxa"/>
            <w:hideMark/>
          </w:tcPr>
          <w:p w14:paraId="6A62FCB5" w14:textId="77777777" w:rsidR="00B916CF" w:rsidRPr="00661BCF" w:rsidRDefault="00B916CF" w:rsidP="00B916CF">
            <w:pPr>
              <w:pStyle w:val="ListParagraph"/>
              <w:numPr>
                <w:ilvl w:val="0"/>
                <w:numId w:val="23"/>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 </w:t>
            </w:r>
          </w:p>
        </w:tc>
        <w:tc>
          <w:tcPr>
            <w:tcW w:w="6398" w:type="dxa"/>
            <w:hideMark/>
          </w:tcPr>
          <w:p w14:paraId="7285927B"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Are there any patient safety implications? </w:t>
            </w:r>
          </w:p>
        </w:tc>
        <w:tc>
          <w:tcPr>
            <w:tcW w:w="1508" w:type="dxa"/>
            <w:hideMark/>
          </w:tcPr>
          <w:p w14:paraId="09516AA7"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No </w:t>
            </w:r>
          </w:p>
        </w:tc>
      </w:tr>
      <w:tr w:rsidR="00CE6EED" w:rsidRPr="00661BCF" w14:paraId="6A94C273" w14:textId="77777777" w:rsidTr="00661BCF">
        <w:tc>
          <w:tcPr>
            <w:tcW w:w="1166" w:type="dxa"/>
            <w:hideMark/>
          </w:tcPr>
          <w:p w14:paraId="152956C0" w14:textId="77777777" w:rsidR="00B916CF" w:rsidRPr="00661BCF" w:rsidRDefault="00B916CF" w:rsidP="00B916CF">
            <w:pPr>
              <w:pStyle w:val="ListParagraph"/>
              <w:numPr>
                <w:ilvl w:val="0"/>
                <w:numId w:val="24"/>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 </w:t>
            </w:r>
          </w:p>
        </w:tc>
        <w:tc>
          <w:tcPr>
            <w:tcW w:w="6398" w:type="dxa"/>
            <w:hideMark/>
          </w:tcPr>
          <w:p w14:paraId="6DF1D365"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Have there been any complaints of risk associated with this indicator? </w:t>
            </w:r>
          </w:p>
        </w:tc>
        <w:tc>
          <w:tcPr>
            <w:tcW w:w="1508" w:type="dxa"/>
            <w:hideMark/>
          </w:tcPr>
          <w:p w14:paraId="7147CD1D"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No </w:t>
            </w:r>
          </w:p>
        </w:tc>
      </w:tr>
      <w:tr w:rsidR="00CE6EED" w:rsidRPr="00661BCF" w14:paraId="0D7745EE" w14:textId="77777777" w:rsidTr="00661BCF">
        <w:tc>
          <w:tcPr>
            <w:tcW w:w="1166" w:type="dxa"/>
            <w:hideMark/>
          </w:tcPr>
          <w:p w14:paraId="67F4ABCA" w14:textId="77777777" w:rsidR="00B916CF" w:rsidRPr="00661BCF" w:rsidRDefault="00B916CF" w:rsidP="00B916CF">
            <w:pPr>
              <w:pStyle w:val="ListParagraph"/>
              <w:numPr>
                <w:ilvl w:val="0"/>
                <w:numId w:val="25"/>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 </w:t>
            </w:r>
          </w:p>
        </w:tc>
        <w:tc>
          <w:tcPr>
            <w:tcW w:w="6398" w:type="dxa"/>
            <w:hideMark/>
          </w:tcPr>
          <w:p w14:paraId="306F4172"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Primary category </w:t>
            </w:r>
          </w:p>
        </w:tc>
        <w:tc>
          <w:tcPr>
            <w:tcW w:w="1508" w:type="dxa"/>
            <w:hideMark/>
          </w:tcPr>
          <w:p w14:paraId="372E7CD2"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Hip fracture </w:t>
            </w:r>
          </w:p>
        </w:tc>
      </w:tr>
      <w:tr w:rsidR="00CE6EED" w:rsidRPr="00661BCF" w14:paraId="3557B274" w14:textId="77777777" w:rsidTr="00661BCF">
        <w:tc>
          <w:tcPr>
            <w:tcW w:w="1166" w:type="dxa"/>
            <w:hideMark/>
          </w:tcPr>
          <w:p w14:paraId="33C2736F" w14:textId="77777777" w:rsidR="00B916CF" w:rsidRPr="00661BCF" w:rsidRDefault="00B916CF" w:rsidP="00B916CF">
            <w:pPr>
              <w:pStyle w:val="ListParagraph"/>
              <w:numPr>
                <w:ilvl w:val="0"/>
                <w:numId w:val="26"/>
              </w:numPr>
              <w:tabs>
                <w:tab w:val="right" w:pos="14580"/>
              </w:tabs>
              <w:spacing w:after="120" w:line="276" w:lineRule="auto"/>
              <w:contextualSpacing/>
              <w:textboxTightWrap w:val="none"/>
              <w:rPr>
                <w:rFonts w:asciiTheme="minorHAnsi" w:hAnsiTheme="minorHAnsi" w:cstheme="minorHAnsi"/>
                <w:sz w:val="22"/>
                <w:szCs w:val="22"/>
              </w:rPr>
            </w:pPr>
            <w:r w:rsidRPr="00661BCF">
              <w:rPr>
                <w:rFonts w:asciiTheme="minorHAnsi" w:hAnsiTheme="minorHAnsi" w:cstheme="minorHAnsi"/>
                <w:sz w:val="22"/>
                <w:szCs w:val="22"/>
              </w:rPr>
              <w:t> </w:t>
            </w:r>
          </w:p>
        </w:tc>
        <w:tc>
          <w:tcPr>
            <w:tcW w:w="6398" w:type="dxa"/>
            <w:hideMark/>
          </w:tcPr>
          <w:p w14:paraId="45D3371A"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Publication reference </w:t>
            </w:r>
          </w:p>
        </w:tc>
        <w:tc>
          <w:tcPr>
            <w:tcW w:w="1508" w:type="dxa"/>
            <w:hideMark/>
          </w:tcPr>
          <w:p w14:paraId="52F5A8C0"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 </w:t>
            </w:r>
          </w:p>
        </w:tc>
      </w:tr>
    </w:tbl>
    <w:p w14:paraId="0E3DC663" w14:textId="77777777" w:rsidR="00661BCF" w:rsidRDefault="00661BCF"/>
    <w:tbl>
      <w:tblPr>
        <w:tblStyle w:val="TableGrid1"/>
        <w:tblW w:w="9072" w:type="dxa"/>
        <w:tblLook w:val="04A0" w:firstRow="1" w:lastRow="0" w:firstColumn="1" w:lastColumn="0" w:noHBand="0" w:noVBand="1"/>
      </w:tblPr>
      <w:tblGrid>
        <w:gridCol w:w="2531"/>
        <w:gridCol w:w="6541"/>
      </w:tblGrid>
      <w:tr w:rsidR="00661BCF" w:rsidRPr="00661BCF" w14:paraId="6A905765" w14:textId="77777777" w:rsidTr="00661BCF">
        <w:tc>
          <w:tcPr>
            <w:tcW w:w="2531" w:type="dxa"/>
          </w:tcPr>
          <w:p w14:paraId="18CBECDE" w14:textId="54657E3B" w:rsidR="00661BCF" w:rsidRPr="00661BCF" w:rsidRDefault="00661BCF" w:rsidP="00661BCF">
            <w:pPr>
              <w:rPr>
                <w:rFonts w:asciiTheme="minorHAnsi" w:eastAsia="Calibri" w:hAnsiTheme="minorHAnsi" w:cstheme="minorHAnsi"/>
                <w:b/>
                <w:bCs/>
                <w:sz w:val="22"/>
                <w:szCs w:val="22"/>
              </w:rPr>
            </w:pPr>
            <w:r w:rsidRPr="00661BCF">
              <w:rPr>
                <w:rFonts w:asciiTheme="minorHAnsi" w:eastAsia="Calibri" w:hAnsiTheme="minorHAnsi" w:cstheme="minorHAnsi"/>
                <w:b/>
                <w:bCs/>
                <w:sz w:val="22"/>
                <w:szCs w:val="22"/>
              </w:rPr>
              <w:t>Recommendation </w:t>
            </w:r>
          </w:p>
        </w:tc>
        <w:tc>
          <w:tcPr>
            <w:tcW w:w="6541" w:type="dxa"/>
          </w:tcPr>
          <w:p w14:paraId="624ACC66" w14:textId="54A87F3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Fit for extension </w:t>
            </w:r>
          </w:p>
        </w:tc>
      </w:tr>
      <w:tr w:rsidR="00661BCF" w:rsidRPr="00661BCF" w14:paraId="5DAAE74A" w14:textId="77777777" w:rsidTr="00661BCF">
        <w:tc>
          <w:tcPr>
            <w:tcW w:w="2531" w:type="dxa"/>
          </w:tcPr>
          <w:p w14:paraId="620982CA" w14:textId="5F253C64" w:rsidR="00661BCF" w:rsidRPr="00661BCF" w:rsidRDefault="00661BCF" w:rsidP="00661BCF">
            <w:pPr>
              <w:rPr>
                <w:rFonts w:asciiTheme="minorHAnsi" w:eastAsia="Calibri" w:hAnsiTheme="minorHAnsi" w:cstheme="minorHAnsi"/>
                <w:b/>
                <w:bCs/>
                <w:sz w:val="22"/>
                <w:szCs w:val="22"/>
              </w:rPr>
            </w:pPr>
            <w:r w:rsidRPr="00661BCF">
              <w:rPr>
                <w:rFonts w:asciiTheme="minorHAnsi" w:eastAsia="Calibri" w:hAnsiTheme="minorHAnsi" w:cstheme="minorHAnsi"/>
                <w:b/>
                <w:bCs/>
                <w:sz w:val="22"/>
                <w:szCs w:val="22"/>
              </w:rPr>
              <w:t>Prepared by </w:t>
            </w:r>
          </w:p>
        </w:tc>
        <w:tc>
          <w:tcPr>
            <w:tcW w:w="6541" w:type="dxa"/>
          </w:tcPr>
          <w:p w14:paraId="21EB5F12" w14:textId="328AB93F"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Sue Slade </w:t>
            </w:r>
          </w:p>
        </w:tc>
      </w:tr>
      <w:tr w:rsidR="00661BCF" w:rsidRPr="00661BCF" w14:paraId="655AD060" w14:textId="77777777" w:rsidTr="00661BCF">
        <w:tc>
          <w:tcPr>
            <w:tcW w:w="2531" w:type="dxa"/>
          </w:tcPr>
          <w:p w14:paraId="3E759E93" w14:textId="77777777" w:rsidR="00661BCF" w:rsidRPr="00661BCF" w:rsidRDefault="00661BCF" w:rsidP="00661BCF">
            <w:pPr>
              <w:rPr>
                <w:rFonts w:asciiTheme="minorHAnsi" w:eastAsia="Calibri" w:hAnsiTheme="minorHAnsi" w:cstheme="minorHAnsi"/>
                <w:b/>
                <w:bCs/>
                <w:sz w:val="22"/>
                <w:szCs w:val="22"/>
              </w:rPr>
            </w:pPr>
            <w:r w:rsidRPr="00661BCF">
              <w:rPr>
                <w:rFonts w:asciiTheme="minorHAnsi" w:eastAsia="Calibri" w:hAnsiTheme="minorHAnsi" w:cstheme="minorHAnsi"/>
                <w:b/>
                <w:bCs/>
                <w:sz w:val="22"/>
                <w:szCs w:val="22"/>
              </w:rPr>
              <w:t>IGB decision </w:t>
            </w:r>
          </w:p>
        </w:tc>
        <w:sdt>
          <w:sdtPr>
            <w:rPr>
              <w:rFonts w:asciiTheme="minorHAnsi" w:hAnsiTheme="minorHAnsi" w:cstheme="minorHAnsi"/>
              <w:sz w:val="22"/>
              <w:szCs w:val="22"/>
            </w:rPr>
            <w:alias w:val="IGB decision"/>
            <w:tag w:val="IGB decision"/>
            <w:id w:val="1925529009"/>
            <w:placeholder>
              <w:docPart w:val="FB12AFA77D5B43B8B2F9708069E65CD7"/>
            </w:placeholder>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tc>
              <w:tcPr>
                <w:tcW w:w="6541" w:type="dxa"/>
              </w:tcPr>
              <w:p w14:paraId="415141EC"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Fit for use</w:t>
                </w:r>
              </w:p>
            </w:tc>
          </w:sdtContent>
        </w:sdt>
      </w:tr>
      <w:tr w:rsidR="00661BCF" w:rsidRPr="00661BCF" w14:paraId="277DAF1E" w14:textId="77777777" w:rsidTr="00661BCF">
        <w:tc>
          <w:tcPr>
            <w:tcW w:w="2531" w:type="dxa"/>
            <w:hideMark/>
          </w:tcPr>
          <w:p w14:paraId="67F8E450" w14:textId="77777777" w:rsidR="00661BCF" w:rsidRPr="00661BCF" w:rsidRDefault="00661BCF" w:rsidP="00661BCF">
            <w:pPr>
              <w:rPr>
                <w:rFonts w:asciiTheme="minorHAnsi" w:eastAsia="Calibri" w:hAnsiTheme="minorHAnsi" w:cstheme="minorHAnsi"/>
                <w:b/>
                <w:bCs/>
                <w:sz w:val="22"/>
                <w:szCs w:val="22"/>
              </w:rPr>
            </w:pPr>
            <w:r w:rsidRPr="00661BCF">
              <w:rPr>
                <w:rFonts w:asciiTheme="minorHAnsi" w:eastAsia="Calibri" w:hAnsiTheme="minorHAnsi" w:cstheme="minorHAnsi"/>
                <w:b/>
                <w:bCs/>
                <w:sz w:val="22"/>
                <w:szCs w:val="22"/>
              </w:rPr>
              <w:t>IGB Approval date </w:t>
            </w:r>
          </w:p>
        </w:tc>
        <w:sdt>
          <w:sdtPr>
            <w:rPr>
              <w:rFonts w:asciiTheme="minorHAnsi" w:eastAsia="Calibri" w:hAnsiTheme="minorHAnsi" w:cstheme="minorHAnsi"/>
              <w:sz w:val="22"/>
              <w:szCs w:val="22"/>
            </w:rPr>
            <w:id w:val="-1163388936"/>
            <w:placeholder>
              <w:docPart w:val="5C1C88E4DBC143F2A5797E9B2EC93EC0"/>
            </w:placeholder>
            <w:date w:fullDate="2018-09-13T00:00:00Z">
              <w:dateFormat w:val="dd/MM/yyyy"/>
              <w:lid w:val="en-GB"/>
              <w:storeMappedDataAs w:val="dateTime"/>
              <w:calendar w:val="gregorian"/>
            </w:date>
          </w:sdtPr>
          <w:sdtEndPr/>
          <w:sdtContent>
            <w:tc>
              <w:tcPr>
                <w:tcW w:w="6541" w:type="dxa"/>
              </w:tcPr>
              <w:p w14:paraId="525BD16A" w14:textId="77777777" w:rsidR="00661BCF" w:rsidRPr="00661BCF" w:rsidRDefault="00661BCF" w:rsidP="00661BCF">
                <w:pPr>
                  <w:rPr>
                    <w:rFonts w:asciiTheme="minorHAnsi" w:hAnsiTheme="minorHAnsi" w:cstheme="minorHAnsi"/>
                    <w:sz w:val="22"/>
                    <w:szCs w:val="22"/>
                  </w:rPr>
                </w:pPr>
                <w:r w:rsidRPr="00661BCF">
                  <w:rPr>
                    <w:rFonts w:asciiTheme="minorHAnsi" w:eastAsia="Calibri" w:hAnsiTheme="minorHAnsi" w:cstheme="minorHAnsi"/>
                    <w:sz w:val="22"/>
                    <w:szCs w:val="22"/>
                  </w:rPr>
                  <w:t>13/09/2018</w:t>
                </w:r>
              </w:p>
            </w:tc>
          </w:sdtContent>
        </w:sdt>
      </w:tr>
      <w:tr w:rsidR="00661BCF" w:rsidRPr="00661BCF" w14:paraId="063E31F5" w14:textId="77777777" w:rsidTr="00661BCF">
        <w:tc>
          <w:tcPr>
            <w:tcW w:w="2531" w:type="dxa"/>
          </w:tcPr>
          <w:p w14:paraId="1BB3E30C" w14:textId="77777777" w:rsidR="00661BCF" w:rsidRPr="00661BCF" w:rsidRDefault="00661BCF" w:rsidP="00661BCF">
            <w:pPr>
              <w:rPr>
                <w:rFonts w:asciiTheme="minorHAnsi" w:eastAsia="Calibri" w:hAnsiTheme="minorHAnsi" w:cstheme="minorHAnsi"/>
                <w:b/>
                <w:bCs/>
                <w:sz w:val="22"/>
                <w:szCs w:val="22"/>
              </w:rPr>
            </w:pPr>
            <w:r w:rsidRPr="00661BCF">
              <w:rPr>
                <w:rFonts w:asciiTheme="minorHAnsi" w:eastAsia="Calibri" w:hAnsiTheme="minorHAnsi" w:cstheme="minorHAnsi"/>
                <w:b/>
                <w:bCs/>
                <w:sz w:val="22"/>
                <w:szCs w:val="22"/>
              </w:rPr>
              <w:t xml:space="preserve">Accreditation period </w:t>
            </w:r>
          </w:p>
        </w:tc>
        <w:tc>
          <w:tcPr>
            <w:tcW w:w="6541" w:type="dxa"/>
          </w:tcPr>
          <w:p w14:paraId="5F1A1255"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Two Years</w:t>
            </w:r>
          </w:p>
        </w:tc>
      </w:tr>
      <w:tr w:rsidR="00661BCF" w:rsidRPr="00661BCF" w14:paraId="0D2BADD5" w14:textId="77777777" w:rsidTr="00661BCF">
        <w:tc>
          <w:tcPr>
            <w:tcW w:w="2531" w:type="dxa"/>
            <w:hideMark/>
          </w:tcPr>
          <w:p w14:paraId="1B0F26C6" w14:textId="77777777" w:rsidR="00661BCF" w:rsidRPr="00661BCF" w:rsidRDefault="00661BCF" w:rsidP="00661BCF">
            <w:pPr>
              <w:rPr>
                <w:rFonts w:asciiTheme="minorHAnsi" w:eastAsia="Calibri" w:hAnsiTheme="minorHAnsi" w:cstheme="minorHAnsi"/>
                <w:b/>
                <w:bCs/>
                <w:sz w:val="22"/>
                <w:szCs w:val="22"/>
              </w:rPr>
            </w:pPr>
            <w:r w:rsidRPr="00661BCF">
              <w:rPr>
                <w:rFonts w:asciiTheme="minorHAnsi" w:eastAsia="Calibri" w:hAnsiTheme="minorHAnsi" w:cstheme="minorHAnsi"/>
                <w:b/>
                <w:bCs/>
                <w:sz w:val="22"/>
                <w:szCs w:val="22"/>
              </w:rPr>
              <w:t>Review date </w:t>
            </w:r>
          </w:p>
        </w:tc>
        <w:sdt>
          <w:sdtPr>
            <w:rPr>
              <w:rFonts w:asciiTheme="minorHAnsi" w:hAnsiTheme="minorHAnsi" w:cstheme="minorHAnsi"/>
              <w:sz w:val="22"/>
              <w:szCs w:val="22"/>
            </w:rPr>
            <w:id w:val="800040072"/>
            <w:date w:fullDate="2018-12-02T00:00:00Z">
              <w:dateFormat w:val="dd/MM/yyyy"/>
              <w:lid w:val="en-GB"/>
              <w:storeMappedDataAs w:val="dateTime"/>
              <w:calendar w:val="gregorian"/>
            </w:date>
          </w:sdtPr>
          <w:sdtEndPr/>
          <w:sdtContent>
            <w:tc>
              <w:tcPr>
                <w:tcW w:w="6541" w:type="dxa"/>
              </w:tcPr>
              <w:p w14:paraId="2F4F3832"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02/12/2018</w:t>
                </w:r>
              </w:p>
            </w:tc>
          </w:sdtContent>
        </w:sdt>
      </w:tr>
    </w:tbl>
    <w:p w14:paraId="5FB88BC9" w14:textId="77777777" w:rsidR="00B916CF" w:rsidRPr="00661BCF" w:rsidRDefault="00B916CF" w:rsidP="00661BCF">
      <w:pPr>
        <w:ind w:left="-851"/>
        <w:rPr>
          <w:rFonts w:asciiTheme="minorHAnsi" w:hAnsiTheme="minorHAnsi" w:cstheme="minorHAnsi"/>
          <w:sz w:val="32"/>
          <w:szCs w:val="32"/>
        </w:rPr>
      </w:pPr>
    </w:p>
    <w:p w14:paraId="45D77BD4" w14:textId="77777777" w:rsidR="00B916CF" w:rsidRPr="00661BCF" w:rsidRDefault="00B916CF" w:rsidP="00661BCF">
      <w:pPr>
        <w:ind w:left="-851"/>
        <w:rPr>
          <w:rFonts w:asciiTheme="minorHAnsi" w:hAnsiTheme="minorHAnsi" w:cstheme="minorHAnsi"/>
          <w:sz w:val="32"/>
          <w:szCs w:val="32"/>
        </w:rPr>
      </w:pPr>
    </w:p>
    <w:p w14:paraId="76B65DBD" w14:textId="77777777" w:rsidR="00B916CF" w:rsidRPr="00661BCF" w:rsidRDefault="00B916CF" w:rsidP="00661BCF">
      <w:pPr>
        <w:ind w:left="-851"/>
        <w:rPr>
          <w:rFonts w:asciiTheme="minorHAnsi" w:hAnsiTheme="minorHAnsi" w:cstheme="minorHAnsi"/>
          <w:sz w:val="32"/>
          <w:szCs w:val="32"/>
        </w:rPr>
      </w:pPr>
    </w:p>
    <w:p w14:paraId="4D3700D0" w14:textId="77777777" w:rsidR="00B916CF" w:rsidRPr="00661BCF" w:rsidRDefault="00B916CF" w:rsidP="00661BCF">
      <w:pPr>
        <w:ind w:left="-851"/>
        <w:rPr>
          <w:rFonts w:asciiTheme="minorHAnsi" w:hAnsiTheme="minorHAnsi" w:cstheme="minorHAnsi"/>
          <w:sz w:val="32"/>
          <w:szCs w:val="32"/>
        </w:rPr>
      </w:pPr>
    </w:p>
    <w:p w14:paraId="1332DEE2" w14:textId="77777777" w:rsidR="00B916CF" w:rsidRPr="00661BCF" w:rsidRDefault="00B916CF" w:rsidP="00661BCF">
      <w:pPr>
        <w:ind w:left="-851" w:firstLine="851"/>
        <w:rPr>
          <w:rFonts w:asciiTheme="minorHAnsi" w:hAnsiTheme="minorHAnsi" w:cstheme="minorHAnsi"/>
          <w:b/>
          <w:bCs/>
          <w:sz w:val="32"/>
          <w:szCs w:val="32"/>
        </w:rPr>
      </w:pPr>
      <w:r w:rsidRPr="00661BCF">
        <w:rPr>
          <w:rFonts w:asciiTheme="minorHAnsi" w:hAnsiTheme="minorHAnsi" w:cstheme="minorHAnsi"/>
          <w:b/>
          <w:bCs/>
          <w:sz w:val="32"/>
          <w:szCs w:val="32"/>
        </w:rPr>
        <w:lastRenderedPageBreak/>
        <w:t>Record of Assurance provided by Indicator Governance Board</w:t>
      </w:r>
    </w:p>
    <w:p w14:paraId="219D509B" w14:textId="77777777" w:rsidR="00B916CF" w:rsidRPr="00661BCF" w:rsidRDefault="00B916CF" w:rsidP="00661BCF">
      <w:pPr>
        <w:rPr>
          <w:rFonts w:asciiTheme="minorHAnsi" w:hAnsiTheme="minorHAnsi" w:cstheme="minorHAnsi"/>
        </w:rPr>
      </w:pPr>
    </w:p>
    <w:tbl>
      <w:tblPr>
        <w:tblStyle w:val="TableGrid1"/>
        <w:tblW w:w="9923" w:type="dxa"/>
        <w:tblLayout w:type="fixed"/>
        <w:tblLook w:val="01E0" w:firstRow="1" w:lastRow="1" w:firstColumn="1" w:lastColumn="1" w:noHBand="0" w:noVBand="0"/>
      </w:tblPr>
      <w:tblGrid>
        <w:gridCol w:w="2126"/>
        <w:gridCol w:w="7797"/>
      </w:tblGrid>
      <w:tr w:rsidR="00661BCF" w:rsidRPr="00661BCF" w14:paraId="40BC63C6" w14:textId="77777777" w:rsidTr="00661BCF">
        <w:tc>
          <w:tcPr>
            <w:tcW w:w="2122" w:type="dxa"/>
          </w:tcPr>
          <w:p w14:paraId="2B2A0F3F" w14:textId="77777777" w:rsidR="00661BCF" w:rsidRPr="00661BCF" w:rsidRDefault="00661BCF" w:rsidP="00661BCF">
            <w:pPr>
              <w:rPr>
                <w:rFonts w:asciiTheme="minorHAnsi" w:hAnsiTheme="minorHAnsi" w:cstheme="minorHAnsi"/>
                <w:b/>
              </w:rPr>
            </w:pPr>
            <w:r w:rsidRPr="00661BCF">
              <w:rPr>
                <w:rFonts w:asciiTheme="minorHAnsi" w:hAnsiTheme="minorHAnsi" w:cstheme="minorHAnsi"/>
                <w:b/>
              </w:rPr>
              <w:t>Indicator Title</w:t>
            </w:r>
          </w:p>
        </w:tc>
        <w:tc>
          <w:tcPr>
            <w:tcW w:w="7801" w:type="dxa"/>
          </w:tcPr>
          <w:p w14:paraId="07979B90" w14:textId="77777777" w:rsidR="00661BCF" w:rsidRPr="00661BCF" w:rsidRDefault="00661BCF" w:rsidP="00661BCF">
            <w:pPr>
              <w:rPr>
                <w:rFonts w:asciiTheme="minorHAnsi" w:hAnsiTheme="minorHAnsi" w:cstheme="minorHAnsi"/>
                <w:b/>
              </w:rPr>
            </w:pPr>
            <w:r w:rsidRPr="00661BCF">
              <w:rPr>
                <w:rFonts w:asciiTheme="minorHAnsi" w:hAnsiTheme="minorHAnsi" w:cstheme="minorHAnsi"/>
                <w:b/>
              </w:rPr>
              <w:t>Emergency hospital admissions for hip fracture in people aged 60 and over</w:t>
            </w:r>
          </w:p>
        </w:tc>
      </w:tr>
      <w:tr w:rsidR="00661BCF" w:rsidRPr="00661BCF" w14:paraId="52BEB297" w14:textId="77777777" w:rsidTr="00661BCF">
        <w:tc>
          <w:tcPr>
            <w:tcW w:w="2122" w:type="dxa"/>
          </w:tcPr>
          <w:p w14:paraId="164C694A" w14:textId="77777777" w:rsidR="00661BCF" w:rsidRPr="00661BCF" w:rsidRDefault="00661BCF" w:rsidP="00661BCF">
            <w:pPr>
              <w:rPr>
                <w:rFonts w:asciiTheme="minorHAnsi" w:hAnsiTheme="minorHAnsi" w:cstheme="minorHAnsi"/>
              </w:rPr>
            </w:pPr>
            <w:r w:rsidRPr="00661BCF">
              <w:rPr>
                <w:rFonts w:asciiTheme="minorHAnsi" w:hAnsiTheme="minorHAnsi" w:cstheme="minorHAnsi"/>
                <w:sz w:val="22"/>
                <w:szCs w:val="22"/>
              </w:rPr>
              <w:t>Indicator Set</w:t>
            </w:r>
          </w:p>
        </w:tc>
        <w:tc>
          <w:tcPr>
            <w:tcW w:w="7801" w:type="dxa"/>
          </w:tcPr>
          <w:p w14:paraId="0C7004DE" w14:textId="77777777" w:rsidR="00661BCF" w:rsidRPr="00661BCF" w:rsidRDefault="00661BCF" w:rsidP="00661BCF">
            <w:pPr>
              <w:rPr>
                <w:rFonts w:asciiTheme="minorHAnsi" w:hAnsiTheme="minorHAnsi" w:cstheme="minorHAnsi"/>
              </w:rPr>
            </w:pPr>
            <w:r w:rsidRPr="00661BCF">
              <w:rPr>
                <w:rFonts w:asciiTheme="minorHAnsi" w:hAnsiTheme="minorHAnsi" w:cstheme="minorHAnsi"/>
              </w:rPr>
              <w:t>CCG Outcomes Indicator Set</w:t>
            </w:r>
          </w:p>
        </w:tc>
      </w:tr>
      <w:tr w:rsidR="00661BCF" w:rsidRPr="00661BCF" w14:paraId="7E51962B" w14:textId="77777777" w:rsidTr="00661BCF">
        <w:tc>
          <w:tcPr>
            <w:tcW w:w="2122" w:type="dxa"/>
          </w:tcPr>
          <w:p w14:paraId="32FEF11A" w14:textId="4754EBC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rPr>
              <w:t>IAS Ref Code:</w:t>
            </w:r>
          </w:p>
        </w:tc>
        <w:tc>
          <w:tcPr>
            <w:tcW w:w="7801" w:type="dxa"/>
          </w:tcPr>
          <w:p w14:paraId="797450ED" w14:textId="1FE61AB8" w:rsidR="00661BCF" w:rsidRPr="00661BCF" w:rsidRDefault="00661BCF" w:rsidP="00661BCF">
            <w:pPr>
              <w:rPr>
                <w:rFonts w:asciiTheme="minorHAnsi" w:hAnsiTheme="minorHAnsi" w:cstheme="minorHAnsi"/>
                <w:sz w:val="22"/>
                <w:szCs w:val="21"/>
              </w:rPr>
            </w:pPr>
            <w:r w:rsidRPr="00661BCF">
              <w:rPr>
                <w:rFonts w:asciiTheme="minorHAnsi" w:hAnsiTheme="minorHAnsi" w:cstheme="minorHAnsi"/>
              </w:rPr>
              <w:t>IAP00342</w:t>
            </w:r>
          </w:p>
        </w:tc>
      </w:tr>
      <w:tr w:rsidR="00661BCF" w:rsidRPr="00661BCF" w14:paraId="7A91F0C0" w14:textId="77777777" w:rsidTr="00661BCF">
        <w:tc>
          <w:tcPr>
            <w:tcW w:w="2122" w:type="dxa"/>
          </w:tcPr>
          <w:p w14:paraId="78D62FB5"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Description</w:t>
            </w:r>
            <w:r w:rsidRPr="00661BCF">
              <w:rPr>
                <w:rFonts w:asciiTheme="minorHAnsi" w:hAnsiTheme="minorHAnsi" w:cstheme="minorHAnsi"/>
                <w:i/>
                <w:sz w:val="20"/>
                <w:szCs w:val="20"/>
              </w:rPr>
              <w:t xml:space="preserve"> </w:t>
            </w:r>
          </w:p>
        </w:tc>
        <w:tc>
          <w:tcPr>
            <w:tcW w:w="7801" w:type="dxa"/>
          </w:tcPr>
          <w:p w14:paraId="4BF11F53" w14:textId="77777777" w:rsidR="00661BCF" w:rsidRPr="00661BCF" w:rsidRDefault="00661BCF" w:rsidP="00661BCF">
            <w:pPr>
              <w:rPr>
                <w:rFonts w:asciiTheme="minorHAnsi" w:hAnsiTheme="minorHAnsi" w:cstheme="minorHAnsi"/>
                <w:sz w:val="22"/>
                <w:szCs w:val="21"/>
              </w:rPr>
            </w:pPr>
            <w:r w:rsidRPr="00661BCF">
              <w:rPr>
                <w:rFonts w:asciiTheme="minorHAnsi" w:hAnsiTheme="minorHAnsi" w:cstheme="minorHAnsi"/>
                <w:sz w:val="22"/>
                <w:szCs w:val="21"/>
              </w:rPr>
              <w:t xml:space="preserve">The indicator calculates the </w:t>
            </w:r>
            <w:r w:rsidRPr="00661BCF">
              <w:rPr>
                <w:rFonts w:asciiTheme="minorHAnsi" w:hAnsiTheme="minorHAnsi" w:cstheme="minorHAnsi"/>
                <w:sz w:val="21"/>
                <w:szCs w:val="21"/>
              </w:rPr>
              <w:t>number of people, aged 60 years and over, who were admitted with a primary diagnosis of hip fracture</w:t>
            </w:r>
            <w:r w:rsidRPr="00661BCF">
              <w:rPr>
                <w:rFonts w:asciiTheme="minorHAnsi" w:hAnsiTheme="minorHAnsi" w:cstheme="minorHAnsi"/>
                <w:sz w:val="22"/>
                <w:szCs w:val="21"/>
              </w:rPr>
              <w:t xml:space="preserve"> per 100,000 CCG population.</w:t>
            </w:r>
          </w:p>
          <w:p w14:paraId="7C4B94A1" w14:textId="77777777" w:rsidR="00661BCF" w:rsidRPr="00661BCF" w:rsidRDefault="00661BCF" w:rsidP="00661BCF">
            <w:pPr>
              <w:rPr>
                <w:rFonts w:asciiTheme="minorHAnsi" w:hAnsiTheme="minorHAnsi" w:cstheme="minorHAnsi"/>
                <w:sz w:val="22"/>
                <w:szCs w:val="21"/>
              </w:rPr>
            </w:pPr>
          </w:p>
        </w:tc>
      </w:tr>
      <w:tr w:rsidR="00661BCF" w:rsidRPr="00661BCF" w14:paraId="1C3C9274" w14:textId="77777777" w:rsidTr="00661BCF">
        <w:trPr>
          <w:trHeight w:val="229"/>
        </w:trPr>
        <w:tc>
          <w:tcPr>
            <w:tcW w:w="2127" w:type="dxa"/>
          </w:tcPr>
          <w:p w14:paraId="12954B94"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 xml:space="preserve">Initial IGB discussion </w:t>
            </w:r>
          </w:p>
        </w:tc>
        <w:tc>
          <w:tcPr>
            <w:tcW w:w="7796" w:type="dxa"/>
          </w:tcPr>
          <w:p w14:paraId="7884DDC4" w14:textId="0808096F" w:rsidR="00661BCF" w:rsidRPr="00661BCF" w:rsidRDefault="00661BCF" w:rsidP="00661BCF">
            <w:pPr>
              <w:rPr>
                <w:rFonts w:asciiTheme="minorHAnsi" w:hAnsiTheme="minorHAnsi" w:cstheme="minorHAnsi"/>
                <w:b/>
              </w:rPr>
            </w:pPr>
            <w:r w:rsidRPr="00661BCF">
              <w:rPr>
                <w:rFonts w:asciiTheme="minorHAnsi" w:hAnsiTheme="minorHAnsi" w:cstheme="minorHAnsi"/>
                <w:sz w:val="21"/>
                <w:szCs w:val="21"/>
              </w:rPr>
              <w:t>02/12/13</w:t>
            </w:r>
          </w:p>
        </w:tc>
      </w:tr>
    </w:tbl>
    <w:p w14:paraId="5ACB357E" w14:textId="77777777" w:rsidR="00B916CF" w:rsidRPr="00661BCF" w:rsidRDefault="00B916CF" w:rsidP="00661BCF">
      <w:pPr>
        <w:rPr>
          <w:rFonts w:asciiTheme="minorHAnsi" w:hAnsiTheme="minorHAnsi" w:cstheme="minorHAnsi"/>
        </w:rPr>
      </w:pPr>
    </w:p>
    <w:tbl>
      <w:tblPr>
        <w:tblStyle w:val="TableGrid1"/>
        <w:tblW w:w="9923" w:type="dxa"/>
        <w:tblLayout w:type="fixed"/>
        <w:tblLook w:val="01E0" w:firstRow="1" w:lastRow="1" w:firstColumn="1" w:lastColumn="1" w:noHBand="0" w:noVBand="0"/>
      </w:tblPr>
      <w:tblGrid>
        <w:gridCol w:w="2119"/>
        <w:gridCol w:w="7804"/>
      </w:tblGrid>
      <w:tr w:rsidR="00661BCF" w:rsidRPr="00661BCF" w14:paraId="6A89D801" w14:textId="77777777" w:rsidTr="00661BCF">
        <w:tc>
          <w:tcPr>
            <w:tcW w:w="2119" w:type="dxa"/>
          </w:tcPr>
          <w:p w14:paraId="7B935647" w14:textId="77777777" w:rsidR="00661BCF" w:rsidRPr="00661BCF" w:rsidRDefault="00661BCF" w:rsidP="00661BCF">
            <w:pPr>
              <w:rPr>
                <w:rFonts w:asciiTheme="minorHAnsi" w:hAnsiTheme="minorHAnsi" w:cstheme="minorHAnsi"/>
                <w:sz w:val="22"/>
                <w:szCs w:val="22"/>
              </w:rPr>
            </w:pPr>
          </w:p>
        </w:tc>
        <w:tc>
          <w:tcPr>
            <w:tcW w:w="7804" w:type="dxa"/>
          </w:tcPr>
          <w:p w14:paraId="5E61D734" w14:textId="475EA6EC"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b/>
                <w:sz w:val="22"/>
                <w:szCs w:val="22"/>
              </w:rPr>
              <w:t>Strategic Considerations &amp; Implications</w:t>
            </w:r>
          </w:p>
        </w:tc>
      </w:tr>
      <w:tr w:rsidR="00661BCF" w:rsidRPr="00661BCF" w14:paraId="05B45670" w14:textId="77777777" w:rsidTr="00661BCF">
        <w:tc>
          <w:tcPr>
            <w:tcW w:w="2119" w:type="dxa"/>
          </w:tcPr>
          <w:p w14:paraId="03D50483" w14:textId="1401846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Applicant / Sponsor Organisation</w:t>
            </w:r>
          </w:p>
        </w:tc>
        <w:tc>
          <w:tcPr>
            <w:tcW w:w="7804" w:type="dxa"/>
          </w:tcPr>
          <w:p w14:paraId="19410D4E"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NHS England</w:t>
            </w:r>
          </w:p>
          <w:p w14:paraId="1E1AD043" w14:textId="6FA8316A" w:rsidR="00661BCF" w:rsidRDefault="00661BCF" w:rsidP="00661BCF">
            <w:pPr>
              <w:tabs>
                <w:tab w:val="left" w:pos="2244"/>
              </w:tabs>
              <w:rPr>
                <w:rFonts w:asciiTheme="minorHAnsi" w:hAnsiTheme="minorHAnsi" w:cstheme="minorHAnsi"/>
                <w:sz w:val="21"/>
                <w:szCs w:val="21"/>
              </w:rPr>
            </w:pPr>
            <w:r w:rsidRPr="00661BCF">
              <w:rPr>
                <w:rFonts w:asciiTheme="minorHAnsi" w:hAnsiTheme="minorHAnsi" w:cstheme="minorHAnsi"/>
                <w:sz w:val="16"/>
                <w:szCs w:val="16"/>
              </w:rPr>
              <w:t>*Costing for assurance appraisal included in development cost</w:t>
            </w:r>
          </w:p>
        </w:tc>
      </w:tr>
      <w:tr w:rsidR="00661BCF" w:rsidRPr="00661BCF" w14:paraId="4695D590" w14:textId="77777777" w:rsidTr="00661BCF">
        <w:tc>
          <w:tcPr>
            <w:tcW w:w="2119" w:type="dxa"/>
          </w:tcPr>
          <w:p w14:paraId="0FCB116D" w14:textId="6FAC2E5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Assurance process funded?</w:t>
            </w:r>
          </w:p>
        </w:tc>
        <w:tc>
          <w:tcPr>
            <w:tcW w:w="7804" w:type="dxa"/>
          </w:tcPr>
          <w:p w14:paraId="7C684116" w14:textId="1C41FCF2" w:rsidR="00661BCF" w:rsidRPr="00661BCF" w:rsidRDefault="00661BCF" w:rsidP="00661BCF">
            <w:pPr>
              <w:tabs>
                <w:tab w:val="left" w:pos="2244"/>
              </w:tabs>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p>
        </w:tc>
      </w:tr>
      <w:tr w:rsidR="00661BCF" w:rsidRPr="00661BCF" w14:paraId="03DF4D64" w14:textId="77777777" w:rsidTr="00661BCF">
        <w:tc>
          <w:tcPr>
            <w:tcW w:w="2119" w:type="dxa"/>
          </w:tcPr>
          <w:p w14:paraId="47B526AB"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 xml:space="preserve">Indicator rationale </w:t>
            </w:r>
          </w:p>
        </w:tc>
        <w:tc>
          <w:tcPr>
            <w:tcW w:w="7804" w:type="dxa"/>
          </w:tcPr>
          <w:p w14:paraId="0B995693"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The Clinical Commissioning Group Outcomes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w:t>
            </w:r>
          </w:p>
          <w:p w14:paraId="149B00D3" w14:textId="77777777" w:rsidR="00661BCF" w:rsidRPr="00661BCF" w:rsidRDefault="00661BCF" w:rsidP="00661BCF">
            <w:pPr>
              <w:rPr>
                <w:rFonts w:asciiTheme="minorHAnsi" w:hAnsiTheme="minorHAnsi" w:cstheme="minorHAnsi"/>
                <w:sz w:val="21"/>
                <w:szCs w:val="21"/>
              </w:rPr>
            </w:pPr>
          </w:p>
          <w:p w14:paraId="197B53B4"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Hip fracture is a major public health issue; it is the most common reason for admission to an orthopaedic trauma ward and predominantly affects older people. Incidence is growing with the increase in the ageing population. About 70,000 to 75,000 hip fractures (proximal femoral fractures) occur annually in the UK, with a cost (including medical and social care) amounting to around £2 billion a year.</w:t>
            </w:r>
          </w:p>
          <w:p w14:paraId="2B46EAF2" w14:textId="77777777" w:rsidR="00661BCF" w:rsidRPr="00661BCF" w:rsidRDefault="00661BCF" w:rsidP="00661BCF">
            <w:pPr>
              <w:rPr>
                <w:rFonts w:asciiTheme="minorHAnsi" w:hAnsiTheme="minorHAnsi" w:cstheme="minorHAnsi"/>
                <w:sz w:val="21"/>
                <w:szCs w:val="21"/>
              </w:rPr>
            </w:pPr>
          </w:p>
          <w:p w14:paraId="5AB0157D"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 xml:space="preserve">This indicator is restricted to admissions for people who are 60 years old and over. Under the age of 60, osteoporosis is not as important a factor as it is over 60. Reducing the number of cases under 60 means reducing alcoholism, road traffic accidents and falls from a height, while in the over 60s it means reducing osteoporosis and falls from standing. NICE CG124 covers 18 and above, however using 60 as the cut off would bring the figure in to line with the Best Practice Tariff and the National Hip Fracture Database. </w:t>
            </w:r>
            <w:proofErr w:type="gramStart"/>
            <w:r w:rsidRPr="00661BCF">
              <w:rPr>
                <w:rFonts w:asciiTheme="minorHAnsi" w:hAnsiTheme="minorHAnsi" w:cstheme="minorHAnsi"/>
                <w:sz w:val="21"/>
                <w:szCs w:val="21"/>
              </w:rPr>
              <w:t>The vast majority of</w:t>
            </w:r>
            <w:proofErr w:type="gramEnd"/>
            <w:r w:rsidRPr="00661BCF">
              <w:rPr>
                <w:rFonts w:asciiTheme="minorHAnsi" w:hAnsiTheme="minorHAnsi" w:cstheme="minorHAnsi"/>
                <w:sz w:val="21"/>
                <w:szCs w:val="21"/>
              </w:rPr>
              <w:t xml:space="preserve"> cases (around 94%) are for people aged 60 years and over.  </w:t>
            </w:r>
          </w:p>
          <w:p w14:paraId="30353281" w14:textId="77777777" w:rsidR="00661BCF" w:rsidRPr="00661BCF" w:rsidRDefault="00661BCF" w:rsidP="00661BCF">
            <w:pPr>
              <w:rPr>
                <w:rFonts w:asciiTheme="minorHAnsi" w:hAnsiTheme="minorHAnsi" w:cstheme="minorHAnsi"/>
                <w:sz w:val="21"/>
                <w:szCs w:val="21"/>
              </w:rPr>
            </w:pPr>
          </w:p>
        </w:tc>
      </w:tr>
      <w:tr w:rsidR="00661BCF" w:rsidRPr="00661BCF" w14:paraId="2CB977C2" w14:textId="77777777" w:rsidTr="00661BCF">
        <w:tc>
          <w:tcPr>
            <w:tcW w:w="2119" w:type="dxa"/>
          </w:tcPr>
          <w:p w14:paraId="28A8B698"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 xml:space="preserve">Basis for rationale </w:t>
            </w:r>
          </w:p>
          <w:p w14:paraId="6B71A0B6"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16"/>
                <w:szCs w:val="16"/>
              </w:rPr>
              <w:t>[Details of quality statement, policy etc.]</w:t>
            </w:r>
            <w:r w:rsidRPr="00661BCF">
              <w:rPr>
                <w:rFonts w:asciiTheme="minorHAnsi" w:hAnsiTheme="minorHAnsi" w:cstheme="minorHAnsi"/>
                <w:i/>
                <w:sz w:val="20"/>
                <w:szCs w:val="20"/>
              </w:rPr>
              <w:t xml:space="preserve"> </w:t>
            </w:r>
          </w:p>
        </w:tc>
        <w:tc>
          <w:tcPr>
            <w:tcW w:w="7804" w:type="dxa"/>
          </w:tcPr>
          <w:p w14:paraId="012F4881" w14:textId="77777777" w:rsidR="00661BCF" w:rsidRPr="00661BCF" w:rsidRDefault="00661BCF" w:rsidP="00661BCF">
            <w:pPr>
              <w:spacing w:before="60" w:after="60"/>
              <w:rPr>
                <w:rFonts w:asciiTheme="minorHAnsi" w:hAnsiTheme="minorHAnsi" w:cstheme="minorHAnsi"/>
                <w:sz w:val="22"/>
                <w:szCs w:val="21"/>
              </w:rPr>
            </w:pPr>
            <w:r w:rsidRPr="00661BCF">
              <w:rPr>
                <w:rFonts w:asciiTheme="minorHAnsi" w:hAnsiTheme="minorHAnsi" w:cstheme="minorHAnsi"/>
                <w:sz w:val="22"/>
                <w:szCs w:val="21"/>
              </w:rPr>
              <w:t xml:space="preserve">This indicator is based on the NICE Quality Standard 16: Hip Fracture in adults, issued March 2012, </w:t>
            </w:r>
            <w:hyperlink r:id="rId18" w:history="1">
              <w:r w:rsidRPr="00661BCF">
                <w:rPr>
                  <w:rStyle w:val="Hyperlink"/>
                  <w:rFonts w:eastAsia="MS Mincho" w:cstheme="minorHAnsi"/>
                  <w:color w:val="auto"/>
                  <w:sz w:val="22"/>
                  <w:szCs w:val="21"/>
                </w:rPr>
                <w:t>http://guidance.nice.org.uk/QS16</w:t>
              </w:r>
            </w:hyperlink>
            <w:r w:rsidRPr="00661BCF">
              <w:rPr>
                <w:rFonts w:asciiTheme="minorHAnsi" w:hAnsiTheme="minorHAnsi" w:cstheme="minorHAnsi"/>
                <w:sz w:val="22"/>
                <w:szCs w:val="21"/>
              </w:rPr>
              <w:t>.</w:t>
            </w:r>
          </w:p>
          <w:p w14:paraId="0DFD1D03" w14:textId="77777777" w:rsidR="00661BCF" w:rsidRPr="00661BCF" w:rsidRDefault="00661BCF" w:rsidP="00661BCF">
            <w:pPr>
              <w:spacing w:before="60" w:after="60"/>
              <w:rPr>
                <w:rFonts w:asciiTheme="minorHAnsi" w:hAnsiTheme="minorHAnsi" w:cstheme="minorHAnsi"/>
                <w:sz w:val="22"/>
                <w:szCs w:val="21"/>
              </w:rPr>
            </w:pPr>
          </w:p>
          <w:p w14:paraId="424EACA5" w14:textId="77777777" w:rsidR="00661BCF" w:rsidRPr="00661BCF" w:rsidRDefault="00661BCF" w:rsidP="00661BCF">
            <w:pPr>
              <w:spacing w:before="60" w:after="60"/>
              <w:rPr>
                <w:rFonts w:asciiTheme="minorHAnsi" w:hAnsiTheme="minorHAnsi" w:cstheme="minorHAnsi"/>
                <w:sz w:val="22"/>
                <w:szCs w:val="21"/>
              </w:rPr>
            </w:pPr>
            <w:r w:rsidRPr="00661BCF">
              <w:rPr>
                <w:rFonts w:asciiTheme="minorHAnsi" w:hAnsiTheme="minorHAnsi" w:cstheme="minorHAnsi"/>
                <w:sz w:val="22"/>
                <w:szCs w:val="21"/>
              </w:rPr>
              <w:lastRenderedPageBreak/>
              <w:t xml:space="preserve">This indicator aims to be consistent with the NICE Clinical Guideline 124: The management of hip fracture in adults, issued June 2011 </w:t>
            </w:r>
            <w:hyperlink r:id="rId19" w:history="1">
              <w:r w:rsidRPr="00661BCF">
                <w:rPr>
                  <w:rStyle w:val="Hyperlink"/>
                  <w:rFonts w:eastAsia="MS Mincho" w:cstheme="minorHAnsi"/>
                  <w:color w:val="auto"/>
                  <w:sz w:val="22"/>
                  <w:szCs w:val="21"/>
                </w:rPr>
                <w:t>http://publications.nice.org.uk/hip-fracture-cg124/guidance</w:t>
              </w:r>
            </w:hyperlink>
            <w:r w:rsidRPr="00661BCF">
              <w:rPr>
                <w:rFonts w:asciiTheme="minorHAnsi" w:hAnsiTheme="minorHAnsi" w:cstheme="minorHAnsi"/>
                <w:sz w:val="22"/>
                <w:szCs w:val="21"/>
              </w:rPr>
              <w:t xml:space="preserve">. </w:t>
            </w:r>
          </w:p>
          <w:p w14:paraId="5F420FE4" w14:textId="77777777" w:rsidR="00661BCF" w:rsidRPr="00661BCF" w:rsidRDefault="00661BCF" w:rsidP="00661BCF">
            <w:pPr>
              <w:spacing w:before="60" w:after="60"/>
              <w:rPr>
                <w:rFonts w:asciiTheme="minorHAnsi" w:hAnsiTheme="minorHAnsi" w:cstheme="minorHAnsi"/>
                <w:sz w:val="22"/>
                <w:szCs w:val="21"/>
              </w:rPr>
            </w:pPr>
          </w:p>
          <w:p w14:paraId="04688D2D" w14:textId="77777777" w:rsidR="00661BCF" w:rsidRPr="00661BCF" w:rsidRDefault="00661BCF" w:rsidP="00661BCF">
            <w:pPr>
              <w:rPr>
                <w:rFonts w:asciiTheme="minorHAnsi" w:hAnsiTheme="minorHAnsi" w:cstheme="minorHAnsi"/>
                <w:szCs w:val="22"/>
              </w:rPr>
            </w:pPr>
            <w:r w:rsidRPr="00661BCF">
              <w:rPr>
                <w:rFonts w:asciiTheme="minorHAnsi" w:hAnsiTheme="minorHAnsi" w:cstheme="minorHAnsi"/>
                <w:sz w:val="22"/>
                <w:szCs w:val="21"/>
              </w:rPr>
              <w:t>The introduction to Clinical Guideline 124 states that around 70,000 to 75,000 hip fractures (proximal femoral fractures) occur annually in the UK, with a cost (including medical and social care) amounting to around £2 billion a year. Demographic projections indicate that the UK annual incidence will rise to 91,500 by 2015 and 101,000 in 2020, with an associated increase in annual expenditure. Most of this expenditure will be accounted for by hospital bed days and a further substantial contribution will come from health and social aftercare. At present about a quarter of patients with hip fracture are admitted from institutional care, and about 10–20% of those admitted from home ultimately move to institutional care.</w:t>
            </w:r>
          </w:p>
          <w:p w14:paraId="39FCA7AD" w14:textId="77777777" w:rsidR="00661BCF" w:rsidRPr="00661BCF" w:rsidRDefault="00661BCF" w:rsidP="00661BCF">
            <w:pPr>
              <w:rPr>
                <w:rFonts w:asciiTheme="minorHAnsi" w:hAnsiTheme="minorHAnsi" w:cstheme="minorHAnsi"/>
                <w:sz w:val="21"/>
                <w:szCs w:val="21"/>
              </w:rPr>
            </w:pPr>
          </w:p>
        </w:tc>
      </w:tr>
      <w:tr w:rsidR="00661BCF" w:rsidRPr="00661BCF" w14:paraId="70B6F14C" w14:textId="77777777" w:rsidTr="00661BCF">
        <w:tc>
          <w:tcPr>
            <w:tcW w:w="2119" w:type="dxa"/>
          </w:tcPr>
          <w:p w14:paraId="62341422"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lastRenderedPageBreak/>
              <w:t>Calculation Summary</w:t>
            </w:r>
          </w:p>
        </w:tc>
        <w:tc>
          <w:tcPr>
            <w:tcW w:w="7804" w:type="dxa"/>
          </w:tcPr>
          <w:p w14:paraId="02F54136" w14:textId="77777777" w:rsidR="00661BCF" w:rsidRPr="00661BCF" w:rsidRDefault="00661BCF" w:rsidP="00661BCF">
            <w:pPr>
              <w:rPr>
                <w:rFonts w:asciiTheme="minorHAnsi" w:hAnsiTheme="minorHAnsi" w:cstheme="minorHAnsi"/>
                <w:i/>
                <w:sz w:val="21"/>
                <w:szCs w:val="21"/>
              </w:rPr>
            </w:pPr>
            <w:r w:rsidRPr="00661BCF">
              <w:rPr>
                <w:rFonts w:asciiTheme="minorHAnsi" w:hAnsiTheme="minorHAnsi" w:cstheme="minorHAnsi"/>
                <w:sz w:val="21"/>
                <w:szCs w:val="21"/>
              </w:rPr>
              <w:t>The indicator is aggregated by Clinical Commissioning Group (CCG) and will be a numerator / denominator construct, reported as a rate per 100,000.</w:t>
            </w:r>
          </w:p>
          <w:p w14:paraId="15D35477" w14:textId="77777777" w:rsidR="00661BCF" w:rsidRPr="00661BCF" w:rsidRDefault="00661BCF" w:rsidP="00661BCF">
            <w:pPr>
              <w:rPr>
                <w:rFonts w:asciiTheme="minorHAnsi" w:hAnsiTheme="minorHAnsi" w:cstheme="minorHAnsi"/>
                <w:i/>
                <w:sz w:val="21"/>
                <w:szCs w:val="21"/>
              </w:rPr>
            </w:pPr>
          </w:p>
          <w:p w14:paraId="675C1446" w14:textId="77777777" w:rsidR="00661BCF" w:rsidRPr="00661BCF" w:rsidRDefault="00661BCF" w:rsidP="00661BCF">
            <w:pPr>
              <w:rPr>
                <w:rFonts w:asciiTheme="minorHAnsi" w:hAnsiTheme="minorHAnsi" w:cstheme="minorHAnsi"/>
                <w:i/>
                <w:sz w:val="21"/>
                <w:szCs w:val="21"/>
              </w:rPr>
            </w:pPr>
            <w:r w:rsidRPr="00661BCF">
              <w:rPr>
                <w:rFonts w:asciiTheme="minorHAnsi" w:hAnsiTheme="minorHAnsi" w:cstheme="minorHAnsi"/>
                <w:i/>
                <w:sz w:val="21"/>
                <w:szCs w:val="21"/>
              </w:rPr>
              <w:t xml:space="preserve">Denominator: </w:t>
            </w:r>
            <w:r w:rsidRPr="00661BCF">
              <w:rPr>
                <w:rFonts w:asciiTheme="minorHAnsi" w:hAnsiTheme="minorHAnsi" w:cstheme="minorHAnsi"/>
                <w:sz w:val="22"/>
                <w:szCs w:val="21"/>
              </w:rPr>
              <w:t>CCG level count of people registered with the constituent GP Practices.</w:t>
            </w:r>
            <w:r w:rsidRPr="00661BCF">
              <w:rPr>
                <w:rFonts w:asciiTheme="minorHAnsi" w:hAnsiTheme="minorHAnsi" w:cstheme="minorHAnsi"/>
                <w:i/>
                <w:sz w:val="21"/>
                <w:szCs w:val="21"/>
              </w:rPr>
              <w:t xml:space="preserve"> </w:t>
            </w:r>
          </w:p>
          <w:p w14:paraId="5282B75E" w14:textId="77777777" w:rsidR="00661BCF" w:rsidRPr="00661BCF" w:rsidRDefault="00661BCF" w:rsidP="00661BCF">
            <w:pPr>
              <w:rPr>
                <w:rFonts w:asciiTheme="minorHAnsi" w:hAnsiTheme="minorHAnsi" w:cstheme="minorHAnsi"/>
                <w:i/>
                <w:sz w:val="21"/>
                <w:szCs w:val="21"/>
              </w:rPr>
            </w:pPr>
          </w:p>
          <w:p w14:paraId="7BC1673D" w14:textId="77777777" w:rsidR="00661BCF" w:rsidRPr="00661BCF" w:rsidRDefault="00661BCF" w:rsidP="00661BCF">
            <w:pPr>
              <w:rPr>
                <w:rFonts w:asciiTheme="minorHAnsi" w:hAnsiTheme="minorHAnsi" w:cstheme="minorHAnsi"/>
                <w:sz w:val="22"/>
                <w:szCs w:val="21"/>
              </w:rPr>
            </w:pPr>
            <w:r w:rsidRPr="00661BCF">
              <w:rPr>
                <w:rFonts w:asciiTheme="minorHAnsi" w:hAnsiTheme="minorHAnsi" w:cstheme="minorHAnsi"/>
                <w:i/>
                <w:sz w:val="21"/>
                <w:szCs w:val="21"/>
              </w:rPr>
              <w:t xml:space="preserve">Numerator: </w:t>
            </w:r>
            <w:r w:rsidRPr="00661BCF">
              <w:rPr>
                <w:rFonts w:asciiTheme="minorHAnsi" w:hAnsiTheme="minorHAnsi" w:cstheme="minorHAnsi"/>
                <w:sz w:val="22"/>
                <w:szCs w:val="21"/>
              </w:rPr>
              <w:t xml:space="preserve">The number of admission spell records where the first episode contains a primary diagnosis of hip fracture in people aged 60 and over. </w:t>
            </w:r>
          </w:p>
          <w:p w14:paraId="45A2840C" w14:textId="77777777" w:rsidR="00661BCF" w:rsidRPr="00661BCF" w:rsidRDefault="00661BCF" w:rsidP="00661BCF">
            <w:pPr>
              <w:rPr>
                <w:rFonts w:asciiTheme="minorHAnsi" w:hAnsiTheme="minorHAnsi" w:cstheme="minorHAnsi"/>
                <w:sz w:val="21"/>
                <w:szCs w:val="21"/>
              </w:rPr>
            </w:pPr>
          </w:p>
          <w:p w14:paraId="06B0A7FD"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 xml:space="preserve">ICD-10 diagnosis codes for hip fracture are as follows: S72.0 Fracture of neck of femur S72.1 </w:t>
            </w:r>
            <w:proofErr w:type="spellStart"/>
            <w:r w:rsidRPr="00661BCF">
              <w:rPr>
                <w:rFonts w:asciiTheme="minorHAnsi" w:hAnsiTheme="minorHAnsi" w:cstheme="minorHAnsi"/>
                <w:sz w:val="21"/>
                <w:szCs w:val="21"/>
              </w:rPr>
              <w:t>Petrochanteric</w:t>
            </w:r>
            <w:proofErr w:type="spellEnd"/>
            <w:r w:rsidRPr="00661BCF">
              <w:rPr>
                <w:rFonts w:asciiTheme="minorHAnsi" w:hAnsiTheme="minorHAnsi" w:cstheme="minorHAnsi"/>
                <w:sz w:val="21"/>
                <w:szCs w:val="21"/>
              </w:rPr>
              <w:t xml:space="preserve"> fracture S72.2 Subtrochanteric fracture</w:t>
            </w:r>
          </w:p>
          <w:p w14:paraId="42295067" w14:textId="77777777" w:rsidR="00661BCF" w:rsidRPr="00661BCF" w:rsidRDefault="00661BCF" w:rsidP="00661BCF">
            <w:pPr>
              <w:rPr>
                <w:rFonts w:asciiTheme="minorHAnsi" w:hAnsiTheme="minorHAnsi" w:cstheme="minorHAnsi"/>
                <w:sz w:val="21"/>
                <w:szCs w:val="21"/>
              </w:rPr>
            </w:pPr>
          </w:p>
          <w:p w14:paraId="45FE61CC"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Restricting this indicator to admissions for people who are 60 years old and over will eliminate small number concerns in the lower age groups which would significantly bias the results of the standardisation calculation.</w:t>
            </w:r>
          </w:p>
          <w:p w14:paraId="4AFABBE8" w14:textId="77777777" w:rsidR="00661BCF" w:rsidRPr="00661BCF" w:rsidRDefault="00661BCF" w:rsidP="00661BCF">
            <w:pPr>
              <w:rPr>
                <w:rFonts w:asciiTheme="minorHAnsi" w:hAnsiTheme="minorHAnsi" w:cstheme="minorHAnsi"/>
                <w:sz w:val="21"/>
                <w:szCs w:val="21"/>
              </w:rPr>
            </w:pPr>
          </w:p>
          <w:p w14:paraId="1007833C"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 xml:space="preserve">The indicator is directly standardised by age and sex. </w:t>
            </w:r>
          </w:p>
          <w:p w14:paraId="0B424102" w14:textId="77777777" w:rsidR="00661BCF" w:rsidRPr="00661BCF" w:rsidRDefault="00661BCF" w:rsidP="00661BCF">
            <w:pPr>
              <w:rPr>
                <w:rFonts w:asciiTheme="minorHAnsi" w:hAnsiTheme="minorHAnsi" w:cstheme="minorHAnsi"/>
                <w:sz w:val="21"/>
                <w:szCs w:val="21"/>
              </w:rPr>
            </w:pPr>
          </w:p>
          <w:p w14:paraId="07C4A3A6"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Confidence intervals for the directly standardised rates are provided.</w:t>
            </w:r>
          </w:p>
          <w:p w14:paraId="1DC6DA71" w14:textId="77777777" w:rsidR="00661BCF" w:rsidRPr="00661BCF" w:rsidRDefault="00661BCF" w:rsidP="00661BCF">
            <w:pPr>
              <w:rPr>
                <w:rFonts w:asciiTheme="minorHAnsi" w:hAnsiTheme="minorHAnsi" w:cstheme="minorHAnsi"/>
                <w:sz w:val="21"/>
                <w:szCs w:val="21"/>
              </w:rPr>
            </w:pPr>
          </w:p>
        </w:tc>
      </w:tr>
      <w:tr w:rsidR="00661BCF" w:rsidRPr="00661BCF" w14:paraId="55769634" w14:textId="77777777" w:rsidTr="00661BCF">
        <w:tc>
          <w:tcPr>
            <w:tcW w:w="2119" w:type="dxa"/>
          </w:tcPr>
          <w:p w14:paraId="3553DF0E"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Risks &amp; assumptions</w:t>
            </w:r>
          </w:p>
        </w:tc>
        <w:tc>
          <w:tcPr>
            <w:tcW w:w="7804" w:type="dxa"/>
          </w:tcPr>
          <w:p w14:paraId="6DA0EC08"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There are no planned changes to the HES collection that would impact on this indicator. The list of indicators for inclusion in CCG OIS for 2014-15 may still be subject to change as NHS England review the indicator set.</w:t>
            </w:r>
          </w:p>
          <w:p w14:paraId="518BE7D7" w14:textId="77777777" w:rsidR="00661BCF" w:rsidRPr="00661BCF" w:rsidRDefault="00661BCF" w:rsidP="00661BCF">
            <w:pPr>
              <w:rPr>
                <w:rFonts w:asciiTheme="minorHAnsi" w:hAnsiTheme="minorHAnsi" w:cstheme="minorHAnsi"/>
                <w:sz w:val="21"/>
                <w:szCs w:val="21"/>
              </w:rPr>
            </w:pPr>
          </w:p>
          <w:p w14:paraId="7F4A0389" w14:textId="77777777" w:rsidR="00661BCF" w:rsidRPr="00661BCF" w:rsidRDefault="00661BCF" w:rsidP="00661BCF">
            <w:pPr>
              <w:rPr>
                <w:rFonts w:asciiTheme="minorHAnsi" w:hAnsiTheme="minorHAnsi" w:cstheme="minorHAnsi"/>
                <w:sz w:val="21"/>
                <w:szCs w:val="21"/>
              </w:rPr>
            </w:pPr>
          </w:p>
        </w:tc>
      </w:tr>
      <w:tr w:rsidR="00661BCF" w:rsidRPr="00661BCF" w14:paraId="3B980A86" w14:textId="77777777" w:rsidTr="00661BCF">
        <w:trPr>
          <w:trHeight w:val="267"/>
        </w:trPr>
        <w:tc>
          <w:tcPr>
            <w:tcW w:w="2119" w:type="dxa"/>
          </w:tcPr>
          <w:p w14:paraId="416D3769"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 xml:space="preserve">IG </w:t>
            </w:r>
            <w:proofErr w:type="gramStart"/>
            <w:r w:rsidRPr="00661BCF">
              <w:rPr>
                <w:rFonts w:asciiTheme="minorHAnsi" w:hAnsiTheme="minorHAnsi" w:cstheme="minorHAnsi"/>
                <w:sz w:val="22"/>
                <w:szCs w:val="22"/>
              </w:rPr>
              <w:t xml:space="preserve">Considerations  </w:t>
            </w:r>
            <w:r w:rsidRPr="00661BCF">
              <w:rPr>
                <w:rFonts w:asciiTheme="minorHAnsi" w:hAnsiTheme="minorHAnsi" w:cstheme="minorHAnsi"/>
                <w:sz w:val="16"/>
                <w:szCs w:val="16"/>
              </w:rPr>
              <w:t>[</w:t>
            </w:r>
            <w:proofErr w:type="gramEnd"/>
            <w:r w:rsidRPr="00661BCF">
              <w:rPr>
                <w:rFonts w:asciiTheme="minorHAnsi" w:hAnsiTheme="minorHAnsi" w:cstheme="minorHAnsi"/>
                <w:sz w:val="16"/>
                <w:szCs w:val="16"/>
              </w:rPr>
              <w:t>e.g. release of under-lying data, intermediaries access to data, data ownership impact on production]</w:t>
            </w:r>
          </w:p>
        </w:tc>
        <w:tc>
          <w:tcPr>
            <w:tcW w:w="7804" w:type="dxa"/>
          </w:tcPr>
          <w:p w14:paraId="32E37D43" w14:textId="77777777" w:rsidR="00661BCF" w:rsidRDefault="00661BCF" w:rsidP="00661BCF">
            <w:pPr>
              <w:rPr>
                <w:rFonts w:asciiTheme="minorHAnsi" w:hAnsiTheme="minorHAnsi" w:cstheme="minorHAnsi"/>
                <w:sz w:val="21"/>
                <w:szCs w:val="21"/>
              </w:rPr>
            </w:pPr>
            <w:r w:rsidRPr="00661BCF">
              <w:rPr>
                <w:rFonts w:asciiTheme="minorHAnsi" w:hAnsiTheme="minorHAnsi" w:cstheme="minorHAnsi"/>
                <w:i/>
                <w:sz w:val="21"/>
                <w:szCs w:val="21"/>
              </w:rPr>
              <w:t>Data Source:</w:t>
            </w:r>
            <w:r w:rsidRPr="00661BCF">
              <w:rPr>
                <w:rFonts w:asciiTheme="minorHAnsi" w:hAnsiTheme="minorHAnsi" w:cstheme="minorHAnsi"/>
              </w:rPr>
              <w:t xml:space="preserve"> </w:t>
            </w:r>
            <w:r w:rsidRPr="00661BCF">
              <w:rPr>
                <w:rFonts w:asciiTheme="minorHAnsi" w:hAnsiTheme="minorHAnsi" w:cstheme="minorHAnsi"/>
                <w:sz w:val="21"/>
                <w:szCs w:val="21"/>
              </w:rPr>
              <w:t>Hospital Episodes Statistics (HES).</w:t>
            </w:r>
          </w:p>
          <w:p w14:paraId="7F909881" w14:textId="77777777" w:rsidR="00661BCF" w:rsidRDefault="00661BCF" w:rsidP="00661BCF">
            <w:pPr>
              <w:rPr>
                <w:rFonts w:asciiTheme="minorHAnsi" w:hAnsiTheme="minorHAnsi" w:cstheme="minorHAnsi"/>
                <w:sz w:val="21"/>
                <w:szCs w:val="21"/>
              </w:rPr>
            </w:pPr>
          </w:p>
          <w:p w14:paraId="693792C2"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 xml:space="preserve">The underlying data are held by the HSCIC and are made available to customers via several mechanisms depending on their requirements. </w:t>
            </w:r>
          </w:p>
          <w:p w14:paraId="14060D19"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These include the publication of aggregated output; an extract service that covers both bespoke and routine extracts; and direct access via an interrogation tool to the underlying data for certain customers.</w:t>
            </w:r>
          </w:p>
          <w:p w14:paraId="47312BC8" w14:textId="77777777" w:rsidR="00661BCF" w:rsidRPr="00661BCF" w:rsidRDefault="00661BCF" w:rsidP="00661BCF">
            <w:pPr>
              <w:rPr>
                <w:rFonts w:asciiTheme="minorHAnsi" w:hAnsiTheme="minorHAnsi" w:cstheme="minorHAnsi"/>
                <w:sz w:val="21"/>
                <w:szCs w:val="21"/>
              </w:rPr>
            </w:pPr>
          </w:p>
          <w:p w14:paraId="44697E3C"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F</w:t>
            </w:r>
          </w:p>
          <w:p w14:paraId="1E1C90D3" w14:textId="77777777" w:rsidR="00661BCF" w:rsidRPr="00661BCF" w:rsidRDefault="00661BCF" w:rsidP="00661BCF">
            <w:pPr>
              <w:rPr>
                <w:rFonts w:asciiTheme="minorHAnsi" w:hAnsiTheme="minorHAnsi" w:cstheme="minorHAnsi"/>
                <w:sz w:val="21"/>
                <w:szCs w:val="21"/>
              </w:rPr>
            </w:pPr>
          </w:p>
          <w:p w14:paraId="48ECBE00"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Commissioning Data Sets (CDS 6.2) are approved by ISB ref ISB0092.</w:t>
            </w:r>
          </w:p>
          <w:p w14:paraId="3D41ED8D" w14:textId="77777777" w:rsidR="00661BCF" w:rsidRPr="00661BCF" w:rsidRDefault="00661BCF" w:rsidP="00661BCF">
            <w:pPr>
              <w:rPr>
                <w:rFonts w:asciiTheme="minorHAnsi" w:hAnsiTheme="minorHAnsi" w:cstheme="minorHAnsi"/>
                <w:sz w:val="21"/>
                <w:szCs w:val="21"/>
              </w:rPr>
            </w:pPr>
          </w:p>
          <w:p w14:paraId="2543151D"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HES has been approved by ROCR license number ROCR/OR/0014/FT6/009MAND.</w:t>
            </w:r>
          </w:p>
          <w:p w14:paraId="15F38DEA" w14:textId="5C49355A" w:rsidR="00661BCF" w:rsidRPr="00661BCF" w:rsidRDefault="00661BCF" w:rsidP="00661BCF">
            <w:pPr>
              <w:rPr>
                <w:rFonts w:asciiTheme="minorHAnsi" w:hAnsiTheme="minorHAnsi" w:cstheme="minorHAnsi"/>
                <w:sz w:val="21"/>
                <w:szCs w:val="21"/>
              </w:rPr>
            </w:pPr>
          </w:p>
        </w:tc>
      </w:tr>
      <w:tr w:rsidR="00661BCF" w:rsidRPr="00661BCF" w14:paraId="14DB3856" w14:textId="77777777" w:rsidTr="00661BCF">
        <w:tc>
          <w:tcPr>
            <w:tcW w:w="2119" w:type="dxa"/>
          </w:tcPr>
          <w:p w14:paraId="2BC7D2E8"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lastRenderedPageBreak/>
              <w:t xml:space="preserve">Potential impacts on other business areas </w:t>
            </w:r>
            <w:r w:rsidRPr="00661BCF">
              <w:rPr>
                <w:rFonts w:asciiTheme="minorHAnsi" w:hAnsiTheme="minorHAnsi" w:cstheme="minorHAnsi"/>
                <w:sz w:val="16"/>
                <w:szCs w:val="16"/>
              </w:rPr>
              <w:t>[</w:t>
            </w:r>
            <w:proofErr w:type="spellStart"/>
            <w:r w:rsidRPr="00661BCF">
              <w:rPr>
                <w:rFonts w:asciiTheme="minorHAnsi" w:hAnsiTheme="minorHAnsi" w:cstheme="minorHAnsi"/>
                <w:sz w:val="16"/>
                <w:szCs w:val="16"/>
              </w:rPr>
              <w:t>inc</w:t>
            </w:r>
            <w:proofErr w:type="spellEnd"/>
            <w:r w:rsidRPr="00661BCF">
              <w:rPr>
                <w:rFonts w:asciiTheme="minorHAnsi" w:hAnsiTheme="minorHAnsi" w:cstheme="minorHAnsi"/>
                <w:sz w:val="16"/>
                <w:szCs w:val="16"/>
              </w:rPr>
              <w:t xml:space="preserve"> outstanding generic issues]</w:t>
            </w:r>
          </w:p>
        </w:tc>
        <w:tc>
          <w:tcPr>
            <w:tcW w:w="7804" w:type="dxa"/>
          </w:tcPr>
          <w:p w14:paraId="2BF2E43A"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The indicator is being recommended by NICE for inclusion in the 2014/15 Clinical Commissioning Group Outcomes Indicator Set (CCG OIS).</w:t>
            </w:r>
          </w:p>
          <w:p w14:paraId="202A45A9" w14:textId="77777777" w:rsidR="00661BCF" w:rsidRPr="00661BCF" w:rsidRDefault="00661BCF" w:rsidP="00661BCF">
            <w:pPr>
              <w:rPr>
                <w:rFonts w:asciiTheme="minorHAnsi" w:hAnsiTheme="minorHAnsi" w:cstheme="minorHAnsi"/>
                <w:sz w:val="21"/>
                <w:szCs w:val="21"/>
              </w:rPr>
            </w:pPr>
          </w:p>
          <w:p w14:paraId="10BF2DE7"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There are three other indicators relating to hip fracture in the CCGOIS:</w:t>
            </w:r>
          </w:p>
          <w:p w14:paraId="1150B1AA"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Hip fracture: timely surgery</w:t>
            </w:r>
          </w:p>
          <w:p w14:paraId="5FBC89D1"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Hip fracture: formal hip fracture programme</w:t>
            </w:r>
          </w:p>
          <w:p w14:paraId="5F000691"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Hip fracture: multifactorial falls risk assessment</w:t>
            </w:r>
          </w:p>
          <w:p w14:paraId="1F08DB3E" w14:textId="77777777" w:rsidR="00661BCF" w:rsidRPr="00661BCF" w:rsidRDefault="00661BCF" w:rsidP="00661BCF">
            <w:pPr>
              <w:rPr>
                <w:rFonts w:asciiTheme="minorHAnsi" w:hAnsiTheme="minorHAnsi" w:cstheme="minorHAnsi"/>
                <w:sz w:val="21"/>
                <w:szCs w:val="21"/>
              </w:rPr>
            </w:pPr>
          </w:p>
          <w:p w14:paraId="31CFA8F3"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There is a similar indicator in the Public Health Outcomes Framework:</w:t>
            </w:r>
          </w:p>
          <w:p w14:paraId="06913A70"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 xml:space="preserve">4.14i </w:t>
            </w:r>
            <w:r w:rsidRPr="00661BCF">
              <w:rPr>
                <w:rFonts w:asciiTheme="minorHAnsi" w:hAnsiTheme="minorHAnsi" w:cstheme="minorHAnsi"/>
                <w:i/>
                <w:sz w:val="21"/>
                <w:szCs w:val="21"/>
              </w:rPr>
              <w:t>- Age-sex standardised rate of emergency admissions for fractured neck of femur in those aged 65+ per 100,000 population</w:t>
            </w:r>
          </w:p>
          <w:p w14:paraId="0C7B8B18"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 xml:space="preserve">The rationale for the differences between the two indicators were considered at MRG (see below). </w:t>
            </w:r>
          </w:p>
          <w:p w14:paraId="7A93D83B" w14:textId="77777777" w:rsidR="00661BCF" w:rsidRPr="00661BCF" w:rsidRDefault="00661BCF" w:rsidP="00661BCF">
            <w:pPr>
              <w:rPr>
                <w:rFonts w:asciiTheme="minorHAnsi" w:hAnsiTheme="minorHAnsi" w:cstheme="minorHAnsi"/>
                <w:sz w:val="21"/>
                <w:szCs w:val="21"/>
              </w:rPr>
            </w:pPr>
          </w:p>
        </w:tc>
      </w:tr>
      <w:tr w:rsidR="00661BCF" w:rsidRPr="00661BCF" w14:paraId="1B3C45D8" w14:textId="77777777" w:rsidTr="00661BCF">
        <w:trPr>
          <w:trHeight w:val="4467"/>
        </w:trPr>
        <w:tc>
          <w:tcPr>
            <w:tcW w:w="2119" w:type="dxa"/>
          </w:tcPr>
          <w:p w14:paraId="390CFA1C"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Implementation Method</w:t>
            </w:r>
          </w:p>
          <w:p w14:paraId="41E3C6DC" w14:textId="77777777" w:rsidR="00661BCF" w:rsidRPr="00661BCF" w:rsidRDefault="00661BCF" w:rsidP="00661BCF">
            <w:pPr>
              <w:rPr>
                <w:rFonts w:asciiTheme="minorHAnsi" w:hAnsiTheme="minorHAnsi" w:cstheme="minorHAnsi"/>
                <w:i/>
                <w:sz w:val="20"/>
                <w:szCs w:val="20"/>
              </w:rPr>
            </w:pPr>
            <w:r w:rsidRPr="00661BCF">
              <w:rPr>
                <w:rFonts w:asciiTheme="minorHAnsi" w:hAnsiTheme="minorHAnsi" w:cstheme="minorHAnsi"/>
                <w:sz w:val="16"/>
                <w:szCs w:val="16"/>
              </w:rPr>
              <w:t>[</w:t>
            </w:r>
            <w:proofErr w:type="spellStart"/>
            <w:r w:rsidRPr="00661BCF">
              <w:rPr>
                <w:rFonts w:asciiTheme="minorHAnsi" w:hAnsiTheme="minorHAnsi" w:cstheme="minorHAnsi"/>
                <w:sz w:val="16"/>
                <w:szCs w:val="16"/>
              </w:rPr>
              <w:t>inc</w:t>
            </w:r>
            <w:proofErr w:type="spellEnd"/>
            <w:r w:rsidRPr="00661BCF">
              <w:rPr>
                <w:rFonts w:asciiTheme="minorHAnsi" w:hAnsiTheme="minorHAnsi" w:cstheme="minorHAnsi"/>
                <w:sz w:val="16"/>
                <w:szCs w:val="16"/>
              </w:rPr>
              <w:t xml:space="preserve"> production funding]</w:t>
            </w:r>
          </w:p>
        </w:tc>
        <w:tc>
          <w:tcPr>
            <w:tcW w:w="7804" w:type="dxa"/>
          </w:tcPr>
          <w:p w14:paraId="5A50B2B9"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 xml:space="preserve">NHS England has commissioned HSCIC to produce and disseminate the CCG OIS indicators; this is funded via the Grant </w:t>
            </w:r>
            <w:proofErr w:type="gramStart"/>
            <w:r w:rsidRPr="00661BCF">
              <w:rPr>
                <w:rFonts w:asciiTheme="minorHAnsi" w:hAnsiTheme="minorHAnsi" w:cstheme="minorHAnsi"/>
                <w:sz w:val="21"/>
                <w:szCs w:val="21"/>
              </w:rPr>
              <w:t>In</w:t>
            </w:r>
            <w:proofErr w:type="gramEnd"/>
            <w:r w:rsidRPr="00661BCF">
              <w:rPr>
                <w:rFonts w:asciiTheme="minorHAnsi" w:hAnsiTheme="minorHAnsi" w:cstheme="minorHAnsi"/>
                <w:sz w:val="21"/>
                <w:szCs w:val="21"/>
              </w:rPr>
              <w:t xml:space="preserve"> Aid funding to HSCIC.</w:t>
            </w:r>
          </w:p>
          <w:p w14:paraId="64E54403" w14:textId="77777777" w:rsidR="00661BCF" w:rsidRPr="00661BCF" w:rsidRDefault="00661BCF" w:rsidP="00661BCF">
            <w:pPr>
              <w:rPr>
                <w:rFonts w:asciiTheme="minorHAnsi" w:hAnsiTheme="minorHAnsi" w:cstheme="minorHAnsi"/>
                <w:sz w:val="21"/>
                <w:szCs w:val="21"/>
              </w:rPr>
            </w:pPr>
          </w:p>
          <w:p w14:paraId="4A6F1B01"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Collection of the data for the CCG OIS is via existing data collections, in this case HES and NHAIS (Exeter) GP population data. Testing and specification of the indicators is carried out by the Specification Development Service and construction of the indicators is provided by Clinical Indicators via the CI Platform.</w:t>
            </w:r>
          </w:p>
          <w:p w14:paraId="236BCF21" w14:textId="77777777" w:rsidR="00661BCF" w:rsidRPr="00661BCF" w:rsidRDefault="00661BCF" w:rsidP="00661BCF">
            <w:pPr>
              <w:rPr>
                <w:rFonts w:asciiTheme="minorHAnsi" w:hAnsiTheme="minorHAnsi" w:cstheme="minorHAnsi"/>
                <w:sz w:val="21"/>
                <w:szCs w:val="21"/>
              </w:rPr>
            </w:pPr>
          </w:p>
          <w:p w14:paraId="79F5EFB0"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 xml:space="preserve">Dissemination and presentation of the CCG OIS will be via </w:t>
            </w:r>
            <w:proofErr w:type="gramStart"/>
            <w:r w:rsidRPr="00661BCF">
              <w:rPr>
                <w:rFonts w:asciiTheme="minorHAnsi" w:hAnsiTheme="minorHAnsi" w:cstheme="minorHAnsi"/>
                <w:sz w:val="21"/>
                <w:szCs w:val="21"/>
              </w:rPr>
              <w:t>a number of</w:t>
            </w:r>
            <w:proofErr w:type="gramEnd"/>
            <w:r w:rsidRPr="00661BCF">
              <w:rPr>
                <w:rFonts w:asciiTheme="minorHAnsi" w:hAnsiTheme="minorHAnsi" w:cstheme="minorHAnsi"/>
                <w:sz w:val="21"/>
                <w:szCs w:val="21"/>
              </w:rPr>
              <w:t xml:space="preserve"> routes:</w:t>
            </w:r>
          </w:p>
          <w:p w14:paraId="6AF936CF" w14:textId="77777777" w:rsidR="00661BCF" w:rsidRPr="00661BCF" w:rsidRDefault="00661BCF" w:rsidP="00661BCF">
            <w:pPr>
              <w:pStyle w:val="ListParagraph"/>
              <w:numPr>
                <w:ilvl w:val="0"/>
                <w:numId w:val="9"/>
              </w:numPr>
              <w:spacing w:after="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 xml:space="preserve">The indicators and their underlying data will be made </w:t>
            </w:r>
            <w:proofErr w:type="spellStart"/>
            <w:r w:rsidRPr="00661BCF">
              <w:rPr>
                <w:rFonts w:asciiTheme="minorHAnsi" w:hAnsiTheme="minorHAnsi" w:cstheme="minorHAnsi"/>
                <w:sz w:val="21"/>
                <w:szCs w:val="21"/>
              </w:rPr>
              <w:t>publically</w:t>
            </w:r>
            <w:proofErr w:type="spellEnd"/>
            <w:r w:rsidRPr="00661BCF">
              <w:rPr>
                <w:rFonts w:asciiTheme="minorHAnsi" w:hAnsiTheme="minorHAnsi" w:cstheme="minorHAnsi"/>
                <w:sz w:val="21"/>
                <w:szCs w:val="21"/>
              </w:rPr>
              <w:t xml:space="preserve"> available via the HSCIC website and the Indicator Portal. </w:t>
            </w:r>
          </w:p>
          <w:p w14:paraId="75B89769" w14:textId="77777777" w:rsidR="00661BCF" w:rsidRPr="00661BCF" w:rsidRDefault="00661BCF" w:rsidP="00661BCF">
            <w:pPr>
              <w:pStyle w:val="ListParagraph"/>
              <w:numPr>
                <w:ilvl w:val="0"/>
                <w:numId w:val="9"/>
              </w:numPr>
              <w:spacing w:after="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The indicators will also be provided to NHS England for use in their internal Intelligence Tool.</w:t>
            </w:r>
          </w:p>
          <w:p w14:paraId="45958CDB" w14:textId="77777777" w:rsidR="00661BCF" w:rsidRPr="00661BCF" w:rsidRDefault="00661BCF" w:rsidP="00661BCF">
            <w:pPr>
              <w:rPr>
                <w:rFonts w:asciiTheme="minorHAnsi" w:hAnsiTheme="minorHAnsi" w:cstheme="minorHAnsi"/>
                <w:sz w:val="21"/>
                <w:szCs w:val="21"/>
              </w:rPr>
            </w:pPr>
          </w:p>
          <w:p w14:paraId="15499530"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Subject to confirmation by NHS England, the calculated indicator, numerator and denominator for CCGs will be supplied by messaging to the Calculating Quality Reporting Service (CQRS) for use by CCGs as part of their management information.</w:t>
            </w:r>
          </w:p>
          <w:p w14:paraId="42ED0DEE" w14:textId="77777777" w:rsidR="00661BCF" w:rsidRPr="00661BCF" w:rsidRDefault="00661BCF" w:rsidP="00661BCF">
            <w:pPr>
              <w:rPr>
                <w:rFonts w:asciiTheme="minorHAnsi" w:hAnsiTheme="minorHAnsi" w:cstheme="minorHAnsi"/>
                <w:sz w:val="21"/>
                <w:szCs w:val="21"/>
              </w:rPr>
            </w:pPr>
          </w:p>
        </w:tc>
      </w:tr>
    </w:tbl>
    <w:p w14:paraId="725035E6" w14:textId="77777777" w:rsidR="00B916CF" w:rsidRPr="00661BCF" w:rsidRDefault="00B916CF" w:rsidP="00661BCF">
      <w:pPr>
        <w:rPr>
          <w:rFonts w:asciiTheme="minorHAnsi" w:hAnsiTheme="minorHAnsi" w:cstheme="minorHAnsi"/>
        </w:rPr>
      </w:pPr>
    </w:p>
    <w:p w14:paraId="0A30AEDF" w14:textId="77777777" w:rsidR="00B916CF" w:rsidRPr="00661BCF" w:rsidRDefault="00B916CF" w:rsidP="00661BCF">
      <w:pPr>
        <w:rPr>
          <w:rFonts w:asciiTheme="minorHAnsi" w:hAnsiTheme="minorHAnsi" w:cstheme="minorHAnsi"/>
        </w:rPr>
      </w:pPr>
    </w:p>
    <w:p w14:paraId="08B14D4C" w14:textId="77777777" w:rsidR="00B916CF" w:rsidRPr="00661BCF" w:rsidRDefault="00B916CF" w:rsidP="00661BCF">
      <w:pPr>
        <w:rPr>
          <w:rFonts w:asciiTheme="minorHAnsi" w:hAnsiTheme="minorHAnsi" w:cstheme="minorHAnsi"/>
        </w:rPr>
      </w:pPr>
    </w:p>
    <w:tbl>
      <w:tblPr>
        <w:tblStyle w:val="TableGrid1"/>
        <w:tblW w:w="9923" w:type="dxa"/>
        <w:tblLayout w:type="fixed"/>
        <w:tblLook w:val="01E0" w:firstRow="1" w:lastRow="1" w:firstColumn="1" w:lastColumn="1" w:noHBand="0" w:noVBand="0"/>
      </w:tblPr>
      <w:tblGrid>
        <w:gridCol w:w="2119"/>
        <w:gridCol w:w="7804"/>
      </w:tblGrid>
      <w:tr w:rsidR="00661BCF" w:rsidRPr="00661BCF" w14:paraId="47AEB053" w14:textId="77777777" w:rsidTr="00661BCF">
        <w:trPr>
          <w:trHeight w:val="404"/>
        </w:trPr>
        <w:tc>
          <w:tcPr>
            <w:tcW w:w="2119" w:type="dxa"/>
          </w:tcPr>
          <w:p w14:paraId="6F8582C0" w14:textId="77777777" w:rsidR="00661BCF" w:rsidRPr="00661BCF" w:rsidRDefault="00661BCF" w:rsidP="00661BCF">
            <w:pPr>
              <w:rPr>
                <w:rFonts w:asciiTheme="minorHAnsi" w:hAnsiTheme="minorHAnsi" w:cstheme="minorHAnsi"/>
                <w:sz w:val="21"/>
                <w:szCs w:val="21"/>
              </w:rPr>
            </w:pPr>
          </w:p>
        </w:tc>
        <w:tc>
          <w:tcPr>
            <w:tcW w:w="7804" w:type="dxa"/>
          </w:tcPr>
          <w:p w14:paraId="6FF5E713" w14:textId="15020606"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b/>
                <w:sz w:val="22"/>
                <w:szCs w:val="22"/>
              </w:rPr>
              <w:t xml:space="preserve">Development Advice &amp; Peer Review </w:t>
            </w:r>
          </w:p>
        </w:tc>
      </w:tr>
      <w:tr w:rsidR="00661BCF" w:rsidRPr="00661BCF" w14:paraId="18912013" w14:textId="77777777" w:rsidTr="00661BCF">
        <w:trPr>
          <w:trHeight w:val="404"/>
        </w:trPr>
        <w:tc>
          <w:tcPr>
            <w:tcW w:w="2119" w:type="dxa"/>
          </w:tcPr>
          <w:p w14:paraId="4E0E7693"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Range of input</w:t>
            </w:r>
          </w:p>
          <w:p w14:paraId="1BE7D054"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16"/>
                <w:szCs w:val="16"/>
              </w:rPr>
              <w:t>[Have relevant business areas contributed e.g. clinical assurance?]</w:t>
            </w:r>
            <w:r w:rsidRPr="00661BCF">
              <w:rPr>
                <w:rFonts w:asciiTheme="minorHAnsi" w:hAnsiTheme="minorHAnsi" w:cstheme="minorHAnsi"/>
                <w:sz w:val="16"/>
                <w:szCs w:val="16"/>
                <w:highlight w:val="yellow"/>
              </w:rPr>
              <w:t xml:space="preserve"> </w:t>
            </w:r>
          </w:p>
        </w:tc>
        <w:tc>
          <w:tcPr>
            <w:tcW w:w="7804" w:type="dxa"/>
          </w:tcPr>
          <w:p w14:paraId="272FE1B6"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Advice has been taken from the NHS Classification Service (National Clinical Classifications Helpdesk) on which ICD-10 codes to use to filter for hip fracture. Their advice is to use the codes as listed in the indicator definition (Section A1).</w:t>
            </w:r>
          </w:p>
          <w:p w14:paraId="72F2C99F" w14:textId="77777777" w:rsidR="00661BCF" w:rsidRPr="00661BCF" w:rsidRDefault="00661BCF" w:rsidP="00661BCF">
            <w:pPr>
              <w:rPr>
                <w:rFonts w:asciiTheme="minorHAnsi" w:hAnsiTheme="minorHAnsi" w:cstheme="minorHAnsi"/>
                <w:sz w:val="21"/>
                <w:szCs w:val="21"/>
              </w:rPr>
            </w:pPr>
          </w:p>
          <w:p w14:paraId="672DD60A" w14:textId="77777777" w:rsidR="00661BCF" w:rsidRPr="00661BCF" w:rsidRDefault="00661BCF" w:rsidP="00661BCF">
            <w:pPr>
              <w:rPr>
                <w:rFonts w:asciiTheme="minorHAnsi" w:hAnsiTheme="minorHAnsi" w:cstheme="minorHAnsi"/>
                <w:strike/>
                <w:sz w:val="21"/>
                <w:szCs w:val="21"/>
              </w:rPr>
            </w:pPr>
            <w:r w:rsidRPr="00661BCF">
              <w:rPr>
                <w:rFonts w:asciiTheme="minorHAnsi" w:hAnsiTheme="minorHAnsi" w:cstheme="minorHAnsi"/>
                <w:sz w:val="21"/>
                <w:szCs w:val="21"/>
              </w:rPr>
              <w:t xml:space="preserve">Clinical input was received from Rob </w:t>
            </w:r>
            <w:proofErr w:type="spellStart"/>
            <w:r w:rsidRPr="00661BCF">
              <w:rPr>
                <w:rFonts w:asciiTheme="minorHAnsi" w:hAnsiTheme="minorHAnsi" w:cstheme="minorHAnsi"/>
                <w:sz w:val="21"/>
                <w:szCs w:val="21"/>
              </w:rPr>
              <w:t>Wakeman</w:t>
            </w:r>
            <w:proofErr w:type="spellEnd"/>
            <w:r w:rsidRPr="00661BCF">
              <w:rPr>
                <w:rFonts w:asciiTheme="minorHAnsi" w:hAnsiTheme="minorHAnsi" w:cstheme="minorHAnsi"/>
                <w:sz w:val="21"/>
                <w:szCs w:val="21"/>
              </w:rPr>
              <w:t>, NHFD Clinical Lead for Orthopaedic Surgery.</w:t>
            </w:r>
            <w:r w:rsidRPr="00661BCF">
              <w:rPr>
                <w:rFonts w:asciiTheme="minorHAnsi" w:hAnsiTheme="minorHAnsi" w:cstheme="minorHAnsi"/>
                <w:strike/>
                <w:sz w:val="21"/>
                <w:szCs w:val="21"/>
              </w:rPr>
              <w:t xml:space="preserve"> </w:t>
            </w:r>
          </w:p>
          <w:p w14:paraId="64793272" w14:textId="77777777" w:rsidR="00661BCF" w:rsidRPr="00661BCF" w:rsidRDefault="00661BCF" w:rsidP="00661BCF">
            <w:pPr>
              <w:rPr>
                <w:rFonts w:asciiTheme="minorHAnsi" w:hAnsiTheme="minorHAnsi" w:cstheme="minorHAnsi"/>
                <w:strike/>
                <w:sz w:val="21"/>
                <w:szCs w:val="21"/>
              </w:rPr>
            </w:pPr>
          </w:p>
        </w:tc>
      </w:tr>
      <w:tr w:rsidR="00661BCF" w:rsidRPr="00661BCF" w14:paraId="35710453" w14:textId="77777777" w:rsidTr="00661BCF">
        <w:trPr>
          <w:trHeight w:val="413"/>
        </w:trPr>
        <w:tc>
          <w:tcPr>
            <w:tcW w:w="2119" w:type="dxa"/>
          </w:tcPr>
          <w:p w14:paraId="12883885" w14:textId="77777777" w:rsidR="00661BCF" w:rsidRPr="00661BCF" w:rsidRDefault="00661BCF" w:rsidP="00661BCF">
            <w:pPr>
              <w:rPr>
                <w:rFonts w:asciiTheme="minorHAnsi" w:hAnsiTheme="minorHAnsi" w:cstheme="minorHAnsi"/>
                <w:i/>
                <w:sz w:val="22"/>
                <w:szCs w:val="22"/>
              </w:rPr>
            </w:pPr>
            <w:r w:rsidRPr="00661BCF">
              <w:rPr>
                <w:rFonts w:asciiTheme="minorHAnsi" w:hAnsiTheme="minorHAnsi" w:cstheme="minorHAnsi"/>
                <w:sz w:val="22"/>
                <w:szCs w:val="22"/>
              </w:rPr>
              <w:t>Peer Reviewers:</w:t>
            </w:r>
          </w:p>
        </w:tc>
        <w:tc>
          <w:tcPr>
            <w:tcW w:w="7804" w:type="dxa"/>
          </w:tcPr>
          <w:p w14:paraId="0EED01F6"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 xml:space="preserve">No peer review has currently been undertaken as part of this assurance process. </w:t>
            </w:r>
          </w:p>
        </w:tc>
      </w:tr>
      <w:tr w:rsidR="00661BCF" w:rsidRPr="00661BCF" w14:paraId="5CB4C6BD" w14:textId="77777777" w:rsidTr="00661BCF">
        <w:trPr>
          <w:trHeight w:val="413"/>
        </w:trPr>
        <w:tc>
          <w:tcPr>
            <w:tcW w:w="2119" w:type="dxa"/>
          </w:tcPr>
          <w:p w14:paraId="4BBFA258"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Peer Review summary:</w:t>
            </w:r>
          </w:p>
        </w:tc>
        <w:tc>
          <w:tcPr>
            <w:tcW w:w="7804" w:type="dxa"/>
          </w:tcPr>
          <w:p w14:paraId="11C3DAAB"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w:t>
            </w:r>
          </w:p>
          <w:p w14:paraId="21A89DA7" w14:textId="77777777" w:rsidR="00661BCF" w:rsidRPr="00661BCF" w:rsidRDefault="00661BCF" w:rsidP="00661BCF">
            <w:pPr>
              <w:rPr>
                <w:rFonts w:asciiTheme="minorHAnsi" w:hAnsiTheme="minorHAnsi" w:cstheme="minorHAnsi"/>
                <w:sz w:val="21"/>
                <w:szCs w:val="21"/>
              </w:rPr>
            </w:pPr>
          </w:p>
        </w:tc>
      </w:tr>
    </w:tbl>
    <w:p w14:paraId="1E392DE8" w14:textId="77777777" w:rsidR="00B916CF" w:rsidRPr="00661BCF" w:rsidRDefault="00B916CF" w:rsidP="00661BCF">
      <w:pPr>
        <w:rPr>
          <w:rFonts w:asciiTheme="minorHAnsi" w:hAnsiTheme="minorHAnsi" w:cstheme="minorHAnsi"/>
        </w:rPr>
      </w:pPr>
    </w:p>
    <w:tbl>
      <w:tblPr>
        <w:tblStyle w:val="TableGrid1"/>
        <w:tblW w:w="9923" w:type="dxa"/>
        <w:tblLook w:val="01E0" w:firstRow="1" w:lastRow="1" w:firstColumn="1" w:lastColumn="1" w:noHBand="0" w:noVBand="0"/>
      </w:tblPr>
      <w:tblGrid>
        <w:gridCol w:w="2119"/>
        <w:gridCol w:w="7804"/>
      </w:tblGrid>
      <w:tr w:rsidR="00661BCF" w:rsidRPr="00661BCF" w14:paraId="729903C2" w14:textId="77777777" w:rsidTr="00661BCF">
        <w:tc>
          <w:tcPr>
            <w:tcW w:w="2119" w:type="dxa"/>
          </w:tcPr>
          <w:p w14:paraId="1A036E74" w14:textId="77777777" w:rsidR="00661BCF" w:rsidRPr="00661BCF" w:rsidRDefault="00661BCF" w:rsidP="00661BCF">
            <w:pPr>
              <w:rPr>
                <w:rFonts w:asciiTheme="minorHAnsi" w:hAnsiTheme="minorHAnsi" w:cstheme="minorHAnsi"/>
                <w:sz w:val="22"/>
                <w:szCs w:val="22"/>
              </w:rPr>
            </w:pPr>
          </w:p>
        </w:tc>
        <w:tc>
          <w:tcPr>
            <w:tcW w:w="7804" w:type="dxa"/>
          </w:tcPr>
          <w:p w14:paraId="10B10853" w14:textId="2843632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b/>
                <w:sz w:val="22"/>
                <w:szCs w:val="22"/>
              </w:rPr>
              <w:t>Record of MRG Discussion</w:t>
            </w:r>
          </w:p>
        </w:tc>
      </w:tr>
      <w:tr w:rsidR="00661BCF" w:rsidRPr="00661BCF" w14:paraId="0C805B1F" w14:textId="77777777" w:rsidTr="00661BCF">
        <w:tc>
          <w:tcPr>
            <w:tcW w:w="2119" w:type="dxa"/>
          </w:tcPr>
          <w:p w14:paraId="422EB9BC" w14:textId="4E52A279"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 xml:space="preserve">Discussion dates: </w:t>
            </w:r>
          </w:p>
        </w:tc>
        <w:tc>
          <w:tcPr>
            <w:tcW w:w="7804" w:type="dxa"/>
          </w:tcPr>
          <w:p w14:paraId="532FEC80" w14:textId="77777777" w:rsidR="00661BCF" w:rsidRPr="00661BCF" w:rsidRDefault="00661BCF" w:rsidP="00661BCF">
            <w:pPr>
              <w:rPr>
                <w:rFonts w:asciiTheme="minorHAnsi" w:hAnsiTheme="minorHAnsi" w:cstheme="minorHAnsi"/>
                <w:sz w:val="20"/>
                <w:szCs w:val="20"/>
              </w:rPr>
            </w:pPr>
            <w:r w:rsidRPr="00661BCF">
              <w:rPr>
                <w:rFonts w:asciiTheme="minorHAnsi" w:hAnsiTheme="minorHAnsi" w:cstheme="minorHAnsi"/>
                <w:sz w:val="20"/>
                <w:szCs w:val="20"/>
              </w:rPr>
              <w:t>20/09/13</w:t>
            </w:r>
          </w:p>
          <w:p w14:paraId="15983D9D" w14:textId="7090BD98"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0"/>
                <w:szCs w:val="20"/>
              </w:rPr>
              <w:t>31/10/13</w:t>
            </w:r>
          </w:p>
        </w:tc>
      </w:tr>
      <w:tr w:rsidR="00661BCF" w:rsidRPr="00661BCF" w14:paraId="16F86CAD" w14:textId="77777777" w:rsidTr="00661BCF">
        <w:tc>
          <w:tcPr>
            <w:tcW w:w="2119" w:type="dxa"/>
          </w:tcPr>
          <w:p w14:paraId="14EDBFC0" w14:textId="576AB4D9"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By:</w:t>
            </w:r>
          </w:p>
        </w:tc>
        <w:tc>
          <w:tcPr>
            <w:tcW w:w="7804" w:type="dxa"/>
          </w:tcPr>
          <w:p w14:paraId="33A8CB4A" w14:textId="77777777" w:rsidR="00661BCF" w:rsidRPr="00661BCF" w:rsidRDefault="00661BCF" w:rsidP="00661BCF">
            <w:pPr>
              <w:rPr>
                <w:rFonts w:asciiTheme="minorHAnsi" w:hAnsiTheme="minorHAnsi" w:cstheme="minorHAnsi"/>
                <w:sz w:val="16"/>
                <w:szCs w:val="16"/>
              </w:rPr>
            </w:pPr>
            <w:r w:rsidRPr="00661BCF">
              <w:rPr>
                <w:rFonts w:asciiTheme="minorHAnsi" w:hAnsiTheme="minorHAnsi" w:cstheme="minorHAnsi"/>
                <w:sz w:val="16"/>
                <w:szCs w:val="16"/>
              </w:rPr>
              <w:t>Heather Dawe</w:t>
            </w:r>
            <w:r w:rsidRPr="00661BCF">
              <w:rPr>
                <w:rFonts w:asciiTheme="minorHAnsi" w:hAnsiTheme="minorHAnsi" w:cstheme="minorHAnsi"/>
                <w:sz w:val="16"/>
                <w:szCs w:val="16"/>
              </w:rPr>
              <w:tab/>
              <w:t>HSCIC</w:t>
            </w:r>
            <w:r w:rsidRPr="00661BCF">
              <w:rPr>
                <w:rFonts w:asciiTheme="minorHAnsi" w:hAnsiTheme="minorHAnsi" w:cstheme="minorHAnsi"/>
                <w:sz w:val="16"/>
                <w:szCs w:val="16"/>
              </w:rPr>
              <w:tab/>
              <w:t>Programme Manager, Clinical Indicators</w:t>
            </w:r>
          </w:p>
          <w:p w14:paraId="6D8BA348" w14:textId="77777777" w:rsidR="00661BCF" w:rsidRPr="00661BCF" w:rsidRDefault="00661BCF" w:rsidP="00661BCF">
            <w:pPr>
              <w:rPr>
                <w:rFonts w:asciiTheme="minorHAnsi" w:hAnsiTheme="minorHAnsi" w:cstheme="minorHAnsi"/>
                <w:sz w:val="16"/>
                <w:szCs w:val="16"/>
              </w:rPr>
            </w:pPr>
            <w:r w:rsidRPr="00661BCF">
              <w:rPr>
                <w:rFonts w:asciiTheme="minorHAnsi" w:hAnsiTheme="minorHAnsi" w:cstheme="minorHAnsi"/>
                <w:sz w:val="16"/>
                <w:szCs w:val="16"/>
              </w:rPr>
              <w:t xml:space="preserve">Paul Fryers </w:t>
            </w:r>
            <w:r w:rsidRPr="00661BCF">
              <w:rPr>
                <w:rFonts w:asciiTheme="minorHAnsi" w:hAnsiTheme="minorHAnsi" w:cstheme="minorHAnsi"/>
                <w:sz w:val="16"/>
                <w:szCs w:val="16"/>
              </w:rPr>
              <w:tab/>
              <w:t>PHE             Deputy Director, EM Knowledge and Intelligence Tm</w:t>
            </w:r>
          </w:p>
          <w:p w14:paraId="2103F359" w14:textId="77777777" w:rsidR="00661BCF" w:rsidRPr="00661BCF" w:rsidRDefault="00661BCF" w:rsidP="00661BCF">
            <w:pPr>
              <w:rPr>
                <w:rFonts w:asciiTheme="minorHAnsi" w:hAnsiTheme="minorHAnsi" w:cstheme="minorHAnsi"/>
                <w:sz w:val="16"/>
                <w:szCs w:val="16"/>
              </w:rPr>
            </w:pPr>
            <w:r w:rsidRPr="00661BCF">
              <w:rPr>
                <w:rFonts w:asciiTheme="minorHAnsi" w:hAnsiTheme="minorHAnsi" w:cstheme="minorHAnsi"/>
                <w:sz w:val="16"/>
                <w:szCs w:val="16"/>
              </w:rPr>
              <w:t>Alyson Whitmarsh</w:t>
            </w:r>
            <w:r w:rsidRPr="00661BCF">
              <w:rPr>
                <w:rFonts w:asciiTheme="minorHAnsi" w:hAnsiTheme="minorHAnsi" w:cstheme="minorHAnsi"/>
                <w:sz w:val="16"/>
                <w:szCs w:val="16"/>
              </w:rPr>
              <w:tab/>
              <w:t>HSCIC</w:t>
            </w:r>
            <w:r w:rsidRPr="00661BCF">
              <w:rPr>
                <w:rFonts w:asciiTheme="minorHAnsi" w:hAnsiTheme="minorHAnsi" w:cstheme="minorHAnsi"/>
                <w:sz w:val="16"/>
                <w:szCs w:val="16"/>
              </w:rPr>
              <w:tab/>
              <w:t>Programme Manager, Clinical Audit</w:t>
            </w:r>
          </w:p>
          <w:p w14:paraId="2F9B7047" w14:textId="77777777" w:rsidR="00661BCF" w:rsidRPr="00661BCF" w:rsidRDefault="00661BCF" w:rsidP="00661BCF">
            <w:pPr>
              <w:rPr>
                <w:rFonts w:asciiTheme="minorHAnsi" w:hAnsiTheme="minorHAnsi" w:cstheme="minorHAnsi"/>
                <w:sz w:val="16"/>
                <w:szCs w:val="16"/>
              </w:rPr>
            </w:pPr>
            <w:r w:rsidRPr="00661BCF">
              <w:rPr>
                <w:rFonts w:asciiTheme="minorHAnsi" w:hAnsiTheme="minorHAnsi" w:cstheme="minorHAnsi"/>
                <w:sz w:val="16"/>
                <w:szCs w:val="16"/>
              </w:rPr>
              <w:t xml:space="preserve">Irena </w:t>
            </w:r>
            <w:proofErr w:type="spellStart"/>
            <w:r w:rsidRPr="00661BCF">
              <w:rPr>
                <w:rFonts w:asciiTheme="minorHAnsi" w:hAnsiTheme="minorHAnsi" w:cstheme="minorHAnsi"/>
                <w:sz w:val="16"/>
                <w:szCs w:val="16"/>
              </w:rPr>
              <w:t>Begaj</w:t>
            </w:r>
            <w:proofErr w:type="spellEnd"/>
            <w:r w:rsidRPr="00661BCF">
              <w:rPr>
                <w:rFonts w:asciiTheme="minorHAnsi" w:hAnsiTheme="minorHAnsi" w:cstheme="minorHAnsi"/>
                <w:sz w:val="16"/>
                <w:szCs w:val="16"/>
              </w:rPr>
              <w:t xml:space="preserve">                   UHB</w:t>
            </w:r>
            <w:r w:rsidRPr="00661BCF">
              <w:rPr>
                <w:rFonts w:asciiTheme="minorHAnsi" w:hAnsiTheme="minorHAnsi" w:cstheme="minorHAnsi"/>
                <w:sz w:val="16"/>
                <w:szCs w:val="16"/>
              </w:rPr>
              <w:tab/>
              <w:t>Statistical Intelligence Analyst</w:t>
            </w:r>
          </w:p>
          <w:p w14:paraId="792F308D" w14:textId="77777777" w:rsidR="00661BCF" w:rsidRPr="00661BCF" w:rsidRDefault="00661BCF" w:rsidP="00661BCF">
            <w:pPr>
              <w:rPr>
                <w:rFonts w:asciiTheme="minorHAnsi" w:hAnsiTheme="minorHAnsi" w:cstheme="minorHAnsi"/>
                <w:sz w:val="16"/>
                <w:szCs w:val="16"/>
              </w:rPr>
            </w:pPr>
            <w:r w:rsidRPr="00661BCF">
              <w:rPr>
                <w:rFonts w:asciiTheme="minorHAnsi" w:hAnsiTheme="minorHAnsi" w:cstheme="minorHAnsi"/>
                <w:sz w:val="16"/>
                <w:szCs w:val="16"/>
              </w:rPr>
              <w:t xml:space="preserve">Chris Dew   </w:t>
            </w:r>
            <w:r w:rsidRPr="00661BCF">
              <w:rPr>
                <w:rFonts w:asciiTheme="minorHAnsi" w:hAnsiTheme="minorHAnsi" w:cstheme="minorHAnsi"/>
                <w:sz w:val="16"/>
                <w:szCs w:val="16"/>
              </w:rPr>
              <w:tab/>
              <w:t>HSCIC</w:t>
            </w:r>
            <w:r w:rsidRPr="00661BCF">
              <w:rPr>
                <w:rFonts w:asciiTheme="minorHAnsi" w:hAnsiTheme="minorHAnsi" w:cstheme="minorHAnsi"/>
                <w:sz w:val="16"/>
                <w:szCs w:val="16"/>
              </w:rPr>
              <w:tab/>
              <w:t>Section Head, Clinical Indicators</w:t>
            </w:r>
          </w:p>
          <w:p w14:paraId="22668C7B" w14:textId="77777777" w:rsidR="00661BCF" w:rsidRPr="00661BCF" w:rsidRDefault="00661BCF" w:rsidP="00661BCF">
            <w:pPr>
              <w:rPr>
                <w:rFonts w:asciiTheme="minorHAnsi" w:hAnsiTheme="minorHAnsi" w:cstheme="minorHAnsi"/>
                <w:sz w:val="16"/>
                <w:szCs w:val="16"/>
              </w:rPr>
            </w:pPr>
            <w:r w:rsidRPr="00661BCF">
              <w:rPr>
                <w:rFonts w:asciiTheme="minorHAnsi" w:hAnsiTheme="minorHAnsi" w:cstheme="minorHAnsi"/>
                <w:sz w:val="16"/>
                <w:szCs w:val="16"/>
              </w:rPr>
              <w:t>Andy Sutherland</w:t>
            </w:r>
            <w:r w:rsidRPr="00661BCF">
              <w:rPr>
                <w:rFonts w:asciiTheme="minorHAnsi" w:hAnsiTheme="minorHAnsi" w:cstheme="minorHAnsi"/>
                <w:sz w:val="16"/>
                <w:szCs w:val="16"/>
              </w:rPr>
              <w:tab/>
              <w:t>HSCIC</w:t>
            </w:r>
            <w:r w:rsidRPr="00661BCF">
              <w:rPr>
                <w:rFonts w:asciiTheme="minorHAnsi" w:hAnsiTheme="minorHAnsi" w:cstheme="minorHAnsi"/>
                <w:sz w:val="16"/>
                <w:szCs w:val="16"/>
              </w:rPr>
              <w:tab/>
              <w:t xml:space="preserve">Statistics Head </w:t>
            </w:r>
            <w:proofErr w:type="gramStart"/>
            <w:r w:rsidRPr="00661BCF">
              <w:rPr>
                <w:rFonts w:asciiTheme="minorHAnsi" w:hAnsiTheme="minorHAnsi" w:cstheme="minorHAnsi"/>
                <w:sz w:val="16"/>
                <w:szCs w:val="16"/>
              </w:rPr>
              <w:t>Of</w:t>
            </w:r>
            <w:proofErr w:type="gramEnd"/>
            <w:r w:rsidRPr="00661BCF">
              <w:rPr>
                <w:rFonts w:asciiTheme="minorHAnsi" w:hAnsiTheme="minorHAnsi" w:cstheme="minorHAnsi"/>
                <w:sz w:val="16"/>
                <w:szCs w:val="16"/>
              </w:rPr>
              <w:t xml:space="preserve"> Profession</w:t>
            </w:r>
          </w:p>
          <w:p w14:paraId="53281CE1" w14:textId="77777777" w:rsidR="00661BCF" w:rsidRPr="00661BCF" w:rsidRDefault="00661BCF" w:rsidP="00661BCF">
            <w:pPr>
              <w:rPr>
                <w:rFonts w:asciiTheme="minorHAnsi" w:hAnsiTheme="minorHAnsi" w:cstheme="minorHAnsi"/>
                <w:sz w:val="16"/>
                <w:szCs w:val="16"/>
              </w:rPr>
            </w:pPr>
            <w:r w:rsidRPr="00661BCF">
              <w:rPr>
                <w:rFonts w:asciiTheme="minorHAnsi" w:hAnsiTheme="minorHAnsi" w:cstheme="minorHAnsi"/>
                <w:sz w:val="16"/>
                <w:szCs w:val="16"/>
              </w:rPr>
              <w:t>Daniel Sutcliffe</w:t>
            </w:r>
            <w:r w:rsidRPr="00661BCF">
              <w:rPr>
                <w:rFonts w:asciiTheme="minorHAnsi" w:hAnsiTheme="minorHAnsi" w:cstheme="minorHAnsi"/>
                <w:sz w:val="16"/>
                <w:szCs w:val="16"/>
              </w:rPr>
              <w:tab/>
              <w:t>NICE</w:t>
            </w:r>
            <w:r w:rsidRPr="00661BCF">
              <w:rPr>
                <w:rFonts w:asciiTheme="minorHAnsi" w:hAnsiTheme="minorHAnsi" w:cstheme="minorHAnsi"/>
                <w:sz w:val="16"/>
                <w:szCs w:val="16"/>
              </w:rPr>
              <w:tab/>
              <w:t>Programme Manager</w:t>
            </w:r>
          </w:p>
          <w:p w14:paraId="44E8C78B" w14:textId="77777777" w:rsidR="00661BCF" w:rsidRPr="00661BCF" w:rsidRDefault="00661BCF" w:rsidP="00661BCF">
            <w:pPr>
              <w:rPr>
                <w:rFonts w:asciiTheme="minorHAnsi" w:hAnsiTheme="minorHAnsi" w:cstheme="minorHAnsi"/>
                <w:sz w:val="16"/>
                <w:szCs w:val="16"/>
              </w:rPr>
            </w:pPr>
            <w:r w:rsidRPr="00661BCF">
              <w:rPr>
                <w:rFonts w:asciiTheme="minorHAnsi" w:hAnsiTheme="minorHAnsi" w:cstheme="minorHAnsi"/>
                <w:sz w:val="16"/>
                <w:szCs w:val="16"/>
              </w:rPr>
              <w:t xml:space="preserve">Paul </w:t>
            </w:r>
            <w:proofErr w:type="spellStart"/>
            <w:r w:rsidRPr="00661BCF">
              <w:rPr>
                <w:rFonts w:asciiTheme="minorHAnsi" w:hAnsiTheme="minorHAnsi" w:cstheme="minorHAnsi"/>
                <w:sz w:val="16"/>
                <w:szCs w:val="16"/>
              </w:rPr>
              <w:t>Iggulden</w:t>
            </w:r>
            <w:proofErr w:type="spellEnd"/>
            <w:r w:rsidRPr="00661BCF">
              <w:rPr>
                <w:rFonts w:asciiTheme="minorHAnsi" w:hAnsiTheme="minorHAnsi" w:cstheme="minorHAnsi"/>
                <w:sz w:val="16"/>
                <w:szCs w:val="16"/>
              </w:rPr>
              <w:tab/>
              <w:t>HSCIC</w:t>
            </w:r>
            <w:r w:rsidRPr="00661BCF">
              <w:rPr>
                <w:rFonts w:asciiTheme="minorHAnsi" w:hAnsiTheme="minorHAnsi" w:cstheme="minorHAnsi"/>
                <w:sz w:val="16"/>
                <w:szCs w:val="16"/>
              </w:rPr>
              <w:tab/>
              <w:t>Interim Head of Clinical Analysis, Research &amp; Development</w:t>
            </w:r>
          </w:p>
          <w:p w14:paraId="313BF73D" w14:textId="77777777" w:rsidR="00661BCF" w:rsidRPr="00661BCF" w:rsidRDefault="00661BCF" w:rsidP="00661BCF">
            <w:pPr>
              <w:rPr>
                <w:rFonts w:asciiTheme="minorHAnsi" w:hAnsiTheme="minorHAnsi" w:cstheme="minorHAnsi"/>
                <w:sz w:val="16"/>
                <w:szCs w:val="16"/>
              </w:rPr>
            </w:pPr>
            <w:r w:rsidRPr="00661BCF">
              <w:rPr>
                <w:rFonts w:asciiTheme="minorHAnsi" w:hAnsiTheme="minorHAnsi" w:cstheme="minorHAnsi"/>
                <w:sz w:val="16"/>
                <w:szCs w:val="16"/>
              </w:rPr>
              <w:t>Jonathon Hope</w:t>
            </w:r>
            <w:r w:rsidRPr="00661BCF">
              <w:rPr>
                <w:rFonts w:asciiTheme="minorHAnsi" w:hAnsiTheme="minorHAnsi" w:cstheme="minorHAnsi"/>
                <w:sz w:val="16"/>
                <w:szCs w:val="16"/>
              </w:rPr>
              <w:tab/>
              <w:t>HSCIC</w:t>
            </w:r>
            <w:r w:rsidRPr="00661BCF">
              <w:rPr>
                <w:rFonts w:asciiTheme="minorHAnsi" w:hAnsiTheme="minorHAnsi" w:cstheme="minorHAnsi"/>
                <w:sz w:val="16"/>
                <w:szCs w:val="16"/>
              </w:rPr>
              <w:tab/>
              <w:t>Principal Information Analyst, Clinical Audit</w:t>
            </w:r>
          </w:p>
          <w:p w14:paraId="6488AD89" w14:textId="77777777" w:rsidR="00661BCF" w:rsidRPr="00661BCF" w:rsidRDefault="00661BCF" w:rsidP="00661BCF">
            <w:pPr>
              <w:rPr>
                <w:rFonts w:asciiTheme="minorHAnsi" w:hAnsiTheme="minorHAnsi" w:cstheme="minorHAnsi"/>
                <w:sz w:val="16"/>
                <w:szCs w:val="16"/>
              </w:rPr>
            </w:pPr>
            <w:r w:rsidRPr="00661BCF">
              <w:rPr>
                <w:rFonts w:asciiTheme="minorHAnsi" w:hAnsiTheme="minorHAnsi" w:cstheme="minorHAnsi"/>
                <w:sz w:val="16"/>
                <w:szCs w:val="16"/>
              </w:rPr>
              <w:t>Julie Henderson</w:t>
            </w:r>
            <w:r w:rsidRPr="00661BCF">
              <w:rPr>
                <w:rFonts w:asciiTheme="minorHAnsi" w:hAnsiTheme="minorHAnsi" w:cstheme="minorHAnsi"/>
                <w:sz w:val="16"/>
                <w:szCs w:val="16"/>
              </w:rPr>
              <w:tab/>
              <w:t>HSCIC</w:t>
            </w:r>
            <w:r w:rsidRPr="00661BCF">
              <w:rPr>
                <w:rFonts w:asciiTheme="minorHAnsi" w:hAnsiTheme="minorHAnsi" w:cstheme="minorHAnsi"/>
                <w:sz w:val="16"/>
                <w:szCs w:val="16"/>
              </w:rPr>
              <w:tab/>
              <w:t xml:space="preserve">Programme Head, Clinical Analysis </w:t>
            </w:r>
          </w:p>
          <w:p w14:paraId="7FE1DD6C" w14:textId="6A763A75"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16"/>
                <w:szCs w:val="16"/>
              </w:rPr>
              <w:t>Gerry Firkins</w:t>
            </w:r>
            <w:r w:rsidRPr="00661BCF">
              <w:rPr>
                <w:rFonts w:asciiTheme="minorHAnsi" w:hAnsiTheme="minorHAnsi" w:cstheme="minorHAnsi"/>
                <w:sz w:val="16"/>
                <w:szCs w:val="16"/>
              </w:rPr>
              <w:tab/>
              <w:t>HSCIC</w:t>
            </w:r>
            <w:r w:rsidRPr="00661BCF">
              <w:rPr>
                <w:rFonts w:asciiTheme="minorHAnsi" w:hAnsiTheme="minorHAnsi" w:cstheme="minorHAnsi"/>
                <w:sz w:val="16"/>
                <w:szCs w:val="16"/>
              </w:rPr>
              <w:tab/>
              <w:t>NHS Sec Management Domain Lead</w:t>
            </w:r>
          </w:p>
        </w:tc>
      </w:tr>
      <w:tr w:rsidR="00661BCF" w:rsidRPr="00661BCF" w14:paraId="5668DCF5" w14:textId="77777777" w:rsidTr="00661BCF">
        <w:tc>
          <w:tcPr>
            <w:tcW w:w="2119" w:type="dxa"/>
          </w:tcPr>
          <w:p w14:paraId="57F48E1C"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 xml:space="preserve">Summary of MRG discussions: </w:t>
            </w:r>
          </w:p>
        </w:tc>
        <w:tc>
          <w:tcPr>
            <w:tcW w:w="7804" w:type="dxa"/>
          </w:tcPr>
          <w:p w14:paraId="5BFCAE86"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Summary of MRG discussion</w:t>
            </w:r>
          </w:p>
          <w:p w14:paraId="07C0292B" w14:textId="77777777" w:rsidR="00661BCF" w:rsidRPr="00661BCF" w:rsidRDefault="00661BCF" w:rsidP="00661BCF">
            <w:pPr>
              <w:rPr>
                <w:rFonts w:asciiTheme="minorHAnsi" w:hAnsiTheme="minorHAnsi" w:cstheme="minorHAnsi"/>
                <w:b/>
                <w:sz w:val="16"/>
                <w:szCs w:val="16"/>
              </w:rPr>
            </w:pPr>
          </w:p>
          <w:p w14:paraId="71F80BF8"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MRG questioned as to why there is a difference between the construct of this indicator and the one in the Public Health Outcomes Framework (PHOF), which has been produced for years.</w:t>
            </w:r>
          </w:p>
          <w:p w14:paraId="53F00F85"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 xml:space="preserve">The developer reported back to MRG that to be consistent with the Public Health Outcomes Framework indicator 4.14, it is proposed to only include emergency hip fracture admissions in this indicator (i.e. a primary diagnosis of hip fracture in the first episode). </w:t>
            </w:r>
          </w:p>
          <w:p w14:paraId="3B9046D8"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The main difference is the age group, with this indicator considering from age 60+ whereas the PHOF indicator covers 65+. The rationale for the inclusion of 60+ in this indicator is to align to the Best Practice Tariff for hip fracture care and the National Hip Fracture Database (NHFD).</w:t>
            </w:r>
            <w:r w:rsidRPr="00661BCF">
              <w:rPr>
                <w:rFonts w:asciiTheme="minorHAnsi" w:hAnsiTheme="minorHAnsi" w:cstheme="minorHAnsi"/>
              </w:rPr>
              <w:t xml:space="preserve"> </w:t>
            </w:r>
            <w:r w:rsidRPr="00661BCF">
              <w:rPr>
                <w:rFonts w:asciiTheme="minorHAnsi" w:hAnsiTheme="minorHAnsi" w:cstheme="minorHAnsi"/>
                <w:sz w:val="21"/>
                <w:szCs w:val="21"/>
              </w:rPr>
              <w:t xml:space="preserve">This is based on clinical advice from Rob </w:t>
            </w:r>
            <w:proofErr w:type="spellStart"/>
            <w:r w:rsidRPr="00661BCF">
              <w:rPr>
                <w:rFonts w:asciiTheme="minorHAnsi" w:hAnsiTheme="minorHAnsi" w:cstheme="minorHAnsi"/>
                <w:sz w:val="21"/>
                <w:szCs w:val="21"/>
              </w:rPr>
              <w:t>Wakeman</w:t>
            </w:r>
            <w:proofErr w:type="spellEnd"/>
            <w:r w:rsidRPr="00661BCF">
              <w:rPr>
                <w:rFonts w:asciiTheme="minorHAnsi" w:hAnsiTheme="minorHAnsi" w:cstheme="minorHAnsi"/>
                <w:sz w:val="21"/>
                <w:szCs w:val="21"/>
              </w:rPr>
              <w:t xml:space="preserve">, NHFD Clinical Lead for Orthopaedic Surgery (as described in the rationale section of this paper). </w:t>
            </w:r>
            <w:r w:rsidRPr="00661BCF">
              <w:rPr>
                <w:rFonts w:asciiTheme="minorHAnsi" w:hAnsiTheme="minorHAnsi" w:cstheme="minorHAnsi"/>
                <w:sz w:val="22"/>
                <w:szCs w:val="22"/>
              </w:rPr>
              <w:t xml:space="preserve">The elements of best practice were chosen by a group of clinicians and service managers chaired by the National Clinical Director for Trauma Care. </w:t>
            </w:r>
          </w:p>
          <w:p w14:paraId="28FAAB08"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proofErr w:type="gramStart"/>
            <w:r w:rsidRPr="00661BCF">
              <w:rPr>
                <w:rFonts w:asciiTheme="minorHAnsi" w:hAnsiTheme="minorHAnsi" w:cstheme="minorHAnsi"/>
                <w:sz w:val="21"/>
                <w:szCs w:val="21"/>
              </w:rPr>
              <w:t>Additionally</w:t>
            </w:r>
            <w:proofErr w:type="gramEnd"/>
            <w:r w:rsidRPr="00661BCF">
              <w:rPr>
                <w:rFonts w:asciiTheme="minorHAnsi" w:hAnsiTheme="minorHAnsi" w:cstheme="minorHAnsi"/>
                <w:sz w:val="21"/>
                <w:szCs w:val="21"/>
              </w:rPr>
              <w:t xml:space="preserve"> MRG were updated that using a definition of 60 and over will provide the indicator with approx. 94.5% of the overall admissions for hip fracture, whereas a definition of 65 and over will provide approx. 91.5%.</w:t>
            </w:r>
          </w:p>
          <w:p w14:paraId="33800E3A" w14:textId="77777777" w:rsidR="00661BCF" w:rsidRPr="00661BCF" w:rsidRDefault="00661BCF" w:rsidP="00661BCF">
            <w:pPr>
              <w:rPr>
                <w:rFonts w:asciiTheme="minorHAnsi" w:hAnsiTheme="minorHAnsi" w:cstheme="minorHAnsi"/>
                <w:sz w:val="16"/>
                <w:szCs w:val="16"/>
              </w:rPr>
            </w:pPr>
          </w:p>
          <w:p w14:paraId="52AE8303"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lastRenderedPageBreak/>
              <w:t xml:space="preserve">MRG questioned why primary diagnosis of only first episodes in spells was looked at as this would lead to those who fractured hips during an in-hospital spell, for example, being missed in the data. </w:t>
            </w:r>
          </w:p>
          <w:p w14:paraId="0BE4EFEC"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The developer reported back to MRG that after consultation with the HSCIC HES team, advice was given that it is difficult to obtain reliable identification of hip fractures that occur in hospital due to the nature of HES primary diagnosis recording in each episode of a spell. Given the proposed alignment to the Public Health Outcomes Framework indicator stated above, they would therefore not be including this group in the indicator.</w:t>
            </w:r>
          </w:p>
          <w:p w14:paraId="68D4DE70" w14:textId="77777777" w:rsidR="00661BCF" w:rsidRPr="00661BCF" w:rsidRDefault="00661BCF" w:rsidP="00661BCF">
            <w:pPr>
              <w:rPr>
                <w:rFonts w:asciiTheme="minorHAnsi" w:hAnsiTheme="minorHAnsi" w:cstheme="minorHAnsi"/>
                <w:sz w:val="16"/>
                <w:szCs w:val="16"/>
              </w:rPr>
            </w:pPr>
          </w:p>
          <w:p w14:paraId="4966673F"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 xml:space="preserve">It was noted that potentially a patient could fracture both hips </w:t>
            </w:r>
            <w:proofErr w:type="gramStart"/>
            <w:r w:rsidRPr="00661BCF">
              <w:rPr>
                <w:rFonts w:asciiTheme="minorHAnsi" w:hAnsiTheme="minorHAnsi" w:cstheme="minorHAnsi"/>
                <w:sz w:val="21"/>
                <w:szCs w:val="21"/>
              </w:rPr>
              <w:t>or</w:t>
            </w:r>
            <w:proofErr w:type="gramEnd"/>
            <w:r w:rsidRPr="00661BCF">
              <w:rPr>
                <w:rFonts w:asciiTheme="minorHAnsi" w:hAnsiTheme="minorHAnsi" w:cstheme="minorHAnsi"/>
                <w:sz w:val="21"/>
                <w:szCs w:val="21"/>
              </w:rPr>
              <w:t xml:space="preserve"> fracture a hip more than once in a year, in such a case they would appear twice in the numerator data. This will be noted in the quality assessment. </w:t>
            </w:r>
          </w:p>
          <w:p w14:paraId="7893BFB0" w14:textId="77777777" w:rsidR="00661BCF" w:rsidRPr="00661BCF" w:rsidRDefault="00661BCF" w:rsidP="00661BCF">
            <w:pPr>
              <w:rPr>
                <w:rFonts w:asciiTheme="minorHAnsi" w:hAnsiTheme="minorHAnsi" w:cstheme="minorHAnsi"/>
                <w:sz w:val="16"/>
                <w:szCs w:val="16"/>
              </w:rPr>
            </w:pPr>
          </w:p>
          <w:p w14:paraId="572DC10A"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proofErr w:type="gramStart"/>
            <w:r w:rsidRPr="00661BCF">
              <w:rPr>
                <w:rFonts w:asciiTheme="minorHAnsi" w:hAnsiTheme="minorHAnsi" w:cstheme="minorHAnsi"/>
                <w:sz w:val="21"/>
                <w:szCs w:val="21"/>
              </w:rPr>
              <w:t>Additionally</w:t>
            </w:r>
            <w:proofErr w:type="gramEnd"/>
            <w:r w:rsidRPr="00661BCF">
              <w:rPr>
                <w:rFonts w:asciiTheme="minorHAnsi" w:hAnsiTheme="minorHAnsi" w:cstheme="minorHAnsi"/>
                <w:sz w:val="21"/>
                <w:szCs w:val="21"/>
              </w:rPr>
              <w:t xml:space="preserve"> it was suggested that the title should include the text ‘for age 60 and over’ at the end</w:t>
            </w:r>
          </w:p>
          <w:p w14:paraId="11539173" w14:textId="77777777" w:rsidR="00661BCF" w:rsidRPr="00661BCF" w:rsidRDefault="00661BCF" w:rsidP="00661BCF">
            <w:pPr>
              <w:rPr>
                <w:rFonts w:asciiTheme="minorHAnsi" w:hAnsiTheme="minorHAnsi" w:cstheme="minorHAnsi"/>
                <w:b/>
                <w:sz w:val="16"/>
                <w:szCs w:val="16"/>
              </w:rPr>
            </w:pPr>
          </w:p>
          <w:p w14:paraId="4DFFA312" w14:textId="77777777" w:rsidR="00661BCF" w:rsidRPr="00661BCF" w:rsidRDefault="00661BCF" w:rsidP="00661BCF">
            <w:pPr>
              <w:pStyle w:val="ListParagraph"/>
              <w:numPr>
                <w:ilvl w:val="0"/>
                <w:numId w:val="10"/>
              </w:numPr>
              <w:spacing w:after="0"/>
              <w:ind w:left="360"/>
              <w:contextualSpacing/>
              <w:textboxTightWrap w:val="none"/>
              <w:rPr>
                <w:rFonts w:asciiTheme="minorHAnsi" w:hAnsiTheme="minorHAnsi" w:cstheme="minorHAnsi"/>
                <w:sz w:val="21"/>
                <w:szCs w:val="21"/>
              </w:rPr>
            </w:pPr>
            <w:r w:rsidRPr="00661BCF">
              <w:rPr>
                <w:rFonts w:asciiTheme="minorHAnsi" w:hAnsiTheme="minorHAnsi" w:cstheme="minorHAnsi"/>
                <w:sz w:val="21"/>
                <w:szCs w:val="21"/>
              </w:rPr>
              <w:t>An observation was put forward asking that if the indicator has a focus on osteoporosis, which is more common in women, is there any reason why the sexes were not currently being separated. It was explained that there was no reason for this, however if it were to be taken forward the Quality Standards Group at NICE would have to be consulted regarding this.</w:t>
            </w:r>
          </w:p>
          <w:p w14:paraId="631FCF84" w14:textId="77777777" w:rsidR="00661BCF" w:rsidRPr="00661BCF" w:rsidRDefault="00661BCF" w:rsidP="00661BCF">
            <w:pPr>
              <w:rPr>
                <w:rFonts w:asciiTheme="minorHAnsi" w:hAnsiTheme="minorHAnsi" w:cstheme="minorHAnsi"/>
                <w:sz w:val="16"/>
                <w:szCs w:val="16"/>
              </w:rPr>
            </w:pPr>
          </w:p>
        </w:tc>
      </w:tr>
      <w:tr w:rsidR="00661BCF" w:rsidRPr="00661BCF" w14:paraId="593285BD" w14:textId="77777777" w:rsidTr="00661BCF">
        <w:trPr>
          <w:trHeight w:val="230"/>
        </w:trPr>
        <w:tc>
          <w:tcPr>
            <w:tcW w:w="2119" w:type="dxa"/>
          </w:tcPr>
          <w:p w14:paraId="0FF19353" w14:textId="77777777" w:rsidR="00661BCF" w:rsidRPr="00661BCF" w:rsidRDefault="00661BCF" w:rsidP="00661BCF">
            <w:pPr>
              <w:rPr>
                <w:rFonts w:asciiTheme="minorHAnsi" w:hAnsiTheme="minorHAnsi" w:cstheme="minorHAnsi"/>
                <w:i/>
                <w:sz w:val="22"/>
                <w:szCs w:val="22"/>
              </w:rPr>
            </w:pPr>
            <w:r w:rsidRPr="00661BCF">
              <w:rPr>
                <w:rFonts w:asciiTheme="minorHAnsi" w:hAnsiTheme="minorHAnsi" w:cstheme="minorHAnsi"/>
                <w:i/>
                <w:sz w:val="22"/>
                <w:szCs w:val="22"/>
              </w:rPr>
              <w:lastRenderedPageBreak/>
              <w:t>Outcome of MRG consideration:</w:t>
            </w:r>
          </w:p>
        </w:tc>
        <w:tc>
          <w:tcPr>
            <w:tcW w:w="7804" w:type="dxa"/>
          </w:tcPr>
          <w:p w14:paraId="32E368A6" w14:textId="1AD30F6C" w:rsidR="00661BCF" w:rsidRPr="00661BCF" w:rsidRDefault="00661BCF" w:rsidP="00661BCF">
            <w:pPr>
              <w:rPr>
                <w:rFonts w:asciiTheme="minorHAnsi" w:hAnsiTheme="minorHAnsi" w:cstheme="minorHAnsi"/>
                <w:b/>
                <w:sz w:val="22"/>
                <w:szCs w:val="22"/>
              </w:rPr>
            </w:pPr>
            <w:r w:rsidRPr="00661BCF">
              <w:rPr>
                <w:rFonts w:asciiTheme="minorHAnsi" w:hAnsiTheme="minorHAnsi" w:cstheme="minorHAnsi"/>
                <w:b/>
                <w:sz w:val="21"/>
                <w:szCs w:val="21"/>
              </w:rPr>
              <w:t>No significant issues on basis of completion of outstanding actions</w:t>
            </w:r>
          </w:p>
        </w:tc>
      </w:tr>
      <w:tr w:rsidR="00661BCF" w:rsidRPr="00661BCF" w14:paraId="34EC85A8" w14:textId="77777777" w:rsidTr="00661BCF">
        <w:trPr>
          <w:trHeight w:val="805"/>
        </w:trPr>
        <w:tc>
          <w:tcPr>
            <w:tcW w:w="2119" w:type="dxa"/>
          </w:tcPr>
          <w:p w14:paraId="5FB61932" w14:textId="77777777" w:rsidR="00661BCF" w:rsidRPr="00661BCF" w:rsidRDefault="00661BCF" w:rsidP="00661BCF">
            <w:pPr>
              <w:rPr>
                <w:rFonts w:asciiTheme="minorHAnsi" w:hAnsiTheme="minorHAnsi" w:cstheme="minorHAnsi"/>
                <w:sz w:val="22"/>
                <w:szCs w:val="22"/>
              </w:rPr>
            </w:pPr>
            <w:r w:rsidRPr="00661BCF">
              <w:rPr>
                <w:rFonts w:asciiTheme="minorHAnsi" w:hAnsiTheme="minorHAnsi" w:cstheme="minorHAnsi"/>
                <w:sz w:val="22"/>
                <w:szCs w:val="22"/>
              </w:rPr>
              <w:t>MRG statement of recommendation:</w:t>
            </w:r>
          </w:p>
        </w:tc>
        <w:tc>
          <w:tcPr>
            <w:tcW w:w="7804" w:type="dxa"/>
          </w:tcPr>
          <w:p w14:paraId="67F17398" w14:textId="77777777" w:rsidR="00661BCF" w:rsidRPr="00661BCF" w:rsidRDefault="00661BCF" w:rsidP="00661BCF">
            <w:pPr>
              <w:rPr>
                <w:rFonts w:asciiTheme="minorHAnsi" w:hAnsiTheme="minorHAnsi" w:cstheme="minorHAnsi"/>
                <w:sz w:val="21"/>
                <w:szCs w:val="21"/>
              </w:rPr>
            </w:pPr>
            <w:r w:rsidRPr="00661BCF">
              <w:rPr>
                <w:rFonts w:asciiTheme="minorHAnsi" w:hAnsiTheme="minorHAnsi" w:cstheme="minorHAnsi"/>
                <w:sz w:val="21"/>
                <w:szCs w:val="21"/>
              </w:rPr>
              <w:t>The indicator was put forward for discussion by IGB on the understanding that the caveat relating multiple hip fractures occurring in a year is included in the quality assessment and that the title is adjusted to reference 60 and over.</w:t>
            </w:r>
          </w:p>
        </w:tc>
      </w:tr>
    </w:tbl>
    <w:p w14:paraId="70D04609" w14:textId="77777777" w:rsidR="00B916CF" w:rsidRPr="00661BCF" w:rsidRDefault="00B916CF" w:rsidP="00661BCF">
      <w:pPr>
        <w:rPr>
          <w:rFonts w:asciiTheme="minorHAnsi" w:hAnsiTheme="minorHAnsi" w:cstheme="minorHAnsi"/>
        </w:rPr>
      </w:pPr>
    </w:p>
    <w:p w14:paraId="1F33BBFD" w14:textId="031E8F35" w:rsidR="00B916CF" w:rsidRPr="00C3391B" w:rsidRDefault="00B916CF" w:rsidP="00C3391B">
      <w:pPr>
        <w:ind w:left="-851" w:firstLine="851"/>
        <w:rPr>
          <w:rFonts w:asciiTheme="minorHAnsi" w:hAnsiTheme="minorHAnsi" w:cstheme="minorHAnsi"/>
          <w:sz w:val="22"/>
          <w:szCs w:val="22"/>
        </w:rPr>
      </w:pPr>
      <w:r w:rsidRPr="00C3391B">
        <w:rPr>
          <w:rFonts w:asciiTheme="minorHAnsi" w:hAnsiTheme="minorHAnsi" w:cstheme="minorHAnsi"/>
          <w:sz w:val="22"/>
          <w:szCs w:val="22"/>
        </w:rPr>
        <w:t>Review:</w:t>
      </w:r>
    </w:p>
    <w:tbl>
      <w:tblPr>
        <w:tblStyle w:val="TableGrid1"/>
        <w:tblW w:w="9923" w:type="dxa"/>
        <w:tblLayout w:type="fixed"/>
        <w:tblLook w:val="01E0" w:firstRow="1" w:lastRow="1" w:firstColumn="1" w:lastColumn="1" w:noHBand="0" w:noVBand="0"/>
      </w:tblPr>
      <w:tblGrid>
        <w:gridCol w:w="2127"/>
        <w:gridCol w:w="7796"/>
      </w:tblGrid>
      <w:tr w:rsidR="00C3391B" w:rsidRPr="00C3391B" w14:paraId="614A501C" w14:textId="77777777" w:rsidTr="00661BCF">
        <w:trPr>
          <w:trHeight w:val="285"/>
        </w:trPr>
        <w:tc>
          <w:tcPr>
            <w:tcW w:w="2127" w:type="dxa"/>
          </w:tcPr>
          <w:p w14:paraId="702D0B59" w14:textId="57BD7761" w:rsidR="00C3391B" w:rsidRPr="00C3391B" w:rsidRDefault="00C3391B" w:rsidP="00661BCF">
            <w:pPr>
              <w:rPr>
                <w:rFonts w:asciiTheme="minorHAnsi" w:hAnsiTheme="minorHAnsi" w:cstheme="minorHAnsi"/>
                <w:sz w:val="22"/>
                <w:szCs w:val="22"/>
              </w:rPr>
            </w:pPr>
            <w:r w:rsidRPr="00C3391B">
              <w:rPr>
                <w:rFonts w:asciiTheme="minorHAnsi" w:hAnsiTheme="minorHAnsi" w:cstheme="minorHAnsi"/>
                <w:sz w:val="22"/>
                <w:szCs w:val="22"/>
              </w:rPr>
              <w:t>Review Timescale</w:t>
            </w:r>
          </w:p>
        </w:tc>
        <w:tc>
          <w:tcPr>
            <w:tcW w:w="7796" w:type="dxa"/>
          </w:tcPr>
          <w:p w14:paraId="0B193671" w14:textId="490E1B43" w:rsidR="00C3391B" w:rsidRPr="00C3391B" w:rsidRDefault="00C3391B" w:rsidP="00661BCF">
            <w:pPr>
              <w:rPr>
                <w:rFonts w:asciiTheme="minorHAnsi" w:hAnsiTheme="minorHAnsi" w:cstheme="minorHAnsi"/>
                <w:sz w:val="22"/>
                <w:szCs w:val="22"/>
              </w:rPr>
            </w:pPr>
            <w:r w:rsidRPr="00C3391B">
              <w:rPr>
                <w:rFonts w:asciiTheme="minorHAnsi" w:hAnsiTheme="minorHAnsi" w:cstheme="minorHAnsi"/>
                <w:sz w:val="22"/>
                <w:szCs w:val="22"/>
              </w:rPr>
              <w:t>3 years</w:t>
            </w:r>
          </w:p>
        </w:tc>
      </w:tr>
      <w:tr w:rsidR="00C3391B" w:rsidRPr="00C3391B" w14:paraId="10256EC7" w14:textId="77777777" w:rsidTr="00661BCF">
        <w:trPr>
          <w:trHeight w:val="285"/>
        </w:trPr>
        <w:tc>
          <w:tcPr>
            <w:tcW w:w="2127" w:type="dxa"/>
          </w:tcPr>
          <w:p w14:paraId="319DBF93" w14:textId="54C08CC3" w:rsidR="00C3391B" w:rsidRPr="00C3391B" w:rsidRDefault="00C3391B" w:rsidP="00C3391B">
            <w:pPr>
              <w:rPr>
                <w:rFonts w:asciiTheme="minorHAnsi" w:hAnsiTheme="minorHAnsi" w:cstheme="minorHAnsi"/>
                <w:sz w:val="22"/>
                <w:szCs w:val="22"/>
              </w:rPr>
            </w:pPr>
            <w:r w:rsidRPr="00C3391B">
              <w:rPr>
                <w:rFonts w:asciiTheme="minorHAnsi" w:hAnsiTheme="minorHAnsi" w:cstheme="minorHAnsi"/>
                <w:sz w:val="22"/>
                <w:szCs w:val="22"/>
              </w:rPr>
              <w:t xml:space="preserve">Rationale        </w:t>
            </w:r>
          </w:p>
        </w:tc>
        <w:tc>
          <w:tcPr>
            <w:tcW w:w="7796" w:type="dxa"/>
          </w:tcPr>
          <w:p w14:paraId="79E50B00" w14:textId="77777777" w:rsidR="00C3391B" w:rsidRPr="00C3391B" w:rsidRDefault="00C3391B" w:rsidP="00C3391B">
            <w:pPr>
              <w:rPr>
                <w:rFonts w:asciiTheme="minorHAnsi" w:hAnsiTheme="minorHAnsi" w:cstheme="minorHAnsi"/>
                <w:sz w:val="22"/>
                <w:szCs w:val="22"/>
              </w:rPr>
            </w:pPr>
            <w:r w:rsidRPr="00C3391B">
              <w:rPr>
                <w:rFonts w:asciiTheme="minorHAnsi" w:hAnsiTheme="minorHAnsi" w:cstheme="minorHAnsi"/>
                <w:sz w:val="22"/>
                <w:szCs w:val="22"/>
              </w:rPr>
              <w:t xml:space="preserve"> [Issues to </w:t>
            </w:r>
            <w:proofErr w:type="gramStart"/>
            <w:r w:rsidRPr="00C3391B">
              <w:rPr>
                <w:rFonts w:asciiTheme="minorHAnsi" w:hAnsiTheme="minorHAnsi" w:cstheme="minorHAnsi"/>
                <w:sz w:val="22"/>
                <w:szCs w:val="22"/>
              </w:rPr>
              <w:t>consider  –</w:t>
            </w:r>
            <w:proofErr w:type="gramEnd"/>
            <w:r w:rsidRPr="00C3391B">
              <w:rPr>
                <w:rFonts w:asciiTheme="minorHAnsi" w:hAnsiTheme="minorHAnsi" w:cstheme="minorHAnsi"/>
                <w:sz w:val="22"/>
                <w:szCs w:val="22"/>
              </w:rPr>
              <w:t xml:space="preserve"> Changes to process, policy data source, coding definitions HES definitions ]</w:t>
            </w:r>
          </w:p>
          <w:p w14:paraId="62E3E9FF" w14:textId="77777777" w:rsidR="00C3391B" w:rsidRPr="00C3391B" w:rsidRDefault="00C3391B" w:rsidP="00C3391B">
            <w:pPr>
              <w:rPr>
                <w:rFonts w:asciiTheme="minorHAnsi" w:hAnsiTheme="minorHAnsi" w:cstheme="minorHAnsi"/>
                <w:sz w:val="22"/>
                <w:szCs w:val="22"/>
              </w:rPr>
            </w:pPr>
          </w:p>
          <w:p w14:paraId="5C94C429" w14:textId="77777777" w:rsidR="00C3391B" w:rsidRPr="00C3391B" w:rsidRDefault="00C3391B" w:rsidP="00C3391B">
            <w:pPr>
              <w:rPr>
                <w:rFonts w:asciiTheme="minorHAnsi" w:hAnsiTheme="minorHAnsi" w:cstheme="minorHAnsi"/>
                <w:sz w:val="22"/>
                <w:szCs w:val="22"/>
              </w:rPr>
            </w:pPr>
            <w:r w:rsidRPr="00C3391B">
              <w:rPr>
                <w:rFonts w:asciiTheme="minorHAnsi" w:hAnsiTheme="minorHAnsi" w:cstheme="minorHAnsi"/>
                <w:sz w:val="22"/>
                <w:szCs w:val="22"/>
              </w:rPr>
              <w:t xml:space="preserve">The indicator is recommended for review in three years on the basis that no changes in the data source or rationale is expected </w:t>
            </w:r>
          </w:p>
          <w:p w14:paraId="0BCB4512" w14:textId="77777777" w:rsidR="00C3391B" w:rsidRPr="00C3391B" w:rsidRDefault="00C3391B" w:rsidP="00C3391B">
            <w:pPr>
              <w:rPr>
                <w:rFonts w:asciiTheme="minorHAnsi" w:hAnsiTheme="minorHAnsi" w:cstheme="minorHAnsi"/>
                <w:sz w:val="22"/>
                <w:szCs w:val="22"/>
              </w:rPr>
            </w:pPr>
          </w:p>
        </w:tc>
      </w:tr>
    </w:tbl>
    <w:p w14:paraId="3606BCDE" w14:textId="77777777" w:rsidR="00B916CF" w:rsidRPr="00C3391B" w:rsidRDefault="00B916CF" w:rsidP="00661BCF">
      <w:pPr>
        <w:rPr>
          <w:rFonts w:asciiTheme="minorHAnsi" w:hAnsiTheme="minorHAnsi" w:cstheme="minorHAnsi"/>
          <w:sz w:val="22"/>
          <w:szCs w:val="22"/>
        </w:rPr>
      </w:pPr>
    </w:p>
    <w:p w14:paraId="3B8855F5" w14:textId="279492D8" w:rsidR="00B916CF" w:rsidRPr="00C3391B" w:rsidRDefault="00C3391B" w:rsidP="00661BCF">
      <w:pPr>
        <w:tabs>
          <w:tab w:val="left" w:pos="2830"/>
        </w:tabs>
        <w:ind w:left="-851"/>
        <w:rPr>
          <w:rFonts w:asciiTheme="minorHAnsi" w:hAnsiTheme="minorHAnsi" w:cstheme="minorHAnsi"/>
          <w:sz w:val="22"/>
          <w:szCs w:val="22"/>
        </w:rPr>
      </w:pPr>
      <w:r w:rsidRPr="00C3391B">
        <w:rPr>
          <w:rFonts w:asciiTheme="minorHAnsi" w:hAnsiTheme="minorHAnsi" w:cstheme="minorHAnsi"/>
          <w:sz w:val="22"/>
          <w:szCs w:val="22"/>
        </w:rPr>
        <w:t xml:space="preserve">        </w:t>
      </w:r>
      <w:r>
        <w:rPr>
          <w:rFonts w:asciiTheme="minorHAnsi" w:hAnsiTheme="minorHAnsi" w:cstheme="minorHAnsi"/>
          <w:sz w:val="22"/>
          <w:szCs w:val="22"/>
        </w:rPr>
        <w:t xml:space="preserve">     </w:t>
      </w:r>
      <w:r w:rsidRPr="00C3391B">
        <w:rPr>
          <w:rFonts w:asciiTheme="minorHAnsi" w:hAnsiTheme="minorHAnsi" w:cstheme="minorHAnsi"/>
          <w:sz w:val="22"/>
          <w:szCs w:val="22"/>
        </w:rPr>
        <w:t xml:space="preserve"> </w:t>
      </w:r>
      <w:r w:rsidR="00B916CF" w:rsidRPr="00C3391B">
        <w:rPr>
          <w:rFonts w:asciiTheme="minorHAnsi" w:hAnsiTheme="minorHAnsi" w:cstheme="minorHAnsi"/>
          <w:sz w:val="22"/>
          <w:szCs w:val="22"/>
        </w:rPr>
        <w:t xml:space="preserve">IGB Sign-off: </w:t>
      </w:r>
      <w:r w:rsidRPr="00C3391B">
        <w:rPr>
          <w:rFonts w:asciiTheme="minorHAnsi" w:hAnsiTheme="minorHAnsi" w:cstheme="minorHAnsi"/>
          <w:sz w:val="22"/>
          <w:szCs w:val="22"/>
        </w:rPr>
        <w:t>Indicator Assurance Process Output</w:t>
      </w:r>
    </w:p>
    <w:tbl>
      <w:tblPr>
        <w:tblStyle w:val="TableGrid1"/>
        <w:tblW w:w="9923" w:type="dxa"/>
        <w:tblLayout w:type="fixed"/>
        <w:tblLook w:val="01E0" w:firstRow="1" w:lastRow="1" w:firstColumn="1" w:lastColumn="1" w:noHBand="0" w:noVBand="0"/>
      </w:tblPr>
      <w:tblGrid>
        <w:gridCol w:w="2124"/>
        <w:gridCol w:w="7799"/>
      </w:tblGrid>
      <w:tr w:rsidR="00C3391B" w:rsidRPr="00661BCF" w14:paraId="561C8357" w14:textId="77777777" w:rsidTr="00AD1F0C">
        <w:trPr>
          <w:trHeight w:val="230"/>
        </w:trPr>
        <w:tc>
          <w:tcPr>
            <w:tcW w:w="2124" w:type="dxa"/>
          </w:tcPr>
          <w:p w14:paraId="4B87E684" w14:textId="77777777" w:rsidR="00C3391B" w:rsidRPr="00661BCF" w:rsidRDefault="00C3391B" w:rsidP="00661BCF">
            <w:pPr>
              <w:rPr>
                <w:rFonts w:asciiTheme="minorHAnsi" w:hAnsiTheme="minorHAnsi" w:cstheme="minorHAnsi"/>
                <w:i/>
                <w:sz w:val="22"/>
                <w:szCs w:val="22"/>
              </w:rPr>
            </w:pPr>
            <w:r w:rsidRPr="00661BCF">
              <w:rPr>
                <w:rFonts w:asciiTheme="minorHAnsi" w:hAnsiTheme="minorHAnsi" w:cstheme="minorHAnsi"/>
                <w:i/>
                <w:sz w:val="22"/>
                <w:szCs w:val="22"/>
              </w:rPr>
              <w:t>Final Appraisal Status</w:t>
            </w:r>
          </w:p>
        </w:tc>
        <w:tc>
          <w:tcPr>
            <w:tcW w:w="7799" w:type="dxa"/>
          </w:tcPr>
          <w:p w14:paraId="48573F19" w14:textId="373C1A38" w:rsidR="00C3391B" w:rsidRPr="00C3391B" w:rsidRDefault="00C3391B" w:rsidP="00C3391B">
            <w:pPr>
              <w:spacing w:after="0"/>
              <w:contextualSpacing/>
              <w:textboxTightWrap w:val="none"/>
              <w:rPr>
                <w:rFonts w:asciiTheme="minorHAnsi" w:hAnsiTheme="minorHAnsi" w:cstheme="minorHAnsi"/>
                <w:b/>
                <w:sz w:val="21"/>
                <w:szCs w:val="21"/>
              </w:rPr>
            </w:pPr>
            <w:r w:rsidRPr="00C3391B">
              <w:rPr>
                <w:rFonts w:asciiTheme="minorHAnsi" w:hAnsiTheme="minorHAnsi" w:cstheme="minorHAnsi"/>
                <w:b/>
                <w:sz w:val="21"/>
                <w:szCs w:val="21"/>
              </w:rPr>
              <w:t>Assured</w:t>
            </w:r>
          </w:p>
        </w:tc>
      </w:tr>
      <w:tr w:rsidR="00CE6EED" w:rsidRPr="00661BCF" w14:paraId="5CE56A58" w14:textId="77777777" w:rsidTr="00661BCF">
        <w:tc>
          <w:tcPr>
            <w:tcW w:w="2124" w:type="dxa"/>
          </w:tcPr>
          <w:p w14:paraId="3F6086A7"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Basis of Sign-off</w:t>
            </w:r>
          </w:p>
          <w:p w14:paraId="751A80CB"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16"/>
                <w:szCs w:val="16"/>
              </w:rPr>
              <w:t xml:space="preserve">[Detail caveats and </w:t>
            </w:r>
            <w:proofErr w:type="gramStart"/>
            <w:r w:rsidRPr="00661BCF">
              <w:rPr>
                <w:rFonts w:asciiTheme="minorHAnsi" w:hAnsiTheme="minorHAnsi" w:cstheme="minorHAnsi"/>
                <w:sz w:val="16"/>
                <w:szCs w:val="16"/>
              </w:rPr>
              <w:t>limitations ]</w:t>
            </w:r>
            <w:proofErr w:type="gramEnd"/>
          </w:p>
        </w:tc>
        <w:tc>
          <w:tcPr>
            <w:tcW w:w="7799" w:type="dxa"/>
          </w:tcPr>
          <w:p w14:paraId="14CBDA91" w14:textId="77777777" w:rsidR="00B916CF" w:rsidRPr="00661BCF" w:rsidRDefault="00B916CF" w:rsidP="00661BCF">
            <w:pPr>
              <w:rPr>
                <w:rFonts w:asciiTheme="minorHAnsi" w:hAnsiTheme="minorHAnsi" w:cstheme="minorHAnsi"/>
                <w:sz w:val="21"/>
                <w:szCs w:val="21"/>
              </w:rPr>
            </w:pPr>
          </w:p>
          <w:p w14:paraId="6B8CB906" w14:textId="77777777" w:rsidR="00B916CF" w:rsidRPr="00661BCF" w:rsidRDefault="00B916CF" w:rsidP="00661BCF">
            <w:pPr>
              <w:rPr>
                <w:rFonts w:asciiTheme="minorHAnsi" w:hAnsiTheme="minorHAnsi" w:cstheme="minorHAnsi"/>
                <w:sz w:val="21"/>
                <w:szCs w:val="21"/>
              </w:rPr>
            </w:pPr>
            <w:r w:rsidRPr="00661BCF">
              <w:rPr>
                <w:rFonts w:asciiTheme="minorHAnsi" w:hAnsiTheme="minorHAnsi" w:cstheme="minorHAnsi"/>
                <w:sz w:val="21"/>
                <w:szCs w:val="21"/>
              </w:rPr>
              <w:t>This was not completed originally.</w:t>
            </w:r>
          </w:p>
          <w:p w14:paraId="10A31EE8" w14:textId="77777777" w:rsidR="00B916CF" w:rsidRPr="00661BCF" w:rsidRDefault="00B916CF" w:rsidP="00661BCF">
            <w:pPr>
              <w:rPr>
                <w:rFonts w:asciiTheme="minorHAnsi" w:hAnsiTheme="minorHAnsi" w:cstheme="minorHAnsi"/>
                <w:sz w:val="21"/>
                <w:szCs w:val="21"/>
              </w:rPr>
            </w:pPr>
          </w:p>
        </w:tc>
      </w:tr>
      <w:tr w:rsidR="00CE6EED" w:rsidRPr="00661BCF" w14:paraId="60E24274" w14:textId="77777777" w:rsidTr="00661BCF">
        <w:tc>
          <w:tcPr>
            <w:tcW w:w="2124" w:type="dxa"/>
          </w:tcPr>
          <w:p w14:paraId="682D976B" w14:textId="77777777" w:rsidR="00B916CF" w:rsidRPr="00661BCF" w:rsidRDefault="00B916CF" w:rsidP="00661BCF">
            <w:pPr>
              <w:rPr>
                <w:rFonts w:asciiTheme="minorHAnsi" w:hAnsiTheme="minorHAnsi" w:cstheme="minorHAnsi"/>
                <w:sz w:val="22"/>
                <w:szCs w:val="22"/>
              </w:rPr>
            </w:pPr>
            <w:r w:rsidRPr="00661BCF">
              <w:rPr>
                <w:rFonts w:asciiTheme="minorHAnsi" w:hAnsiTheme="minorHAnsi" w:cstheme="minorHAnsi"/>
                <w:sz w:val="22"/>
                <w:szCs w:val="22"/>
              </w:rPr>
              <w:t>Sign-off Date</w:t>
            </w:r>
          </w:p>
        </w:tc>
        <w:tc>
          <w:tcPr>
            <w:tcW w:w="7799" w:type="dxa"/>
          </w:tcPr>
          <w:p w14:paraId="3816E1D4" w14:textId="77777777" w:rsidR="00B916CF" w:rsidRPr="00661BCF" w:rsidRDefault="00B916CF" w:rsidP="00661BCF">
            <w:pPr>
              <w:rPr>
                <w:rFonts w:asciiTheme="minorHAnsi" w:hAnsiTheme="minorHAnsi" w:cstheme="minorHAnsi"/>
                <w:sz w:val="21"/>
                <w:szCs w:val="21"/>
              </w:rPr>
            </w:pPr>
          </w:p>
        </w:tc>
      </w:tr>
    </w:tbl>
    <w:p w14:paraId="631C3E12" w14:textId="77777777" w:rsidR="00B916CF" w:rsidRPr="00661BCF" w:rsidRDefault="00B916CF" w:rsidP="00661BCF">
      <w:pPr>
        <w:ind w:left="-851"/>
        <w:rPr>
          <w:rFonts w:asciiTheme="minorHAnsi" w:hAnsiTheme="minorHAnsi" w:cstheme="minorHAnsi"/>
          <w:sz w:val="16"/>
          <w:szCs w:val="16"/>
        </w:rPr>
      </w:pPr>
    </w:p>
    <w:p w14:paraId="023E2A21" w14:textId="77777777" w:rsidR="00596646" w:rsidRPr="00661BCF" w:rsidRDefault="00596646" w:rsidP="001D243C">
      <w:pPr>
        <w:rPr>
          <w:rFonts w:asciiTheme="minorHAnsi" w:hAnsiTheme="minorHAnsi" w:cstheme="minorHAnsi"/>
        </w:rPr>
      </w:pPr>
    </w:p>
    <w:sectPr w:rsidR="00596646" w:rsidRPr="00661BCF" w:rsidSect="00012D07">
      <w:headerReference w:type="default" r:id="rId20"/>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7D28" w14:textId="77777777" w:rsidR="00661BCF" w:rsidRDefault="00661BCF" w:rsidP="000C24AF">
      <w:pPr>
        <w:spacing w:after="0"/>
      </w:pPr>
      <w:r>
        <w:separator/>
      </w:r>
    </w:p>
  </w:endnote>
  <w:endnote w:type="continuationSeparator" w:id="0">
    <w:p w14:paraId="6C367D29" w14:textId="77777777" w:rsidR="00661BCF" w:rsidRDefault="00661BCF"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8"/>
        <w:szCs w:val="18"/>
      </w:rPr>
      <w:id w:val="-861506761"/>
      <w:docPartObj>
        <w:docPartGallery w:val="Page Numbers (Bottom of Page)"/>
        <w:docPartUnique/>
      </w:docPartObj>
    </w:sdtPr>
    <w:sdtEndPr>
      <w:rPr>
        <w:noProof/>
      </w:rPr>
    </w:sdtEndPr>
    <w:sdtContent>
      <w:p w14:paraId="5217830C" w14:textId="77777777" w:rsidR="00661BCF" w:rsidRDefault="00661BCF" w:rsidP="00CE6EED">
        <w:pPr>
          <w:pStyle w:val="Footer"/>
          <w:tabs>
            <w:tab w:val="left" w:pos="426"/>
          </w:tabs>
          <w:rPr>
            <w:rFonts w:cs="Arial"/>
            <w:sz w:val="18"/>
            <w:szCs w:val="18"/>
          </w:rPr>
        </w:pPr>
      </w:p>
      <w:p w14:paraId="53A1379A" w14:textId="505AB2AB" w:rsidR="00661BCF" w:rsidRPr="00FD6413" w:rsidRDefault="00661BCF" w:rsidP="00CE6EED">
        <w:pPr>
          <w:pStyle w:val="Footer"/>
          <w:tabs>
            <w:tab w:val="left" w:pos="426"/>
          </w:tabs>
          <w:rPr>
            <w:rFonts w:cs="Arial"/>
            <w:sz w:val="18"/>
            <w:szCs w:val="18"/>
          </w:rPr>
        </w:pPr>
        <w:r w:rsidRPr="00FD6413">
          <w:rPr>
            <w:rFonts w:cs="Arial"/>
            <w:sz w:val="18"/>
            <w:szCs w:val="18"/>
          </w:rPr>
          <w:t>IAP00</w:t>
        </w:r>
        <w:r>
          <w:rPr>
            <w:rFonts w:cs="Arial"/>
            <w:sz w:val="18"/>
            <w:szCs w:val="18"/>
          </w:rPr>
          <w:t>342</w:t>
        </w:r>
        <w:r w:rsidRPr="00FD6413">
          <w:rPr>
            <w:rFonts w:cs="Arial"/>
            <w:sz w:val="18"/>
            <w:szCs w:val="18"/>
          </w:rPr>
          <w:t xml:space="preserve"> Supporting documentation</w:t>
        </w:r>
      </w:p>
      <w:p w14:paraId="58A6D63A" w14:textId="69CF19B2" w:rsidR="00661BCF" w:rsidRPr="00CE6EED" w:rsidRDefault="00661BCF" w:rsidP="00CE6EED">
        <w:pPr>
          <w:pStyle w:val="Footer"/>
          <w:tabs>
            <w:tab w:val="left" w:pos="426"/>
          </w:tabs>
          <w:rPr>
            <w:rFonts w:cs="Arial"/>
            <w:sz w:val="18"/>
            <w:szCs w:val="18"/>
          </w:rPr>
        </w:pPr>
        <w:r w:rsidRPr="00FD6413">
          <w:rPr>
            <w:rFonts w:cs="Arial"/>
            <w:sz w:val="18"/>
            <w:szCs w:val="18"/>
          </w:rPr>
          <w:t>Copyright © 2019 NHS Digital</w:t>
        </w:r>
        <w:r w:rsidRPr="00FD6413">
          <w:rPr>
            <w:rFonts w:cs="Arial"/>
            <w:sz w:val="18"/>
            <w:szCs w:val="18"/>
          </w:rPr>
          <w:tab/>
        </w:r>
        <w:r w:rsidRPr="00FD6413">
          <w:rPr>
            <w:rFonts w:cs="Arial"/>
            <w:sz w:val="18"/>
            <w:szCs w:val="18"/>
          </w:rPr>
          <w:fldChar w:fldCharType="begin"/>
        </w:r>
        <w:r w:rsidRPr="00FD6413">
          <w:rPr>
            <w:rFonts w:cs="Arial"/>
            <w:sz w:val="18"/>
            <w:szCs w:val="18"/>
          </w:rPr>
          <w:instrText xml:space="preserve"> PAGE   \* MERGEFORMAT </w:instrText>
        </w:r>
        <w:r w:rsidRPr="00FD6413">
          <w:rPr>
            <w:rFonts w:cs="Arial"/>
            <w:sz w:val="18"/>
            <w:szCs w:val="18"/>
          </w:rPr>
          <w:fldChar w:fldCharType="separate"/>
        </w:r>
        <w:r>
          <w:rPr>
            <w:rFonts w:cs="Arial"/>
            <w:sz w:val="18"/>
            <w:szCs w:val="18"/>
          </w:rPr>
          <w:t>1</w:t>
        </w:r>
        <w:r w:rsidRPr="00FD6413">
          <w:rPr>
            <w:rFonts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7D26" w14:textId="77777777" w:rsidR="00661BCF" w:rsidRDefault="00661BCF" w:rsidP="000C24AF">
      <w:pPr>
        <w:spacing w:after="0"/>
      </w:pPr>
      <w:r>
        <w:separator/>
      </w:r>
    </w:p>
  </w:footnote>
  <w:footnote w:type="continuationSeparator" w:id="0">
    <w:p w14:paraId="6C367D27" w14:textId="77777777" w:rsidR="00661BCF" w:rsidRDefault="00661BCF"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67D2D" w14:textId="21B9732E" w:rsidR="00661BCF" w:rsidRPr="00CE6EED" w:rsidRDefault="00661BCF" w:rsidP="00CE6EED">
    <w:pPr>
      <w:pStyle w:val="Header"/>
      <w:jc w:val="center"/>
      <w:rPr>
        <w:rFonts w:cs="Arial"/>
        <w:b w:val="0"/>
        <w:bCs/>
      </w:rPr>
    </w:pPr>
    <w:r w:rsidRPr="00F37180">
      <w:rPr>
        <w:rFonts w:cs="Arial"/>
        <w:bCs/>
      </w:rPr>
      <w:t>NICE inherited this indicator and all its supporting documentation from NHS Digital on 1 April 2020</w:t>
    </w:r>
  </w:p>
  <w:p w14:paraId="6C367D2E" w14:textId="77777777" w:rsidR="00661BCF" w:rsidRDefault="00661BCF"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13D2" w14:textId="5CA11845" w:rsidR="00661BCF" w:rsidRPr="00CE6EED" w:rsidRDefault="00661BCF" w:rsidP="00661BCF">
    <w:pPr>
      <w:pStyle w:val="Header"/>
      <w:jc w:val="center"/>
      <w:rPr>
        <w:rFonts w:cs="Arial"/>
        <w:b w:val="0"/>
        <w:bCs/>
      </w:rPr>
    </w:pPr>
    <w:r w:rsidRPr="00F37180">
      <w:rPr>
        <w:rFonts w:cs="Arial"/>
        <w:bCs/>
      </w:rPr>
      <w:t>NICE inherited this indicator and all its supporting documentation from NHS Digital on 1 April 2020</w:t>
    </w:r>
  </w:p>
  <w:p w14:paraId="6C367D32" w14:textId="152C395B" w:rsidR="00661BCF" w:rsidRPr="00B916CF" w:rsidRDefault="00661BCF" w:rsidP="00661BCF">
    <w:pPr>
      <w:pStyle w:val="Header"/>
      <w:tabs>
        <w:tab w:val="clear" w:pos="9639"/>
        <w:tab w:val="left" w:pos="61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732A9"/>
    <w:multiLevelType w:val="multilevel"/>
    <w:tmpl w:val="7422DF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63265"/>
    <w:multiLevelType w:val="multilevel"/>
    <w:tmpl w:val="350687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567140"/>
    <w:multiLevelType w:val="hybridMultilevel"/>
    <w:tmpl w:val="DEDE6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E28D2"/>
    <w:multiLevelType w:val="multilevel"/>
    <w:tmpl w:val="6AA0FF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12747"/>
    <w:multiLevelType w:val="multilevel"/>
    <w:tmpl w:val="34202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B107B"/>
    <w:multiLevelType w:val="multilevel"/>
    <w:tmpl w:val="00DAF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3381AD8"/>
    <w:multiLevelType w:val="multilevel"/>
    <w:tmpl w:val="2E9C9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80407A"/>
    <w:multiLevelType w:val="hybridMultilevel"/>
    <w:tmpl w:val="AC9C5E3E"/>
    <w:lvl w:ilvl="0" w:tplc="08090001">
      <w:start w:val="1"/>
      <w:numFmt w:val="bullet"/>
      <w:lvlText w:val=""/>
      <w:lvlJc w:val="left"/>
      <w:pPr>
        <w:ind w:left="490" w:hanging="360"/>
      </w:pPr>
      <w:rPr>
        <w:rFonts w:ascii="Symbol" w:hAnsi="Symbol" w:hint="default"/>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9" w15:restartNumberingAfterBreak="0">
    <w:nsid w:val="402E5A1F"/>
    <w:multiLevelType w:val="hybridMultilevel"/>
    <w:tmpl w:val="CD8E6D52"/>
    <w:lvl w:ilvl="0" w:tplc="C9009796">
      <w:start w:val="1"/>
      <w:numFmt w:val="lowerRoman"/>
      <w:lvlText w:val="%1)"/>
      <w:lvlJc w:val="left"/>
      <w:pPr>
        <w:ind w:left="780" w:hanging="720"/>
      </w:pPr>
      <w:rPr>
        <w:rFonts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42C12761"/>
    <w:multiLevelType w:val="multilevel"/>
    <w:tmpl w:val="FEF0FC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DE77E7"/>
    <w:multiLevelType w:val="multilevel"/>
    <w:tmpl w:val="614E6F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0D771F"/>
    <w:multiLevelType w:val="multilevel"/>
    <w:tmpl w:val="8A6245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A117DD"/>
    <w:multiLevelType w:val="multilevel"/>
    <w:tmpl w:val="39968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7C2742"/>
    <w:multiLevelType w:val="multilevel"/>
    <w:tmpl w:val="788028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4710B2"/>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FA17E9"/>
    <w:multiLevelType w:val="hybridMultilevel"/>
    <w:tmpl w:val="C248E28A"/>
    <w:lvl w:ilvl="0" w:tplc="715EB456">
      <w:start w:val="1"/>
      <w:numFmt w:val="bullet"/>
      <w:lvlText w:val=""/>
      <w:lvlJc w:val="left"/>
      <w:pPr>
        <w:ind w:left="720" w:hanging="360"/>
      </w:pPr>
      <w:rPr>
        <w:rFonts w:ascii="Symbol" w:hAnsi="Symbol" w:hint="default"/>
        <w:color w:val="000000"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C4FE5"/>
    <w:multiLevelType w:val="multilevel"/>
    <w:tmpl w:val="917234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3F1DA4"/>
    <w:multiLevelType w:val="hybridMultilevel"/>
    <w:tmpl w:val="886AD278"/>
    <w:lvl w:ilvl="0" w:tplc="3DFAEDDA">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6D87CE1"/>
    <w:multiLevelType w:val="multilevel"/>
    <w:tmpl w:val="2F008D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8D71CBB"/>
    <w:multiLevelType w:val="hybridMultilevel"/>
    <w:tmpl w:val="A3E4E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B21BE"/>
    <w:multiLevelType w:val="multilevel"/>
    <w:tmpl w:val="552028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131B0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DD5A34"/>
    <w:multiLevelType w:val="hybridMultilevel"/>
    <w:tmpl w:val="DBEC6A0A"/>
    <w:lvl w:ilvl="0" w:tplc="08090001">
      <w:start w:val="1"/>
      <w:numFmt w:val="bullet"/>
      <w:lvlText w:val=""/>
      <w:lvlJc w:val="left"/>
      <w:pPr>
        <w:ind w:left="360" w:hanging="360"/>
      </w:pPr>
      <w:rPr>
        <w:rFonts w:ascii="Symbol" w:hAnsi="Symbol" w:hint="default"/>
      </w:rPr>
    </w:lvl>
    <w:lvl w:ilvl="1" w:tplc="7F08E4E2">
      <w:numFmt w:val="bullet"/>
      <w:lvlText w:val="•"/>
      <w:lvlJc w:val="left"/>
      <w:pPr>
        <w:ind w:left="1440" w:hanging="72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12"/>
  </w:num>
  <w:num w:numId="4">
    <w:abstractNumId w:val="20"/>
  </w:num>
  <w:num w:numId="5">
    <w:abstractNumId w:val="9"/>
  </w:num>
  <w:num w:numId="6">
    <w:abstractNumId w:val="3"/>
  </w:num>
  <w:num w:numId="7">
    <w:abstractNumId w:val="19"/>
  </w:num>
  <w:num w:numId="8">
    <w:abstractNumId w:val="22"/>
  </w:num>
  <w:num w:numId="9">
    <w:abstractNumId w:val="25"/>
  </w:num>
  <w:num w:numId="10">
    <w:abstractNumId w:val="17"/>
  </w:num>
  <w:num w:numId="11">
    <w:abstractNumId w:val="24"/>
  </w:num>
  <w:num w:numId="12">
    <w:abstractNumId w:val="16"/>
  </w:num>
  <w:num w:numId="13">
    <w:abstractNumId w:val="5"/>
  </w:num>
  <w:num w:numId="14">
    <w:abstractNumId w:val="14"/>
  </w:num>
  <w:num w:numId="15">
    <w:abstractNumId w:val="4"/>
  </w:num>
  <w:num w:numId="16">
    <w:abstractNumId w:val="6"/>
  </w:num>
  <w:num w:numId="17">
    <w:abstractNumId w:val="11"/>
  </w:num>
  <w:num w:numId="18">
    <w:abstractNumId w:val="21"/>
  </w:num>
  <w:num w:numId="19">
    <w:abstractNumId w:val="2"/>
  </w:num>
  <w:num w:numId="20">
    <w:abstractNumId w:val="7"/>
  </w:num>
  <w:num w:numId="21">
    <w:abstractNumId w:val="1"/>
  </w:num>
  <w:num w:numId="22">
    <w:abstractNumId w:val="23"/>
  </w:num>
  <w:num w:numId="23">
    <w:abstractNumId w:val="18"/>
  </w:num>
  <w:num w:numId="24">
    <w:abstractNumId w:val="10"/>
  </w:num>
  <w:num w:numId="25">
    <w:abstractNumId w:val="13"/>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proofState w:spelling="clean" w:grammar="clean"/>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12D07"/>
    <w:rsid w:val="000277F8"/>
    <w:rsid w:val="00095621"/>
    <w:rsid w:val="000C24AF"/>
    <w:rsid w:val="0010192E"/>
    <w:rsid w:val="0010571A"/>
    <w:rsid w:val="00110985"/>
    <w:rsid w:val="001453B1"/>
    <w:rsid w:val="0015258C"/>
    <w:rsid w:val="001757E3"/>
    <w:rsid w:val="001777A5"/>
    <w:rsid w:val="00182D04"/>
    <w:rsid w:val="001A5F3E"/>
    <w:rsid w:val="001C3565"/>
    <w:rsid w:val="001C53D7"/>
    <w:rsid w:val="001D243C"/>
    <w:rsid w:val="001F56D2"/>
    <w:rsid w:val="00274F7A"/>
    <w:rsid w:val="0028316A"/>
    <w:rsid w:val="002A7E9E"/>
    <w:rsid w:val="002C1D57"/>
    <w:rsid w:val="002C446A"/>
    <w:rsid w:val="002F7233"/>
    <w:rsid w:val="0033715E"/>
    <w:rsid w:val="003D3A42"/>
    <w:rsid w:val="003D3B24"/>
    <w:rsid w:val="00420E7F"/>
    <w:rsid w:val="00435C46"/>
    <w:rsid w:val="004E0EB0"/>
    <w:rsid w:val="004E445F"/>
    <w:rsid w:val="00514083"/>
    <w:rsid w:val="0059395E"/>
    <w:rsid w:val="00596646"/>
    <w:rsid w:val="00602596"/>
    <w:rsid w:val="00616632"/>
    <w:rsid w:val="0062039B"/>
    <w:rsid w:val="00635CC5"/>
    <w:rsid w:val="00660F72"/>
    <w:rsid w:val="00661BCF"/>
    <w:rsid w:val="006B3E0F"/>
    <w:rsid w:val="006F7397"/>
    <w:rsid w:val="00701DA5"/>
    <w:rsid w:val="00702B4D"/>
    <w:rsid w:val="0071497F"/>
    <w:rsid w:val="00763FA3"/>
    <w:rsid w:val="00772A5C"/>
    <w:rsid w:val="007D6E37"/>
    <w:rsid w:val="007E4138"/>
    <w:rsid w:val="008022CE"/>
    <w:rsid w:val="008144A7"/>
    <w:rsid w:val="00856A34"/>
    <w:rsid w:val="008658F0"/>
    <w:rsid w:val="008C6900"/>
    <w:rsid w:val="008D5953"/>
    <w:rsid w:val="009B4AB9"/>
    <w:rsid w:val="009C5180"/>
    <w:rsid w:val="00A268E2"/>
    <w:rsid w:val="00A57320"/>
    <w:rsid w:val="00A65C7F"/>
    <w:rsid w:val="00A73E11"/>
    <w:rsid w:val="00A830EA"/>
    <w:rsid w:val="00AD2BEF"/>
    <w:rsid w:val="00B35D0C"/>
    <w:rsid w:val="00B77C41"/>
    <w:rsid w:val="00B916CF"/>
    <w:rsid w:val="00BD2300"/>
    <w:rsid w:val="00C31880"/>
    <w:rsid w:val="00C3391B"/>
    <w:rsid w:val="00CA3935"/>
    <w:rsid w:val="00CB4765"/>
    <w:rsid w:val="00CC0C0F"/>
    <w:rsid w:val="00CE6EED"/>
    <w:rsid w:val="00D93D0D"/>
    <w:rsid w:val="00DC7D44"/>
    <w:rsid w:val="00DD7C30"/>
    <w:rsid w:val="00E45C31"/>
    <w:rsid w:val="00E5704B"/>
    <w:rsid w:val="00E60528"/>
    <w:rsid w:val="00E60E30"/>
    <w:rsid w:val="00EB1195"/>
    <w:rsid w:val="00ED3649"/>
    <w:rsid w:val="00F02A7E"/>
    <w:rsid w:val="00F20FDC"/>
    <w:rsid w:val="00F2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table" w:customStyle="1" w:styleId="TableGrid1">
    <w:name w:val="Table Grid1"/>
    <w:basedOn w:val="TableNormal"/>
    <w:next w:val="TableGrid"/>
    <w:uiPriority w:val="59"/>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character" w:styleId="CommentReference">
    <w:name w:val="annotation reference"/>
    <w:basedOn w:val="DefaultParagraphFont"/>
    <w:uiPriority w:val="99"/>
    <w:semiHidden/>
    <w:unhideWhenUsed/>
    <w:rsid w:val="00CA3935"/>
    <w:rPr>
      <w:sz w:val="16"/>
      <w:szCs w:val="16"/>
    </w:rPr>
  </w:style>
  <w:style w:type="paragraph" w:styleId="CommentText">
    <w:name w:val="annotation text"/>
    <w:basedOn w:val="Normal"/>
    <w:link w:val="CommentTextChar"/>
    <w:uiPriority w:val="99"/>
    <w:semiHidden/>
    <w:unhideWhenUsed/>
    <w:rsid w:val="00CA3935"/>
    <w:rPr>
      <w:sz w:val="20"/>
      <w:szCs w:val="20"/>
    </w:rPr>
  </w:style>
  <w:style w:type="character" w:customStyle="1" w:styleId="CommentTextChar">
    <w:name w:val="Comment Text Char"/>
    <w:basedOn w:val="DefaultParagraphFont"/>
    <w:link w:val="CommentText"/>
    <w:uiPriority w:val="99"/>
    <w:semiHidden/>
    <w:rsid w:val="00CA3935"/>
    <w:rPr>
      <w:rFonts w:ascii="Arial" w:hAnsi="Arial"/>
    </w:rPr>
  </w:style>
  <w:style w:type="paragraph" w:styleId="CommentSubject">
    <w:name w:val="annotation subject"/>
    <w:basedOn w:val="CommentText"/>
    <w:next w:val="CommentText"/>
    <w:link w:val="CommentSubjectChar"/>
    <w:uiPriority w:val="99"/>
    <w:semiHidden/>
    <w:unhideWhenUsed/>
    <w:rsid w:val="00CA3935"/>
    <w:rPr>
      <w:b/>
      <w:bCs/>
    </w:rPr>
  </w:style>
  <w:style w:type="character" w:customStyle="1" w:styleId="CommentSubjectChar">
    <w:name w:val="Comment Subject Char"/>
    <w:basedOn w:val="CommentTextChar"/>
    <w:link w:val="CommentSubject"/>
    <w:uiPriority w:val="99"/>
    <w:semiHidden/>
    <w:rsid w:val="00CA3935"/>
    <w:rPr>
      <w:rFonts w:ascii="Arial" w:hAnsi="Arial"/>
      <w:b/>
      <w:bCs/>
    </w:rPr>
  </w:style>
  <w:style w:type="table" w:styleId="ListTable3-Accent1">
    <w:name w:val="List Table 3 Accent 1"/>
    <w:basedOn w:val="TableNormal"/>
    <w:uiPriority w:val="48"/>
    <w:rsid w:val="00012D07"/>
    <w:rPr>
      <w:rFonts w:ascii="Arial" w:eastAsiaTheme="minorHAnsi" w:hAnsi="Arial" w:cs="Arial"/>
      <w:sz w:val="22"/>
      <w:szCs w:val="22"/>
    </w:rPr>
    <w:tblPr>
      <w:tblStyleRowBandSize w:val="1"/>
      <w:tblStyleColBandSize w:val="1"/>
      <w:tblBorders>
        <w:top w:val="single" w:sz="4" w:space="0" w:color="003360" w:themeColor="accent1"/>
        <w:left w:val="single" w:sz="4" w:space="0" w:color="003360" w:themeColor="accent1"/>
        <w:bottom w:val="single" w:sz="4" w:space="0" w:color="003360" w:themeColor="accent1"/>
        <w:right w:val="single" w:sz="4" w:space="0" w:color="003360" w:themeColor="accent1"/>
      </w:tblBorders>
    </w:tblPr>
    <w:tblStylePr w:type="firstRow">
      <w:rPr>
        <w:b/>
        <w:bCs/>
        <w:color w:val="FAFCFC" w:themeColor="background1"/>
      </w:rPr>
      <w:tblPr/>
      <w:tcPr>
        <w:shd w:val="clear" w:color="auto" w:fill="003360" w:themeFill="accent1"/>
      </w:tcPr>
    </w:tblStylePr>
    <w:tblStylePr w:type="lastRow">
      <w:rPr>
        <w:b/>
        <w:bCs/>
      </w:rPr>
      <w:tblPr/>
      <w:tcPr>
        <w:tcBorders>
          <w:top w:val="double" w:sz="4" w:space="0" w:color="003360" w:themeColor="accent1"/>
        </w:tcBorders>
        <w:shd w:val="clear" w:color="auto" w:fill="FAFCFC" w:themeFill="background1"/>
      </w:tcPr>
    </w:tblStylePr>
    <w:tblStylePr w:type="firstCol">
      <w:rPr>
        <w:b/>
        <w:bCs/>
      </w:rPr>
      <w:tblPr/>
      <w:tcPr>
        <w:tcBorders>
          <w:right w:val="nil"/>
        </w:tcBorders>
        <w:shd w:val="clear" w:color="auto" w:fill="FAFCFC" w:themeFill="background1"/>
      </w:tcPr>
    </w:tblStylePr>
    <w:tblStylePr w:type="lastCol">
      <w:rPr>
        <w:b/>
        <w:bCs/>
      </w:rPr>
      <w:tblPr/>
      <w:tcPr>
        <w:tcBorders>
          <w:left w:val="nil"/>
        </w:tcBorders>
        <w:shd w:val="clear" w:color="auto" w:fill="FAFCFC" w:themeFill="background1"/>
      </w:tcPr>
    </w:tblStylePr>
    <w:tblStylePr w:type="band1Vert">
      <w:tblPr/>
      <w:tcPr>
        <w:tcBorders>
          <w:left w:val="single" w:sz="4" w:space="0" w:color="003360" w:themeColor="accent1"/>
          <w:right w:val="single" w:sz="4" w:space="0" w:color="003360" w:themeColor="accent1"/>
        </w:tcBorders>
      </w:tcPr>
    </w:tblStylePr>
    <w:tblStylePr w:type="band1Horz">
      <w:tblPr/>
      <w:tcPr>
        <w:tcBorders>
          <w:top w:val="single" w:sz="4" w:space="0" w:color="003360" w:themeColor="accent1"/>
          <w:bottom w:val="single" w:sz="4" w:space="0" w:color="00336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60" w:themeColor="accent1"/>
          <w:left w:val="nil"/>
        </w:tcBorders>
      </w:tcPr>
    </w:tblStylePr>
    <w:tblStylePr w:type="swCell">
      <w:tblPr/>
      <w:tcPr>
        <w:tcBorders>
          <w:top w:val="double" w:sz="4" w:space="0" w:color="003360"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3782">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guidance.nice.org.uk/QS1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mailto:enquiries@nhsdigital.nhs.uk" TargetMode="External"/><Relationship Id="rId2" Type="http://schemas.openxmlformats.org/officeDocument/2006/relationships/styles" Target="styles.xml"/><Relationship Id="rId16" Type="http://schemas.openxmlformats.org/officeDocument/2006/relationships/hyperlink" Target="http://www.nhfd.co.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phoutcomes.info/"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publications.nice.org.uk/hip-fracture-cg124/guidance" TargetMode="External"/><Relationship Id="rId4" Type="http://schemas.openxmlformats.org/officeDocument/2006/relationships/webSettings" Target="webSettings.xml"/><Relationship Id="rId9" Type="http://schemas.openxmlformats.org/officeDocument/2006/relationships/hyperlink" Target="http://guidance.nice.org.uk/QS16" TargetMode="External"/><Relationship Id="rId14" Type="http://schemas.openxmlformats.org/officeDocument/2006/relationships/image" Target="media/image5.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12AFA77D5B43B8B2F9708069E65CD7"/>
        <w:category>
          <w:name w:val="General"/>
          <w:gallery w:val="placeholder"/>
        </w:category>
        <w:types>
          <w:type w:val="bbPlcHdr"/>
        </w:types>
        <w:behaviors>
          <w:behavior w:val="content"/>
        </w:behaviors>
        <w:guid w:val="{4EB1839F-6DC9-4B80-9C91-A67AD4A0824F}"/>
      </w:docPartPr>
      <w:docPartBody>
        <w:p w:rsidR="00820F2E" w:rsidRDefault="00820F2E" w:rsidP="00820F2E">
          <w:pPr>
            <w:pStyle w:val="FB12AFA77D5B43B8B2F9708069E65CD7"/>
          </w:pPr>
          <w:r w:rsidRPr="00810581">
            <w:rPr>
              <w:rStyle w:val="PlaceholderText"/>
            </w:rPr>
            <w:t>Choose an item.</w:t>
          </w:r>
        </w:p>
      </w:docPartBody>
    </w:docPart>
    <w:docPart>
      <w:docPartPr>
        <w:name w:val="5C1C88E4DBC143F2A5797E9B2EC93EC0"/>
        <w:category>
          <w:name w:val="General"/>
          <w:gallery w:val="placeholder"/>
        </w:category>
        <w:types>
          <w:type w:val="bbPlcHdr"/>
        </w:types>
        <w:behaviors>
          <w:behavior w:val="content"/>
        </w:behaviors>
        <w:guid w:val="{DFE70515-B87C-4DC5-944F-A4D7C8AE0D85}"/>
      </w:docPartPr>
      <w:docPartBody>
        <w:p w:rsidR="00820F2E" w:rsidRDefault="00820F2E" w:rsidP="00820F2E">
          <w:pPr>
            <w:pStyle w:val="5C1C88E4DBC143F2A5797E9B2EC93EC0"/>
          </w:pPr>
          <w:r w:rsidRPr="008105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4330"/>
    <w:rsid w:val="001B72D9"/>
    <w:rsid w:val="002B3BE6"/>
    <w:rsid w:val="002F4585"/>
    <w:rsid w:val="00820F2E"/>
    <w:rsid w:val="009A794E"/>
    <w:rsid w:val="00AE052B"/>
    <w:rsid w:val="00E6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361EE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F2E"/>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4CB3E8017BBD45FBA5F141014E2D6B1C">
    <w:name w:val="4CB3E8017BBD45FBA5F141014E2D6B1C"/>
    <w:rsid w:val="009A794E"/>
    <w:pPr>
      <w:spacing w:after="160" w:line="259" w:lineRule="auto"/>
    </w:pPr>
  </w:style>
  <w:style w:type="paragraph" w:customStyle="1" w:styleId="7B273BF18ED049C0A2E8DD82670605FC">
    <w:name w:val="7B273BF18ED049C0A2E8DD82670605FC"/>
    <w:rsid w:val="009A794E"/>
    <w:pPr>
      <w:spacing w:after="160" w:line="259" w:lineRule="auto"/>
    </w:pPr>
  </w:style>
  <w:style w:type="paragraph" w:customStyle="1" w:styleId="038BD83C01E341BBB5AFD81274B1642A">
    <w:name w:val="038BD83C01E341BBB5AFD81274B1642A"/>
    <w:rsid w:val="00820F2E"/>
    <w:pPr>
      <w:spacing w:after="160" w:line="259" w:lineRule="auto"/>
    </w:pPr>
  </w:style>
  <w:style w:type="paragraph" w:customStyle="1" w:styleId="34EECBC91CDB4420ABAB7B18ED8AEE27">
    <w:name w:val="34EECBC91CDB4420ABAB7B18ED8AEE27"/>
    <w:rsid w:val="00820F2E"/>
    <w:pPr>
      <w:spacing w:after="160" w:line="259" w:lineRule="auto"/>
    </w:pPr>
  </w:style>
  <w:style w:type="paragraph" w:customStyle="1" w:styleId="B60434F4AED346129C0AC5610C76024A">
    <w:name w:val="B60434F4AED346129C0AC5610C76024A"/>
    <w:rsid w:val="00820F2E"/>
    <w:pPr>
      <w:spacing w:after="160" w:line="259" w:lineRule="auto"/>
    </w:pPr>
  </w:style>
  <w:style w:type="paragraph" w:customStyle="1" w:styleId="9332C41F1304404AAC63E597F3F5B628">
    <w:name w:val="9332C41F1304404AAC63E597F3F5B628"/>
    <w:rsid w:val="00820F2E"/>
    <w:pPr>
      <w:spacing w:after="160" w:line="259" w:lineRule="auto"/>
    </w:pPr>
  </w:style>
  <w:style w:type="paragraph" w:customStyle="1" w:styleId="FB12AFA77D5B43B8B2F9708069E65CD7">
    <w:name w:val="FB12AFA77D5B43B8B2F9708069E65CD7"/>
    <w:rsid w:val="00820F2E"/>
    <w:pPr>
      <w:spacing w:after="160" w:line="259" w:lineRule="auto"/>
    </w:pPr>
  </w:style>
  <w:style w:type="paragraph" w:customStyle="1" w:styleId="5C1C88E4DBC143F2A5797E9B2EC93EC0">
    <w:name w:val="5C1C88E4DBC143F2A5797E9B2EC93EC0"/>
    <w:rsid w:val="00820F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4CB67390</Template>
  <TotalTime>0</TotalTime>
  <Pages>19</Pages>
  <Words>4977</Words>
  <Characters>28371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2020-03-12T17:56:00Z</dcterms:created>
  <dcterms:modified xsi:type="dcterms:W3CDTF">2020-03-13T17:11:00Z</dcterms:modified>
</cp:coreProperties>
</file>