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482C01">
      <w:pPr>
        <w:jc w:val="center"/>
        <w:rPr>
          <w:rFonts w:ascii="Arial" w:hAnsi="Arial" w:cs="Arial"/>
          <w:b/>
          <w:sz w:val="32"/>
          <w:szCs w:val="32"/>
        </w:rPr>
      </w:pPr>
      <w:bookmarkStart w:id="0" w:name="_Toc383595130"/>
      <w:r w:rsidRPr="00861C2E">
        <w:rPr>
          <w:rFonts w:ascii="Arial" w:hAnsi="Arial" w:cs="Arial"/>
          <w:b/>
          <w:sz w:val="32"/>
          <w:szCs w:val="32"/>
        </w:rPr>
        <w:t>NATIONAL INSTITUTE FOR HEALTH AND CARE EXCELLENCE</w:t>
      </w:r>
      <w:bookmarkEnd w:id="0"/>
    </w:p>
    <w:p w14:paraId="513A8F55" w14:textId="77777777" w:rsidR="008C183F" w:rsidRPr="00861C2E" w:rsidRDefault="008C183F" w:rsidP="00482C01">
      <w:pPr>
        <w:jc w:val="center"/>
        <w:rPr>
          <w:rFonts w:ascii="Arial" w:hAnsi="Arial" w:cs="Arial"/>
          <w:b/>
          <w:sz w:val="32"/>
          <w:szCs w:val="32"/>
        </w:rPr>
      </w:pPr>
    </w:p>
    <w:p w14:paraId="6C6B43FC" w14:textId="2F3EF7E2" w:rsidR="00482C01" w:rsidRDefault="009B0E59" w:rsidP="00482C01">
      <w:pPr>
        <w:jc w:val="center"/>
        <w:rPr>
          <w:rFonts w:ascii="Arial" w:hAnsi="Arial" w:cs="Arial"/>
          <w:b/>
          <w:sz w:val="32"/>
          <w:szCs w:val="32"/>
        </w:rPr>
      </w:pPr>
      <w:r>
        <w:rPr>
          <w:rFonts w:ascii="Arial" w:hAnsi="Arial" w:cs="Arial"/>
          <w:b/>
          <w:sz w:val="32"/>
          <w:szCs w:val="32"/>
        </w:rPr>
        <w:t>NICE indicator v</w:t>
      </w:r>
      <w:r w:rsidR="00192B09">
        <w:rPr>
          <w:rFonts w:ascii="Arial" w:hAnsi="Arial" w:cs="Arial"/>
          <w:b/>
          <w:sz w:val="32"/>
          <w:szCs w:val="32"/>
        </w:rPr>
        <w:t>alidity assessment</w:t>
      </w:r>
    </w:p>
    <w:p w14:paraId="6A1C1341" w14:textId="77777777" w:rsidR="00482C01" w:rsidRDefault="00482C01" w:rsidP="00482C01">
      <w:pPr>
        <w:jc w:val="center"/>
        <w:rPr>
          <w:rFonts w:ascii="Arial" w:hAnsi="Arial" w:cs="Arial"/>
          <w:b/>
          <w:sz w:val="32"/>
          <w:szCs w:val="32"/>
        </w:rPr>
      </w:pPr>
    </w:p>
    <w:p w14:paraId="2F1D5907" w14:textId="77777777" w:rsidR="00042B8F" w:rsidRPr="002921E7" w:rsidRDefault="00042B8F" w:rsidP="00042B8F">
      <w:pPr>
        <w:spacing w:before="240" w:after="240" w:line="360" w:lineRule="auto"/>
        <w:rPr>
          <w:rFonts w:ascii="Arial" w:hAnsi="Arial"/>
          <w:lang w:eastAsia="en-GB"/>
        </w:rPr>
      </w:pPr>
      <w:r w:rsidRPr="002921E7">
        <w:rPr>
          <w:rFonts w:ascii="Arial" w:hAnsi="Arial"/>
          <w:lang w:eastAsia="en-GB"/>
        </w:rPr>
        <w:t>Assurance date:</w:t>
      </w:r>
      <w:r>
        <w:rPr>
          <w:rFonts w:ascii="Arial" w:hAnsi="Arial"/>
          <w:lang w:eastAsia="en-GB"/>
        </w:rPr>
        <w:t xml:space="preserve"> June 2021</w:t>
      </w:r>
    </w:p>
    <w:p w14:paraId="13ED2009" w14:textId="77777777" w:rsidR="00042B8F" w:rsidRPr="00474A51" w:rsidRDefault="00042B8F" w:rsidP="00042B8F">
      <w:pPr>
        <w:spacing w:before="240" w:after="240" w:line="360" w:lineRule="auto"/>
        <w:rPr>
          <w:rFonts w:ascii="Arial" w:hAnsi="Arial"/>
          <w:lang w:eastAsia="en-GB"/>
        </w:rPr>
      </w:pPr>
      <w:r w:rsidRPr="002921E7">
        <w:rPr>
          <w:rFonts w:ascii="Arial" w:hAnsi="Arial"/>
          <w:lang w:eastAsia="en-GB"/>
        </w:rPr>
        <w:t>Review date:</w:t>
      </w:r>
      <w:r>
        <w:rPr>
          <w:rFonts w:ascii="Arial" w:hAnsi="Arial"/>
          <w:lang w:eastAsia="en-GB"/>
        </w:rPr>
        <w:t xml:space="preserve"> June 2024</w:t>
      </w:r>
    </w:p>
    <w:p w14:paraId="047E7BC9" w14:textId="0E4AE85C" w:rsidR="009B0E59" w:rsidRPr="009B0E59" w:rsidRDefault="009B0E59" w:rsidP="009B0E59">
      <w:pPr>
        <w:pStyle w:val="Heading1"/>
        <w:rPr>
          <w:lang w:eastAsia="en-GB"/>
        </w:rPr>
      </w:pPr>
      <w:r w:rsidRPr="009B0E59">
        <w:rPr>
          <w:lang w:eastAsia="en-GB"/>
        </w:rPr>
        <w:t xml:space="preserve">Indicator </w:t>
      </w:r>
      <w:r w:rsidR="00A61511">
        <w:rPr>
          <w:lang w:eastAsia="en-GB"/>
        </w:rPr>
        <w:t>IAP00</w:t>
      </w:r>
      <w:r w:rsidR="00C82B37">
        <w:rPr>
          <w:lang w:eastAsia="en-GB"/>
        </w:rPr>
        <w:t>342</w:t>
      </w:r>
    </w:p>
    <w:p w14:paraId="6E90728D" w14:textId="77777777" w:rsidR="00C82B37" w:rsidRDefault="00C82B37" w:rsidP="009B0E59">
      <w:pPr>
        <w:pStyle w:val="Heading1"/>
        <w:rPr>
          <w:b w:val="0"/>
          <w:bCs w:val="0"/>
          <w:kern w:val="0"/>
          <w:sz w:val="24"/>
          <w:szCs w:val="24"/>
          <w:lang w:eastAsia="en-GB"/>
        </w:rPr>
      </w:pPr>
      <w:r>
        <w:rPr>
          <w:b w:val="0"/>
          <w:bCs w:val="0"/>
          <w:kern w:val="0"/>
          <w:sz w:val="24"/>
          <w:szCs w:val="24"/>
          <w:lang w:eastAsia="en-GB"/>
        </w:rPr>
        <w:t>E</w:t>
      </w:r>
      <w:r w:rsidRPr="00C82B37">
        <w:rPr>
          <w:b w:val="0"/>
          <w:bCs w:val="0"/>
          <w:kern w:val="0"/>
          <w:sz w:val="24"/>
          <w:szCs w:val="24"/>
          <w:lang w:eastAsia="en-GB"/>
        </w:rPr>
        <w:t>mergency hospital admissions for hip fracture in people aged 60 and over</w:t>
      </w:r>
    </w:p>
    <w:p w14:paraId="7C25BFBC" w14:textId="02180550" w:rsidR="007136A7" w:rsidRDefault="00192B09" w:rsidP="009B0E59">
      <w:pPr>
        <w:pStyle w:val="Heading1"/>
      </w:pPr>
      <w:r>
        <w:t xml:space="preserve">Validity assessment </w:t>
      </w:r>
    </w:p>
    <w:tbl>
      <w:tblPr>
        <w:tblStyle w:val="TableGrid1"/>
        <w:tblW w:w="0" w:type="auto"/>
        <w:tblLook w:val="04A0" w:firstRow="1" w:lastRow="0" w:firstColumn="1" w:lastColumn="0" w:noHBand="0" w:noVBand="1"/>
      </w:tblPr>
      <w:tblGrid>
        <w:gridCol w:w="1878"/>
        <w:gridCol w:w="4092"/>
        <w:gridCol w:w="3047"/>
      </w:tblGrid>
      <w:tr w:rsidR="00455B14" w:rsidRPr="006E1387" w14:paraId="0815D160" w14:textId="1327D684" w:rsidTr="00455B14">
        <w:tc>
          <w:tcPr>
            <w:tcW w:w="1878" w:type="dxa"/>
          </w:tcPr>
          <w:p w14:paraId="04AA61DA" w14:textId="77777777"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Domain</w:t>
            </w:r>
          </w:p>
        </w:tc>
        <w:tc>
          <w:tcPr>
            <w:tcW w:w="4092" w:type="dxa"/>
          </w:tcPr>
          <w:p w14:paraId="177895C1" w14:textId="194D65D4" w:rsidR="00455B14" w:rsidRPr="006E1387" w:rsidRDefault="009B5C5F" w:rsidP="00F100EB">
            <w:pPr>
              <w:spacing w:before="120" w:after="120"/>
              <w:rPr>
                <w:rFonts w:ascii="Arial" w:hAnsi="Arial" w:cs="Arial"/>
                <w:b/>
                <w:sz w:val="22"/>
                <w:szCs w:val="22"/>
              </w:rPr>
            </w:pPr>
            <w:r w:rsidRPr="006E1387">
              <w:rPr>
                <w:rFonts w:ascii="Arial" w:hAnsi="Arial" w:cs="Arial"/>
                <w:b/>
                <w:sz w:val="22"/>
                <w:szCs w:val="22"/>
              </w:rPr>
              <w:t>Notes</w:t>
            </w:r>
            <w:r w:rsidR="00455B14" w:rsidRPr="006E1387">
              <w:rPr>
                <w:rFonts w:ascii="Arial" w:hAnsi="Arial" w:cs="Arial"/>
                <w:b/>
                <w:sz w:val="22"/>
                <w:szCs w:val="22"/>
              </w:rPr>
              <w:t xml:space="preserve"> </w:t>
            </w:r>
          </w:p>
        </w:tc>
        <w:tc>
          <w:tcPr>
            <w:tcW w:w="3047" w:type="dxa"/>
          </w:tcPr>
          <w:p w14:paraId="7A5D48DC" w14:textId="7C82261F"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Assessment</w:t>
            </w:r>
          </w:p>
        </w:tc>
      </w:tr>
      <w:tr w:rsidR="00455B14" w:rsidRPr="006E1387" w14:paraId="3708A997" w14:textId="67C127FD" w:rsidTr="00455B14">
        <w:tc>
          <w:tcPr>
            <w:tcW w:w="1878" w:type="dxa"/>
          </w:tcPr>
          <w:p w14:paraId="480E158F"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Importance</w:t>
            </w:r>
          </w:p>
        </w:tc>
        <w:tc>
          <w:tcPr>
            <w:tcW w:w="4092" w:type="dxa"/>
          </w:tcPr>
          <w:p w14:paraId="0F4A7424" w14:textId="147C0ADB" w:rsidR="00645411" w:rsidRDefault="00630A5B" w:rsidP="00C82B37">
            <w:pPr>
              <w:spacing w:before="120" w:after="120"/>
              <w:rPr>
                <w:rFonts w:ascii="Arial" w:hAnsi="Arial" w:cs="Arial"/>
                <w:sz w:val="22"/>
                <w:szCs w:val="22"/>
              </w:rPr>
            </w:pPr>
            <w:r>
              <w:rPr>
                <w:rFonts w:ascii="Arial" w:hAnsi="Arial" w:cs="Arial"/>
                <w:sz w:val="22"/>
                <w:szCs w:val="22"/>
              </w:rPr>
              <w:t>This indicator is p</w:t>
            </w:r>
            <w:r w:rsidRPr="00630A5B">
              <w:rPr>
                <w:rFonts w:ascii="Arial" w:hAnsi="Arial" w:cs="Arial"/>
                <w:sz w:val="22"/>
                <w:szCs w:val="22"/>
              </w:rPr>
              <w:t xml:space="preserve">art of </w:t>
            </w:r>
            <w:r w:rsidR="00645411">
              <w:rPr>
                <w:rFonts w:ascii="Arial" w:hAnsi="Arial" w:cs="Arial"/>
                <w:sz w:val="22"/>
                <w:szCs w:val="22"/>
              </w:rPr>
              <w:t xml:space="preserve">the </w:t>
            </w:r>
            <w:r w:rsidR="00C82B37">
              <w:rPr>
                <w:rFonts w:ascii="Arial" w:hAnsi="Arial" w:cs="Arial"/>
                <w:sz w:val="22"/>
                <w:szCs w:val="22"/>
              </w:rPr>
              <w:t xml:space="preserve">CCG </w:t>
            </w:r>
            <w:r w:rsidR="00AB7CCD">
              <w:rPr>
                <w:rFonts w:ascii="Arial" w:hAnsi="Arial" w:cs="Arial"/>
                <w:sz w:val="22"/>
                <w:szCs w:val="22"/>
              </w:rPr>
              <w:t>o</w:t>
            </w:r>
            <w:r w:rsidR="00C82B37">
              <w:rPr>
                <w:rFonts w:ascii="Arial" w:hAnsi="Arial" w:cs="Arial"/>
                <w:sz w:val="22"/>
                <w:szCs w:val="22"/>
              </w:rPr>
              <w:t xml:space="preserve">utcomes </w:t>
            </w:r>
            <w:r w:rsidR="00AB7CCD">
              <w:rPr>
                <w:rFonts w:ascii="Arial" w:hAnsi="Arial" w:cs="Arial"/>
                <w:sz w:val="22"/>
                <w:szCs w:val="22"/>
              </w:rPr>
              <w:t>i</w:t>
            </w:r>
            <w:r w:rsidR="00C82B37">
              <w:rPr>
                <w:rFonts w:ascii="Arial" w:hAnsi="Arial" w:cs="Arial"/>
                <w:sz w:val="22"/>
                <w:szCs w:val="22"/>
              </w:rPr>
              <w:t xml:space="preserve">ndicator </w:t>
            </w:r>
            <w:r w:rsidR="00AB7CCD">
              <w:rPr>
                <w:rFonts w:ascii="Arial" w:hAnsi="Arial" w:cs="Arial"/>
                <w:sz w:val="22"/>
                <w:szCs w:val="22"/>
              </w:rPr>
              <w:t>s</w:t>
            </w:r>
            <w:r w:rsidR="00C82B37">
              <w:rPr>
                <w:rFonts w:ascii="Arial" w:hAnsi="Arial" w:cs="Arial"/>
                <w:sz w:val="22"/>
                <w:szCs w:val="22"/>
              </w:rPr>
              <w:t xml:space="preserve">et </w:t>
            </w:r>
            <w:r w:rsidR="008330FB">
              <w:rPr>
                <w:rFonts w:ascii="Arial" w:hAnsi="Arial" w:cs="Arial"/>
                <w:sz w:val="22"/>
                <w:szCs w:val="22"/>
              </w:rPr>
              <w:t>(</w:t>
            </w:r>
            <w:r w:rsidR="00AB7CCD">
              <w:rPr>
                <w:rFonts w:ascii="Arial" w:hAnsi="Arial" w:cs="Arial"/>
                <w:sz w:val="22"/>
                <w:szCs w:val="22"/>
              </w:rPr>
              <w:t>d</w:t>
            </w:r>
            <w:r w:rsidR="008330FB">
              <w:rPr>
                <w:rFonts w:ascii="Arial" w:hAnsi="Arial" w:cs="Arial"/>
                <w:sz w:val="22"/>
                <w:szCs w:val="22"/>
              </w:rPr>
              <w:t xml:space="preserve">omain </w:t>
            </w:r>
            <w:r w:rsidR="00C82B37">
              <w:rPr>
                <w:rFonts w:ascii="Arial" w:hAnsi="Arial" w:cs="Arial"/>
                <w:sz w:val="22"/>
                <w:szCs w:val="22"/>
              </w:rPr>
              <w:t>1</w:t>
            </w:r>
            <w:r w:rsidR="008330FB">
              <w:rPr>
                <w:rFonts w:ascii="Arial" w:hAnsi="Arial" w:cs="Arial"/>
                <w:sz w:val="22"/>
                <w:szCs w:val="22"/>
              </w:rPr>
              <w:t xml:space="preserve"> - </w:t>
            </w:r>
            <w:r w:rsidR="00C82B37" w:rsidRPr="00C82B37">
              <w:rPr>
                <w:rFonts w:ascii="Arial" w:hAnsi="Arial" w:cs="Arial"/>
                <w:sz w:val="22"/>
                <w:szCs w:val="22"/>
              </w:rPr>
              <w:t>Preventing people from dying prematurely</w:t>
            </w:r>
            <w:r w:rsidR="008330FB">
              <w:rPr>
                <w:rFonts w:ascii="Arial" w:hAnsi="Arial" w:cs="Arial"/>
                <w:sz w:val="22"/>
                <w:szCs w:val="22"/>
              </w:rPr>
              <w:t>)</w:t>
            </w:r>
            <w:r w:rsidR="00C82B37">
              <w:rPr>
                <w:rFonts w:ascii="Arial" w:hAnsi="Arial" w:cs="Arial"/>
                <w:sz w:val="22"/>
                <w:szCs w:val="22"/>
              </w:rPr>
              <w:t>.</w:t>
            </w:r>
          </w:p>
          <w:p w14:paraId="6A0AAFD7" w14:textId="2D13B614" w:rsidR="00C82B37" w:rsidRPr="006E1387" w:rsidRDefault="00C82B37" w:rsidP="00C82B37">
            <w:pPr>
              <w:spacing w:before="120" w:after="120"/>
              <w:rPr>
                <w:rFonts w:ascii="Arial" w:hAnsi="Arial" w:cs="Arial"/>
                <w:sz w:val="22"/>
                <w:szCs w:val="22"/>
              </w:rPr>
            </w:pPr>
            <w:r>
              <w:rPr>
                <w:rFonts w:ascii="Arial" w:hAnsi="Arial" w:cs="Arial"/>
                <w:sz w:val="22"/>
                <w:szCs w:val="22"/>
              </w:rPr>
              <w:t xml:space="preserve">Nationally rates have fallen from 416.1 </w:t>
            </w:r>
            <w:r w:rsidR="00CC6DF8">
              <w:rPr>
                <w:rFonts w:ascii="Arial" w:hAnsi="Arial" w:cs="Arial"/>
                <w:sz w:val="22"/>
                <w:szCs w:val="22"/>
              </w:rPr>
              <w:t>per 100,000 patients in 2013/14 to 392.3 per 100,000 in 2018/19. Variation exists across CCGs.</w:t>
            </w:r>
          </w:p>
        </w:tc>
        <w:tc>
          <w:tcPr>
            <w:tcW w:w="3047" w:type="dxa"/>
          </w:tcPr>
          <w:p w14:paraId="78280FB7" w14:textId="427E9DBA" w:rsidR="00455B14" w:rsidRPr="006E1387" w:rsidRDefault="008F0DEF" w:rsidP="00A62410">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This indicator </w:t>
            </w:r>
            <w:r w:rsidR="00CC6DF8">
              <w:rPr>
                <w:rFonts w:eastAsiaTheme="minorEastAsia" w:cs="Arial"/>
                <w:color w:val="000000" w:themeColor="dark1"/>
                <w:kern w:val="24"/>
                <w:sz w:val="22"/>
                <w:szCs w:val="22"/>
              </w:rPr>
              <w:t>is part of a recogn</w:t>
            </w:r>
            <w:r w:rsidR="00AB7CCD">
              <w:rPr>
                <w:rFonts w:eastAsiaTheme="minorEastAsia" w:cs="Arial"/>
                <w:color w:val="000000" w:themeColor="dark1"/>
                <w:kern w:val="24"/>
                <w:sz w:val="22"/>
                <w:szCs w:val="22"/>
              </w:rPr>
              <w:t>is</w:t>
            </w:r>
            <w:r w:rsidR="00CC6DF8">
              <w:rPr>
                <w:rFonts w:eastAsiaTheme="minorEastAsia" w:cs="Arial"/>
                <w:color w:val="000000" w:themeColor="dark1"/>
                <w:kern w:val="24"/>
                <w:sz w:val="22"/>
                <w:szCs w:val="22"/>
              </w:rPr>
              <w:t>ed dataset, and has shown improvement over the data period.</w:t>
            </w:r>
          </w:p>
        </w:tc>
      </w:tr>
      <w:tr w:rsidR="00455B14" w:rsidRPr="006E1387" w14:paraId="77F6A4A2" w14:textId="33EFD485" w:rsidTr="00455B14">
        <w:tc>
          <w:tcPr>
            <w:tcW w:w="1878" w:type="dxa"/>
          </w:tcPr>
          <w:p w14:paraId="6AF47F4B"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Evidence base</w:t>
            </w:r>
          </w:p>
        </w:tc>
        <w:tc>
          <w:tcPr>
            <w:tcW w:w="4092" w:type="dxa"/>
          </w:tcPr>
          <w:p w14:paraId="5547B4A5" w14:textId="77777777" w:rsidR="00873503" w:rsidRDefault="008330FB" w:rsidP="00455B14">
            <w:pPr>
              <w:spacing w:before="120" w:after="120"/>
              <w:rPr>
                <w:rFonts w:ascii="Arial" w:hAnsi="Arial" w:cs="Arial"/>
                <w:sz w:val="22"/>
                <w:szCs w:val="22"/>
              </w:rPr>
            </w:pPr>
            <w:r>
              <w:rPr>
                <w:rFonts w:ascii="Arial" w:hAnsi="Arial" w:cs="Arial"/>
                <w:sz w:val="22"/>
                <w:szCs w:val="22"/>
              </w:rPr>
              <w:t>From application form provided by NICE:</w:t>
            </w:r>
          </w:p>
          <w:p w14:paraId="46FD2163" w14:textId="7F25560E" w:rsidR="008330FB" w:rsidRPr="006E1387" w:rsidRDefault="008330FB" w:rsidP="002B3735">
            <w:pPr>
              <w:spacing w:before="120" w:after="120"/>
              <w:rPr>
                <w:rFonts w:ascii="Arial" w:hAnsi="Arial" w:cs="Arial"/>
                <w:sz w:val="22"/>
                <w:szCs w:val="22"/>
              </w:rPr>
            </w:pPr>
            <w:r>
              <w:rPr>
                <w:rFonts w:ascii="Arial" w:hAnsi="Arial" w:cs="Arial"/>
                <w:sz w:val="22"/>
                <w:szCs w:val="22"/>
              </w:rPr>
              <w:t>“</w:t>
            </w:r>
            <w:r w:rsidR="00CC6DF8" w:rsidRPr="00CC6DF8">
              <w:rPr>
                <w:rFonts w:ascii="Arial" w:hAnsi="Arial" w:cs="Arial"/>
                <w:sz w:val="22"/>
                <w:szCs w:val="22"/>
              </w:rPr>
              <w:t xml:space="preserve">The introduction to Clinical Guideline 124 states that around 70,000 to 75,000 hip fractures (proximal femoral fractures) occur annually in the UK, with a cost (including medical and social care) amounting to around £2 billion a year. Demographic projections indicate that the UK annual incidence will rise to 91,500 by 2015 and 101,000 in 2020, with an associated increase in annual expenditure. Most of this expenditure will be accounted for by hospital bed days and a further substantial contribution will come from health and social aftercare. At present about a quarter of patients with hip fracture are admitted from institutional care, and about 10–20% of those </w:t>
            </w:r>
            <w:r w:rsidR="00CC6DF8" w:rsidRPr="00CC6DF8">
              <w:rPr>
                <w:rFonts w:ascii="Arial" w:hAnsi="Arial" w:cs="Arial"/>
                <w:sz w:val="22"/>
                <w:szCs w:val="22"/>
              </w:rPr>
              <w:lastRenderedPageBreak/>
              <w:t>admitted from home ultimately move to institutional care.</w:t>
            </w:r>
            <w:r w:rsidR="00CC6DF8">
              <w:rPr>
                <w:rFonts w:ascii="Arial" w:hAnsi="Arial" w:cs="Arial"/>
                <w:sz w:val="22"/>
                <w:szCs w:val="22"/>
              </w:rPr>
              <w:t>”</w:t>
            </w:r>
          </w:p>
        </w:tc>
        <w:tc>
          <w:tcPr>
            <w:tcW w:w="3047" w:type="dxa"/>
          </w:tcPr>
          <w:p w14:paraId="12B8C1AB" w14:textId="5C2075D7" w:rsidR="002A23A7" w:rsidRPr="006E1387" w:rsidRDefault="00380F5C" w:rsidP="00B92350">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lastRenderedPageBreak/>
              <w:t>This indicator aligns with NICE guidance (</w:t>
            </w:r>
            <w:r w:rsidR="00B92350">
              <w:rPr>
                <w:rFonts w:eastAsiaTheme="minorEastAsia" w:cs="Arial"/>
                <w:color w:val="000000" w:themeColor="dark1"/>
                <w:kern w:val="24"/>
                <w:sz w:val="22"/>
                <w:szCs w:val="22"/>
              </w:rPr>
              <w:t>QS1</w:t>
            </w:r>
            <w:r>
              <w:rPr>
                <w:rFonts w:eastAsiaTheme="minorEastAsia" w:cs="Arial"/>
                <w:color w:val="000000" w:themeColor="dark1"/>
                <w:kern w:val="24"/>
                <w:sz w:val="22"/>
                <w:szCs w:val="22"/>
              </w:rPr>
              <w:t>6</w:t>
            </w:r>
            <w:r>
              <w:rPr>
                <w:rStyle w:val="FootnoteReference"/>
                <w:rFonts w:eastAsiaTheme="minorEastAsia" w:cs="Arial"/>
                <w:color w:val="000000" w:themeColor="dark1"/>
                <w:kern w:val="24"/>
                <w:sz w:val="22"/>
                <w:szCs w:val="22"/>
              </w:rPr>
              <w:footnoteReference w:id="1"/>
            </w:r>
            <w:r>
              <w:rPr>
                <w:rFonts w:eastAsiaTheme="minorEastAsia" w:cs="Arial"/>
                <w:color w:val="000000" w:themeColor="dark1"/>
                <w:kern w:val="24"/>
                <w:sz w:val="22"/>
                <w:szCs w:val="22"/>
              </w:rPr>
              <w:t>, CG1</w:t>
            </w:r>
            <w:r w:rsidR="00B92350">
              <w:rPr>
                <w:rFonts w:eastAsiaTheme="minorEastAsia" w:cs="Arial"/>
                <w:color w:val="000000" w:themeColor="dark1"/>
                <w:kern w:val="24"/>
                <w:sz w:val="22"/>
                <w:szCs w:val="22"/>
              </w:rPr>
              <w:t>24</w:t>
            </w:r>
            <w:r>
              <w:rPr>
                <w:rStyle w:val="FootnoteReference"/>
                <w:rFonts w:eastAsiaTheme="minorEastAsia" w:cs="Arial"/>
                <w:color w:val="000000" w:themeColor="dark1"/>
                <w:kern w:val="24"/>
                <w:sz w:val="22"/>
                <w:szCs w:val="22"/>
              </w:rPr>
              <w:footnoteReference w:id="2"/>
            </w:r>
            <w:r>
              <w:rPr>
                <w:rFonts w:eastAsiaTheme="minorEastAsia" w:cs="Arial"/>
                <w:color w:val="000000" w:themeColor="dark1"/>
                <w:kern w:val="24"/>
                <w:sz w:val="22"/>
                <w:szCs w:val="22"/>
              </w:rPr>
              <w:t>).</w:t>
            </w:r>
          </w:p>
        </w:tc>
      </w:tr>
      <w:tr w:rsidR="00455B14" w:rsidRPr="006E1387" w14:paraId="3CC8FB8C" w14:textId="54EA7E4F" w:rsidTr="00376FB6">
        <w:trPr>
          <w:trHeight w:val="7929"/>
        </w:trPr>
        <w:tc>
          <w:tcPr>
            <w:tcW w:w="1878" w:type="dxa"/>
          </w:tcPr>
          <w:p w14:paraId="4C16DA9B" w14:textId="563A5247"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Specification </w:t>
            </w:r>
          </w:p>
        </w:tc>
        <w:tc>
          <w:tcPr>
            <w:tcW w:w="4092" w:type="dxa"/>
          </w:tcPr>
          <w:p w14:paraId="7F5AB8B1" w14:textId="3C89E3A1"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Numerator: </w:t>
            </w:r>
            <w:r w:rsidR="00C82B37" w:rsidRPr="00C82B37">
              <w:rPr>
                <w:rFonts w:ascii="Arial" w:hAnsi="Arial" w:cs="Arial"/>
                <w:color w:val="000000"/>
                <w:kern w:val="24"/>
                <w:sz w:val="22"/>
                <w:szCs w:val="22"/>
                <w:lang w:eastAsia="en-GB"/>
              </w:rPr>
              <w:t>The number of emergency admission episodes where the first episode contains a primary diagnosis of hip fracture i</w:t>
            </w:r>
            <w:r w:rsidR="00C82B37">
              <w:rPr>
                <w:rFonts w:ascii="Arial" w:hAnsi="Arial" w:cs="Arial"/>
                <w:color w:val="000000"/>
                <w:kern w:val="24"/>
                <w:sz w:val="22"/>
                <w:szCs w:val="22"/>
                <w:lang w:eastAsia="en-GB"/>
              </w:rPr>
              <w:t>n people aged 60 years and over, using ICD10 codes S72.0, S72.1 and S72.2.</w:t>
            </w:r>
          </w:p>
          <w:p w14:paraId="4FC7B690" w14:textId="44310AE7"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Denominator: </w:t>
            </w:r>
            <w:r w:rsidR="00C82B37" w:rsidRPr="00C82B37">
              <w:rPr>
                <w:rFonts w:ascii="Arial" w:hAnsi="Arial" w:cs="Arial"/>
                <w:color w:val="000000"/>
                <w:kern w:val="24"/>
                <w:sz w:val="22"/>
                <w:szCs w:val="22"/>
                <w:lang w:eastAsia="en-GB"/>
              </w:rPr>
              <w:t>CCG level count of patients aged 60 years and over registered with the constituent GP Practices, provided by NHAIS (Exeter) Systems.</w:t>
            </w:r>
          </w:p>
          <w:p w14:paraId="158FFEDA" w14:textId="29370A4C" w:rsidR="00F77F03" w:rsidRPr="006E1387" w:rsidRDefault="00F77F03"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Exclusions: None. </w:t>
            </w:r>
          </w:p>
          <w:p w14:paraId="4E1F5C0E" w14:textId="553B49DE"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Methodology: </w:t>
            </w:r>
            <w:r w:rsidR="00CC6DF8">
              <w:rPr>
                <w:rFonts w:ascii="Arial" w:hAnsi="Arial" w:cs="Arial"/>
                <w:color w:val="000000"/>
                <w:kern w:val="24"/>
                <w:sz w:val="22"/>
                <w:szCs w:val="22"/>
                <w:lang w:eastAsia="en-GB"/>
              </w:rPr>
              <w:t>Age and sex standardised rate per 100,000 registered patients.</w:t>
            </w:r>
          </w:p>
          <w:p w14:paraId="241B73C2" w14:textId="31BED4F8"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Geography:</w:t>
            </w:r>
            <w:r w:rsidR="00873503">
              <w:rPr>
                <w:rFonts w:ascii="Arial" w:hAnsi="Arial" w:cs="Arial"/>
                <w:color w:val="000000"/>
                <w:kern w:val="24"/>
                <w:sz w:val="22"/>
                <w:szCs w:val="22"/>
                <w:lang w:eastAsia="en-GB"/>
              </w:rPr>
              <w:t xml:space="preserve"> </w:t>
            </w:r>
            <w:r w:rsidR="00C82B37">
              <w:rPr>
                <w:rFonts w:ascii="Arial" w:hAnsi="Arial" w:cs="Arial"/>
                <w:color w:val="000000"/>
                <w:kern w:val="24"/>
                <w:sz w:val="22"/>
                <w:szCs w:val="22"/>
                <w:lang w:eastAsia="en-GB"/>
              </w:rPr>
              <w:t>National</w:t>
            </w:r>
            <w:r w:rsidR="0058190A">
              <w:rPr>
                <w:rFonts w:ascii="Arial" w:hAnsi="Arial" w:cs="Arial"/>
                <w:color w:val="000000"/>
                <w:kern w:val="24"/>
                <w:sz w:val="22"/>
                <w:szCs w:val="22"/>
                <w:lang w:eastAsia="en-GB"/>
              </w:rPr>
              <w:t xml:space="preserve"> and CCG</w:t>
            </w:r>
          </w:p>
          <w:p w14:paraId="5B155699" w14:textId="3E383B8D"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Data Source:</w:t>
            </w:r>
            <w:r w:rsidR="00873503">
              <w:rPr>
                <w:rFonts w:ascii="Arial" w:hAnsi="Arial" w:cs="Arial"/>
                <w:color w:val="000000"/>
                <w:kern w:val="24"/>
                <w:sz w:val="22"/>
                <w:szCs w:val="22"/>
                <w:lang w:eastAsia="en-GB"/>
              </w:rPr>
              <w:t xml:space="preserve"> </w:t>
            </w:r>
            <w:r w:rsidR="00C82B37">
              <w:rPr>
                <w:rFonts w:ascii="Arial" w:hAnsi="Arial" w:cs="Arial"/>
                <w:color w:val="000000"/>
                <w:kern w:val="24"/>
                <w:sz w:val="22"/>
                <w:szCs w:val="22"/>
                <w:lang w:eastAsia="en-GB"/>
              </w:rPr>
              <w:t>Hospital Episode Statistics (HES)</w:t>
            </w:r>
          </w:p>
          <w:p w14:paraId="134E4565" w14:textId="789E91E4" w:rsidR="00A54F81" w:rsidRPr="006E1387" w:rsidRDefault="00873503" w:rsidP="00873503">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Disclosure control: </w:t>
            </w:r>
            <w:r w:rsidR="00C82B37" w:rsidRPr="00C82B37">
              <w:rPr>
                <w:rFonts w:ascii="Arial" w:hAnsi="Arial" w:cs="Arial"/>
                <w:color w:val="000000"/>
                <w:kern w:val="24"/>
                <w:sz w:val="22"/>
                <w:szCs w:val="22"/>
                <w:lang w:eastAsia="en-GB"/>
              </w:rPr>
              <w:t>When publishing the data, numerator and denominator values of 1 to 7 are suppressed, indicator values calculated from a numerator or denominator of 1 to 7 are also suppressed. In addition, CCG level numerator values are rounded to the nearest 5. Indicator values are calculated prior to rounding.</w:t>
            </w:r>
          </w:p>
        </w:tc>
        <w:tc>
          <w:tcPr>
            <w:tcW w:w="3047" w:type="dxa"/>
          </w:tcPr>
          <w:p w14:paraId="3C3529D2" w14:textId="47613359"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has defined components necessary to construct the indicator</w:t>
            </w:r>
            <w:r w:rsidR="00380A4C">
              <w:rPr>
                <w:rFonts w:ascii="Arial" w:eastAsiaTheme="minorEastAsia" w:hAnsi="Arial" w:cs="Arial"/>
                <w:color w:val="000000" w:themeColor="dark1"/>
                <w:kern w:val="24"/>
                <w:sz w:val="22"/>
                <w:szCs w:val="22"/>
              </w:rPr>
              <w:t>.</w:t>
            </w:r>
          </w:p>
          <w:p w14:paraId="42FC7796" w14:textId="5A354569" w:rsidR="00455B14" w:rsidRPr="006E1387" w:rsidRDefault="00455B14" w:rsidP="00455B14">
            <w:pPr>
              <w:spacing w:before="120" w:after="120"/>
              <w:rPr>
                <w:rFonts w:ascii="Arial" w:hAnsi="Arial" w:cs="Arial"/>
                <w:color w:val="000000"/>
                <w:kern w:val="24"/>
                <w:sz w:val="22"/>
                <w:szCs w:val="22"/>
                <w:lang w:eastAsia="en-GB"/>
              </w:rPr>
            </w:pPr>
          </w:p>
        </w:tc>
      </w:tr>
      <w:tr w:rsidR="00455B14" w:rsidRPr="006E1387" w14:paraId="23FEA25E" w14:textId="6A849BFE" w:rsidTr="00993617">
        <w:trPr>
          <w:trHeight w:val="968"/>
        </w:trPr>
        <w:tc>
          <w:tcPr>
            <w:tcW w:w="1878" w:type="dxa"/>
          </w:tcPr>
          <w:p w14:paraId="05670B1F" w14:textId="657854F2"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 xml:space="preserve">Feasibility  </w:t>
            </w:r>
          </w:p>
        </w:tc>
        <w:tc>
          <w:tcPr>
            <w:tcW w:w="4092" w:type="dxa"/>
          </w:tcPr>
          <w:p w14:paraId="0CBDBE34" w14:textId="77777777" w:rsidR="00380A4C" w:rsidRDefault="00380A4C" w:rsidP="00380A4C">
            <w:pPr>
              <w:spacing w:before="120" w:after="120"/>
              <w:rPr>
                <w:rFonts w:ascii="Arial" w:hAnsi="Arial" w:cs="Arial"/>
                <w:sz w:val="22"/>
                <w:szCs w:val="22"/>
              </w:rPr>
            </w:pPr>
            <w:r>
              <w:rPr>
                <w:rFonts w:ascii="Arial" w:hAnsi="Arial" w:cs="Arial"/>
                <w:sz w:val="22"/>
                <w:szCs w:val="22"/>
              </w:rPr>
              <w:t xml:space="preserve">Indicator data is from HES and is robust. </w:t>
            </w:r>
          </w:p>
          <w:p w14:paraId="23202A2C" w14:textId="71595FD1" w:rsidR="002B4762" w:rsidRPr="006E1387" w:rsidRDefault="002B4762" w:rsidP="002B4762">
            <w:pPr>
              <w:spacing w:before="120" w:after="120"/>
              <w:rPr>
                <w:rFonts w:ascii="Arial" w:hAnsi="Arial" w:cs="Arial"/>
                <w:sz w:val="22"/>
                <w:szCs w:val="22"/>
              </w:rPr>
            </w:pPr>
          </w:p>
        </w:tc>
        <w:tc>
          <w:tcPr>
            <w:tcW w:w="3047" w:type="dxa"/>
          </w:tcPr>
          <w:p w14:paraId="7C614BB1" w14:textId="4253BD1E" w:rsidR="00455B14" w:rsidRPr="006E1387" w:rsidRDefault="00455B14" w:rsidP="00873503">
            <w:pPr>
              <w:spacing w:before="120" w:after="120"/>
              <w:rPr>
                <w:rFonts w:ascii="Arial" w:eastAsiaTheme="minorEastAsia" w:hAnsi="Arial" w:cs="Arial"/>
                <w:color w:val="000000" w:themeColor="dark1"/>
                <w:kern w:val="24"/>
                <w:sz w:val="22"/>
                <w:szCs w:val="22"/>
                <w:lang w:eastAsia="en-GB"/>
              </w:rPr>
            </w:pPr>
            <w:r w:rsidRPr="006E1387">
              <w:rPr>
                <w:rFonts w:ascii="Arial" w:eastAsiaTheme="minorEastAsia" w:hAnsi="Arial" w:cs="Arial"/>
                <w:color w:val="000000" w:themeColor="dark1"/>
                <w:kern w:val="24"/>
                <w:sz w:val="22"/>
                <w:szCs w:val="22"/>
                <w:lang w:eastAsia="en-GB"/>
              </w:rPr>
              <w:t xml:space="preserve">The indicator uses existing data fields </w:t>
            </w:r>
            <w:r w:rsidR="00AB6032" w:rsidRPr="006E1387">
              <w:rPr>
                <w:rFonts w:ascii="Arial" w:eastAsiaTheme="minorEastAsia" w:hAnsi="Arial" w:cs="Arial"/>
                <w:color w:val="000000" w:themeColor="dark1"/>
                <w:kern w:val="24"/>
                <w:sz w:val="22"/>
                <w:szCs w:val="22"/>
                <w:lang w:eastAsia="en-GB"/>
              </w:rPr>
              <w:t xml:space="preserve">within </w:t>
            </w:r>
            <w:r w:rsidR="00873503">
              <w:rPr>
                <w:rFonts w:ascii="Arial" w:eastAsiaTheme="minorEastAsia" w:hAnsi="Arial" w:cs="Arial"/>
                <w:color w:val="000000" w:themeColor="dark1"/>
                <w:kern w:val="24"/>
                <w:sz w:val="22"/>
                <w:szCs w:val="22"/>
                <w:lang w:eastAsia="en-GB"/>
              </w:rPr>
              <w:t>published data.</w:t>
            </w:r>
          </w:p>
        </w:tc>
      </w:tr>
      <w:tr w:rsidR="00455B14" w:rsidRPr="006E1387" w14:paraId="211AFDFC" w14:textId="3BA1BF23" w:rsidTr="00455B14">
        <w:tc>
          <w:tcPr>
            <w:tcW w:w="1878" w:type="dxa"/>
          </w:tcPr>
          <w:p w14:paraId="7AA7B574"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Acceptability</w:t>
            </w:r>
          </w:p>
        </w:tc>
        <w:tc>
          <w:tcPr>
            <w:tcW w:w="4092" w:type="dxa"/>
          </w:tcPr>
          <w:p w14:paraId="7224DD18" w14:textId="34CC3E0B" w:rsidR="00140D83" w:rsidRPr="006E1387" w:rsidRDefault="00B92350" w:rsidP="00455B14">
            <w:pPr>
              <w:spacing w:before="120" w:after="120"/>
              <w:rPr>
                <w:rFonts w:ascii="Arial" w:hAnsi="Arial" w:cs="Arial"/>
                <w:sz w:val="22"/>
                <w:szCs w:val="22"/>
              </w:rPr>
            </w:pPr>
            <w:r>
              <w:rPr>
                <w:rFonts w:ascii="Arial" w:hAnsi="Arial" w:cs="Arial"/>
                <w:sz w:val="22"/>
                <w:szCs w:val="22"/>
              </w:rPr>
              <w:t>Data is showing improvement over the current reporting period</w:t>
            </w:r>
            <w:r w:rsidR="00BD16C0">
              <w:rPr>
                <w:rFonts w:ascii="Arial" w:hAnsi="Arial" w:cs="Arial"/>
                <w:sz w:val="22"/>
                <w:szCs w:val="22"/>
              </w:rPr>
              <w:t>.</w:t>
            </w:r>
            <w:r>
              <w:rPr>
                <w:rFonts w:ascii="Arial" w:hAnsi="Arial" w:cs="Arial"/>
                <w:sz w:val="22"/>
                <w:szCs w:val="22"/>
              </w:rPr>
              <w:t xml:space="preserve"> CCG data is available for greater granularity.</w:t>
            </w:r>
          </w:p>
          <w:p w14:paraId="2117977B" w14:textId="218AFB98" w:rsidR="009F3187" w:rsidRPr="006E1387" w:rsidRDefault="009F3187" w:rsidP="00873503">
            <w:pPr>
              <w:pStyle w:val="NICEnormal"/>
              <w:spacing w:before="120" w:after="120" w:line="240" w:lineRule="auto"/>
              <w:rPr>
                <w:rFonts w:cs="Arial"/>
                <w:sz w:val="22"/>
                <w:szCs w:val="22"/>
              </w:rPr>
            </w:pPr>
          </w:p>
        </w:tc>
        <w:tc>
          <w:tcPr>
            <w:tcW w:w="3047" w:type="dxa"/>
          </w:tcPr>
          <w:p w14:paraId="29506238" w14:textId="3E6B25C0"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assesses performance that is attributable to or within the control of the audience</w:t>
            </w:r>
            <w:r w:rsidR="00CB08E8">
              <w:rPr>
                <w:rFonts w:ascii="Arial" w:eastAsiaTheme="minorEastAsia" w:hAnsi="Arial" w:cs="Arial"/>
                <w:color w:val="000000" w:themeColor="dark1"/>
                <w:kern w:val="24"/>
                <w:sz w:val="22"/>
                <w:szCs w:val="22"/>
              </w:rPr>
              <w:t>, both in a clinical and public health setting</w:t>
            </w:r>
            <w:r w:rsidR="00AB6032" w:rsidRPr="006E1387">
              <w:rPr>
                <w:rFonts w:ascii="Arial" w:eastAsiaTheme="minorEastAsia" w:hAnsi="Arial" w:cs="Arial"/>
                <w:color w:val="000000" w:themeColor="dark1"/>
                <w:kern w:val="24"/>
                <w:sz w:val="22"/>
                <w:szCs w:val="22"/>
              </w:rPr>
              <w:t>.</w:t>
            </w:r>
          </w:p>
          <w:p w14:paraId="472E62AD" w14:textId="14006EFD" w:rsidR="002223A6" w:rsidRPr="006E1387" w:rsidRDefault="00455B14" w:rsidP="00455B14">
            <w:pPr>
              <w:spacing w:before="120" w:after="120"/>
              <w:rPr>
                <w:rFonts w:ascii="Arial" w:eastAsiaTheme="minorEastAsia" w:hAnsi="Arial" w:cs="Arial"/>
                <w:color w:val="000000" w:themeColor="dark1"/>
                <w:kern w:val="24"/>
                <w:sz w:val="22"/>
                <w:szCs w:val="22"/>
                <w:lang w:eastAsia="en-GB"/>
              </w:rPr>
            </w:pPr>
            <w:r w:rsidRPr="006E1387">
              <w:rPr>
                <w:rFonts w:ascii="Arial" w:eastAsiaTheme="minorEastAsia" w:hAnsi="Arial" w:cs="Arial"/>
                <w:color w:val="000000" w:themeColor="dark1"/>
                <w:kern w:val="24"/>
                <w:sz w:val="22"/>
                <w:szCs w:val="22"/>
                <w:lang w:eastAsia="en-GB"/>
              </w:rPr>
              <w:t>The results of the indicator can be used to improve practice</w:t>
            </w:r>
            <w:r w:rsidR="009B0E59" w:rsidRPr="006E1387">
              <w:rPr>
                <w:rFonts w:ascii="Arial" w:eastAsiaTheme="minorEastAsia" w:hAnsi="Arial" w:cs="Arial"/>
                <w:color w:val="000000" w:themeColor="dark1"/>
                <w:kern w:val="24"/>
                <w:sz w:val="22"/>
                <w:szCs w:val="22"/>
                <w:lang w:eastAsia="en-GB"/>
              </w:rPr>
              <w:t>.</w:t>
            </w:r>
          </w:p>
        </w:tc>
      </w:tr>
      <w:tr w:rsidR="00455B14" w:rsidRPr="006E1387" w14:paraId="515852F3" w14:textId="598C7331" w:rsidTr="00993617">
        <w:trPr>
          <w:trHeight w:val="880"/>
        </w:trPr>
        <w:tc>
          <w:tcPr>
            <w:tcW w:w="1878" w:type="dxa"/>
          </w:tcPr>
          <w:p w14:paraId="5DC1BD3A" w14:textId="17F33E7B" w:rsidR="00455B14" w:rsidRPr="006E1387" w:rsidRDefault="00455B14" w:rsidP="00455B14">
            <w:pPr>
              <w:spacing w:before="120" w:after="120"/>
              <w:rPr>
                <w:rFonts w:ascii="Arial" w:hAnsi="Arial" w:cs="Arial"/>
                <w:color w:val="000000"/>
                <w:kern w:val="24"/>
                <w:sz w:val="22"/>
                <w:szCs w:val="22"/>
              </w:rPr>
            </w:pPr>
            <w:r w:rsidRPr="006E1387">
              <w:rPr>
                <w:rFonts w:ascii="Arial" w:hAnsi="Arial" w:cs="Arial"/>
                <w:color w:val="000000"/>
                <w:kern w:val="24"/>
                <w:sz w:val="22"/>
                <w:szCs w:val="22"/>
              </w:rPr>
              <w:t>Risk</w:t>
            </w:r>
          </w:p>
        </w:tc>
        <w:tc>
          <w:tcPr>
            <w:tcW w:w="4092" w:type="dxa"/>
          </w:tcPr>
          <w:p w14:paraId="6C854FEE" w14:textId="65EB49ED" w:rsidR="003A4CBB" w:rsidRPr="006E1387" w:rsidRDefault="00BD16C0" w:rsidP="003A4CBB">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None identified</w:t>
            </w:r>
          </w:p>
        </w:tc>
        <w:tc>
          <w:tcPr>
            <w:tcW w:w="3047" w:type="dxa"/>
          </w:tcPr>
          <w:p w14:paraId="7C2C11AA" w14:textId="2FBED6F8" w:rsidR="00831948" w:rsidRPr="006E1387" w:rsidRDefault="00BD16C0" w:rsidP="00831948">
            <w:pPr>
              <w:pStyle w:val="NICEnormal"/>
              <w:spacing w:before="120" w:after="120" w:line="240" w:lineRule="auto"/>
              <w:rPr>
                <w:rFonts w:cs="Arial"/>
                <w:color w:val="000000"/>
                <w:kern w:val="24"/>
                <w:sz w:val="22"/>
                <w:szCs w:val="22"/>
                <w:lang w:eastAsia="en-GB"/>
              </w:rPr>
            </w:pPr>
            <w:r>
              <w:rPr>
                <w:rFonts w:cs="Arial"/>
                <w:color w:val="000000"/>
                <w:kern w:val="24"/>
                <w:sz w:val="22"/>
                <w:szCs w:val="22"/>
                <w:lang w:eastAsia="en-GB"/>
              </w:rPr>
              <w:t>No risks identified</w:t>
            </w:r>
          </w:p>
        </w:tc>
      </w:tr>
    </w:tbl>
    <w:p w14:paraId="37D9A2F5" w14:textId="084C27AB" w:rsidR="004A517E" w:rsidRDefault="004A517E">
      <w:pPr>
        <w:rPr>
          <w:rFonts w:ascii="Arial" w:hAnsi="Arial"/>
          <w:lang w:val="en-US"/>
        </w:rPr>
      </w:pPr>
    </w:p>
    <w:p w14:paraId="58C671CA" w14:textId="77777777" w:rsidR="00993617" w:rsidRDefault="00993617" w:rsidP="00424B4D">
      <w:pPr>
        <w:pStyle w:val="Paragraph"/>
        <w:rPr>
          <w:b/>
        </w:rPr>
      </w:pPr>
    </w:p>
    <w:p w14:paraId="7AE29073" w14:textId="77777777" w:rsidR="00042B8F" w:rsidRDefault="00042B8F" w:rsidP="00042B8F">
      <w:pPr>
        <w:pStyle w:val="Paragraphnonumbers"/>
      </w:pPr>
      <w:r w:rsidRPr="00B12039">
        <w:rPr>
          <w:b/>
        </w:rPr>
        <w:t>Summary:</w:t>
      </w:r>
      <w:r>
        <w:t xml:space="preserve"> </w:t>
      </w:r>
      <w:r w:rsidRPr="00B60A21">
        <w:t>Indicator to be renewed.</w:t>
      </w:r>
    </w:p>
    <w:p w14:paraId="38381317" w14:textId="77777777" w:rsidR="00DB50A7" w:rsidRDefault="00DB50A7" w:rsidP="00DB50A7">
      <w:pPr>
        <w:pStyle w:val="Paragraphnonumbers"/>
        <w:rPr>
          <w:b/>
        </w:rPr>
      </w:pPr>
      <w:r>
        <w:rPr>
          <w:b/>
        </w:rPr>
        <w:t xml:space="preserve">NHS Digital Indicator reference: </w:t>
      </w:r>
    </w:p>
    <w:p w14:paraId="123085F8" w14:textId="541F1D92" w:rsidR="00D73835" w:rsidRDefault="00DB50A7" w:rsidP="00380A4C">
      <w:pPr>
        <w:pStyle w:val="Paragraphnonumbers"/>
      </w:pPr>
      <w:r>
        <w:t xml:space="preserve">CCG Outcomes Indicator Set - </w:t>
      </w:r>
      <w:r w:rsidRPr="00DB50A7">
        <w:t>1.22 Hip fracture: incidence</w:t>
      </w:r>
    </w:p>
    <w:sectPr w:rsidR="00D73835" w:rsidSect="00192B09">
      <w:headerReference w:type="default" r:id="rId8"/>
      <w:footerReference w:type="defaul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4AE2E" w14:textId="77777777" w:rsidR="00ED6F53" w:rsidRDefault="00ED6F53" w:rsidP="00446BEE">
      <w:r>
        <w:separator/>
      </w:r>
    </w:p>
  </w:endnote>
  <w:endnote w:type="continuationSeparator" w:id="0">
    <w:p w14:paraId="1EE071A7" w14:textId="77777777" w:rsidR="00ED6F53" w:rsidRDefault="00ED6F5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B07A" w14:textId="11A8CCD8" w:rsidR="00BB14CA" w:rsidRPr="008C1C95" w:rsidRDefault="00DB50A7" w:rsidP="00DB50A7">
    <w:pPr>
      <w:pStyle w:val="Footer"/>
    </w:pPr>
    <w:r>
      <w:t xml:space="preserve">IAP00342 </w:t>
    </w:r>
    <w:r w:rsidRPr="00DB50A7">
      <w:t>Emergency hospital admissions for hip fracture in people aged 60 and over</w:t>
    </w:r>
    <w:r w:rsidR="009B0E59">
      <w:t xml:space="preserve">: Validity assessment </w:t>
    </w:r>
    <w:r>
      <w:t>March 2021</w:t>
    </w:r>
    <w:r w:rsidR="009B0E59">
      <w:tab/>
    </w:r>
    <w:r w:rsidR="009B0E59">
      <w:tab/>
    </w:r>
    <w:r w:rsidR="00BB14CA">
      <w:fldChar w:fldCharType="begin"/>
    </w:r>
    <w:r w:rsidR="00BB14CA">
      <w:instrText xml:space="preserve"> PAGE </w:instrText>
    </w:r>
    <w:r w:rsidR="00BB14CA">
      <w:fldChar w:fldCharType="separate"/>
    </w:r>
    <w:r w:rsidR="00D5406F">
      <w:rPr>
        <w:noProof/>
      </w:rPr>
      <w:t>2</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D5406F">
      <w:rPr>
        <w:noProof/>
      </w:rPr>
      <w:t>2</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BEBC" w14:textId="77777777" w:rsidR="00ED6F53" w:rsidRDefault="00ED6F53" w:rsidP="00446BEE">
      <w:r>
        <w:separator/>
      </w:r>
    </w:p>
  </w:footnote>
  <w:footnote w:type="continuationSeparator" w:id="0">
    <w:p w14:paraId="28DE568C" w14:textId="77777777" w:rsidR="00ED6F53" w:rsidRDefault="00ED6F53" w:rsidP="00446BEE">
      <w:r>
        <w:continuationSeparator/>
      </w:r>
    </w:p>
  </w:footnote>
  <w:footnote w:id="1">
    <w:p w14:paraId="287220AC" w14:textId="735AB0DA" w:rsidR="00380F5C" w:rsidRDefault="00380F5C" w:rsidP="00380F5C">
      <w:pPr>
        <w:pStyle w:val="FootnoteText"/>
      </w:pPr>
      <w:r>
        <w:rPr>
          <w:rStyle w:val="FootnoteReference"/>
        </w:rPr>
        <w:footnoteRef/>
      </w:r>
      <w:r w:rsidR="00B92350">
        <w:t xml:space="preserve"> NICE 2012, last updated 2017</w:t>
      </w:r>
      <w:r>
        <w:t xml:space="preserve">, </w:t>
      </w:r>
      <w:r w:rsidR="00B92350">
        <w:t>Hip fracture in adults</w:t>
      </w:r>
      <w:r>
        <w:t xml:space="preserve">, </w:t>
      </w:r>
      <w:r w:rsidR="00B92350">
        <w:t>QS1</w:t>
      </w:r>
      <w:r>
        <w:t>6</w:t>
      </w:r>
    </w:p>
  </w:footnote>
  <w:footnote w:id="2">
    <w:p w14:paraId="3D5C292C" w14:textId="0D37A018" w:rsidR="00380F5C" w:rsidRDefault="00380F5C" w:rsidP="00380F5C">
      <w:pPr>
        <w:pStyle w:val="FootnoteText"/>
      </w:pPr>
      <w:r>
        <w:rPr>
          <w:rStyle w:val="FootnoteReference"/>
        </w:rPr>
        <w:footnoteRef/>
      </w:r>
      <w:r>
        <w:t xml:space="preserve"> NICE </w:t>
      </w:r>
      <w:r w:rsidR="00B92350">
        <w:t xml:space="preserve">2011, last updated </w:t>
      </w:r>
      <w:r>
        <w:t>201</w:t>
      </w:r>
      <w:r w:rsidR="00B92350">
        <w:t>7</w:t>
      </w:r>
      <w:r>
        <w:t xml:space="preserve">, </w:t>
      </w:r>
      <w:r w:rsidR="00B92350" w:rsidRPr="00B92350">
        <w:t>Hip fracture: management</w:t>
      </w:r>
      <w:r>
        <w:t>, CG1</w:t>
      </w:r>
      <w:r w:rsidR="00B92350">
        <w:t>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E1FB0" w14:textId="77777777" w:rsidR="00BB14CA" w:rsidRPr="00482C01" w:rsidRDefault="00BB14CA"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0"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10"/>
  </w:num>
  <w:num w:numId="3">
    <w:abstractNumId w:val="26"/>
  </w:num>
  <w:num w:numId="4">
    <w:abstractNumId w:val="11"/>
  </w:num>
  <w:num w:numId="5">
    <w:abstractNumId w:val="23"/>
  </w:num>
  <w:num w:numId="6">
    <w:abstractNumId w:val="1"/>
  </w:num>
  <w:num w:numId="7">
    <w:abstractNumId w:val="9"/>
  </w:num>
  <w:num w:numId="8">
    <w:abstractNumId w:val="21"/>
  </w:num>
  <w:num w:numId="9">
    <w:abstractNumId w:val="22"/>
  </w:num>
  <w:num w:numId="10">
    <w:abstractNumId w:val="4"/>
  </w:num>
  <w:num w:numId="11">
    <w:abstractNumId w:val="6"/>
  </w:num>
  <w:num w:numId="12">
    <w:abstractNumId w:val="2"/>
  </w:num>
  <w:num w:numId="13">
    <w:abstractNumId w:val="29"/>
  </w:num>
  <w:num w:numId="14">
    <w:abstractNumId w:val="13"/>
  </w:num>
  <w:num w:numId="15">
    <w:abstractNumId w:val="8"/>
  </w:num>
  <w:num w:numId="16">
    <w:abstractNumId w:val="18"/>
  </w:num>
  <w:num w:numId="17">
    <w:abstractNumId w:val="15"/>
  </w:num>
  <w:num w:numId="18">
    <w:abstractNumId w:val="20"/>
  </w:num>
  <w:num w:numId="19">
    <w:abstractNumId w:val="24"/>
  </w:num>
  <w:num w:numId="20">
    <w:abstractNumId w:val="5"/>
  </w:num>
  <w:num w:numId="21">
    <w:abstractNumId w:val="27"/>
  </w:num>
  <w:num w:numId="22">
    <w:abstractNumId w:val="0"/>
  </w:num>
  <w:num w:numId="23">
    <w:abstractNumId w:val="3"/>
  </w:num>
  <w:num w:numId="24">
    <w:abstractNumId w:val="25"/>
  </w:num>
  <w:num w:numId="25">
    <w:abstractNumId w:val="17"/>
  </w:num>
  <w:num w:numId="26">
    <w:abstractNumId w:val="16"/>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4"/>
  </w:num>
  <w:num w:numId="30">
    <w:abstractNumId w:val="12"/>
  </w:num>
  <w:num w:numId="31">
    <w:abstractNumId w:val="4"/>
  </w:num>
  <w:num w:numId="32">
    <w:abstractNumId w:val="4"/>
  </w:num>
  <w:num w:numId="33">
    <w:abstractNumId w:val="4"/>
  </w:num>
  <w:num w:numId="34">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4"/>
  </w:num>
  <w:num w:numId="37">
    <w:abstractNumId w:val="4"/>
  </w:num>
  <w:num w:numId="38">
    <w:abstractNumId w:val="28"/>
  </w:num>
  <w:num w:numId="39">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CD"/>
    <w:rsid w:val="00042B8F"/>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C22B9"/>
    <w:rsid w:val="000C4D57"/>
    <w:rsid w:val="000C4EE8"/>
    <w:rsid w:val="000C7A5D"/>
    <w:rsid w:val="000D04B0"/>
    <w:rsid w:val="000D1487"/>
    <w:rsid w:val="000D3776"/>
    <w:rsid w:val="000E0E0D"/>
    <w:rsid w:val="000E4899"/>
    <w:rsid w:val="000E7E3C"/>
    <w:rsid w:val="000F3B49"/>
    <w:rsid w:val="000F6502"/>
    <w:rsid w:val="001043B0"/>
    <w:rsid w:val="001066B8"/>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6466"/>
    <w:rsid w:val="001368F7"/>
    <w:rsid w:val="00140B46"/>
    <w:rsid w:val="00140D83"/>
    <w:rsid w:val="001413FC"/>
    <w:rsid w:val="00145D3C"/>
    <w:rsid w:val="001503E8"/>
    <w:rsid w:val="00154516"/>
    <w:rsid w:val="00155A83"/>
    <w:rsid w:val="00156264"/>
    <w:rsid w:val="00156529"/>
    <w:rsid w:val="001579DA"/>
    <w:rsid w:val="00161EBC"/>
    <w:rsid w:val="00165770"/>
    <w:rsid w:val="00165B01"/>
    <w:rsid w:val="00166C1A"/>
    <w:rsid w:val="0017169E"/>
    <w:rsid w:val="00172EAB"/>
    <w:rsid w:val="0017396B"/>
    <w:rsid w:val="00175BE8"/>
    <w:rsid w:val="00175F5D"/>
    <w:rsid w:val="00177200"/>
    <w:rsid w:val="001779E5"/>
    <w:rsid w:val="00182263"/>
    <w:rsid w:val="0018281C"/>
    <w:rsid w:val="00185F6B"/>
    <w:rsid w:val="00187570"/>
    <w:rsid w:val="00192188"/>
    <w:rsid w:val="00192B09"/>
    <w:rsid w:val="001936A7"/>
    <w:rsid w:val="00193D4B"/>
    <w:rsid w:val="00194E6C"/>
    <w:rsid w:val="00196653"/>
    <w:rsid w:val="00196E29"/>
    <w:rsid w:val="001976DA"/>
    <w:rsid w:val="001A056C"/>
    <w:rsid w:val="001A23E4"/>
    <w:rsid w:val="001A281B"/>
    <w:rsid w:val="001A3011"/>
    <w:rsid w:val="001A48E7"/>
    <w:rsid w:val="001A73CD"/>
    <w:rsid w:val="001B06E1"/>
    <w:rsid w:val="001B1619"/>
    <w:rsid w:val="001B187B"/>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0C37"/>
    <w:rsid w:val="001F1315"/>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3A6"/>
    <w:rsid w:val="002229AD"/>
    <w:rsid w:val="00224AEE"/>
    <w:rsid w:val="00225FF4"/>
    <w:rsid w:val="00230A13"/>
    <w:rsid w:val="002331C6"/>
    <w:rsid w:val="00236B76"/>
    <w:rsid w:val="002408EA"/>
    <w:rsid w:val="00241410"/>
    <w:rsid w:val="00243681"/>
    <w:rsid w:val="002549B2"/>
    <w:rsid w:val="002563DF"/>
    <w:rsid w:val="0026014A"/>
    <w:rsid w:val="0026108E"/>
    <w:rsid w:val="002614ED"/>
    <w:rsid w:val="00265142"/>
    <w:rsid w:val="00266AA6"/>
    <w:rsid w:val="00266B50"/>
    <w:rsid w:val="00270605"/>
    <w:rsid w:val="00271804"/>
    <w:rsid w:val="00271857"/>
    <w:rsid w:val="00276AC9"/>
    <w:rsid w:val="00277ED2"/>
    <w:rsid w:val="00280F8A"/>
    <w:rsid w:val="00286537"/>
    <w:rsid w:val="00286C3A"/>
    <w:rsid w:val="00287467"/>
    <w:rsid w:val="00291A5B"/>
    <w:rsid w:val="00292B2C"/>
    <w:rsid w:val="0029330E"/>
    <w:rsid w:val="00296E2E"/>
    <w:rsid w:val="002A23A7"/>
    <w:rsid w:val="002A5503"/>
    <w:rsid w:val="002A6812"/>
    <w:rsid w:val="002A7339"/>
    <w:rsid w:val="002A7A24"/>
    <w:rsid w:val="002B3735"/>
    <w:rsid w:val="002B4762"/>
    <w:rsid w:val="002B565A"/>
    <w:rsid w:val="002B71D2"/>
    <w:rsid w:val="002C0DA9"/>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5698"/>
    <w:rsid w:val="00367685"/>
    <w:rsid w:val="00367A82"/>
    <w:rsid w:val="00370ACD"/>
    <w:rsid w:val="00371E29"/>
    <w:rsid w:val="003722FA"/>
    <w:rsid w:val="003731E6"/>
    <w:rsid w:val="00373EA4"/>
    <w:rsid w:val="00374EA0"/>
    <w:rsid w:val="00374EB6"/>
    <w:rsid w:val="00375AE7"/>
    <w:rsid w:val="00376C2A"/>
    <w:rsid w:val="00376FB6"/>
    <w:rsid w:val="00377277"/>
    <w:rsid w:val="00377304"/>
    <w:rsid w:val="00380A4C"/>
    <w:rsid w:val="00380F5C"/>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A4CBB"/>
    <w:rsid w:val="003B028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4B4D"/>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0AF6"/>
    <w:rsid w:val="004C101D"/>
    <w:rsid w:val="004C3670"/>
    <w:rsid w:val="004C3BFD"/>
    <w:rsid w:val="004C5C89"/>
    <w:rsid w:val="004D1267"/>
    <w:rsid w:val="004D26AD"/>
    <w:rsid w:val="004D2897"/>
    <w:rsid w:val="004D39E2"/>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343E1"/>
    <w:rsid w:val="005353CB"/>
    <w:rsid w:val="00535CCD"/>
    <w:rsid w:val="00545970"/>
    <w:rsid w:val="00550783"/>
    <w:rsid w:val="005508EE"/>
    <w:rsid w:val="005536FB"/>
    <w:rsid w:val="00555CC8"/>
    <w:rsid w:val="00556B58"/>
    <w:rsid w:val="005577FA"/>
    <w:rsid w:val="0056425E"/>
    <w:rsid w:val="00565745"/>
    <w:rsid w:val="00566CCC"/>
    <w:rsid w:val="00566FFF"/>
    <w:rsid w:val="0056705D"/>
    <w:rsid w:val="00571370"/>
    <w:rsid w:val="00575207"/>
    <w:rsid w:val="00577C83"/>
    <w:rsid w:val="00580FF4"/>
    <w:rsid w:val="0058190A"/>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D38"/>
    <w:rsid w:val="005B73E7"/>
    <w:rsid w:val="005C05E1"/>
    <w:rsid w:val="005C3893"/>
    <w:rsid w:val="005C5E41"/>
    <w:rsid w:val="005C7DB5"/>
    <w:rsid w:val="005D15B9"/>
    <w:rsid w:val="005D1E0A"/>
    <w:rsid w:val="005D352A"/>
    <w:rsid w:val="005D4C95"/>
    <w:rsid w:val="005E0AC1"/>
    <w:rsid w:val="005E2508"/>
    <w:rsid w:val="005E437F"/>
    <w:rsid w:val="005E58ED"/>
    <w:rsid w:val="005E62A7"/>
    <w:rsid w:val="005E6B30"/>
    <w:rsid w:val="005F25FD"/>
    <w:rsid w:val="005F3989"/>
    <w:rsid w:val="005F3C5C"/>
    <w:rsid w:val="005F5AFD"/>
    <w:rsid w:val="005F6BB8"/>
    <w:rsid w:val="005F6F0A"/>
    <w:rsid w:val="005F7681"/>
    <w:rsid w:val="00601291"/>
    <w:rsid w:val="0060351B"/>
    <w:rsid w:val="00607959"/>
    <w:rsid w:val="0061221F"/>
    <w:rsid w:val="00614078"/>
    <w:rsid w:val="006150A0"/>
    <w:rsid w:val="0061798B"/>
    <w:rsid w:val="0062228B"/>
    <w:rsid w:val="00624430"/>
    <w:rsid w:val="00625AEE"/>
    <w:rsid w:val="00627687"/>
    <w:rsid w:val="006276D1"/>
    <w:rsid w:val="006279C2"/>
    <w:rsid w:val="00630A5B"/>
    <w:rsid w:val="00637F2A"/>
    <w:rsid w:val="00642C45"/>
    <w:rsid w:val="0064313B"/>
    <w:rsid w:val="006434DF"/>
    <w:rsid w:val="00645411"/>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3D61"/>
    <w:rsid w:val="006D4325"/>
    <w:rsid w:val="006D55A6"/>
    <w:rsid w:val="006D6BD0"/>
    <w:rsid w:val="006E09CB"/>
    <w:rsid w:val="006E1387"/>
    <w:rsid w:val="006E2124"/>
    <w:rsid w:val="006E23A2"/>
    <w:rsid w:val="006E299B"/>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50F1"/>
    <w:rsid w:val="00726FF0"/>
    <w:rsid w:val="00727230"/>
    <w:rsid w:val="00730AA4"/>
    <w:rsid w:val="0073113B"/>
    <w:rsid w:val="00732C44"/>
    <w:rsid w:val="00734CC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B1A6C"/>
    <w:rsid w:val="007B5378"/>
    <w:rsid w:val="007C1642"/>
    <w:rsid w:val="007C33F3"/>
    <w:rsid w:val="007C40AD"/>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1948"/>
    <w:rsid w:val="008330FB"/>
    <w:rsid w:val="0083313E"/>
    <w:rsid w:val="008331BB"/>
    <w:rsid w:val="008338B5"/>
    <w:rsid w:val="00833D43"/>
    <w:rsid w:val="00840FF7"/>
    <w:rsid w:val="00841169"/>
    <w:rsid w:val="00843F79"/>
    <w:rsid w:val="00844032"/>
    <w:rsid w:val="008443D8"/>
    <w:rsid w:val="008445E7"/>
    <w:rsid w:val="00844854"/>
    <w:rsid w:val="00847D3A"/>
    <w:rsid w:val="00855549"/>
    <w:rsid w:val="0086032D"/>
    <w:rsid w:val="00861B3D"/>
    <w:rsid w:val="00862879"/>
    <w:rsid w:val="00865CE7"/>
    <w:rsid w:val="0086701C"/>
    <w:rsid w:val="00867262"/>
    <w:rsid w:val="00870BDD"/>
    <w:rsid w:val="008717F1"/>
    <w:rsid w:val="00873503"/>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669E"/>
    <w:rsid w:val="008D2A77"/>
    <w:rsid w:val="008D2EC9"/>
    <w:rsid w:val="008D62F8"/>
    <w:rsid w:val="008D652E"/>
    <w:rsid w:val="008D6A3E"/>
    <w:rsid w:val="008E1B3C"/>
    <w:rsid w:val="008E4419"/>
    <w:rsid w:val="008E56A4"/>
    <w:rsid w:val="008E5BA8"/>
    <w:rsid w:val="008E664D"/>
    <w:rsid w:val="008E6FCA"/>
    <w:rsid w:val="008F0DEF"/>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E8B"/>
    <w:rsid w:val="009460E7"/>
    <w:rsid w:val="00947483"/>
    <w:rsid w:val="00947FDB"/>
    <w:rsid w:val="00952219"/>
    <w:rsid w:val="009535CF"/>
    <w:rsid w:val="009539B0"/>
    <w:rsid w:val="009543A4"/>
    <w:rsid w:val="00955F17"/>
    <w:rsid w:val="009562D0"/>
    <w:rsid w:val="00957124"/>
    <w:rsid w:val="00960B9B"/>
    <w:rsid w:val="00960CC3"/>
    <w:rsid w:val="0096180D"/>
    <w:rsid w:val="00961E3B"/>
    <w:rsid w:val="00962360"/>
    <w:rsid w:val="009669AD"/>
    <w:rsid w:val="00966EB0"/>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3617"/>
    <w:rsid w:val="00994CE5"/>
    <w:rsid w:val="00995A38"/>
    <w:rsid w:val="009965E1"/>
    <w:rsid w:val="009A23F7"/>
    <w:rsid w:val="009A2B2A"/>
    <w:rsid w:val="009A38DA"/>
    <w:rsid w:val="009A3F7F"/>
    <w:rsid w:val="009A4775"/>
    <w:rsid w:val="009A75C4"/>
    <w:rsid w:val="009B0897"/>
    <w:rsid w:val="009B0E59"/>
    <w:rsid w:val="009B276A"/>
    <w:rsid w:val="009B3223"/>
    <w:rsid w:val="009B4063"/>
    <w:rsid w:val="009B52E5"/>
    <w:rsid w:val="009B5C5F"/>
    <w:rsid w:val="009C0968"/>
    <w:rsid w:val="009C1354"/>
    <w:rsid w:val="009C3C0C"/>
    <w:rsid w:val="009C3CDC"/>
    <w:rsid w:val="009C5ADA"/>
    <w:rsid w:val="009C6214"/>
    <w:rsid w:val="009C77BF"/>
    <w:rsid w:val="009D02ED"/>
    <w:rsid w:val="009D0A4B"/>
    <w:rsid w:val="009D1D56"/>
    <w:rsid w:val="009D1EB8"/>
    <w:rsid w:val="009D49AA"/>
    <w:rsid w:val="009D4FBB"/>
    <w:rsid w:val="009D7602"/>
    <w:rsid w:val="009E3151"/>
    <w:rsid w:val="009E680B"/>
    <w:rsid w:val="009F1902"/>
    <w:rsid w:val="009F3187"/>
    <w:rsid w:val="009F4086"/>
    <w:rsid w:val="009F4F44"/>
    <w:rsid w:val="009F7239"/>
    <w:rsid w:val="00A0249B"/>
    <w:rsid w:val="00A02DA2"/>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6"/>
    <w:rsid w:val="00A426BE"/>
    <w:rsid w:val="00A526EF"/>
    <w:rsid w:val="00A53E97"/>
    <w:rsid w:val="00A54F81"/>
    <w:rsid w:val="00A60794"/>
    <w:rsid w:val="00A611CE"/>
    <w:rsid w:val="00A614C6"/>
    <w:rsid w:val="00A61511"/>
    <w:rsid w:val="00A62410"/>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B7CCD"/>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4C8C"/>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2350"/>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FC8"/>
    <w:rsid w:val="00BC7ABB"/>
    <w:rsid w:val="00BD079D"/>
    <w:rsid w:val="00BD16C0"/>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1907"/>
    <w:rsid w:val="00C026AC"/>
    <w:rsid w:val="00C0570D"/>
    <w:rsid w:val="00C130C8"/>
    <w:rsid w:val="00C13168"/>
    <w:rsid w:val="00C13F60"/>
    <w:rsid w:val="00C14404"/>
    <w:rsid w:val="00C17D6A"/>
    <w:rsid w:val="00C203C9"/>
    <w:rsid w:val="00C22E43"/>
    <w:rsid w:val="00C23238"/>
    <w:rsid w:val="00C235DF"/>
    <w:rsid w:val="00C2539E"/>
    <w:rsid w:val="00C278DE"/>
    <w:rsid w:val="00C2796B"/>
    <w:rsid w:val="00C3004B"/>
    <w:rsid w:val="00C31F4C"/>
    <w:rsid w:val="00C3209A"/>
    <w:rsid w:val="00C32ADC"/>
    <w:rsid w:val="00C35755"/>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2B37"/>
    <w:rsid w:val="00C86682"/>
    <w:rsid w:val="00C90846"/>
    <w:rsid w:val="00C92700"/>
    <w:rsid w:val="00C92E3F"/>
    <w:rsid w:val="00C94681"/>
    <w:rsid w:val="00CA129E"/>
    <w:rsid w:val="00CA20B5"/>
    <w:rsid w:val="00CA3562"/>
    <w:rsid w:val="00CA371D"/>
    <w:rsid w:val="00CA6681"/>
    <w:rsid w:val="00CA77AE"/>
    <w:rsid w:val="00CB08E8"/>
    <w:rsid w:val="00CB0A27"/>
    <w:rsid w:val="00CB2154"/>
    <w:rsid w:val="00CB35D9"/>
    <w:rsid w:val="00CB4A8A"/>
    <w:rsid w:val="00CB60DD"/>
    <w:rsid w:val="00CB6E1F"/>
    <w:rsid w:val="00CB7E4D"/>
    <w:rsid w:val="00CC04DE"/>
    <w:rsid w:val="00CC12E7"/>
    <w:rsid w:val="00CC3F84"/>
    <w:rsid w:val="00CC6DF8"/>
    <w:rsid w:val="00CC6E2D"/>
    <w:rsid w:val="00CD24A8"/>
    <w:rsid w:val="00CD315A"/>
    <w:rsid w:val="00CD319A"/>
    <w:rsid w:val="00CD5502"/>
    <w:rsid w:val="00CE0526"/>
    <w:rsid w:val="00CE1ED9"/>
    <w:rsid w:val="00CE3665"/>
    <w:rsid w:val="00CE4F42"/>
    <w:rsid w:val="00CF0BB4"/>
    <w:rsid w:val="00CF1333"/>
    <w:rsid w:val="00CF1BB4"/>
    <w:rsid w:val="00CF2FF8"/>
    <w:rsid w:val="00CF3F6B"/>
    <w:rsid w:val="00CF4851"/>
    <w:rsid w:val="00CF58B7"/>
    <w:rsid w:val="00CF5DD6"/>
    <w:rsid w:val="00D0069F"/>
    <w:rsid w:val="00D007C0"/>
    <w:rsid w:val="00D05493"/>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06F"/>
    <w:rsid w:val="00D54B6F"/>
    <w:rsid w:val="00D54E73"/>
    <w:rsid w:val="00D56B66"/>
    <w:rsid w:val="00D575A3"/>
    <w:rsid w:val="00D613A6"/>
    <w:rsid w:val="00D617A6"/>
    <w:rsid w:val="00D650EA"/>
    <w:rsid w:val="00D72C40"/>
    <w:rsid w:val="00D737C5"/>
    <w:rsid w:val="00D73835"/>
    <w:rsid w:val="00D76F5A"/>
    <w:rsid w:val="00D7722A"/>
    <w:rsid w:val="00D80B1B"/>
    <w:rsid w:val="00D82293"/>
    <w:rsid w:val="00D83A2D"/>
    <w:rsid w:val="00D8405B"/>
    <w:rsid w:val="00D84E7D"/>
    <w:rsid w:val="00D86BF0"/>
    <w:rsid w:val="00D86DCB"/>
    <w:rsid w:val="00D91BA1"/>
    <w:rsid w:val="00D939B7"/>
    <w:rsid w:val="00D950D8"/>
    <w:rsid w:val="00D95477"/>
    <w:rsid w:val="00D959C3"/>
    <w:rsid w:val="00D961B8"/>
    <w:rsid w:val="00DA008C"/>
    <w:rsid w:val="00DA1511"/>
    <w:rsid w:val="00DA6FB8"/>
    <w:rsid w:val="00DA777A"/>
    <w:rsid w:val="00DB0188"/>
    <w:rsid w:val="00DB26A8"/>
    <w:rsid w:val="00DB3C58"/>
    <w:rsid w:val="00DB4F9F"/>
    <w:rsid w:val="00DB50A7"/>
    <w:rsid w:val="00DB5728"/>
    <w:rsid w:val="00DB5AE0"/>
    <w:rsid w:val="00DB6161"/>
    <w:rsid w:val="00DB65B9"/>
    <w:rsid w:val="00DB70FB"/>
    <w:rsid w:val="00DC0CD5"/>
    <w:rsid w:val="00DC334D"/>
    <w:rsid w:val="00DC6AAD"/>
    <w:rsid w:val="00DE165D"/>
    <w:rsid w:val="00DE2FD7"/>
    <w:rsid w:val="00DE45A3"/>
    <w:rsid w:val="00DE466D"/>
    <w:rsid w:val="00DE5EE7"/>
    <w:rsid w:val="00DF1EC1"/>
    <w:rsid w:val="00DF343E"/>
    <w:rsid w:val="00DF67C3"/>
    <w:rsid w:val="00DF6CEB"/>
    <w:rsid w:val="00E0098A"/>
    <w:rsid w:val="00E009D9"/>
    <w:rsid w:val="00E027D1"/>
    <w:rsid w:val="00E03F71"/>
    <w:rsid w:val="00E045EE"/>
    <w:rsid w:val="00E06ED0"/>
    <w:rsid w:val="00E1082D"/>
    <w:rsid w:val="00E130CB"/>
    <w:rsid w:val="00E14934"/>
    <w:rsid w:val="00E172BE"/>
    <w:rsid w:val="00E2160E"/>
    <w:rsid w:val="00E24E02"/>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D6F53"/>
    <w:rsid w:val="00EE065C"/>
    <w:rsid w:val="00EE093B"/>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5246"/>
    <w:rsid w:val="00F307D6"/>
    <w:rsid w:val="00F31A8E"/>
    <w:rsid w:val="00F32C2D"/>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701C7"/>
    <w:rsid w:val="00F7531F"/>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4823"/>
    <w:rsid w:val="00FD5913"/>
    <w:rsid w:val="00FD612F"/>
    <w:rsid w:val="00FE0558"/>
    <w:rsid w:val="00FE0BF6"/>
    <w:rsid w:val="00FE11E8"/>
    <w:rsid w:val="00FE29B5"/>
    <w:rsid w:val="00FE32EB"/>
    <w:rsid w:val="00FE3AFF"/>
    <w:rsid w:val="00FE7F98"/>
    <w:rsid w:val="00FF065B"/>
    <w:rsid w:val="00FF23E1"/>
    <w:rsid w:val="00FF49E7"/>
    <w:rsid w:val="00FF4AF6"/>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DE1"/>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customStyle="1" w:styleId="UnresolvedMention1">
    <w:name w:val="Unresolved Mention1"/>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title">
    <w:name w:val="product-title"/>
    <w:basedOn w:val="Normal"/>
    <w:rsid w:val="00380F5C"/>
    <w:pPr>
      <w:spacing w:before="100" w:beforeAutospacing="1" w:after="100" w:afterAutospacing="1"/>
    </w:pPr>
    <w:rPr>
      <w:lang w:eastAsia="en-GB"/>
    </w:rPr>
  </w:style>
  <w:style w:type="character" w:customStyle="1" w:styleId="prod-title">
    <w:name w:val="prod-title"/>
    <w:basedOn w:val="DefaultParagraphFont"/>
    <w:rsid w:val="00380F5C"/>
  </w:style>
  <w:style w:type="character" w:customStyle="1" w:styleId="published-date">
    <w:name w:val="published-date"/>
    <w:basedOn w:val="DefaultParagraphFont"/>
    <w:rsid w:val="00380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0761885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04286708">
      <w:bodyDiv w:val="1"/>
      <w:marLeft w:val="0"/>
      <w:marRight w:val="0"/>
      <w:marTop w:val="0"/>
      <w:marBottom w:val="0"/>
      <w:divBdr>
        <w:top w:val="none" w:sz="0" w:space="0" w:color="auto"/>
        <w:left w:val="none" w:sz="0" w:space="0" w:color="auto"/>
        <w:bottom w:val="none" w:sz="0" w:space="0" w:color="auto"/>
        <w:right w:val="none" w:sz="0" w:space="0" w:color="auto"/>
      </w:divBdr>
      <w:divsChild>
        <w:div w:id="740562340">
          <w:marLeft w:val="0"/>
          <w:marRight w:val="0"/>
          <w:marTop w:val="0"/>
          <w:marBottom w:val="0"/>
          <w:divBdr>
            <w:top w:val="none" w:sz="0" w:space="0" w:color="auto"/>
            <w:left w:val="none" w:sz="0" w:space="0" w:color="auto"/>
            <w:bottom w:val="none" w:sz="0" w:space="0" w:color="auto"/>
            <w:right w:val="none" w:sz="0" w:space="0" w:color="auto"/>
          </w:divBdr>
        </w:div>
      </w:divsChild>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C43E7-1225-45EB-8817-93347A624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457</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2021-09-17T13:59:00Z</dcterms:created>
  <dcterms:modified xsi:type="dcterms:W3CDTF">2021-09-17T14:00:00Z</dcterms:modified>
</cp:coreProperties>
</file>