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3.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F674A" w14:textId="7C32FEC1" w:rsidR="000C24AF" w:rsidRPr="00936D28" w:rsidRDefault="000C24AF" w:rsidP="000C24AF">
      <w:pPr>
        <w:pStyle w:val="Heading1"/>
        <w:rPr>
          <w:rFonts w:asciiTheme="majorHAnsi" w:hAnsiTheme="majorHAnsi" w:cstheme="majorHAnsi"/>
          <w:color w:val="auto"/>
          <w:sz w:val="22"/>
          <w:szCs w:val="22"/>
        </w:rPr>
      </w:pPr>
    </w:p>
    <w:p w14:paraId="606A2C89" w14:textId="77777777" w:rsidR="002F05F5" w:rsidRDefault="002F05F5" w:rsidP="00B77C41">
      <w:pPr>
        <w:pStyle w:val="Frontpagesubhead"/>
        <w:rPr>
          <w:rFonts w:asciiTheme="majorHAnsi" w:hAnsiTheme="majorHAnsi" w:cstheme="majorHAnsi"/>
          <w:color w:val="auto"/>
          <w:sz w:val="22"/>
          <w:szCs w:val="22"/>
        </w:rPr>
      </w:pPr>
    </w:p>
    <w:p w14:paraId="51FFE2C6" w14:textId="0319BED8" w:rsidR="002F05F5" w:rsidRPr="002F05F5" w:rsidRDefault="002F05F5" w:rsidP="002F05F5">
      <w:pPr>
        <w:jc w:val="center"/>
        <w:rPr>
          <w:rFonts w:eastAsia="Calibri" w:cs="Arial"/>
          <w:b/>
          <w:bCs/>
          <w:sz w:val="28"/>
          <w:szCs w:val="28"/>
        </w:rPr>
      </w:pPr>
      <w:r w:rsidRPr="002F05F5">
        <w:rPr>
          <w:rFonts w:eastAsia="Calibri" w:cs="Arial"/>
          <w:b/>
          <w:bCs/>
          <w:sz w:val="28"/>
          <w:szCs w:val="28"/>
        </w:rPr>
        <w:t>NHS Digital</w:t>
      </w:r>
    </w:p>
    <w:p w14:paraId="60ABB559" w14:textId="77777777" w:rsidR="002F05F5" w:rsidRPr="002F05F5" w:rsidRDefault="002F05F5" w:rsidP="002F05F5">
      <w:pPr>
        <w:spacing w:after="0"/>
        <w:jc w:val="center"/>
        <w:textboxTightWrap w:val="none"/>
        <w:rPr>
          <w:rFonts w:eastAsia="Calibri" w:cs="Arial"/>
          <w:b/>
          <w:bCs/>
          <w:sz w:val="28"/>
          <w:szCs w:val="28"/>
        </w:rPr>
      </w:pPr>
      <w:r w:rsidRPr="002F05F5">
        <w:rPr>
          <w:rFonts w:eastAsia="Calibri" w:cs="Arial"/>
          <w:b/>
          <w:bCs/>
          <w:sz w:val="28"/>
          <w:szCs w:val="28"/>
        </w:rPr>
        <w:t>Indicator Supporting Documentation</w:t>
      </w:r>
    </w:p>
    <w:p w14:paraId="3658F4FE" w14:textId="1056A309" w:rsidR="002F05F5" w:rsidRDefault="002F05F5" w:rsidP="002F05F5">
      <w:pPr>
        <w:spacing w:after="0"/>
        <w:jc w:val="center"/>
        <w:textboxTightWrap w:val="none"/>
        <w:rPr>
          <w:rFonts w:eastAsia="Calibri" w:cs="Arial"/>
          <w:b/>
          <w:bCs/>
          <w:sz w:val="28"/>
          <w:szCs w:val="28"/>
        </w:rPr>
      </w:pPr>
      <w:r w:rsidRPr="002F05F5">
        <w:rPr>
          <w:rFonts w:eastAsia="Calibri" w:cs="Arial"/>
          <w:b/>
          <w:bCs/>
          <w:sz w:val="28"/>
          <w:szCs w:val="28"/>
        </w:rPr>
        <w:t>IAP00</w:t>
      </w:r>
      <w:r>
        <w:rPr>
          <w:rFonts w:eastAsia="Calibri" w:cs="Arial"/>
          <w:b/>
          <w:bCs/>
          <w:sz w:val="28"/>
          <w:szCs w:val="28"/>
        </w:rPr>
        <w:t>344</w:t>
      </w:r>
      <w:r w:rsidRPr="002F05F5">
        <w:rPr>
          <w:rFonts w:eastAsia="Calibri" w:cs="Arial"/>
          <w:b/>
          <w:bCs/>
          <w:sz w:val="28"/>
          <w:szCs w:val="28"/>
        </w:rPr>
        <w:t xml:space="preserve"> </w:t>
      </w:r>
      <w:r>
        <w:rPr>
          <w:rFonts w:eastAsia="Calibri" w:cs="Arial"/>
          <w:b/>
          <w:bCs/>
          <w:sz w:val="28"/>
          <w:szCs w:val="28"/>
        </w:rPr>
        <w:t>Mortality from breast cancer in females</w:t>
      </w:r>
    </w:p>
    <w:p w14:paraId="3E8ACA8F" w14:textId="77777777" w:rsidR="002F05F5" w:rsidRDefault="002F05F5">
      <w:pPr>
        <w:spacing w:after="0"/>
        <w:textboxTightWrap w:val="none"/>
        <w:rPr>
          <w:rFonts w:eastAsia="Calibri" w:cs="Arial"/>
          <w:b/>
          <w:bCs/>
          <w:sz w:val="28"/>
          <w:szCs w:val="28"/>
        </w:rPr>
      </w:pPr>
      <w:r>
        <w:rPr>
          <w:rFonts w:eastAsia="Calibri" w:cs="Arial"/>
          <w:b/>
          <w:bCs/>
          <w:sz w:val="28"/>
          <w:szCs w:val="28"/>
        </w:rPr>
        <w:br w:type="page"/>
      </w:r>
    </w:p>
    <w:p w14:paraId="35E1FEBD" w14:textId="77777777" w:rsidR="002F05F5" w:rsidRPr="002F05F5" w:rsidRDefault="002F05F5" w:rsidP="002F05F5">
      <w:pPr>
        <w:spacing w:after="0"/>
        <w:jc w:val="center"/>
        <w:textboxTightWrap w:val="none"/>
        <w:rPr>
          <w:rFonts w:eastAsia="Calibri" w:cs="Arial"/>
          <w:b/>
          <w:bCs/>
          <w:sz w:val="28"/>
          <w:szCs w:val="28"/>
        </w:rPr>
      </w:pPr>
    </w:p>
    <w:p w14:paraId="59936104" w14:textId="7EB69AB9" w:rsidR="002F05F5" w:rsidRDefault="002F05F5">
      <w:pPr>
        <w:spacing w:after="0"/>
        <w:textboxTightWrap w:val="none"/>
        <w:rPr>
          <w:rFonts w:asciiTheme="majorHAnsi" w:hAnsiTheme="majorHAnsi" w:cstheme="majorHAnsi"/>
          <w:b/>
          <w:sz w:val="22"/>
          <w:szCs w:val="22"/>
        </w:rPr>
      </w:pPr>
      <w:r w:rsidRPr="00936D28">
        <w:rPr>
          <w:rFonts w:asciiTheme="majorHAnsi" w:hAnsiTheme="majorHAnsi" w:cstheme="majorHAnsi"/>
          <w:noProof/>
          <w:sz w:val="22"/>
          <w:szCs w:val="22"/>
          <w:lang w:eastAsia="en-GB"/>
        </w:rPr>
        <mc:AlternateContent>
          <mc:Choice Requires="wps">
            <w:drawing>
              <wp:inline distT="0" distB="0" distL="0" distR="0" wp14:anchorId="7D7A196E" wp14:editId="13B8EF0D">
                <wp:extent cx="6372000" cy="5328000"/>
                <wp:effectExtent l="0" t="0" r="0" b="6350"/>
                <wp:docPr id="2" name="Text Box 2"/>
                <wp:cNvGraphicFramePr/>
                <a:graphic xmlns:a="http://schemas.openxmlformats.org/drawingml/2006/main">
                  <a:graphicData uri="http://schemas.microsoft.com/office/word/2010/wordprocessingShape">
                    <wps:wsp>
                      <wps:cNvSpPr txBox="1"/>
                      <wps:spPr>
                        <a:xfrm>
                          <a:off x="0" y="0"/>
                          <a:ext cx="6372000" cy="532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3EBD66" w14:textId="77777777" w:rsidR="000D2587" w:rsidRDefault="000D2587" w:rsidP="001D243C">
                            <w:pPr>
                              <w:pStyle w:val="FrontpageTitle"/>
                            </w:pPr>
                          </w:p>
                          <w:p w14:paraId="07F4CA66" w14:textId="77777777" w:rsidR="000D2587" w:rsidRPr="00460B4E" w:rsidRDefault="000D2587" w:rsidP="001D243C">
                            <w:pPr>
                              <w:pStyle w:val="FrontpageTitle"/>
                              <w:rPr>
                                <w:color w:val="auto"/>
                              </w:rPr>
                            </w:pPr>
                            <w:r w:rsidRPr="00460B4E">
                              <w:rPr>
                                <w:color w:val="auto"/>
                              </w:rPr>
                              <w:t>Applications for consideration</w:t>
                            </w:r>
                          </w:p>
                          <w:p w14:paraId="55056473" w14:textId="77777777" w:rsidR="000D2587" w:rsidRPr="00460B4E" w:rsidRDefault="000D2587" w:rsidP="001D243C"/>
                          <w:p w14:paraId="4AEB6EDC" w14:textId="77777777" w:rsidR="000D2587" w:rsidRPr="00460B4E" w:rsidRDefault="000D2587" w:rsidP="00B77C41">
                            <w:pPr>
                              <w:pStyle w:val="Frontpagesubhead"/>
                              <w:rPr>
                                <w:color w:val="auto"/>
                              </w:rPr>
                            </w:pPr>
                            <w:r w:rsidRPr="00460B4E">
                              <w:rPr>
                                <w:color w:val="auto"/>
                              </w:rPr>
                              <w:t>Methodology Review Group,</w:t>
                            </w:r>
                          </w:p>
                          <w:p w14:paraId="4508DB04" w14:textId="77777777" w:rsidR="000D2587" w:rsidRPr="00460B4E" w:rsidRDefault="000D2587" w:rsidP="00B77C41">
                            <w:pPr>
                              <w:pStyle w:val="Frontpagesubhead"/>
                              <w:rPr>
                                <w:color w:val="auto"/>
                              </w:rPr>
                            </w:pPr>
                            <w:r w:rsidRPr="00460B4E">
                              <w:rPr>
                                <w:color w:val="auto"/>
                              </w:rPr>
                              <w:t>Indicator Assurance Service</w:t>
                            </w:r>
                          </w:p>
                          <w:p w14:paraId="24BEFE86" w14:textId="0255EF85" w:rsidR="000D2587" w:rsidRPr="00460B4E" w:rsidRDefault="000D2587" w:rsidP="00B77C41">
                            <w:pPr>
                              <w:pStyle w:val="Frontpagesubhead"/>
                              <w:rPr>
                                <w:color w:val="auto"/>
                              </w:rPr>
                            </w:pPr>
                            <w:r w:rsidRPr="00460B4E">
                              <w:rPr>
                                <w:color w:val="auto"/>
                              </w:rPr>
                              <w:t>Meeting date: 5</w:t>
                            </w:r>
                            <w:r w:rsidRPr="00460B4E">
                              <w:rPr>
                                <w:color w:val="auto"/>
                                <w:vertAlign w:val="superscript"/>
                              </w:rPr>
                              <w:t>th</w:t>
                            </w:r>
                            <w:r w:rsidRPr="00460B4E">
                              <w:rPr>
                                <w:color w:val="auto"/>
                              </w:rPr>
                              <w:t xml:space="preserve"> June 2014</w:t>
                            </w:r>
                          </w:p>
                          <w:p w14:paraId="4E370FBA" w14:textId="77777777" w:rsidR="000D2587" w:rsidRPr="00460B4E" w:rsidRDefault="000D2587"/>
                          <w:p w14:paraId="3163437D" w14:textId="77777777" w:rsidR="000D2587" w:rsidRDefault="000D25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D7A196E" id="_x0000_t202" coordsize="21600,21600" o:spt="202" path="m,l,21600r21600,l21600,xe">
                <v:stroke joinstyle="miter"/>
                <v:path gradientshapeok="t" o:connecttype="rect"/>
              </v:shapetype>
              <v:shape id="Text Box 2" o:spid="_x0000_s1026" type="#_x0000_t202" style="width:501.75pt;height:4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" filled="f" stroked="f" strokeweight=".5pt">
                <v:textbox>
                  <w:txbxContent>
                    <w:p w14:paraId="3E3EBD66" w14:textId="77777777" w:rsidR="000D2587" w:rsidRDefault="000D2587" w:rsidP="001D243C">
                      <w:pPr>
                        <w:pStyle w:val="FrontpageTitle"/>
                      </w:pPr>
                    </w:p>
                    <w:p w14:paraId="07F4CA66" w14:textId="77777777" w:rsidR="000D2587" w:rsidRPr="00460B4E" w:rsidRDefault="000D2587" w:rsidP="001D243C">
                      <w:pPr>
                        <w:pStyle w:val="FrontpageTitle"/>
                        <w:rPr>
                          <w:color w:val="auto"/>
                        </w:rPr>
                      </w:pPr>
                      <w:r w:rsidRPr="00460B4E">
                        <w:rPr>
                          <w:color w:val="auto"/>
                        </w:rPr>
                        <w:t>Applications for consideration</w:t>
                      </w:r>
                    </w:p>
                    <w:p w14:paraId="55056473" w14:textId="77777777" w:rsidR="000D2587" w:rsidRPr="00460B4E" w:rsidRDefault="000D2587" w:rsidP="001D243C"/>
                    <w:p w14:paraId="4AEB6EDC" w14:textId="77777777" w:rsidR="000D2587" w:rsidRPr="00460B4E" w:rsidRDefault="000D2587" w:rsidP="00B77C41">
                      <w:pPr>
                        <w:pStyle w:val="Frontpagesubhead"/>
                        <w:rPr>
                          <w:color w:val="auto"/>
                        </w:rPr>
                      </w:pPr>
                      <w:r w:rsidRPr="00460B4E">
                        <w:rPr>
                          <w:color w:val="auto"/>
                        </w:rPr>
                        <w:t>Methodology Review Group,</w:t>
                      </w:r>
                    </w:p>
                    <w:p w14:paraId="4508DB04" w14:textId="77777777" w:rsidR="000D2587" w:rsidRPr="00460B4E" w:rsidRDefault="000D2587" w:rsidP="00B77C41">
                      <w:pPr>
                        <w:pStyle w:val="Frontpagesubhead"/>
                        <w:rPr>
                          <w:color w:val="auto"/>
                        </w:rPr>
                      </w:pPr>
                      <w:r w:rsidRPr="00460B4E">
                        <w:rPr>
                          <w:color w:val="auto"/>
                        </w:rPr>
                        <w:t>Indicator Assurance Service</w:t>
                      </w:r>
                    </w:p>
                    <w:p w14:paraId="24BEFE86" w14:textId="0255EF85" w:rsidR="000D2587" w:rsidRPr="00460B4E" w:rsidRDefault="000D2587" w:rsidP="00B77C41">
                      <w:pPr>
                        <w:pStyle w:val="Frontpagesubhead"/>
                        <w:rPr>
                          <w:color w:val="auto"/>
                        </w:rPr>
                      </w:pPr>
                      <w:r w:rsidRPr="00460B4E">
                        <w:rPr>
                          <w:color w:val="auto"/>
                        </w:rPr>
                        <w:t>Meeting date: 5</w:t>
                      </w:r>
                      <w:r w:rsidRPr="00460B4E">
                        <w:rPr>
                          <w:color w:val="auto"/>
                          <w:vertAlign w:val="superscript"/>
                        </w:rPr>
                        <w:t>th</w:t>
                      </w:r>
                      <w:r w:rsidRPr="00460B4E">
                        <w:rPr>
                          <w:color w:val="auto"/>
                        </w:rPr>
                        <w:t xml:space="preserve"> June 2014</w:t>
                      </w:r>
                    </w:p>
                    <w:p w14:paraId="4E370FBA" w14:textId="77777777" w:rsidR="000D2587" w:rsidRPr="00460B4E" w:rsidRDefault="000D2587"/>
                    <w:p w14:paraId="3163437D" w14:textId="77777777" w:rsidR="000D2587" w:rsidRDefault="000D2587"/>
                  </w:txbxContent>
                </v:textbox>
                <w10:anchorlock/>
              </v:shape>
            </w:pict>
          </mc:Fallback>
        </mc:AlternateContent>
      </w:r>
    </w:p>
    <w:p w14:paraId="11BE1497" w14:textId="6E92543D" w:rsidR="001D243C" w:rsidRPr="00936D28" w:rsidRDefault="001D243C" w:rsidP="00B77C41">
      <w:pPr>
        <w:pStyle w:val="Frontpagesubhead"/>
        <w:rPr>
          <w:rFonts w:asciiTheme="majorHAnsi" w:hAnsiTheme="majorHAnsi" w:cstheme="majorHAnsi"/>
          <w:color w:val="auto"/>
          <w:sz w:val="22"/>
          <w:szCs w:val="22"/>
        </w:rPr>
        <w:sectPr w:rsidR="001D243C" w:rsidRPr="00936D28" w:rsidSect="000C24AF">
          <w:headerReference w:type="default" r:id="rId8"/>
          <w:footerReference w:type="default" r:id="rId9"/>
          <w:pgSz w:w="11906" w:h="16838"/>
          <w:pgMar w:top="1021" w:right="1021" w:bottom="1021" w:left="1021" w:header="454" w:footer="680" w:gutter="0"/>
          <w:cols w:space="708"/>
          <w:docGrid w:linePitch="360"/>
        </w:sectPr>
      </w:pPr>
    </w:p>
    <w:sdt>
      <w:sdtPr>
        <w:rPr>
          <w:rFonts w:ascii="Arial" w:eastAsia="Times New Roman" w:hAnsi="Arial" w:cstheme="majorHAnsi"/>
          <w:b w:val="0"/>
          <w:bCs w:val="0"/>
          <w:color w:val="auto"/>
          <w:spacing w:val="0"/>
          <w:sz w:val="22"/>
          <w:szCs w:val="22"/>
          <w:lang w:val="en-GB" w:eastAsia="en-US"/>
          <w14:ligatures w14:val="none"/>
        </w:rPr>
        <w:id w:val="-1938275654"/>
        <w:docPartObj>
          <w:docPartGallery w:val="Table of Contents"/>
          <w:docPartUnique/>
        </w:docPartObj>
      </w:sdtPr>
      <w:sdtEndPr>
        <w:rPr>
          <w:noProof/>
        </w:rPr>
      </w:sdtEndPr>
      <w:sdtContent>
        <w:p w14:paraId="6600F42F" w14:textId="33E3B249" w:rsidR="00985BD5" w:rsidRPr="00936D28" w:rsidRDefault="00985BD5" w:rsidP="00985BD5">
          <w:pPr>
            <w:pStyle w:val="TOCHeading"/>
            <w:spacing w:after="240"/>
            <w:rPr>
              <w:rFonts w:cstheme="majorHAnsi"/>
              <w:color w:val="auto"/>
              <w:sz w:val="22"/>
              <w:szCs w:val="22"/>
            </w:rPr>
          </w:pPr>
          <w:r w:rsidRPr="00936D28">
            <w:rPr>
              <w:rFonts w:cstheme="majorHAnsi"/>
              <w:color w:val="auto"/>
              <w:sz w:val="22"/>
              <w:szCs w:val="22"/>
            </w:rPr>
            <w:t>Contents</w:t>
          </w:r>
        </w:p>
        <w:p w14:paraId="29AC035D" w14:textId="72A1B810" w:rsidR="00D24581" w:rsidRPr="00936D28" w:rsidRDefault="00985BD5" w:rsidP="00000D88">
          <w:pPr>
            <w:pStyle w:val="TOC1"/>
            <w:rPr>
              <w:rFonts w:asciiTheme="majorHAnsi" w:eastAsiaTheme="minorEastAsia" w:hAnsiTheme="majorHAnsi" w:cstheme="majorHAnsi"/>
              <w:sz w:val="22"/>
              <w:szCs w:val="22"/>
              <w:lang w:eastAsia="en-GB"/>
            </w:rPr>
          </w:pPr>
          <w:r w:rsidRPr="00936D28">
            <w:rPr>
              <w:rFonts w:asciiTheme="majorHAnsi" w:hAnsiTheme="majorHAnsi" w:cstheme="majorHAnsi"/>
              <w:sz w:val="22"/>
              <w:szCs w:val="22"/>
            </w:rPr>
            <w:fldChar w:fldCharType="begin"/>
          </w:r>
          <w:r w:rsidRPr="00936D28">
            <w:rPr>
              <w:rFonts w:asciiTheme="majorHAnsi" w:hAnsiTheme="majorHAnsi" w:cstheme="majorHAnsi"/>
              <w:sz w:val="22"/>
              <w:szCs w:val="22"/>
            </w:rPr>
            <w:instrText xml:space="preserve"> TOC \o "1-3" \h \z \u </w:instrText>
          </w:r>
          <w:r w:rsidRPr="00936D28">
            <w:rPr>
              <w:rFonts w:asciiTheme="majorHAnsi" w:hAnsiTheme="majorHAnsi" w:cstheme="majorHAnsi"/>
              <w:sz w:val="22"/>
              <w:szCs w:val="22"/>
            </w:rPr>
            <w:fldChar w:fldCharType="separate"/>
          </w:r>
          <w:hyperlink w:anchor="_Toc389568154" w:history="1">
            <w:r w:rsidR="00D24581" w:rsidRPr="00936D28">
              <w:rPr>
                <w:rStyle w:val="Hyperlink"/>
                <w:rFonts w:asciiTheme="majorHAnsi" w:hAnsiTheme="majorHAnsi" w:cstheme="majorHAnsi"/>
                <w:color w:val="auto"/>
                <w:sz w:val="22"/>
                <w:szCs w:val="22"/>
              </w:rPr>
              <w:t>1.</w:t>
            </w:r>
            <w:r w:rsidR="00D24581" w:rsidRPr="00936D28">
              <w:rPr>
                <w:rFonts w:asciiTheme="majorHAnsi" w:eastAsiaTheme="minorEastAsia" w:hAnsiTheme="majorHAnsi" w:cstheme="majorHAnsi"/>
                <w:sz w:val="22"/>
                <w:szCs w:val="22"/>
                <w:lang w:eastAsia="en-GB"/>
              </w:rPr>
              <w:tab/>
            </w:r>
            <w:r w:rsidR="00D24581" w:rsidRPr="00936D28">
              <w:rPr>
                <w:rStyle w:val="Hyperlink"/>
                <w:rFonts w:asciiTheme="majorHAnsi" w:hAnsiTheme="majorHAnsi" w:cstheme="majorHAnsi"/>
                <w:color w:val="auto"/>
                <w:sz w:val="22"/>
                <w:szCs w:val="22"/>
              </w:rPr>
              <w:t>Applicant Updates</w:t>
            </w:r>
            <w:r w:rsidR="00D24581" w:rsidRPr="00936D28">
              <w:rPr>
                <w:rFonts w:asciiTheme="majorHAnsi" w:hAnsiTheme="majorHAnsi" w:cstheme="majorHAnsi"/>
                <w:webHidden/>
                <w:sz w:val="22"/>
                <w:szCs w:val="22"/>
              </w:rPr>
              <w:tab/>
            </w:r>
            <w:r w:rsidR="00D24581" w:rsidRPr="00936D28">
              <w:rPr>
                <w:rFonts w:asciiTheme="majorHAnsi" w:hAnsiTheme="majorHAnsi" w:cstheme="majorHAnsi"/>
                <w:webHidden/>
                <w:sz w:val="22"/>
                <w:szCs w:val="22"/>
              </w:rPr>
              <w:fldChar w:fldCharType="begin"/>
            </w:r>
            <w:r w:rsidR="00D24581" w:rsidRPr="00936D28">
              <w:rPr>
                <w:rFonts w:asciiTheme="majorHAnsi" w:hAnsiTheme="majorHAnsi" w:cstheme="majorHAnsi"/>
                <w:webHidden/>
                <w:sz w:val="22"/>
                <w:szCs w:val="22"/>
              </w:rPr>
              <w:instrText xml:space="preserve"> PAGEREF _Toc389568154 \h </w:instrText>
            </w:r>
            <w:r w:rsidR="00D24581" w:rsidRPr="00936D28">
              <w:rPr>
                <w:rFonts w:asciiTheme="majorHAnsi" w:hAnsiTheme="majorHAnsi" w:cstheme="majorHAnsi"/>
                <w:webHidden/>
                <w:sz w:val="22"/>
                <w:szCs w:val="22"/>
              </w:rPr>
            </w:r>
            <w:r w:rsidR="00D24581" w:rsidRPr="00936D28">
              <w:rPr>
                <w:rFonts w:asciiTheme="majorHAnsi" w:hAnsiTheme="majorHAnsi" w:cstheme="majorHAnsi"/>
                <w:webHidden/>
                <w:sz w:val="22"/>
                <w:szCs w:val="22"/>
              </w:rPr>
              <w:fldChar w:fldCharType="separate"/>
            </w:r>
            <w:r w:rsidR="00D24581" w:rsidRPr="00936D28">
              <w:rPr>
                <w:rFonts w:asciiTheme="majorHAnsi" w:hAnsiTheme="majorHAnsi" w:cstheme="majorHAnsi"/>
                <w:webHidden/>
                <w:sz w:val="22"/>
                <w:szCs w:val="22"/>
              </w:rPr>
              <w:t>3</w:t>
            </w:r>
            <w:r w:rsidR="00D24581" w:rsidRPr="00936D28">
              <w:rPr>
                <w:rFonts w:asciiTheme="majorHAnsi" w:hAnsiTheme="majorHAnsi" w:cstheme="majorHAnsi"/>
                <w:webHidden/>
                <w:sz w:val="22"/>
                <w:szCs w:val="22"/>
              </w:rPr>
              <w:fldChar w:fldCharType="end"/>
            </w:r>
          </w:hyperlink>
        </w:p>
        <w:p w14:paraId="4709C4C0" w14:textId="77777777" w:rsidR="00D24581" w:rsidRPr="00936D28" w:rsidRDefault="002F05F5">
          <w:pPr>
            <w:pStyle w:val="TOC2"/>
            <w:rPr>
              <w:rFonts w:asciiTheme="majorHAnsi" w:eastAsiaTheme="minorEastAsia" w:hAnsiTheme="majorHAnsi" w:cstheme="majorHAnsi"/>
              <w:noProof/>
              <w:sz w:val="22"/>
              <w:szCs w:val="22"/>
              <w:lang w:eastAsia="en-GB"/>
            </w:rPr>
          </w:pPr>
          <w:hyperlink w:anchor="_Toc389568155" w:history="1">
            <w:r w:rsidR="00D24581" w:rsidRPr="00936D28">
              <w:rPr>
                <w:rStyle w:val="Hyperlink"/>
                <w:rFonts w:asciiTheme="majorHAnsi" w:hAnsiTheme="majorHAnsi" w:cstheme="majorHAnsi"/>
                <w:noProof/>
                <w:color w:val="auto"/>
                <w:sz w:val="22"/>
                <w:szCs w:val="22"/>
              </w:rPr>
              <w:t>1.1</w:t>
            </w:r>
            <w:r w:rsidR="00D24581" w:rsidRPr="00936D28">
              <w:rPr>
                <w:rFonts w:asciiTheme="majorHAnsi" w:eastAsiaTheme="minorEastAsia" w:hAnsiTheme="majorHAnsi" w:cstheme="majorHAnsi"/>
                <w:noProof/>
                <w:sz w:val="22"/>
                <w:szCs w:val="22"/>
                <w:lang w:eastAsia="en-GB"/>
              </w:rPr>
              <w:tab/>
            </w:r>
            <w:r w:rsidR="00D24581" w:rsidRPr="00936D28">
              <w:rPr>
                <w:rStyle w:val="Hyperlink"/>
                <w:rFonts w:asciiTheme="majorHAnsi" w:hAnsiTheme="majorHAnsi" w:cstheme="majorHAnsi"/>
                <w:noProof/>
                <w:color w:val="auto"/>
                <w:sz w:val="22"/>
                <w:szCs w:val="22"/>
              </w:rPr>
              <w:t>Mortality from Breast Cancer in females aged 35 and over (CCG OIS)</w:t>
            </w:r>
            <w:r w:rsidR="00D24581" w:rsidRPr="00936D28">
              <w:rPr>
                <w:rFonts w:asciiTheme="majorHAnsi" w:hAnsiTheme="majorHAnsi" w:cstheme="majorHAnsi"/>
                <w:noProof/>
                <w:webHidden/>
                <w:sz w:val="22"/>
                <w:szCs w:val="22"/>
              </w:rPr>
              <w:tab/>
            </w:r>
            <w:r w:rsidR="00D24581" w:rsidRPr="00936D28">
              <w:rPr>
                <w:rFonts w:asciiTheme="majorHAnsi" w:hAnsiTheme="majorHAnsi" w:cstheme="majorHAnsi"/>
                <w:noProof/>
                <w:webHidden/>
                <w:sz w:val="22"/>
                <w:szCs w:val="22"/>
              </w:rPr>
              <w:fldChar w:fldCharType="begin"/>
            </w:r>
            <w:r w:rsidR="00D24581" w:rsidRPr="00936D28">
              <w:rPr>
                <w:rFonts w:asciiTheme="majorHAnsi" w:hAnsiTheme="majorHAnsi" w:cstheme="majorHAnsi"/>
                <w:noProof/>
                <w:webHidden/>
                <w:sz w:val="22"/>
                <w:szCs w:val="22"/>
              </w:rPr>
              <w:instrText xml:space="preserve"> PAGEREF _Toc389568155 \h </w:instrText>
            </w:r>
            <w:r w:rsidR="00D24581" w:rsidRPr="00936D28">
              <w:rPr>
                <w:rFonts w:asciiTheme="majorHAnsi" w:hAnsiTheme="majorHAnsi" w:cstheme="majorHAnsi"/>
                <w:noProof/>
                <w:webHidden/>
                <w:sz w:val="22"/>
                <w:szCs w:val="22"/>
              </w:rPr>
            </w:r>
            <w:r w:rsidR="00D24581" w:rsidRPr="00936D28">
              <w:rPr>
                <w:rFonts w:asciiTheme="majorHAnsi" w:hAnsiTheme="majorHAnsi" w:cstheme="majorHAnsi"/>
                <w:noProof/>
                <w:webHidden/>
                <w:sz w:val="22"/>
                <w:szCs w:val="22"/>
              </w:rPr>
              <w:fldChar w:fldCharType="separate"/>
            </w:r>
            <w:r w:rsidR="00D24581" w:rsidRPr="00936D28">
              <w:rPr>
                <w:rFonts w:asciiTheme="majorHAnsi" w:hAnsiTheme="majorHAnsi" w:cstheme="majorHAnsi"/>
                <w:noProof/>
                <w:webHidden/>
                <w:sz w:val="22"/>
                <w:szCs w:val="22"/>
              </w:rPr>
              <w:t>3</w:t>
            </w:r>
            <w:r w:rsidR="00D24581" w:rsidRPr="00936D28">
              <w:rPr>
                <w:rFonts w:asciiTheme="majorHAnsi" w:hAnsiTheme="majorHAnsi" w:cstheme="majorHAnsi"/>
                <w:noProof/>
                <w:webHidden/>
                <w:sz w:val="22"/>
                <w:szCs w:val="22"/>
              </w:rPr>
              <w:fldChar w:fldCharType="end"/>
            </w:r>
          </w:hyperlink>
        </w:p>
        <w:p w14:paraId="5CCDDBE8" w14:textId="77777777" w:rsidR="00D24581" w:rsidRPr="00936D28" w:rsidRDefault="002F05F5">
          <w:pPr>
            <w:pStyle w:val="TOC2"/>
            <w:rPr>
              <w:rFonts w:asciiTheme="majorHAnsi" w:eastAsiaTheme="minorEastAsia" w:hAnsiTheme="majorHAnsi" w:cstheme="majorHAnsi"/>
              <w:noProof/>
              <w:sz w:val="22"/>
              <w:szCs w:val="22"/>
              <w:lang w:eastAsia="en-GB"/>
            </w:rPr>
          </w:pPr>
          <w:hyperlink w:anchor="_Toc389568156" w:history="1">
            <w:r w:rsidR="00D24581" w:rsidRPr="00936D28">
              <w:rPr>
                <w:rStyle w:val="Hyperlink"/>
                <w:rFonts w:asciiTheme="majorHAnsi" w:hAnsiTheme="majorHAnsi" w:cstheme="majorHAnsi"/>
                <w:noProof/>
                <w:color w:val="auto"/>
                <w:sz w:val="22"/>
                <w:szCs w:val="22"/>
              </w:rPr>
              <w:t>1.2</w:t>
            </w:r>
            <w:r w:rsidR="00D24581" w:rsidRPr="00936D28">
              <w:rPr>
                <w:rFonts w:asciiTheme="majorHAnsi" w:eastAsiaTheme="minorEastAsia" w:hAnsiTheme="majorHAnsi" w:cstheme="majorHAnsi"/>
                <w:noProof/>
                <w:sz w:val="22"/>
                <w:szCs w:val="22"/>
                <w:lang w:eastAsia="en-GB"/>
              </w:rPr>
              <w:tab/>
            </w:r>
            <w:r w:rsidR="00D24581" w:rsidRPr="00936D28">
              <w:rPr>
                <w:rStyle w:val="Hyperlink"/>
                <w:rFonts w:asciiTheme="majorHAnsi" w:hAnsiTheme="majorHAnsi" w:cstheme="majorHAnsi"/>
                <w:noProof/>
                <w:color w:val="auto"/>
                <w:sz w:val="22"/>
                <w:szCs w:val="22"/>
              </w:rPr>
              <w:t>Alcohol-specific emergency readmissions in people aged 19 and over, within 30 days of discharge following an alcohol-specific admission (CCG OIS)</w:t>
            </w:r>
            <w:r w:rsidR="00D24581" w:rsidRPr="00936D28">
              <w:rPr>
                <w:rFonts w:asciiTheme="majorHAnsi" w:hAnsiTheme="majorHAnsi" w:cstheme="majorHAnsi"/>
                <w:noProof/>
                <w:webHidden/>
                <w:sz w:val="22"/>
                <w:szCs w:val="22"/>
              </w:rPr>
              <w:tab/>
            </w:r>
            <w:r w:rsidR="00D24581" w:rsidRPr="00936D28">
              <w:rPr>
                <w:rFonts w:asciiTheme="majorHAnsi" w:hAnsiTheme="majorHAnsi" w:cstheme="majorHAnsi"/>
                <w:noProof/>
                <w:webHidden/>
                <w:sz w:val="22"/>
                <w:szCs w:val="22"/>
              </w:rPr>
              <w:fldChar w:fldCharType="begin"/>
            </w:r>
            <w:r w:rsidR="00D24581" w:rsidRPr="00936D28">
              <w:rPr>
                <w:rFonts w:asciiTheme="majorHAnsi" w:hAnsiTheme="majorHAnsi" w:cstheme="majorHAnsi"/>
                <w:noProof/>
                <w:webHidden/>
                <w:sz w:val="22"/>
                <w:szCs w:val="22"/>
              </w:rPr>
              <w:instrText xml:space="preserve"> PAGEREF _Toc389568156 \h </w:instrText>
            </w:r>
            <w:r w:rsidR="00D24581" w:rsidRPr="00936D28">
              <w:rPr>
                <w:rFonts w:asciiTheme="majorHAnsi" w:hAnsiTheme="majorHAnsi" w:cstheme="majorHAnsi"/>
                <w:noProof/>
                <w:webHidden/>
                <w:sz w:val="22"/>
                <w:szCs w:val="22"/>
              </w:rPr>
            </w:r>
            <w:r w:rsidR="00D24581" w:rsidRPr="00936D28">
              <w:rPr>
                <w:rFonts w:asciiTheme="majorHAnsi" w:hAnsiTheme="majorHAnsi" w:cstheme="majorHAnsi"/>
                <w:noProof/>
                <w:webHidden/>
                <w:sz w:val="22"/>
                <w:szCs w:val="22"/>
              </w:rPr>
              <w:fldChar w:fldCharType="separate"/>
            </w:r>
            <w:r w:rsidR="00D24581" w:rsidRPr="00936D28">
              <w:rPr>
                <w:rFonts w:asciiTheme="majorHAnsi" w:hAnsiTheme="majorHAnsi" w:cstheme="majorHAnsi"/>
                <w:noProof/>
                <w:webHidden/>
                <w:sz w:val="22"/>
                <w:szCs w:val="22"/>
              </w:rPr>
              <w:t>7</w:t>
            </w:r>
            <w:r w:rsidR="00D24581" w:rsidRPr="00936D28">
              <w:rPr>
                <w:rFonts w:asciiTheme="majorHAnsi" w:hAnsiTheme="majorHAnsi" w:cstheme="majorHAnsi"/>
                <w:noProof/>
                <w:webHidden/>
                <w:sz w:val="22"/>
                <w:szCs w:val="22"/>
              </w:rPr>
              <w:fldChar w:fldCharType="end"/>
            </w:r>
          </w:hyperlink>
        </w:p>
        <w:p w14:paraId="607A2B2C" w14:textId="77777777" w:rsidR="00D24581" w:rsidRPr="00936D28" w:rsidRDefault="002F05F5">
          <w:pPr>
            <w:pStyle w:val="TOC2"/>
            <w:rPr>
              <w:rFonts w:asciiTheme="majorHAnsi" w:eastAsiaTheme="minorEastAsia" w:hAnsiTheme="majorHAnsi" w:cstheme="majorHAnsi"/>
              <w:noProof/>
              <w:sz w:val="22"/>
              <w:szCs w:val="22"/>
              <w:lang w:eastAsia="en-GB"/>
            </w:rPr>
          </w:pPr>
          <w:hyperlink w:anchor="_Toc389568157" w:history="1">
            <w:r w:rsidR="00D24581" w:rsidRPr="00936D28">
              <w:rPr>
                <w:rStyle w:val="Hyperlink"/>
                <w:rFonts w:asciiTheme="majorHAnsi" w:hAnsiTheme="majorHAnsi" w:cstheme="majorHAnsi"/>
                <w:noProof/>
                <w:color w:val="auto"/>
                <w:sz w:val="22"/>
                <w:szCs w:val="22"/>
              </w:rPr>
              <w:t>1.3</w:t>
            </w:r>
            <w:r w:rsidR="00D24581" w:rsidRPr="00936D28">
              <w:rPr>
                <w:rFonts w:asciiTheme="majorHAnsi" w:eastAsiaTheme="minorEastAsia" w:hAnsiTheme="majorHAnsi" w:cstheme="majorHAnsi"/>
                <w:noProof/>
                <w:sz w:val="22"/>
                <w:szCs w:val="22"/>
                <w:lang w:eastAsia="en-GB"/>
              </w:rPr>
              <w:tab/>
            </w:r>
            <w:r w:rsidR="00D24581" w:rsidRPr="00936D28">
              <w:rPr>
                <w:rStyle w:val="Hyperlink"/>
                <w:rFonts w:asciiTheme="majorHAnsi" w:hAnsiTheme="majorHAnsi" w:cstheme="majorHAnsi"/>
                <w:noProof/>
                <w:color w:val="auto"/>
                <w:sz w:val="22"/>
                <w:szCs w:val="22"/>
              </w:rPr>
              <w:t>Unplanned readmissions to Mental Health Services within 30 days of a Mental Health inpatient discharge in people aged 17 and over (CCG OIS)</w:t>
            </w:r>
            <w:r w:rsidR="00D24581" w:rsidRPr="00936D28">
              <w:rPr>
                <w:rFonts w:asciiTheme="majorHAnsi" w:hAnsiTheme="majorHAnsi" w:cstheme="majorHAnsi"/>
                <w:noProof/>
                <w:webHidden/>
                <w:sz w:val="22"/>
                <w:szCs w:val="22"/>
              </w:rPr>
              <w:tab/>
            </w:r>
            <w:r w:rsidR="00D24581" w:rsidRPr="00936D28">
              <w:rPr>
                <w:rFonts w:asciiTheme="majorHAnsi" w:hAnsiTheme="majorHAnsi" w:cstheme="majorHAnsi"/>
                <w:noProof/>
                <w:webHidden/>
                <w:sz w:val="22"/>
                <w:szCs w:val="22"/>
              </w:rPr>
              <w:fldChar w:fldCharType="begin"/>
            </w:r>
            <w:r w:rsidR="00D24581" w:rsidRPr="00936D28">
              <w:rPr>
                <w:rFonts w:asciiTheme="majorHAnsi" w:hAnsiTheme="majorHAnsi" w:cstheme="majorHAnsi"/>
                <w:noProof/>
                <w:webHidden/>
                <w:sz w:val="22"/>
                <w:szCs w:val="22"/>
              </w:rPr>
              <w:instrText xml:space="preserve"> PAGEREF _Toc389568157 \h </w:instrText>
            </w:r>
            <w:r w:rsidR="00D24581" w:rsidRPr="00936D28">
              <w:rPr>
                <w:rFonts w:asciiTheme="majorHAnsi" w:hAnsiTheme="majorHAnsi" w:cstheme="majorHAnsi"/>
                <w:noProof/>
                <w:webHidden/>
                <w:sz w:val="22"/>
                <w:szCs w:val="22"/>
              </w:rPr>
            </w:r>
            <w:r w:rsidR="00D24581" w:rsidRPr="00936D28">
              <w:rPr>
                <w:rFonts w:asciiTheme="majorHAnsi" w:hAnsiTheme="majorHAnsi" w:cstheme="majorHAnsi"/>
                <w:noProof/>
                <w:webHidden/>
                <w:sz w:val="22"/>
                <w:szCs w:val="22"/>
              </w:rPr>
              <w:fldChar w:fldCharType="separate"/>
            </w:r>
            <w:r w:rsidR="00D24581" w:rsidRPr="00936D28">
              <w:rPr>
                <w:rFonts w:asciiTheme="majorHAnsi" w:hAnsiTheme="majorHAnsi" w:cstheme="majorHAnsi"/>
                <w:noProof/>
                <w:webHidden/>
                <w:sz w:val="22"/>
                <w:szCs w:val="22"/>
              </w:rPr>
              <w:t>10</w:t>
            </w:r>
            <w:r w:rsidR="00D24581" w:rsidRPr="00936D28">
              <w:rPr>
                <w:rFonts w:asciiTheme="majorHAnsi" w:hAnsiTheme="majorHAnsi" w:cstheme="majorHAnsi"/>
                <w:noProof/>
                <w:webHidden/>
                <w:sz w:val="22"/>
                <w:szCs w:val="22"/>
              </w:rPr>
              <w:fldChar w:fldCharType="end"/>
            </w:r>
          </w:hyperlink>
        </w:p>
        <w:p w14:paraId="49D7134C" w14:textId="77777777" w:rsidR="00D24581" w:rsidRPr="00936D28" w:rsidRDefault="002F05F5">
          <w:pPr>
            <w:pStyle w:val="TOC2"/>
            <w:rPr>
              <w:rFonts w:asciiTheme="majorHAnsi" w:eastAsiaTheme="minorEastAsia" w:hAnsiTheme="majorHAnsi" w:cstheme="majorHAnsi"/>
              <w:noProof/>
              <w:sz w:val="22"/>
              <w:szCs w:val="22"/>
              <w:lang w:eastAsia="en-GB"/>
            </w:rPr>
          </w:pPr>
          <w:hyperlink w:anchor="_Toc389568158" w:history="1">
            <w:r w:rsidR="00D24581" w:rsidRPr="00936D28">
              <w:rPr>
                <w:rStyle w:val="Hyperlink"/>
                <w:rFonts w:asciiTheme="majorHAnsi" w:hAnsiTheme="majorHAnsi" w:cstheme="majorHAnsi"/>
                <w:noProof/>
                <w:color w:val="auto"/>
                <w:sz w:val="22"/>
                <w:szCs w:val="22"/>
              </w:rPr>
              <w:t>1.4</w:t>
            </w:r>
            <w:r w:rsidR="00D24581" w:rsidRPr="00936D28">
              <w:rPr>
                <w:rFonts w:asciiTheme="majorHAnsi" w:eastAsiaTheme="minorEastAsia" w:hAnsiTheme="majorHAnsi" w:cstheme="majorHAnsi"/>
                <w:noProof/>
                <w:sz w:val="22"/>
                <w:szCs w:val="22"/>
                <w:lang w:eastAsia="en-GB"/>
              </w:rPr>
              <w:tab/>
            </w:r>
            <w:r w:rsidR="00D24581" w:rsidRPr="00936D28">
              <w:rPr>
                <w:rStyle w:val="Hyperlink"/>
                <w:rFonts w:asciiTheme="majorHAnsi" w:hAnsiTheme="majorHAnsi" w:cstheme="majorHAnsi"/>
                <w:noProof/>
                <w:color w:val="auto"/>
                <w:sz w:val="22"/>
                <w:szCs w:val="22"/>
              </w:rPr>
              <w:t>Health related quality of life for people with long term mental health conditions (CCG OIS)</w:t>
            </w:r>
            <w:r w:rsidR="00D24581" w:rsidRPr="00936D28">
              <w:rPr>
                <w:rFonts w:asciiTheme="majorHAnsi" w:hAnsiTheme="majorHAnsi" w:cstheme="majorHAnsi"/>
                <w:noProof/>
                <w:webHidden/>
                <w:sz w:val="22"/>
                <w:szCs w:val="22"/>
              </w:rPr>
              <w:tab/>
            </w:r>
            <w:r w:rsidR="00D24581" w:rsidRPr="00936D28">
              <w:rPr>
                <w:rFonts w:asciiTheme="majorHAnsi" w:hAnsiTheme="majorHAnsi" w:cstheme="majorHAnsi"/>
                <w:noProof/>
                <w:webHidden/>
                <w:sz w:val="22"/>
                <w:szCs w:val="22"/>
              </w:rPr>
              <w:fldChar w:fldCharType="begin"/>
            </w:r>
            <w:r w:rsidR="00D24581" w:rsidRPr="00936D28">
              <w:rPr>
                <w:rFonts w:asciiTheme="majorHAnsi" w:hAnsiTheme="majorHAnsi" w:cstheme="majorHAnsi"/>
                <w:noProof/>
                <w:webHidden/>
                <w:sz w:val="22"/>
                <w:szCs w:val="22"/>
              </w:rPr>
              <w:instrText xml:space="preserve"> PAGEREF _Toc389568158 \h </w:instrText>
            </w:r>
            <w:r w:rsidR="00D24581" w:rsidRPr="00936D28">
              <w:rPr>
                <w:rFonts w:asciiTheme="majorHAnsi" w:hAnsiTheme="majorHAnsi" w:cstheme="majorHAnsi"/>
                <w:noProof/>
                <w:webHidden/>
                <w:sz w:val="22"/>
                <w:szCs w:val="22"/>
              </w:rPr>
            </w:r>
            <w:r w:rsidR="00D24581" w:rsidRPr="00936D28">
              <w:rPr>
                <w:rFonts w:asciiTheme="majorHAnsi" w:hAnsiTheme="majorHAnsi" w:cstheme="majorHAnsi"/>
                <w:noProof/>
                <w:webHidden/>
                <w:sz w:val="22"/>
                <w:szCs w:val="22"/>
              </w:rPr>
              <w:fldChar w:fldCharType="separate"/>
            </w:r>
            <w:r w:rsidR="00D24581" w:rsidRPr="00936D28">
              <w:rPr>
                <w:rFonts w:asciiTheme="majorHAnsi" w:hAnsiTheme="majorHAnsi" w:cstheme="majorHAnsi"/>
                <w:noProof/>
                <w:webHidden/>
                <w:sz w:val="22"/>
                <w:szCs w:val="22"/>
              </w:rPr>
              <w:t>15</w:t>
            </w:r>
            <w:r w:rsidR="00D24581" w:rsidRPr="00936D28">
              <w:rPr>
                <w:rFonts w:asciiTheme="majorHAnsi" w:hAnsiTheme="majorHAnsi" w:cstheme="majorHAnsi"/>
                <w:noProof/>
                <w:webHidden/>
                <w:sz w:val="22"/>
                <w:szCs w:val="22"/>
              </w:rPr>
              <w:fldChar w:fldCharType="end"/>
            </w:r>
          </w:hyperlink>
        </w:p>
        <w:p w14:paraId="5B0C1C0E" w14:textId="3E27D9DD" w:rsidR="00D24581" w:rsidRPr="00936D28" w:rsidRDefault="002F05F5" w:rsidP="00000D88">
          <w:pPr>
            <w:pStyle w:val="TOC1"/>
            <w:rPr>
              <w:rFonts w:asciiTheme="majorHAnsi" w:eastAsiaTheme="minorEastAsia" w:hAnsiTheme="majorHAnsi" w:cstheme="majorHAnsi"/>
              <w:sz w:val="22"/>
              <w:szCs w:val="22"/>
              <w:lang w:eastAsia="en-GB"/>
            </w:rPr>
          </w:pPr>
          <w:hyperlink w:anchor="_Toc389568159" w:history="1">
            <w:r w:rsidR="00D24581" w:rsidRPr="00936D28">
              <w:rPr>
                <w:rStyle w:val="Hyperlink"/>
                <w:rFonts w:asciiTheme="majorHAnsi" w:hAnsiTheme="majorHAnsi" w:cstheme="majorHAnsi"/>
                <w:color w:val="auto"/>
                <w:sz w:val="22"/>
                <w:szCs w:val="22"/>
              </w:rPr>
              <w:t>2</w:t>
            </w:r>
            <w:r w:rsidR="005057FD" w:rsidRPr="00936D28">
              <w:rPr>
                <w:rStyle w:val="Hyperlink"/>
                <w:rFonts w:asciiTheme="majorHAnsi" w:hAnsiTheme="majorHAnsi" w:cstheme="majorHAnsi"/>
                <w:color w:val="auto"/>
                <w:sz w:val="22"/>
                <w:szCs w:val="22"/>
              </w:rPr>
              <w:t>.</w:t>
            </w:r>
            <w:r w:rsidR="00D24581" w:rsidRPr="00936D28">
              <w:rPr>
                <w:rFonts w:asciiTheme="majorHAnsi" w:eastAsiaTheme="minorEastAsia" w:hAnsiTheme="majorHAnsi" w:cstheme="majorHAnsi"/>
                <w:sz w:val="22"/>
                <w:szCs w:val="22"/>
                <w:lang w:eastAsia="en-GB"/>
              </w:rPr>
              <w:tab/>
            </w:r>
            <w:r w:rsidR="00D24581" w:rsidRPr="00936D28">
              <w:rPr>
                <w:rStyle w:val="Hyperlink"/>
                <w:rFonts w:asciiTheme="majorHAnsi" w:hAnsiTheme="majorHAnsi" w:cstheme="majorHAnsi"/>
                <w:color w:val="auto"/>
                <w:sz w:val="22"/>
                <w:szCs w:val="22"/>
              </w:rPr>
              <w:t>Applicant Initiated Reviews</w:t>
            </w:r>
            <w:r w:rsidR="00D24581" w:rsidRPr="00936D28">
              <w:rPr>
                <w:rFonts w:asciiTheme="majorHAnsi" w:hAnsiTheme="majorHAnsi" w:cstheme="majorHAnsi"/>
                <w:webHidden/>
                <w:sz w:val="22"/>
                <w:szCs w:val="22"/>
              </w:rPr>
              <w:tab/>
            </w:r>
            <w:r w:rsidR="00D24581" w:rsidRPr="00936D28">
              <w:rPr>
                <w:rFonts w:asciiTheme="majorHAnsi" w:hAnsiTheme="majorHAnsi" w:cstheme="majorHAnsi"/>
                <w:webHidden/>
                <w:sz w:val="22"/>
                <w:szCs w:val="22"/>
              </w:rPr>
              <w:fldChar w:fldCharType="begin"/>
            </w:r>
            <w:r w:rsidR="00D24581" w:rsidRPr="00936D28">
              <w:rPr>
                <w:rFonts w:asciiTheme="majorHAnsi" w:hAnsiTheme="majorHAnsi" w:cstheme="majorHAnsi"/>
                <w:webHidden/>
                <w:sz w:val="22"/>
                <w:szCs w:val="22"/>
              </w:rPr>
              <w:instrText xml:space="preserve"> PAGEREF _Toc389568159 \h </w:instrText>
            </w:r>
            <w:r w:rsidR="00D24581" w:rsidRPr="00936D28">
              <w:rPr>
                <w:rFonts w:asciiTheme="majorHAnsi" w:hAnsiTheme="majorHAnsi" w:cstheme="majorHAnsi"/>
                <w:webHidden/>
                <w:sz w:val="22"/>
                <w:szCs w:val="22"/>
              </w:rPr>
            </w:r>
            <w:r w:rsidR="00D24581" w:rsidRPr="00936D28">
              <w:rPr>
                <w:rFonts w:asciiTheme="majorHAnsi" w:hAnsiTheme="majorHAnsi" w:cstheme="majorHAnsi"/>
                <w:webHidden/>
                <w:sz w:val="22"/>
                <w:szCs w:val="22"/>
              </w:rPr>
              <w:fldChar w:fldCharType="separate"/>
            </w:r>
            <w:r w:rsidR="00D24581" w:rsidRPr="00936D28">
              <w:rPr>
                <w:rFonts w:asciiTheme="majorHAnsi" w:hAnsiTheme="majorHAnsi" w:cstheme="majorHAnsi"/>
                <w:webHidden/>
                <w:sz w:val="22"/>
                <w:szCs w:val="22"/>
              </w:rPr>
              <w:t>21</w:t>
            </w:r>
            <w:r w:rsidR="00D24581" w:rsidRPr="00936D28">
              <w:rPr>
                <w:rFonts w:asciiTheme="majorHAnsi" w:hAnsiTheme="majorHAnsi" w:cstheme="majorHAnsi"/>
                <w:webHidden/>
                <w:sz w:val="22"/>
                <w:szCs w:val="22"/>
              </w:rPr>
              <w:fldChar w:fldCharType="end"/>
            </w:r>
          </w:hyperlink>
        </w:p>
        <w:p w14:paraId="7A9D2FEE" w14:textId="77777777" w:rsidR="00D24581" w:rsidRPr="00936D28" w:rsidRDefault="002F05F5">
          <w:pPr>
            <w:pStyle w:val="TOC2"/>
            <w:rPr>
              <w:rFonts w:asciiTheme="majorHAnsi" w:eastAsiaTheme="minorEastAsia" w:hAnsiTheme="majorHAnsi" w:cstheme="majorHAnsi"/>
              <w:noProof/>
              <w:sz w:val="22"/>
              <w:szCs w:val="22"/>
              <w:lang w:eastAsia="en-GB"/>
            </w:rPr>
          </w:pPr>
          <w:hyperlink w:anchor="_Toc389568160" w:history="1">
            <w:r w:rsidR="00D24581" w:rsidRPr="00936D28">
              <w:rPr>
                <w:rStyle w:val="Hyperlink"/>
                <w:rFonts w:asciiTheme="majorHAnsi" w:hAnsiTheme="majorHAnsi" w:cstheme="majorHAnsi"/>
                <w:noProof/>
                <w:color w:val="auto"/>
                <w:sz w:val="22"/>
                <w:szCs w:val="22"/>
              </w:rPr>
              <w:t xml:space="preserve">2.1 NHS OF </w:t>
            </w:r>
            <w:r w:rsidR="00D24581" w:rsidRPr="00936D28">
              <w:rPr>
                <w:rStyle w:val="Hyperlink"/>
                <w:rFonts w:asciiTheme="majorHAnsi" w:hAnsiTheme="majorHAnsi" w:cstheme="majorHAnsi"/>
                <w:noProof/>
                <w:color w:val="auto"/>
                <w:sz w:val="22"/>
                <w:szCs w:val="22"/>
                <w:lang w:val="en-US"/>
              </w:rPr>
              <w:t>Deprivation Breakdown Methodology Proposal</w:t>
            </w:r>
            <w:r w:rsidR="00D24581" w:rsidRPr="00936D28">
              <w:rPr>
                <w:rFonts w:asciiTheme="majorHAnsi" w:hAnsiTheme="majorHAnsi" w:cstheme="majorHAnsi"/>
                <w:noProof/>
                <w:webHidden/>
                <w:sz w:val="22"/>
                <w:szCs w:val="22"/>
              </w:rPr>
              <w:tab/>
            </w:r>
            <w:r w:rsidR="00D24581" w:rsidRPr="00936D28">
              <w:rPr>
                <w:rFonts w:asciiTheme="majorHAnsi" w:hAnsiTheme="majorHAnsi" w:cstheme="majorHAnsi"/>
                <w:noProof/>
                <w:webHidden/>
                <w:sz w:val="22"/>
                <w:szCs w:val="22"/>
              </w:rPr>
              <w:fldChar w:fldCharType="begin"/>
            </w:r>
            <w:r w:rsidR="00D24581" w:rsidRPr="00936D28">
              <w:rPr>
                <w:rFonts w:asciiTheme="majorHAnsi" w:hAnsiTheme="majorHAnsi" w:cstheme="majorHAnsi"/>
                <w:noProof/>
                <w:webHidden/>
                <w:sz w:val="22"/>
                <w:szCs w:val="22"/>
              </w:rPr>
              <w:instrText xml:space="preserve"> PAGEREF _Toc389568160 \h </w:instrText>
            </w:r>
            <w:r w:rsidR="00D24581" w:rsidRPr="00936D28">
              <w:rPr>
                <w:rFonts w:asciiTheme="majorHAnsi" w:hAnsiTheme="majorHAnsi" w:cstheme="majorHAnsi"/>
                <w:noProof/>
                <w:webHidden/>
                <w:sz w:val="22"/>
                <w:szCs w:val="22"/>
              </w:rPr>
            </w:r>
            <w:r w:rsidR="00D24581" w:rsidRPr="00936D28">
              <w:rPr>
                <w:rFonts w:asciiTheme="majorHAnsi" w:hAnsiTheme="majorHAnsi" w:cstheme="majorHAnsi"/>
                <w:noProof/>
                <w:webHidden/>
                <w:sz w:val="22"/>
                <w:szCs w:val="22"/>
              </w:rPr>
              <w:fldChar w:fldCharType="separate"/>
            </w:r>
            <w:r w:rsidR="00D24581" w:rsidRPr="00936D28">
              <w:rPr>
                <w:rFonts w:asciiTheme="majorHAnsi" w:hAnsiTheme="majorHAnsi" w:cstheme="majorHAnsi"/>
                <w:noProof/>
                <w:webHidden/>
                <w:sz w:val="22"/>
                <w:szCs w:val="22"/>
              </w:rPr>
              <w:t>21</w:t>
            </w:r>
            <w:r w:rsidR="00D24581" w:rsidRPr="00936D28">
              <w:rPr>
                <w:rFonts w:asciiTheme="majorHAnsi" w:hAnsiTheme="majorHAnsi" w:cstheme="majorHAnsi"/>
                <w:noProof/>
                <w:webHidden/>
                <w:sz w:val="22"/>
                <w:szCs w:val="22"/>
              </w:rPr>
              <w:fldChar w:fldCharType="end"/>
            </w:r>
          </w:hyperlink>
        </w:p>
        <w:p w14:paraId="1F2271B1" w14:textId="77777777" w:rsidR="00985BD5" w:rsidRPr="00936D28" w:rsidRDefault="00985BD5" w:rsidP="00D24581">
          <w:pPr>
            <w:spacing w:line="360" w:lineRule="auto"/>
            <w:rPr>
              <w:rFonts w:asciiTheme="majorHAnsi" w:hAnsiTheme="majorHAnsi" w:cstheme="majorHAnsi"/>
              <w:sz w:val="22"/>
              <w:szCs w:val="22"/>
            </w:rPr>
          </w:pPr>
          <w:r w:rsidRPr="00936D28">
            <w:rPr>
              <w:rFonts w:asciiTheme="majorHAnsi" w:hAnsiTheme="majorHAnsi" w:cstheme="majorHAnsi"/>
              <w:b/>
              <w:bCs/>
              <w:noProof/>
              <w:sz w:val="22"/>
              <w:szCs w:val="22"/>
            </w:rPr>
            <w:fldChar w:fldCharType="end"/>
          </w:r>
        </w:p>
      </w:sdtContent>
    </w:sdt>
    <w:p w14:paraId="07704B20" w14:textId="77777777" w:rsidR="001D243C" w:rsidRPr="00936D28" w:rsidRDefault="001D243C" w:rsidP="000C24AF">
      <w:pPr>
        <w:rPr>
          <w:rFonts w:asciiTheme="majorHAnsi" w:hAnsiTheme="majorHAnsi" w:cstheme="majorHAnsi"/>
          <w:sz w:val="22"/>
          <w:szCs w:val="22"/>
        </w:rPr>
      </w:pPr>
    </w:p>
    <w:p w14:paraId="79FECA76" w14:textId="79801729" w:rsidR="001D243C" w:rsidRPr="00936D28" w:rsidRDefault="001D243C">
      <w:p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br w:type="page"/>
      </w:r>
    </w:p>
    <w:p w14:paraId="3EAA07C7" w14:textId="77777777" w:rsidR="008D5953" w:rsidRPr="00936D28" w:rsidRDefault="00985BD5" w:rsidP="00936D28">
      <w:pPr>
        <w:pStyle w:val="Heading1"/>
        <w:numPr>
          <w:ilvl w:val="0"/>
          <w:numId w:val="2"/>
        </w:numPr>
        <w:rPr>
          <w:rFonts w:asciiTheme="majorHAnsi" w:hAnsiTheme="majorHAnsi" w:cstheme="majorHAnsi"/>
          <w:color w:val="auto"/>
          <w:sz w:val="22"/>
          <w:szCs w:val="22"/>
        </w:rPr>
      </w:pPr>
      <w:bookmarkStart w:id="0" w:name="_Toc350174611"/>
      <w:r w:rsidRPr="00936D28">
        <w:rPr>
          <w:rFonts w:asciiTheme="majorHAnsi" w:hAnsiTheme="majorHAnsi" w:cstheme="majorHAnsi"/>
          <w:color w:val="auto"/>
          <w:sz w:val="22"/>
          <w:szCs w:val="22"/>
        </w:rPr>
        <w:lastRenderedPageBreak/>
        <w:t xml:space="preserve"> </w:t>
      </w:r>
      <w:bookmarkStart w:id="1" w:name="_Toc389568154"/>
      <w:r w:rsidRPr="00936D28">
        <w:rPr>
          <w:rFonts w:asciiTheme="majorHAnsi" w:hAnsiTheme="majorHAnsi" w:cstheme="majorHAnsi"/>
          <w:color w:val="auto"/>
          <w:sz w:val="22"/>
          <w:szCs w:val="22"/>
        </w:rPr>
        <w:t>Applicant Updates</w:t>
      </w:r>
      <w:bookmarkEnd w:id="1"/>
    </w:p>
    <w:p w14:paraId="1BF94153" w14:textId="0E1E5927" w:rsidR="00985BD5" w:rsidRPr="00936D28" w:rsidRDefault="00985BD5" w:rsidP="00985BD5">
      <w:pPr>
        <w:rPr>
          <w:rFonts w:asciiTheme="majorHAnsi" w:hAnsiTheme="majorHAnsi" w:cstheme="majorHAnsi"/>
          <w:sz w:val="22"/>
          <w:szCs w:val="22"/>
        </w:rPr>
      </w:pPr>
      <w:r w:rsidRPr="00936D28">
        <w:rPr>
          <w:rFonts w:asciiTheme="majorHAnsi" w:hAnsiTheme="majorHAnsi" w:cstheme="majorHAnsi"/>
          <w:sz w:val="22"/>
          <w:szCs w:val="22"/>
        </w:rPr>
        <w:t>The following updates have been provided by applicants</w:t>
      </w:r>
      <w:r w:rsidR="00A10633" w:rsidRPr="00936D28">
        <w:rPr>
          <w:rFonts w:asciiTheme="majorHAnsi" w:hAnsiTheme="majorHAnsi" w:cstheme="majorHAnsi"/>
          <w:sz w:val="22"/>
          <w:szCs w:val="22"/>
        </w:rPr>
        <w:t xml:space="preserve"> in response to previous MRG recommendations:</w:t>
      </w:r>
    </w:p>
    <w:p w14:paraId="70B90EBC" w14:textId="0466F4E9" w:rsidR="0007106F" w:rsidRPr="00936D28" w:rsidRDefault="00A5680D" w:rsidP="00ED081B">
      <w:pPr>
        <w:pStyle w:val="Heading2"/>
        <w:rPr>
          <w:rFonts w:asciiTheme="majorHAnsi" w:hAnsiTheme="majorHAnsi" w:cstheme="majorHAnsi"/>
          <w:i/>
          <w:color w:val="auto"/>
          <w:sz w:val="22"/>
          <w:szCs w:val="22"/>
        </w:rPr>
      </w:pPr>
      <w:bookmarkStart w:id="2" w:name="_Toc389568155"/>
      <w:r w:rsidRPr="00936D28">
        <w:rPr>
          <w:rFonts w:asciiTheme="majorHAnsi" w:hAnsiTheme="majorHAnsi" w:cstheme="majorHAnsi"/>
          <w:color w:val="auto"/>
          <w:sz w:val="22"/>
          <w:szCs w:val="22"/>
        </w:rPr>
        <w:t>1.1</w:t>
      </w:r>
      <w:r w:rsidR="00ED081B" w:rsidRPr="00936D28">
        <w:rPr>
          <w:rFonts w:asciiTheme="majorHAnsi" w:hAnsiTheme="majorHAnsi" w:cstheme="majorHAnsi"/>
          <w:color w:val="auto"/>
          <w:sz w:val="22"/>
          <w:szCs w:val="22"/>
        </w:rPr>
        <w:tab/>
      </w:r>
      <w:r w:rsidR="0007106F" w:rsidRPr="00936D28">
        <w:rPr>
          <w:rFonts w:asciiTheme="majorHAnsi" w:hAnsiTheme="majorHAnsi" w:cstheme="majorHAnsi"/>
          <w:color w:val="auto"/>
          <w:sz w:val="22"/>
          <w:szCs w:val="22"/>
        </w:rPr>
        <w:t>Mortality from Breast Cancer in females aged 35 and over</w:t>
      </w:r>
      <w:r w:rsidR="00A10633" w:rsidRPr="00936D28">
        <w:rPr>
          <w:rFonts w:asciiTheme="majorHAnsi" w:hAnsiTheme="majorHAnsi" w:cstheme="majorHAnsi"/>
          <w:color w:val="auto"/>
          <w:sz w:val="22"/>
          <w:szCs w:val="22"/>
        </w:rPr>
        <w:t xml:space="preserve"> (CCG OIS)</w:t>
      </w:r>
      <w:bookmarkEnd w:id="2"/>
      <w:r w:rsidR="0007106F" w:rsidRPr="00936D28">
        <w:rPr>
          <w:rFonts w:asciiTheme="majorHAnsi" w:hAnsiTheme="majorHAnsi" w:cstheme="majorHAnsi"/>
          <w:i/>
          <w:color w:val="auto"/>
          <w:sz w:val="22"/>
          <w:szCs w:val="22"/>
        </w:rPr>
        <w:t xml:space="preserve"> </w:t>
      </w:r>
    </w:p>
    <w:p w14:paraId="06773551" w14:textId="77777777" w:rsidR="00985BD5" w:rsidRPr="00936D28" w:rsidRDefault="00A7524F" w:rsidP="0007106F">
      <w:pPr>
        <w:rPr>
          <w:rFonts w:asciiTheme="majorHAnsi" w:hAnsiTheme="majorHAnsi" w:cstheme="majorHAnsi"/>
          <w:i/>
          <w:sz w:val="22"/>
          <w:szCs w:val="22"/>
        </w:rPr>
      </w:pPr>
      <w:r w:rsidRPr="00936D28">
        <w:rPr>
          <w:rFonts w:asciiTheme="majorHAnsi" w:hAnsiTheme="majorHAnsi" w:cstheme="majorHAnsi"/>
          <w:i/>
          <w:sz w:val="22"/>
          <w:szCs w:val="22"/>
        </w:rPr>
        <w:t>Presented by: Matt Curley</w:t>
      </w:r>
    </w:p>
    <w:p w14:paraId="1A4A86AF" w14:textId="77777777" w:rsidR="0030270D" w:rsidRPr="00936D28" w:rsidRDefault="0030270D" w:rsidP="0030270D">
      <w:pPr>
        <w:rPr>
          <w:rFonts w:asciiTheme="majorHAnsi" w:hAnsiTheme="majorHAnsi" w:cstheme="majorHAnsi"/>
          <w:b/>
          <w:bCs/>
          <w:i/>
          <w:iCs/>
          <w:sz w:val="22"/>
          <w:szCs w:val="22"/>
        </w:rPr>
      </w:pPr>
      <w:r w:rsidRPr="00936D28">
        <w:rPr>
          <w:rFonts w:asciiTheme="majorHAnsi" w:hAnsiTheme="majorHAnsi" w:cstheme="majorHAnsi"/>
          <w:b/>
          <w:bCs/>
          <w:i/>
          <w:iCs/>
          <w:sz w:val="22"/>
          <w:szCs w:val="22"/>
        </w:rPr>
        <w:t>Denominator:</w:t>
      </w:r>
    </w:p>
    <w:p w14:paraId="629E55B8" w14:textId="77777777" w:rsidR="0030270D" w:rsidRPr="00936D28" w:rsidRDefault="0030270D" w:rsidP="0030270D">
      <w:pPr>
        <w:rPr>
          <w:rFonts w:asciiTheme="majorHAnsi" w:hAnsiTheme="majorHAnsi" w:cstheme="majorHAnsi"/>
          <w:i/>
          <w:sz w:val="22"/>
          <w:szCs w:val="22"/>
        </w:rPr>
      </w:pPr>
      <w:r w:rsidRPr="00936D28">
        <w:rPr>
          <w:rFonts w:asciiTheme="majorHAnsi" w:hAnsiTheme="majorHAnsi" w:cstheme="majorHAnsi"/>
          <w:i/>
          <w:sz w:val="22"/>
          <w:szCs w:val="22"/>
        </w:rPr>
        <w:t>CCG level count of people aged 35 years and over registered with the constituent General Practices in England.</w:t>
      </w:r>
    </w:p>
    <w:p w14:paraId="3C3CC734" w14:textId="77777777" w:rsidR="0030270D" w:rsidRPr="00936D28" w:rsidRDefault="0030270D" w:rsidP="0030270D">
      <w:pPr>
        <w:rPr>
          <w:rFonts w:asciiTheme="majorHAnsi" w:hAnsiTheme="majorHAnsi" w:cstheme="majorHAnsi"/>
          <w:b/>
          <w:bCs/>
          <w:i/>
          <w:iCs/>
          <w:sz w:val="22"/>
          <w:szCs w:val="22"/>
        </w:rPr>
      </w:pPr>
      <w:r w:rsidRPr="00936D28">
        <w:rPr>
          <w:rFonts w:asciiTheme="majorHAnsi" w:hAnsiTheme="majorHAnsi" w:cstheme="majorHAnsi"/>
          <w:b/>
          <w:bCs/>
          <w:i/>
          <w:iCs/>
          <w:sz w:val="22"/>
          <w:szCs w:val="22"/>
        </w:rPr>
        <w:t>Numerator:</w:t>
      </w:r>
    </w:p>
    <w:p w14:paraId="76FD39BC" w14:textId="77777777" w:rsidR="0030270D" w:rsidRPr="00936D28" w:rsidRDefault="0030270D" w:rsidP="0030270D">
      <w:pPr>
        <w:rPr>
          <w:rFonts w:asciiTheme="majorHAnsi" w:hAnsiTheme="majorHAnsi" w:cstheme="majorHAnsi"/>
          <w:i/>
          <w:sz w:val="22"/>
          <w:szCs w:val="22"/>
        </w:rPr>
      </w:pPr>
      <w:r w:rsidRPr="00936D28">
        <w:rPr>
          <w:rFonts w:asciiTheme="majorHAnsi" w:hAnsiTheme="majorHAnsi" w:cstheme="majorHAnsi"/>
          <w:i/>
          <w:sz w:val="22"/>
          <w:szCs w:val="22"/>
        </w:rPr>
        <w:t>Deaths of people aged 35 years and over from breast cancer (ICD-10: C50), classified by the underlying cause of death registered in the respective calendar years.</w:t>
      </w:r>
    </w:p>
    <w:p w14:paraId="4FCC2B73" w14:textId="77777777" w:rsidR="00507D97" w:rsidRPr="00936D28" w:rsidRDefault="00507D97" w:rsidP="0007106F">
      <w:pPr>
        <w:rPr>
          <w:rFonts w:asciiTheme="majorHAnsi" w:hAnsiTheme="majorHAnsi" w:cstheme="majorHAnsi"/>
          <w:sz w:val="22"/>
          <w:szCs w:val="22"/>
        </w:rPr>
      </w:pPr>
    </w:p>
    <w:p w14:paraId="42AA567D" w14:textId="77777777" w:rsidR="0007106F" w:rsidRPr="00936D28" w:rsidRDefault="0007106F" w:rsidP="0007106F">
      <w:pPr>
        <w:rPr>
          <w:rFonts w:asciiTheme="majorHAnsi" w:hAnsiTheme="majorHAnsi" w:cstheme="majorHAnsi"/>
          <w:sz w:val="22"/>
          <w:szCs w:val="22"/>
        </w:rPr>
      </w:pPr>
      <w:r w:rsidRPr="00936D28">
        <w:rPr>
          <w:rFonts w:asciiTheme="majorHAnsi" w:hAnsiTheme="majorHAnsi" w:cstheme="majorHAnsi"/>
          <w:sz w:val="22"/>
          <w:szCs w:val="22"/>
        </w:rPr>
        <w:t>A revision has been presented in response to the following MRG recommendation:</w:t>
      </w:r>
    </w:p>
    <w:p w14:paraId="1BC4CE4E" w14:textId="2DE70FC9" w:rsidR="0007106F" w:rsidRDefault="0007106F">
      <w:pPr>
        <w:rPr>
          <w:rFonts w:asciiTheme="majorHAnsi" w:hAnsiTheme="majorHAnsi" w:cstheme="majorHAnsi"/>
          <w:sz w:val="22"/>
          <w:szCs w:val="22"/>
        </w:rPr>
      </w:pPr>
      <w:r w:rsidRPr="00936D28">
        <w:rPr>
          <w:rFonts w:asciiTheme="majorHAnsi" w:hAnsiTheme="majorHAnsi" w:cstheme="majorHAnsi"/>
          <w:b/>
          <w:sz w:val="22"/>
          <w:szCs w:val="22"/>
        </w:rPr>
        <w:t>“It was recommended that the particular issue around the approach to standardisation used for this indicator should be re-considered by MRG based on the outcome of the workshop.”</w:t>
      </w:r>
      <w:r w:rsidRPr="00936D28">
        <w:rPr>
          <w:rFonts w:asciiTheme="majorHAnsi" w:hAnsiTheme="majorHAnsi" w:cstheme="majorHAnsi"/>
          <w:sz w:val="22"/>
          <w:szCs w:val="22"/>
        </w:rPr>
        <w:t xml:space="preserve"> (MRG, 19/01/2014)</w:t>
      </w:r>
    </w:p>
    <w:p w14:paraId="14554CB1" w14:textId="276BDE65" w:rsidR="000E1578" w:rsidRDefault="000E1578">
      <w:pPr>
        <w:rPr>
          <w:rFonts w:asciiTheme="majorHAnsi" w:hAnsiTheme="majorHAnsi" w:cstheme="majorHAnsi"/>
          <w:sz w:val="22"/>
          <w:szCs w:val="22"/>
        </w:rPr>
      </w:pPr>
    </w:p>
    <w:p w14:paraId="7105907D" w14:textId="77777777" w:rsidR="000E1578" w:rsidRPr="00936D28" w:rsidRDefault="000E1578" w:rsidP="000E1578">
      <w:pPr>
        <w:rPr>
          <w:rFonts w:asciiTheme="majorHAnsi" w:hAnsiTheme="majorHAnsi" w:cstheme="majorHAnsi"/>
          <w:sz w:val="22"/>
          <w:szCs w:val="22"/>
        </w:rPr>
      </w:pPr>
      <w:r w:rsidRPr="00936D28">
        <w:rPr>
          <w:rFonts w:asciiTheme="majorHAnsi" w:hAnsiTheme="majorHAnsi" w:cstheme="majorHAnsi"/>
          <w:sz w:val="22"/>
          <w:szCs w:val="22"/>
        </w:rPr>
        <w:t>It is recommended that the title be updated to reflect what is included in the indicator, based on the revisions implemented on the basis of comments from MRG:</w:t>
      </w:r>
    </w:p>
    <w:p w14:paraId="7D850025" w14:textId="77777777" w:rsidR="000E1578" w:rsidRPr="00936D28" w:rsidRDefault="000E1578" w:rsidP="000E1578">
      <w:pPr>
        <w:jc w:val="center"/>
        <w:rPr>
          <w:rFonts w:asciiTheme="majorHAnsi" w:hAnsiTheme="majorHAnsi" w:cstheme="majorHAnsi"/>
          <w:sz w:val="22"/>
          <w:szCs w:val="22"/>
        </w:rPr>
      </w:pPr>
      <w:r w:rsidRPr="00936D28">
        <w:rPr>
          <w:rFonts w:asciiTheme="majorHAnsi" w:hAnsiTheme="majorHAnsi" w:cstheme="majorHAnsi"/>
          <w:sz w:val="22"/>
          <w:szCs w:val="22"/>
        </w:rPr>
        <w:t>‘Mortality from Breast Cancer in females aged 35 and over.’</w:t>
      </w:r>
    </w:p>
    <w:p w14:paraId="72638BA4" w14:textId="77777777" w:rsidR="000E1578" w:rsidRPr="00936D28" w:rsidRDefault="000E1578" w:rsidP="000E1578">
      <w:pPr>
        <w:rPr>
          <w:rFonts w:asciiTheme="majorHAnsi" w:hAnsiTheme="majorHAnsi" w:cstheme="majorHAnsi"/>
          <w:sz w:val="22"/>
          <w:szCs w:val="22"/>
        </w:rPr>
      </w:pPr>
      <w:r w:rsidRPr="00936D28">
        <w:rPr>
          <w:rFonts w:asciiTheme="majorHAnsi" w:hAnsiTheme="majorHAnsi" w:cstheme="majorHAnsi"/>
          <w:sz w:val="22"/>
          <w:szCs w:val="22"/>
        </w:rPr>
        <w:t xml:space="preserve">The below figure displays the number of deaths from breast cancer in females in the period 2011-13, highlighting the differing age demographics breast cancer mortality. The number of deaths increases with the age of the patient until the age of 85, after which the volume falls. These differing rates suggest that standardisation will be necessary in order to account for the differing demographics of CCGs, allowing for a fairer comparison. </w:t>
      </w:r>
    </w:p>
    <w:p w14:paraId="3A76BD5B" w14:textId="784B1C01" w:rsidR="000E1578" w:rsidRDefault="000E1578" w:rsidP="000E1578">
      <w:pPr>
        <w:rPr>
          <w:rFonts w:asciiTheme="majorHAnsi" w:hAnsiTheme="majorHAnsi" w:cstheme="majorHAnsi"/>
          <w:sz w:val="22"/>
          <w:szCs w:val="22"/>
        </w:rPr>
      </w:pPr>
      <w:bookmarkStart w:id="3" w:name="_Toc389568156"/>
    </w:p>
    <w:p w14:paraId="747E4B4B" w14:textId="047A10AE" w:rsidR="000E1578" w:rsidRDefault="000E1578" w:rsidP="000E1578">
      <w:pPr>
        <w:rPr>
          <w:rFonts w:asciiTheme="majorHAnsi" w:hAnsiTheme="majorHAnsi" w:cstheme="majorHAnsi"/>
          <w:sz w:val="22"/>
          <w:szCs w:val="22"/>
        </w:rPr>
      </w:pPr>
      <w:r w:rsidRPr="00936D28">
        <w:rPr>
          <w:rFonts w:asciiTheme="majorHAnsi" w:hAnsiTheme="majorHAnsi" w:cstheme="majorHAnsi"/>
          <w:noProof/>
          <w:sz w:val="22"/>
          <w:szCs w:val="22"/>
          <w:shd w:val="clear" w:color="auto" w:fill="001830" w:themeFill="text1"/>
        </w:rPr>
        <w:lastRenderedPageBreak/>
        <w:drawing>
          <wp:inline distT="0" distB="0" distL="0" distR="0" wp14:anchorId="59DEA8F8" wp14:editId="1503BAD5">
            <wp:extent cx="6005015" cy="2961564"/>
            <wp:effectExtent l="0" t="0" r="0" b="0"/>
            <wp:docPr id="8" name="Chart 8" descr="graph to show breast cancer mortality by ag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D52DC0" w14:textId="77777777" w:rsidR="000E1578" w:rsidRDefault="000E1578" w:rsidP="000E1578">
      <w:pPr>
        <w:rPr>
          <w:rFonts w:asciiTheme="majorHAnsi" w:hAnsiTheme="majorHAnsi" w:cstheme="majorHAnsi"/>
          <w:sz w:val="22"/>
          <w:szCs w:val="22"/>
        </w:rPr>
      </w:pPr>
    </w:p>
    <w:p w14:paraId="7A52A67D" w14:textId="77777777" w:rsidR="000E1578" w:rsidRPr="00936D28" w:rsidRDefault="000E1578" w:rsidP="000E1578">
      <w:pPr>
        <w:rPr>
          <w:rFonts w:asciiTheme="majorHAnsi" w:hAnsiTheme="majorHAnsi" w:cstheme="majorHAnsi"/>
          <w:sz w:val="22"/>
          <w:szCs w:val="22"/>
        </w:rPr>
      </w:pPr>
      <w:r w:rsidRPr="00936D28">
        <w:rPr>
          <w:rFonts w:asciiTheme="majorHAnsi" w:hAnsiTheme="majorHAnsi" w:cstheme="majorHAnsi"/>
          <w:sz w:val="22"/>
          <w:szCs w:val="22"/>
        </w:rPr>
        <w:t xml:space="preserve">In the reference period 2011-13, 204 of 25,538 (0.8%) women who died from breast cancer were aged 34 and under. It is recommended therefore to exclude this age group. This in addition to grouping women aged 95 and over into a single group will minimise the number of ‘0’ cell values which could impact the standardisation calculation. </w:t>
      </w:r>
    </w:p>
    <w:p w14:paraId="4FCA03C2" w14:textId="77777777" w:rsidR="000E1578" w:rsidRPr="00936D28" w:rsidRDefault="000E1578" w:rsidP="000E1578">
      <w:pPr>
        <w:rPr>
          <w:rFonts w:asciiTheme="majorHAnsi" w:hAnsiTheme="majorHAnsi" w:cstheme="majorHAnsi"/>
          <w:sz w:val="22"/>
          <w:szCs w:val="22"/>
        </w:rPr>
      </w:pPr>
      <w:r w:rsidRPr="00936D28">
        <w:rPr>
          <w:rFonts w:asciiTheme="majorHAnsi" w:hAnsiTheme="majorHAnsi" w:cstheme="majorHAnsi"/>
          <w:sz w:val="22"/>
          <w:szCs w:val="22"/>
        </w:rPr>
        <w:t>The below table presents the counts of numerator cell values when the data is split into 5 year age bands for the period 2013, 2011-13, and 2009-13, the following 5 year age bands were used: 35-39, 40-44, 45-49, 50-54, 55-59, 60-64, 65-69, 70-74, 75-79, 80-84, 85-89, 90-94, 95+.</w:t>
      </w:r>
    </w:p>
    <w:p w14:paraId="3D7EEE43" w14:textId="77777777" w:rsidR="000E1578" w:rsidRDefault="000E1578" w:rsidP="000E1578">
      <w:pPr>
        <w:rPr>
          <w:rFonts w:asciiTheme="majorHAnsi" w:hAnsiTheme="majorHAnsi" w:cstheme="majorHAnsi"/>
          <w:sz w:val="22"/>
          <w:szCs w:val="22"/>
        </w:rPr>
      </w:pPr>
    </w:p>
    <w:p w14:paraId="677355B4" w14:textId="5212A3A4" w:rsidR="000E1578" w:rsidRDefault="000E1578" w:rsidP="000E1578">
      <w:pPr>
        <w:rPr>
          <w:rFonts w:asciiTheme="majorHAnsi" w:hAnsiTheme="majorHAnsi" w:cstheme="majorHAnsi"/>
          <w:sz w:val="22"/>
          <w:szCs w:val="22"/>
        </w:rPr>
      </w:pPr>
      <w:r w:rsidRPr="00936D28">
        <w:rPr>
          <w:rFonts w:asciiTheme="majorHAnsi" w:hAnsiTheme="majorHAnsi" w:cstheme="majorHAnsi"/>
          <w:b/>
          <w:bCs/>
          <w:sz w:val="22"/>
          <w:szCs w:val="22"/>
        </w:rPr>
        <w:t>Count of cell values in numerator</w:t>
      </w:r>
    </w:p>
    <w:tbl>
      <w:tblPr>
        <w:tblStyle w:val="TableGrid"/>
        <w:tblW w:w="0" w:type="auto"/>
        <w:tblLook w:val="04A0" w:firstRow="1" w:lastRow="0" w:firstColumn="1" w:lastColumn="0" w:noHBand="0" w:noVBand="1"/>
      </w:tblPr>
      <w:tblGrid>
        <w:gridCol w:w="1024"/>
        <w:gridCol w:w="840"/>
        <w:gridCol w:w="840"/>
        <w:gridCol w:w="840"/>
        <w:gridCol w:w="840"/>
        <w:gridCol w:w="767"/>
      </w:tblGrid>
      <w:tr w:rsidR="000E1578" w:rsidRPr="00936D28" w14:paraId="2183419A" w14:textId="77777777" w:rsidTr="000D2587">
        <w:trPr>
          <w:trHeight w:val="300"/>
        </w:trPr>
        <w:tc>
          <w:tcPr>
            <w:tcW w:w="0" w:type="auto"/>
            <w:noWrap/>
            <w:hideMark/>
          </w:tcPr>
          <w:p w14:paraId="65229E98" w14:textId="77777777" w:rsidR="000E1578" w:rsidRPr="00936D28" w:rsidRDefault="000E1578" w:rsidP="000D2587">
            <w:pPr>
              <w:rPr>
                <w:rFonts w:asciiTheme="majorHAnsi" w:hAnsiTheme="majorHAnsi" w:cstheme="majorHAnsi"/>
                <w:bCs/>
                <w:sz w:val="22"/>
                <w:szCs w:val="22"/>
              </w:rPr>
            </w:pPr>
          </w:p>
        </w:tc>
        <w:tc>
          <w:tcPr>
            <w:tcW w:w="0" w:type="auto"/>
            <w:noWrap/>
            <w:hideMark/>
          </w:tcPr>
          <w:p w14:paraId="7C2B0F4C" w14:textId="7777777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0</w:t>
            </w:r>
          </w:p>
        </w:tc>
        <w:tc>
          <w:tcPr>
            <w:tcW w:w="0" w:type="auto"/>
            <w:noWrap/>
            <w:hideMark/>
          </w:tcPr>
          <w:p w14:paraId="1AF6CDE6" w14:textId="7777777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1-5</w:t>
            </w:r>
          </w:p>
        </w:tc>
        <w:tc>
          <w:tcPr>
            <w:tcW w:w="0" w:type="auto"/>
            <w:noWrap/>
            <w:hideMark/>
          </w:tcPr>
          <w:p w14:paraId="0945AAA1" w14:textId="7777777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6-19</w:t>
            </w:r>
          </w:p>
        </w:tc>
        <w:tc>
          <w:tcPr>
            <w:tcW w:w="0" w:type="auto"/>
            <w:noWrap/>
            <w:hideMark/>
          </w:tcPr>
          <w:p w14:paraId="50AF8D32" w14:textId="7777777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20+</w:t>
            </w:r>
          </w:p>
        </w:tc>
        <w:tc>
          <w:tcPr>
            <w:tcW w:w="0" w:type="auto"/>
            <w:noWrap/>
            <w:hideMark/>
          </w:tcPr>
          <w:p w14:paraId="79C8A588" w14:textId="7777777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Total</w:t>
            </w:r>
          </w:p>
        </w:tc>
      </w:tr>
      <w:tr w:rsidR="000E1578" w:rsidRPr="00936D28" w14:paraId="5E9A12DC" w14:textId="77777777" w:rsidTr="000D2587">
        <w:trPr>
          <w:trHeight w:val="300"/>
        </w:trPr>
        <w:tc>
          <w:tcPr>
            <w:tcW w:w="0" w:type="auto"/>
            <w:noWrap/>
            <w:hideMark/>
          </w:tcPr>
          <w:p w14:paraId="437879B3" w14:textId="7777777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 xml:space="preserve">2013 </w:t>
            </w:r>
          </w:p>
        </w:tc>
        <w:tc>
          <w:tcPr>
            <w:tcW w:w="0" w:type="auto"/>
            <w:noWrap/>
            <w:hideMark/>
          </w:tcPr>
          <w:p w14:paraId="7FE1B02D"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372</w:t>
            </w:r>
          </w:p>
        </w:tc>
        <w:tc>
          <w:tcPr>
            <w:tcW w:w="0" w:type="auto"/>
            <w:noWrap/>
            <w:hideMark/>
          </w:tcPr>
          <w:p w14:paraId="10309A9F"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1,832</w:t>
            </w:r>
          </w:p>
        </w:tc>
        <w:tc>
          <w:tcPr>
            <w:tcW w:w="0" w:type="auto"/>
            <w:noWrap/>
            <w:hideMark/>
          </w:tcPr>
          <w:p w14:paraId="33A88B5F"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525</w:t>
            </w:r>
          </w:p>
        </w:tc>
        <w:tc>
          <w:tcPr>
            <w:tcW w:w="0" w:type="auto"/>
            <w:noWrap/>
            <w:hideMark/>
          </w:tcPr>
          <w:p w14:paraId="63F78B89"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14</w:t>
            </w:r>
          </w:p>
        </w:tc>
        <w:tc>
          <w:tcPr>
            <w:tcW w:w="0" w:type="auto"/>
            <w:noWrap/>
            <w:hideMark/>
          </w:tcPr>
          <w:p w14:paraId="2AB0E04F"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2,743</w:t>
            </w:r>
          </w:p>
        </w:tc>
      </w:tr>
      <w:tr w:rsidR="000E1578" w:rsidRPr="00936D28" w14:paraId="1D96EF37" w14:textId="77777777" w:rsidTr="000D2587">
        <w:trPr>
          <w:trHeight w:val="300"/>
        </w:trPr>
        <w:tc>
          <w:tcPr>
            <w:tcW w:w="0" w:type="auto"/>
            <w:noWrap/>
            <w:hideMark/>
          </w:tcPr>
          <w:p w14:paraId="57D26BCB" w14:textId="7777777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 (1yr)</w:t>
            </w:r>
          </w:p>
        </w:tc>
        <w:tc>
          <w:tcPr>
            <w:tcW w:w="0" w:type="auto"/>
            <w:noWrap/>
            <w:hideMark/>
          </w:tcPr>
          <w:p w14:paraId="3E7E3DD6"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13.6%</w:t>
            </w:r>
          </w:p>
        </w:tc>
        <w:tc>
          <w:tcPr>
            <w:tcW w:w="0" w:type="auto"/>
            <w:noWrap/>
            <w:hideMark/>
          </w:tcPr>
          <w:p w14:paraId="0C171496"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66.8%</w:t>
            </w:r>
          </w:p>
        </w:tc>
        <w:tc>
          <w:tcPr>
            <w:tcW w:w="0" w:type="auto"/>
            <w:noWrap/>
            <w:hideMark/>
          </w:tcPr>
          <w:p w14:paraId="6C7D69CC"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19.1%</w:t>
            </w:r>
          </w:p>
        </w:tc>
        <w:tc>
          <w:tcPr>
            <w:tcW w:w="0" w:type="auto"/>
            <w:noWrap/>
            <w:hideMark/>
          </w:tcPr>
          <w:p w14:paraId="2250B6DD"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0.5%</w:t>
            </w:r>
          </w:p>
        </w:tc>
        <w:tc>
          <w:tcPr>
            <w:tcW w:w="0" w:type="auto"/>
            <w:noWrap/>
            <w:hideMark/>
          </w:tcPr>
          <w:p w14:paraId="0D840A97" w14:textId="77777777" w:rsidR="000E1578" w:rsidRPr="00936D28" w:rsidRDefault="000E1578" w:rsidP="000D2587">
            <w:pPr>
              <w:rPr>
                <w:rFonts w:asciiTheme="majorHAnsi" w:hAnsiTheme="majorHAnsi" w:cstheme="majorHAnsi"/>
                <w:bCs/>
                <w:sz w:val="22"/>
                <w:szCs w:val="22"/>
              </w:rPr>
            </w:pPr>
          </w:p>
        </w:tc>
      </w:tr>
      <w:tr w:rsidR="000E1578" w:rsidRPr="00936D28" w14:paraId="4A08518E" w14:textId="77777777" w:rsidTr="000D2587">
        <w:trPr>
          <w:trHeight w:val="300"/>
        </w:trPr>
        <w:tc>
          <w:tcPr>
            <w:tcW w:w="0" w:type="auto"/>
            <w:noWrap/>
            <w:hideMark/>
          </w:tcPr>
          <w:p w14:paraId="4263D8D6" w14:textId="7777777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2011-13</w:t>
            </w:r>
          </w:p>
        </w:tc>
        <w:tc>
          <w:tcPr>
            <w:tcW w:w="0" w:type="auto"/>
            <w:noWrap/>
            <w:hideMark/>
          </w:tcPr>
          <w:p w14:paraId="0B826B01"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74</w:t>
            </w:r>
          </w:p>
        </w:tc>
        <w:tc>
          <w:tcPr>
            <w:tcW w:w="0" w:type="auto"/>
            <w:noWrap/>
            <w:hideMark/>
          </w:tcPr>
          <w:p w14:paraId="254FB000"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811</w:t>
            </w:r>
          </w:p>
        </w:tc>
        <w:tc>
          <w:tcPr>
            <w:tcW w:w="0" w:type="auto"/>
            <w:noWrap/>
            <w:hideMark/>
          </w:tcPr>
          <w:p w14:paraId="7D1FB109"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1,540</w:t>
            </w:r>
          </w:p>
        </w:tc>
        <w:tc>
          <w:tcPr>
            <w:tcW w:w="0" w:type="auto"/>
            <w:noWrap/>
            <w:hideMark/>
          </w:tcPr>
          <w:p w14:paraId="43D79996"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318</w:t>
            </w:r>
          </w:p>
        </w:tc>
        <w:tc>
          <w:tcPr>
            <w:tcW w:w="0" w:type="auto"/>
            <w:noWrap/>
            <w:hideMark/>
          </w:tcPr>
          <w:p w14:paraId="412BD7F3"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2,743</w:t>
            </w:r>
          </w:p>
        </w:tc>
      </w:tr>
      <w:tr w:rsidR="000E1578" w:rsidRPr="00936D28" w14:paraId="4CE510CA" w14:textId="77777777" w:rsidTr="000D2587">
        <w:trPr>
          <w:trHeight w:val="300"/>
        </w:trPr>
        <w:tc>
          <w:tcPr>
            <w:tcW w:w="0" w:type="auto"/>
            <w:noWrap/>
            <w:hideMark/>
          </w:tcPr>
          <w:p w14:paraId="3C2D8AFB" w14:textId="7777777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 (3yr)</w:t>
            </w:r>
          </w:p>
        </w:tc>
        <w:tc>
          <w:tcPr>
            <w:tcW w:w="0" w:type="auto"/>
            <w:noWrap/>
            <w:hideMark/>
          </w:tcPr>
          <w:p w14:paraId="3A398338"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2.7%</w:t>
            </w:r>
          </w:p>
        </w:tc>
        <w:tc>
          <w:tcPr>
            <w:tcW w:w="0" w:type="auto"/>
            <w:noWrap/>
            <w:hideMark/>
          </w:tcPr>
          <w:p w14:paraId="4B6BD27C"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29.6%</w:t>
            </w:r>
          </w:p>
        </w:tc>
        <w:tc>
          <w:tcPr>
            <w:tcW w:w="0" w:type="auto"/>
            <w:noWrap/>
            <w:hideMark/>
          </w:tcPr>
          <w:p w14:paraId="0276C268"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56.1%</w:t>
            </w:r>
          </w:p>
        </w:tc>
        <w:tc>
          <w:tcPr>
            <w:tcW w:w="0" w:type="auto"/>
            <w:noWrap/>
            <w:hideMark/>
          </w:tcPr>
          <w:p w14:paraId="210CBDB7"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11.6%</w:t>
            </w:r>
          </w:p>
        </w:tc>
        <w:tc>
          <w:tcPr>
            <w:tcW w:w="0" w:type="auto"/>
            <w:noWrap/>
            <w:hideMark/>
          </w:tcPr>
          <w:p w14:paraId="00D6D63A" w14:textId="77777777" w:rsidR="000E1578" w:rsidRPr="00936D28" w:rsidRDefault="000E1578" w:rsidP="000D2587">
            <w:pPr>
              <w:rPr>
                <w:rFonts w:asciiTheme="majorHAnsi" w:hAnsiTheme="majorHAnsi" w:cstheme="majorHAnsi"/>
                <w:bCs/>
                <w:sz w:val="22"/>
                <w:szCs w:val="22"/>
              </w:rPr>
            </w:pPr>
          </w:p>
        </w:tc>
      </w:tr>
      <w:tr w:rsidR="000E1578" w:rsidRPr="00936D28" w14:paraId="58001CCD" w14:textId="77777777" w:rsidTr="000D2587">
        <w:trPr>
          <w:trHeight w:val="300"/>
        </w:trPr>
        <w:tc>
          <w:tcPr>
            <w:tcW w:w="0" w:type="auto"/>
            <w:noWrap/>
            <w:hideMark/>
          </w:tcPr>
          <w:p w14:paraId="0AC1E530" w14:textId="7777777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2009-13</w:t>
            </w:r>
          </w:p>
        </w:tc>
        <w:tc>
          <w:tcPr>
            <w:tcW w:w="0" w:type="auto"/>
            <w:noWrap/>
            <w:hideMark/>
          </w:tcPr>
          <w:p w14:paraId="4B820C2C"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25</w:t>
            </w:r>
          </w:p>
        </w:tc>
        <w:tc>
          <w:tcPr>
            <w:tcW w:w="0" w:type="auto"/>
            <w:noWrap/>
            <w:hideMark/>
          </w:tcPr>
          <w:p w14:paraId="5719D47E"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452</w:t>
            </w:r>
          </w:p>
        </w:tc>
        <w:tc>
          <w:tcPr>
            <w:tcW w:w="0" w:type="auto"/>
            <w:noWrap/>
            <w:hideMark/>
          </w:tcPr>
          <w:p w14:paraId="14F9BDD1"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1,375</w:t>
            </w:r>
          </w:p>
        </w:tc>
        <w:tc>
          <w:tcPr>
            <w:tcW w:w="0" w:type="auto"/>
            <w:noWrap/>
            <w:hideMark/>
          </w:tcPr>
          <w:p w14:paraId="4BF3BECF"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891</w:t>
            </w:r>
          </w:p>
        </w:tc>
        <w:tc>
          <w:tcPr>
            <w:tcW w:w="0" w:type="auto"/>
            <w:noWrap/>
            <w:hideMark/>
          </w:tcPr>
          <w:p w14:paraId="60EBFAC4"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2,743</w:t>
            </w:r>
          </w:p>
        </w:tc>
      </w:tr>
      <w:tr w:rsidR="000E1578" w:rsidRPr="00936D28" w14:paraId="4371DA5B" w14:textId="77777777" w:rsidTr="000D2587">
        <w:trPr>
          <w:trHeight w:val="300"/>
        </w:trPr>
        <w:tc>
          <w:tcPr>
            <w:tcW w:w="0" w:type="auto"/>
            <w:noWrap/>
            <w:hideMark/>
          </w:tcPr>
          <w:p w14:paraId="175DB805" w14:textId="7777777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 (5yr)</w:t>
            </w:r>
          </w:p>
        </w:tc>
        <w:tc>
          <w:tcPr>
            <w:tcW w:w="0" w:type="auto"/>
            <w:noWrap/>
            <w:hideMark/>
          </w:tcPr>
          <w:p w14:paraId="01695F9A"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0.9%</w:t>
            </w:r>
          </w:p>
        </w:tc>
        <w:tc>
          <w:tcPr>
            <w:tcW w:w="0" w:type="auto"/>
            <w:noWrap/>
            <w:hideMark/>
          </w:tcPr>
          <w:p w14:paraId="42854ADF"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16.5%</w:t>
            </w:r>
          </w:p>
        </w:tc>
        <w:tc>
          <w:tcPr>
            <w:tcW w:w="0" w:type="auto"/>
            <w:noWrap/>
            <w:hideMark/>
          </w:tcPr>
          <w:p w14:paraId="0E962223"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50.1%</w:t>
            </w:r>
          </w:p>
        </w:tc>
        <w:tc>
          <w:tcPr>
            <w:tcW w:w="0" w:type="auto"/>
            <w:noWrap/>
            <w:hideMark/>
          </w:tcPr>
          <w:p w14:paraId="30A83E7B"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32.5%</w:t>
            </w:r>
          </w:p>
        </w:tc>
        <w:tc>
          <w:tcPr>
            <w:tcW w:w="0" w:type="auto"/>
            <w:noWrap/>
            <w:hideMark/>
          </w:tcPr>
          <w:p w14:paraId="4171BD24" w14:textId="77777777" w:rsidR="000E1578" w:rsidRPr="00936D28" w:rsidRDefault="000E1578" w:rsidP="000D2587">
            <w:pPr>
              <w:rPr>
                <w:rFonts w:asciiTheme="majorHAnsi" w:hAnsiTheme="majorHAnsi" w:cstheme="majorHAnsi"/>
                <w:bCs/>
                <w:sz w:val="22"/>
                <w:szCs w:val="22"/>
              </w:rPr>
            </w:pPr>
          </w:p>
        </w:tc>
      </w:tr>
    </w:tbl>
    <w:p w14:paraId="031934A7" w14:textId="77777777" w:rsidR="000E1578" w:rsidRDefault="000E1578" w:rsidP="000E1578">
      <w:pPr>
        <w:rPr>
          <w:rFonts w:asciiTheme="majorHAnsi" w:hAnsiTheme="majorHAnsi" w:cstheme="majorHAnsi"/>
          <w:sz w:val="22"/>
          <w:szCs w:val="22"/>
        </w:rPr>
      </w:pPr>
    </w:p>
    <w:p w14:paraId="0D27F32D" w14:textId="5DDD0517" w:rsidR="000E1578" w:rsidRPr="00936D28" w:rsidRDefault="000E1578" w:rsidP="000E1578">
      <w:pPr>
        <w:rPr>
          <w:rFonts w:asciiTheme="majorHAnsi" w:hAnsiTheme="majorHAnsi" w:cstheme="majorHAnsi"/>
          <w:sz w:val="22"/>
          <w:szCs w:val="22"/>
        </w:rPr>
      </w:pPr>
      <w:r w:rsidRPr="00936D28">
        <w:rPr>
          <w:rFonts w:asciiTheme="majorHAnsi" w:hAnsiTheme="majorHAnsi" w:cstheme="majorHAnsi"/>
          <w:sz w:val="22"/>
          <w:szCs w:val="22"/>
        </w:rPr>
        <w:t>The table demonstrates that data for 2013 includes a number of ‘0’ cell values (372 of 2,743, 13.6%), this is beyond the recommended 10% threshold and may therefore impact the direct standardisation calculation. In 2013, 37 CCGs have an overall numerator volume of less than 25, a directly standardised rate (DSR) will not be calculated for these CCGs.</w:t>
      </w:r>
    </w:p>
    <w:p w14:paraId="50A8AD5C" w14:textId="77777777" w:rsidR="000E1578" w:rsidRPr="00936D28" w:rsidRDefault="000E1578" w:rsidP="000E1578">
      <w:pPr>
        <w:rPr>
          <w:rFonts w:asciiTheme="majorHAnsi" w:hAnsiTheme="majorHAnsi" w:cstheme="majorHAnsi"/>
          <w:sz w:val="22"/>
          <w:szCs w:val="22"/>
        </w:rPr>
      </w:pPr>
      <w:r w:rsidRPr="00936D28">
        <w:rPr>
          <w:rFonts w:asciiTheme="majorHAnsi" w:hAnsiTheme="majorHAnsi" w:cstheme="majorHAnsi"/>
          <w:sz w:val="22"/>
          <w:szCs w:val="22"/>
        </w:rPr>
        <w:lastRenderedPageBreak/>
        <w:t xml:space="preserve">If the reference period is increased to three or five years, the proportion of ‘0’ cell values in the numerator decreases. For the three-year period 2011-13, the number of ‘0’ cell values </w:t>
      </w:r>
      <w:proofErr w:type="gramStart"/>
      <w:r w:rsidRPr="00936D28">
        <w:rPr>
          <w:rFonts w:asciiTheme="majorHAnsi" w:hAnsiTheme="majorHAnsi" w:cstheme="majorHAnsi"/>
          <w:sz w:val="22"/>
          <w:szCs w:val="22"/>
        </w:rPr>
        <w:t>is</w:t>
      </w:r>
      <w:proofErr w:type="gramEnd"/>
      <w:r w:rsidRPr="00936D28">
        <w:rPr>
          <w:rFonts w:asciiTheme="majorHAnsi" w:hAnsiTheme="majorHAnsi" w:cstheme="majorHAnsi"/>
          <w:sz w:val="22"/>
          <w:szCs w:val="22"/>
        </w:rPr>
        <w:t xml:space="preserve"> reduced to 74 of 2,743 (2.7%), in this time period only one CCG has an overall numerator volume of less than 25, for which a DSR will not be calculated. For the five-year period 2009-13, the number of ‘0’ cell values </w:t>
      </w:r>
      <w:proofErr w:type="gramStart"/>
      <w:r w:rsidRPr="00936D28">
        <w:rPr>
          <w:rFonts w:asciiTheme="majorHAnsi" w:hAnsiTheme="majorHAnsi" w:cstheme="majorHAnsi"/>
          <w:sz w:val="22"/>
          <w:szCs w:val="22"/>
        </w:rPr>
        <w:t>is</w:t>
      </w:r>
      <w:proofErr w:type="gramEnd"/>
      <w:r w:rsidRPr="00936D28">
        <w:rPr>
          <w:rFonts w:asciiTheme="majorHAnsi" w:hAnsiTheme="majorHAnsi" w:cstheme="majorHAnsi"/>
          <w:sz w:val="22"/>
          <w:szCs w:val="22"/>
        </w:rPr>
        <w:t xml:space="preserve"> further reduced to 25 of 2,743 (0.9%) and no CCGs have an overall numerator volume of less than 25. These activity volumes are more acceptable for direct standardisation. </w:t>
      </w:r>
    </w:p>
    <w:p w14:paraId="720F7C1C" w14:textId="77777777" w:rsidR="000E1578" w:rsidRPr="00936D28" w:rsidRDefault="000E1578" w:rsidP="000E1578">
      <w:pPr>
        <w:rPr>
          <w:rFonts w:asciiTheme="majorHAnsi" w:hAnsiTheme="majorHAnsi" w:cstheme="majorHAnsi"/>
          <w:sz w:val="22"/>
          <w:szCs w:val="22"/>
        </w:rPr>
      </w:pPr>
      <w:r w:rsidRPr="00936D28">
        <w:rPr>
          <w:rFonts w:asciiTheme="majorHAnsi" w:hAnsiTheme="majorHAnsi" w:cstheme="majorHAnsi"/>
          <w:sz w:val="22"/>
          <w:szCs w:val="22"/>
        </w:rPr>
        <w:t xml:space="preserve">Based on the volumes presented above, it is recommended that data is presented for the period 2011-13 using five-year age bands in the standardisation calculation with the Mid-2011 Registered Population Estimates will be used as the denominator for this data. This will allow for a balance between the focus of the reference period and factors that could influence the standardisation calculation. </w:t>
      </w:r>
    </w:p>
    <w:p w14:paraId="12BE2F3F" w14:textId="313884D9" w:rsidR="000E1578" w:rsidRDefault="000E1578" w:rsidP="000E1578">
      <w:pPr>
        <w:pStyle w:val="Heading2"/>
        <w:rPr>
          <w:rFonts w:asciiTheme="majorHAnsi" w:hAnsiTheme="majorHAnsi" w:cstheme="majorHAnsi"/>
          <w:color w:val="auto"/>
          <w:sz w:val="22"/>
          <w:szCs w:val="22"/>
        </w:rPr>
      </w:pPr>
    </w:p>
    <w:p w14:paraId="604D3646" w14:textId="77777777" w:rsidR="000E1578" w:rsidRPr="000E1578" w:rsidRDefault="000E1578" w:rsidP="000E1578"/>
    <w:tbl>
      <w:tblPr>
        <w:tblStyle w:val="TableGrid"/>
        <w:tblW w:w="5296" w:type="pct"/>
        <w:jc w:val="center"/>
        <w:tblLook w:val="04A0" w:firstRow="1" w:lastRow="0" w:firstColumn="1" w:lastColumn="0" w:noHBand="0" w:noVBand="1"/>
      </w:tblPr>
      <w:tblGrid>
        <w:gridCol w:w="1072"/>
        <w:gridCol w:w="1335"/>
        <w:gridCol w:w="1580"/>
        <w:gridCol w:w="1227"/>
        <w:gridCol w:w="2183"/>
        <w:gridCol w:w="1662"/>
        <w:gridCol w:w="1378"/>
      </w:tblGrid>
      <w:tr w:rsidR="000E1578" w:rsidRPr="00936D28" w14:paraId="6B8E8B57" w14:textId="77777777" w:rsidTr="00F01537">
        <w:trPr>
          <w:trHeight w:val="303"/>
          <w:jc w:val="center"/>
        </w:trPr>
        <w:tc>
          <w:tcPr>
            <w:tcW w:w="514" w:type="pct"/>
            <w:tcBorders>
              <w:top w:val="single" w:sz="4" w:space="0" w:color="auto"/>
              <w:left w:val="single" w:sz="4" w:space="0" w:color="auto"/>
              <w:bottom w:val="single" w:sz="4" w:space="0" w:color="auto"/>
              <w:right w:val="single" w:sz="4" w:space="0" w:color="auto"/>
            </w:tcBorders>
            <w:hideMark/>
          </w:tcPr>
          <w:p w14:paraId="6E20E84A" w14:textId="7777777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CCG</w:t>
            </w:r>
          </w:p>
        </w:tc>
        <w:tc>
          <w:tcPr>
            <w:tcW w:w="640" w:type="pct"/>
            <w:tcBorders>
              <w:top w:val="single" w:sz="4" w:space="0" w:color="auto"/>
              <w:left w:val="single" w:sz="4" w:space="0" w:color="auto"/>
              <w:bottom w:val="single" w:sz="4" w:space="0" w:color="auto"/>
              <w:right w:val="single" w:sz="4" w:space="0" w:color="auto"/>
            </w:tcBorders>
            <w:hideMark/>
          </w:tcPr>
          <w:p w14:paraId="7F7C53EB" w14:textId="7777777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Numerator</w:t>
            </w:r>
          </w:p>
        </w:tc>
        <w:tc>
          <w:tcPr>
            <w:tcW w:w="757" w:type="pct"/>
            <w:tcBorders>
              <w:top w:val="single" w:sz="4" w:space="0" w:color="auto"/>
              <w:left w:val="single" w:sz="4" w:space="0" w:color="auto"/>
              <w:bottom w:val="single" w:sz="4" w:space="0" w:color="auto"/>
              <w:right w:val="single" w:sz="4" w:space="0" w:color="auto"/>
            </w:tcBorders>
            <w:hideMark/>
          </w:tcPr>
          <w:p w14:paraId="5FAC5415" w14:textId="7777777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Denominator</w:t>
            </w:r>
          </w:p>
        </w:tc>
        <w:tc>
          <w:tcPr>
            <w:tcW w:w="588" w:type="pct"/>
            <w:tcBorders>
              <w:top w:val="single" w:sz="4" w:space="0" w:color="auto"/>
              <w:left w:val="single" w:sz="4" w:space="0" w:color="auto"/>
              <w:bottom w:val="single" w:sz="4" w:space="0" w:color="auto"/>
              <w:right w:val="single" w:sz="4" w:space="0" w:color="auto"/>
            </w:tcBorders>
            <w:hideMark/>
          </w:tcPr>
          <w:p w14:paraId="71229141" w14:textId="7777777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Rate per 100,000</w:t>
            </w:r>
          </w:p>
        </w:tc>
        <w:tc>
          <w:tcPr>
            <w:tcW w:w="1046" w:type="pct"/>
            <w:tcBorders>
              <w:top w:val="single" w:sz="4" w:space="0" w:color="auto"/>
              <w:left w:val="single" w:sz="4" w:space="0" w:color="auto"/>
              <w:bottom w:val="single" w:sz="4" w:space="0" w:color="auto"/>
              <w:right w:val="single" w:sz="4" w:space="0" w:color="auto"/>
            </w:tcBorders>
            <w:hideMark/>
          </w:tcPr>
          <w:p w14:paraId="562B4C78" w14:textId="7777777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DSR per 100,000</w:t>
            </w:r>
          </w:p>
        </w:tc>
        <w:tc>
          <w:tcPr>
            <w:tcW w:w="796" w:type="pct"/>
            <w:tcBorders>
              <w:top w:val="single" w:sz="4" w:space="0" w:color="auto"/>
              <w:left w:val="single" w:sz="4" w:space="0" w:color="auto"/>
              <w:bottom w:val="single" w:sz="4" w:space="0" w:color="auto"/>
              <w:right w:val="single" w:sz="4" w:space="0" w:color="auto"/>
            </w:tcBorders>
            <w:hideMark/>
          </w:tcPr>
          <w:p w14:paraId="56217A20" w14:textId="2C26F894" w:rsidR="000E1578" w:rsidRPr="00936D28" w:rsidRDefault="000E1578" w:rsidP="000D2587">
            <w:pPr>
              <w:rPr>
                <w:rFonts w:asciiTheme="majorHAnsi" w:hAnsiTheme="majorHAnsi" w:cstheme="majorHAnsi"/>
                <w:b/>
                <w:bCs/>
                <w:sz w:val="22"/>
                <w:szCs w:val="22"/>
              </w:rPr>
            </w:pPr>
            <w:r>
              <w:rPr>
                <w:rFonts w:asciiTheme="majorHAnsi" w:hAnsiTheme="majorHAnsi" w:cstheme="majorHAnsi"/>
                <w:b/>
                <w:bCs/>
                <w:sz w:val="22"/>
                <w:szCs w:val="22"/>
              </w:rPr>
              <w:t xml:space="preserve">95% confidence interval </w:t>
            </w:r>
            <w:proofErr w:type="spellStart"/>
            <w:r w:rsidRPr="00936D28">
              <w:rPr>
                <w:rFonts w:asciiTheme="majorHAnsi" w:hAnsiTheme="majorHAnsi" w:cstheme="majorHAnsi"/>
                <w:b/>
                <w:bCs/>
                <w:sz w:val="22"/>
                <w:szCs w:val="22"/>
              </w:rPr>
              <w:t>DSR</w:t>
            </w:r>
            <w:r w:rsidRPr="00936D28">
              <w:rPr>
                <w:rFonts w:asciiTheme="majorHAnsi" w:hAnsiTheme="majorHAnsi" w:cstheme="majorHAnsi"/>
                <w:b/>
                <w:bCs/>
                <w:i/>
                <w:sz w:val="22"/>
                <w:szCs w:val="22"/>
                <w:vertAlign w:val="subscript"/>
              </w:rPr>
              <w:t>lower</w:t>
            </w:r>
            <w:proofErr w:type="spellEnd"/>
          </w:p>
        </w:tc>
        <w:tc>
          <w:tcPr>
            <w:tcW w:w="660" w:type="pct"/>
            <w:tcBorders>
              <w:top w:val="single" w:sz="4" w:space="0" w:color="auto"/>
              <w:left w:val="single" w:sz="4" w:space="0" w:color="auto"/>
              <w:bottom w:val="single" w:sz="4" w:space="0" w:color="auto"/>
              <w:right w:val="single" w:sz="4" w:space="0" w:color="auto"/>
            </w:tcBorders>
            <w:hideMark/>
          </w:tcPr>
          <w:p w14:paraId="5D56F1FE" w14:textId="4FBC24E4" w:rsidR="000E1578" w:rsidRPr="00936D28" w:rsidRDefault="000E1578" w:rsidP="000D2587">
            <w:pPr>
              <w:rPr>
                <w:rFonts w:asciiTheme="majorHAnsi" w:hAnsiTheme="majorHAnsi" w:cstheme="majorHAnsi"/>
                <w:b/>
                <w:bCs/>
                <w:sz w:val="22"/>
                <w:szCs w:val="22"/>
              </w:rPr>
            </w:pPr>
            <w:r>
              <w:rPr>
                <w:rFonts w:asciiTheme="majorHAnsi" w:hAnsiTheme="majorHAnsi" w:cstheme="majorHAnsi"/>
                <w:b/>
                <w:bCs/>
                <w:sz w:val="22"/>
                <w:szCs w:val="22"/>
              </w:rPr>
              <w:t xml:space="preserve">95% confidence interval </w:t>
            </w:r>
            <w:proofErr w:type="spellStart"/>
            <w:r w:rsidRPr="00936D28">
              <w:rPr>
                <w:rFonts w:asciiTheme="majorHAnsi" w:hAnsiTheme="majorHAnsi" w:cstheme="majorHAnsi"/>
                <w:b/>
                <w:bCs/>
                <w:sz w:val="22"/>
                <w:szCs w:val="22"/>
              </w:rPr>
              <w:t>DSR</w:t>
            </w:r>
            <w:r w:rsidRPr="00936D28">
              <w:rPr>
                <w:rFonts w:asciiTheme="majorHAnsi" w:hAnsiTheme="majorHAnsi" w:cstheme="majorHAnsi"/>
                <w:b/>
                <w:bCs/>
                <w:i/>
                <w:sz w:val="22"/>
                <w:szCs w:val="22"/>
                <w:vertAlign w:val="subscript"/>
              </w:rPr>
              <w:t>upper</w:t>
            </w:r>
            <w:proofErr w:type="spellEnd"/>
          </w:p>
        </w:tc>
      </w:tr>
      <w:tr w:rsidR="000E1578" w:rsidRPr="00936D28" w14:paraId="65338313" w14:textId="77777777" w:rsidTr="00F01537">
        <w:trPr>
          <w:trHeight w:val="185"/>
          <w:jc w:val="center"/>
        </w:trPr>
        <w:tc>
          <w:tcPr>
            <w:tcW w:w="514" w:type="pct"/>
            <w:tcBorders>
              <w:top w:val="single" w:sz="4" w:space="0" w:color="auto"/>
              <w:left w:val="single" w:sz="4" w:space="0" w:color="auto"/>
              <w:bottom w:val="single" w:sz="4" w:space="0" w:color="auto"/>
              <w:right w:val="single" w:sz="4" w:space="0" w:color="auto"/>
            </w:tcBorders>
            <w:vAlign w:val="bottom"/>
            <w:hideMark/>
          </w:tcPr>
          <w:p w14:paraId="5684824A"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CCG1</w:t>
            </w:r>
          </w:p>
        </w:tc>
        <w:tc>
          <w:tcPr>
            <w:tcW w:w="640" w:type="pct"/>
            <w:tcBorders>
              <w:top w:val="single" w:sz="4" w:space="0" w:color="auto"/>
              <w:left w:val="single" w:sz="4" w:space="0" w:color="auto"/>
              <w:bottom w:val="single" w:sz="4" w:space="0" w:color="auto"/>
              <w:right w:val="single" w:sz="4" w:space="0" w:color="auto"/>
            </w:tcBorders>
            <w:vAlign w:val="bottom"/>
            <w:hideMark/>
          </w:tcPr>
          <w:p w14:paraId="34872A20"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18 </w:t>
            </w:r>
          </w:p>
        </w:tc>
        <w:tc>
          <w:tcPr>
            <w:tcW w:w="757" w:type="pct"/>
            <w:tcBorders>
              <w:top w:val="single" w:sz="4" w:space="0" w:color="auto"/>
              <w:left w:val="single" w:sz="4" w:space="0" w:color="auto"/>
              <w:bottom w:val="single" w:sz="4" w:space="0" w:color="auto"/>
              <w:right w:val="single" w:sz="4" w:space="0" w:color="auto"/>
            </w:tcBorders>
            <w:vAlign w:val="bottom"/>
            <w:hideMark/>
          </w:tcPr>
          <w:p w14:paraId="4067CDEA"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18,034 </w:t>
            </w:r>
          </w:p>
        </w:tc>
        <w:tc>
          <w:tcPr>
            <w:tcW w:w="588" w:type="pct"/>
            <w:tcBorders>
              <w:top w:val="single" w:sz="4" w:space="0" w:color="auto"/>
              <w:left w:val="single" w:sz="4" w:space="0" w:color="auto"/>
              <w:bottom w:val="single" w:sz="4" w:space="0" w:color="auto"/>
              <w:right w:val="single" w:sz="4" w:space="0" w:color="auto"/>
            </w:tcBorders>
            <w:vAlign w:val="bottom"/>
            <w:hideMark/>
          </w:tcPr>
          <w:p w14:paraId="69535E00"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99.8 </w:t>
            </w:r>
          </w:p>
        </w:tc>
        <w:tc>
          <w:tcPr>
            <w:tcW w:w="1046" w:type="pct"/>
            <w:tcBorders>
              <w:top w:val="single" w:sz="4" w:space="0" w:color="auto"/>
              <w:left w:val="single" w:sz="4" w:space="0" w:color="auto"/>
              <w:bottom w:val="single" w:sz="4" w:space="0" w:color="auto"/>
              <w:right w:val="single" w:sz="4" w:space="0" w:color="auto"/>
            </w:tcBorders>
            <w:vAlign w:val="bottom"/>
            <w:hideMark/>
          </w:tcPr>
          <w:p w14:paraId="3E4A1797"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   </w:t>
            </w:r>
          </w:p>
        </w:tc>
        <w:tc>
          <w:tcPr>
            <w:tcW w:w="796" w:type="pct"/>
            <w:tcBorders>
              <w:top w:val="single" w:sz="4" w:space="0" w:color="auto"/>
              <w:left w:val="single" w:sz="4" w:space="0" w:color="auto"/>
              <w:bottom w:val="single" w:sz="4" w:space="0" w:color="auto"/>
              <w:right w:val="single" w:sz="4" w:space="0" w:color="auto"/>
            </w:tcBorders>
            <w:vAlign w:val="bottom"/>
            <w:hideMark/>
          </w:tcPr>
          <w:p w14:paraId="3B77E3C8"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   </w:t>
            </w:r>
          </w:p>
        </w:tc>
        <w:tc>
          <w:tcPr>
            <w:tcW w:w="660" w:type="pct"/>
            <w:tcBorders>
              <w:top w:val="single" w:sz="4" w:space="0" w:color="auto"/>
              <w:left w:val="single" w:sz="4" w:space="0" w:color="auto"/>
              <w:bottom w:val="single" w:sz="4" w:space="0" w:color="auto"/>
              <w:right w:val="single" w:sz="4" w:space="0" w:color="auto"/>
            </w:tcBorders>
            <w:vAlign w:val="bottom"/>
            <w:hideMark/>
          </w:tcPr>
          <w:p w14:paraId="016A4707"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   </w:t>
            </w:r>
          </w:p>
        </w:tc>
      </w:tr>
      <w:tr w:rsidR="000E1578" w:rsidRPr="00936D28" w14:paraId="35696EE8" w14:textId="77777777" w:rsidTr="00F01537">
        <w:trPr>
          <w:trHeight w:val="96"/>
          <w:jc w:val="center"/>
        </w:trPr>
        <w:tc>
          <w:tcPr>
            <w:tcW w:w="514" w:type="pct"/>
            <w:tcBorders>
              <w:top w:val="single" w:sz="4" w:space="0" w:color="auto"/>
              <w:left w:val="single" w:sz="4" w:space="0" w:color="auto"/>
              <w:bottom w:val="single" w:sz="4" w:space="0" w:color="auto"/>
              <w:right w:val="single" w:sz="4" w:space="0" w:color="auto"/>
            </w:tcBorders>
            <w:vAlign w:val="bottom"/>
            <w:hideMark/>
          </w:tcPr>
          <w:p w14:paraId="04385E34"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CCG2</w:t>
            </w:r>
          </w:p>
        </w:tc>
        <w:tc>
          <w:tcPr>
            <w:tcW w:w="640" w:type="pct"/>
            <w:tcBorders>
              <w:top w:val="single" w:sz="4" w:space="0" w:color="auto"/>
              <w:left w:val="single" w:sz="4" w:space="0" w:color="auto"/>
              <w:bottom w:val="single" w:sz="4" w:space="0" w:color="auto"/>
              <w:right w:val="single" w:sz="4" w:space="0" w:color="auto"/>
            </w:tcBorders>
            <w:vAlign w:val="bottom"/>
            <w:hideMark/>
          </w:tcPr>
          <w:p w14:paraId="018297DC"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68 </w:t>
            </w:r>
          </w:p>
        </w:tc>
        <w:tc>
          <w:tcPr>
            <w:tcW w:w="757" w:type="pct"/>
            <w:tcBorders>
              <w:top w:val="single" w:sz="4" w:space="0" w:color="auto"/>
              <w:left w:val="single" w:sz="4" w:space="0" w:color="auto"/>
              <w:bottom w:val="single" w:sz="4" w:space="0" w:color="auto"/>
              <w:right w:val="single" w:sz="4" w:space="0" w:color="auto"/>
            </w:tcBorders>
            <w:vAlign w:val="bottom"/>
            <w:hideMark/>
          </w:tcPr>
          <w:p w14:paraId="0A08716C"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71,794 </w:t>
            </w:r>
          </w:p>
        </w:tc>
        <w:tc>
          <w:tcPr>
            <w:tcW w:w="588" w:type="pct"/>
            <w:tcBorders>
              <w:top w:val="single" w:sz="4" w:space="0" w:color="auto"/>
              <w:left w:val="single" w:sz="4" w:space="0" w:color="auto"/>
              <w:bottom w:val="single" w:sz="4" w:space="0" w:color="auto"/>
              <w:right w:val="single" w:sz="4" w:space="0" w:color="auto"/>
            </w:tcBorders>
            <w:vAlign w:val="bottom"/>
            <w:hideMark/>
          </w:tcPr>
          <w:p w14:paraId="00F3ECF1"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94.7 </w:t>
            </w:r>
          </w:p>
        </w:tc>
        <w:tc>
          <w:tcPr>
            <w:tcW w:w="1046" w:type="pct"/>
            <w:tcBorders>
              <w:top w:val="single" w:sz="4" w:space="0" w:color="auto"/>
              <w:left w:val="single" w:sz="4" w:space="0" w:color="auto"/>
              <w:bottom w:val="single" w:sz="4" w:space="0" w:color="auto"/>
              <w:right w:val="single" w:sz="4" w:space="0" w:color="auto"/>
            </w:tcBorders>
            <w:vAlign w:val="bottom"/>
            <w:hideMark/>
          </w:tcPr>
          <w:p w14:paraId="28D59B14"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124.0 </w:t>
            </w:r>
          </w:p>
        </w:tc>
        <w:tc>
          <w:tcPr>
            <w:tcW w:w="796" w:type="pct"/>
            <w:tcBorders>
              <w:top w:val="single" w:sz="4" w:space="0" w:color="auto"/>
              <w:left w:val="single" w:sz="4" w:space="0" w:color="auto"/>
              <w:bottom w:val="single" w:sz="4" w:space="0" w:color="auto"/>
              <w:right w:val="single" w:sz="4" w:space="0" w:color="auto"/>
            </w:tcBorders>
            <w:vAlign w:val="bottom"/>
            <w:hideMark/>
          </w:tcPr>
          <w:p w14:paraId="25AB0EF8"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94.7 </w:t>
            </w:r>
          </w:p>
        </w:tc>
        <w:tc>
          <w:tcPr>
            <w:tcW w:w="660" w:type="pct"/>
            <w:tcBorders>
              <w:top w:val="single" w:sz="4" w:space="0" w:color="auto"/>
              <w:left w:val="single" w:sz="4" w:space="0" w:color="auto"/>
              <w:bottom w:val="single" w:sz="4" w:space="0" w:color="auto"/>
              <w:right w:val="single" w:sz="4" w:space="0" w:color="auto"/>
            </w:tcBorders>
            <w:vAlign w:val="bottom"/>
            <w:hideMark/>
          </w:tcPr>
          <w:p w14:paraId="2E6A0C5F"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159.1 </w:t>
            </w:r>
          </w:p>
        </w:tc>
      </w:tr>
      <w:tr w:rsidR="000E1578" w:rsidRPr="00936D28" w14:paraId="44705453" w14:textId="77777777" w:rsidTr="00F01537">
        <w:trPr>
          <w:trHeight w:val="256"/>
          <w:jc w:val="center"/>
        </w:trPr>
        <w:tc>
          <w:tcPr>
            <w:tcW w:w="514" w:type="pct"/>
            <w:tcBorders>
              <w:top w:val="single" w:sz="4" w:space="0" w:color="auto"/>
              <w:left w:val="single" w:sz="4" w:space="0" w:color="auto"/>
              <w:bottom w:val="single" w:sz="4" w:space="0" w:color="auto"/>
              <w:right w:val="single" w:sz="4" w:space="0" w:color="auto"/>
            </w:tcBorders>
            <w:vAlign w:val="bottom"/>
            <w:hideMark/>
          </w:tcPr>
          <w:p w14:paraId="28D07E51"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CCG3</w:t>
            </w:r>
          </w:p>
        </w:tc>
        <w:tc>
          <w:tcPr>
            <w:tcW w:w="640" w:type="pct"/>
            <w:tcBorders>
              <w:top w:val="single" w:sz="4" w:space="0" w:color="auto"/>
              <w:left w:val="single" w:sz="4" w:space="0" w:color="auto"/>
              <w:bottom w:val="single" w:sz="4" w:space="0" w:color="auto"/>
              <w:right w:val="single" w:sz="4" w:space="0" w:color="auto"/>
            </w:tcBorders>
            <w:vAlign w:val="bottom"/>
            <w:hideMark/>
          </w:tcPr>
          <w:p w14:paraId="618AC091"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47 </w:t>
            </w:r>
          </w:p>
        </w:tc>
        <w:tc>
          <w:tcPr>
            <w:tcW w:w="757" w:type="pct"/>
            <w:tcBorders>
              <w:top w:val="single" w:sz="4" w:space="0" w:color="auto"/>
              <w:left w:val="single" w:sz="4" w:space="0" w:color="auto"/>
              <w:bottom w:val="single" w:sz="4" w:space="0" w:color="auto"/>
              <w:right w:val="single" w:sz="4" w:space="0" w:color="auto"/>
            </w:tcBorders>
            <w:vAlign w:val="bottom"/>
            <w:hideMark/>
          </w:tcPr>
          <w:p w14:paraId="230A5E08"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36,525 </w:t>
            </w:r>
          </w:p>
        </w:tc>
        <w:tc>
          <w:tcPr>
            <w:tcW w:w="588" w:type="pct"/>
            <w:tcBorders>
              <w:top w:val="single" w:sz="4" w:space="0" w:color="auto"/>
              <w:left w:val="single" w:sz="4" w:space="0" w:color="auto"/>
              <w:bottom w:val="single" w:sz="4" w:space="0" w:color="auto"/>
              <w:right w:val="single" w:sz="4" w:space="0" w:color="auto"/>
            </w:tcBorders>
            <w:vAlign w:val="bottom"/>
            <w:hideMark/>
          </w:tcPr>
          <w:p w14:paraId="5FC62D33"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128.7 </w:t>
            </w:r>
          </w:p>
        </w:tc>
        <w:tc>
          <w:tcPr>
            <w:tcW w:w="1046" w:type="pct"/>
            <w:tcBorders>
              <w:top w:val="single" w:sz="4" w:space="0" w:color="auto"/>
              <w:left w:val="single" w:sz="4" w:space="0" w:color="auto"/>
              <w:bottom w:val="single" w:sz="4" w:space="0" w:color="auto"/>
              <w:right w:val="single" w:sz="4" w:space="0" w:color="auto"/>
            </w:tcBorders>
            <w:vAlign w:val="bottom"/>
            <w:hideMark/>
          </w:tcPr>
          <w:p w14:paraId="50C0E4A1"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129.8 </w:t>
            </w:r>
          </w:p>
        </w:tc>
        <w:tc>
          <w:tcPr>
            <w:tcW w:w="796" w:type="pct"/>
            <w:tcBorders>
              <w:top w:val="single" w:sz="4" w:space="0" w:color="auto"/>
              <w:left w:val="single" w:sz="4" w:space="0" w:color="auto"/>
              <w:bottom w:val="single" w:sz="4" w:space="0" w:color="auto"/>
              <w:right w:val="single" w:sz="4" w:space="0" w:color="auto"/>
            </w:tcBorders>
            <w:vAlign w:val="bottom"/>
            <w:hideMark/>
          </w:tcPr>
          <w:p w14:paraId="130FCBEF"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95.3 </w:t>
            </w:r>
          </w:p>
        </w:tc>
        <w:tc>
          <w:tcPr>
            <w:tcW w:w="660" w:type="pct"/>
            <w:tcBorders>
              <w:top w:val="single" w:sz="4" w:space="0" w:color="auto"/>
              <w:left w:val="single" w:sz="4" w:space="0" w:color="auto"/>
              <w:bottom w:val="single" w:sz="4" w:space="0" w:color="auto"/>
              <w:right w:val="single" w:sz="4" w:space="0" w:color="auto"/>
            </w:tcBorders>
            <w:vAlign w:val="bottom"/>
            <w:hideMark/>
          </w:tcPr>
          <w:p w14:paraId="600F4253"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172.7 </w:t>
            </w:r>
          </w:p>
        </w:tc>
      </w:tr>
      <w:tr w:rsidR="000E1578" w:rsidRPr="00936D28" w14:paraId="566D8718" w14:textId="77777777" w:rsidTr="00F01537">
        <w:trPr>
          <w:trHeight w:val="256"/>
          <w:jc w:val="center"/>
        </w:trPr>
        <w:tc>
          <w:tcPr>
            <w:tcW w:w="514" w:type="pct"/>
            <w:tcBorders>
              <w:top w:val="single" w:sz="4" w:space="0" w:color="auto"/>
              <w:left w:val="single" w:sz="4" w:space="0" w:color="auto"/>
              <w:bottom w:val="single" w:sz="4" w:space="0" w:color="auto"/>
              <w:right w:val="single" w:sz="4" w:space="0" w:color="auto"/>
            </w:tcBorders>
            <w:vAlign w:val="bottom"/>
            <w:hideMark/>
          </w:tcPr>
          <w:p w14:paraId="245FDCC1"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CCG4</w:t>
            </w:r>
          </w:p>
        </w:tc>
        <w:tc>
          <w:tcPr>
            <w:tcW w:w="640" w:type="pct"/>
            <w:tcBorders>
              <w:top w:val="single" w:sz="4" w:space="0" w:color="auto"/>
              <w:left w:val="single" w:sz="4" w:space="0" w:color="auto"/>
              <w:bottom w:val="single" w:sz="4" w:space="0" w:color="auto"/>
              <w:right w:val="single" w:sz="4" w:space="0" w:color="auto"/>
            </w:tcBorders>
            <w:vAlign w:val="bottom"/>
            <w:hideMark/>
          </w:tcPr>
          <w:p w14:paraId="0CA4A179"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84 </w:t>
            </w:r>
          </w:p>
        </w:tc>
        <w:tc>
          <w:tcPr>
            <w:tcW w:w="757" w:type="pct"/>
            <w:tcBorders>
              <w:top w:val="single" w:sz="4" w:space="0" w:color="auto"/>
              <w:left w:val="single" w:sz="4" w:space="0" w:color="auto"/>
              <w:bottom w:val="single" w:sz="4" w:space="0" w:color="auto"/>
              <w:right w:val="single" w:sz="4" w:space="0" w:color="auto"/>
            </w:tcBorders>
            <w:vAlign w:val="bottom"/>
            <w:hideMark/>
          </w:tcPr>
          <w:p w14:paraId="22D34BC4"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80,571 </w:t>
            </w:r>
          </w:p>
        </w:tc>
        <w:tc>
          <w:tcPr>
            <w:tcW w:w="588" w:type="pct"/>
            <w:tcBorders>
              <w:top w:val="single" w:sz="4" w:space="0" w:color="auto"/>
              <w:left w:val="single" w:sz="4" w:space="0" w:color="auto"/>
              <w:bottom w:val="single" w:sz="4" w:space="0" w:color="auto"/>
              <w:right w:val="single" w:sz="4" w:space="0" w:color="auto"/>
            </w:tcBorders>
            <w:vAlign w:val="bottom"/>
            <w:hideMark/>
          </w:tcPr>
          <w:p w14:paraId="1F0E6982"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104.3 </w:t>
            </w:r>
          </w:p>
        </w:tc>
        <w:tc>
          <w:tcPr>
            <w:tcW w:w="1046" w:type="pct"/>
            <w:tcBorders>
              <w:top w:val="single" w:sz="4" w:space="0" w:color="auto"/>
              <w:left w:val="single" w:sz="4" w:space="0" w:color="auto"/>
              <w:bottom w:val="single" w:sz="4" w:space="0" w:color="auto"/>
              <w:right w:val="single" w:sz="4" w:space="0" w:color="auto"/>
            </w:tcBorders>
            <w:vAlign w:val="bottom"/>
            <w:hideMark/>
          </w:tcPr>
          <w:p w14:paraId="06F268C3"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131.5 </w:t>
            </w:r>
          </w:p>
        </w:tc>
        <w:tc>
          <w:tcPr>
            <w:tcW w:w="796" w:type="pct"/>
            <w:tcBorders>
              <w:top w:val="single" w:sz="4" w:space="0" w:color="auto"/>
              <w:left w:val="single" w:sz="4" w:space="0" w:color="auto"/>
              <w:bottom w:val="single" w:sz="4" w:space="0" w:color="auto"/>
              <w:right w:val="single" w:sz="4" w:space="0" w:color="auto"/>
            </w:tcBorders>
            <w:vAlign w:val="bottom"/>
            <w:hideMark/>
          </w:tcPr>
          <w:p w14:paraId="1CA9ADB9"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104.2 </w:t>
            </w:r>
          </w:p>
        </w:tc>
        <w:tc>
          <w:tcPr>
            <w:tcW w:w="660" w:type="pct"/>
            <w:tcBorders>
              <w:top w:val="single" w:sz="4" w:space="0" w:color="auto"/>
              <w:left w:val="single" w:sz="4" w:space="0" w:color="auto"/>
              <w:bottom w:val="single" w:sz="4" w:space="0" w:color="auto"/>
              <w:right w:val="single" w:sz="4" w:space="0" w:color="auto"/>
            </w:tcBorders>
            <w:vAlign w:val="bottom"/>
            <w:hideMark/>
          </w:tcPr>
          <w:p w14:paraId="347A647B"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163.7 </w:t>
            </w:r>
          </w:p>
        </w:tc>
      </w:tr>
      <w:tr w:rsidR="000E1578" w:rsidRPr="00936D28" w14:paraId="31D88A85" w14:textId="77777777" w:rsidTr="00F01537">
        <w:trPr>
          <w:trHeight w:val="256"/>
          <w:jc w:val="center"/>
        </w:trPr>
        <w:tc>
          <w:tcPr>
            <w:tcW w:w="514" w:type="pct"/>
            <w:tcBorders>
              <w:top w:val="single" w:sz="4" w:space="0" w:color="auto"/>
              <w:left w:val="single" w:sz="4" w:space="0" w:color="auto"/>
              <w:bottom w:val="single" w:sz="4" w:space="0" w:color="auto"/>
              <w:right w:val="single" w:sz="4" w:space="0" w:color="auto"/>
            </w:tcBorders>
            <w:vAlign w:val="bottom"/>
            <w:hideMark/>
          </w:tcPr>
          <w:p w14:paraId="42E47757"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CCG5</w:t>
            </w:r>
          </w:p>
        </w:tc>
        <w:tc>
          <w:tcPr>
            <w:tcW w:w="640" w:type="pct"/>
            <w:tcBorders>
              <w:top w:val="single" w:sz="4" w:space="0" w:color="auto"/>
              <w:left w:val="single" w:sz="4" w:space="0" w:color="auto"/>
              <w:bottom w:val="single" w:sz="4" w:space="0" w:color="auto"/>
              <w:right w:val="single" w:sz="4" w:space="0" w:color="auto"/>
            </w:tcBorders>
            <w:vAlign w:val="bottom"/>
            <w:hideMark/>
          </w:tcPr>
          <w:p w14:paraId="51C3135B"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53 </w:t>
            </w:r>
          </w:p>
        </w:tc>
        <w:tc>
          <w:tcPr>
            <w:tcW w:w="757" w:type="pct"/>
            <w:tcBorders>
              <w:top w:val="single" w:sz="4" w:space="0" w:color="auto"/>
              <w:left w:val="single" w:sz="4" w:space="0" w:color="auto"/>
              <w:bottom w:val="single" w:sz="4" w:space="0" w:color="auto"/>
              <w:right w:val="single" w:sz="4" w:space="0" w:color="auto"/>
            </w:tcBorders>
            <w:vAlign w:val="bottom"/>
            <w:hideMark/>
          </w:tcPr>
          <w:p w14:paraId="43CA603A"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51,369 </w:t>
            </w:r>
          </w:p>
        </w:tc>
        <w:tc>
          <w:tcPr>
            <w:tcW w:w="588" w:type="pct"/>
            <w:tcBorders>
              <w:top w:val="single" w:sz="4" w:space="0" w:color="auto"/>
              <w:left w:val="single" w:sz="4" w:space="0" w:color="auto"/>
              <w:bottom w:val="single" w:sz="4" w:space="0" w:color="auto"/>
              <w:right w:val="single" w:sz="4" w:space="0" w:color="auto"/>
            </w:tcBorders>
            <w:vAlign w:val="bottom"/>
            <w:hideMark/>
          </w:tcPr>
          <w:p w14:paraId="45DA6690"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103.2 </w:t>
            </w:r>
          </w:p>
        </w:tc>
        <w:tc>
          <w:tcPr>
            <w:tcW w:w="1046" w:type="pct"/>
            <w:tcBorders>
              <w:top w:val="single" w:sz="4" w:space="0" w:color="auto"/>
              <w:left w:val="single" w:sz="4" w:space="0" w:color="auto"/>
              <w:bottom w:val="single" w:sz="4" w:space="0" w:color="auto"/>
              <w:right w:val="single" w:sz="4" w:space="0" w:color="auto"/>
            </w:tcBorders>
            <w:vAlign w:val="bottom"/>
            <w:hideMark/>
          </w:tcPr>
          <w:p w14:paraId="669D85D1"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135.1 </w:t>
            </w:r>
          </w:p>
        </w:tc>
        <w:tc>
          <w:tcPr>
            <w:tcW w:w="796" w:type="pct"/>
            <w:tcBorders>
              <w:top w:val="single" w:sz="4" w:space="0" w:color="auto"/>
              <w:left w:val="single" w:sz="4" w:space="0" w:color="auto"/>
              <w:bottom w:val="single" w:sz="4" w:space="0" w:color="auto"/>
              <w:right w:val="single" w:sz="4" w:space="0" w:color="auto"/>
            </w:tcBorders>
            <w:vAlign w:val="bottom"/>
            <w:hideMark/>
          </w:tcPr>
          <w:p w14:paraId="44238528"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100.3 </w:t>
            </w:r>
          </w:p>
        </w:tc>
        <w:tc>
          <w:tcPr>
            <w:tcW w:w="660" w:type="pct"/>
            <w:tcBorders>
              <w:top w:val="single" w:sz="4" w:space="0" w:color="auto"/>
              <w:left w:val="single" w:sz="4" w:space="0" w:color="auto"/>
              <w:bottom w:val="single" w:sz="4" w:space="0" w:color="auto"/>
              <w:right w:val="single" w:sz="4" w:space="0" w:color="auto"/>
            </w:tcBorders>
            <w:vAlign w:val="bottom"/>
            <w:hideMark/>
          </w:tcPr>
          <w:p w14:paraId="21B82E65"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177.9 </w:t>
            </w:r>
          </w:p>
        </w:tc>
      </w:tr>
      <w:tr w:rsidR="000E1578" w:rsidRPr="00936D28" w14:paraId="55767F74" w14:textId="77777777" w:rsidTr="00F01537">
        <w:trPr>
          <w:trHeight w:val="256"/>
          <w:jc w:val="center"/>
        </w:trPr>
        <w:tc>
          <w:tcPr>
            <w:tcW w:w="514" w:type="pct"/>
            <w:tcBorders>
              <w:top w:val="single" w:sz="4" w:space="0" w:color="auto"/>
              <w:left w:val="single" w:sz="4" w:space="0" w:color="auto"/>
              <w:bottom w:val="single" w:sz="4" w:space="0" w:color="auto"/>
              <w:right w:val="single" w:sz="4" w:space="0" w:color="auto"/>
            </w:tcBorders>
            <w:vAlign w:val="bottom"/>
            <w:hideMark/>
          </w:tcPr>
          <w:p w14:paraId="5B46E223"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CCG6</w:t>
            </w:r>
          </w:p>
        </w:tc>
        <w:tc>
          <w:tcPr>
            <w:tcW w:w="640" w:type="pct"/>
            <w:tcBorders>
              <w:top w:val="single" w:sz="4" w:space="0" w:color="auto"/>
              <w:left w:val="single" w:sz="4" w:space="0" w:color="auto"/>
              <w:bottom w:val="single" w:sz="4" w:space="0" w:color="auto"/>
              <w:right w:val="single" w:sz="4" w:space="0" w:color="auto"/>
            </w:tcBorders>
            <w:vAlign w:val="bottom"/>
            <w:hideMark/>
          </w:tcPr>
          <w:p w14:paraId="495E400A"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55 </w:t>
            </w:r>
          </w:p>
        </w:tc>
        <w:tc>
          <w:tcPr>
            <w:tcW w:w="757" w:type="pct"/>
            <w:tcBorders>
              <w:top w:val="single" w:sz="4" w:space="0" w:color="auto"/>
              <w:left w:val="single" w:sz="4" w:space="0" w:color="auto"/>
              <w:bottom w:val="single" w:sz="4" w:space="0" w:color="auto"/>
              <w:right w:val="single" w:sz="4" w:space="0" w:color="auto"/>
            </w:tcBorders>
            <w:vAlign w:val="bottom"/>
            <w:hideMark/>
          </w:tcPr>
          <w:p w14:paraId="3FCBABFB"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60,275 </w:t>
            </w:r>
          </w:p>
        </w:tc>
        <w:tc>
          <w:tcPr>
            <w:tcW w:w="588" w:type="pct"/>
            <w:tcBorders>
              <w:top w:val="single" w:sz="4" w:space="0" w:color="auto"/>
              <w:left w:val="single" w:sz="4" w:space="0" w:color="auto"/>
              <w:bottom w:val="single" w:sz="4" w:space="0" w:color="auto"/>
              <w:right w:val="single" w:sz="4" w:space="0" w:color="auto"/>
            </w:tcBorders>
            <w:vAlign w:val="bottom"/>
            <w:hideMark/>
          </w:tcPr>
          <w:p w14:paraId="039188B0"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91.2 </w:t>
            </w:r>
          </w:p>
        </w:tc>
        <w:tc>
          <w:tcPr>
            <w:tcW w:w="1046" w:type="pct"/>
            <w:tcBorders>
              <w:top w:val="single" w:sz="4" w:space="0" w:color="auto"/>
              <w:left w:val="single" w:sz="4" w:space="0" w:color="auto"/>
              <w:bottom w:val="single" w:sz="4" w:space="0" w:color="auto"/>
              <w:right w:val="single" w:sz="4" w:space="0" w:color="auto"/>
            </w:tcBorders>
            <w:vAlign w:val="bottom"/>
            <w:hideMark/>
          </w:tcPr>
          <w:p w14:paraId="01358CE0"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136.2 </w:t>
            </w:r>
          </w:p>
        </w:tc>
        <w:tc>
          <w:tcPr>
            <w:tcW w:w="796" w:type="pct"/>
            <w:tcBorders>
              <w:top w:val="single" w:sz="4" w:space="0" w:color="auto"/>
              <w:left w:val="single" w:sz="4" w:space="0" w:color="auto"/>
              <w:bottom w:val="single" w:sz="4" w:space="0" w:color="auto"/>
              <w:right w:val="single" w:sz="4" w:space="0" w:color="auto"/>
            </w:tcBorders>
            <w:vAlign w:val="bottom"/>
            <w:hideMark/>
          </w:tcPr>
          <w:p w14:paraId="7E6A250B"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100.7 </w:t>
            </w:r>
          </w:p>
        </w:tc>
        <w:tc>
          <w:tcPr>
            <w:tcW w:w="660" w:type="pct"/>
            <w:tcBorders>
              <w:top w:val="single" w:sz="4" w:space="0" w:color="auto"/>
              <w:left w:val="single" w:sz="4" w:space="0" w:color="auto"/>
              <w:bottom w:val="single" w:sz="4" w:space="0" w:color="auto"/>
              <w:right w:val="single" w:sz="4" w:space="0" w:color="auto"/>
            </w:tcBorders>
            <w:vAlign w:val="bottom"/>
            <w:hideMark/>
          </w:tcPr>
          <w:p w14:paraId="491C15A0"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179.5 </w:t>
            </w:r>
          </w:p>
        </w:tc>
      </w:tr>
      <w:tr w:rsidR="000E1578" w:rsidRPr="00936D28" w14:paraId="62743B3D" w14:textId="77777777" w:rsidTr="00F01537">
        <w:trPr>
          <w:trHeight w:val="256"/>
          <w:jc w:val="center"/>
        </w:trPr>
        <w:tc>
          <w:tcPr>
            <w:tcW w:w="514" w:type="pct"/>
            <w:tcBorders>
              <w:top w:val="single" w:sz="4" w:space="0" w:color="auto"/>
              <w:left w:val="single" w:sz="4" w:space="0" w:color="auto"/>
              <w:bottom w:val="single" w:sz="4" w:space="0" w:color="auto"/>
              <w:right w:val="single" w:sz="4" w:space="0" w:color="auto"/>
            </w:tcBorders>
            <w:vAlign w:val="bottom"/>
            <w:hideMark/>
          </w:tcPr>
          <w:p w14:paraId="3E04674C"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CCG7</w:t>
            </w:r>
          </w:p>
        </w:tc>
        <w:tc>
          <w:tcPr>
            <w:tcW w:w="640" w:type="pct"/>
            <w:tcBorders>
              <w:top w:val="single" w:sz="4" w:space="0" w:color="auto"/>
              <w:left w:val="single" w:sz="4" w:space="0" w:color="auto"/>
              <w:bottom w:val="single" w:sz="4" w:space="0" w:color="auto"/>
              <w:right w:val="single" w:sz="4" w:space="0" w:color="auto"/>
            </w:tcBorders>
            <w:vAlign w:val="bottom"/>
            <w:hideMark/>
          </w:tcPr>
          <w:p w14:paraId="49FBA680"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44 </w:t>
            </w:r>
          </w:p>
        </w:tc>
        <w:tc>
          <w:tcPr>
            <w:tcW w:w="757" w:type="pct"/>
            <w:tcBorders>
              <w:top w:val="single" w:sz="4" w:space="0" w:color="auto"/>
              <w:left w:val="single" w:sz="4" w:space="0" w:color="auto"/>
              <w:bottom w:val="single" w:sz="4" w:space="0" w:color="auto"/>
              <w:right w:val="single" w:sz="4" w:space="0" w:color="auto"/>
            </w:tcBorders>
            <w:vAlign w:val="bottom"/>
            <w:hideMark/>
          </w:tcPr>
          <w:p w14:paraId="562F58D0"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46,376 </w:t>
            </w:r>
          </w:p>
        </w:tc>
        <w:tc>
          <w:tcPr>
            <w:tcW w:w="588" w:type="pct"/>
            <w:tcBorders>
              <w:top w:val="single" w:sz="4" w:space="0" w:color="auto"/>
              <w:left w:val="single" w:sz="4" w:space="0" w:color="auto"/>
              <w:bottom w:val="single" w:sz="4" w:space="0" w:color="auto"/>
              <w:right w:val="single" w:sz="4" w:space="0" w:color="auto"/>
            </w:tcBorders>
            <w:vAlign w:val="bottom"/>
            <w:hideMark/>
          </w:tcPr>
          <w:p w14:paraId="716EF502"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94.9 </w:t>
            </w:r>
          </w:p>
        </w:tc>
        <w:tc>
          <w:tcPr>
            <w:tcW w:w="1046" w:type="pct"/>
            <w:tcBorders>
              <w:top w:val="single" w:sz="4" w:space="0" w:color="auto"/>
              <w:left w:val="single" w:sz="4" w:space="0" w:color="auto"/>
              <w:bottom w:val="single" w:sz="4" w:space="0" w:color="auto"/>
              <w:right w:val="single" w:sz="4" w:space="0" w:color="auto"/>
            </w:tcBorders>
            <w:vAlign w:val="bottom"/>
            <w:hideMark/>
          </w:tcPr>
          <w:p w14:paraId="48BA3893"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136.9 </w:t>
            </w:r>
          </w:p>
        </w:tc>
        <w:tc>
          <w:tcPr>
            <w:tcW w:w="796" w:type="pct"/>
            <w:tcBorders>
              <w:top w:val="single" w:sz="4" w:space="0" w:color="auto"/>
              <w:left w:val="single" w:sz="4" w:space="0" w:color="auto"/>
              <w:bottom w:val="single" w:sz="4" w:space="0" w:color="auto"/>
              <w:right w:val="single" w:sz="4" w:space="0" w:color="auto"/>
            </w:tcBorders>
            <w:vAlign w:val="bottom"/>
            <w:hideMark/>
          </w:tcPr>
          <w:p w14:paraId="2B193A24"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97.6 </w:t>
            </w:r>
          </w:p>
        </w:tc>
        <w:tc>
          <w:tcPr>
            <w:tcW w:w="660" w:type="pct"/>
            <w:tcBorders>
              <w:top w:val="single" w:sz="4" w:space="0" w:color="auto"/>
              <w:left w:val="single" w:sz="4" w:space="0" w:color="auto"/>
              <w:bottom w:val="single" w:sz="4" w:space="0" w:color="auto"/>
              <w:right w:val="single" w:sz="4" w:space="0" w:color="auto"/>
            </w:tcBorders>
            <w:vAlign w:val="bottom"/>
            <w:hideMark/>
          </w:tcPr>
          <w:p w14:paraId="01D84FA6"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186.2 </w:t>
            </w:r>
          </w:p>
        </w:tc>
      </w:tr>
      <w:tr w:rsidR="000E1578" w:rsidRPr="00936D28" w14:paraId="3A6C3AC2" w14:textId="77777777" w:rsidTr="00F01537">
        <w:trPr>
          <w:trHeight w:val="256"/>
          <w:jc w:val="center"/>
        </w:trPr>
        <w:tc>
          <w:tcPr>
            <w:tcW w:w="514" w:type="pct"/>
            <w:tcBorders>
              <w:top w:val="single" w:sz="4" w:space="0" w:color="auto"/>
              <w:left w:val="single" w:sz="4" w:space="0" w:color="auto"/>
              <w:bottom w:val="single" w:sz="4" w:space="0" w:color="auto"/>
              <w:right w:val="single" w:sz="4" w:space="0" w:color="auto"/>
            </w:tcBorders>
            <w:vAlign w:val="bottom"/>
            <w:hideMark/>
          </w:tcPr>
          <w:p w14:paraId="20118C40"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CCG8</w:t>
            </w:r>
          </w:p>
        </w:tc>
        <w:tc>
          <w:tcPr>
            <w:tcW w:w="640" w:type="pct"/>
            <w:tcBorders>
              <w:top w:val="single" w:sz="4" w:space="0" w:color="auto"/>
              <w:left w:val="single" w:sz="4" w:space="0" w:color="auto"/>
              <w:bottom w:val="single" w:sz="4" w:space="0" w:color="auto"/>
              <w:right w:val="single" w:sz="4" w:space="0" w:color="auto"/>
            </w:tcBorders>
            <w:vAlign w:val="bottom"/>
            <w:hideMark/>
          </w:tcPr>
          <w:p w14:paraId="5C3E2BBF"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76 </w:t>
            </w:r>
          </w:p>
        </w:tc>
        <w:tc>
          <w:tcPr>
            <w:tcW w:w="757" w:type="pct"/>
            <w:tcBorders>
              <w:top w:val="single" w:sz="4" w:space="0" w:color="auto"/>
              <w:left w:val="single" w:sz="4" w:space="0" w:color="auto"/>
              <w:bottom w:val="single" w:sz="4" w:space="0" w:color="auto"/>
              <w:right w:val="single" w:sz="4" w:space="0" w:color="auto"/>
            </w:tcBorders>
            <w:vAlign w:val="bottom"/>
            <w:hideMark/>
          </w:tcPr>
          <w:p w14:paraId="58211693"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66,093 </w:t>
            </w:r>
          </w:p>
        </w:tc>
        <w:tc>
          <w:tcPr>
            <w:tcW w:w="588" w:type="pct"/>
            <w:tcBorders>
              <w:top w:val="single" w:sz="4" w:space="0" w:color="auto"/>
              <w:left w:val="single" w:sz="4" w:space="0" w:color="auto"/>
              <w:bottom w:val="single" w:sz="4" w:space="0" w:color="auto"/>
              <w:right w:val="single" w:sz="4" w:space="0" w:color="auto"/>
            </w:tcBorders>
            <w:vAlign w:val="bottom"/>
            <w:hideMark/>
          </w:tcPr>
          <w:p w14:paraId="086BFD97"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115.0 </w:t>
            </w:r>
          </w:p>
        </w:tc>
        <w:tc>
          <w:tcPr>
            <w:tcW w:w="1046" w:type="pct"/>
            <w:tcBorders>
              <w:top w:val="single" w:sz="4" w:space="0" w:color="auto"/>
              <w:left w:val="single" w:sz="4" w:space="0" w:color="auto"/>
              <w:bottom w:val="single" w:sz="4" w:space="0" w:color="auto"/>
              <w:right w:val="single" w:sz="4" w:space="0" w:color="auto"/>
            </w:tcBorders>
            <w:vAlign w:val="bottom"/>
            <w:hideMark/>
          </w:tcPr>
          <w:p w14:paraId="31EC4AD2"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139.7 </w:t>
            </w:r>
          </w:p>
        </w:tc>
        <w:tc>
          <w:tcPr>
            <w:tcW w:w="796" w:type="pct"/>
            <w:tcBorders>
              <w:top w:val="single" w:sz="4" w:space="0" w:color="auto"/>
              <w:left w:val="single" w:sz="4" w:space="0" w:color="auto"/>
              <w:bottom w:val="single" w:sz="4" w:space="0" w:color="auto"/>
              <w:right w:val="single" w:sz="4" w:space="0" w:color="auto"/>
            </w:tcBorders>
            <w:vAlign w:val="bottom"/>
            <w:hideMark/>
          </w:tcPr>
          <w:p w14:paraId="50FF2045"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109.6 </w:t>
            </w:r>
          </w:p>
        </w:tc>
        <w:tc>
          <w:tcPr>
            <w:tcW w:w="660" w:type="pct"/>
            <w:tcBorders>
              <w:top w:val="single" w:sz="4" w:space="0" w:color="auto"/>
              <w:left w:val="single" w:sz="4" w:space="0" w:color="auto"/>
              <w:bottom w:val="single" w:sz="4" w:space="0" w:color="auto"/>
              <w:right w:val="single" w:sz="4" w:space="0" w:color="auto"/>
            </w:tcBorders>
            <w:vAlign w:val="bottom"/>
            <w:hideMark/>
          </w:tcPr>
          <w:p w14:paraId="6685E9EE"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175.5 </w:t>
            </w:r>
          </w:p>
        </w:tc>
      </w:tr>
      <w:tr w:rsidR="000E1578" w:rsidRPr="00936D28" w14:paraId="4A3BDCBE" w14:textId="77777777" w:rsidTr="00F01537">
        <w:trPr>
          <w:trHeight w:val="256"/>
          <w:jc w:val="center"/>
        </w:trPr>
        <w:tc>
          <w:tcPr>
            <w:tcW w:w="514" w:type="pct"/>
            <w:tcBorders>
              <w:top w:val="single" w:sz="4" w:space="0" w:color="auto"/>
              <w:left w:val="single" w:sz="4" w:space="0" w:color="auto"/>
              <w:bottom w:val="single" w:sz="4" w:space="0" w:color="auto"/>
              <w:right w:val="single" w:sz="4" w:space="0" w:color="auto"/>
            </w:tcBorders>
            <w:vAlign w:val="bottom"/>
            <w:hideMark/>
          </w:tcPr>
          <w:p w14:paraId="65170282"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CCG9</w:t>
            </w:r>
          </w:p>
        </w:tc>
        <w:tc>
          <w:tcPr>
            <w:tcW w:w="640" w:type="pct"/>
            <w:tcBorders>
              <w:top w:val="single" w:sz="4" w:space="0" w:color="auto"/>
              <w:left w:val="single" w:sz="4" w:space="0" w:color="auto"/>
              <w:bottom w:val="single" w:sz="4" w:space="0" w:color="auto"/>
              <w:right w:val="single" w:sz="4" w:space="0" w:color="auto"/>
            </w:tcBorders>
            <w:vAlign w:val="bottom"/>
            <w:hideMark/>
          </w:tcPr>
          <w:p w14:paraId="3EC833DB"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62 </w:t>
            </w:r>
          </w:p>
        </w:tc>
        <w:tc>
          <w:tcPr>
            <w:tcW w:w="757" w:type="pct"/>
            <w:tcBorders>
              <w:top w:val="single" w:sz="4" w:space="0" w:color="auto"/>
              <w:left w:val="single" w:sz="4" w:space="0" w:color="auto"/>
              <w:bottom w:val="single" w:sz="4" w:space="0" w:color="auto"/>
              <w:right w:val="single" w:sz="4" w:space="0" w:color="auto"/>
            </w:tcBorders>
            <w:vAlign w:val="bottom"/>
            <w:hideMark/>
          </w:tcPr>
          <w:p w14:paraId="217A315A"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46,692 </w:t>
            </w:r>
          </w:p>
        </w:tc>
        <w:tc>
          <w:tcPr>
            <w:tcW w:w="588" w:type="pct"/>
            <w:tcBorders>
              <w:top w:val="single" w:sz="4" w:space="0" w:color="auto"/>
              <w:left w:val="single" w:sz="4" w:space="0" w:color="auto"/>
              <w:bottom w:val="single" w:sz="4" w:space="0" w:color="auto"/>
              <w:right w:val="single" w:sz="4" w:space="0" w:color="auto"/>
            </w:tcBorders>
            <w:vAlign w:val="bottom"/>
            <w:hideMark/>
          </w:tcPr>
          <w:p w14:paraId="67C40689"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132.8 </w:t>
            </w:r>
          </w:p>
        </w:tc>
        <w:tc>
          <w:tcPr>
            <w:tcW w:w="1046" w:type="pct"/>
            <w:tcBorders>
              <w:top w:val="single" w:sz="4" w:space="0" w:color="auto"/>
              <w:left w:val="single" w:sz="4" w:space="0" w:color="auto"/>
              <w:bottom w:val="single" w:sz="4" w:space="0" w:color="auto"/>
              <w:right w:val="single" w:sz="4" w:space="0" w:color="auto"/>
            </w:tcBorders>
            <w:vAlign w:val="bottom"/>
            <w:hideMark/>
          </w:tcPr>
          <w:p w14:paraId="663BA27D"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142.1 </w:t>
            </w:r>
          </w:p>
        </w:tc>
        <w:tc>
          <w:tcPr>
            <w:tcW w:w="796" w:type="pct"/>
            <w:tcBorders>
              <w:top w:val="single" w:sz="4" w:space="0" w:color="auto"/>
              <w:left w:val="single" w:sz="4" w:space="0" w:color="auto"/>
              <w:bottom w:val="single" w:sz="4" w:space="0" w:color="auto"/>
              <w:right w:val="single" w:sz="4" w:space="0" w:color="auto"/>
            </w:tcBorders>
            <w:vAlign w:val="bottom"/>
            <w:hideMark/>
          </w:tcPr>
          <w:p w14:paraId="18D584C2"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108.8 </w:t>
            </w:r>
          </w:p>
        </w:tc>
        <w:tc>
          <w:tcPr>
            <w:tcW w:w="660" w:type="pct"/>
            <w:tcBorders>
              <w:top w:val="single" w:sz="4" w:space="0" w:color="auto"/>
              <w:left w:val="single" w:sz="4" w:space="0" w:color="auto"/>
              <w:bottom w:val="single" w:sz="4" w:space="0" w:color="auto"/>
              <w:right w:val="single" w:sz="4" w:space="0" w:color="auto"/>
            </w:tcBorders>
            <w:vAlign w:val="bottom"/>
            <w:hideMark/>
          </w:tcPr>
          <w:p w14:paraId="5252B6CE"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182.3 </w:t>
            </w:r>
          </w:p>
        </w:tc>
      </w:tr>
      <w:tr w:rsidR="000E1578" w:rsidRPr="00936D28" w14:paraId="7624FAA9" w14:textId="77777777" w:rsidTr="00F01537">
        <w:trPr>
          <w:trHeight w:val="256"/>
          <w:jc w:val="center"/>
        </w:trPr>
        <w:tc>
          <w:tcPr>
            <w:tcW w:w="514" w:type="pct"/>
            <w:tcBorders>
              <w:top w:val="single" w:sz="4" w:space="0" w:color="auto"/>
              <w:left w:val="single" w:sz="4" w:space="0" w:color="auto"/>
              <w:bottom w:val="single" w:sz="4" w:space="0" w:color="auto"/>
              <w:right w:val="single" w:sz="4" w:space="0" w:color="auto"/>
            </w:tcBorders>
            <w:vAlign w:val="bottom"/>
            <w:hideMark/>
          </w:tcPr>
          <w:p w14:paraId="7590520B"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CCG10</w:t>
            </w:r>
          </w:p>
        </w:tc>
        <w:tc>
          <w:tcPr>
            <w:tcW w:w="640" w:type="pct"/>
            <w:tcBorders>
              <w:top w:val="single" w:sz="4" w:space="0" w:color="auto"/>
              <w:left w:val="single" w:sz="4" w:space="0" w:color="auto"/>
              <w:bottom w:val="single" w:sz="4" w:space="0" w:color="auto"/>
              <w:right w:val="single" w:sz="4" w:space="0" w:color="auto"/>
            </w:tcBorders>
            <w:vAlign w:val="bottom"/>
            <w:hideMark/>
          </w:tcPr>
          <w:p w14:paraId="3CA854DA"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152 </w:t>
            </w:r>
          </w:p>
        </w:tc>
        <w:tc>
          <w:tcPr>
            <w:tcW w:w="757" w:type="pct"/>
            <w:tcBorders>
              <w:top w:val="single" w:sz="4" w:space="0" w:color="auto"/>
              <w:left w:val="single" w:sz="4" w:space="0" w:color="auto"/>
              <w:bottom w:val="single" w:sz="4" w:space="0" w:color="auto"/>
              <w:right w:val="single" w:sz="4" w:space="0" w:color="auto"/>
            </w:tcBorders>
            <w:vAlign w:val="bottom"/>
            <w:hideMark/>
          </w:tcPr>
          <w:p w14:paraId="20CBF58E"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105,580 </w:t>
            </w:r>
          </w:p>
        </w:tc>
        <w:tc>
          <w:tcPr>
            <w:tcW w:w="588" w:type="pct"/>
            <w:tcBorders>
              <w:top w:val="single" w:sz="4" w:space="0" w:color="auto"/>
              <w:left w:val="single" w:sz="4" w:space="0" w:color="auto"/>
              <w:bottom w:val="single" w:sz="4" w:space="0" w:color="auto"/>
              <w:right w:val="single" w:sz="4" w:space="0" w:color="auto"/>
            </w:tcBorders>
            <w:vAlign w:val="bottom"/>
            <w:hideMark/>
          </w:tcPr>
          <w:p w14:paraId="4B981191"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144.0 </w:t>
            </w:r>
          </w:p>
        </w:tc>
        <w:tc>
          <w:tcPr>
            <w:tcW w:w="1046" w:type="pct"/>
            <w:tcBorders>
              <w:top w:val="single" w:sz="4" w:space="0" w:color="auto"/>
              <w:left w:val="single" w:sz="4" w:space="0" w:color="auto"/>
              <w:bottom w:val="single" w:sz="4" w:space="0" w:color="auto"/>
              <w:right w:val="single" w:sz="4" w:space="0" w:color="auto"/>
            </w:tcBorders>
            <w:vAlign w:val="bottom"/>
            <w:hideMark/>
          </w:tcPr>
          <w:p w14:paraId="23E6BE5F"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143.7 </w:t>
            </w:r>
          </w:p>
        </w:tc>
        <w:tc>
          <w:tcPr>
            <w:tcW w:w="796" w:type="pct"/>
            <w:tcBorders>
              <w:top w:val="single" w:sz="4" w:space="0" w:color="auto"/>
              <w:left w:val="single" w:sz="4" w:space="0" w:color="auto"/>
              <w:bottom w:val="single" w:sz="4" w:space="0" w:color="auto"/>
              <w:right w:val="single" w:sz="4" w:space="0" w:color="auto"/>
            </w:tcBorders>
            <w:vAlign w:val="bottom"/>
            <w:hideMark/>
          </w:tcPr>
          <w:p w14:paraId="6621FC0E"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121.8 </w:t>
            </w:r>
          </w:p>
        </w:tc>
        <w:tc>
          <w:tcPr>
            <w:tcW w:w="660" w:type="pct"/>
            <w:tcBorders>
              <w:top w:val="single" w:sz="4" w:space="0" w:color="auto"/>
              <w:left w:val="single" w:sz="4" w:space="0" w:color="auto"/>
              <w:bottom w:val="single" w:sz="4" w:space="0" w:color="auto"/>
              <w:right w:val="single" w:sz="4" w:space="0" w:color="auto"/>
            </w:tcBorders>
            <w:vAlign w:val="bottom"/>
            <w:hideMark/>
          </w:tcPr>
          <w:p w14:paraId="40CF921B"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 xml:space="preserve"> 168.5 </w:t>
            </w:r>
          </w:p>
        </w:tc>
      </w:tr>
      <w:tr w:rsidR="00F01537" w:rsidRPr="00936D28" w14:paraId="0AD8A2F2" w14:textId="77777777" w:rsidTr="00F01537">
        <w:trPr>
          <w:trHeight w:val="256"/>
          <w:jc w:val="center"/>
        </w:trPr>
        <w:tc>
          <w:tcPr>
            <w:tcW w:w="514" w:type="pct"/>
            <w:tcBorders>
              <w:top w:val="single" w:sz="4" w:space="0" w:color="auto"/>
              <w:left w:val="single" w:sz="4" w:space="0" w:color="auto"/>
              <w:bottom w:val="single" w:sz="4" w:space="0" w:color="auto"/>
              <w:right w:val="single" w:sz="4" w:space="0" w:color="auto"/>
            </w:tcBorders>
            <w:vAlign w:val="bottom"/>
          </w:tcPr>
          <w:p w14:paraId="1DD58438" w14:textId="2003B27D"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CCG202</w:t>
            </w:r>
          </w:p>
        </w:tc>
        <w:tc>
          <w:tcPr>
            <w:tcW w:w="640" w:type="pct"/>
            <w:tcBorders>
              <w:top w:val="single" w:sz="4" w:space="0" w:color="auto"/>
              <w:left w:val="single" w:sz="4" w:space="0" w:color="auto"/>
              <w:bottom w:val="single" w:sz="4" w:space="0" w:color="auto"/>
              <w:right w:val="single" w:sz="4" w:space="0" w:color="auto"/>
            </w:tcBorders>
            <w:vAlign w:val="bottom"/>
          </w:tcPr>
          <w:p w14:paraId="233E212D" w14:textId="48E321F4"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181 </w:t>
            </w:r>
          </w:p>
        </w:tc>
        <w:tc>
          <w:tcPr>
            <w:tcW w:w="757" w:type="pct"/>
            <w:tcBorders>
              <w:top w:val="single" w:sz="4" w:space="0" w:color="auto"/>
              <w:left w:val="single" w:sz="4" w:space="0" w:color="auto"/>
              <w:bottom w:val="single" w:sz="4" w:space="0" w:color="auto"/>
              <w:right w:val="single" w:sz="4" w:space="0" w:color="auto"/>
            </w:tcBorders>
            <w:vAlign w:val="bottom"/>
          </w:tcPr>
          <w:p w14:paraId="218B841B" w14:textId="4C9A5E7D"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73,614 </w:t>
            </w:r>
          </w:p>
        </w:tc>
        <w:tc>
          <w:tcPr>
            <w:tcW w:w="588" w:type="pct"/>
            <w:tcBorders>
              <w:top w:val="single" w:sz="4" w:space="0" w:color="auto"/>
              <w:left w:val="single" w:sz="4" w:space="0" w:color="auto"/>
              <w:bottom w:val="single" w:sz="4" w:space="0" w:color="auto"/>
              <w:right w:val="single" w:sz="4" w:space="0" w:color="auto"/>
            </w:tcBorders>
            <w:vAlign w:val="bottom"/>
          </w:tcPr>
          <w:p w14:paraId="0057C19A" w14:textId="5927BAE0"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245.9 </w:t>
            </w:r>
          </w:p>
        </w:tc>
        <w:tc>
          <w:tcPr>
            <w:tcW w:w="1046" w:type="pct"/>
            <w:tcBorders>
              <w:top w:val="single" w:sz="4" w:space="0" w:color="auto"/>
              <w:left w:val="single" w:sz="4" w:space="0" w:color="auto"/>
              <w:bottom w:val="single" w:sz="4" w:space="0" w:color="auto"/>
              <w:right w:val="single" w:sz="4" w:space="0" w:color="auto"/>
            </w:tcBorders>
            <w:vAlign w:val="bottom"/>
          </w:tcPr>
          <w:p w14:paraId="41AAD07E" w14:textId="6438F891"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216.0 </w:t>
            </w:r>
          </w:p>
        </w:tc>
        <w:tc>
          <w:tcPr>
            <w:tcW w:w="796" w:type="pct"/>
            <w:tcBorders>
              <w:top w:val="single" w:sz="4" w:space="0" w:color="auto"/>
              <w:left w:val="single" w:sz="4" w:space="0" w:color="auto"/>
              <w:bottom w:val="single" w:sz="4" w:space="0" w:color="auto"/>
              <w:right w:val="single" w:sz="4" w:space="0" w:color="auto"/>
            </w:tcBorders>
            <w:vAlign w:val="bottom"/>
          </w:tcPr>
          <w:p w14:paraId="510D374F" w14:textId="78A4C0AB"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185.4 </w:t>
            </w:r>
          </w:p>
        </w:tc>
        <w:tc>
          <w:tcPr>
            <w:tcW w:w="660" w:type="pct"/>
            <w:tcBorders>
              <w:top w:val="single" w:sz="4" w:space="0" w:color="auto"/>
              <w:left w:val="single" w:sz="4" w:space="0" w:color="auto"/>
              <w:bottom w:val="single" w:sz="4" w:space="0" w:color="auto"/>
              <w:right w:val="single" w:sz="4" w:space="0" w:color="auto"/>
            </w:tcBorders>
            <w:vAlign w:val="bottom"/>
          </w:tcPr>
          <w:p w14:paraId="030FA925" w14:textId="638052D6"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250.1 </w:t>
            </w:r>
          </w:p>
        </w:tc>
      </w:tr>
      <w:tr w:rsidR="00F01537" w:rsidRPr="00936D28" w14:paraId="4E9A858F" w14:textId="77777777" w:rsidTr="00F01537">
        <w:trPr>
          <w:trHeight w:val="256"/>
          <w:jc w:val="center"/>
        </w:trPr>
        <w:tc>
          <w:tcPr>
            <w:tcW w:w="514" w:type="pct"/>
            <w:tcBorders>
              <w:top w:val="single" w:sz="4" w:space="0" w:color="auto"/>
              <w:left w:val="single" w:sz="4" w:space="0" w:color="auto"/>
              <w:bottom w:val="single" w:sz="4" w:space="0" w:color="auto"/>
              <w:right w:val="single" w:sz="4" w:space="0" w:color="auto"/>
            </w:tcBorders>
            <w:vAlign w:val="bottom"/>
          </w:tcPr>
          <w:p w14:paraId="04A8C10A" w14:textId="4CF6B92D"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CCG203</w:t>
            </w:r>
          </w:p>
        </w:tc>
        <w:tc>
          <w:tcPr>
            <w:tcW w:w="640" w:type="pct"/>
            <w:tcBorders>
              <w:top w:val="single" w:sz="4" w:space="0" w:color="auto"/>
              <w:left w:val="single" w:sz="4" w:space="0" w:color="auto"/>
              <w:bottom w:val="single" w:sz="4" w:space="0" w:color="auto"/>
              <w:right w:val="single" w:sz="4" w:space="0" w:color="auto"/>
            </w:tcBorders>
            <w:vAlign w:val="bottom"/>
          </w:tcPr>
          <w:p w14:paraId="590245D8" w14:textId="302AE098"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122 </w:t>
            </w:r>
          </w:p>
        </w:tc>
        <w:tc>
          <w:tcPr>
            <w:tcW w:w="757" w:type="pct"/>
            <w:tcBorders>
              <w:top w:val="single" w:sz="4" w:space="0" w:color="auto"/>
              <w:left w:val="single" w:sz="4" w:space="0" w:color="auto"/>
              <w:bottom w:val="single" w:sz="4" w:space="0" w:color="auto"/>
              <w:right w:val="single" w:sz="4" w:space="0" w:color="auto"/>
            </w:tcBorders>
            <w:vAlign w:val="bottom"/>
          </w:tcPr>
          <w:p w14:paraId="473E4590" w14:textId="77F6FA9C"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61,252 </w:t>
            </w:r>
          </w:p>
        </w:tc>
        <w:tc>
          <w:tcPr>
            <w:tcW w:w="588" w:type="pct"/>
            <w:tcBorders>
              <w:top w:val="single" w:sz="4" w:space="0" w:color="auto"/>
              <w:left w:val="single" w:sz="4" w:space="0" w:color="auto"/>
              <w:bottom w:val="single" w:sz="4" w:space="0" w:color="auto"/>
              <w:right w:val="single" w:sz="4" w:space="0" w:color="auto"/>
            </w:tcBorders>
            <w:vAlign w:val="bottom"/>
          </w:tcPr>
          <w:p w14:paraId="3AFF73D7" w14:textId="58F9393E"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199.2 </w:t>
            </w:r>
          </w:p>
        </w:tc>
        <w:tc>
          <w:tcPr>
            <w:tcW w:w="1046" w:type="pct"/>
            <w:tcBorders>
              <w:top w:val="single" w:sz="4" w:space="0" w:color="auto"/>
              <w:left w:val="single" w:sz="4" w:space="0" w:color="auto"/>
              <w:bottom w:val="single" w:sz="4" w:space="0" w:color="auto"/>
              <w:right w:val="single" w:sz="4" w:space="0" w:color="auto"/>
            </w:tcBorders>
            <w:vAlign w:val="bottom"/>
          </w:tcPr>
          <w:p w14:paraId="750BC05D" w14:textId="6C15E20D"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216.8 </w:t>
            </w:r>
          </w:p>
        </w:tc>
        <w:tc>
          <w:tcPr>
            <w:tcW w:w="796" w:type="pct"/>
            <w:tcBorders>
              <w:top w:val="single" w:sz="4" w:space="0" w:color="auto"/>
              <w:left w:val="single" w:sz="4" w:space="0" w:color="auto"/>
              <w:bottom w:val="single" w:sz="4" w:space="0" w:color="auto"/>
              <w:right w:val="single" w:sz="4" w:space="0" w:color="auto"/>
            </w:tcBorders>
            <w:vAlign w:val="bottom"/>
          </w:tcPr>
          <w:p w14:paraId="5EDFB801" w14:textId="1E8E0775"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179.8 </w:t>
            </w:r>
          </w:p>
        </w:tc>
        <w:tc>
          <w:tcPr>
            <w:tcW w:w="660" w:type="pct"/>
            <w:tcBorders>
              <w:top w:val="single" w:sz="4" w:space="0" w:color="auto"/>
              <w:left w:val="single" w:sz="4" w:space="0" w:color="auto"/>
              <w:bottom w:val="single" w:sz="4" w:space="0" w:color="auto"/>
              <w:right w:val="single" w:sz="4" w:space="0" w:color="auto"/>
            </w:tcBorders>
            <w:vAlign w:val="bottom"/>
          </w:tcPr>
          <w:p w14:paraId="47A2E0E5" w14:textId="49C0DB5C"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259.1 </w:t>
            </w:r>
          </w:p>
        </w:tc>
      </w:tr>
      <w:tr w:rsidR="00F01537" w:rsidRPr="00936D28" w14:paraId="4795BD90" w14:textId="77777777" w:rsidTr="00F01537">
        <w:trPr>
          <w:trHeight w:val="256"/>
          <w:jc w:val="center"/>
        </w:trPr>
        <w:tc>
          <w:tcPr>
            <w:tcW w:w="514" w:type="pct"/>
            <w:tcBorders>
              <w:top w:val="single" w:sz="4" w:space="0" w:color="auto"/>
              <w:left w:val="single" w:sz="4" w:space="0" w:color="auto"/>
              <w:bottom w:val="single" w:sz="4" w:space="0" w:color="auto"/>
              <w:right w:val="single" w:sz="4" w:space="0" w:color="auto"/>
            </w:tcBorders>
            <w:vAlign w:val="bottom"/>
          </w:tcPr>
          <w:p w14:paraId="0E9335A3" w14:textId="430DA3A9"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CCG204</w:t>
            </w:r>
          </w:p>
        </w:tc>
        <w:tc>
          <w:tcPr>
            <w:tcW w:w="640" w:type="pct"/>
            <w:tcBorders>
              <w:top w:val="single" w:sz="4" w:space="0" w:color="auto"/>
              <w:left w:val="single" w:sz="4" w:space="0" w:color="auto"/>
              <w:bottom w:val="single" w:sz="4" w:space="0" w:color="auto"/>
              <w:right w:val="single" w:sz="4" w:space="0" w:color="auto"/>
            </w:tcBorders>
            <w:vAlign w:val="bottom"/>
          </w:tcPr>
          <w:p w14:paraId="407D6ECE" w14:textId="7D4C60DC"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90 </w:t>
            </w:r>
          </w:p>
        </w:tc>
        <w:tc>
          <w:tcPr>
            <w:tcW w:w="757" w:type="pct"/>
            <w:tcBorders>
              <w:top w:val="single" w:sz="4" w:space="0" w:color="auto"/>
              <w:left w:val="single" w:sz="4" w:space="0" w:color="auto"/>
              <w:bottom w:val="single" w:sz="4" w:space="0" w:color="auto"/>
              <w:right w:val="single" w:sz="4" w:space="0" w:color="auto"/>
            </w:tcBorders>
            <w:vAlign w:val="bottom"/>
          </w:tcPr>
          <w:p w14:paraId="27109E58" w14:textId="762CC949"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40,244 </w:t>
            </w:r>
          </w:p>
        </w:tc>
        <w:tc>
          <w:tcPr>
            <w:tcW w:w="588" w:type="pct"/>
            <w:tcBorders>
              <w:top w:val="single" w:sz="4" w:space="0" w:color="auto"/>
              <w:left w:val="single" w:sz="4" w:space="0" w:color="auto"/>
              <w:bottom w:val="single" w:sz="4" w:space="0" w:color="auto"/>
              <w:right w:val="single" w:sz="4" w:space="0" w:color="auto"/>
            </w:tcBorders>
            <w:vAlign w:val="bottom"/>
          </w:tcPr>
          <w:p w14:paraId="439750B6" w14:textId="2F32EEFB"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223.6 </w:t>
            </w:r>
          </w:p>
        </w:tc>
        <w:tc>
          <w:tcPr>
            <w:tcW w:w="1046" w:type="pct"/>
            <w:tcBorders>
              <w:top w:val="single" w:sz="4" w:space="0" w:color="auto"/>
              <w:left w:val="single" w:sz="4" w:space="0" w:color="auto"/>
              <w:bottom w:val="single" w:sz="4" w:space="0" w:color="auto"/>
              <w:right w:val="single" w:sz="4" w:space="0" w:color="auto"/>
            </w:tcBorders>
            <w:vAlign w:val="bottom"/>
          </w:tcPr>
          <w:p w14:paraId="1F003F8B" w14:textId="5006D798"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219.2 </w:t>
            </w:r>
          </w:p>
        </w:tc>
        <w:tc>
          <w:tcPr>
            <w:tcW w:w="796" w:type="pct"/>
            <w:tcBorders>
              <w:top w:val="single" w:sz="4" w:space="0" w:color="auto"/>
              <w:left w:val="single" w:sz="4" w:space="0" w:color="auto"/>
              <w:bottom w:val="single" w:sz="4" w:space="0" w:color="auto"/>
              <w:right w:val="single" w:sz="4" w:space="0" w:color="auto"/>
            </w:tcBorders>
            <w:vAlign w:val="bottom"/>
          </w:tcPr>
          <w:p w14:paraId="679280C6" w14:textId="3189B5D7"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176.2 </w:t>
            </w:r>
          </w:p>
        </w:tc>
        <w:tc>
          <w:tcPr>
            <w:tcW w:w="660" w:type="pct"/>
            <w:tcBorders>
              <w:top w:val="single" w:sz="4" w:space="0" w:color="auto"/>
              <w:left w:val="single" w:sz="4" w:space="0" w:color="auto"/>
              <w:bottom w:val="single" w:sz="4" w:space="0" w:color="auto"/>
              <w:right w:val="single" w:sz="4" w:space="0" w:color="auto"/>
            </w:tcBorders>
            <w:vAlign w:val="bottom"/>
          </w:tcPr>
          <w:p w14:paraId="7A631E7E" w14:textId="0B11C7DC"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269.6 </w:t>
            </w:r>
          </w:p>
        </w:tc>
      </w:tr>
      <w:tr w:rsidR="00F01537" w:rsidRPr="00936D28" w14:paraId="401B2F77" w14:textId="77777777" w:rsidTr="00F01537">
        <w:trPr>
          <w:trHeight w:val="256"/>
          <w:jc w:val="center"/>
        </w:trPr>
        <w:tc>
          <w:tcPr>
            <w:tcW w:w="514" w:type="pct"/>
            <w:tcBorders>
              <w:top w:val="single" w:sz="4" w:space="0" w:color="auto"/>
              <w:left w:val="single" w:sz="4" w:space="0" w:color="auto"/>
              <w:bottom w:val="single" w:sz="4" w:space="0" w:color="auto"/>
              <w:right w:val="single" w:sz="4" w:space="0" w:color="auto"/>
            </w:tcBorders>
            <w:vAlign w:val="bottom"/>
          </w:tcPr>
          <w:p w14:paraId="62AEA3D9" w14:textId="442CF2BA"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CCG205</w:t>
            </w:r>
          </w:p>
        </w:tc>
        <w:tc>
          <w:tcPr>
            <w:tcW w:w="640" w:type="pct"/>
            <w:tcBorders>
              <w:top w:val="single" w:sz="4" w:space="0" w:color="auto"/>
              <w:left w:val="single" w:sz="4" w:space="0" w:color="auto"/>
              <w:bottom w:val="single" w:sz="4" w:space="0" w:color="auto"/>
              <w:right w:val="single" w:sz="4" w:space="0" w:color="auto"/>
            </w:tcBorders>
            <w:vAlign w:val="bottom"/>
          </w:tcPr>
          <w:p w14:paraId="60D09A3D" w14:textId="0B689F11"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69 </w:t>
            </w:r>
          </w:p>
        </w:tc>
        <w:tc>
          <w:tcPr>
            <w:tcW w:w="757" w:type="pct"/>
            <w:tcBorders>
              <w:top w:val="single" w:sz="4" w:space="0" w:color="auto"/>
              <w:left w:val="single" w:sz="4" w:space="0" w:color="auto"/>
              <w:bottom w:val="single" w:sz="4" w:space="0" w:color="auto"/>
              <w:right w:val="single" w:sz="4" w:space="0" w:color="auto"/>
            </w:tcBorders>
            <w:vAlign w:val="bottom"/>
          </w:tcPr>
          <w:p w14:paraId="3DBA1145" w14:textId="47AB0C51"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29,025 </w:t>
            </w:r>
          </w:p>
        </w:tc>
        <w:tc>
          <w:tcPr>
            <w:tcW w:w="588" w:type="pct"/>
            <w:tcBorders>
              <w:top w:val="single" w:sz="4" w:space="0" w:color="auto"/>
              <w:left w:val="single" w:sz="4" w:space="0" w:color="auto"/>
              <w:bottom w:val="single" w:sz="4" w:space="0" w:color="auto"/>
              <w:right w:val="single" w:sz="4" w:space="0" w:color="auto"/>
            </w:tcBorders>
            <w:vAlign w:val="bottom"/>
          </w:tcPr>
          <w:p w14:paraId="26354841" w14:textId="080461A9"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237.7 </w:t>
            </w:r>
          </w:p>
        </w:tc>
        <w:tc>
          <w:tcPr>
            <w:tcW w:w="1046" w:type="pct"/>
            <w:tcBorders>
              <w:top w:val="single" w:sz="4" w:space="0" w:color="auto"/>
              <w:left w:val="single" w:sz="4" w:space="0" w:color="auto"/>
              <w:bottom w:val="single" w:sz="4" w:space="0" w:color="auto"/>
              <w:right w:val="single" w:sz="4" w:space="0" w:color="auto"/>
            </w:tcBorders>
            <w:vAlign w:val="bottom"/>
          </w:tcPr>
          <w:p w14:paraId="6521A454" w14:textId="2B2348E4"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220.3 </w:t>
            </w:r>
          </w:p>
        </w:tc>
        <w:tc>
          <w:tcPr>
            <w:tcW w:w="796" w:type="pct"/>
            <w:tcBorders>
              <w:top w:val="single" w:sz="4" w:space="0" w:color="auto"/>
              <w:left w:val="single" w:sz="4" w:space="0" w:color="auto"/>
              <w:bottom w:val="single" w:sz="4" w:space="0" w:color="auto"/>
              <w:right w:val="single" w:sz="4" w:space="0" w:color="auto"/>
            </w:tcBorders>
            <w:vAlign w:val="bottom"/>
          </w:tcPr>
          <w:p w14:paraId="56AA05A1" w14:textId="03B02B06"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171.3 </w:t>
            </w:r>
          </w:p>
        </w:tc>
        <w:tc>
          <w:tcPr>
            <w:tcW w:w="660" w:type="pct"/>
            <w:tcBorders>
              <w:top w:val="single" w:sz="4" w:space="0" w:color="auto"/>
              <w:left w:val="single" w:sz="4" w:space="0" w:color="auto"/>
              <w:bottom w:val="single" w:sz="4" w:space="0" w:color="auto"/>
              <w:right w:val="single" w:sz="4" w:space="0" w:color="auto"/>
            </w:tcBorders>
            <w:vAlign w:val="bottom"/>
          </w:tcPr>
          <w:p w14:paraId="53A6C688" w14:textId="186F30A4"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278.9 </w:t>
            </w:r>
          </w:p>
        </w:tc>
      </w:tr>
      <w:tr w:rsidR="00F01537" w:rsidRPr="00936D28" w14:paraId="34F3A53A" w14:textId="77777777" w:rsidTr="00F01537">
        <w:trPr>
          <w:trHeight w:val="256"/>
          <w:jc w:val="center"/>
        </w:trPr>
        <w:tc>
          <w:tcPr>
            <w:tcW w:w="514" w:type="pct"/>
            <w:tcBorders>
              <w:top w:val="single" w:sz="4" w:space="0" w:color="auto"/>
              <w:left w:val="single" w:sz="4" w:space="0" w:color="auto"/>
              <w:bottom w:val="single" w:sz="4" w:space="0" w:color="auto"/>
              <w:right w:val="single" w:sz="4" w:space="0" w:color="auto"/>
            </w:tcBorders>
            <w:vAlign w:val="bottom"/>
          </w:tcPr>
          <w:p w14:paraId="7E5DF3FC" w14:textId="434AE82F"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CCG206</w:t>
            </w:r>
          </w:p>
        </w:tc>
        <w:tc>
          <w:tcPr>
            <w:tcW w:w="640" w:type="pct"/>
            <w:tcBorders>
              <w:top w:val="single" w:sz="4" w:space="0" w:color="auto"/>
              <w:left w:val="single" w:sz="4" w:space="0" w:color="auto"/>
              <w:bottom w:val="single" w:sz="4" w:space="0" w:color="auto"/>
              <w:right w:val="single" w:sz="4" w:space="0" w:color="auto"/>
            </w:tcBorders>
            <w:vAlign w:val="bottom"/>
          </w:tcPr>
          <w:p w14:paraId="756605CD" w14:textId="2BBA2738"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94 </w:t>
            </w:r>
          </w:p>
        </w:tc>
        <w:tc>
          <w:tcPr>
            <w:tcW w:w="757" w:type="pct"/>
            <w:tcBorders>
              <w:top w:val="single" w:sz="4" w:space="0" w:color="auto"/>
              <w:left w:val="single" w:sz="4" w:space="0" w:color="auto"/>
              <w:bottom w:val="single" w:sz="4" w:space="0" w:color="auto"/>
              <w:right w:val="single" w:sz="4" w:space="0" w:color="auto"/>
            </w:tcBorders>
            <w:vAlign w:val="bottom"/>
          </w:tcPr>
          <w:p w14:paraId="65F98208" w14:textId="1F7F6883"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43,243 </w:t>
            </w:r>
          </w:p>
        </w:tc>
        <w:tc>
          <w:tcPr>
            <w:tcW w:w="588" w:type="pct"/>
            <w:tcBorders>
              <w:top w:val="single" w:sz="4" w:space="0" w:color="auto"/>
              <w:left w:val="single" w:sz="4" w:space="0" w:color="auto"/>
              <w:bottom w:val="single" w:sz="4" w:space="0" w:color="auto"/>
              <w:right w:val="single" w:sz="4" w:space="0" w:color="auto"/>
            </w:tcBorders>
            <w:vAlign w:val="bottom"/>
          </w:tcPr>
          <w:p w14:paraId="2FFE50C9" w14:textId="75D922E8"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217.4 </w:t>
            </w:r>
          </w:p>
        </w:tc>
        <w:tc>
          <w:tcPr>
            <w:tcW w:w="1046" w:type="pct"/>
            <w:tcBorders>
              <w:top w:val="single" w:sz="4" w:space="0" w:color="auto"/>
              <w:left w:val="single" w:sz="4" w:space="0" w:color="auto"/>
              <w:bottom w:val="single" w:sz="4" w:space="0" w:color="auto"/>
              <w:right w:val="single" w:sz="4" w:space="0" w:color="auto"/>
            </w:tcBorders>
            <w:vAlign w:val="bottom"/>
          </w:tcPr>
          <w:p w14:paraId="4A6E0DBB" w14:textId="261D1CC3"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220.3 </w:t>
            </w:r>
          </w:p>
        </w:tc>
        <w:tc>
          <w:tcPr>
            <w:tcW w:w="796" w:type="pct"/>
            <w:tcBorders>
              <w:top w:val="single" w:sz="4" w:space="0" w:color="auto"/>
              <w:left w:val="single" w:sz="4" w:space="0" w:color="auto"/>
              <w:bottom w:val="single" w:sz="4" w:space="0" w:color="auto"/>
              <w:right w:val="single" w:sz="4" w:space="0" w:color="auto"/>
            </w:tcBorders>
            <w:vAlign w:val="bottom"/>
          </w:tcPr>
          <w:p w14:paraId="7B11892F" w14:textId="45E52FB1"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178.0 </w:t>
            </w:r>
          </w:p>
        </w:tc>
        <w:tc>
          <w:tcPr>
            <w:tcW w:w="660" w:type="pct"/>
            <w:tcBorders>
              <w:top w:val="single" w:sz="4" w:space="0" w:color="auto"/>
              <w:left w:val="single" w:sz="4" w:space="0" w:color="auto"/>
              <w:bottom w:val="single" w:sz="4" w:space="0" w:color="auto"/>
              <w:right w:val="single" w:sz="4" w:space="0" w:color="auto"/>
            </w:tcBorders>
            <w:vAlign w:val="bottom"/>
          </w:tcPr>
          <w:p w14:paraId="6AC8D080" w14:textId="046384C0"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269.7 </w:t>
            </w:r>
          </w:p>
        </w:tc>
      </w:tr>
      <w:tr w:rsidR="00F01537" w:rsidRPr="00936D28" w14:paraId="64F6F68C" w14:textId="77777777" w:rsidTr="00F01537">
        <w:trPr>
          <w:trHeight w:val="256"/>
          <w:jc w:val="center"/>
        </w:trPr>
        <w:tc>
          <w:tcPr>
            <w:tcW w:w="514" w:type="pct"/>
            <w:tcBorders>
              <w:top w:val="single" w:sz="4" w:space="0" w:color="auto"/>
              <w:left w:val="single" w:sz="4" w:space="0" w:color="auto"/>
              <w:bottom w:val="single" w:sz="4" w:space="0" w:color="auto"/>
              <w:right w:val="single" w:sz="4" w:space="0" w:color="auto"/>
            </w:tcBorders>
            <w:vAlign w:val="bottom"/>
          </w:tcPr>
          <w:p w14:paraId="680A70E0" w14:textId="78E87F5B"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CCG207</w:t>
            </w:r>
          </w:p>
        </w:tc>
        <w:tc>
          <w:tcPr>
            <w:tcW w:w="640" w:type="pct"/>
            <w:tcBorders>
              <w:top w:val="single" w:sz="4" w:space="0" w:color="auto"/>
              <w:left w:val="single" w:sz="4" w:space="0" w:color="auto"/>
              <w:bottom w:val="single" w:sz="4" w:space="0" w:color="auto"/>
              <w:right w:val="single" w:sz="4" w:space="0" w:color="auto"/>
            </w:tcBorders>
            <w:vAlign w:val="bottom"/>
          </w:tcPr>
          <w:p w14:paraId="73993F8D" w14:textId="0A6ABC73"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106 </w:t>
            </w:r>
          </w:p>
        </w:tc>
        <w:tc>
          <w:tcPr>
            <w:tcW w:w="757" w:type="pct"/>
            <w:tcBorders>
              <w:top w:val="single" w:sz="4" w:space="0" w:color="auto"/>
              <w:left w:val="single" w:sz="4" w:space="0" w:color="auto"/>
              <w:bottom w:val="single" w:sz="4" w:space="0" w:color="auto"/>
              <w:right w:val="single" w:sz="4" w:space="0" w:color="auto"/>
            </w:tcBorders>
            <w:vAlign w:val="bottom"/>
          </w:tcPr>
          <w:p w14:paraId="5927FFEE" w14:textId="3BCC3AF4"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41,269 </w:t>
            </w:r>
          </w:p>
        </w:tc>
        <w:tc>
          <w:tcPr>
            <w:tcW w:w="588" w:type="pct"/>
            <w:tcBorders>
              <w:top w:val="single" w:sz="4" w:space="0" w:color="auto"/>
              <w:left w:val="single" w:sz="4" w:space="0" w:color="auto"/>
              <w:bottom w:val="single" w:sz="4" w:space="0" w:color="auto"/>
              <w:right w:val="single" w:sz="4" w:space="0" w:color="auto"/>
            </w:tcBorders>
            <w:vAlign w:val="bottom"/>
          </w:tcPr>
          <w:p w14:paraId="6E92231A" w14:textId="24FE7ECE"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256.9 </w:t>
            </w:r>
          </w:p>
        </w:tc>
        <w:tc>
          <w:tcPr>
            <w:tcW w:w="1046" w:type="pct"/>
            <w:tcBorders>
              <w:top w:val="single" w:sz="4" w:space="0" w:color="auto"/>
              <w:left w:val="single" w:sz="4" w:space="0" w:color="auto"/>
              <w:bottom w:val="single" w:sz="4" w:space="0" w:color="auto"/>
              <w:right w:val="single" w:sz="4" w:space="0" w:color="auto"/>
            </w:tcBorders>
            <w:vAlign w:val="bottom"/>
          </w:tcPr>
          <w:p w14:paraId="77598DE2" w14:textId="52536858"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221.4 </w:t>
            </w:r>
          </w:p>
        </w:tc>
        <w:tc>
          <w:tcPr>
            <w:tcW w:w="796" w:type="pct"/>
            <w:tcBorders>
              <w:top w:val="single" w:sz="4" w:space="0" w:color="auto"/>
              <w:left w:val="single" w:sz="4" w:space="0" w:color="auto"/>
              <w:bottom w:val="single" w:sz="4" w:space="0" w:color="auto"/>
              <w:right w:val="single" w:sz="4" w:space="0" w:color="auto"/>
            </w:tcBorders>
            <w:vAlign w:val="bottom"/>
          </w:tcPr>
          <w:p w14:paraId="41A5179B" w14:textId="64D6EB0F"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180.6 </w:t>
            </w:r>
          </w:p>
        </w:tc>
        <w:tc>
          <w:tcPr>
            <w:tcW w:w="660" w:type="pct"/>
            <w:tcBorders>
              <w:top w:val="single" w:sz="4" w:space="0" w:color="auto"/>
              <w:left w:val="single" w:sz="4" w:space="0" w:color="auto"/>
              <w:bottom w:val="single" w:sz="4" w:space="0" w:color="auto"/>
              <w:right w:val="single" w:sz="4" w:space="0" w:color="auto"/>
            </w:tcBorders>
            <w:vAlign w:val="bottom"/>
          </w:tcPr>
          <w:p w14:paraId="75875C90" w14:textId="2404784A"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268.5 </w:t>
            </w:r>
          </w:p>
        </w:tc>
      </w:tr>
      <w:tr w:rsidR="00F01537" w:rsidRPr="00936D28" w14:paraId="686A51EA" w14:textId="77777777" w:rsidTr="00F01537">
        <w:trPr>
          <w:trHeight w:val="256"/>
          <w:jc w:val="center"/>
        </w:trPr>
        <w:tc>
          <w:tcPr>
            <w:tcW w:w="514" w:type="pct"/>
            <w:tcBorders>
              <w:top w:val="single" w:sz="4" w:space="0" w:color="auto"/>
              <w:left w:val="single" w:sz="4" w:space="0" w:color="auto"/>
              <w:bottom w:val="single" w:sz="4" w:space="0" w:color="auto"/>
              <w:right w:val="single" w:sz="4" w:space="0" w:color="auto"/>
            </w:tcBorders>
            <w:vAlign w:val="bottom"/>
          </w:tcPr>
          <w:p w14:paraId="7E9FAEBE" w14:textId="45CA1B86"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CCG208</w:t>
            </w:r>
          </w:p>
        </w:tc>
        <w:tc>
          <w:tcPr>
            <w:tcW w:w="640" w:type="pct"/>
            <w:tcBorders>
              <w:top w:val="single" w:sz="4" w:space="0" w:color="auto"/>
              <w:left w:val="single" w:sz="4" w:space="0" w:color="auto"/>
              <w:bottom w:val="single" w:sz="4" w:space="0" w:color="auto"/>
              <w:right w:val="single" w:sz="4" w:space="0" w:color="auto"/>
            </w:tcBorders>
            <w:vAlign w:val="bottom"/>
          </w:tcPr>
          <w:p w14:paraId="4EFFA137" w14:textId="758EBB45"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123 </w:t>
            </w:r>
          </w:p>
        </w:tc>
        <w:tc>
          <w:tcPr>
            <w:tcW w:w="757" w:type="pct"/>
            <w:tcBorders>
              <w:top w:val="single" w:sz="4" w:space="0" w:color="auto"/>
              <w:left w:val="single" w:sz="4" w:space="0" w:color="auto"/>
              <w:bottom w:val="single" w:sz="4" w:space="0" w:color="auto"/>
              <w:right w:val="single" w:sz="4" w:space="0" w:color="auto"/>
            </w:tcBorders>
            <w:vAlign w:val="bottom"/>
          </w:tcPr>
          <w:p w14:paraId="3FD88DED" w14:textId="7FB32CDD"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51,503 </w:t>
            </w:r>
          </w:p>
        </w:tc>
        <w:tc>
          <w:tcPr>
            <w:tcW w:w="588" w:type="pct"/>
            <w:tcBorders>
              <w:top w:val="single" w:sz="4" w:space="0" w:color="auto"/>
              <w:left w:val="single" w:sz="4" w:space="0" w:color="auto"/>
              <w:bottom w:val="single" w:sz="4" w:space="0" w:color="auto"/>
              <w:right w:val="single" w:sz="4" w:space="0" w:color="auto"/>
            </w:tcBorders>
            <w:vAlign w:val="bottom"/>
          </w:tcPr>
          <w:p w14:paraId="71C999DB" w14:textId="17CD2295"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238.8 </w:t>
            </w:r>
          </w:p>
        </w:tc>
        <w:tc>
          <w:tcPr>
            <w:tcW w:w="1046" w:type="pct"/>
            <w:tcBorders>
              <w:top w:val="single" w:sz="4" w:space="0" w:color="auto"/>
              <w:left w:val="single" w:sz="4" w:space="0" w:color="auto"/>
              <w:bottom w:val="single" w:sz="4" w:space="0" w:color="auto"/>
              <w:right w:val="single" w:sz="4" w:space="0" w:color="auto"/>
            </w:tcBorders>
            <w:vAlign w:val="bottom"/>
          </w:tcPr>
          <w:p w14:paraId="5E2061D0" w14:textId="33B47131"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222.2 </w:t>
            </w:r>
          </w:p>
        </w:tc>
        <w:tc>
          <w:tcPr>
            <w:tcW w:w="796" w:type="pct"/>
            <w:tcBorders>
              <w:top w:val="single" w:sz="4" w:space="0" w:color="auto"/>
              <w:left w:val="single" w:sz="4" w:space="0" w:color="auto"/>
              <w:bottom w:val="single" w:sz="4" w:space="0" w:color="auto"/>
              <w:right w:val="single" w:sz="4" w:space="0" w:color="auto"/>
            </w:tcBorders>
            <w:vAlign w:val="bottom"/>
          </w:tcPr>
          <w:p w14:paraId="1B556120" w14:textId="2C672E15"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184.6 </w:t>
            </w:r>
          </w:p>
        </w:tc>
        <w:tc>
          <w:tcPr>
            <w:tcW w:w="660" w:type="pct"/>
            <w:tcBorders>
              <w:top w:val="single" w:sz="4" w:space="0" w:color="auto"/>
              <w:left w:val="single" w:sz="4" w:space="0" w:color="auto"/>
              <w:bottom w:val="single" w:sz="4" w:space="0" w:color="auto"/>
              <w:right w:val="single" w:sz="4" w:space="0" w:color="auto"/>
            </w:tcBorders>
            <w:vAlign w:val="bottom"/>
          </w:tcPr>
          <w:p w14:paraId="357BC611" w14:textId="0D5FA7D6"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265.3 </w:t>
            </w:r>
          </w:p>
        </w:tc>
      </w:tr>
      <w:tr w:rsidR="00F01537" w:rsidRPr="00936D28" w14:paraId="7419777E" w14:textId="77777777" w:rsidTr="00F01537">
        <w:trPr>
          <w:trHeight w:val="256"/>
          <w:jc w:val="center"/>
        </w:trPr>
        <w:tc>
          <w:tcPr>
            <w:tcW w:w="514" w:type="pct"/>
            <w:tcBorders>
              <w:top w:val="single" w:sz="4" w:space="0" w:color="auto"/>
              <w:left w:val="single" w:sz="4" w:space="0" w:color="auto"/>
              <w:bottom w:val="single" w:sz="4" w:space="0" w:color="auto"/>
              <w:right w:val="single" w:sz="4" w:space="0" w:color="auto"/>
            </w:tcBorders>
            <w:vAlign w:val="bottom"/>
          </w:tcPr>
          <w:p w14:paraId="5707D89A" w14:textId="29B665CE"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CCG209</w:t>
            </w:r>
          </w:p>
        </w:tc>
        <w:tc>
          <w:tcPr>
            <w:tcW w:w="640" w:type="pct"/>
            <w:tcBorders>
              <w:top w:val="single" w:sz="4" w:space="0" w:color="auto"/>
              <w:left w:val="single" w:sz="4" w:space="0" w:color="auto"/>
              <w:bottom w:val="single" w:sz="4" w:space="0" w:color="auto"/>
              <w:right w:val="single" w:sz="4" w:space="0" w:color="auto"/>
            </w:tcBorders>
            <w:vAlign w:val="bottom"/>
          </w:tcPr>
          <w:p w14:paraId="630D5D51" w14:textId="556C57FE"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251 </w:t>
            </w:r>
          </w:p>
        </w:tc>
        <w:tc>
          <w:tcPr>
            <w:tcW w:w="757" w:type="pct"/>
            <w:tcBorders>
              <w:top w:val="single" w:sz="4" w:space="0" w:color="auto"/>
              <w:left w:val="single" w:sz="4" w:space="0" w:color="auto"/>
              <w:bottom w:val="single" w:sz="4" w:space="0" w:color="auto"/>
              <w:right w:val="single" w:sz="4" w:space="0" w:color="auto"/>
            </w:tcBorders>
            <w:vAlign w:val="bottom"/>
          </w:tcPr>
          <w:p w14:paraId="12C1D04F" w14:textId="3878820B"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101,331 </w:t>
            </w:r>
          </w:p>
        </w:tc>
        <w:tc>
          <w:tcPr>
            <w:tcW w:w="588" w:type="pct"/>
            <w:tcBorders>
              <w:top w:val="single" w:sz="4" w:space="0" w:color="auto"/>
              <w:left w:val="single" w:sz="4" w:space="0" w:color="auto"/>
              <w:bottom w:val="single" w:sz="4" w:space="0" w:color="auto"/>
              <w:right w:val="single" w:sz="4" w:space="0" w:color="auto"/>
            </w:tcBorders>
            <w:vAlign w:val="bottom"/>
          </w:tcPr>
          <w:p w14:paraId="30611F0C" w14:textId="0221A083"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247.7 </w:t>
            </w:r>
          </w:p>
        </w:tc>
        <w:tc>
          <w:tcPr>
            <w:tcW w:w="1046" w:type="pct"/>
            <w:tcBorders>
              <w:top w:val="single" w:sz="4" w:space="0" w:color="auto"/>
              <w:left w:val="single" w:sz="4" w:space="0" w:color="auto"/>
              <w:bottom w:val="single" w:sz="4" w:space="0" w:color="auto"/>
              <w:right w:val="single" w:sz="4" w:space="0" w:color="auto"/>
            </w:tcBorders>
            <w:vAlign w:val="bottom"/>
          </w:tcPr>
          <w:p w14:paraId="18F0D99E" w14:textId="5F178420"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223.6 </w:t>
            </w:r>
          </w:p>
        </w:tc>
        <w:tc>
          <w:tcPr>
            <w:tcW w:w="796" w:type="pct"/>
            <w:tcBorders>
              <w:top w:val="single" w:sz="4" w:space="0" w:color="auto"/>
              <w:left w:val="single" w:sz="4" w:space="0" w:color="auto"/>
              <w:bottom w:val="single" w:sz="4" w:space="0" w:color="auto"/>
              <w:right w:val="single" w:sz="4" w:space="0" w:color="auto"/>
            </w:tcBorders>
            <w:vAlign w:val="bottom"/>
          </w:tcPr>
          <w:p w14:paraId="6AD93619" w14:textId="2434A4DC"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196.6 </w:t>
            </w:r>
          </w:p>
        </w:tc>
        <w:tc>
          <w:tcPr>
            <w:tcW w:w="660" w:type="pct"/>
            <w:tcBorders>
              <w:top w:val="single" w:sz="4" w:space="0" w:color="auto"/>
              <w:left w:val="single" w:sz="4" w:space="0" w:color="auto"/>
              <w:bottom w:val="single" w:sz="4" w:space="0" w:color="auto"/>
              <w:right w:val="single" w:sz="4" w:space="0" w:color="auto"/>
            </w:tcBorders>
            <w:vAlign w:val="bottom"/>
          </w:tcPr>
          <w:p w14:paraId="29FD43A9" w14:textId="12A53F40"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253.3 </w:t>
            </w:r>
          </w:p>
        </w:tc>
      </w:tr>
      <w:tr w:rsidR="00F01537" w:rsidRPr="00936D28" w14:paraId="3D2E7946" w14:textId="77777777" w:rsidTr="00F01537">
        <w:trPr>
          <w:trHeight w:val="256"/>
          <w:jc w:val="center"/>
        </w:trPr>
        <w:tc>
          <w:tcPr>
            <w:tcW w:w="514" w:type="pct"/>
            <w:tcBorders>
              <w:top w:val="single" w:sz="4" w:space="0" w:color="auto"/>
              <w:left w:val="single" w:sz="4" w:space="0" w:color="auto"/>
              <w:bottom w:val="single" w:sz="4" w:space="0" w:color="auto"/>
              <w:right w:val="single" w:sz="4" w:space="0" w:color="auto"/>
            </w:tcBorders>
            <w:vAlign w:val="bottom"/>
          </w:tcPr>
          <w:p w14:paraId="1616A345" w14:textId="68783DFC"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CCG210</w:t>
            </w:r>
          </w:p>
        </w:tc>
        <w:tc>
          <w:tcPr>
            <w:tcW w:w="640" w:type="pct"/>
            <w:tcBorders>
              <w:top w:val="single" w:sz="4" w:space="0" w:color="auto"/>
              <w:left w:val="single" w:sz="4" w:space="0" w:color="auto"/>
              <w:bottom w:val="single" w:sz="4" w:space="0" w:color="auto"/>
              <w:right w:val="single" w:sz="4" w:space="0" w:color="auto"/>
            </w:tcBorders>
            <w:vAlign w:val="bottom"/>
          </w:tcPr>
          <w:p w14:paraId="7D8242F6" w14:textId="67EECE2D"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106 </w:t>
            </w:r>
          </w:p>
        </w:tc>
        <w:tc>
          <w:tcPr>
            <w:tcW w:w="757" w:type="pct"/>
            <w:tcBorders>
              <w:top w:val="single" w:sz="4" w:space="0" w:color="auto"/>
              <w:left w:val="single" w:sz="4" w:space="0" w:color="auto"/>
              <w:bottom w:val="single" w:sz="4" w:space="0" w:color="auto"/>
              <w:right w:val="single" w:sz="4" w:space="0" w:color="auto"/>
            </w:tcBorders>
            <w:vAlign w:val="bottom"/>
          </w:tcPr>
          <w:p w14:paraId="094FE0B7" w14:textId="4F688830"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45,055 </w:t>
            </w:r>
          </w:p>
        </w:tc>
        <w:tc>
          <w:tcPr>
            <w:tcW w:w="588" w:type="pct"/>
            <w:tcBorders>
              <w:top w:val="single" w:sz="4" w:space="0" w:color="auto"/>
              <w:left w:val="single" w:sz="4" w:space="0" w:color="auto"/>
              <w:bottom w:val="single" w:sz="4" w:space="0" w:color="auto"/>
              <w:right w:val="single" w:sz="4" w:space="0" w:color="auto"/>
            </w:tcBorders>
            <w:vAlign w:val="bottom"/>
          </w:tcPr>
          <w:p w14:paraId="586C7E02" w14:textId="783D6C3B"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235.3 </w:t>
            </w:r>
          </w:p>
        </w:tc>
        <w:tc>
          <w:tcPr>
            <w:tcW w:w="1046" w:type="pct"/>
            <w:tcBorders>
              <w:top w:val="single" w:sz="4" w:space="0" w:color="auto"/>
              <w:left w:val="single" w:sz="4" w:space="0" w:color="auto"/>
              <w:bottom w:val="single" w:sz="4" w:space="0" w:color="auto"/>
              <w:right w:val="single" w:sz="4" w:space="0" w:color="auto"/>
            </w:tcBorders>
            <w:vAlign w:val="bottom"/>
          </w:tcPr>
          <w:p w14:paraId="552AEF0A" w14:textId="676E089F"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227.9 </w:t>
            </w:r>
          </w:p>
        </w:tc>
        <w:tc>
          <w:tcPr>
            <w:tcW w:w="796" w:type="pct"/>
            <w:tcBorders>
              <w:top w:val="single" w:sz="4" w:space="0" w:color="auto"/>
              <w:left w:val="single" w:sz="4" w:space="0" w:color="auto"/>
              <w:bottom w:val="single" w:sz="4" w:space="0" w:color="auto"/>
              <w:right w:val="single" w:sz="4" w:space="0" w:color="auto"/>
            </w:tcBorders>
            <w:vAlign w:val="bottom"/>
          </w:tcPr>
          <w:p w14:paraId="6B212414" w14:textId="034D98E7"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186.5 </w:t>
            </w:r>
          </w:p>
        </w:tc>
        <w:tc>
          <w:tcPr>
            <w:tcW w:w="660" w:type="pct"/>
            <w:tcBorders>
              <w:top w:val="single" w:sz="4" w:space="0" w:color="auto"/>
              <w:left w:val="single" w:sz="4" w:space="0" w:color="auto"/>
              <w:bottom w:val="single" w:sz="4" w:space="0" w:color="auto"/>
              <w:right w:val="single" w:sz="4" w:space="0" w:color="auto"/>
            </w:tcBorders>
            <w:vAlign w:val="bottom"/>
          </w:tcPr>
          <w:p w14:paraId="7171FE1C" w14:textId="52EF80ED"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275.6 </w:t>
            </w:r>
          </w:p>
        </w:tc>
      </w:tr>
      <w:tr w:rsidR="00F01537" w:rsidRPr="00936D28" w14:paraId="25BA6148" w14:textId="77777777" w:rsidTr="00F01537">
        <w:trPr>
          <w:trHeight w:val="256"/>
          <w:jc w:val="center"/>
        </w:trPr>
        <w:tc>
          <w:tcPr>
            <w:tcW w:w="514" w:type="pct"/>
            <w:tcBorders>
              <w:top w:val="single" w:sz="4" w:space="0" w:color="auto"/>
              <w:left w:val="single" w:sz="4" w:space="0" w:color="auto"/>
              <w:bottom w:val="single" w:sz="4" w:space="0" w:color="auto"/>
              <w:right w:val="single" w:sz="4" w:space="0" w:color="auto"/>
            </w:tcBorders>
            <w:vAlign w:val="bottom"/>
          </w:tcPr>
          <w:p w14:paraId="069FEB60" w14:textId="4931E7FB"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lastRenderedPageBreak/>
              <w:t>CCG211</w:t>
            </w:r>
          </w:p>
        </w:tc>
        <w:tc>
          <w:tcPr>
            <w:tcW w:w="640" w:type="pct"/>
            <w:tcBorders>
              <w:top w:val="single" w:sz="4" w:space="0" w:color="auto"/>
              <w:left w:val="single" w:sz="4" w:space="0" w:color="auto"/>
              <w:bottom w:val="single" w:sz="4" w:space="0" w:color="auto"/>
              <w:right w:val="single" w:sz="4" w:space="0" w:color="auto"/>
            </w:tcBorders>
            <w:vAlign w:val="bottom"/>
          </w:tcPr>
          <w:p w14:paraId="401576ED" w14:textId="1A9D5789"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123 </w:t>
            </w:r>
          </w:p>
        </w:tc>
        <w:tc>
          <w:tcPr>
            <w:tcW w:w="757" w:type="pct"/>
            <w:tcBorders>
              <w:top w:val="single" w:sz="4" w:space="0" w:color="auto"/>
              <w:left w:val="single" w:sz="4" w:space="0" w:color="auto"/>
              <w:bottom w:val="single" w:sz="4" w:space="0" w:color="auto"/>
              <w:right w:val="single" w:sz="4" w:space="0" w:color="auto"/>
            </w:tcBorders>
            <w:vAlign w:val="bottom"/>
          </w:tcPr>
          <w:p w14:paraId="12802CA8" w14:textId="2133E3F6"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43,795 </w:t>
            </w:r>
          </w:p>
        </w:tc>
        <w:tc>
          <w:tcPr>
            <w:tcW w:w="588" w:type="pct"/>
            <w:tcBorders>
              <w:top w:val="single" w:sz="4" w:space="0" w:color="auto"/>
              <w:left w:val="single" w:sz="4" w:space="0" w:color="auto"/>
              <w:bottom w:val="single" w:sz="4" w:space="0" w:color="auto"/>
              <w:right w:val="single" w:sz="4" w:space="0" w:color="auto"/>
            </w:tcBorders>
            <w:vAlign w:val="bottom"/>
          </w:tcPr>
          <w:p w14:paraId="5A3DD23E" w14:textId="5EBD08E4"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280.9 </w:t>
            </w:r>
          </w:p>
        </w:tc>
        <w:tc>
          <w:tcPr>
            <w:tcW w:w="1046" w:type="pct"/>
            <w:tcBorders>
              <w:top w:val="single" w:sz="4" w:space="0" w:color="auto"/>
              <w:left w:val="single" w:sz="4" w:space="0" w:color="auto"/>
              <w:bottom w:val="single" w:sz="4" w:space="0" w:color="auto"/>
              <w:right w:val="single" w:sz="4" w:space="0" w:color="auto"/>
            </w:tcBorders>
            <w:vAlign w:val="bottom"/>
          </w:tcPr>
          <w:p w14:paraId="10B76A9F" w14:textId="150AF955"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241.7 </w:t>
            </w:r>
          </w:p>
        </w:tc>
        <w:tc>
          <w:tcPr>
            <w:tcW w:w="796" w:type="pct"/>
            <w:tcBorders>
              <w:top w:val="single" w:sz="4" w:space="0" w:color="auto"/>
              <w:left w:val="single" w:sz="4" w:space="0" w:color="auto"/>
              <w:bottom w:val="single" w:sz="4" w:space="0" w:color="auto"/>
              <w:right w:val="single" w:sz="4" w:space="0" w:color="auto"/>
            </w:tcBorders>
            <w:vAlign w:val="bottom"/>
          </w:tcPr>
          <w:p w14:paraId="6781FDEC" w14:textId="610BF7EF"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200.5 </w:t>
            </w:r>
          </w:p>
        </w:tc>
        <w:tc>
          <w:tcPr>
            <w:tcW w:w="660" w:type="pct"/>
            <w:tcBorders>
              <w:top w:val="single" w:sz="4" w:space="0" w:color="auto"/>
              <w:left w:val="single" w:sz="4" w:space="0" w:color="auto"/>
              <w:bottom w:val="single" w:sz="4" w:space="0" w:color="auto"/>
              <w:right w:val="single" w:sz="4" w:space="0" w:color="auto"/>
            </w:tcBorders>
            <w:vAlign w:val="bottom"/>
          </w:tcPr>
          <w:p w14:paraId="00F72E5D" w14:textId="233385A9" w:rsidR="00F01537" w:rsidRPr="00936D28" w:rsidRDefault="00F01537" w:rsidP="00F01537">
            <w:pPr>
              <w:rPr>
                <w:rFonts w:asciiTheme="majorHAnsi" w:hAnsiTheme="majorHAnsi" w:cstheme="majorHAnsi"/>
                <w:bCs/>
                <w:sz w:val="22"/>
                <w:szCs w:val="22"/>
              </w:rPr>
            </w:pPr>
            <w:r w:rsidRPr="00936D28">
              <w:rPr>
                <w:rFonts w:asciiTheme="majorHAnsi" w:hAnsiTheme="majorHAnsi" w:cstheme="majorHAnsi"/>
                <w:bCs/>
                <w:sz w:val="22"/>
                <w:szCs w:val="22"/>
              </w:rPr>
              <w:t xml:space="preserve"> 288.9 </w:t>
            </w:r>
          </w:p>
        </w:tc>
      </w:tr>
      <w:tr w:rsidR="00F01537" w:rsidRPr="00936D28" w14:paraId="2A1696D7" w14:textId="77777777" w:rsidTr="00F01537">
        <w:trPr>
          <w:trHeight w:val="256"/>
          <w:jc w:val="center"/>
        </w:trPr>
        <w:tc>
          <w:tcPr>
            <w:tcW w:w="514" w:type="pct"/>
            <w:tcBorders>
              <w:top w:val="single" w:sz="4" w:space="0" w:color="auto"/>
              <w:left w:val="nil"/>
              <w:bottom w:val="nil"/>
              <w:right w:val="nil"/>
            </w:tcBorders>
            <w:vAlign w:val="bottom"/>
          </w:tcPr>
          <w:p w14:paraId="03B111F8" w14:textId="77777777" w:rsidR="00F01537" w:rsidRPr="00936D28" w:rsidRDefault="00F01537" w:rsidP="00F01537">
            <w:pPr>
              <w:rPr>
                <w:rFonts w:asciiTheme="majorHAnsi" w:hAnsiTheme="majorHAnsi" w:cstheme="majorHAnsi"/>
                <w:bCs/>
                <w:sz w:val="22"/>
                <w:szCs w:val="22"/>
              </w:rPr>
            </w:pPr>
          </w:p>
        </w:tc>
        <w:tc>
          <w:tcPr>
            <w:tcW w:w="640" w:type="pct"/>
            <w:tcBorders>
              <w:top w:val="single" w:sz="4" w:space="0" w:color="auto"/>
              <w:left w:val="nil"/>
              <w:bottom w:val="nil"/>
              <w:right w:val="nil"/>
            </w:tcBorders>
            <w:vAlign w:val="bottom"/>
          </w:tcPr>
          <w:p w14:paraId="3B0B1236" w14:textId="77777777" w:rsidR="00F01537" w:rsidRPr="00936D28" w:rsidRDefault="00F01537" w:rsidP="00F01537">
            <w:pPr>
              <w:rPr>
                <w:rFonts w:asciiTheme="majorHAnsi" w:hAnsiTheme="majorHAnsi" w:cstheme="majorHAnsi"/>
                <w:bCs/>
                <w:sz w:val="22"/>
                <w:szCs w:val="22"/>
              </w:rPr>
            </w:pPr>
          </w:p>
        </w:tc>
        <w:tc>
          <w:tcPr>
            <w:tcW w:w="757" w:type="pct"/>
            <w:tcBorders>
              <w:top w:val="single" w:sz="4" w:space="0" w:color="auto"/>
              <w:left w:val="nil"/>
              <w:bottom w:val="nil"/>
              <w:right w:val="nil"/>
            </w:tcBorders>
            <w:vAlign w:val="bottom"/>
          </w:tcPr>
          <w:p w14:paraId="34EE7D88" w14:textId="77777777" w:rsidR="00F01537" w:rsidRPr="00936D28" w:rsidRDefault="00F01537" w:rsidP="00F01537">
            <w:pPr>
              <w:rPr>
                <w:rFonts w:asciiTheme="majorHAnsi" w:hAnsiTheme="majorHAnsi" w:cstheme="majorHAnsi"/>
                <w:bCs/>
                <w:sz w:val="22"/>
                <w:szCs w:val="22"/>
              </w:rPr>
            </w:pPr>
          </w:p>
          <w:p w14:paraId="3C529EB3" w14:textId="77777777" w:rsidR="00F01537" w:rsidRPr="00936D28" w:rsidRDefault="00F01537" w:rsidP="00F01537">
            <w:pPr>
              <w:rPr>
                <w:rFonts w:asciiTheme="majorHAnsi" w:hAnsiTheme="majorHAnsi" w:cstheme="majorHAnsi"/>
                <w:bCs/>
                <w:sz w:val="22"/>
                <w:szCs w:val="22"/>
              </w:rPr>
            </w:pPr>
          </w:p>
          <w:p w14:paraId="489F2021" w14:textId="77777777" w:rsidR="00F01537" w:rsidRPr="00936D28" w:rsidRDefault="00F01537" w:rsidP="00F01537">
            <w:pPr>
              <w:rPr>
                <w:rFonts w:asciiTheme="majorHAnsi" w:hAnsiTheme="majorHAnsi" w:cstheme="majorHAnsi"/>
                <w:bCs/>
                <w:sz w:val="22"/>
                <w:szCs w:val="22"/>
              </w:rPr>
            </w:pPr>
          </w:p>
        </w:tc>
        <w:tc>
          <w:tcPr>
            <w:tcW w:w="588" w:type="pct"/>
            <w:tcBorders>
              <w:top w:val="single" w:sz="4" w:space="0" w:color="auto"/>
              <w:left w:val="nil"/>
              <w:bottom w:val="nil"/>
              <w:right w:val="nil"/>
            </w:tcBorders>
            <w:vAlign w:val="bottom"/>
          </w:tcPr>
          <w:p w14:paraId="1BA0696F" w14:textId="77777777" w:rsidR="00F01537" w:rsidRPr="00936D28" w:rsidRDefault="00F01537" w:rsidP="00F01537">
            <w:pPr>
              <w:rPr>
                <w:rFonts w:asciiTheme="majorHAnsi" w:hAnsiTheme="majorHAnsi" w:cstheme="majorHAnsi"/>
                <w:bCs/>
                <w:sz w:val="22"/>
                <w:szCs w:val="22"/>
              </w:rPr>
            </w:pPr>
          </w:p>
        </w:tc>
        <w:tc>
          <w:tcPr>
            <w:tcW w:w="1046" w:type="pct"/>
            <w:tcBorders>
              <w:top w:val="single" w:sz="4" w:space="0" w:color="auto"/>
              <w:left w:val="nil"/>
              <w:bottom w:val="nil"/>
              <w:right w:val="nil"/>
            </w:tcBorders>
            <w:vAlign w:val="bottom"/>
          </w:tcPr>
          <w:p w14:paraId="73F979D3" w14:textId="77777777" w:rsidR="00F01537" w:rsidRPr="00936D28" w:rsidRDefault="00F01537" w:rsidP="00F01537">
            <w:pPr>
              <w:rPr>
                <w:rFonts w:asciiTheme="majorHAnsi" w:hAnsiTheme="majorHAnsi" w:cstheme="majorHAnsi"/>
                <w:bCs/>
                <w:sz w:val="22"/>
                <w:szCs w:val="22"/>
              </w:rPr>
            </w:pPr>
          </w:p>
        </w:tc>
        <w:tc>
          <w:tcPr>
            <w:tcW w:w="796" w:type="pct"/>
            <w:tcBorders>
              <w:top w:val="single" w:sz="4" w:space="0" w:color="auto"/>
              <w:left w:val="nil"/>
              <w:bottom w:val="nil"/>
              <w:right w:val="nil"/>
            </w:tcBorders>
            <w:vAlign w:val="bottom"/>
          </w:tcPr>
          <w:p w14:paraId="44C37DD3" w14:textId="77777777" w:rsidR="00F01537" w:rsidRPr="00936D28" w:rsidRDefault="00F01537" w:rsidP="00F01537">
            <w:pPr>
              <w:rPr>
                <w:rFonts w:asciiTheme="majorHAnsi" w:hAnsiTheme="majorHAnsi" w:cstheme="majorHAnsi"/>
                <w:bCs/>
                <w:sz w:val="22"/>
                <w:szCs w:val="22"/>
              </w:rPr>
            </w:pPr>
          </w:p>
        </w:tc>
        <w:tc>
          <w:tcPr>
            <w:tcW w:w="660" w:type="pct"/>
            <w:tcBorders>
              <w:top w:val="single" w:sz="4" w:space="0" w:color="auto"/>
              <w:left w:val="nil"/>
              <w:bottom w:val="nil"/>
              <w:right w:val="nil"/>
            </w:tcBorders>
            <w:vAlign w:val="bottom"/>
          </w:tcPr>
          <w:p w14:paraId="1ABEF054" w14:textId="77777777" w:rsidR="00F01537" w:rsidRPr="00936D28" w:rsidRDefault="00F01537" w:rsidP="00F01537">
            <w:pPr>
              <w:rPr>
                <w:rFonts w:asciiTheme="majorHAnsi" w:hAnsiTheme="majorHAnsi" w:cstheme="majorHAnsi"/>
                <w:bCs/>
                <w:sz w:val="22"/>
                <w:szCs w:val="22"/>
              </w:rPr>
            </w:pPr>
          </w:p>
        </w:tc>
      </w:tr>
    </w:tbl>
    <w:p w14:paraId="6F43FCC5" w14:textId="514418F3" w:rsidR="000E1578" w:rsidRDefault="000E1578" w:rsidP="000E1578"/>
    <w:p w14:paraId="3C7DF73F" w14:textId="478304FA" w:rsidR="000E1578" w:rsidRDefault="000E1578" w:rsidP="000E1578"/>
    <w:p w14:paraId="0862C38A" w14:textId="4FF43B01" w:rsidR="000E1578" w:rsidRDefault="000E1578" w:rsidP="000E1578"/>
    <w:p w14:paraId="67888634" w14:textId="7B9167DB" w:rsidR="000E1578" w:rsidRDefault="000E1578" w:rsidP="000E1578"/>
    <w:p w14:paraId="144A3D23" w14:textId="7F1835DD" w:rsidR="000E1578" w:rsidRDefault="000E1578" w:rsidP="000E1578"/>
    <w:p w14:paraId="5ED74A6E" w14:textId="2BA4B873" w:rsidR="000E1578" w:rsidRDefault="000E1578" w:rsidP="000E1578">
      <w:r>
        <w:rPr>
          <w:rFonts w:asciiTheme="majorHAnsi" w:hAnsiTheme="majorHAnsi" w:cstheme="majorHAnsi"/>
          <w:noProof/>
          <w:sz w:val="22"/>
          <w:szCs w:val="22"/>
        </w:rPr>
        <w:br w:type="column"/>
      </w:r>
      <w:r w:rsidRPr="00936D28">
        <w:rPr>
          <w:rFonts w:asciiTheme="majorHAnsi" w:hAnsiTheme="majorHAnsi" w:cstheme="majorHAnsi"/>
          <w:noProof/>
          <w:sz w:val="22"/>
          <w:szCs w:val="22"/>
        </w:rPr>
        <w:lastRenderedPageBreak/>
        <w:drawing>
          <wp:inline distT="0" distB="0" distL="0" distR="0" wp14:anchorId="3988D0F2" wp14:editId="3A87AEF6">
            <wp:extent cx="6209732" cy="3425588"/>
            <wp:effectExtent l="0" t="0" r="635" b="3810"/>
            <wp:docPr id="9" name="Chart 9" descr="graph showing breast cancer mortality standardised rate per 100000 2011 to 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26C537B" w14:textId="40CB8BD9" w:rsidR="000E1578" w:rsidRDefault="000E1578" w:rsidP="000E1578"/>
    <w:p w14:paraId="5BC0C88A" w14:textId="77777777" w:rsidR="000E1578" w:rsidRDefault="000E1578" w:rsidP="000E1578"/>
    <w:p w14:paraId="3DD8625D" w14:textId="77777777" w:rsidR="000E1578" w:rsidRPr="00936D28" w:rsidRDefault="000E1578" w:rsidP="000E1578">
      <w:pPr>
        <w:rPr>
          <w:rFonts w:asciiTheme="majorHAnsi" w:hAnsiTheme="majorHAnsi" w:cstheme="majorHAnsi"/>
          <w:b/>
          <w:sz w:val="22"/>
          <w:szCs w:val="22"/>
        </w:rPr>
      </w:pPr>
      <w:r w:rsidRPr="00936D28">
        <w:rPr>
          <w:rFonts w:asciiTheme="majorHAnsi" w:hAnsiTheme="majorHAnsi" w:cstheme="majorHAnsi"/>
          <w:b/>
          <w:sz w:val="22"/>
          <w:szCs w:val="22"/>
        </w:rPr>
        <w:t>Updated potential issues:</w:t>
      </w:r>
    </w:p>
    <w:p w14:paraId="31425756" w14:textId="77777777" w:rsidR="000E1578" w:rsidRPr="00936D28" w:rsidRDefault="000E1578" w:rsidP="000E1578">
      <w:pPr>
        <w:rPr>
          <w:rFonts w:asciiTheme="majorHAnsi" w:hAnsiTheme="majorHAnsi" w:cstheme="majorHAnsi"/>
          <w:sz w:val="22"/>
          <w:szCs w:val="22"/>
        </w:rPr>
      </w:pPr>
      <w:r w:rsidRPr="00936D28">
        <w:rPr>
          <w:rFonts w:asciiTheme="majorHAnsi" w:hAnsiTheme="majorHAnsi" w:cstheme="majorHAnsi"/>
          <w:sz w:val="22"/>
          <w:szCs w:val="22"/>
        </w:rPr>
        <w:t xml:space="preserve">Mortality indicators in the CCG OIS normally refer to a single year, due to the activity volumes in this indicator the reference period has been increased to three years. As such, this is inconsistent with other mortality indicators in the set and has the potential to be misinterpreted. </w:t>
      </w:r>
    </w:p>
    <w:p w14:paraId="58E1BA3E" w14:textId="591D5801" w:rsidR="000E1578" w:rsidRDefault="000E1578" w:rsidP="000E1578">
      <w:r w:rsidRPr="00936D28">
        <w:rPr>
          <w:rFonts w:asciiTheme="majorHAnsi" w:hAnsiTheme="majorHAnsi" w:cstheme="majorHAnsi"/>
          <w:sz w:val="22"/>
          <w:szCs w:val="22"/>
        </w:rPr>
        <w:t>In order to have sufficient volumes for direct standardisation, females aged 34 and under are excluded. This is also inconsistent with other mortality indicators.</w:t>
      </w:r>
    </w:p>
    <w:p w14:paraId="73F35DF5" w14:textId="5A688693" w:rsidR="000E1578" w:rsidRDefault="000E1578" w:rsidP="000E1578"/>
    <w:p w14:paraId="76FF97EE" w14:textId="233E17B5" w:rsidR="000E1578" w:rsidRDefault="000E1578" w:rsidP="000E1578"/>
    <w:p w14:paraId="20204CBA" w14:textId="37E0BD47" w:rsidR="000E1578" w:rsidRDefault="000E1578" w:rsidP="000E1578"/>
    <w:p w14:paraId="43CA310C" w14:textId="3EC8748C" w:rsidR="000E1578" w:rsidRDefault="000E1578" w:rsidP="000E1578"/>
    <w:p w14:paraId="2B2BFADF" w14:textId="77777777" w:rsidR="000E1578" w:rsidRPr="000E1578" w:rsidRDefault="000E1578" w:rsidP="000E1578"/>
    <w:p w14:paraId="780825A2" w14:textId="2D1A1FA8" w:rsidR="00965599" w:rsidRPr="00936D28" w:rsidRDefault="00A5680D" w:rsidP="00ED081B">
      <w:pPr>
        <w:pStyle w:val="Heading2"/>
        <w:rPr>
          <w:rFonts w:asciiTheme="majorHAnsi" w:hAnsiTheme="majorHAnsi" w:cstheme="majorHAnsi"/>
          <w:i/>
          <w:color w:val="auto"/>
          <w:sz w:val="22"/>
          <w:szCs w:val="22"/>
        </w:rPr>
      </w:pPr>
      <w:r w:rsidRPr="00936D28">
        <w:rPr>
          <w:rFonts w:asciiTheme="majorHAnsi" w:hAnsiTheme="majorHAnsi" w:cstheme="majorHAnsi"/>
          <w:color w:val="auto"/>
          <w:sz w:val="22"/>
          <w:szCs w:val="22"/>
        </w:rPr>
        <w:t>1.2</w:t>
      </w:r>
      <w:r w:rsidR="00ED081B" w:rsidRPr="00936D28">
        <w:rPr>
          <w:rFonts w:asciiTheme="majorHAnsi" w:hAnsiTheme="majorHAnsi" w:cstheme="majorHAnsi"/>
          <w:color w:val="auto"/>
          <w:sz w:val="22"/>
          <w:szCs w:val="22"/>
        </w:rPr>
        <w:tab/>
      </w:r>
      <w:r w:rsidR="00965599" w:rsidRPr="00936D28">
        <w:rPr>
          <w:rFonts w:asciiTheme="majorHAnsi" w:hAnsiTheme="majorHAnsi" w:cstheme="majorHAnsi"/>
          <w:color w:val="auto"/>
          <w:sz w:val="22"/>
          <w:szCs w:val="22"/>
        </w:rPr>
        <w:t>Alcohol-specific emergency readmissions in people aged 19 and over, within 30 days of discharge following an alcohol-specific admission</w:t>
      </w:r>
      <w:r w:rsidR="005A359D" w:rsidRPr="00936D28">
        <w:rPr>
          <w:rFonts w:asciiTheme="majorHAnsi" w:hAnsiTheme="majorHAnsi" w:cstheme="majorHAnsi"/>
          <w:color w:val="auto"/>
          <w:sz w:val="22"/>
          <w:szCs w:val="22"/>
        </w:rPr>
        <w:t xml:space="preserve"> (CCG OIS)</w:t>
      </w:r>
      <w:bookmarkEnd w:id="3"/>
      <w:r w:rsidR="00965599" w:rsidRPr="00936D28">
        <w:rPr>
          <w:rFonts w:asciiTheme="majorHAnsi" w:hAnsiTheme="majorHAnsi" w:cstheme="majorHAnsi"/>
          <w:i/>
          <w:color w:val="auto"/>
          <w:sz w:val="22"/>
          <w:szCs w:val="22"/>
        </w:rPr>
        <w:t xml:space="preserve"> </w:t>
      </w:r>
    </w:p>
    <w:p w14:paraId="6B98ACAA" w14:textId="77777777" w:rsidR="00985BD5" w:rsidRPr="00936D28" w:rsidRDefault="00A7524F" w:rsidP="00985BD5">
      <w:pPr>
        <w:rPr>
          <w:rFonts w:asciiTheme="majorHAnsi" w:hAnsiTheme="majorHAnsi" w:cstheme="majorHAnsi"/>
          <w:i/>
          <w:sz w:val="22"/>
          <w:szCs w:val="22"/>
        </w:rPr>
      </w:pPr>
      <w:r w:rsidRPr="00936D28">
        <w:rPr>
          <w:rFonts w:asciiTheme="majorHAnsi" w:hAnsiTheme="majorHAnsi" w:cstheme="majorHAnsi"/>
          <w:i/>
          <w:sz w:val="22"/>
          <w:szCs w:val="22"/>
        </w:rPr>
        <w:t>Presented by: Matt Curley</w:t>
      </w:r>
    </w:p>
    <w:p w14:paraId="2D08FC1B" w14:textId="77777777" w:rsidR="004E639D" w:rsidRPr="00936D28" w:rsidRDefault="004E639D" w:rsidP="004E639D">
      <w:pPr>
        <w:spacing w:after="0"/>
        <w:textboxTightWrap w:val="none"/>
        <w:rPr>
          <w:rFonts w:asciiTheme="majorHAnsi" w:hAnsiTheme="majorHAnsi" w:cstheme="majorHAnsi"/>
          <w:b/>
          <w:i/>
          <w:sz w:val="22"/>
          <w:szCs w:val="22"/>
          <w:lang w:eastAsia="en-GB"/>
        </w:rPr>
      </w:pPr>
      <w:r w:rsidRPr="00936D28">
        <w:rPr>
          <w:rFonts w:asciiTheme="majorHAnsi" w:hAnsiTheme="majorHAnsi" w:cstheme="majorHAnsi"/>
          <w:b/>
          <w:i/>
          <w:sz w:val="22"/>
          <w:szCs w:val="22"/>
          <w:lang w:eastAsia="en-GB"/>
        </w:rPr>
        <w:t>Denominator:</w:t>
      </w:r>
    </w:p>
    <w:p w14:paraId="695B9777" w14:textId="77777777" w:rsidR="00507D97" w:rsidRPr="00936D28" w:rsidRDefault="00507D97" w:rsidP="00507D97">
      <w:p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t>The number of finished admission episodes in people aged 19 years and over which contains a primary diagnosis code of an alcohol-specific condition.</w:t>
      </w:r>
    </w:p>
    <w:p w14:paraId="72E2702D" w14:textId="77777777" w:rsidR="004E639D" w:rsidRPr="00936D28" w:rsidRDefault="004E639D" w:rsidP="004E639D">
      <w:pPr>
        <w:spacing w:after="0"/>
        <w:textboxTightWrap w:val="none"/>
        <w:rPr>
          <w:rFonts w:asciiTheme="majorHAnsi" w:hAnsiTheme="majorHAnsi" w:cstheme="majorHAnsi"/>
          <w:sz w:val="22"/>
          <w:szCs w:val="22"/>
          <w:lang w:eastAsia="en-GB"/>
        </w:rPr>
      </w:pPr>
    </w:p>
    <w:p w14:paraId="73F652C0" w14:textId="77777777" w:rsidR="004E639D" w:rsidRPr="00936D28" w:rsidRDefault="004E639D" w:rsidP="004E639D">
      <w:pPr>
        <w:spacing w:after="0"/>
        <w:textboxTightWrap w:val="none"/>
        <w:rPr>
          <w:rFonts w:asciiTheme="majorHAnsi" w:hAnsiTheme="majorHAnsi" w:cstheme="majorHAnsi"/>
          <w:b/>
          <w:i/>
          <w:sz w:val="22"/>
          <w:szCs w:val="22"/>
          <w:lang w:eastAsia="en-GB"/>
        </w:rPr>
      </w:pPr>
      <w:r w:rsidRPr="00936D28">
        <w:rPr>
          <w:rFonts w:asciiTheme="majorHAnsi" w:hAnsiTheme="majorHAnsi" w:cstheme="majorHAnsi"/>
          <w:b/>
          <w:i/>
          <w:sz w:val="22"/>
          <w:szCs w:val="22"/>
          <w:lang w:eastAsia="en-GB"/>
        </w:rPr>
        <w:t>Numerator:</w:t>
      </w:r>
    </w:p>
    <w:p w14:paraId="093C83FE" w14:textId="77777777" w:rsidR="00507D97" w:rsidRPr="00936D28" w:rsidRDefault="00507D97" w:rsidP="00507D97">
      <w:p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lastRenderedPageBreak/>
        <w:t>The number of emergency admission episodes in people aged 19 years and over which contain a primary diagnosis code of an alcohol-specific condition where the patient was discharged, within the last 30 days, after an admission which also had a primary diagnosis relating to an alcohol-specific condition.</w:t>
      </w:r>
    </w:p>
    <w:p w14:paraId="2F2A6FB0" w14:textId="77777777" w:rsidR="005A359D" w:rsidRPr="00936D28" w:rsidRDefault="005A359D" w:rsidP="00985BD5">
      <w:pPr>
        <w:rPr>
          <w:rFonts w:asciiTheme="majorHAnsi" w:hAnsiTheme="majorHAnsi" w:cstheme="majorHAnsi"/>
          <w:sz w:val="22"/>
          <w:szCs w:val="22"/>
        </w:rPr>
      </w:pPr>
    </w:p>
    <w:p w14:paraId="2F45666F" w14:textId="77777777" w:rsidR="00985BD5" w:rsidRPr="00936D28" w:rsidRDefault="0007106F" w:rsidP="00985BD5">
      <w:pPr>
        <w:rPr>
          <w:rFonts w:asciiTheme="majorHAnsi" w:hAnsiTheme="majorHAnsi" w:cstheme="majorHAnsi"/>
          <w:sz w:val="22"/>
          <w:szCs w:val="22"/>
        </w:rPr>
      </w:pPr>
      <w:r w:rsidRPr="00936D28">
        <w:rPr>
          <w:rFonts w:asciiTheme="majorHAnsi" w:hAnsiTheme="majorHAnsi" w:cstheme="majorHAnsi"/>
          <w:sz w:val="22"/>
          <w:szCs w:val="22"/>
        </w:rPr>
        <w:t>The indicator has been referred back to MRG from IGB with the following recommendation:</w:t>
      </w:r>
    </w:p>
    <w:p w14:paraId="14776ED1" w14:textId="4F2D2BF2" w:rsidR="0007106F" w:rsidRDefault="0007106F" w:rsidP="0007106F">
      <w:pPr>
        <w:rPr>
          <w:rFonts w:asciiTheme="majorHAnsi" w:hAnsiTheme="majorHAnsi" w:cstheme="majorHAnsi"/>
          <w:b/>
          <w:sz w:val="22"/>
          <w:szCs w:val="22"/>
        </w:rPr>
      </w:pPr>
      <w:r w:rsidRPr="00936D28">
        <w:rPr>
          <w:rFonts w:asciiTheme="majorHAnsi" w:hAnsiTheme="majorHAnsi" w:cstheme="majorHAnsi"/>
          <w:b/>
          <w:sz w:val="22"/>
          <w:szCs w:val="22"/>
        </w:rPr>
        <w:t xml:space="preserve">“The indicator (CCGOIS 3.15) is to be referred back to MRG for consideration of how the proposed standardisation of this indicator will relate to other indicators that may come through the assurance process in the future, and regarding consistency between the alcohol specific admission and re-admission indicator.  </w:t>
      </w:r>
      <w:r w:rsidR="00936D28" w:rsidRPr="00936D28">
        <w:rPr>
          <w:rFonts w:asciiTheme="majorHAnsi" w:hAnsiTheme="majorHAnsi" w:cstheme="majorHAnsi"/>
          <w:b/>
          <w:sz w:val="22"/>
          <w:szCs w:val="22"/>
        </w:rPr>
        <w:t>Additionally,</w:t>
      </w:r>
      <w:r w:rsidRPr="00936D28">
        <w:rPr>
          <w:rFonts w:asciiTheme="majorHAnsi" w:hAnsiTheme="majorHAnsi" w:cstheme="majorHAnsi"/>
          <w:b/>
          <w:sz w:val="22"/>
          <w:szCs w:val="22"/>
        </w:rPr>
        <w:t xml:space="preserve"> a chair’s action is raised for the rationale to be reviewed and re-stated to clarify the purpose of the indicator as raised during MRG Discussions.”</w:t>
      </w:r>
    </w:p>
    <w:p w14:paraId="12FBAFA5" w14:textId="3C7FCAEA" w:rsidR="000E1578" w:rsidRDefault="000E1578" w:rsidP="0007106F">
      <w:pPr>
        <w:rPr>
          <w:rFonts w:asciiTheme="majorHAnsi" w:hAnsiTheme="majorHAnsi" w:cstheme="majorHAnsi"/>
          <w:b/>
          <w:sz w:val="22"/>
          <w:szCs w:val="22"/>
        </w:rPr>
      </w:pPr>
      <w:r w:rsidRPr="00936D28">
        <w:rPr>
          <w:rFonts w:asciiTheme="majorHAnsi" w:hAnsiTheme="majorHAnsi" w:cstheme="majorHAnsi"/>
          <w:sz w:val="22"/>
          <w:szCs w:val="22"/>
        </w:rPr>
        <w:t xml:space="preserve">The table below displays the number of alcohol-specific readmissions in the period March 2010 to February 2013 (allowing up to March 2013 for a </w:t>
      </w:r>
      <w:proofErr w:type="gramStart"/>
      <w:r w:rsidRPr="00936D28">
        <w:rPr>
          <w:rFonts w:asciiTheme="majorHAnsi" w:hAnsiTheme="majorHAnsi" w:cstheme="majorHAnsi"/>
          <w:sz w:val="22"/>
          <w:szCs w:val="22"/>
        </w:rPr>
        <w:t>30 day</w:t>
      </w:r>
      <w:proofErr w:type="gramEnd"/>
      <w:r w:rsidRPr="00936D28">
        <w:rPr>
          <w:rFonts w:asciiTheme="majorHAnsi" w:hAnsiTheme="majorHAnsi" w:cstheme="majorHAnsi"/>
          <w:sz w:val="22"/>
          <w:szCs w:val="22"/>
        </w:rPr>
        <w:t xml:space="preserve"> period in which to readmit), highlighting the differing age demographics.</w:t>
      </w:r>
    </w:p>
    <w:tbl>
      <w:tblPr>
        <w:tblStyle w:val="TableGrid"/>
        <w:tblW w:w="3411" w:type="dxa"/>
        <w:tblLook w:val="04A0" w:firstRow="1" w:lastRow="0" w:firstColumn="1" w:lastColumn="0" w:noHBand="0" w:noVBand="1"/>
      </w:tblPr>
      <w:tblGrid>
        <w:gridCol w:w="1567"/>
        <w:gridCol w:w="1844"/>
      </w:tblGrid>
      <w:tr w:rsidR="000E1578" w:rsidRPr="00936D28" w14:paraId="17C038D2" w14:textId="77777777" w:rsidTr="000D2587">
        <w:trPr>
          <w:trHeight w:val="300"/>
        </w:trPr>
        <w:tc>
          <w:tcPr>
            <w:tcW w:w="1567" w:type="dxa"/>
            <w:noWrap/>
            <w:hideMark/>
          </w:tcPr>
          <w:p w14:paraId="010B4934" w14:textId="7777777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Age Band</w:t>
            </w:r>
          </w:p>
        </w:tc>
        <w:tc>
          <w:tcPr>
            <w:tcW w:w="1844" w:type="dxa"/>
            <w:noWrap/>
            <w:hideMark/>
          </w:tcPr>
          <w:p w14:paraId="2903F44F" w14:textId="7777777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Readmissions</w:t>
            </w:r>
          </w:p>
        </w:tc>
      </w:tr>
      <w:tr w:rsidR="000E1578" w:rsidRPr="00936D28" w14:paraId="0FA54588" w14:textId="77777777" w:rsidTr="000D2587">
        <w:trPr>
          <w:trHeight w:val="300"/>
        </w:trPr>
        <w:tc>
          <w:tcPr>
            <w:tcW w:w="1567" w:type="dxa"/>
            <w:noWrap/>
            <w:hideMark/>
          </w:tcPr>
          <w:p w14:paraId="44507F28"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0-18</w:t>
            </w:r>
          </w:p>
        </w:tc>
        <w:tc>
          <w:tcPr>
            <w:tcW w:w="1844" w:type="dxa"/>
            <w:noWrap/>
            <w:hideMark/>
          </w:tcPr>
          <w:p w14:paraId="5F2AFFD4"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70</w:t>
            </w:r>
          </w:p>
        </w:tc>
      </w:tr>
      <w:tr w:rsidR="000E1578" w:rsidRPr="00936D28" w14:paraId="6CF6F6D0" w14:textId="77777777" w:rsidTr="000D2587">
        <w:trPr>
          <w:trHeight w:val="300"/>
        </w:trPr>
        <w:tc>
          <w:tcPr>
            <w:tcW w:w="1567" w:type="dxa"/>
            <w:noWrap/>
            <w:hideMark/>
          </w:tcPr>
          <w:p w14:paraId="526919E5"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19-29</w:t>
            </w:r>
          </w:p>
        </w:tc>
        <w:tc>
          <w:tcPr>
            <w:tcW w:w="1844" w:type="dxa"/>
            <w:noWrap/>
            <w:hideMark/>
          </w:tcPr>
          <w:p w14:paraId="25133578"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1,281</w:t>
            </w:r>
          </w:p>
        </w:tc>
      </w:tr>
      <w:tr w:rsidR="000E1578" w:rsidRPr="00936D28" w14:paraId="42382E33" w14:textId="77777777" w:rsidTr="000D2587">
        <w:trPr>
          <w:trHeight w:val="300"/>
        </w:trPr>
        <w:tc>
          <w:tcPr>
            <w:tcW w:w="1567" w:type="dxa"/>
            <w:noWrap/>
            <w:hideMark/>
          </w:tcPr>
          <w:p w14:paraId="59676892"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30-39</w:t>
            </w:r>
          </w:p>
        </w:tc>
        <w:tc>
          <w:tcPr>
            <w:tcW w:w="1844" w:type="dxa"/>
            <w:noWrap/>
            <w:hideMark/>
          </w:tcPr>
          <w:p w14:paraId="6F238F2A"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4,270</w:t>
            </w:r>
          </w:p>
        </w:tc>
      </w:tr>
      <w:tr w:rsidR="000E1578" w:rsidRPr="00936D28" w14:paraId="26317BB0" w14:textId="77777777" w:rsidTr="000D2587">
        <w:trPr>
          <w:trHeight w:val="300"/>
        </w:trPr>
        <w:tc>
          <w:tcPr>
            <w:tcW w:w="1567" w:type="dxa"/>
            <w:noWrap/>
            <w:hideMark/>
          </w:tcPr>
          <w:p w14:paraId="005142C2"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40-49</w:t>
            </w:r>
          </w:p>
        </w:tc>
        <w:tc>
          <w:tcPr>
            <w:tcW w:w="1844" w:type="dxa"/>
            <w:noWrap/>
            <w:hideMark/>
          </w:tcPr>
          <w:p w14:paraId="487AB2FD"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6,433</w:t>
            </w:r>
          </w:p>
        </w:tc>
      </w:tr>
      <w:tr w:rsidR="000E1578" w:rsidRPr="00936D28" w14:paraId="42641112" w14:textId="77777777" w:rsidTr="000D2587">
        <w:trPr>
          <w:trHeight w:val="300"/>
        </w:trPr>
        <w:tc>
          <w:tcPr>
            <w:tcW w:w="1567" w:type="dxa"/>
            <w:noWrap/>
            <w:hideMark/>
          </w:tcPr>
          <w:p w14:paraId="5362E6C1"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50-59</w:t>
            </w:r>
          </w:p>
        </w:tc>
        <w:tc>
          <w:tcPr>
            <w:tcW w:w="1844" w:type="dxa"/>
            <w:noWrap/>
            <w:hideMark/>
          </w:tcPr>
          <w:p w14:paraId="143B4F76"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4,615</w:t>
            </w:r>
          </w:p>
        </w:tc>
      </w:tr>
      <w:tr w:rsidR="000E1578" w:rsidRPr="00936D28" w14:paraId="4E588AC3" w14:textId="77777777" w:rsidTr="000D2587">
        <w:trPr>
          <w:trHeight w:val="300"/>
        </w:trPr>
        <w:tc>
          <w:tcPr>
            <w:tcW w:w="1567" w:type="dxa"/>
            <w:noWrap/>
            <w:hideMark/>
          </w:tcPr>
          <w:p w14:paraId="13EFCA04"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60+</w:t>
            </w:r>
          </w:p>
        </w:tc>
        <w:tc>
          <w:tcPr>
            <w:tcW w:w="1844" w:type="dxa"/>
            <w:noWrap/>
            <w:hideMark/>
          </w:tcPr>
          <w:p w14:paraId="7125B332"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2,808</w:t>
            </w:r>
          </w:p>
        </w:tc>
      </w:tr>
      <w:tr w:rsidR="000E1578" w:rsidRPr="00936D28" w14:paraId="36503EED" w14:textId="77777777" w:rsidTr="000D2587">
        <w:trPr>
          <w:trHeight w:val="300"/>
        </w:trPr>
        <w:tc>
          <w:tcPr>
            <w:tcW w:w="1567" w:type="dxa"/>
            <w:noWrap/>
            <w:hideMark/>
          </w:tcPr>
          <w:p w14:paraId="35D02F96" w14:textId="7777777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Total</w:t>
            </w:r>
          </w:p>
        </w:tc>
        <w:tc>
          <w:tcPr>
            <w:tcW w:w="1844" w:type="dxa"/>
            <w:noWrap/>
            <w:hideMark/>
          </w:tcPr>
          <w:p w14:paraId="0EBE51AE" w14:textId="7777777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19,471</w:t>
            </w:r>
          </w:p>
        </w:tc>
      </w:tr>
    </w:tbl>
    <w:p w14:paraId="66EA9E71" w14:textId="77777777" w:rsidR="000E1578" w:rsidRPr="00936D28" w:rsidRDefault="000E1578" w:rsidP="000E1578">
      <w:pPr>
        <w:rPr>
          <w:rFonts w:asciiTheme="majorHAnsi" w:hAnsiTheme="majorHAnsi" w:cstheme="majorHAnsi"/>
          <w:sz w:val="22"/>
          <w:szCs w:val="22"/>
        </w:rPr>
      </w:pPr>
    </w:p>
    <w:p w14:paraId="51CD399B" w14:textId="77777777" w:rsidR="000E1578" w:rsidRPr="00936D28" w:rsidRDefault="000E1578" w:rsidP="000E1578">
      <w:pPr>
        <w:rPr>
          <w:rFonts w:asciiTheme="majorHAnsi" w:hAnsiTheme="majorHAnsi" w:cstheme="majorHAnsi"/>
          <w:sz w:val="22"/>
          <w:szCs w:val="22"/>
        </w:rPr>
      </w:pPr>
      <w:r w:rsidRPr="00936D28">
        <w:rPr>
          <w:rFonts w:asciiTheme="majorHAnsi" w:hAnsiTheme="majorHAnsi" w:cstheme="majorHAnsi"/>
          <w:sz w:val="22"/>
          <w:szCs w:val="22"/>
        </w:rPr>
        <w:t xml:space="preserve">In the reference period 2010-13, only 70 of 19,471 (0.4%) readmissions were of people aged 18 and under. It is proposed therefore to exclude this age group. This, in addition to grouping adults aged 60 and over into a single group, will minimise the number of ‘0’ cell values which could impact the standardisation calculation. </w:t>
      </w:r>
    </w:p>
    <w:p w14:paraId="4927C002" w14:textId="7D7E8CC9" w:rsidR="000E1578" w:rsidRDefault="000E1578" w:rsidP="000E1578">
      <w:pPr>
        <w:rPr>
          <w:rFonts w:asciiTheme="majorHAnsi" w:hAnsiTheme="majorHAnsi" w:cstheme="majorHAnsi"/>
          <w:sz w:val="22"/>
          <w:szCs w:val="22"/>
        </w:rPr>
      </w:pPr>
      <w:r w:rsidRPr="00936D28">
        <w:rPr>
          <w:rFonts w:asciiTheme="majorHAnsi" w:hAnsiTheme="majorHAnsi" w:cstheme="majorHAnsi"/>
          <w:sz w:val="22"/>
          <w:szCs w:val="22"/>
        </w:rPr>
        <w:t>The table below presents the counts of numerator cell values when the data is split into 10 year age bands: 19-29, 30-39, 40-49, 50-59, 60+. 29 CCGs (13.7%) have an overall numerator volume of less than 25; a directly standardised rate (DSR) will not be calculated for these CCGs.</w:t>
      </w:r>
    </w:p>
    <w:p w14:paraId="7AEBFA48" w14:textId="77777777" w:rsidR="000E1578" w:rsidRPr="00936D28" w:rsidRDefault="000E1578" w:rsidP="000E1578">
      <w:pPr>
        <w:rPr>
          <w:rFonts w:asciiTheme="majorHAnsi" w:hAnsiTheme="majorHAnsi" w:cstheme="majorHAnsi"/>
          <w:sz w:val="22"/>
          <w:szCs w:val="22"/>
        </w:rPr>
      </w:pPr>
    </w:p>
    <w:tbl>
      <w:tblPr>
        <w:tblStyle w:val="TableGrid"/>
        <w:tblW w:w="6304" w:type="dxa"/>
        <w:tblLook w:val="04A0" w:firstRow="1" w:lastRow="0" w:firstColumn="1" w:lastColumn="0" w:noHBand="0" w:noVBand="1"/>
      </w:tblPr>
      <w:tblGrid>
        <w:gridCol w:w="1304"/>
        <w:gridCol w:w="963"/>
        <w:gridCol w:w="963"/>
        <w:gridCol w:w="963"/>
        <w:gridCol w:w="963"/>
        <w:gridCol w:w="1148"/>
      </w:tblGrid>
      <w:tr w:rsidR="000E1578" w:rsidRPr="00936D28" w14:paraId="7E9316A9" w14:textId="77777777" w:rsidTr="000E1578">
        <w:trPr>
          <w:trHeight w:val="300"/>
        </w:trPr>
        <w:tc>
          <w:tcPr>
            <w:tcW w:w="1304" w:type="dxa"/>
            <w:noWrap/>
            <w:hideMark/>
          </w:tcPr>
          <w:p w14:paraId="0FF2EBF8" w14:textId="1F7A86D4"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
                <w:bCs/>
                <w:sz w:val="22"/>
                <w:szCs w:val="22"/>
              </w:rPr>
              <w:t>Count of cell values in numerator</w:t>
            </w:r>
          </w:p>
        </w:tc>
        <w:tc>
          <w:tcPr>
            <w:tcW w:w="963" w:type="dxa"/>
            <w:noWrap/>
            <w:hideMark/>
          </w:tcPr>
          <w:p w14:paraId="75535298" w14:textId="7777777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0</w:t>
            </w:r>
          </w:p>
        </w:tc>
        <w:tc>
          <w:tcPr>
            <w:tcW w:w="963" w:type="dxa"/>
            <w:noWrap/>
            <w:hideMark/>
          </w:tcPr>
          <w:p w14:paraId="189498B1" w14:textId="7777777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1-5</w:t>
            </w:r>
          </w:p>
        </w:tc>
        <w:tc>
          <w:tcPr>
            <w:tcW w:w="963" w:type="dxa"/>
            <w:noWrap/>
            <w:hideMark/>
          </w:tcPr>
          <w:p w14:paraId="17B2815D" w14:textId="7777777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6-19</w:t>
            </w:r>
          </w:p>
        </w:tc>
        <w:tc>
          <w:tcPr>
            <w:tcW w:w="963" w:type="dxa"/>
            <w:noWrap/>
            <w:hideMark/>
          </w:tcPr>
          <w:p w14:paraId="36199611" w14:textId="7777777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20+</w:t>
            </w:r>
          </w:p>
        </w:tc>
        <w:tc>
          <w:tcPr>
            <w:tcW w:w="1148" w:type="dxa"/>
            <w:noWrap/>
            <w:hideMark/>
          </w:tcPr>
          <w:p w14:paraId="0E9ED662" w14:textId="7777777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Total</w:t>
            </w:r>
          </w:p>
        </w:tc>
      </w:tr>
      <w:tr w:rsidR="000E1578" w:rsidRPr="00936D28" w14:paraId="6EBB4602" w14:textId="77777777" w:rsidTr="000E1578">
        <w:trPr>
          <w:trHeight w:val="300"/>
        </w:trPr>
        <w:tc>
          <w:tcPr>
            <w:tcW w:w="1304" w:type="dxa"/>
            <w:noWrap/>
            <w:hideMark/>
          </w:tcPr>
          <w:p w14:paraId="6BD93FE9" w14:textId="7777777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 xml:space="preserve">2010-13 </w:t>
            </w:r>
          </w:p>
        </w:tc>
        <w:tc>
          <w:tcPr>
            <w:tcW w:w="963" w:type="dxa"/>
            <w:noWrap/>
            <w:hideMark/>
          </w:tcPr>
          <w:p w14:paraId="0875CADA"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282</w:t>
            </w:r>
          </w:p>
        </w:tc>
        <w:tc>
          <w:tcPr>
            <w:tcW w:w="963" w:type="dxa"/>
            <w:noWrap/>
            <w:hideMark/>
          </w:tcPr>
          <w:p w14:paraId="29F3D4C1"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870</w:t>
            </w:r>
          </w:p>
        </w:tc>
        <w:tc>
          <w:tcPr>
            <w:tcW w:w="963" w:type="dxa"/>
            <w:noWrap/>
            <w:hideMark/>
          </w:tcPr>
          <w:p w14:paraId="0A35B580"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683</w:t>
            </w:r>
          </w:p>
        </w:tc>
        <w:tc>
          <w:tcPr>
            <w:tcW w:w="963" w:type="dxa"/>
            <w:noWrap/>
            <w:hideMark/>
          </w:tcPr>
          <w:p w14:paraId="4980AA9E"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275</w:t>
            </w:r>
          </w:p>
        </w:tc>
        <w:tc>
          <w:tcPr>
            <w:tcW w:w="1148" w:type="dxa"/>
            <w:noWrap/>
            <w:hideMark/>
          </w:tcPr>
          <w:p w14:paraId="681E554C"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2,110</w:t>
            </w:r>
          </w:p>
        </w:tc>
      </w:tr>
      <w:tr w:rsidR="000E1578" w:rsidRPr="00936D28" w14:paraId="2196C0F2" w14:textId="77777777" w:rsidTr="000E1578">
        <w:trPr>
          <w:trHeight w:val="300"/>
        </w:trPr>
        <w:tc>
          <w:tcPr>
            <w:tcW w:w="1304" w:type="dxa"/>
            <w:noWrap/>
            <w:hideMark/>
          </w:tcPr>
          <w:p w14:paraId="2179AF2B" w14:textId="7777777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 (3yr)</w:t>
            </w:r>
          </w:p>
        </w:tc>
        <w:tc>
          <w:tcPr>
            <w:tcW w:w="963" w:type="dxa"/>
            <w:noWrap/>
            <w:hideMark/>
          </w:tcPr>
          <w:p w14:paraId="5441C296"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13.4%</w:t>
            </w:r>
          </w:p>
        </w:tc>
        <w:tc>
          <w:tcPr>
            <w:tcW w:w="963" w:type="dxa"/>
            <w:noWrap/>
            <w:hideMark/>
          </w:tcPr>
          <w:p w14:paraId="79D2D6A5"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41.2%</w:t>
            </w:r>
          </w:p>
        </w:tc>
        <w:tc>
          <w:tcPr>
            <w:tcW w:w="963" w:type="dxa"/>
            <w:noWrap/>
            <w:hideMark/>
          </w:tcPr>
          <w:p w14:paraId="28817633"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32.4%</w:t>
            </w:r>
          </w:p>
        </w:tc>
        <w:tc>
          <w:tcPr>
            <w:tcW w:w="963" w:type="dxa"/>
            <w:noWrap/>
            <w:hideMark/>
          </w:tcPr>
          <w:p w14:paraId="09A0388E" w14:textId="77777777" w:rsidR="000E1578" w:rsidRPr="00936D28" w:rsidRDefault="000E1578" w:rsidP="000D2587">
            <w:pPr>
              <w:rPr>
                <w:rFonts w:asciiTheme="majorHAnsi" w:hAnsiTheme="majorHAnsi" w:cstheme="majorHAnsi"/>
                <w:bCs/>
                <w:sz w:val="22"/>
                <w:szCs w:val="22"/>
              </w:rPr>
            </w:pPr>
            <w:r w:rsidRPr="00936D28">
              <w:rPr>
                <w:rFonts w:asciiTheme="majorHAnsi" w:hAnsiTheme="majorHAnsi" w:cstheme="majorHAnsi"/>
                <w:bCs/>
                <w:sz w:val="22"/>
                <w:szCs w:val="22"/>
              </w:rPr>
              <w:t>13.0%</w:t>
            </w:r>
          </w:p>
        </w:tc>
        <w:tc>
          <w:tcPr>
            <w:tcW w:w="1148" w:type="dxa"/>
            <w:noWrap/>
            <w:hideMark/>
          </w:tcPr>
          <w:p w14:paraId="62A651A3" w14:textId="77777777" w:rsidR="000E1578" w:rsidRPr="00936D28" w:rsidRDefault="000E1578" w:rsidP="000D2587">
            <w:pPr>
              <w:rPr>
                <w:rFonts w:asciiTheme="majorHAnsi" w:hAnsiTheme="majorHAnsi" w:cstheme="majorHAnsi"/>
                <w:bCs/>
                <w:sz w:val="22"/>
                <w:szCs w:val="22"/>
              </w:rPr>
            </w:pPr>
          </w:p>
        </w:tc>
      </w:tr>
    </w:tbl>
    <w:p w14:paraId="4EB2DA8B" w14:textId="2F74B884" w:rsidR="000E1578" w:rsidRDefault="000E1578" w:rsidP="0007106F">
      <w:pPr>
        <w:rPr>
          <w:rFonts w:asciiTheme="majorHAnsi" w:hAnsiTheme="majorHAnsi" w:cstheme="majorHAnsi"/>
          <w:b/>
          <w:sz w:val="22"/>
          <w:szCs w:val="22"/>
        </w:rPr>
      </w:pPr>
    </w:p>
    <w:p w14:paraId="2BD76710" w14:textId="019992C1" w:rsidR="000E1578" w:rsidRDefault="000E1578" w:rsidP="0007106F">
      <w:pPr>
        <w:rPr>
          <w:rFonts w:asciiTheme="majorHAnsi" w:hAnsiTheme="majorHAnsi" w:cstheme="majorHAnsi"/>
          <w:b/>
          <w:sz w:val="22"/>
          <w:szCs w:val="22"/>
        </w:rPr>
      </w:pPr>
    </w:p>
    <w:p w14:paraId="7B9FA397" w14:textId="110D2DDF" w:rsidR="000E1578" w:rsidRDefault="000E1578" w:rsidP="0007106F">
      <w:pPr>
        <w:rPr>
          <w:rFonts w:asciiTheme="majorHAnsi" w:hAnsiTheme="majorHAnsi" w:cstheme="majorHAnsi"/>
          <w:b/>
          <w:sz w:val="22"/>
          <w:szCs w:val="22"/>
        </w:rPr>
      </w:pPr>
      <w:r w:rsidRPr="00936D28">
        <w:rPr>
          <w:rFonts w:asciiTheme="majorHAnsi" w:hAnsiTheme="majorHAnsi" w:cstheme="majorHAnsi"/>
          <w:sz w:val="22"/>
          <w:szCs w:val="22"/>
        </w:rPr>
        <w:t xml:space="preserve">The table demonstrates that data for 2010-13 includes a number of ‘0’ cell values (282 of 2,110; 13.4%), which is beyond the recommended 10% threshold.  111 of the 282 ‘0’ cells are contained within the 29 CCGs that have overall numerator volumes of less than 25 and will not have DSRs calculated; this means that there are 9.4% of cells with a ‘0’ value in the CCGs for which a DSR can be calculated.  </w:t>
      </w:r>
    </w:p>
    <w:tbl>
      <w:tblPr>
        <w:tblStyle w:val="TableGrid"/>
        <w:tblW w:w="0" w:type="auto"/>
        <w:tblLook w:val="04A0" w:firstRow="1" w:lastRow="0" w:firstColumn="1" w:lastColumn="0" w:noHBand="0" w:noVBand="1"/>
      </w:tblPr>
      <w:tblGrid>
        <w:gridCol w:w="950"/>
        <w:gridCol w:w="1329"/>
        <w:gridCol w:w="1573"/>
        <w:gridCol w:w="936"/>
        <w:gridCol w:w="924"/>
        <w:gridCol w:w="2068"/>
        <w:gridCol w:w="2074"/>
      </w:tblGrid>
      <w:tr w:rsidR="000E1578" w:rsidRPr="00936D28" w14:paraId="7483FD62" w14:textId="77777777" w:rsidTr="000D2587">
        <w:trPr>
          <w:trHeight w:val="300"/>
        </w:trPr>
        <w:tc>
          <w:tcPr>
            <w:tcW w:w="0" w:type="auto"/>
            <w:hideMark/>
          </w:tcPr>
          <w:p w14:paraId="7224C27D" w14:textId="7777777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CCG</w:t>
            </w:r>
          </w:p>
        </w:tc>
        <w:tc>
          <w:tcPr>
            <w:tcW w:w="0" w:type="auto"/>
            <w:hideMark/>
          </w:tcPr>
          <w:p w14:paraId="07463517" w14:textId="7777777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Numerator</w:t>
            </w:r>
          </w:p>
        </w:tc>
        <w:tc>
          <w:tcPr>
            <w:tcW w:w="0" w:type="auto"/>
            <w:hideMark/>
          </w:tcPr>
          <w:p w14:paraId="2B6F7A9D" w14:textId="7777777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Denominator</w:t>
            </w:r>
          </w:p>
        </w:tc>
        <w:tc>
          <w:tcPr>
            <w:tcW w:w="0" w:type="auto"/>
            <w:hideMark/>
          </w:tcPr>
          <w:p w14:paraId="6EBFA8E8" w14:textId="7777777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Rate per 100</w:t>
            </w:r>
          </w:p>
        </w:tc>
        <w:tc>
          <w:tcPr>
            <w:tcW w:w="0" w:type="auto"/>
            <w:hideMark/>
          </w:tcPr>
          <w:p w14:paraId="49BFBE3F" w14:textId="7777777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DSR per 100</w:t>
            </w:r>
          </w:p>
        </w:tc>
        <w:tc>
          <w:tcPr>
            <w:tcW w:w="0" w:type="auto"/>
            <w:hideMark/>
          </w:tcPr>
          <w:p w14:paraId="5BF25B5D" w14:textId="28562BAF"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 xml:space="preserve">95% Confidence Interval </w:t>
            </w:r>
            <w:proofErr w:type="spellStart"/>
            <w:r w:rsidRPr="00936D28">
              <w:rPr>
                <w:rFonts w:asciiTheme="majorHAnsi" w:hAnsiTheme="majorHAnsi" w:cstheme="majorHAnsi"/>
                <w:b/>
                <w:bCs/>
                <w:sz w:val="22"/>
                <w:szCs w:val="22"/>
              </w:rPr>
              <w:t>DSR</w:t>
            </w:r>
            <w:r w:rsidRPr="00936D28">
              <w:rPr>
                <w:rFonts w:asciiTheme="majorHAnsi" w:hAnsiTheme="majorHAnsi" w:cstheme="majorHAnsi"/>
                <w:b/>
                <w:bCs/>
                <w:i/>
                <w:iCs/>
                <w:sz w:val="22"/>
                <w:szCs w:val="22"/>
                <w:vertAlign w:val="subscript"/>
              </w:rPr>
              <w:t>lower</w:t>
            </w:r>
            <w:proofErr w:type="spellEnd"/>
          </w:p>
        </w:tc>
        <w:tc>
          <w:tcPr>
            <w:tcW w:w="0" w:type="auto"/>
            <w:hideMark/>
          </w:tcPr>
          <w:p w14:paraId="7BA7EEE0" w14:textId="21179A3F"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 xml:space="preserve">95% Confidence Interval </w:t>
            </w:r>
            <w:proofErr w:type="spellStart"/>
            <w:r w:rsidRPr="00936D28">
              <w:rPr>
                <w:rFonts w:asciiTheme="majorHAnsi" w:hAnsiTheme="majorHAnsi" w:cstheme="majorHAnsi"/>
                <w:b/>
                <w:bCs/>
                <w:sz w:val="22"/>
                <w:szCs w:val="22"/>
              </w:rPr>
              <w:t>DSR</w:t>
            </w:r>
            <w:r w:rsidRPr="00936D28">
              <w:rPr>
                <w:rFonts w:asciiTheme="majorHAnsi" w:hAnsiTheme="majorHAnsi" w:cstheme="majorHAnsi"/>
                <w:b/>
                <w:bCs/>
                <w:i/>
                <w:iCs/>
                <w:sz w:val="22"/>
                <w:szCs w:val="22"/>
                <w:vertAlign w:val="subscript"/>
              </w:rPr>
              <w:t>upper</w:t>
            </w:r>
            <w:proofErr w:type="spellEnd"/>
          </w:p>
        </w:tc>
      </w:tr>
      <w:tr w:rsidR="000E1578" w:rsidRPr="00936D28" w14:paraId="7EB9A0F1" w14:textId="77777777" w:rsidTr="000D2587">
        <w:trPr>
          <w:trHeight w:val="270"/>
        </w:trPr>
        <w:tc>
          <w:tcPr>
            <w:tcW w:w="0" w:type="auto"/>
            <w:hideMark/>
          </w:tcPr>
          <w:p w14:paraId="069C9C1B"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bCs/>
                <w:sz w:val="22"/>
                <w:szCs w:val="22"/>
              </w:rPr>
              <w:t>CCG1</w:t>
            </w:r>
          </w:p>
        </w:tc>
        <w:tc>
          <w:tcPr>
            <w:tcW w:w="0" w:type="auto"/>
            <w:hideMark/>
          </w:tcPr>
          <w:p w14:paraId="411D62E5"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44</w:t>
            </w:r>
          </w:p>
        </w:tc>
        <w:tc>
          <w:tcPr>
            <w:tcW w:w="0" w:type="auto"/>
            <w:hideMark/>
          </w:tcPr>
          <w:p w14:paraId="1F67AFAE"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834</w:t>
            </w:r>
          </w:p>
        </w:tc>
        <w:tc>
          <w:tcPr>
            <w:tcW w:w="0" w:type="auto"/>
            <w:hideMark/>
          </w:tcPr>
          <w:p w14:paraId="67CB5A6F"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5.3</w:t>
            </w:r>
          </w:p>
        </w:tc>
        <w:tc>
          <w:tcPr>
            <w:tcW w:w="0" w:type="auto"/>
            <w:hideMark/>
          </w:tcPr>
          <w:p w14:paraId="7F594550"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5.1</w:t>
            </w:r>
          </w:p>
        </w:tc>
        <w:tc>
          <w:tcPr>
            <w:tcW w:w="0" w:type="auto"/>
            <w:hideMark/>
          </w:tcPr>
          <w:p w14:paraId="1EC50AF8"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3.7</w:t>
            </w:r>
          </w:p>
        </w:tc>
        <w:tc>
          <w:tcPr>
            <w:tcW w:w="0" w:type="auto"/>
            <w:hideMark/>
          </w:tcPr>
          <w:p w14:paraId="08429E25"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6.9</w:t>
            </w:r>
          </w:p>
        </w:tc>
      </w:tr>
      <w:tr w:rsidR="000E1578" w:rsidRPr="00936D28" w14:paraId="5B0AC4DE" w14:textId="77777777" w:rsidTr="000D2587">
        <w:trPr>
          <w:trHeight w:val="270"/>
        </w:trPr>
        <w:tc>
          <w:tcPr>
            <w:tcW w:w="0" w:type="auto"/>
            <w:hideMark/>
          </w:tcPr>
          <w:p w14:paraId="326043E6"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bCs/>
                <w:sz w:val="22"/>
                <w:szCs w:val="22"/>
              </w:rPr>
              <w:t>CCG2</w:t>
            </w:r>
          </w:p>
        </w:tc>
        <w:tc>
          <w:tcPr>
            <w:tcW w:w="0" w:type="auto"/>
            <w:hideMark/>
          </w:tcPr>
          <w:p w14:paraId="32199C42"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26</w:t>
            </w:r>
          </w:p>
        </w:tc>
        <w:tc>
          <w:tcPr>
            <w:tcW w:w="0" w:type="auto"/>
            <w:hideMark/>
          </w:tcPr>
          <w:p w14:paraId="1B8C5151"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455</w:t>
            </w:r>
          </w:p>
        </w:tc>
        <w:tc>
          <w:tcPr>
            <w:tcW w:w="0" w:type="auto"/>
            <w:hideMark/>
          </w:tcPr>
          <w:p w14:paraId="711852E2"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5.7</w:t>
            </w:r>
          </w:p>
        </w:tc>
        <w:tc>
          <w:tcPr>
            <w:tcW w:w="0" w:type="auto"/>
            <w:hideMark/>
          </w:tcPr>
          <w:p w14:paraId="4D30ACB9"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5.5</w:t>
            </w:r>
          </w:p>
        </w:tc>
        <w:tc>
          <w:tcPr>
            <w:tcW w:w="0" w:type="auto"/>
            <w:hideMark/>
          </w:tcPr>
          <w:p w14:paraId="5F5F2287"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3.5</w:t>
            </w:r>
          </w:p>
        </w:tc>
        <w:tc>
          <w:tcPr>
            <w:tcW w:w="0" w:type="auto"/>
            <w:hideMark/>
          </w:tcPr>
          <w:p w14:paraId="5FBC6F68"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8.2</w:t>
            </w:r>
          </w:p>
        </w:tc>
      </w:tr>
      <w:tr w:rsidR="000E1578" w:rsidRPr="00936D28" w14:paraId="1670EF19" w14:textId="77777777" w:rsidTr="000D2587">
        <w:trPr>
          <w:trHeight w:val="270"/>
        </w:trPr>
        <w:tc>
          <w:tcPr>
            <w:tcW w:w="0" w:type="auto"/>
            <w:hideMark/>
          </w:tcPr>
          <w:p w14:paraId="472F5B8E"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bCs/>
                <w:sz w:val="22"/>
                <w:szCs w:val="22"/>
              </w:rPr>
              <w:t>CCG3</w:t>
            </w:r>
          </w:p>
        </w:tc>
        <w:tc>
          <w:tcPr>
            <w:tcW w:w="0" w:type="auto"/>
            <w:hideMark/>
          </w:tcPr>
          <w:p w14:paraId="7ED8276E"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30</w:t>
            </w:r>
          </w:p>
        </w:tc>
        <w:tc>
          <w:tcPr>
            <w:tcW w:w="0" w:type="auto"/>
            <w:hideMark/>
          </w:tcPr>
          <w:p w14:paraId="456DA6CA"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463</w:t>
            </w:r>
          </w:p>
        </w:tc>
        <w:tc>
          <w:tcPr>
            <w:tcW w:w="0" w:type="auto"/>
            <w:hideMark/>
          </w:tcPr>
          <w:p w14:paraId="1AA468BB"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6.5</w:t>
            </w:r>
          </w:p>
        </w:tc>
        <w:tc>
          <w:tcPr>
            <w:tcW w:w="0" w:type="auto"/>
            <w:hideMark/>
          </w:tcPr>
          <w:p w14:paraId="30527D24"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6.4</w:t>
            </w:r>
          </w:p>
        </w:tc>
        <w:tc>
          <w:tcPr>
            <w:tcW w:w="0" w:type="auto"/>
            <w:hideMark/>
          </w:tcPr>
          <w:p w14:paraId="67979230"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4.3</w:t>
            </w:r>
          </w:p>
        </w:tc>
        <w:tc>
          <w:tcPr>
            <w:tcW w:w="0" w:type="auto"/>
            <w:hideMark/>
          </w:tcPr>
          <w:p w14:paraId="3CD0198C"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9.1</w:t>
            </w:r>
          </w:p>
        </w:tc>
      </w:tr>
      <w:tr w:rsidR="000E1578" w:rsidRPr="00936D28" w14:paraId="19E4B7A6" w14:textId="77777777" w:rsidTr="000D2587">
        <w:trPr>
          <w:trHeight w:val="270"/>
        </w:trPr>
        <w:tc>
          <w:tcPr>
            <w:tcW w:w="0" w:type="auto"/>
            <w:hideMark/>
          </w:tcPr>
          <w:p w14:paraId="05914064"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bCs/>
                <w:sz w:val="22"/>
                <w:szCs w:val="22"/>
              </w:rPr>
              <w:t>CCG4</w:t>
            </w:r>
          </w:p>
        </w:tc>
        <w:tc>
          <w:tcPr>
            <w:tcW w:w="0" w:type="auto"/>
            <w:hideMark/>
          </w:tcPr>
          <w:p w14:paraId="305FF98C"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35</w:t>
            </w:r>
          </w:p>
        </w:tc>
        <w:tc>
          <w:tcPr>
            <w:tcW w:w="0" w:type="auto"/>
            <w:hideMark/>
          </w:tcPr>
          <w:p w14:paraId="6CF532B1"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542</w:t>
            </w:r>
          </w:p>
        </w:tc>
        <w:tc>
          <w:tcPr>
            <w:tcW w:w="0" w:type="auto"/>
            <w:hideMark/>
          </w:tcPr>
          <w:p w14:paraId="15A6B168"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6.5</w:t>
            </w:r>
          </w:p>
        </w:tc>
        <w:tc>
          <w:tcPr>
            <w:tcW w:w="0" w:type="auto"/>
            <w:hideMark/>
          </w:tcPr>
          <w:p w14:paraId="36F0950F"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6.5</w:t>
            </w:r>
          </w:p>
        </w:tc>
        <w:tc>
          <w:tcPr>
            <w:tcW w:w="0" w:type="auto"/>
            <w:hideMark/>
          </w:tcPr>
          <w:p w14:paraId="469335B8"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4.4</w:t>
            </w:r>
          </w:p>
        </w:tc>
        <w:tc>
          <w:tcPr>
            <w:tcW w:w="0" w:type="auto"/>
            <w:hideMark/>
          </w:tcPr>
          <w:p w14:paraId="1880A272"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9.1</w:t>
            </w:r>
          </w:p>
        </w:tc>
      </w:tr>
      <w:tr w:rsidR="000E1578" w:rsidRPr="00936D28" w14:paraId="5173621B" w14:textId="77777777" w:rsidTr="000D2587">
        <w:trPr>
          <w:trHeight w:val="270"/>
        </w:trPr>
        <w:tc>
          <w:tcPr>
            <w:tcW w:w="0" w:type="auto"/>
            <w:hideMark/>
          </w:tcPr>
          <w:p w14:paraId="766612AC"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bCs/>
                <w:sz w:val="22"/>
                <w:szCs w:val="22"/>
              </w:rPr>
              <w:t>CCG5</w:t>
            </w:r>
          </w:p>
        </w:tc>
        <w:tc>
          <w:tcPr>
            <w:tcW w:w="0" w:type="auto"/>
            <w:hideMark/>
          </w:tcPr>
          <w:p w14:paraId="44E7599A"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91</w:t>
            </w:r>
          </w:p>
        </w:tc>
        <w:tc>
          <w:tcPr>
            <w:tcW w:w="0" w:type="auto"/>
            <w:hideMark/>
          </w:tcPr>
          <w:p w14:paraId="7A65525E"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1,409</w:t>
            </w:r>
          </w:p>
        </w:tc>
        <w:tc>
          <w:tcPr>
            <w:tcW w:w="0" w:type="auto"/>
            <w:hideMark/>
          </w:tcPr>
          <w:p w14:paraId="1C15CFCB"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6.5</w:t>
            </w:r>
          </w:p>
        </w:tc>
        <w:tc>
          <w:tcPr>
            <w:tcW w:w="0" w:type="auto"/>
            <w:hideMark/>
          </w:tcPr>
          <w:p w14:paraId="0BD16B1A"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6.6</w:t>
            </w:r>
          </w:p>
        </w:tc>
        <w:tc>
          <w:tcPr>
            <w:tcW w:w="0" w:type="auto"/>
            <w:hideMark/>
          </w:tcPr>
          <w:p w14:paraId="7C067B70"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5.3</w:t>
            </w:r>
          </w:p>
        </w:tc>
        <w:tc>
          <w:tcPr>
            <w:tcW w:w="0" w:type="auto"/>
            <w:hideMark/>
          </w:tcPr>
          <w:p w14:paraId="1FBA8455"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8.1</w:t>
            </w:r>
          </w:p>
        </w:tc>
      </w:tr>
      <w:tr w:rsidR="000E1578" w:rsidRPr="00936D28" w14:paraId="1209BBB9" w14:textId="77777777" w:rsidTr="000D2587">
        <w:trPr>
          <w:trHeight w:val="270"/>
        </w:trPr>
        <w:tc>
          <w:tcPr>
            <w:tcW w:w="0" w:type="auto"/>
            <w:hideMark/>
          </w:tcPr>
          <w:p w14:paraId="52878C9C"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bCs/>
                <w:sz w:val="22"/>
                <w:szCs w:val="22"/>
              </w:rPr>
              <w:t>CCG6</w:t>
            </w:r>
          </w:p>
        </w:tc>
        <w:tc>
          <w:tcPr>
            <w:tcW w:w="0" w:type="auto"/>
            <w:hideMark/>
          </w:tcPr>
          <w:p w14:paraId="352A1E9B"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27</w:t>
            </w:r>
          </w:p>
        </w:tc>
        <w:tc>
          <w:tcPr>
            <w:tcW w:w="0" w:type="auto"/>
            <w:hideMark/>
          </w:tcPr>
          <w:p w14:paraId="2BE4E34C"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358</w:t>
            </w:r>
          </w:p>
        </w:tc>
        <w:tc>
          <w:tcPr>
            <w:tcW w:w="0" w:type="auto"/>
            <w:hideMark/>
          </w:tcPr>
          <w:p w14:paraId="06F09CED"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7.5</w:t>
            </w:r>
          </w:p>
        </w:tc>
        <w:tc>
          <w:tcPr>
            <w:tcW w:w="0" w:type="auto"/>
            <w:hideMark/>
          </w:tcPr>
          <w:p w14:paraId="57C0DA0E"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6.6</w:t>
            </w:r>
          </w:p>
        </w:tc>
        <w:tc>
          <w:tcPr>
            <w:tcW w:w="0" w:type="auto"/>
            <w:hideMark/>
          </w:tcPr>
          <w:p w14:paraId="1C7A4080"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4.2</w:t>
            </w:r>
          </w:p>
        </w:tc>
        <w:tc>
          <w:tcPr>
            <w:tcW w:w="0" w:type="auto"/>
            <w:hideMark/>
          </w:tcPr>
          <w:p w14:paraId="19093A2E"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9.8</w:t>
            </w:r>
          </w:p>
        </w:tc>
      </w:tr>
      <w:tr w:rsidR="000E1578" w:rsidRPr="00936D28" w14:paraId="2D515974" w14:textId="77777777" w:rsidTr="000D2587">
        <w:trPr>
          <w:trHeight w:val="270"/>
        </w:trPr>
        <w:tc>
          <w:tcPr>
            <w:tcW w:w="0" w:type="auto"/>
            <w:hideMark/>
          </w:tcPr>
          <w:p w14:paraId="1A7366DA"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bCs/>
                <w:sz w:val="22"/>
                <w:szCs w:val="22"/>
              </w:rPr>
              <w:t>CCG7</w:t>
            </w:r>
          </w:p>
        </w:tc>
        <w:tc>
          <w:tcPr>
            <w:tcW w:w="0" w:type="auto"/>
            <w:hideMark/>
          </w:tcPr>
          <w:p w14:paraId="583D66FA"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53</w:t>
            </w:r>
          </w:p>
        </w:tc>
        <w:tc>
          <w:tcPr>
            <w:tcW w:w="0" w:type="auto"/>
            <w:hideMark/>
          </w:tcPr>
          <w:p w14:paraId="46A45DFC"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719</w:t>
            </w:r>
          </w:p>
        </w:tc>
        <w:tc>
          <w:tcPr>
            <w:tcW w:w="0" w:type="auto"/>
            <w:hideMark/>
          </w:tcPr>
          <w:p w14:paraId="2AB66C3B"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7.4</w:t>
            </w:r>
          </w:p>
        </w:tc>
        <w:tc>
          <w:tcPr>
            <w:tcW w:w="0" w:type="auto"/>
            <w:hideMark/>
          </w:tcPr>
          <w:p w14:paraId="3362EB8D"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6.7</w:t>
            </w:r>
          </w:p>
        </w:tc>
        <w:tc>
          <w:tcPr>
            <w:tcW w:w="0" w:type="auto"/>
            <w:hideMark/>
          </w:tcPr>
          <w:p w14:paraId="74F34B13"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5.0</w:t>
            </w:r>
          </w:p>
        </w:tc>
        <w:tc>
          <w:tcPr>
            <w:tcW w:w="0" w:type="auto"/>
            <w:hideMark/>
          </w:tcPr>
          <w:p w14:paraId="3494035A"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8.7</w:t>
            </w:r>
          </w:p>
        </w:tc>
      </w:tr>
      <w:tr w:rsidR="000E1578" w:rsidRPr="00936D28" w14:paraId="4D0CADC4" w14:textId="77777777" w:rsidTr="000D2587">
        <w:trPr>
          <w:trHeight w:val="270"/>
        </w:trPr>
        <w:tc>
          <w:tcPr>
            <w:tcW w:w="0" w:type="auto"/>
            <w:hideMark/>
          </w:tcPr>
          <w:p w14:paraId="24E1951A"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bCs/>
                <w:sz w:val="22"/>
                <w:szCs w:val="22"/>
              </w:rPr>
              <w:t>CCG8</w:t>
            </w:r>
          </w:p>
        </w:tc>
        <w:tc>
          <w:tcPr>
            <w:tcW w:w="0" w:type="auto"/>
            <w:hideMark/>
          </w:tcPr>
          <w:p w14:paraId="7D21D7BD"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102</w:t>
            </w:r>
          </w:p>
        </w:tc>
        <w:tc>
          <w:tcPr>
            <w:tcW w:w="0" w:type="auto"/>
            <w:hideMark/>
          </w:tcPr>
          <w:p w14:paraId="165E70F0"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1,537</w:t>
            </w:r>
          </w:p>
        </w:tc>
        <w:tc>
          <w:tcPr>
            <w:tcW w:w="0" w:type="auto"/>
            <w:hideMark/>
          </w:tcPr>
          <w:p w14:paraId="401F63A8"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6.6</w:t>
            </w:r>
          </w:p>
        </w:tc>
        <w:tc>
          <w:tcPr>
            <w:tcW w:w="0" w:type="auto"/>
            <w:hideMark/>
          </w:tcPr>
          <w:p w14:paraId="0F3EEDEA"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6.7</w:t>
            </w:r>
          </w:p>
        </w:tc>
        <w:tc>
          <w:tcPr>
            <w:tcW w:w="0" w:type="auto"/>
            <w:hideMark/>
          </w:tcPr>
          <w:p w14:paraId="7C39E13A"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5.4</w:t>
            </w:r>
          </w:p>
        </w:tc>
        <w:tc>
          <w:tcPr>
            <w:tcW w:w="0" w:type="auto"/>
            <w:hideMark/>
          </w:tcPr>
          <w:p w14:paraId="53826940"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8.1</w:t>
            </w:r>
          </w:p>
        </w:tc>
      </w:tr>
      <w:tr w:rsidR="000E1578" w:rsidRPr="00936D28" w14:paraId="53A97BE9" w14:textId="77777777" w:rsidTr="000D2587">
        <w:trPr>
          <w:trHeight w:val="270"/>
        </w:trPr>
        <w:tc>
          <w:tcPr>
            <w:tcW w:w="0" w:type="auto"/>
            <w:hideMark/>
          </w:tcPr>
          <w:p w14:paraId="7A731928"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bCs/>
                <w:sz w:val="22"/>
                <w:szCs w:val="22"/>
              </w:rPr>
              <w:t>CCG9</w:t>
            </w:r>
          </w:p>
        </w:tc>
        <w:tc>
          <w:tcPr>
            <w:tcW w:w="0" w:type="auto"/>
            <w:hideMark/>
          </w:tcPr>
          <w:p w14:paraId="2C991562"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61</w:t>
            </w:r>
          </w:p>
        </w:tc>
        <w:tc>
          <w:tcPr>
            <w:tcW w:w="0" w:type="auto"/>
            <w:hideMark/>
          </w:tcPr>
          <w:p w14:paraId="07D62234"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914</w:t>
            </w:r>
          </w:p>
        </w:tc>
        <w:tc>
          <w:tcPr>
            <w:tcW w:w="0" w:type="auto"/>
            <w:hideMark/>
          </w:tcPr>
          <w:p w14:paraId="3CEAD0F3"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6.7</w:t>
            </w:r>
          </w:p>
        </w:tc>
        <w:tc>
          <w:tcPr>
            <w:tcW w:w="0" w:type="auto"/>
            <w:hideMark/>
          </w:tcPr>
          <w:p w14:paraId="175ECCA0"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6.7</w:t>
            </w:r>
          </w:p>
        </w:tc>
        <w:tc>
          <w:tcPr>
            <w:tcW w:w="0" w:type="auto"/>
            <w:hideMark/>
          </w:tcPr>
          <w:p w14:paraId="2ADCE181"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5.1</w:t>
            </w:r>
          </w:p>
        </w:tc>
        <w:tc>
          <w:tcPr>
            <w:tcW w:w="0" w:type="auto"/>
            <w:hideMark/>
          </w:tcPr>
          <w:p w14:paraId="76C3E15C"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8.6</w:t>
            </w:r>
          </w:p>
        </w:tc>
      </w:tr>
      <w:tr w:rsidR="000E1578" w:rsidRPr="00936D28" w14:paraId="2700D1B4" w14:textId="77777777" w:rsidTr="000D2587">
        <w:trPr>
          <w:trHeight w:val="270"/>
        </w:trPr>
        <w:tc>
          <w:tcPr>
            <w:tcW w:w="0" w:type="auto"/>
            <w:hideMark/>
          </w:tcPr>
          <w:p w14:paraId="28036C4B"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bCs/>
                <w:sz w:val="22"/>
                <w:szCs w:val="22"/>
              </w:rPr>
              <w:t>CCG10</w:t>
            </w:r>
          </w:p>
        </w:tc>
        <w:tc>
          <w:tcPr>
            <w:tcW w:w="0" w:type="auto"/>
            <w:hideMark/>
          </w:tcPr>
          <w:p w14:paraId="265E3A23"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46</w:t>
            </w:r>
          </w:p>
        </w:tc>
        <w:tc>
          <w:tcPr>
            <w:tcW w:w="0" w:type="auto"/>
            <w:hideMark/>
          </w:tcPr>
          <w:p w14:paraId="07E90FBC"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615</w:t>
            </w:r>
          </w:p>
        </w:tc>
        <w:tc>
          <w:tcPr>
            <w:tcW w:w="0" w:type="auto"/>
            <w:hideMark/>
          </w:tcPr>
          <w:p w14:paraId="130D498F"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7.5</w:t>
            </w:r>
          </w:p>
        </w:tc>
        <w:tc>
          <w:tcPr>
            <w:tcW w:w="0" w:type="auto"/>
            <w:hideMark/>
          </w:tcPr>
          <w:p w14:paraId="7FCBB781"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6.7</w:t>
            </w:r>
          </w:p>
        </w:tc>
        <w:tc>
          <w:tcPr>
            <w:tcW w:w="0" w:type="auto"/>
            <w:hideMark/>
          </w:tcPr>
          <w:p w14:paraId="454BD7C9"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4.8</w:t>
            </w:r>
          </w:p>
        </w:tc>
        <w:tc>
          <w:tcPr>
            <w:tcW w:w="0" w:type="auto"/>
            <w:hideMark/>
          </w:tcPr>
          <w:p w14:paraId="09A200AE"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9.1</w:t>
            </w:r>
          </w:p>
        </w:tc>
      </w:tr>
    </w:tbl>
    <w:p w14:paraId="4B0D23B8" w14:textId="6579AC99" w:rsidR="000E1578" w:rsidRDefault="000E1578" w:rsidP="0007106F">
      <w:pPr>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1072"/>
        <w:gridCol w:w="1329"/>
        <w:gridCol w:w="1573"/>
        <w:gridCol w:w="919"/>
        <w:gridCol w:w="908"/>
        <w:gridCol w:w="2023"/>
        <w:gridCol w:w="2030"/>
      </w:tblGrid>
      <w:tr w:rsidR="000E1578" w:rsidRPr="00936D28" w14:paraId="61E31EAB" w14:textId="77777777" w:rsidTr="000D2587">
        <w:trPr>
          <w:trHeight w:val="300"/>
        </w:trPr>
        <w:tc>
          <w:tcPr>
            <w:tcW w:w="0" w:type="auto"/>
            <w:hideMark/>
          </w:tcPr>
          <w:p w14:paraId="43D30DD0" w14:textId="7777777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CCG</w:t>
            </w:r>
          </w:p>
        </w:tc>
        <w:tc>
          <w:tcPr>
            <w:tcW w:w="0" w:type="auto"/>
            <w:hideMark/>
          </w:tcPr>
          <w:p w14:paraId="12C5C55F" w14:textId="7777777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Numerator</w:t>
            </w:r>
          </w:p>
        </w:tc>
        <w:tc>
          <w:tcPr>
            <w:tcW w:w="0" w:type="auto"/>
            <w:hideMark/>
          </w:tcPr>
          <w:p w14:paraId="48319B10" w14:textId="7777777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Denominator</w:t>
            </w:r>
          </w:p>
        </w:tc>
        <w:tc>
          <w:tcPr>
            <w:tcW w:w="0" w:type="auto"/>
            <w:hideMark/>
          </w:tcPr>
          <w:p w14:paraId="32168E94" w14:textId="7777777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Rate per 100</w:t>
            </w:r>
          </w:p>
        </w:tc>
        <w:tc>
          <w:tcPr>
            <w:tcW w:w="0" w:type="auto"/>
            <w:hideMark/>
          </w:tcPr>
          <w:p w14:paraId="26688E79" w14:textId="7777777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DSR per 100</w:t>
            </w:r>
          </w:p>
        </w:tc>
        <w:tc>
          <w:tcPr>
            <w:tcW w:w="0" w:type="auto"/>
            <w:hideMark/>
          </w:tcPr>
          <w:p w14:paraId="142E6F1B" w14:textId="3AC90E37"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 xml:space="preserve">95% Confidence Interval </w:t>
            </w:r>
            <w:proofErr w:type="spellStart"/>
            <w:r w:rsidRPr="00936D28">
              <w:rPr>
                <w:rFonts w:asciiTheme="majorHAnsi" w:hAnsiTheme="majorHAnsi" w:cstheme="majorHAnsi"/>
                <w:b/>
                <w:bCs/>
                <w:sz w:val="22"/>
                <w:szCs w:val="22"/>
              </w:rPr>
              <w:t>DSR</w:t>
            </w:r>
            <w:r w:rsidRPr="00936D28">
              <w:rPr>
                <w:rFonts w:asciiTheme="majorHAnsi" w:hAnsiTheme="majorHAnsi" w:cstheme="majorHAnsi"/>
                <w:b/>
                <w:bCs/>
                <w:i/>
                <w:iCs/>
                <w:sz w:val="22"/>
                <w:szCs w:val="22"/>
                <w:vertAlign w:val="subscript"/>
              </w:rPr>
              <w:t>lower</w:t>
            </w:r>
            <w:proofErr w:type="spellEnd"/>
          </w:p>
        </w:tc>
        <w:tc>
          <w:tcPr>
            <w:tcW w:w="0" w:type="auto"/>
            <w:hideMark/>
          </w:tcPr>
          <w:p w14:paraId="54692CA8" w14:textId="56040B65" w:rsidR="000E1578" w:rsidRPr="00936D28" w:rsidRDefault="000E1578" w:rsidP="000D2587">
            <w:pPr>
              <w:rPr>
                <w:rFonts w:asciiTheme="majorHAnsi" w:hAnsiTheme="majorHAnsi" w:cstheme="majorHAnsi"/>
                <w:b/>
                <w:bCs/>
                <w:sz w:val="22"/>
                <w:szCs w:val="22"/>
              </w:rPr>
            </w:pPr>
            <w:r w:rsidRPr="00936D28">
              <w:rPr>
                <w:rFonts w:asciiTheme="majorHAnsi" w:hAnsiTheme="majorHAnsi" w:cstheme="majorHAnsi"/>
                <w:b/>
                <w:bCs/>
                <w:sz w:val="22"/>
                <w:szCs w:val="22"/>
              </w:rPr>
              <w:t xml:space="preserve">95% Confidence Interval </w:t>
            </w:r>
            <w:proofErr w:type="spellStart"/>
            <w:r w:rsidRPr="00936D28">
              <w:rPr>
                <w:rFonts w:asciiTheme="majorHAnsi" w:hAnsiTheme="majorHAnsi" w:cstheme="majorHAnsi"/>
                <w:b/>
                <w:bCs/>
                <w:sz w:val="22"/>
                <w:szCs w:val="22"/>
              </w:rPr>
              <w:t>DSR</w:t>
            </w:r>
            <w:r w:rsidRPr="00936D28">
              <w:rPr>
                <w:rFonts w:asciiTheme="majorHAnsi" w:hAnsiTheme="majorHAnsi" w:cstheme="majorHAnsi"/>
                <w:b/>
                <w:bCs/>
                <w:i/>
                <w:iCs/>
                <w:sz w:val="22"/>
                <w:szCs w:val="22"/>
                <w:vertAlign w:val="subscript"/>
              </w:rPr>
              <w:t>upper</w:t>
            </w:r>
            <w:proofErr w:type="spellEnd"/>
          </w:p>
        </w:tc>
      </w:tr>
      <w:tr w:rsidR="000E1578" w:rsidRPr="00936D28" w14:paraId="5763C1AA" w14:textId="77777777" w:rsidTr="000D2587">
        <w:trPr>
          <w:trHeight w:val="270"/>
        </w:trPr>
        <w:tc>
          <w:tcPr>
            <w:tcW w:w="0" w:type="auto"/>
            <w:hideMark/>
          </w:tcPr>
          <w:p w14:paraId="611C66B4"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bCs/>
                <w:sz w:val="22"/>
                <w:szCs w:val="22"/>
              </w:rPr>
              <w:t>CCG202</w:t>
            </w:r>
          </w:p>
        </w:tc>
        <w:tc>
          <w:tcPr>
            <w:tcW w:w="0" w:type="auto"/>
            <w:hideMark/>
          </w:tcPr>
          <w:p w14:paraId="199CE667"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171</w:t>
            </w:r>
          </w:p>
        </w:tc>
        <w:tc>
          <w:tcPr>
            <w:tcW w:w="0" w:type="auto"/>
            <w:hideMark/>
          </w:tcPr>
          <w:p w14:paraId="333FBD2F"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1,069</w:t>
            </w:r>
          </w:p>
        </w:tc>
        <w:tc>
          <w:tcPr>
            <w:tcW w:w="0" w:type="auto"/>
            <w:hideMark/>
          </w:tcPr>
          <w:p w14:paraId="2F497DA8"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16.0</w:t>
            </w:r>
          </w:p>
        </w:tc>
        <w:tc>
          <w:tcPr>
            <w:tcW w:w="0" w:type="auto"/>
            <w:hideMark/>
          </w:tcPr>
          <w:p w14:paraId="316657BF"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15.4</w:t>
            </w:r>
          </w:p>
        </w:tc>
        <w:tc>
          <w:tcPr>
            <w:tcW w:w="0" w:type="auto"/>
            <w:hideMark/>
          </w:tcPr>
          <w:p w14:paraId="3E40F954"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13.1</w:t>
            </w:r>
          </w:p>
        </w:tc>
        <w:tc>
          <w:tcPr>
            <w:tcW w:w="0" w:type="auto"/>
            <w:hideMark/>
          </w:tcPr>
          <w:p w14:paraId="5DA9D52B"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17.9</w:t>
            </w:r>
          </w:p>
        </w:tc>
      </w:tr>
      <w:tr w:rsidR="000E1578" w:rsidRPr="00936D28" w14:paraId="3196AACA" w14:textId="77777777" w:rsidTr="000D2587">
        <w:trPr>
          <w:trHeight w:val="270"/>
        </w:trPr>
        <w:tc>
          <w:tcPr>
            <w:tcW w:w="0" w:type="auto"/>
            <w:hideMark/>
          </w:tcPr>
          <w:p w14:paraId="290977F1"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bCs/>
                <w:sz w:val="22"/>
                <w:szCs w:val="22"/>
              </w:rPr>
              <w:t>CCG203</w:t>
            </w:r>
          </w:p>
        </w:tc>
        <w:tc>
          <w:tcPr>
            <w:tcW w:w="0" w:type="auto"/>
            <w:hideMark/>
          </w:tcPr>
          <w:p w14:paraId="6B4B2294"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71</w:t>
            </w:r>
          </w:p>
        </w:tc>
        <w:tc>
          <w:tcPr>
            <w:tcW w:w="0" w:type="auto"/>
            <w:hideMark/>
          </w:tcPr>
          <w:p w14:paraId="3C7A734A"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421</w:t>
            </w:r>
          </w:p>
        </w:tc>
        <w:tc>
          <w:tcPr>
            <w:tcW w:w="0" w:type="auto"/>
            <w:hideMark/>
          </w:tcPr>
          <w:p w14:paraId="40A5AA89"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16.9</w:t>
            </w:r>
          </w:p>
        </w:tc>
        <w:tc>
          <w:tcPr>
            <w:tcW w:w="0" w:type="auto"/>
            <w:hideMark/>
          </w:tcPr>
          <w:p w14:paraId="2E8C1CA4"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15.4</w:t>
            </w:r>
          </w:p>
        </w:tc>
        <w:tc>
          <w:tcPr>
            <w:tcW w:w="0" w:type="auto"/>
            <w:hideMark/>
          </w:tcPr>
          <w:p w14:paraId="5033955F"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11.8</w:t>
            </w:r>
          </w:p>
        </w:tc>
        <w:tc>
          <w:tcPr>
            <w:tcW w:w="0" w:type="auto"/>
            <w:hideMark/>
          </w:tcPr>
          <w:p w14:paraId="65F63686"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19.7</w:t>
            </w:r>
          </w:p>
        </w:tc>
      </w:tr>
      <w:tr w:rsidR="000E1578" w:rsidRPr="00936D28" w14:paraId="42CDAF30" w14:textId="77777777" w:rsidTr="000D2587">
        <w:trPr>
          <w:trHeight w:val="270"/>
        </w:trPr>
        <w:tc>
          <w:tcPr>
            <w:tcW w:w="0" w:type="auto"/>
            <w:hideMark/>
          </w:tcPr>
          <w:p w14:paraId="7C22E7BD"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bCs/>
                <w:sz w:val="22"/>
                <w:szCs w:val="22"/>
              </w:rPr>
              <w:t>CCG204</w:t>
            </w:r>
          </w:p>
        </w:tc>
        <w:tc>
          <w:tcPr>
            <w:tcW w:w="0" w:type="auto"/>
            <w:hideMark/>
          </w:tcPr>
          <w:p w14:paraId="62212E20"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523</w:t>
            </w:r>
          </w:p>
        </w:tc>
        <w:tc>
          <w:tcPr>
            <w:tcW w:w="0" w:type="auto"/>
            <w:hideMark/>
          </w:tcPr>
          <w:p w14:paraId="2DF37431"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3,100</w:t>
            </w:r>
          </w:p>
        </w:tc>
        <w:tc>
          <w:tcPr>
            <w:tcW w:w="0" w:type="auto"/>
            <w:hideMark/>
          </w:tcPr>
          <w:p w14:paraId="6FBD4B39"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16.9</w:t>
            </w:r>
          </w:p>
        </w:tc>
        <w:tc>
          <w:tcPr>
            <w:tcW w:w="0" w:type="auto"/>
            <w:hideMark/>
          </w:tcPr>
          <w:p w14:paraId="4BFBB83A"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15.5</w:t>
            </w:r>
          </w:p>
        </w:tc>
        <w:tc>
          <w:tcPr>
            <w:tcW w:w="0" w:type="auto"/>
            <w:hideMark/>
          </w:tcPr>
          <w:p w14:paraId="12D75FEA"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14.1</w:t>
            </w:r>
          </w:p>
        </w:tc>
        <w:tc>
          <w:tcPr>
            <w:tcW w:w="0" w:type="auto"/>
            <w:hideMark/>
          </w:tcPr>
          <w:p w14:paraId="6B875B7D"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17.0</w:t>
            </w:r>
          </w:p>
        </w:tc>
      </w:tr>
      <w:tr w:rsidR="000E1578" w:rsidRPr="00936D28" w14:paraId="04DE2C3B" w14:textId="77777777" w:rsidTr="000D2587">
        <w:trPr>
          <w:trHeight w:val="270"/>
        </w:trPr>
        <w:tc>
          <w:tcPr>
            <w:tcW w:w="0" w:type="auto"/>
            <w:hideMark/>
          </w:tcPr>
          <w:p w14:paraId="67C6AA1D"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bCs/>
                <w:sz w:val="22"/>
                <w:szCs w:val="22"/>
              </w:rPr>
              <w:t>CCG205</w:t>
            </w:r>
          </w:p>
        </w:tc>
        <w:tc>
          <w:tcPr>
            <w:tcW w:w="0" w:type="auto"/>
            <w:hideMark/>
          </w:tcPr>
          <w:p w14:paraId="4B790708"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155</w:t>
            </w:r>
          </w:p>
        </w:tc>
        <w:tc>
          <w:tcPr>
            <w:tcW w:w="0" w:type="auto"/>
            <w:hideMark/>
          </w:tcPr>
          <w:p w14:paraId="7D0F9857"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943</w:t>
            </w:r>
          </w:p>
        </w:tc>
        <w:tc>
          <w:tcPr>
            <w:tcW w:w="0" w:type="auto"/>
            <w:hideMark/>
          </w:tcPr>
          <w:p w14:paraId="5A544B06"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16.4</w:t>
            </w:r>
          </w:p>
        </w:tc>
        <w:tc>
          <w:tcPr>
            <w:tcW w:w="0" w:type="auto"/>
            <w:hideMark/>
          </w:tcPr>
          <w:p w14:paraId="6ECF041C"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15.8</w:t>
            </w:r>
          </w:p>
        </w:tc>
        <w:tc>
          <w:tcPr>
            <w:tcW w:w="0" w:type="auto"/>
            <w:hideMark/>
          </w:tcPr>
          <w:p w14:paraId="16DDABB2"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13.4</w:t>
            </w:r>
          </w:p>
        </w:tc>
        <w:tc>
          <w:tcPr>
            <w:tcW w:w="0" w:type="auto"/>
            <w:hideMark/>
          </w:tcPr>
          <w:p w14:paraId="51109984"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18.5</w:t>
            </w:r>
          </w:p>
        </w:tc>
      </w:tr>
      <w:tr w:rsidR="000E1578" w:rsidRPr="00936D28" w14:paraId="326EF099" w14:textId="77777777" w:rsidTr="000D2587">
        <w:trPr>
          <w:trHeight w:val="270"/>
        </w:trPr>
        <w:tc>
          <w:tcPr>
            <w:tcW w:w="0" w:type="auto"/>
            <w:hideMark/>
          </w:tcPr>
          <w:p w14:paraId="5A538DA7"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bCs/>
                <w:sz w:val="22"/>
                <w:szCs w:val="22"/>
              </w:rPr>
              <w:t>CCG206</w:t>
            </w:r>
          </w:p>
        </w:tc>
        <w:tc>
          <w:tcPr>
            <w:tcW w:w="0" w:type="auto"/>
            <w:hideMark/>
          </w:tcPr>
          <w:p w14:paraId="526E1EAD"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141</w:t>
            </w:r>
          </w:p>
        </w:tc>
        <w:tc>
          <w:tcPr>
            <w:tcW w:w="0" w:type="auto"/>
            <w:hideMark/>
          </w:tcPr>
          <w:p w14:paraId="659BB8F9"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827</w:t>
            </w:r>
          </w:p>
        </w:tc>
        <w:tc>
          <w:tcPr>
            <w:tcW w:w="0" w:type="auto"/>
            <w:hideMark/>
          </w:tcPr>
          <w:p w14:paraId="22141867"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17.0</w:t>
            </w:r>
          </w:p>
        </w:tc>
        <w:tc>
          <w:tcPr>
            <w:tcW w:w="0" w:type="auto"/>
            <w:hideMark/>
          </w:tcPr>
          <w:p w14:paraId="77F8E921"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15.9</w:t>
            </w:r>
          </w:p>
        </w:tc>
        <w:tc>
          <w:tcPr>
            <w:tcW w:w="0" w:type="auto"/>
            <w:hideMark/>
          </w:tcPr>
          <w:p w14:paraId="23147C4B"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13.3</w:t>
            </w:r>
          </w:p>
        </w:tc>
        <w:tc>
          <w:tcPr>
            <w:tcW w:w="0" w:type="auto"/>
            <w:hideMark/>
          </w:tcPr>
          <w:p w14:paraId="63F112E6"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18.9</w:t>
            </w:r>
          </w:p>
        </w:tc>
      </w:tr>
      <w:tr w:rsidR="000E1578" w:rsidRPr="00936D28" w14:paraId="1EAEFFBB" w14:textId="77777777" w:rsidTr="000D2587">
        <w:trPr>
          <w:trHeight w:val="270"/>
        </w:trPr>
        <w:tc>
          <w:tcPr>
            <w:tcW w:w="0" w:type="auto"/>
            <w:hideMark/>
          </w:tcPr>
          <w:p w14:paraId="6510FEC3"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bCs/>
                <w:sz w:val="22"/>
                <w:szCs w:val="22"/>
              </w:rPr>
              <w:t>CCG207</w:t>
            </w:r>
          </w:p>
        </w:tc>
        <w:tc>
          <w:tcPr>
            <w:tcW w:w="0" w:type="auto"/>
            <w:hideMark/>
          </w:tcPr>
          <w:p w14:paraId="580A6F3B"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188</w:t>
            </w:r>
          </w:p>
        </w:tc>
        <w:tc>
          <w:tcPr>
            <w:tcW w:w="0" w:type="auto"/>
            <w:hideMark/>
          </w:tcPr>
          <w:p w14:paraId="235A15F5"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1,160</w:t>
            </w:r>
          </w:p>
        </w:tc>
        <w:tc>
          <w:tcPr>
            <w:tcW w:w="0" w:type="auto"/>
            <w:hideMark/>
          </w:tcPr>
          <w:p w14:paraId="52092494"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16.2</w:t>
            </w:r>
          </w:p>
        </w:tc>
        <w:tc>
          <w:tcPr>
            <w:tcW w:w="0" w:type="auto"/>
            <w:hideMark/>
          </w:tcPr>
          <w:p w14:paraId="43CD3408"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16.0</w:t>
            </w:r>
          </w:p>
        </w:tc>
        <w:tc>
          <w:tcPr>
            <w:tcW w:w="0" w:type="auto"/>
            <w:hideMark/>
          </w:tcPr>
          <w:p w14:paraId="3251F0D2"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13.8</w:t>
            </w:r>
          </w:p>
        </w:tc>
        <w:tc>
          <w:tcPr>
            <w:tcW w:w="0" w:type="auto"/>
            <w:hideMark/>
          </w:tcPr>
          <w:p w14:paraId="0C9080EF"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18.5</w:t>
            </w:r>
          </w:p>
        </w:tc>
      </w:tr>
      <w:tr w:rsidR="000E1578" w:rsidRPr="00936D28" w14:paraId="57A61912" w14:textId="77777777" w:rsidTr="000D2587">
        <w:trPr>
          <w:trHeight w:val="270"/>
        </w:trPr>
        <w:tc>
          <w:tcPr>
            <w:tcW w:w="0" w:type="auto"/>
            <w:hideMark/>
          </w:tcPr>
          <w:p w14:paraId="3A957789"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bCs/>
                <w:sz w:val="22"/>
                <w:szCs w:val="22"/>
              </w:rPr>
              <w:t>CCG208</w:t>
            </w:r>
          </w:p>
        </w:tc>
        <w:tc>
          <w:tcPr>
            <w:tcW w:w="0" w:type="auto"/>
            <w:hideMark/>
          </w:tcPr>
          <w:p w14:paraId="13178B01"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382</w:t>
            </w:r>
          </w:p>
        </w:tc>
        <w:tc>
          <w:tcPr>
            <w:tcW w:w="0" w:type="auto"/>
            <w:hideMark/>
          </w:tcPr>
          <w:p w14:paraId="093C5CBD"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2,185</w:t>
            </w:r>
          </w:p>
        </w:tc>
        <w:tc>
          <w:tcPr>
            <w:tcW w:w="0" w:type="auto"/>
            <w:hideMark/>
          </w:tcPr>
          <w:p w14:paraId="6BBE7B0D"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17.5</w:t>
            </w:r>
          </w:p>
        </w:tc>
        <w:tc>
          <w:tcPr>
            <w:tcW w:w="0" w:type="auto"/>
            <w:hideMark/>
          </w:tcPr>
          <w:p w14:paraId="05838B00"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16.8</w:t>
            </w:r>
          </w:p>
        </w:tc>
        <w:tc>
          <w:tcPr>
            <w:tcW w:w="0" w:type="auto"/>
            <w:hideMark/>
          </w:tcPr>
          <w:p w14:paraId="22783A6C"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15.2</w:t>
            </w:r>
          </w:p>
        </w:tc>
        <w:tc>
          <w:tcPr>
            <w:tcW w:w="0" w:type="auto"/>
            <w:hideMark/>
          </w:tcPr>
          <w:p w14:paraId="7965F648"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18.7</w:t>
            </w:r>
          </w:p>
        </w:tc>
      </w:tr>
      <w:tr w:rsidR="000E1578" w:rsidRPr="00936D28" w14:paraId="4C9C5473" w14:textId="77777777" w:rsidTr="000D2587">
        <w:trPr>
          <w:trHeight w:val="270"/>
        </w:trPr>
        <w:tc>
          <w:tcPr>
            <w:tcW w:w="0" w:type="auto"/>
            <w:hideMark/>
          </w:tcPr>
          <w:p w14:paraId="1A1CBD8E"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bCs/>
                <w:sz w:val="22"/>
                <w:szCs w:val="22"/>
              </w:rPr>
              <w:t>CCG209</w:t>
            </w:r>
          </w:p>
        </w:tc>
        <w:tc>
          <w:tcPr>
            <w:tcW w:w="0" w:type="auto"/>
            <w:hideMark/>
          </w:tcPr>
          <w:p w14:paraId="5BA0A748"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228</w:t>
            </w:r>
          </w:p>
        </w:tc>
        <w:tc>
          <w:tcPr>
            <w:tcW w:w="0" w:type="auto"/>
            <w:hideMark/>
          </w:tcPr>
          <w:p w14:paraId="3D3E65EC"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1,275</w:t>
            </w:r>
          </w:p>
        </w:tc>
        <w:tc>
          <w:tcPr>
            <w:tcW w:w="0" w:type="auto"/>
            <w:hideMark/>
          </w:tcPr>
          <w:p w14:paraId="1DD8F6BD"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17.9</w:t>
            </w:r>
          </w:p>
        </w:tc>
        <w:tc>
          <w:tcPr>
            <w:tcW w:w="0" w:type="auto"/>
            <w:hideMark/>
          </w:tcPr>
          <w:p w14:paraId="277E68A2"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17.2</w:t>
            </w:r>
          </w:p>
        </w:tc>
        <w:tc>
          <w:tcPr>
            <w:tcW w:w="0" w:type="auto"/>
            <w:hideMark/>
          </w:tcPr>
          <w:p w14:paraId="3780DCA1"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15.0</w:t>
            </w:r>
          </w:p>
        </w:tc>
        <w:tc>
          <w:tcPr>
            <w:tcW w:w="0" w:type="auto"/>
            <w:hideMark/>
          </w:tcPr>
          <w:p w14:paraId="659CD4CB"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19.6</w:t>
            </w:r>
          </w:p>
        </w:tc>
      </w:tr>
      <w:tr w:rsidR="000E1578" w:rsidRPr="00936D28" w14:paraId="062FC473" w14:textId="77777777" w:rsidTr="000D2587">
        <w:trPr>
          <w:trHeight w:val="270"/>
        </w:trPr>
        <w:tc>
          <w:tcPr>
            <w:tcW w:w="0" w:type="auto"/>
            <w:hideMark/>
          </w:tcPr>
          <w:p w14:paraId="24609E6A"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bCs/>
                <w:sz w:val="22"/>
                <w:szCs w:val="22"/>
              </w:rPr>
              <w:t>CCG210</w:t>
            </w:r>
          </w:p>
        </w:tc>
        <w:tc>
          <w:tcPr>
            <w:tcW w:w="0" w:type="auto"/>
            <w:hideMark/>
          </w:tcPr>
          <w:p w14:paraId="29AA0BCC"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259</w:t>
            </w:r>
          </w:p>
        </w:tc>
        <w:tc>
          <w:tcPr>
            <w:tcW w:w="0" w:type="auto"/>
            <w:hideMark/>
          </w:tcPr>
          <w:p w14:paraId="7B9348ED"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1,440</w:t>
            </w:r>
          </w:p>
        </w:tc>
        <w:tc>
          <w:tcPr>
            <w:tcW w:w="0" w:type="auto"/>
            <w:hideMark/>
          </w:tcPr>
          <w:p w14:paraId="5C61B8A9"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18.0</w:t>
            </w:r>
          </w:p>
        </w:tc>
        <w:tc>
          <w:tcPr>
            <w:tcW w:w="0" w:type="auto"/>
            <w:hideMark/>
          </w:tcPr>
          <w:p w14:paraId="2BF6224F"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17.4</w:t>
            </w:r>
          </w:p>
        </w:tc>
        <w:tc>
          <w:tcPr>
            <w:tcW w:w="0" w:type="auto"/>
            <w:hideMark/>
          </w:tcPr>
          <w:p w14:paraId="1C8EEE4B"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15.2</w:t>
            </w:r>
          </w:p>
        </w:tc>
        <w:tc>
          <w:tcPr>
            <w:tcW w:w="0" w:type="auto"/>
            <w:hideMark/>
          </w:tcPr>
          <w:p w14:paraId="32587290"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19.8</w:t>
            </w:r>
          </w:p>
        </w:tc>
      </w:tr>
      <w:tr w:rsidR="000E1578" w:rsidRPr="00936D28" w14:paraId="1F06AE58" w14:textId="77777777" w:rsidTr="000D2587">
        <w:trPr>
          <w:trHeight w:val="270"/>
        </w:trPr>
        <w:tc>
          <w:tcPr>
            <w:tcW w:w="0" w:type="auto"/>
            <w:hideMark/>
          </w:tcPr>
          <w:p w14:paraId="719023DA"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bCs/>
                <w:sz w:val="22"/>
                <w:szCs w:val="22"/>
              </w:rPr>
              <w:t>CCG211</w:t>
            </w:r>
          </w:p>
        </w:tc>
        <w:tc>
          <w:tcPr>
            <w:tcW w:w="0" w:type="auto"/>
            <w:hideMark/>
          </w:tcPr>
          <w:p w14:paraId="41BC4540"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183</w:t>
            </w:r>
          </w:p>
        </w:tc>
        <w:tc>
          <w:tcPr>
            <w:tcW w:w="0" w:type="auto"/>
            <w:hideMark/>
          </w:tcPr>
          <w:p w14:paraId="6EB9872E"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924</w:t>
            </w:r>
          </w:p>
        </w:tc>
        <w:tc>
          <w:tcPr>
            <w:tcW w:w="0" w:type="auto"/>
            <w:hideMark/>
          </w:tcPr>
          <w:p w14:paraId="5E83F53B"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19.8</w:t>
            </w:r>
          </w:p>
        </w:tc>
        <w:tc>
          <w:tcPr>
            <w:tcW w:w="0" w:type="auto"/>
            <w:hideMark/>
          </w:tcPr>
          <w:p w14:paraId="0763CCA7"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19.6</w:t>
            </w:r>
          </w:p>
        </w:tc>
        <w:tc>
          <w:tcPr>
            <w:tcW w:w="0" w:type="auto"/>
            <w:hideMark/>
          </w:tcPr>
          <w:p w14:paraId="1AAECB95"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16.8</w:t>
            </w:r>
          </w:p>
        </w:tc>
        <w:tc>
          <w:tcPr>
            <w:tcW w:w="0" w:type="auto"/>
            <w:hideMark/>
          </w:tcPr>
          <w:p w14:paraId="3EC4CD59" w14:textId="77777777" w:rsidR="000E1578" w:rsidRPr="00936D28" w:rsidRDefault="000E1578" w:rsidP="000D2587">
            <w:pPr>
              <w:rPr>
                <w:rFonts w:asciiTheme="majorHAnsi" w:hAnsiTheme="majorHAnsi" w:cstheme="majorHAnsi"/>
                <w:sz w:val="22"/>
                <w:szCs w:val="22"/>
              </w:rPr>
            </w:pPr>
            <w:r w:rsidRPr="00936D28">
              <w:rPr>
                <w:rFonts w:asciiTheme="majorHAnsi" w:hAnsiTheme="majorHAnsi" w:cstheme="majorHAnsi"/>
                <w:sz w:val="22"/>
                <w:szCs w:val="22"/>
              </w:rPr>
              <w:t>22.7</w:t>
            </w:r>
          </w:p>
        </w:tc>
      </w:tr>
    </w:tbl>
    <w:p w14:paraId="07DF4AFE" w14:textId="1C4CAAD9" w:rsidR="000E1578" w:rsidRDefault="000E1578" w:rsidP="0007106F">
      <w:pPr>
        <w:rPr>
          <w:rFonts w:asciiTheme="majorHAnsi" w:hAnsiTheme="majorHAnsi" w:cstheme="majorHAnsi"/>
          <w:b/>
          <w:sz w:val="22"/>
          <w:szCs w:val="22"/>
        </w:rPr>
      </w:pPr>
    </w:p>
    <w:p w14:paraId="4442FFA1" w14:textId="77777777" w:rsidR="000E1578" w:rsidRDefault="000E1578" w:rsidP="0007106F">
      <w:pPr>
        <w:rPr>
          <w:rFonts w:asciiTheme="majorHAnsi" w:hAnsiTheme="majorHAnsi" w:cstheme="majorHAnsi"/>
          <w:b/>
          <w:sz w:val="22"/>
          <w:szCs w:val="22"/>
        </w:rPr>
      </w:pPr>
    </w:p>
    <w:p w14:paraId="3E256A08" w14:textId="77777777" w:rsidR="000E1578" w:rsidRPr="00936D28" w:rsidRDefault="000E1578" w:rsidP="000E1578">
      <w:pPr>
        <w:rPr>
          <w:rFonts w:asciiTheme="majorHAnsi" w:hAnsiTheme="majorHAnsi" w:cstheme="majorHAnsi"/>
          <w:b/>
          <w:sz w:val="22"/>
          <w:szCs w:val="22"/>
        </w:rPr>
      </w:pPr>
      <w:r w:rsidRPr="00936D28">
        <w:rPr>
          <w:rFonts w:asciiTheme="majorHAnsi" w:hAnsiTheme="majorHAnsi" w:cstheme="majorHAnsi"/>
          <w:b/>
          <w:sz w:val="22"/>
          <w:szCs w:val="22"/>
        </w:rPr>
        <w:lastRenderedPageBreak/>
        <w:t>Updated potential issues:</w:t>
      </w:r>
    </w:p>
    <w:p w14:paraId="3C6177D1" w14:textId="77777777" w:rsidR="000E1578" w:rsidRPr="00936D28" w:rsidRDefault="000E1578" w:rsidP="000E1578">
      <w:pPr>
        <w:rPr>
          <w:rFonts w:asciiTheme="majorHAnsi" w:hAnsiTheme="majorHAnsi" w:cstheme="majorHAnsi"/>
          <w:sz w:val="22"/>
          <w:szCs w:val="22"/>
        </w:rPr>
      </w:pPr>
      <w:r w:rsidRPr="00936D28">
        <w:rPr>
          <w:rFonts w:asciiTheme="majorHAnsi" w:hAnsiTheme="majorHAnsi" w:cstheme="majorHAnsi"/>
          <w:sz w:val="22"/>
          <w:szCs w:val="22"/>
        </w:rPr>
        <w:t xml:space="preserve">In order to have sufficient volumes for direct standardisation, people aged 18 and under are excluded. This is now inconsistent with the CCG OIS 3.14 Alcohol-specific admissions indicator, although CCG OIS 1.8 Emergency admissions for alcohol related liver disease is limited to adults only. In order to align the indicators, MRG may wish to consider whether it is appropriate also remove people aged 18 and under from the alcohol-specific admission indicator. </w:t>
      </w:r>
    </w:p>
    <w:p w14:paraId="023E6EA3" w14:textId="77777777" w:rsidR="000E1578" w:rsidRPr="00936D28" w:rsidRDefault="000E1578" w:rsidP="000E1578">
      <w:pPr>
        <w:rPr>
          <w:rFonts w:asciiTheme="majorHAnsi" w:hAnsiTheme="majorHAnsi" w:cstheme="majorHAnsi"/>
          <w:sz w:val="22"/>
          <w:szCs w:val="22"/>
        </w:rPr>
      </w:pPr>
      <w:r w:rsidRPr="00936D28">
        <w:rPr>
          <w:rFonts w:asciiTheme="majorHAnsi" w:hAnsiTheme="majorHAnsi" w:cstheme="majorHAnsi"/>
          <w:sz w:val="22"/>
          <w:szCs w:val="22"/>
        </w:rPr>
        <w:t>Following on, it is proposed that the title be updated to reflect the current indicator:</w:t>
      </w:r>
    </w:p>
    <w:p w14:paraId="7177D5B0" w14:textId="3027114C" w:rsidR="000E1578" w:rsidRPr="00936D28" w:rsidRDefault="000E1578" w:rsidP="000E1578">
      <w:pPr>
        <w:rPr>
          <w:rFonts w:asciiTheme="majorHAnsi" w:hAnsiTheme="majorHAnsi" w:cstheme="majorHAnsi"/>
          <w:b/>
          <w:sz w:val="22"/>
          <w:szCs w:val="22"/>
        </w:rPr>
      </w:pPr>
      <w:r w:rsidRPr="00936D28">
        <w:rPr>
          <w:rFonts w:asciiTheme="majorHAnsi" w:hAnsiTheme="majorHAnsi" w:cstheme="majorHAnsi"/>
          <w:sz w:val="22"/>
          <w:szCs w:val="22"/>
        </w:rPr>
        <w:t>‘Alcohol-specific emergency readmissions in people aged 19 and over, within 30 days of discharge following an alcohol-specific admission.’</w:t>
      </w:r>
    </w:p>
    <w:p w14:paraId="3BB87304" w14:textId="77777777" w:rsidR="00965599" w:rsidRPr="00936D28" w:rsidRDefault="00965599" w:rsidP="00965599">
      <w:pPr>
        <w:rPr>
          <w:rFonts w:asciiTheme="majorHAnsi" w:hAnsiTheme="majorHAnsi" w:cstheme="majorHAnsi"/>
          <w:sz w:val="22"/>
          <w:szCs w:val="22"/>
        </w:rPr>
      </w:pPr>
    </w:p>
    <w:p w14:paraId="2E213E7D" w14:textId="77777777" w:rsidR="0007106F" w:rsidRPr="00936D28" w:rsidRDefault="0007106F" w:rsidP="00985BD5">
      <w:pPr>
        <w:rPr>
          <w:rFonts w:asciiTheme="majorHAnsi" w:hAnsiTheme="majorHAnsi" w:cstheme="majorHAnsi"/>
          <w:sz w:val="22"/>
          <w:szCs w:val="22"/>
        </w:rPr>
      </w:pPr>
    </w:p>
    <w:p w14:paraId="4C6719AD" w14:textId="77777777" w:rsidR="00A7524F" w:rsidRPr="00936D28" w:rsidRDefault="00A7524F" w:rsidP="00985BD5">
      <w:pPr>
        <w:rPr>
          <w:rFonts w:asciiTheme="majorHAnsi" w:hAnsiTheme="majorHAnsi" w:cstheme="majorHAnsi"/>
          <w:sz w:val="22"/>
          <w:szCs w:val="22"/>
        </w:rPr>
      </w:pPr>
    </w:p>
    <w:p w14:paraId="2A50DAA4" w14:textId="77777777" w:rsidR="00C62A77" w:rsidRPr="00936D28" w:rsidRDefault="00C62A77">
      <w:pPr>
        <w:spacing w:after="0"/>
        <w:textboxTightWrap w:val="none"/>
        <w:rPr>
          <w:rFonts w:asciiTheme="majorHAnsi" w:eastAsia="MS Mincho" w:hAnsiTheme="majorHAnsi" w:cstheme="majorHAnsi"/>
          <w:b/>
          <w:spacing w:val="-8"/>
          <w:kern w:val="28"/>
          <w:sz w:val="22"/>
          <w:szCs w:val="22"/>
          <w14:ligatures w14:val="standardContextual"/>
        </w:rPr>
      </w:pPr>
      <w:r w:rsidRPr="00936D28">
        <w:rPr>
          <w:rFonts w:asciiTheme="majorHAnsi" w:hAnsiTheme="majorHAnsi" w:cstheme="majorHAnsi"/>
          <w:sz w:val="22"/>
          <w:szCs w:val="22"/>
        </w:rPr>
        <w:br w:type="page"/>
      </w:r>
    </w:p>
    <w:p w14:paraId="32CC4BA5" w14:textId="0BCAE585" w:rsidR="00ED081B" w:rsidRPr="00936D28" w:rsidRDefault="00A5680D" w:rsidP="00D24581">
      <w:pPr>
        <w:pStyle w:val="Heading2"/>
        <w:rPr>
          <w:rFonts w:asciiTheme="majorHAnsi" w:hAnsiTheme="majorHAnsi" w:cstheme="majorHAnsi"/>
          <w:i/>
          <w:color w:val="auto"/>
          <w:sz w:val="22"/>
          <w:szCs w:val="22"/>
        </w:rPr>
      </w:pPr>
      <w:bookmarkStart w:id="4" w:name="_Toc389568157"/>
      <w:r w:rsidRPr="00936D28">
        <w:rPr>
          <w:rFonts w:asciiTheme="majorHAnsi" w:hAnsiTheme="majorHAnsi" w:cstheme="majorHAnsi"/>
          <w:color w:val="auto"/>
          <w:sz w:val="22"/>
          <w:szCs w:val="22"/>
        </w:rPr>
        <w:lastRenderedPageBreak/>
        <w:t>1.3</w:t>
      </w:r>
      <w:r w:rsidR="00ED081B" w:rsidRPr="00936D28">
        <w:rPr>
          <w:rFonts w:asciiTheme="majorHAnsi" w:hAnsiTheme="majorHAnsi" w:cstheme="majorHAnsi"/>
          <w:color w:val="auto"/>
          <w:sz w:val="22"/>
          <w:szCs w:val="22"/>
        </w:rPr>
        <w:tab/>
        <w:t>Unplanned readmissions to Mental Health Services within 30 days of a Mental Health inpatient discharge in people aged 17 and over</w:t>
      </w:r>
      <w:r w:rsidR="005A359D" w:rsidRPr="00936D28">
        <w:rPr>
          <w:rFonts w:asciiTheme="majorHAnsi" w:hAnsiTheme="majorHAnsi" w:cstheme="majorHAnsi"/>
          <w:color w:val="auto"/>
          <w:sz w:val="22"/>
          <w:szCs w:val="22"/>
        </w:rPr>
        <w:t xml:space="preserve"> (CCG OIS)</w:t>
      </w:r>
      <w:bookmarkEnd w:id="4"/>
      <w:r w:rsidR="00ED081B" w:rsidRPr="00936D28">
        <w:rPr>
          <w:rFonts w:asciiTheme="majorHAnsi" w:hAnsiTheme="majorHAnsi" w:cstheme="majorHAnsi"/>
          <w:i/>
          <w:color w:val="auto"/>
          <w:sz w:val="22"/>
          <w:szCs w:val="22"/>
        </w:rPr>
        <w:t xml:space="preserve"> </w:t>
      </w:r>
    </w:p>
    <w:p w14:paraId="11F82F98" w14:textId="1749B337" w:rsidR="00985BD5" w:rsidRPr="00936D28" w:rsidRDefault="00A7524F" w:rsidP="00985BD5">
      <w:pPr>
        <w:rPr>
          <w:rFonts w:asciiTheme="majorHAnsi" w:hAnsiTheme="majorHAnsi" w:cstheme="majorHAnsi"/>
          <w:i/>
          <w:sz w:val="22"/>
          <w:szCs w:val="22"/>
        </w:rPr>
      </w:pPr>
      <w:r w:rsidRPr="00936D28">
        <w:rPr>
          <w:rFonts w:asciiTheme="majorHAnsi" w:hAnsiTheme="majorHAnsi" w:cstheme="majorHAnsi"/>
          <w:i/>
          <w:sz w:val="22"/>
          <w:szCs w:val="22"/>
        </w:rPr>
        <w:t xml:space="preserve">Presented by: </w:t>
      </w:r>
      <w:r w:rsidR="00D24581" w:rsidRPr="00936D28">
        <w:rPr>
          <w:rFonts w:asciiTheme="majorHAnsi" w:hAnsiTheme="majorHAnsi" w:cstheme="majorHAnsi"/>
          <w:i/>
          <w:sz w:val="22"/>
          <w:szCs w:val="22"/>
        </w:rPr>
        <w:t>Kye Forrester</w:t>
      </w:r>
    </w:p>
    <w:p w14:paraId="25F29218" w14:textId="12D78377" w:rsidR="00C62A77" w:rsidRPr="00936D28" w:rsidRDefault="00C62A77" w:rsidP="00985BD5">
      <w:pPr>
        <w:rPr>
          <w:rFonts w:asciiTheme="majorHAnsi" w:hAnsiTheme="majorHAnsi" w:cstheme="majorHAnsi"/>
          <w:sz w:val="22"/>
          <w:szCs w:val="22"/>
        </w:rPr>
      </w:pPr>
      <w:r w:rsidRPr="00936D28">
        <w:rPr>
          <w:rFonts w:asciiTheme="majorHAnsi" w:hAnsiTheme="majorHAnsi" w:cstheme="majorHAnsi"/>
          <w:sz w:val="22"/>
          <w:szCs w:val="22"/>
        </w:rPr>
        <w:t>A revision has been presented in response to the following MRG recommendation</w:t>
      </w:r>
      <w:r w:rsidR="005A359D" w:rsidRPr="00936D28">
        <w:rPr>
          <w:rFonts w:asciiTheme="majorHAnsi" w:hAnsiTheme="majorHAnsi" w:cstheme="majorHAnsi"/>
          <w:sz w:val="22"/>
          <w:szCs w:val="22"/>
        </w:rPr>
        <w:t xml:space="preserve"> (9/01/14)</w:t>
      </w:r>
      <w:r w:rsidRPr="00936D28">
        <w:rPr>
          <w:rFonts w:asciiTheme="majorHAnsi" w:hAnsiTheme="majorHAnsi" w:cstheme="majorHAnsi"/>
          <w:sz w:val="22"/>
          <w:szCs w:val="22"/>
        </w:rPr>
        <w:t>:</w:t>
      </w:r>
    </w:p>
    <w:p w14:paraId="5F1644DC" w14:textId="4EA93812" w:rsidR="00985BD5" w:rsidRPr="00936D28" w:rsidRDefault="005A359D" w:rsidP="00985BD5">
      <w:pPr>
        <w:rPr>
          <w:rFonts w:asciiTheme="majorHAnsi" w:hAnsiTheme="majorHAnsi" w:cstheme="majorHAnsi"/>
          <w:b/>
          <w:sz w:val="22"/>
          <w:szCs w:val="22"/>
        </w:rPr>
      </w:pPr>
      <w:r w:rsidRPr="00936D28">
        <w:rPr>
          <w:rFonts w:asciiTheme="majorHAnsi" w:hAnsiTheme="majorHAnsi" w:cstheme="majorHAnsi"/>
          <w:b/>
          <w:sz w:val="22"/>
          <w:szCs w:val="22"/>
        </w:rPr>
        <w:t>“Further consideration is to be given to the methodology with regards to the output of the guidance on approaches to standardisation workshop that is being arranged following discussions earlier in the meeting.”</w:t>
      </w:r>
    </w:p>
    <w:tbl>
      <w:tblPr>
        <w:tblStyle w:val="TableGrid"/>
        <w:tblW w:w="9923" w:type="dxa"/>
        <w:tblLayout w:type="fixed"/>
        <w:tblLook w:val="01E0" w:firstRow="1" w:lastRow="1" w:firstColumn="1" w:lastColumn="1" w:noHBand="0" w:noVBand="0"/>
      </w:tblPr>
      <w:tblGrid>
        <w:gridCol w:w="1701"/>
        <w:gridCol w:w="8222"/>
      </w:tblGrid>
      <w:tr w:rsidR="00460B4E" w:rsidRPr="00936D28" w14:paraId="455DDF73" w14:textId="77777777" w:rsidTr="002F05F5">
        <w:tc>
          <w:tcPr>
            <w:tcW w:w="1701" w:type="dxa"/>
          </w:tcPr>
          <w:p w14:paraId="745C9724" w14:textId="77777777" w:rsidR="00C62A77" w:rsidRPr="00936D28" w:rsidRDefault="007D13A1" w:rsidP="00C62A77">
            <w:p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br w:type="page"/>
            </w:r>
            <w:r w:rsidR="00C62A77" w:rsidRPr="00936D28">
              <w:rPr>
                <w:rFonts w:asciiTheme="majorHAnsi" w:hAnsiTheme="majorHAnsi" w:cstheme="majorHAnsi"/>
                <w:sz w:val="22"/>
                <w:szCs w:val="22"/>
              </w:rPr>
              <w:t>Indicator Title</w:t>
            </w:r>
          </w:p>
        </w:tc>
        <w:tc>
          <w:tcPr>
            <w:tcW w:w="8222" w:type="dxa"/>
          </w:tcPr>
          <w:p w14:paraId="1F1F3D83" w14:textId="77777777" w:rsidR="00C62A77" w:rsidRPr="00936D28" w:rsidRDefault="00C62A77" w:rsidP="00C62A77">
            <w:p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t xml:space="preserve">Unplanned readmissions to Mental Health Services within 30 days of a Mental Health inpatient discharge in people aged 17 and over. </w:t>
            </w:r>
          </w:p>
          <w:p w14:paraId="0C87809E" w14:textId="77777777" w:rsidR="00C62A77" w:rsidRPr="00936D28" w:rsidRDefault="00C62A77" w:rsidP="00C62A77">
            <w:pPr>
              <w:spacing w:after="0"/>
              <w:textboxTightWrap w:val="none"/>
              <w:rPr>
                <w:rFonts w:asciiTheme="majorHAnsi" w:hAnsiTheme="majorHAnsi" w:cstheme="majorHAnsi"/>
                <w:sz w:val="22"/>
                <w:szCs w:val="22"/>
              </w:rPr>
            </w:pPr>
          </w:p>
        </w:tc>
      </w:tr>
      <w:tr w:rsidR="00460B4E" w:rsidRPr="00936D28" w14:paraId="15830991" w14:textId="77777777" w:rsidTr="002F05F5">
        <w:tc>
          <w:tcPr>
            <w:tcW w:w="1701" w:type="dxa"/>
          </w:tcPr>
          <w:p w14:paraId="3D522581" w14:textId="77777777" w:rsidR="00C62A77" w:rsidRPr="00936D28" w:rsidRDefault="00C62A77" w:rsidP="00C62A77">
            <w:p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t>Data source</w:t>
            </w:r>
          </w:p>
        </w:tc>
        <w:tc>
          <w:tcPr>
            <w:tcW w:w="8222" w:type="dxa"/>
          </w:tcPr>
          <w:p w14:paraId="1375A0D4" w14:textId="77777777" w:rsidR="00C62A77" w:rsidRPr="00936D28" w:rsidRDefault="00C62A77" w:rsidP="00C62A77">
            <w:p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t>MHMDS</w:t>
            </w:r>
          </w:p>
          <w:p w14:paraId="22A7AC20" w14:textId="77777777" w:rsidR="00C62A77" w:rsidRPr="00936D28" w:rsidRDefault="00C62A77" w:rsidP="00C62A77">
            <w:pPr>
              <w:spacing w:after="0"/>
              <w:textboxTightWrap w:val="none"/>
              <w:rPr>
                <w:rFonts w:asciiTheme="majorHAnsi" w:hAnsiTheme="majorHAnsi" w:cstheme="majorHAnsi"/>
                <w:sz w:val="22"/>
                <w:szCs w:val="22"/>
              </w:rPr>
            </w:pPr>
          </w:p>
        </w:tc>
      </w:tr>
      <w:tr w:rsidR="00460B4E" w:rsidRPr="00936D28" w14:paraId="23CC2311" w14:textId="77777777" w:rsidTr="000E1578">
        <w:trPr>
          <w:trHeight w:val="77"/>
        </w:trPr>
        <w:tc>
          <w:tcPr>
            <w:tcW w:w="1701" w:type="dxa"/>
          </w:tcPr>
          <w:p w14:paraId="5F12AD28" w14:textId="77777777" w:rsidR="00C62A77" w:rsidRPr="00936D28" w:rsidRDefault="00C62A77" w:rsidP="00C62A77">
            <w:p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br w:type="page"/>
              <w:t>Construction</w:t>
            </w:r>
          </w:p>
        </w:tc>
        <w:tc>
          <w:tcPr>
            <w:tcW w:w="8222" w:type="dxa"/>
          </w:tcPr>
          <w:p w14:paraId="6A89BB2F" w14:textId="77777777" w:rsidR="00C62A77" w:rsidRPr="00936D28" w:rsidRDefault="00C62A77" w:rsidP="00C62A77">
            <w:pPr>
              <w:spacing w:after="0"/>
              <w:textboxTightWrap w:val="none"/>
              <w:rPr>
                <w:rFonts w:asciiTheme="majorHAnsi" w:hAnsiTheme="majorHAnsi" w:cstheme="majorHAnsi"/>
                <w:b/>
                <w:i/>
                <w:sz w:val="22"/>
                <w:szCs w:val="22"/>
              </w:rPr>
            </w:pPr>
            <w:r w:rsidRPr="00936D28">
              <w:rPr>
                <w:rFonts w:asciiTheme="majorHAnsi" w:hAnsiTheme="majorHAnsi" w:cstheme="majorHAnsi"/>
                <w:b/>
                <w:i/>
                <w:sz w:val="22"/>
                <w:szCs w:val="22"/>
              </w:rPr>
              <w:t>Summary description of the calculation:</w:t>
            </w:r>
          </w:p>
          <w:p w14:paraId="42CD2324" w14:textId="77777777" w:rsidR="00C62A77" w:rsidRPr="00936D28" w:rsidRDefault="00C62A77" w:rsidP="00C62A77">
            <w:p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t>A directly standardised rate per 1,000 discharges of people aged 17 and over at CCG level.</w:t>
            </w:r>
          </w:p>
          <w:p w14:paraId="52C9F504" w14:textId="77777777" w:rsidR="00C62A77" w:rsidRPr="00936D28" w:rsidRDefault="00C62A77" w:rsidP="00C62A77">
            <w:pPr>
              <w:spacing w:after="0"/>
              <w:textboxTightWrap w:val="none"/>
              <w:rPr>
                <w:rFonts w:asciiTheme="majorHAnsi" w:hAnsiTheme="majorHAnsi" w:cstheme="majorHAnsi"/>
                <w:sz w:val="22"/>
                <w:szCs w:val="22"/>
              </w:rPr>
            </w:pPr>
          </w:p>
          <w:p w14:paraId="28C98B99" w14:textId="77777777" w:rsidR="00C62A77" w:rsidRPr="00936D28" w:rsidRDefault="00C62A77" w:rsidP="00C62A77">
            <w:pPr>
              <w:spacing w:after="0"/>
              <w:textboxTightWrap w:val="none"/>
              <w:rPr>
                <w:rFonts w:asciiTheme="majorHAnsi" w:hAnsiTheme="majorHAnsi" w:cstheme="majorHAnsi"/>
                <w:sz w:val="22"/>
                <w:szCs w:val="22"/>
              </w:rPr>
            </w:pPr>
            <w:r w:rsidRPr="00936D28">
              <w:rPr>
                <w:rFonts w:asciiTheme="majorHAnsi" w:hAnsiTheme="majorHAnsi" w:cstheme="majorHAnsi"/>
                <w:b/>
                <w:i/>
                <w:sz w:val="22"/>
                <w:szCs w:val="22"/>
              </w:rPr>
              <w:t>Calculation type:</w:t>
            </w:r>
            <w:r w:rsidRPr="00936D28">
              <w:rPr>
                <w:rFonts w:asciiTheme="majorHAnsi" w:hAnsiTheme="majorHAnsi" w:cstheme="majorHAnsi"/>
                <w:sz w:val="22"/>
                <w:szCs w:val="22"/>
              </w:rPr>
              <w:t xml:space="preserve"> </w:t>
            </w:r>
          </w:p>
          <w:p w14:paraId="4C9B1C63" w14:textId="77777777" w:rsidR="005A359D" w:rsidRPr="00936D28" w:rsidRDefault="005A359D" w:rsidP="00C62A77">
            <w:pPr>
              <w:spacing w:after="0"/>
              <w:textboxTightWrap w:val="none"/>
              <w:rPr>
                <w:rFonts w:asciiTheme="majorHAnsi" w:hAnsiTheme="majorHAnsi" w:cstheme="majorHAnsi"/>
                <w:sz w:val="22"/>
                <w:szCs w:val="22"/>
              </w:rPr>
            </w:pPr>
          </w:p>
          <w:p w14:paraId="495BDEC2" w14:textId="77777777" w:rsidR="00C62A77" w:rsidRPr="00936D28" w:rsidRDefault="00C62A77" w:rsidP="00C62A77">
            <w:p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t>Direct standardised rate by age and sex per 1,000 discharges at CCG level.</w:t>
            </w:r>
          </w:p>
          <w:p w14:paraId="647D8820" w14:textId="77777777" w:rsidR="00C62A77" w:rsidRPr="00936D28" w:rsidRDefault="00C62A77" w:rsidP="00C62A77">
            <w:pPr>
              <w:spacing w:after="0"/>
              <w:textboxTightWrap w:val="none"/>
              <w:rPr>
                <w:rFonts w:asciiTheme="majorHAnsi" w:hAnsiTheme="majorHAnsi" w:cstheme="majorHAnsi"/>
                <w:sz w:val="22"/>
                <w:szCs w:val="22"/>
              </w:rPr>
            </w:pPr>
          </w:p>
          <w:p w14:paraId="3EDC10B0" w14:textId="77777777" w:rsidR="00C62A77" w:rsidRPr="00936D28" w:rsidRDefault="00C62A77" w:rsidP="00C62A77">
            <w:pPr>
              <w:spacing w:after="0"/>
              <w:textboxTightWrap w:val="none"/>
              <w:rPr>
                <w:rFonts w:asciiTheme="majorHAnsi" w:hAnsiTheme="majorHAnsi" w:cstheme="majorHAnsi"/>
                <w:b/>
                <w:i/>
                <w:sz w:val="22"/>
                <w:szCs w:val="22"/>
              </w:rPr>
            </w:pPr>
            <w:r w:rsidRPr="00936D28">
              <w:rPr>
                <w:rFonts w:asciiTheme="majorHAnsi" w:hAnsiTheme="majorHAnsi" w:cstheme="majorHAnsi"/>
                <w:b/>
                <w:i/>
                <w:sz w:val="22"/>
                <w:szCs w:val="22"/>
              </w:rPr>
              <w:t>Denominator:</w:t>
            </w:r>
          </w:p>
          <w:p w14:paraId="35244C97" w14:textId="77777777" w:rsidR="005A359D" w:rsidRPr="00936D28" w:rsidRDefault="005A359D" w:rsidP="00C62A77">
            <w:pPr>
              <w:spacing w:after="0"/>
              <w:textboxTightWrap w:val="none"/>
              <w:rPr>
                <w:rFonts w:asciiTheme="majorHAnsi" w:hAnsiTheme="majorHAnsi" w:cstheme="majorHAnsi"/>
                <w:b/>
                <w:i/>
                <w:sz w:val="22"/>
                <w:szCs w:val="22"/>
              </w:rPr>
            </w:pPr>
          </w:p>
          <w:p w14:paraId="0B28C39C" w14:textId="77777777" w:rsidR="00C62A77" w:rsidRPr="00936D28" w:rsidRDefault="00C62A77" w:rsidP="00C62A77">
            <w:p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t>The number of inpatient discharges for those aged 17 and over from a general psychiatric hospital in the reporting period.</w:t>
            </w:r>
          </w:p>
          <w:p w14:paraId="35E4EFA5" w14:textId="77777777" w:rsidR="00C62A77" w:rsidRPr="00936D28" w:rsidRDefault="00C62A77" w:rsidP="00C62A77">
            <w:pPr>
              <w:spacing w:after="0"/>
              <w:textboxTightWrap w:val="none"/>
              <w:rPr>
                <w:rFonts w:asciiTheme="majorHAnsi" w:hAnsiTheme="majorHAnsi" w:cstheme="majorHAnsi"/>
                <w:sz w:val="22"/>
                <w:szCs w:val="22"/>
              </w:rPr>
            </w:pPr>
          </w:p>
          <w:p w14:paraId="2ACA5AB8" w14:textId="77777777" w:rsidR="00C62A77" w:rsidRPr="00936D28" w:rsidRDefault="00C62A77" w:rsidP="00C62A77">
            <w:p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t>Where a patient has more than one discharge in the reporting period, each discharge is counted separately</w:t>
            </w:r>
          </w:p>
          <w:p w14:paraId="30070D27" w14:textId="77777777" w:rsidR="00C62A77" w:rsidRPr="00936D28" w:rsidRDefault="00C62A77" w:rsidP="00C62A77">
            <w:pPr>
              <w:spacing w:after="0"/>
              <w:textboxTightWrap w:val="none"/>
              <w:rPr>
                <w:rFonts w:asciiTheme="majorHAnsi" w:hAnsiTheme="majorHAnsi" w:cstheme="majorHAnsi"/>
                <w:sz w:val="22"/>
                <w:szCs w:val="22"/>
              </w:rPr>
            </w:pPr>
          </w:p>
          <w:p w14:paraId="19904F83" w14:textId="77777777" w:rsidR="00C62A77" w:rsidRPr="00936D28" w:rsidRDefault="00C62A77" w:rsidP="00C62A77">
            <w:p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t>WHERE            MHD_Age between 17 and 90</w:t>
            </w:r>
          </w:p>
          <w:p w14:paraId="50470CDC" w14:textId="77777777" w:rsidR="00C62A77" w:rsidRPr="00936D28" w:rsidRDefault="00C62A77" w:rsidP="00C62A77">
            <w:p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t xml:space="preserve">                AND MHD_EpiType = 'PROSP'</w:t>
            </w:r>
          </w:p>
          <w:p w14:paraId="50C53D92" w14:textId="77777777" w:rsidR="00C62A77" w:rsidRPr="00936D28" w:rsidRDefault="00C62A77" w:rsidP="00C62A77">
            <w:p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t xml:space="preserve">                AND ep.MHD_EpiEnd_Date IS NOT NULL</w:t>
            </w:r>
          </w:p>
          <w:p w14:paraId="39D7E83A" w14:textId="77777777" w:rsidR="00C62A77" w:rsidRPr="00936D28" w:rsidRDefault="00C62A77" w:rsidP="00C62A77">
            <w:pPr>
              <w:spacing w:after="0"/>
              <w:textboxTightWrap w:val="none"/>
              <w:rPr>
                <w:rFonts w:asciiTheme="majorHAnsi" w:hAnsiTheme="majorHAnsi" w:cstheme="majorHAnsi"/>
                <w:b/>
                <w:i/>
                <w:sz w:val="22"/>
                <w:szCs w:val="22"/>
              </w:rPr>
            </w:pPr>
          </w:p>
          <w:p w14:paraId="2AF4B8E9" w14:textId="77777777" w:rsidR="00C62A77" w:rsidRPr="00936D28" w:rsidRDefault="00C62A77" w:rsidP="00C62A77">
            <w:pPr>
              <w:spacing w:after="0"/>
              <w:textboxTightWrap w:val="none"/>
              <w:rPr>
                <w:rFonts w:asciiTheme="majorHAnsi" w:hAnsiTheme="majorHAnsi" w:cstheme="majorHAnsi"/>
                <w:sz w:val="22"/>
                <w:szCs w:val="22"/>
              </w:rPr>
            </w:pPr>
            <w:r w:rsidRPr="00936D28">
              <w:rPr>
                <w:rFonts w:asciiTheme="majorHAnsi" w:hAnsiTheme="majorHAnsi" w:cstheme="majorHAnsi"/>
                <w:b/>
                <w:i/>
                <w:sz w:val="22"/>
                <w:szCs w:val="22"/>
              </w:rPr>
              <w:t>Numerator:</w:t>
            </w:r>
            <w:r w:rsidRPr="00936D28">
              <w:rPr>
                <w:rFonts w:asciiTheme="majorHAnsi" w:hAnsiTheme="majorHAnsi" w:cstheme="majorHAnsi"/>
                <w:sz w:val="22"/>
                <w:szCs w:val="22"/>
              </w:rPr>
              <w:t xml:space="preserve"> </w:t>
            </w:r>
          </w:p>
          <w:p w14:paraId="3A8FAE73" w14:textId="77777777" w:rsidR="005A359D" w:rsidRPr="00936D28" w:rsidRDefault="005A359D" w:rsidP="00C62A77">
            <w:pPr>
              <w:spacing w:after="0"/>
              <w:textboxTightWrap w:val="none"/>
              <w:rPr>
                <w:rFonts w:asciiTheme="majorHAnsi" w:hAnsiTheme="majorHAnsi" w:cstheme="majorHAnsi"/>
                <w:sz w:val="22"/>
                <w:szCs w:val="22"/>
              </w:rPr>
            </w:pPr>
          </w:p>
          <w:p w14:paraId="3F29A2C1" w14:textId="77777777" w:rsidR="00C62A77" w:rsidRPr="00936D28" w:rsidRDefault="00C62A77" w:rsidP="00C62A77">
            <w:p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t>Of people in the denominator, the number of emergency admissions that were preceded by an inpatient discharge from the same Mental Health inpatient service within 30 days.</w:t>
            </w:r>
          </w:p>
          <w:p w14:paraId="3B55ABCB" w14:textId="77777777" w:rsidR="00C62A77" w:rsidRPr="00936D28" w:rsidRDefault="00C62A77" w:rsidP="00C62A77">
            <w:pPr>
              <w:spacing w:after="0"/>
              <w:textboxTightWrap w:val="none"/>
              <w:rPr>
                <w:rFonts w:asciiTheme="majorHAnsi" w:hAnsiTheme="majorHAnsi" w:cstheme="majorHAnsi"/>
                <w:sz w:val="22"/>
                <w:szCs w:val="22"/>
              </w:rPr>
            </w:pPr>
          </w:p>
          <w:p w14:paraId="60AC50E1" w14:textId="77777777" w:rsidR="00C62A77" w:rsidRPr="00936D28" w:rsidRDefault="00C62A77" w:rsidP="00C62A77">
            <w:p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t>Exclusions:</w:t>
            </w:r>
          </w:p>
          <w:p w14:paraId="4DA7A22D" w14:textId="77777777" w:rsidR="00C62A77" w:rsidRPr="00936D28" w:rsidRDefault="00C62A77" w:rsidP="00936D28">
            <w:pPr>
              <w:numPr>
                <w:ilvl w:val="0"/>
                <w:numId w:val="7"/>
              </w:num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t>Patients with a booked or planned admission (admission types 11, 12, 13, 81)</w:t>
            </w:r>
          </w:p>
          <w:p w14:paraId="33057B67" w14:textId="77777777" w:rsidR="00C62A77" w:rsidRPr="00936D28" w:rsidRDefault="00C62A77" w:rsidP="00936D28">
            <w:pPr>
              <w:numPr>
                <w:ilvl w:val="0"/>
                <w:numId w:val="7"/>
              </w:num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t>Patients transferred to another provider</w:t>
            </w:r>
          </w:p>
          <w:p w14:paraId="745BFD33" w14:textId="77777777" w:rsidR="00C62A77" w:rsidRPr="00936D28" w:rsidRDefault="00C62A77" w:rsidP="00936D28">
            <w:pPr>
              <w:numPr>
                <w:ilvl w:val="0"/>
                <w:numId w:val="7"/>
              </w:num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t>Where the patient was under the age of 17 at the end of the RP</w:t>
            </w:r>
          </w:p>
          <w:p w14:paraId="080D851E" w14:textId="77777777" w:rsidR="00C62A77" w:rsidRPr="00936D28" w:rsidRDefault="00C62A77" w:rsidP="00936D28">
            <w:pPr>
              <w:numPr>
                <w:ilvl w:val="0"/>
                <w:numId w:val="7"/>
              </w:num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t>Where the inpatient discharge occurred more than 30 days before the emergency admission</w:t>
            </w:r>
          </w:p>
          <w:p w14:paraId="09B87F7B" w14:textId="77777777" w:rsidR="00C62A77" w:rsidRPr="00936D28" w:rsidRDefault="00C62A77" w:rsidP="00936D28">
            <w:pPr>
              <w:numPr>
                <w:ilvl w:val="0"/>
                <w:numId w:val="7"/>
              </w:num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t>Where the inpatient discharge was from another provider</w:t>
            </w:r>
          </w:p>
          <w:p w14:paraId="05FF5247" w14:textId="77777777" w:rsidR="00C62A77" w:rsidRPr="00936D28" w:rsidRDefault="00C62A77" w:rsidP="00936D28">
            <w:pPr>
              <w:numPr>
                <w:ilvl w:val="0"/>
                <w:numId w:val="7"/>
              </w:num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t>Where the method of discharge was 'patient died'.</w:t>
            </w:r>
          </w:p>
          <w:p w14:paraId="2F0410F0" w14:textId="77777777" w:rsidR="00C62A77" w:rsidRPr="00936D28" w:rsidRDefault="00C62A77" w:rsidP="00936D28">
            <w:pPr>
              <w:numPr>
                <w:ilvl w:val="0"/>
                <w:numId w:val="7"/>
              </w:num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lastRenderedPageBreak/>
              <w:t>There must also be an episode of type REF that is open or ends in the reporting period or the previous reporting period and not discharged due to transfer to another provider.</w:t>
            </w:r>
          </w:p>
          <w:p w14:paraId="4A0A81EE" w14:textId="77777777" w:rsidR="00C62A77" w:rsidRPr="00936D28" w:rsidRDefault="00C62A77" w:rsidP="00936D28">
            <w:pPr>
              <w:numPr>
                <w:ilvl w:val="0"/>
                <w:numId w:val="7"/>
              </w:num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t>The date of hospital discharge must not be the same as the date of referral discharge.</w:t>
            </w:r>
          </w:p>
          <w:p w14:paraId="102770E3" w14:textId="77777777" w:rsidR="00C62A77" w:rsidRPr="00936D28" w:rsidRDefault="00C62A77" w:rsidP="00936D28">
            <w:pPr>
              <w:numPr>
                <w:ilvl w:val="0"/>
                <w:numId w:val="7"/>
              </w:num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t>Based on the month before the reporting period (RP-1) because of the potential 30 day overlap between reporting periods.</w:t>
            </w:r>
          </w:p>
          <w:p w14:paraId="54227DBE" w14:textId="77777777" w:rsidR="00C62A77" w:rsidRPr="00936D28" w:rsidRDefault="00C62A77" w:rsidP="00C62A77">
            <w:pPr>
              <w:spacing w:after="0"/>
              <w:textboxTightWrap w:val="none"/>
              <w:rPr>
                <w:rFonts w:asciiTheme="majorHAnsi" w:hAnsiTheme="majorHAnsi" w:cstheme="majorHAnsi"/>
                <w:sz w:val="22"/>
                <w:szCs w:val="22"/>
              </w:rPr>
            </w:pPr>
          </w:p>
          <w:p w14:paraId="4A3ED497" w14:textId="77777777" w:rsidR="00C62A77" w:rsidRPr="00936D28" w:rsidRDefault="00C62A77" w:rsidP="00C62A77">
            <w:pPr>
              <w:spacing w:after="0"/>
              <w:textboxTightWrap w:val="none"/>
              <w:rPr>
                <w:rFonts w:asciiTheme="majorHAnsi" w:hAnsiTheme="majorHAnsi" w:cstheme="majorHAnsi"/>
                <w:b/>
                <w:i/>
                <w:sz w:val="22"/>
                <w:szCs w:val="22"/>
              </w:rPr>
            </w:pPr>
            <w:r w:rsidRPr="00936D28">
              <w:rPr>
                <w:rFonts w:asciiTheme="majorHAnsi" w:hAnsiTheme="majorHAnsi" w:cstheme="majorHAnsi"/>
                <w:b/>
                <w:i/>
                <w:sz w:val="22"/>
                <w:szCs w:val="22"/>
              </w:rPr>
              <w:t>Statistical Methods / Risk adjustment variables:</w:t>
            </w:r>
          </w:p>
          <w:p w14:paraId="4CD8F72F" w14:textId="77777777" w:rsidR="005A359D" w:rsidRPr="00936D28" w:rsidRDefault="005A359D" w:rsidP="00C62A77">
            <w:pPr>
              <w:spacing w:after="0"/>
              <w:textboxTightWrap w:val="none"/>
              <w:rPr>
                <w:rFonts w:asciiTheme="majorHAnsi" w:hAnsiTheme="majorHAnsi" w:cstheme="majorHAnsi"/>
                <w:b/>
                <w:i/>
                <w:sz w:val="22"/>
                <w:szCs w:val="22"/>
              </w:rPr>
            </w:pPr>
          </w:p>
          <w:p w14:paraId="136FB651" w14:textId="77777777" w:rsidR="00C62A77" w:rsidRPr="00936D28" w:rsidRDefault="00C62A77" w:rsidP="00C62A77">
            <w:p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t xml:space="preserve">It is proposed that direct standardisation by age and sex be used for this indicator, this would align to other indicators within the CCG OIS. </w:t>
            </w:r>
          </w:p>
          <w:p w14:paraId="3FB1F1D4" w14:textId="77777777" w:rsidR="00C62A77" w:rsidRPr="00936D28" w:rsidRDefault="00C62A77" w:rsidP="00C62A77">
            <w:pPr>
              <w:spacing w:after="0"/>
              <w:textboxTightWrap w:val="none"/>
              <w:rPr>
                <w:rFonts w:asciiTheme="majorHAnsi" w:hAnsiTheme="majorHAnsi" w:cstheme="majorHAnsi"/>
                <w:sz w:val="22"/>
                <w:szCs w:val="22"/>
              </w:rPr>
            </w:pPr>
          </w:p>
          <w:p w14:paraId="289738E5" w14:textId="77777777" w:rsidR="00C62A77" w:rsidRPr="00936D28" w:rsidRDefault="00C62A77" w:rsidP="00C62A77">
            <w:p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t>The directly age-standardised rate (DSR) is the rate of events that would occur in a standard population if that population were to experience the age-specific rates of the subject population. The age-specific rates of the subject population are applied to the age structure of the standard population.</w:t>
            </w:r>
          </w:p>
          <w:p w14:paraId="4C6E6BBA" w14:textId="77777777" w:rsidR="00C62A77" w:rsidRPr="00936D28" w:rsidRDefault="00C62A77" w:rsidP="00C62A77">
            <w:pPr>
              <w:spacing w:after="0"/>
              <w:jc w:val="center"/>
              <w:textboxTightWrap w:val="none"/>
              <w:rPr>
                <w:rFonts w:asciiTheme="majorHAnsi" w:hAnsiTheme="majorHAnsi" w:cstheme="majorHAnsi"/>
                <w:sz w:val="22"/>
                <w:szCs w:val="22"/>
              </w:rPr>
            </w:pPr>
            <w:r w:rsidRPr="00936D28">
              <w:rPr>
                <w:rFonts w:asciiTheme="majorHAnsi" w:hAnsiTheme="majorHAnsi" w:cstheme="majorHAnsi"/>
                <w:noProof/>
                <w:sz w:val="22"/>
                <w:szCs w:val="22"/>
              </w:rPr>
              <w:drawing>
                <wp:inline distT="0" distB="0" distL="0" distR="0" wp14:anchorId="51BD0000" wp14:editId="41D8A02F">
                  <wp:extent cx="1478915" cy="564515"/>
                  <wp:effectExtent l="0" t="0" r="6985" b="6985"/>
                  <wp:docPr id="6" name="Picture 6" descr="formula for calculation of directly standardised rate by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8915" cy="564515"/>
                          </a:xfrm>
                          <a:prstGeom prst="rect">
                            <a:avLst/>
                          </a:prstGeom>
                          <a:noFill/>
                          <a:ln>
                            <a:noFill/>
                          </a:ln>
                        </pic:spPr>
                      </pic:pic>
                    </a:graphicData>
                  </a:graphic>
                </wp:inline>
              </w:drawing>
            </w:r>
          </w:p>
          <w:p w14:paraId="4327A3CC" w14:textId="77777777" w:rsidR="00C62A77" w:rsidRPr="00936D28" w:rsidRDefault="00C62A77" w:rsidP="00C62A77">
            <w:p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t>where:</w:t>
            </w:r>
          </w:p>
          <w:p w14:paraId="62C3B228" w14:textId="77777777" w:rsidR="00C62A77" w:rsidRPr="00936D28" w:rsidRDefault="00C62A77" w:rsidP="00C62A77">
            <w:pPr>
              <w:spacing w:after="0"/>
              <w:textboxTightWrap w:val="none"/>
              <w:rPr>
                <w:rFonts w:asciiTheme="majorHAnsi" w:hAnsiTheme="majorHAnsi" w:cstheme="majorHAnsi"/>
                <w:sz w:val="22"/>
                <w:szCs w:val="22"/>
              </w:rPr>
            </w:pPr>
            <w:r w:rsidRPr="00936D28">
              <w:rPr>
                <w:rFonts w:asciiTheme="majorHAnsi" w:hAnsiTheme="majorHAnsi" w:cstheme="majorHAnsi"/>
                <w:i/>
                <w:sz w:val="22"/>
                <w:szCs w:val="22"/>
              </w:rPr>
              <w:t>O</w:t>
            </w:r>
            <w:r w:rsidRPr="00936D28">
              <w:rPr>
                <w:rFonts w:asciiTheme="majorHAnsi" w:hAnsiTheme="majorHAnsi" w:cstheme="majorHAnsi"/>
                <w:i/>
                <w:sz w:val="22"/>
                <w:szCs w:val="22"/>
                <w:vertAlign w:val="subscript"/>
              </w:rPr>
              <w:t>i</w:t>
            </w:r>
            <w:r w:rsidRPr="00936D28">
              <w:rPr>
                <w:rFonts w:asciiTheme="majorHAnsi" w:hAnsiTheme="majorHAnsi" w:cstheme="majorHAnsi"/>
                <w:sz w:val="22"/>
                <w:szCs w:val="22"/>
              </w:rPr>
              <w:t xml:space="preserve"> is the observed number of events in the local or subject population in age group </w:t>
            </w:r>
            <w:r w:rsidRPr="00936D28">
              <w:rPr>
                <w:rFonts w:asciiTheme="majorHAnsi" w:hAnsiTheme="majorHAnsi" w:cstheme="majorHAnsi"/>
                <w:i/>
                <w:sz w:val="22"/>
                <w:szCs w:val="22"/>
              </w:rPr>
              <w:t>i</w:t>
            </w:r>
            <w:r w:rsidRPr="00936D28">
              <w:rPr>
                <w:rFonts w:asciiTheme="majorHAnsi" w:hAnsiTheme="majorHAnsi" w:cstheme="majorHAnsi"/>
                <w:sz w:val="22"/>
                <w:szCs w:val="22"/>
              </w:rPr>
              <w:t>;</w:t>
            </w:r>
          </w:p>
          <w:p w14:paraId="08969BB3" w14:textId="77777777" w:rsidR="00C62A77" w:rsidRPr="00936D28" w:rsidRDefault="00C62A77" w:rsidP="00C62A77">
            <w:pPr>
              <w:spacing w:after="0"/>
              <w:textboxTightWrap w:val="none"/>
              <w:rPr>
                <w:rFonts w:asciiTheme="majorHAnsi" w:hAnsiTheme="majorHAnsi" w:cstheme="majorHAnsi"/>
                <w:sz w:val="22"/>
                <w:szCs w:val="22"/>
              </w:rPr>
            </w:pPr>
            <w:r w:rsidRPr="00936D28">
              <w:rPr>
                <w:rFonts w:asciiTheme="majorHAnsi" w:hAnsiTheme="majorHAnsi" w:cstheme="majorHAnsi"/>
                <w:i/>
                <w:sz w:val="22"/>
                <w:szCs w:val="22"/>
              </w:rPr>
              <w:t>n</w:t>
            </w:r>
            <w:r w:rsidRPr="00936D28">
              <w:rPr>
                <w:rFonts w:asciiTheme="majorHAnsi" w:hAnsiTheme="majorHAnsi" w:cstheme="majorHAnsi"/>
                <w:i/>
                <w:sz w:val="22"/>
                <w:szCs w:val="22"/>
                <w:vertAlign w:val="subscript"/>
              </w:rPr>
              <w:t>i</w:t>
            </w:r>
            <w:r w:rsidRPr="00936D28">
              <w:rPr>
                <w:rFonts w:asciiTheme="majorHAnsi" w:hAnsiTheme="majorHAnsi" w:cstheme="majorHAnsi"/>
                <w:sz w:val="22"/>
                <w:szCs w:val="22"/>
              </w:rPr>
              <w:t xml:space="preserve"> is the number of individuals in the local or subject denominator population in age group </w:t>
            </w:r>
            <w:r w:rsidRPr="00936D28">
              <w:rPr>
                <w:rFonts w:asciiTheme="majorHAnsi" w:hAnsiTheme="majorHAnsi" w:cstheme="majorHAnsi"/>
                <w:i/>
                <w:sz w:val="22"/>
                <w:szCs w:val="22"/>
              </w:rPr>
              <w:t>i</w:t>
            </w:r>
            <w:r w:rsidRPr="00936D28">
              <w:rPr>
                <w:rFonts w:asciiTheme="majorHAnsi" w:hAnsiTheme="majorHAnsi" w:cstheme="majorHAnsi"/>
                <w:sz w:val="22"/>
                <w:szCs w:val="22"/>
              </w:rPr>
              <w:t>, or the population × period at risk (e.g. 'person-years');</w:t>
            </w:r>
          </w:p>
          <w:p w14:paraId="14DFDC79" w14:textId="77777777" w:rsidR="00C62A77" w:rsidRPr="00936D28" w:rsidRDefault="00C62A77" w:rsidP="00C62A77">
            <w:pPr>
              <w:spacing w:after="0"/>
              <w:textboxTightWrap w:val="none"/>
              <w:rPr>
                <w:rFonts w:asciiTheme="majorHAnsi" w:hAnsiTheme="majorHAnsi" w:cstheme="majorHAnsi"/>
                <w:sz w:val="22"/>
                <w:szCs w:val="22"/>
              </w:rPr>
            </w:pPr>
            <w:r w:rsidRPr="00936D28">
              <w:rPr>
                <w:rFonts w:asciiTheme="majorHAnsi" w:hAnsiTheme="majorHAnsi" w:cstheme="majorHAnsi"/>
                <w:i/>
                <w:sz w:val="22"/>
                <w:szCs w:val="22"/>
              </w:rPr>
              <w:t>w</w:t>
            </w:r>
            <w:r w:rsidRPr="00936D28">
              <w:rPr>
                <w:rFonts w:asciiTheme="majorHAnsi" w:hAnsiTheme="majorHAnsi" w:cstheme="majorHAnsi"/>
                <w:i/>
                <w:sz w:val="22"/>
                <w:szCs w:val="22"/>
                <w:vertAlign w:val="subscript"/>
              </w:rPr>
              <w:t>i</w:t>
            </w:r>
            <w:r w:rsidRPr="00936D28">
              <w:rPr>
                <w:rFonts w:asciiTheme="majorHAnsi" w:hAnsiTheme="majorHAnsi" w:cstheme="majorHAnsi"/>
                <w:sz w:val="22"/>
                <w:szCs w:val="22"/>
              </w:rPr>
              <w:t xml:space="preserve"> is the number (or proportion) of individuals in the reference or standard population in age group </w:t>
            </w:r>
            <w:r w:rsidRPr="00936D28">
              <w:rPr>
                <w:rFonts w:asciiTheme="majorHAnsi" w:hAnsiTheme="majorHAnsi" w:cstheme="majorHAnsi"/>
                <w:i/>
                <w:sz w:val="22"/>
                <w:szCs w:val="22"/>
              </w:rPr>
              <w:t>i</w:t>
            </w:r>
            <w:r w:rsidRPr="00936D28">
              <w:rPr>
                <w:rFonts w:asciiTheme="majorHAnsi" w:hAnsiTheme="majorHAnsi" w:cstheme="majorHAnsi"/>
                <w:sz w:val="22"/>
                <w:szCs w:val="22"/>
              </w:rPr>
              <w:t>.</w:t>
            </w:r>
          </w:p>
          <w:p w14:paraId="6B19DB81" w14:textId="77777777" w:rsidR="00C62A77" w:rsidRPr="00936D28" w:rsidRDefault="00C62A77" w:rsidP="00C62A77">
            <w:pPr>
              <w:spacing w:after="0"/>
              <w:textboxTightWrap w:val="none"/>
              <w:rPr>
                <w:rFonts w:asciiTheme="majorHAnsi" w:hAnsiTheme="majorHAnsi" w:cstheme="majorHAnsi"/>
                <w:sz w:val="22"/>
                <w:szCs w:val="22"/>
              </w:rPr>
            </w:pPr>
          </w:p>
          <w:p w14:paraId="5A06E3FD" w14:textId="77777777" w:rsidR="00C62A77" w:rsidRPr="00936D28" w:rsidRDefault="00C62A77" w:rsidP="00C62A77">
            <w:p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t>The standard population used for the direct method is the number of discharges from a general psychiatric hospital. The age-groups used are: 17-24, 25-34, 35-44, 45-54, 55-64, 65-74, 75+.</w:t>
            </w:r>
          </w:p>
          <w:p w14:paraId="556551FA" w14:textId="77777777" w:rsidR="00C62A77" w:rsidRPr="00936D28" w:rsidRDefault="00C62A77" w:rsidP="00C62A77">
            <w:pPr>
              <w:spacing w:after="0"/>
              <w:textboxTightWrap w:val="none"/>
              <w:rPr>
                <w:rFonts w:asciiTheme="majorHAnsi" w:hAnsiTheme="majorHAnsi" w:cstheme="majorHAnsi"/>
                <w:sz w:val="22"/>
                <w:szCs w:val="22"/>
              </w:rPr>
            </w:pPr>
          </w:p>
          <w:p w14:paraId="2B06C155" w14:textId="77777777" w:rsidR="00C62A77" w:rsidRPr="00936D28" w:rsidRDefault="00C62A77" w:rsidP="00C62A77">
            <w:p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t>The DSR is given as a rate per 1,000 discharges from a general psychiatric hospital.</w:t>
            </w:r>
          </w:p>
          <w:p w14:paraId="3D33A7BB" w14:textId="77777777" w:rsidR="00C62A77" w:rsidRPr="00936D28" w:rsidRDefault="00C62A77" w:rsidP="00C62A77">
            <w:pPr>
              <w:spacing w:after="0"/>
              <w:textboxTightWrap w:val="none"/>
              <w:rPr>
                <w:rFonts w:asciiTheme="majorHAnsi" w:hAnsiTheme="majorHAnsi" w:cstheme="majorHAnsi"/>
                <w:sz w:val="22"/>
                <w:szCs w:val="22"/>
              </w:rPr>
            </w:pPr>
          </w:p>
          <w:p w14:paraId="01B68036" w14:textId="65C3EEFC" w:rsidR="00C62A77" w:rsidRPr="00936D28" w:rsidRDefault="00C62A77" w:rsidP="00C62A77">
            <w:p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t>95% confidence intervals are calculated using Dobson's</w:t>
            </w:r>
            <w:r w:rsidRPr="00936D28">
              <w:rPr>
                <w:rFonts w:asciiTheme="majorHAnsi" w:hAnsiTheme="majorHAnsi" w:cstheme="majorHAnsi"/>
                <w:sz w:val="22"/>
                <w:szCs w:val="22"/>
                <w:vertAlign w:val="superscript"/>
              </w:rPr>
              <w:t>1</w:t>
            </w:r>
            <w:r w:rsidRPr="00936D28">
              <w:rPr>
                <w:rFonts w:asciiTheme="majorHAnsi" w:hAnsiTheme="majorHAnsi" w:cstheme="majorHAnsi"/>
                <w:sz w:val="22"/>
                <w:szCs w:val="22"/>
              </w:rPr>
              <w:t xml:space="preserve"> and Byar's</w:t>
            </w:r>
            <w:r w:rsidRPr="00936D28">
              <w:rPr>
                <w:rFonts w:asciiTheme="majorHAnsi" w:hAnsiTheme="majorHAnsi" w:cstheme="majorHAnsi"/>
                <w:sz w:val="22"/>
                <w:szCs w:val="22"/>
                <w:vertAlign w:val="superscript"/>
              </w:rPr>
              <w:t>2</w:t>
            </w:r>
            <w:r w:rsidRPr="00936D28">
              <w:rPr>
                <w:rFonts w:asciiTheme="majorHAnsi" w:hAnsiTheme="majorHAnsi" w:cstheme="majorHAnsi"/>
                <w:sz w:val="22"/>
                <w:szCs w:val="22"/>
              </w:rPr>
              <w:t xml:space="preserve"> methods.  Byar’s method is recommended for larger counts and the exact method based on the Poisson distribution for small </w:t>
            </w:r>
            <w:r w:rsidR="00936D28" w:rsidRPr="00936D28">
              <w:rPr>
                <w:rFonts w:asciiTheme="majorHAnsi" w:hAnsiTheme="majorHAnsi" w:cstheme="majorHAnsi"/>
                <w:sz w:val="22"/>
                <w:szCs w:val="22"/>
              </w:rPr>
              <w:t>counts,</w:t>
            </w:r>
            <w:r w:rsidRPr="00936D28">
              <w:rPr>
                <w:rFonts w:asciiTheme="majorHAnsi" w:hAnsiTheme="majorHAnsi" w:cstheme="majorHAnsi"/>
                <w:sz w:val="22"/>
                <w:szCs w:val="22"/>
              </w:rPr>
              <w:t xml:space="preserve"> where Byar’s method is not quite as accurate. The formulae are:</w:t>
            </w:r>
          </w:p>
          <w:p w14:paraId="516151D6" w14:textId="77777777" w:rsidR="00C62A77" w:rsidRPr="00936D28" w:rsidRDefault="00C62A77" w:rsidP="00C62A77">
            <w:pPr>
              <w:spacing w:after="0"/>
              <w:textboxTightWrap w:val="none"/>
              <w:rPr>
                <w:rFonts w:asciiTheme="majorHAnsi" w:hAnsiTheme="majorHAnsi" w:cstheme="majorHAnsi"/>
                <w:sz w:val="22"/>
                <w:szCs w:val="22"/>
              </w:rPr>
            </w:pPr>
          </w:p>
          <w:p w14:paraId="1D8D5DC2" w14:textId="77777777" w:rsidR="00C62A77" w:rsidRPr="00936D28" w:rsidRDefault="002F05F5" w:rsidP="00C62A77">
            <w:pPr>
              <w:spacing w:after="0"/>
              <w:textboxTightWrap w:val="none"/>
              <w:rPr>
                <w:rFonts w:asciiTheme="majorHAnsi" w:hAnsiTheme="majorHAnsi" w:cstheme="majorHAnsi"/>
                <w:sz w:val="22"/>
                <w:szCs w:val="22"/>
              </w:rPr>
            </w:pPr>
            <m:oMathPara>
              <m:oMath>
                <m:sSub>
                  <m:sSubPr>
                    <m:ctrlPr>
                      <w:rPr>
                        <w:rFonts w:ascii="Cambria Math" w:hAnsi="Cambria Math" w:cstheme="majorHAnsi"/>
                        <w:i/>
                        <w:iCs/>
                        <w:sz w:val="22"/>
                        <w:szCs w:val="22"/>
                      </w:rPr>
                    </m:ctrlPr>
                  </m:sSubPr>
                  <m:e>
                    <m:r>
                      <w:rPr>
                        <w:rFonts w:ascii="Cambria Math" w:hAnsi="Cambria Math" w:cstheme="majorHAnsi"/>
                        <w:sz w:val="22"/>
                        <w:szCs w:val="22"/>
                      </w:rPr>
                      <m:t>DSR</m:t>
                    </m:r>
                  </m:e>
                  <m:sub>
                    <m:r>
                      <w:rPr>
                        <w:rFonts w:ascii="Cambria Math" w:hAnsi="Cambria Math" w:cstheme="majorHAnsi"/>
                        <w:sz w:val="22"/>
                        <w:szCs w:val="22"/>
                      </w:rPr>
                      <m:t>lower</m:t>
                    </m:r>
                  </m:sub>
                </m:sSub>
                <m:r>
                  <w:rPr>
                    <w:rFonts w:ascii="Cambria Math" w:hAnsi="Cambria Math" w:cstheme="majorHAnsi"/>
                    <w:sz w:val="22"/>
                    <w:szCs w:val="22"/>
                  </w:rPr>
                  <m:t>=DSR+</m:t>
                </m:r>
                <m:rad>
                  <m:radPr>
                    <m:degHide m:val="1"/>
                    <m:ctrlPr>
                      <w:rPr>
                        <w:rFonts w:ascii="Cambria Math" w:hAnsi="Cambria Math" w:cstheme="majorHAnsi"/>
                        <w:i/>
                        <w:iCs/>
                        <w:sz w:val="22"/>
                        <w:szCs w:val="22"/>
                      </w:rPr>
                    </m:ctrlPr>
                  </m:radPr>
                  <m:deg/>
                  <m:e>
                    <m:f>
                      <m:fPr>
                        <m:ctrlPr>
                          <w:rPr>
                            <w:rFonts w:ascii="Cambria Math" w:hAnsi="Cambria Math" w:cstheme="majorHAnsi"/>
                            <w:i/>
                            <w:iCs/>
                            <w:sz w:val="22"/>
                            <w:szCs w:val="22"/>
                          </w:rPr>
                        </m:ctrlPr>
                      </m:fPr>
                      <m:num>
                        <m:r>
                          <w:rPr>
                            <w:rFonts w:ascii="Cambria Math" w:hAnsi="Cambria Math" w:cstheme="majorHAnsi"/>
                            <w:sz w:val="22"/>
                            <w:szCs w:val="22"/>
                          </w:rPr>
                          <m:t>Var(DSR)</m:t>
                        </m:r>
                      </m:num>
                      <m:den>
                        <m:r>
                          <w:rPr>
                            <w:rFonts w:ascii="Cambria Math" w:hAnsi="Cambria Math" w:cstheme="majorHAnsi"/>
                            <w:sz w:val="22"/>
                            <w:szCs w:val="22"/>
                          </w:rPr>
                          <m:t>Var(O)</m:t>
                        </m:r>
                      </m:den>
                    </m:f>
                  </m:e>
                </m:rad>
                <m:d>
                  <m:dPr>
                    <m:ctrlPr>
                      <w:rPr>
                        <w:rFonts w:ascii="Cambria Math" w:hAnsi="Cambria Math" w:cstheme="majorHAnsi"/>
                        <w:i/>
                        <w:iCs/>
                        <w:sz w:val="22"/>
                        <w:szCs w:val="22"/>
                      </w:rPr>
                    </m:ctrlPr>
                  </m:dPr>
                  <m:e>
                    <m:sSup>
                      <m:sSupPr>
                        <m:ctrlPr>
                          <w:rPr>
                            <w:rFonts w:ascii="Cambria Math" w:hAnsi="Cambria Math" w:cstheme="majorHAnsi"/>
                            <w:i/>
                            <w:iCs/>
                            <w:sz w:val="22"/>
                            <w:szCs w:val="22"/>
                          </w:rPr>
                        </m:ctrlPr>
                      </m:sSupPr>
                      <m:e>
                        <m:r>
                          <w:rPr>
                            <w:rFonts w:ascii="Cambria Math" w:hAnsi="Cambria Math" w:cstheme="majorHAnsi"/>
                            <w:sz w:val="22"/>
                            <w:szCs w:val="22"/>
                          </w:rPr>
                          <m:t>O</m:t>
                        </m:r>
                        <m:d>
                          <m:dPr>
                            <m:ctrlPr>
                              <w:rPr>
                                <w:rFonts w:ascii="Cambria Math" w:hAnsi="Cambria Math" w:cstheme="majorHAnsi"/>
                                <w:i/>
                                <w:iCs/>
                                <w:sz w:val="22"/>
                                <w:szCs w:val="22"/>
                              </w:rPr>
                            </m:ctrlPr>
                          </m:dPr>
                          <m:e>
                            <m:r>
                              <w:rPr>
                                <w:rFonts w:ascii="Cambria Math" w:hAnsi="Cambria Math" w:cstheme="majorHAnsi"/>
                                <w:sz w:val="22"/>
                                <w:szCs w:val="22"/>
                              </w:rPr>
                              <m:t>1-</m:t>
                            </m:r>
                            <m:f>
                              <m:fPr>
                                <m:ctrlPr>
                                  <w:rPr>
                                    <w:rFonts w:ascii="Cambria Math" w:hAnsi="Cambria Math" w:cstheme="majorHAnsi"/>
                                    <w:i/>
                                    <w:iCs/>
                                    <w:sz w:val="22"/>
                                    <w:szCs w:val="22"/>
                                  </w:rPr>
                                </m:ctrlPr>
                              </m:fPr>
                              <m:num>
                                <m:r>
                                  <w:rPr>
                                    <w:rFonts w:ascii="Cambria Math" w:hAnsi="Cambria Math" w:cstheme="majorHAnsi"/>
                                    <w:sz w:val="22"/>
                                    <w:szCs w:val="22"/>
                                  </w:rPr>
                                  <m:t>1</m:t>
                                </m:r>
                              </m:num>
                              <m:den>
                                <m:r>
                                  <w:rPr>
                                    <w:rFonts w:ascii="Cambria Math" w:hAnsi="Cambria Math" w:cstheme="majorHAnsi"/>
                                    <w:sz w:val="22"/>
                                    <w:szCs w:val="22"/>
                                  </w:rPr>
                                  <m:t>9O</m:t>
                                </m:r>
                              </m:den>
                            </m:f>
                            <m:r>
                              <w:rPr>
                                <w:rFonts w:ascii="Cambria Math" w:hAnsi="Cambria Math" w:cstheme="majorHAnsi"/>
                                <w:sz w:val="22"/>
                                <w:szCs w:val="22"/>
                              </w:rPr>
                              <m:t>-</m:t>
                            </m:r>
                            <m:f>
                              <m:fPr>
                                <m:ctrlPr>
                                  <w:rPr>
                                    <w:rFonts w:ascii="Cambria Math" w:hAnsi="Cambria Math" w:cstheme="majorHAnsi"/>
                                    <w:i/>
                                    <w:iCs/>
                                    <w:sz w:val="22"/>
                                    <w:szCs w:val="22"/>
                                  </w:rPr>
                                </m:ctrlPr>
                              </m:fPr>
                              <m:num>
                                <m:r>
                                  <w:rPr>
                                    <w:rFonts w:ascii="Cambria Math" w:hAnsi="Cambria Math" w:cstheme="majorHAnsi"/>
                                    <w:sz w:val="22"/>
                                    <w:szCs w:val="22"/>
                                  </w:rPr>
                                  <m:t>1.96</m:t>
                                </m:r>
                              </m:num>
                              <m:den>
                                <m:r>
                                  <w:rPr>
                                    <w:rFonts w:ascii="Cambria Math" w:hAnsi="Cambria Math" w:cstheme="majorHAnsi"/>
                                    <w:sz w:val="22"/>
                                    <w:szCs w:val="22"/>
                                  </w:rPr>
                                  <m:t>3</m:t>
                                </m:r>
                                <m:rad>
                                  <m:radPr>
                                    <m:degHide m:val="1"/>
                                    <m:ctrlPr>
                                      <w:rPr>
                                        <w:rFonts w:ascii="Cambria Math" w:hAnsi="Cambria Math" w:cstheme="majorHAnsi"/>
                                        <w:i/>
                                        <w:iCs/>
                                        <w:sz w:val="22"/>
                                        <w:szCs w:val="22"/>
                                      </w:rPr>
                                    </m:ctrlPr>
                                  </m:radPr>
                                  <m:deg/>
                                  <m:e>
                                    <m:r>
                                      <w:rPr>
                                        <w:rFonts w:ascii="Cambria Math" w:hAnsi="Cambria Math" w:cstheme="majorHAnsi"/>
                                        <w:sz w:val="22"/>
                                        <w:szCs w:val="22"/>
                                      </w:rPr>
                                      <m:t>O</m:t>
                                    </m:r>
                                  </m:e>
                                </m:rad>
                              </m:den>
                            </m:f>
                          </m:e>
                        </m:d>
                      </m:e>
                      <m:sup>
                        <m:r>
                          <w:rPr>
                            <w:rFonts w:ascii="Cambria Math" w:hAnsi="Cambria Math" w:cstheme="majorHAnsi"/>
                            <w:sz w:val="22"/>
                            <w:szCs w:val="22"/>
                          </w:rPr>
                          <m:t>3</m:t>
                        </m:r>
                      </m:sup>
                    </m:sSup>
                    <m:r>
                      <w:rPr>
                        <w:rFonts w:ascii="Cambria Math" w:hAnsi="Cambria Math" w:cstheme="majorHAnsi"/>
                        <w:sz w:val="22"/>
                        <w:szCs w:val="22"/>
                      </w:rPr>
                      <m:t>-O</m:t>
                    </m:r>
                  </m:e>
                </m:d>
              </m:oMath>
            </m:oMathPara>
          </w:p>
          <w:p w14:paraId="53528BE1" w14:textId="77777777" w:rsidR="00C62A77" w:rsidRPr="00936D28" w:rsidRDefault="00C62A77" w:rsidP="00C62A77">
            <w:pPr>
              <w:spacing w:after="0"/>
              <w:textboxTightWrap w:val="none"/>
              <w:rPr>
                <w:rFonts w:asciiTheme="majorHAnsi" w:hAnsiTheme="majorHAnsi" w:cstheme="majorHAnsi"/>
                <w:sz w:val="22"/>
                <w:szCs w:val="22"/>
              </w:rPr>
            </w:pPr>
          </w:p>
          <w:p w14:paraId="20CD1D9E" w14:textId="77777777" w:rsidR="00C62A77" w:rsidRPr="00936D28" w:rsidRDefault="002F05F5" w:rsidP="00C62A77">
            <w:pPr>
              <w:spacing w:after="0"/>
              <w:textboxTightWrap w:val="none"/>
              <w:rPr>
                <w:rFonts w:asciiTheme="majorHAnsi" w:hAnsiTheme="majorHAnsi" w:cstheme="majorHAnsi"/>
                <w:sz w:val="22"/>
                <w:szCs w:val="22"/>
              </w:rPr>
            </w:pPr>
            <m:oMathPara>
              <m:oMath>
                <m:sSub>
                  <m:sSubPr>
                    <m:ctrlPr>
                      <w:rPr>
                        <w:rFonts w:ascii="Cambria Math" w:hAnsi="Cambria Math" w:cstheme="majorHAnsi"/>
                        <w:i/>
                        <w:iCs/>
                        <w:sz w:val="22"/>
                        <w:szCs w:val="22"/>
                      </w:rPr>
                    </m:ctrlPr>
                  </m:sSubPr>
                  <m:e>
                    <m:r>
                      <w:rPr>
                        <w:rFonts w:ascii="Cambria Math" w:hAnsi="Cambria Math" w:cstheme="majorHAnsi"/>
                        <w:sz w:val="22"/>
                        <w:szCs w:val="22"/>
                      </w:rPr>
                      <m:t>DSR</m:t>
                    </m:r>
                  </m:e>
                  <m:sub>
                    <m:r>
                      <w:rPr>
                        <w:rFonts w:ascii="Cambria Math" w:hAnsi="Cambria Math" w:cstheme="majorHAnsi"/>
                        <w:sz w:val="22"/>
                        <w:szCs w:val="22"/>
                      </w:rPr>
                      <m:t>upper</m:t>
                    </m:r>
                  </m:sub>
                </m:sSub>
                <m:r>
                  <w:rPr>
                    <w:rFonts w:ascii="Cambria Math" w:hAnsi="Cambria Math" w:cstheme="majorHAnsi"/>
                    <w:sz w:val="22"/>
                    <w:szCs w:val="22"/>
                  </w:rPr>
                  <m:t>=DSR+</m:t>
                </m:r>
                <m:rad>
                  <m:radPr>
                    <m:degHide m:val="1"/>
                    <m:ctrlPr>
                      <w:rPr>
                        <w:rFonts w:ascii="Cambria Math" w:hAnsi="Cambria Math" w:cstheme="majorHAnsi"/>
                        <w:i/>
                        <w:iCs/>
                        <w:sz w:val="22"/>
                        <w:szCs w:val="22"/>
                      </w:rPr>
                    </m:ctrlPr>
                  </m:radPr>
                  <m:deg/>
                  <m:e>
                    <m:f>
                      <m:fPr>
                        <m:ctrlPr>
                          <w:rPr>
                            <w:rFonts w:ascii="Cambria Math" w:hAnsi="Cambria Math" w:cstheme="majorHAnsi"/>
                            <w:i/>
                            <w:iCs/>
                            <w:sz w:val="22"/>
                            <w:szCs w:val="22"/>
                          </w:rPr>
                        </m:ctrlPr>
                      </m:fPr>
                      <m:num>
                        <m:r>
                          <w:rPr>
                            <w:rFonts w:ascii="Cambria Math" w:hAnsi="Cambria Math" w:cstheme="majorHAnsi"/>
                            <w:sz w:val="22"/>
                            <w:szCs w:val="22"/>
                          </w:rPr>
                          <m:t>Var(DSR)</m:t>
                        </m:r>
                      </m:num>
                      <m:den>
                        <m:r>
                          <w:rPr>
                            <w:rFonts w:ascii="Cambria Math" w:hAnsi="Cambria Math" w:cstheme="majorHAnsi"/>
                            <w:sz w:val="22"/>
                            <w:szCs w:val="22"/>
                          </w:rPr>
                          <m:t>Var(O)</m:t>
                        </m:r>
                      </m:den>
                    </m:f>
                  </m:e>
                </m:rad>
                <m:d>
                  <m:dPr>
                    <m:ctrlPr>
                      <w:rPr>
                        <w:rFonts w:ascii="Cambria Math" w:hAnsi="Cambria Math" w:cstheme="majorHAnsi"/>
                        <w:i/>
                        <w:iCs/>
                        <w:sz w:val="22"/>
                        <w:szCs w:val="22"/>
                      </w:rPr>
                    </m:ctrlPr>
                  </m:dPr>
                  <m:e>
                    <m:r>
                      <w:rPr>
                        <w:rFonts w:ascii="Cambria Math" w:hAnsi="Cambria Math" w:cstheme="majorHAnsi"/>
                        <w:sz w:val="22"/>
                        <w:szCs w:val="22"/>
                      </w:rPr>
                      <m:t>(O+1)</m:t>
                    </m:r>
                    <m:sSup>
                      <m:sSupPr>
                        <m:ctrlPr>
                          <w:rPr>
                            <w:rFonts w:ascii="Cambria Math" w:hAnsi="Cambria Math" w:cstheme="majorHAnsi"/>
                            <w:i/>
                            <w:iCs/>
                            <w:sz w:val="22"/>
                            <w:szCs w:val="22"/>
                          </w:rPr>
                        </m:ctrlPr>
                      </m:sSupPr>
                      <m:e>
                        <m:d>
                          <m:dPr>
                            <m:ctrlPr>
                              <w:rPr>
                                <w:rFonts w:ascii="Cambria Math" w:hAnsi="Cambria Math" w:cstheme="majorHAnsi"/>
                                <w:i/>
                                <w:iCs/>
                                <w:sz w:val="22"/>
                                <w:szCs w:val="22"/>
                              </w:rPr>
                            </m:ctrlPr>
                          </m:dPr>
                          <m:e>
                            <m:r>
                              <w:rPr>
                                <w:rFonts w:ascii="Cambria Math" w:hAnsi="Cambria Math" w:cstheme="majorHAnsi"/>
                                <w:sz w:val="22"/>
                                <w:szCs w:val="22"/>
                              </w:rPr>
                              <m:t>1-</m:t>
                            </m:r>
                            <m:f>
                              <m:fPr>
                                <m:ctrlPr>
                                  <w:rPr>
                                    <w:rFonts w:ascii="Cambria Math" w:hAnsi="Cambria Math" w:cstheme="majorHAnsi"/>
                                    <w:i/>
                                    <w:iCs/>
                                    <w:sz w:val="22"/>
                                    <w:szCs w:val="22"/>
                                  </w:rPr>
                                </m:ctrlPr>
                              </m:fPr>
                              <m:num>
                                <m:r>
                                  <w:rPr>
                                    <w:rFonts w:ascii="Cambria Math" w:hAnsi="Cambria Math" w:cstheme="majorHAnsi"/>
                                    <w:sz w:val="22"/>
                                    <w:szCs w:val="22"/>
                                  </w:rPr>
                                  <m:t>1</m:t>
                                </m:r>
                              </m:num>
                              <m:den>
                                <m:r>
                                  <w:rPr>
                                    <w:rFonts w:ascii="Cambria Math" w:hAnsi="Cambria Math" w:cstheme="majorHAnsi"/>
                                    <w:sz w:val="22"/>
                                    <w:szCs w:val="22"/>
                                  </w:rPr>
                                  <m:t>9</m:t>
                                </m:r>
                                <m:d>
                                  <m:dPr>
                                    <m:ctrlPr>
                                      <w:rPr>
                                        <w:rFonts w:ascii="Cambria Math" w:hAnsi="Cambria Math" w:cstheme="majorHAnsi"/>
                                        <w:i/>
                                        <w:iCs/>
                                        <w:sz w:val="22"/>
                                        <w:szCs w:val="22"/>
                                      </w:rPr>
                                    </m:ctrlPr>
                                  </m:dPr>
                                  <m:e>
                                    <m:r>
                                      <w:rPr>
                                        <w:rFonts w:ascii="Cambria Math" w:hAnsi="Cambria Math" w:cstheme="majorHAnsi"/>
                                        <w:sz w:val="22"/>
                                        <w:szCs w:val="22"/>
                                      </w:rPr>
                                      <m:t>O+1</m:t>
                                    </m:r>
                                  </m:e>
                                </m:d>
                              </m:den>
                            </m:f>
                            <m:r>
                              <w:rPr>
                                <w:rFonts w:ascii="Cambria Math" w:hAnsi="Cambria Math" w:cstheme="majorHAnsi"/>
                                <w:sz w:val="22"/>
                                <w:szCs w:val="22"/>
                              </w:rPr>
                              <m:t>+</m:t>
                            </m:r>
                            <m:f>
                              <m:fPr>
                                <m:ctrlPr>
                                  <w:rPr>
                                    <w:rFonts w:ascii="Cambria Math" w:hAnsi="Cambria Math" w:cstheme="majorHAnsi"/>
                                    <w:i/>
                                    <w:iCs/>
                                    <w:sz w:val="22"/>
                                    <w:szCs w:val="22"/>
                                  </w:rPr>
                                </m:ctrlPr>
                              </m:fPr>
                              <m:num>
                                <m:r>
                                  <w:rPr>
                                    <w:rFonts w:ascii="Cambria Math" w:hAnsi="Cambria Math" w:cstheme="majorHAnsi"/>
                                    <w:sz w:val="22"/>
                                    <w:szCs w:val="22"/>
                                  </w:rPr>
                                  <m:t>1.96</m:t>
                                </m:r>
                              </m:num>
                              <m:den>
                                <m:r>
                                  <w:rPr>
                                    <w:rFonts w:ascii="Cambria Math" w:hAnsi="Cambria Math" w:cstheme="majorHAnsi"/>
                                    <w:sz w:val="22"/>
                                    <w:szCs w:val="22"/>
                                  </w:rPr>
                                  <m:t>3</m:t>
                                </m:r>
                                <m:rad>
                                  <m:radPr>
                                    <m:degHide m:val="1"/>
                                    <m:ctrlPr>
                                      <w:rPr>
                                        <w:rFonts w:ascii="Cambria Math" w:hAnsi="Cambria Math" w:cstheme="majorHAnsi"/>
                                        <w:i/>
                                        <w:iCs/>
                                        <w:sz w:val="22"/>
                                        <w:szCs w:val="22"/>
                                      </w:rPr>
                                    </m:ctrlPr>
                                  </m:radPr>
                                  <m:deg/>
                                  <m:e>
                                    <m:r>
                                      <w:rPr>
                                        <w:rFonts w:ascii="Cambria Math" w:hAnsi="Cambria Math" w:cstheme="majorHAnsi"/>
                                        <w:sz w:val="22"/>
                                        <w:szCs w:val="22"/>
                                      </w:rPr>
                                      <m:t>O+1</m:t>
                                    </m:r>
                                  </m:e>
                                </m:rad>
                              </m:den>
                            </m:f>
                          </m:e>
                        </m:d>
                      </m:e>
                      <m:sup>
                        <m:r>
                          <w:rPr>
                            <w:rFonts w:ascii="Cambria Math" w:hAnsi="Cambria Math" w:cstheme="majorHAnsi"/>
                            <w:sz w:val="22"/>
                            <w:szCs w:val="22"/>
                          </w:rPr>
                          <m:t>3</m:t>
                        </m:r>
                      </m:sup>
                    </m:sSup>
                    <m:r>
                      <w:rPr>
                        <w:rFonts w:ascii="Cambria Math" w:hAnsi="Cambria Math" w:cstheme="majorHAnsi"/>
                        <w:sz w:val="22"/>
                        <w:szCs w:val="22"/>
                      </w:rPr>
                      <m:t>-O</m:t>
                    </m:r>
                  </m:e>
                </m:d>
              </m:oMath>
            </m:oMathPara>
          </w:p>
          <w:p w14:paraId="77F5F8EF" w14:textId="77777777" w:rsidR="00C62A77" w:rsidRPr="00936D28" w:rsidRDefault="00C62A77" w:rsidP="00C62A77">
            <w:pPr>
              <w:spacing w:after="0"/>
              <w:textboxTightWrap w:val="none"/>
              <w:rPr>
                <w:rFonts w:asciiTheme="majorHAnsi" w:hAnsiTheme="majorHAnsi" w:cstheme="majorHAnsi"/>
                <w:sz w:val="22"/>
                <w:szCs w:val="22"/>
              </w:rPr>
            </w:pPr>
          </w:p>
          <w:p w14:paraId="325BCE0E" w14:textId="77777777" w:rsidR="00C62A77" w:rsidRPr="00936D28" w:rsidRDefault="00C62A77" w:rsidP="00C62A77">
            <w:p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t xml:space="preserve">where: </w:t>
            </w:r>
            <w:r w:rsidRPr="00936D28">
              <w:rPr>
                <w:rFonts w:asciiTheme="majorHAnsi" w:hAnsiTheme="majorHAnsi" w:cstheme="majorHAnsi"/>
                <w:i/>
                <w:sz w:val="22"/>
                <w:szCs w:val="22"/>
              </w:rPr>
              <w:t>O</w:t>
            </w:r>
            <w:r w:rsidRPr="00936D28">
              <w:rPr>
                <w:rFonts w:asciiTheme="majorHAnsi" w:hAnsiTheme="majorHAnsi" w:cstheme="majorHAnsi"/>
                <w:sz w:val="22"/>
                <w:szCs w:val="22"/>
              </w:rPr>
              <w:t xml:space="preserve"> is the total number of observed deaths in the subject population</w:t>
            </w:r>
          </w:p>
          <w:p w14:paraId="06FCB1DA" w14:textId="77777777" w:rsidR="00C62A77" w:rsidRPr="00936D28" w:rsidRDefault="00C62A77" w:rsidP="00C62A77">
            <w:pPr>
              <w:spacing w:after="0"/>
              <w:textboxTightWrap w:val="none"/>
              <w:rPr>
                <w:rFonts w:asciiTheme="majorHAnsi" w:hAnsiTheme="majorHAnsi" w:cstheme="majorHAnsi"/>
                <w:iCs/>
                <w:sz w:val="22"/>
                <w:szCs w:val="22"/>
              </w:rPr>
            </w:pPr>
            <m:oMathPara>
              <m:oMathParaPr>
                <m:jc m:val="centerGroup"/>
              </m:oMathParaPr>
              <m:oMath>
                <m:r>
                  <w:rPr>
                    <w:rFonts w:ascii="Cambria Math" w:hAnsi="Cambria Math" w:cstheme="majorHAnsi"/>
                    <w:sz w:val="22"/>
                    <w:szCs w:val="22"/>
                  </w:rPr>
                  <w:lastRenderedPageBreak/>
                  <m:t>Var(DSR)=</m:t>
                </m:r>
                <m:f>
                  <m:fPr>
                    <m:ctrlPr>
                      <w:rPr>
                        <w:rFonts w:ascii="Cambria Math" w:hAnsi="Cambria Math" w:cstheme="majorHAnsi"/>
                        <w:i/>
                        <w:iCs/>
                        <w:sz w:val="22"/>
                        <w:szCs w:val="22"/>
                      </w:rPr>
                    </m:ctrlPr>
                  </m:fPr>
                  <m:num>
                    <m:nary>
                      <m:naryPr>
                        <m:chr m:val="∑"/>
                        <m:supHide m:val="1"/>
                        <m:ctrlPr>
                          <w:rPr>
                            <w:rFonts w:ascii="Cambria Math" w:hAnsi="Cambria Math" w:cstheme="majorHAnsi"/>
                            <w:i/>
                            <w:iCs/>
                            <w:sz w:val="22"/>
                            <w:szCs w:val="22"/>
                          </w:rPr>
                        </m:ctrlPr>
                      </m:naryPr>
                      <m:sub>
                        <m:r>
                          <w:rPr>
                            <w:rFonts w:ascii="Cambria Math" w:hAnsi="Cambria Math" w:cstheme="majorHAnsi"/>
                            <w:sz w:val="22"/>
                            <w:szCs w:val="22"/>
                          </w:rPr>
                          <m:t>i</m:t>
                        </m:r>
                      </m:sub>
                      <m:sup/>
                      <m:e>
                        <m:f>
                          <m:fPr>
                            <m:ctrlPr>
                              <w:rPr>
                                <w:rFonts w:ascii="Cambria Math" w:hAnsi="Cambria Math" w:cstheme="majorHAnsi"/>
                                <w:i/>
                                <w:iCs/>
                                <w:sz w:val="22"/>
                                <w:szCs w:val="22"/>
                              </w:rPr>
                            </m:ctrlPr>
                          </m:fPr>
                          <m:num>
                            <m:sSup>
                              <m:sSupPr>
                                <m:ctrlPr>
                                  <w:rPr>
                                    <w:rFonts w:ascii="Cambria Math" w:hAnsi="Cambria Math" w:cstheme="majorHAnsi"/>
                                    <w:i/>
                                    <w:iCs/>
                                    <w:sz w:val="22"/>
                                    <w:szCs w:val="22"/>
                                  </w:rPr>
                                </m:ctrlPr>
                              </m:sSupPr>
                              <m:e>
                                <m:sSub>
                                  <m:sSubPr>
                                    <m:ctrlPr>
                                      <w:rPr>
                                        <w:rFonts w:ascii="Cambria Math" w:hAnsi="Cambria Math" w:cstheme="majorHAnsi"/>
                                        <w:i/>
                                        <w:iCs/>
                                        <w:sz w:val="22"/>
                                        <w:szCs w:val="22"/>
                                      </w:rPr>
                                    </m:ctrlPr>
                                  </m:sSubPr>
                                  <m:e>
                                    <m:r>
                                      <w:rPr>
                                        <w:rFonts w:ascii="Cambria Math" w:hAnsi="Cambria Math" w:cstheme="majorHAnsi"/>
                                        <w:sz w:val="22"/>
                                        <w:szCs w:val="22"/>
                                      </w:rPr>
                                      <m:t>w</m:t>
                                    </m:r>
                                  </m:e>
                                  <m:sub>
                                    <m:r>
                                      <w:rPr>
                                        <w:rFonts w:ascii="Cambria Math" w:hAnsi="Cambria Math" w:cstheme="majorHAnsi"/>
                                        <w:sz w:val="22"/>
                                        <w:szCs w:val="22"/>
                                      </w:rPr>
                                      <m:t>i</m:t>
                                    </m:r>
                                  </m:sub>
                                </m:sSub>
                              </m:e>
                              <m:sup>
                                <m:r>
                                  <w:rPr>
                                    <w:rFonts w:ascii="Cambria Math" w:hAnsi="Cambria Math" w:cstheme="majorHAnsi"/>
                                    <w:sz w:val="22"/>
                                    <w:szCs w:val="22"/>
                                  </w:rPr>
                                  <m:t>2</m:t>
                                </m:r>
                              </m:sup>
                            </m:sSup>
                            <m:sSub>
                              <m:sSubPr>
                                <m:ctrlPr>
                                  <w:rPr>
                                    <w:rFonts w:ascii="Cambria Math" w:hAnsi="Cambria Math" w:cstheme="majorHAnsi"/>
                                    <w:i/>
                                    <w:iCs/>
                                    <w:sz w:val="22"/>
                                    <w:szCs w:val="22"/>
                                  </w:rPr>
                                </m:ctrlPr>
                              </m:sSubPr>
                              <m:e>
                                <m:r>
                                  <w:rPr>
                                    <w:rFonts w:ascii="Cambria Math" w:hAnsi="Cambria Math" w:cstheme="majorHAnsi"/>
                                    <w:sz w:val="22"/>
                                    <w:szCs w:val="22"/>
                                  </w:rPr>
                                  <m:t>O</m:t>
                                </m:r>
                              </m:e>
                              <m:sub>
                                <m:r>
                                  <w:rPr>
                                    <w:rFonts w:ascii="Cambria Math" w:hAnsi="Cambria Math" w:cstheme="majorHAnsi"/>
                                    <w:sz w:val="22"/>
                                    <w:szCs w:val="22"/>
                                  </w:rPr>
                                  <m:t>i</m:t>
                                </m:r>
                              </m:sub>
                            </m:sSub>
                          </m:num>
                          <m:den>
                            <m:sSup>
                              <m:sSupPr>
                                <m:ctrlPr>
                                  <w:rPr>
                                    <w:rFonts w:ascii="Cambria Math" w:hAnsi="Cambria Math" w:cstheme="majorHAnsi"/>
                                    <w:i/>
                                    <w:iCs/>
                                    <w:sz w:val="22"/>
                                    <w:szCs w:val="22"/>
                                  </w:rPr>
                                </m:ctrlPr>
                              </m:sSupPr>
                              <m:e>
                                <m:sSub>
                                  <m:sSubPr>
                                    <m:ctrlPr>
                                      <w:rPr>
                                        <w:rFonts w:ascii="Cambria Math" w:hAnsi="Cambria Math" w:cstheme="majorHAnsi"/>
                                        <w:i/>
                                        <w:iCs/>
                                        <w:sz w:val="22"/>
                                        <w:szCs w:val="22"/>
                                      </w:rPr>
                                    </m:ctrlPr>
                                  </m:sSubPr>
                                  <m:e>
                                    <m:r>
                                      <w:rPr>
                                        <w:rFonts w:ascii="Cambria Math" w:hAnsi="Cambria Math" w:cstheme="majorHAnsi"/>
                                        <w:sz w:val="22"/>
                                        <w:szCs w:val="22"/>
                                      </w:rPr>
                                      <m:t>n</m:t>
                                    </m:r>
                                  </m:e>
                                  <m:sub>
                                    <m:r>
                                      <w:rPr>
                                        <w:rFonts w:ascii="Cambria Math" w:hAnsi="Cambria Math" w:cstheme="majorHAnsi"/>
                                        <w:sz w:val="22"/>
                                        <w:szCs w:val="22"/>
                                      </w:rPr>
                                      <m:t>i</m:t>
                                    </m:r>
                                  </m:sub>
                                </m:sSub>
                              </m:e>
                              <m:sup>
                                <m:r>
                                  <w:rPr>
                                    <w:rFonts w:ascii="Cambria Math" w:hAnsi="Cambria Math" w:cstheme="majorHAnsi"/>
                                    <w:sz w:val="22"/>
                                    <w:szCs w:val="22"/>
                                  </w:rPr>
                                  <m:t>2</m:t>
                                </m:r>
                              </m:sup>
                            </m:sSup>
                          </m:den>
                        </m:f>
                      </m:e>
                    </m:nary>
                  </m:num>
                  <m:den>
                    <m:sSup>
                      <m:sSupPr>
                        <m:ctrlPr>
                          <w:rPr>
                            <w:rFonts w:ascii="Cambria Math" w:hAnsi="Cambria Math" w:cstheme="majorHAnsi"/>
                            <w:i/>
                            <w:iCs/>
                            <w:sz w:val="22"/>
                            <w:szCs w:val="22"/>
                          </w:rPr>
                        </m:ctrlPr>
                      </m:sSupPr>
                      <m:e>
                        <m:d>
                          <m:dPr>
                            <m:ctrlPr>
                              <w:rPr>
                                <w:rFonts w:ascii="Cambria Math" w:hAnsi="Cambria Math" w:cstheme="majorHAnsi"/>
                                <w:i/>
                                <w:iCs/>
                                <w:sz w:val="22"/>
                                <w:szCs w:val="22"/>
                              </w:rPr>
                            </m:ctrlPr>
                          </m:dPr>
                          <m:e>
                            <m:nary>
                              <m:naryPr>
                                <m:chr m:val="∑"/>
                                <m:supHide m:val="1"/>
                                <m:ctrlPr>
                                  <w:rPr>
                                    <w:rFonts w:ascii="Cambria Math" w:hAnsi="Cambria Math" w:cstheme="majorHAnsi"/>
                                    <w:i/>
                                    <w:iCs/>
                                    <w:sz w:val="22"/>
                                    <w:szCs w:val="22"/>
                                  </w:rPr>
                                </m:ctrlPr>
                              </m:naryPr>
                              <m:sub>
                                <m:r>
                                  <w:rPr>
                                    <w:rFonts w:ascii="Cambria Math" w:hAnsi="Cambria Math" w:cstheme="majorHAnsi"/>
                                    <w:sz w:val="22"/>
                                    <w:szCs w:val="22"/>
                                  </w:rPr>
                                  <m:t>i</m:t>
                                </m:r>
                              </m:sub>
                              <m:sup/>
                              <m:e>
                                <m:sSub>
                                  <m:sSubPr>
                                    <m:ctrlPr>
                                      <w:rPr>
                                        <w:rFonts w:ascii="Cambria Math" w:hAnsi="Cambria Math" w:cstheme="majorHAnsi"/>
                                        <w:i/>
                                        <w:iCs/>
                                        <w:sz w:val="22"/>
                                        <w:szCs w:val="22"/>
                                      </w:rPr>
                                    </m:ctrlPr>
                                  </m:sSubPr>
                                  <m:e>
                                    <m:r>
                                      <w:rPr>
                                        <w:rFonts w:ascii="Cambria Math" w:hAnsi="Cambria Math" w:cstheme="majorHAnsi"/>
                                        <w:sz w:val="22"/>
                                        <w:szCs w:val="22"/>
                                      </w:rPr>
                                      <m:t>w</m:t>
                                    </m:r>
                                  </m:e>
                                  <m:sub>
                                    <m:r>
                                      <w:rPr>
                                        <w:rFonts w:ascii="Cambria Math" w:hAnsi="Cambria Math" w:cstheme="majorHAnsi"/>
                                        <w:sz w:val="22"/>
                                        <w:szCs w:val="22"/>
                                      </w:rPr>
                                      <m:t>i</m:t>
                                    </m:r>
                                  </m:sub>
                                </m:sSub>
                              </m:e>
                            </m:nary>
                          </m:e>
                        </m:d>
                      </m:e>
                      <m:sup>
                        <m:r>
                          <w:rPr>
                            <w:rFonts w:ascii="Cambria Math" w:hAnsi="Cambria Math" w:cstheme="majorHAnsi"/>
                            <w:sz w:val="22"/>
                            <w:szCs w:val="22"/>
                          </w:rPr>
                          <m:t>2</m:t>
                        </m:r>
                      </m:sup>
                    </m:sSup>
                  </m:den>
                </m:f>
              </m:oMath>
            </m:oMathPara>
          </w:p>
          <w:p w14:paraId="273FA59B" w14:textId="77777777" w:rsidR="00C62A77" w:rsidRPr="00936D28" w:rsidRDefault="00C62A77" w:rsidP="00C62A77">
            <w:pPr>
              <w:spacing w:after="0"/>
              <w:textboxTightWrap w:val="none"/>
              <w:rPr>
                <w:rFonts w:asciiTheme="majorHAnsi" w:hAnsiTheme="majorHAnsi" w:cstheme="majorHAnsi"/>
                <w:sz w:val="22"/>
                <w:szCs w:val="22"/>
              </w:rPr>
            </w:pPr>
          </w:p>
          <w:p w14:paraId="4FC0E1A2" w14:textId="77777777" w:rsidR="00C62A77" w:rsidRPr="00936D28" w:rsidRDefault="00C62A77" w:rsidP="00C62A77">
            <w:pPr>
              <w:spacing w:after="0"/>
              <w:textboxTightWrap w:val="none"/>
              <w:rPr>
                <w:rFonts w:asciiTheme="majorHAnsi" w:hAnsiTheme="majorHAnsi" w:cstheme="majorHAnsi"/>
                <w:sz w:val="22"/>
                <w:szCs w:val="22"/>
              </w:rPr>
            </w:pPr>
            <m:oMathPara>
              <m:oMath>
                <m:r>
                  <w:rPr>
                    <w:rFonts w:ascii="Cambria Math" w:hAnsi="Cambria Math" w:cstheme="majorHAnsi"/>
                    <w:sz w:val="22"/>
                    <w:szCs w:val="22"/>
                  </w:rPr>
                  <m:t>Var</m:t>
                </m:r>
                <m:d>
                  <m:dPr>
                    <m:ctrlPr>
                      <w:rPr>
                        <w:rFonts w:ascii="Cambria Math" w:hAnsi="Cambria Math" w:cstheme="majorHAnsi"/>
                        <w:i/>
                        <w:iCs/>
                        <w:sz w:val="22"/>
                        <w:szCs w:val="22"/>
                      </w:rPr>
                    </m:ctrlPr>
                  </m:dPr>
                  <m:e>
                    <m:r>
                      <w:rPr>
                        <w:rFonts w:ascii="Cambria Math" w:hAnsi="Cambria Math" w:cstheme="majorHAnsi"/>
                        <w:sz w:val="22"/>
                        <w:szCs w:val="22"/>
                      </w:rPr>
                      <m:t>O</m:t>
                    </m:r>
                  </m:e>
                </m:d>
                <m:r>
                  <w:rPr>
                    <w:rFonts w:ascii="Cambria Math" w:hAnsi="Cambria Math" w:cstheme="majorHAnsi"/>
                    <w:sz w:val="22"/>
                    <w:szCs w:val="22"/>
                  </w:rPr>
                  <m:t>=</m:t>
                </m:r>
                <m:nary>
                  <m:naryPr>
                    <m:chr m:val="∑"/>
                    <m:limLoc m:val="subSup"/>
                    <m:supHide m:val="1"/>
                    <m:ctrlPr>
                      <w:rPr>
                        <w:rFonts w:ascii="Cambria Math" w:hAnsi="Cambria Math" w:cstheme="majorHAnsi"/>
                        <w:i/>
                        <w:iCs/>
                        <w:sz w:val="22"/>
                        <w:szCs w:val="22"/>
                      </w:rPr>
                    </m:ctrlPr>
                  </m:naryPr>
                  <m:sub>
                    <m:r>
                      <w:rPr>
                        <w:rFonts w:ascii="Cambria Math" w:hAnsi="Cambria Math" w:cstheme="majorHAnsi"/>
                        <w:sz w:val="22"/>
                        <w:szCs w:val="22"/>
                      </w:rPr>
                      <m:t>i</m:t>
                    </m:r>
                  </m:sub>
                  <m:sup/>
                  <m:e>
                    <m:sSub>
                      <m:sSubPr>
                        <m:ctrlPr>
                          <w:rPr>
                            <w:rFonts w:ascii="Cambria Math" w:hAnsi="Cambria Math" w:cstheme="majorHAnsi"/>
                            <w:i/>
                            <w:iCs/>
                            <w:sz w:val="22"/>
                            <w:szCs w:val="22"/>
                          </w:rPr>
                        </m:ctrlPr>
                      </m:sSubPr>
                      <m:e>
                        <m:r>
                          <w:rPr>
                            <w:rFonts w:ascii="Cambria Math" w:hAnsi="Cambria Math" w:cstheme="majorHAnsi"/>
                            <w:sz w:val="22"/>
                            <w:szCs w:val="22"/>
                          </w:rPr>
                          <m:t>O</m:t>
                        </m:r>
                      </m:e>
                      <m:sub>
                        <m:r>
                          <w:rPr>
                            <w:rFonts w:ascii="Cambria Math" w:hAnsi="Cambria Math" w:cstheme="majorHAnsi"/>
                            <w:sz w:val="22"/>
                            <w:szCs w:val="22"/>
                          </w:rPr>
                          <m:t>i</m:t>
                        </m:r>
                      </m:sub>
                    </m:sSub>
                  </m:e>
                </m:nary>
              </m:oMath>
            </m:oMathPara>
          </w:p>
          <w:p w14:paraId="359CD1C7" w14:textId="77777777" w:rsidR="00C62A77" w:rsidRPr="00936D28" w:rsidRDefault="00C62A77" w:rsidP="00C62A77">
            <w:pPr>
              <w:spacing w:after="0"/>
              <w:textboxTightWrap w:val="none"/>
              <w:rPr>
                <w:rFonts w:asciiTheme="majorHAnsi" w:hAnsiTheme="majorHAnsi" w:cstheme="majorHAnsi"/>
                <w:sz w:val="22"/>
                <w:szCs w:val="22"/>
              </w:rPr>
            </w:pPr>
            <w:r w:rsidRPr="00936D28">
              <w:rPr>
                <w:rFonts w:asciiTheme="majorHAnsi" w:hAnsiTheme="majorHAnsi" w:cstheme="majorHAnsi"/>
                <w:sz w:val="22"/>
                <w:szCs w:val="22"/>
                <w:vertAlign w:val="superscript"/>
              </w:rPr>
              <w:footnoteRef/>
            </w:r>
            <w:r w:rsidRPr="00936D28">
              <w:rPr>
                <w:rFonts w:asciiTheme="majorHAnsi" w:hAnsiTheme="majorHAnsi" w:cstheme="majorHAnsi"/>
                <w:sz w:val="22"/>
                <w:szCs w:val="22"/>
              </w:rPr>
              <w:t xml:space="preserve"> Dobson A et al. Confidence intervals for weighted sums of Poisson parameters. Stat Med 1991;10:457-62</w:t>
            </w:r>
          </w:p>
          <w:p w14:paraId="5C289589" w14:textId="77777777" w:rsidR="00C62A77" w:rsidRPr="00936D28" w:rsidRDefault="00C62A77" w:rsidP="00C62A77">
            <w:pPr>
              <w:spacing w:after="0"/>
              <w:textboxTightWrap w:val="none"/>
              <w:rPr>
                <w:rFonts w:asciiTheme="majorHAnsi" w:hAnsiTheme="majorHAnsi" w:cstheme="majorHAnsi"/>
                <w:sz w:val="22"/>
                <w:szCs w:val="22"/>
              </w:rPr>
            </w:pPr>
            <w:r w:rsidRPr="00936D28">
              <w:rPr>
                <w:rFonts w:asciiTheme="majorHAnsi" w:hAnsiTheme="majorHAnsi" w:cstheme="majorHAnsi"/>
                <w:sz w:val="22"/>
                <w:szCs w:val="22"/>
                <w:vertAlign w:val="superscript"/>
              </w:rPr>
              <w:t>2</w:t>
            </w:r>
            <w:r w:rsidRPr="00936D28">
              <w:rPr>
                <w:rFonts w:asciiTheme="majorHAnsi" w:hAnsiTheme="majorHAnsi" w:cstheme="majorHAnsi"/>
                <w:sz w:val="22"/>
                <w:szCs w:val="22"/>
              </w:rPr>
              <w:t xml:space="preserve"> Breslow NE, Day NE. Statistical methods in cancer research, volume II: The design and analysis of cohort studies. Lyon: International Agency for Research on Cancer, World Health Organization; 1987: 69.</w:t>
            </w:r>
          </w:p>
          <w:p w14:paraId="662478ED" w14:textId="77777777" w:rsidR="00507D97" w:rsidRPr="00936D28" w:rsidRDefault="00507D97" w:rsidP="00C62A77">
            <w:pPr>
              <w:spacing w:after="0"/>
              <w:textboxTightWrap w:val="none"/>
              <w:rPr>
                <w:rFonts w:asciiTheme="majorHAnsi" w:hAnsiTheme="majorHAnsi" w:cstheme="majorHAnsi"/>
                <w:sz w:val="22"/>
                <w:szCs w:val="22"/>
              </w:rPr>
            </w:pPr>
          </w:p>
          <w:p w14:paraId="4C1FBD04" w14:textId="77777777" w:rsidR="00C62A77" w:rsidRPr="00936D28" w:rsidRDefault="00C62A77" w:rsidP="00C62A77">
            <w:pPr>
              <w:spacing w:after="0"/>
              <w:textboxTightWrap w:val="none"/>
              <w:rPr>
                <w:rFonts w:asciiTheme="majorHAnsi" w:hAnsiTheme="majorHAnsi" w:cstheme="majorHAnsi"/>
                <w:sz w:val="22"/>
                <w:szCs w:val="22"/>
              </w:rPr>
            </w:pPr>
          </w:p>
          <w:p w14:paraId="78A31792" w14:textId="551D488D" w:rsidR="00C62A77" w:rsidRPr="00936D28" w:rsidRDefault="00C62A77" w:rsidP="00C62A77">
            <w:pPr>
              <w:spacing w:after="0"/>
              <w:textboxTightWrap w:val="none"/>
              <w:rPr>
                <w:rFonts w:asciiTheme="majorHAnsi" w:hAnsiTheme="majorHAnsi" w:cstheme="majorHAnsi"/>
                <w:sz w:val="22"/>
                <w:szCs w:val="22"/>
              </w:rPr>
            </w:pPr>
          </w:p>
        </w:tc>
      </w:tr>
    </w:tbl>
    <w:p w14:paraId="3C3CA16C" w14:textId="77777777" w:rsidR="000E1578" w:rsidRPr="00936D28" w:rsidRDefault="000E1578" w:rsidP="000E1578">
      <w:pPr>
        <w:spacing w:after="0"/>
        <w:textboxTightWrap w:val="none"/>
        <w:rPr>
          <w:rFonts w:asciiTheme="majorHAnsi" w:hAnsiTheme="majorHAnsi" w:cstheme="majorHAnsi"/>
          <w:b/>
          <w:i/>
          <w:sz w:val="22"/>
          <w:szCs w:val="22"/>
        </w:rPr>
      </w:pPr>
      <w:r w:rsidRPr="00936D28">
        <w:rPr>
          <w:rFonts w:asciiTheme="majorHAnsi" w:hAnsiTheme="majorHAnsi" w:cstheme="majorHAnsi"/>
          <w:b/>
          <w:i/>
          <w:sz w:val="22"/>
          <w:szCs w:val="22"/>
        </w:rPr>
        <w:lastRenderedPageBreak/>
        <w:t>Sample Data:</w:t>
      </w:r>
    </w:p>
    <w:p w14:paraId="7D097F8D" w14:textId="77777777" w:rsidR="000E1578" w:rsidRPr="00936D28" w:rsidRDefault="000E1578" w:rsidP="000E1578">
      <w:pPr>
        <w:spacing w:after="0"/>
        <w:textboxTightWrap w:val="none"/>
        <w:rPr>
          <w:rFonts w:asciiTheme="majorHAnsi" w:hAnsiTheme="majorHAnsi" w:cstheme="majorHAnsi"/>
          <w:sz w:val="22"/>
          <w:szCs w:val="22"/>
        </w:rPr>
      </w:pPr>
    </w:p>
    <w:p w14:paraId="706F43D3" w14:textId="77777777" w:rsidR="000E1578" w:rsidRPr="00936D28" w:rsidRDefault="000E1578" w:rsidP="000E1578">
      <w:p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t>DSR for the period April 2011 to February 2014, people aged 17 and over.</w:t>
      </w:r>
    </w:p>
    <w:p w14:paraId="7436015F" w14:textId="1BDA7785" w:rsidR="000E1578" w:rsidRDefault="000E1578"/>
    <w:p w14:paraId="2727EC27" w14:textId="419B6EE8" w:rsidR="000E1578" w:rsidRDefault="000E1578"/>
    <w:tbl>
      <w:tblPr>
        <w:tblStyle w:val="TableGrid"/>
        <w:tblW w:w="7638" w:type="dxa"/>
        <w:tblInd w:w="-5" w:type="dxa"/>
        <w:tblLayout w:type="fixed"/>
        <w:tblLook w:val="04A0" w:firstRow="1" w:lastRow="0" w:firstColumn="1" w:lastColumn="0" w:noHBand="0" w:noVBand="1"/>
      </w:tblPr>
      <w:tblGrid>
        <w:gridCol w:w="794"/>
        <w:gridCol w:w="1226"/>
        <w:gridCol w:w="1134"/>
        <w:gridCol w:w="1134"/>
        <w:gridCol w:w="1133"/>
        <w:gridCol w:w="1104"/>
        <w:gridCol w:w="1113"/>
      </w:tblGrid>
      <w:tr w:rsidR="000E1578" w:rsidRPr="00936D28" w14:paraId="1036E028" w14:textId="77777777" w:rsidTr="000E1578">
        <w:trPr>
          <w:trHeight w:val="306"/>
        </w:trPr>
        <w:tc>
          <w:tcPr>
            <w:tcW w:w="794" w:type="dxa"/>
          </w:tcPr>
          <w:p w14:paraId="4FDF16DB" w14:textId="77777777" w:rsidR="000E1578" w:rsidRPr="00936D28" w:rsidRDefault="000E1578" w:rsidP="000D2587">
            <w:pPr>
              <w:spacing w:after="0"/>
              <w:textboxTightWrap w:val="none"/>
              <w:rPr>
                <w:rFonts w:asciiTheme="majorHAnsi" w:hAnsiTheme="majorHAnsi" w:cstheme="majorHAnsi"/>
                <w:b/>
                <w:bCs/>
                <w:sz w:val="22"/>
                <w:szCs w:val="22"/>
              </w:rPr>
            </w:pPr>
            <w:r w:rsidRPr="00936D28">
              <w:rPr>
                <w:rFonts w:asciiTheme="majorHAnsi" w:hAnsiTheme="majorHAnsi" w:cstheme="majorHAnsi"/>
                <w:b/>
                <w:bCs/>
                <w:sz w:val="22"/>
                <w:szCs w:val="22"/>
              </w:rPr>
              <w:t>CCG</w:t>
            </w:r>
          </w:p>
        </w:tc>
        <w:tc>
          <w:tcPr>
            <w:tcW w:w="1226" w:type="dxa"/>
          </w:tcPr>
          <w:p w14:paraId="3C7CBF34" w14:textId="77777777" w:rsidR="000E1578" w:rsidRPr="00936D28" w:rsidRDefault="000E1578" w:rsidP="000D2587">
            <w:pPr>
              <w:spacing w:after="0"/>
              <w:textboxTightWrap w:val="none"/>
              <w:rPr>
                <w:rFonts w:asciiTheme="majorHAnsi" w:hAnsiTheme="majorHAnsi" w:cstheme="majorHAnsi"/>
                <w:b/>
                <w:bCs/>
                <w:sz w:val="22"/>
                <w:szCs w:val="22"/>
              </w:rPr>
            </w:pPr>
            <w:r w:rsidRPr="00936D28">
              <w:rPr>
                <w:rFonts w:asciiTheme="majorHAnsi" w:hAnsiTheme="majorHAnsi" w:cstheme="majorHAnsi"/>
                <w:b/>
                <w:bCs/>
                <w:sz w:val="22"/>
                <w:szCs w:val="22"/>
              </w:rPr>
              <w:t>Numerator</w:t>
            </w:r>
          </w:p>
        </w:tc>
        <w:tc>
          <w:tcPr>
            <w:tcW w:w="1134" w:type="dxa"/>
          </w:tcPr>
          <w:p w14:paraId="18BFFA18" w14:textId="77777777" w:rsidR="000E1578" w:rsidRPr="00936D28" w:rsidRDefault="000E1578" w:rsidP="000D2587">
            <w:pPr>
              <w:spacing w:after="0"/>
              <w:textboxTightWrap w:val="none"/>
              <w:rPr>
                <w:rFonts w:asciiTheme="majorHAnsi" w:hAnsiTheme="majorHAnsi" w:cstheme="majorHAnsi"/>
                <w:b/>
                <w:bCs/>
                <w:sz w:val="22"/>
                <w:szCs w:val="22"/>
              </w:rPr>
            </w:pPr>
            <w:r w:rsidRPr="00936D28">
              <w:rPr>
                <w:rFonts w:asciiTheme="majorHAnsi" w:hAnsiTheme="majorHAnsi" w:cstheme="majorHAnsi"/>
                <w:b/>
                <w:bCs/>
                <w:sz w:val="22"/>
                <w:szCs w:val="22"/>
              </w:rPr>
              <w:t>Denominator</w:t>
            </w:r>
          </w:p>
        </w:tc>
        <w:tc>
          <w:tcPr>
            <w:tcW w:w="1134" w:type="dxa"/>
          </w:tcPr>
          <w:p w14:paraId="17EA3A25" w14:textId="77777777" w:rsidR="000E1578" w:rsidRPr="00936D28" w:rsidRDefault="000E1578" w:rsidP="000D2587">
            <w:pPr>
              <w:spacing w:after="0"/>
              <w:textboxTightWrap w:val="none"/>
              <w:rPr>
                <w:rFonts w:asciiTheme="majorHAnsi" w:hAnsiTheme="majorHAnsi" w:cstheme="majorHAnsi"/>
                <w:b/>
                <w:bCs/>
                <w:sz w:val="22"/>
                <w:szCs w:val="22"/>
              </w:rPr>
            </w:pPr>
            <w:r w:rsidRPr="00936D28">
              <w:rPr>
                <w:rFonts w:asciiTheme="majorHAnsi" w:hAnsiTheme="majorHAnsi" w:cstheme="majorHAnsi"/>
                <w:b/>
                <w:bCs/>
                <w:sz w:val="22"/>
                <w:szCs w:val="22"/>
              </w:rPr>
              <w:t>Rate per 1,000</w:t>
            </w:r>
          </w:p>
        </w:tc>
        <w:tc>
          <w:tcPr>
            <w:tcW w:w="1133" w:type="dxa"/>
          </w:tcPr>
          <w:p w14:paraId="0FC5659A" w14:textId="77777777" w:rsidR="000E1578" w:rsidRPr="00936D28" w:rsidRDefault="000E1578" w:rsidP="000D2587">
            <w:pPr>
              <w:spacing w:after="0"/>
              <w:textboxTightWrap w:val="none"/>
              <w:rPr>
                <w:rFonts w:asciiTheme="majorHAnsi" w:hAnsiTheme="majorHAnsi" w:cstheme="majorHAnsi"/>
                <w:b/>
                <w:bCs/>
                <w:sz w:val="22"/>
                <w:szCs w:val="22"/>
              </w:rPr>
            </w:pPr>
            <w:r w:rsidRPr="00936D28">
              <w:rPr>
                <w:rFonts w:asciiTheme="majorHAnsi" w:hAnsiTheme="majorHAnsi" w:cstheme="majorHAnsi"/>
                <w:b/>
                <w:bCs/>
                <w:sz w:val="22"/>
                <w:szCs w:val="22"/>
              </w:rPr>
              <w:t>DSR per 1,000</w:t>
            </w:r>
          </w:p>
        </w:tc>
        <w:tc>
          <w:tcPr>
            <w:tcW w:w="1104" w:type="dxa"/>
          </w:tcPr>
          <w:p w14:paraId="22D7755A" w14:textId="696F6368" w:rsidR="000E1578" w:rsidRPr="00936D28" w:rsidRDefault="000E1578" w:rsidP="000D2587">
            <w:pPr>
              <w:spacing w:after="0"/>
              <w:textboxTightWrap w:val="none"/>
              <w:rPr>
                <w:rFonts w:asciiTheme="majorHAnsi" w:hAnsiTheme="majorHAnsi" w:cstheme="majorHAnsi"/>
                <w:b/>
                <w:bCs/>
                <w:sz w:val="22"/>
                <w:szCs w:val="22"/>
              </w:rPr>
            </w:pPr>
            <w:r w:rsidRPr="00936D28">
              <w:rPr>
                <w:rFonts w:asciiTheme="majorHAnsi" w:hAnsiTheme="majorHAnsi" w:cstheme="majorHAnsi"/>
                <w:b/>
                <w:bCs/>
                <w:sz w:val="22"/>
                <w:szCs w:val="22"/>
              </w:rPr>
              <w:t xml:space="preserve">95% Confidence Interval </w:t>
            </w:r>
            <w:proofErr w:type="spellStart"/>
            <w:r w:rsidRPr="00936D28">
              <w:rPr>
                <w:rFonts w:asciiTheme="majorHAnsi" w:hAnsiTheme="majorHAnsi" w:cstheme="majorHAnsi"/>
                <w:b/>
                <w:bCs/>
                <w:sz w:val="22"/>
                <w:szCs w:val="22"/>
              </w:rPr>
              <w:t>DSR</w:t>
            </w:r>
            <w:r w:rsidRPr="00936D28">
              <w:rPr>
                <w:rFonts w:asciiTheme="majorHAnsi" w:hAnsiTheme="majorHAnsi" w:cstheme="majorHAnsi"/>
                <w:b/>
                <w:bCs/>
                <w:i/>
                <w:sz w:val="22"/>
                <w:szCs w:val="22"/>
                <w:vertAlign w:val="subscript"/>
              </w:rPr>
              <w:t>lower</w:t>
            </w:r>
            <w:proofErr w:type="spellEnd"/>
          </w:p>
        </w:tc>
        <w:tc>
          <w:tcPr>
            <w:tcW w:w="1113" w:type="dxa"/>
          </w:tcPr>
          <w:p w14:paraId="3EBDBE35" w14:textId="141BF2C6" w:rsidR="000E1578" w:rsidRPr="00936D28" w:rsidRDefault="000E1578" w:rsidP="000D2587">
            <w:pPr>
              <w:spacing w:after="0"/>
              <w:textboxTightWrap w:val="none"/>
              <w:rPr>
                <w:rFonts w:asciiTheme="majorHAnsi" w:hAnsiTheme="majorHAnsi" w:cstheme="majorHAnsi"/>
                <w:b/>
                <w:bCs/>
                <w:sz w:val="22"/>
                <w:szCs w:val="22"/>
              </w:rPr>
            </w:pPr>
            <w:r w:rsidRPr="00936D28">
              <w:rPr>
                <w:rFonts w:asciiTheme="majorHAnsi" w:hAnsiTheme="majorHAnsi" w:cstheme="majorHAnsi"/>
                <w:b/>
                <w:bCs/>
                <w:sz w:val="22"/>
                <w:szCs w:val="22"/>
              </w:rPr>
              <w:t xml:space="preserve">95% Confidence Interval </w:t>
            </w:r>
            <w:proofErr w:type="spellStart"/>
            <w:r w:rsidRPr="00936D28">
              <w:rPr>
                <w:rFonts w:asciiTheme="majorHAnsi" w:hAnsiTheme="majorHAnsi" w:cstheme="majorHAnsi"/>
                <w:b/>
                <w:bCs/>
                <w:sz w:val="22"/>
                <w:szCs w:val="22"/>
              </w:rPr>
              <w:t>DSR</w:t>
            </w:r>
            <w:r w:rsidRPr="00936D28">
              <w:rPr>
                <w:rFonts w:asciiTheme="majorHAnsi" w:hAnsiTheme="majorHAnsi" w:cstheme="majorHAnsi"/>
                <w:b/>
                <w:bCs/>
                <w:i/>
                <w:sz w:val="22"/>
                <w:szCs w:val="22"/>
                <w:vertAlign w:val="subscript"/>
              </w:rPr>
              <w:t>upper</w:t>
            </w:r>
            <w:proofErr w:type="spellEnd"/>
          </w:p>
        </w:tc>
      </w:tr>
      <w:tr w:rsidR="000E1578" w:rsidRPr="00936D28" w14:paraId="1B38F1E2" w14:textId="77777777" w:rsidTr="000E1578">
        <w:trPr>
          <w:trHeight w:val="258"/>
        </w:trPr>
        <w:tc>
          <w:tcPr>
            <w:tcW w:w="794" w:type="dxa"/>
            <w:vAlign w:val="bottom"/>
          </w:tcPr>
          <w:p w14:paraId="24421D66"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bCs/>
                <w:sz w:val="22"/>
                <w:szCs w:val="22"/>
              </w:rPr>
              <w:t>CCG1</w:t>
            </w:r>
          </w:p>
        </w:tc>
        <w:tc>
          <w:tcPr>
            <w:tcW w:w="1226" w:type="dxa"/>
            <w:vAlign w:val="bottom"/>
          </w:tcPr>
          <w:p w14:paraId="176E94BE"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13 </w:t>
            </w:r>
          </w:p>
        </w:tc>
        <w:tc>
          <w:tcPr>
            <w:tcW w:w="1134" w:type="dxa"/>
            <w:vAlign w:val="bottom"/>
          </w:tcPr>
          <w:p w14:paraId="084D09D4"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736 </w:t>
            </w:r>
          </w:p>
        </w:tc>
        <w:tc>
          <w:tcPr>
            <w:tcW w:w="1134" w:type="dxa"/>
            <w:vAlign w:val="bottom"/>
          </w:tcPr>
          <w:p w14:paraId="0E7EC477"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17.7 </w:t>
            </w:r>
          </w:p>
        </w:tc>
        <w:tc>
          <w:tcPr>
            <w:tcW w:w="1133" w:type="dxa"/>
            <w:vAlign w:val="bottom"/>
          </w:tcPr>
          <w:p w14:paraId="3043B06B"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0.0</w:t>
            </w:r>
          </w:p>
        </w:tc>
        <w:tc>
          <w:tcPr>
            <w:tcW w:w="1104" w:type="dxa"/>
            <w:vAlign w:val="bottom"/>
          </w:tcPr>
          <w:p w14:paraId="2FD3D2A3"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0.0</w:t>
            </w:r>
          </w:p>
        </w:tc>
        <w:tc>
          <w:tcPr>
            <w:tcW w:w="1113" w:type="dxa"/>
            <w:vAlign w:val="bottom"/>
          </w:tcPr>
          <w:p w14:paraId="6C4481EA"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0.0</w:t>
            </w:r>
          </w:p>
        </w:tc>
      </w:tr>
      <w:tr w:rsidR="000E1578" w:rsidRPr="00936D28" w14:paraId="1977102F" w14:textId="77777777" w:rsidTr="000E1578">
        <w:trPr>
          <w:trHeight w:val="258"/>
        </w:trPr>
        <w:tc>
          <w:tcPr>
            <w:tcW w:w="794" w:type="dxa"/>
            <w:vAlign w:val="bottom"/>
          </w:tcPr>
          <w:p w14:paraId="72A438F3"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bCs/>
                <w:sz w:val="22"/>
                <w:szCs w:val="22"/>
              </w:rPr>
              <w:t>CCG2</w:t>
            </w:r>
          </w:p>
        </w:tc>
        <w:tc>
          <w:tcPr>
            <w:tcW w:w="1226" w:type="dxa"/>
            <w:vAlign w:val="bottom"/>
          </w:tcPr>
          <w:p w14:paraId="2129B7EB"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16 </w:t>
            </w:r>
          </w:p>
        </w:tc>
        <w:tc>
          <w:tcPr>
            <w:tcW w:w="1134" w:type="dxa"/>
            <w:vAlign w:val="bottom"/>
          </w:tcPr>
          <w:p w14:paraId="58816CBD"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489 </w:t>
            </w:r>
          </w:p>
        </w:tc>
        <w:tc>
          <w:tcPr>
            <w:tcW w:w="1134" w:type="dxa"/>
            <w:vAlign w:val="bottom"/>
          </w:tcPr>
          <w:p w14:paraId="78357B9A"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32.7 </w:t>
            </w:r>
          </w:p>
        </w:tc>
        <w:tc>
          <w:tcPr>
            <w:tcW w:w="1133" w:type="dxa"/>
            <w:vAlign w:val="bottom"/>
          </w:tcPr>
          <w:p w14:paraId="36D3C732"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0.0</w:t>
            </w:r>
          </w:p>
        </w:tc>
        <w:tc>
          <w:tcPr>
            <w:tcW w:w="1104" w:type="dxa"/>
            <w:vAlign w:val="bottom"/>
          </w:tcPr>
          <w:p w14:paraId="758D9391"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0.0</w:t>
            </w:r>
          </w:p>
        </w:tc>
        <w:tc>
          <w:tcPr>
            <w:tcW w:w="1113" w:type="dxa"/>
            <w:vAlign w:val="bottom"/>
          </w:tcPr>
          <w:p w14:paraId="536309AD"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0.0</w:t>
            </w:r>
          </w:p>
        </w:tc>
      </w:tr>
      <w:tr w:rsidR="000E1578" w:rsidRPr="00936D28" w14:paraId="7D0D89EC" w14:textId="77777777" w:rsidTr="000E1578">
        <w:trPr>
          <w:trHeight w:val="258"/>
        </w:trPr>
        <w:tc>
          <w:tcPr>
            <w:tcW w:w="794" w:type="dxa"/>
            <w:vAlign w:val="bottom"/>
          </w:tcPr>
          <w:p w14:paraId="07B4A8DB"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bCs/>
                <w:sz w:val="22"/>
                <w:szCs w:val="22"/>
              </w:rPr>
              <w:t>CCG3</w:t>
            </w:r>
          </w:p>
        </w:tc>
        <w:tc>
          <w:tcPr>
            <w:tcW w:w="1226" w:type="dxa"/>
            <w:vAlign w:val="bottom"/>
          </w:tcPr>
          <w:p w14:paraId="38BE7B80"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15 </w:t>
            </w:r>
          </w:p>
        </w:tc>
        <w:tc>
          <w:tcPr>
            <w:tcW w:w="1134" w:type="dxa"/>
            <w:vAlign w:val="bottom"/>
          </w:tcPr>
          <w:p w14:paraId="7E94C233"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446 </w:t>
            </w:r>
          </w:p>
        </w:tc>
        <w:tc>
          <w:tcPr>
            <w:tcW w:w="1134" w:type="dxa"/>
            <w:vAlign w:val="bottom"/>
          </w:tcPr>
          <w:p w14:paraId="2BEB2387"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33.6 </w:t>
            </w:r>
          </w:p>
        </w:tc>
        <w:tc>
          <w:tcPr>
            <w:tcW w:w="1133" w:type="dxa"/>
            <w:vAlign w:val="bottom"/>
          </w:tcPr>
          <w:p w14:paraId="76BEB567"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0.0</w:t>
            </w:r>
          </w:p>
        </w:tc>
        <w:tc>
          <w:tcPr>
            <w:tcW w:w="1104" w:type="dxa"/>
            <w:vAlign w:val="bottom"/>
          </w:tcPr>
          <w:p w14:paraId="0D421593"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0.0</w:t>
            </w:r>
          </w:p>
        </w:tc>
        <w:tc>
          <w:tcPr>
            <w:tcW w:w="1113" w:type="dxa"/>
            <w:vAlign w:val="bottom"/>
          </w:tcPr>
          <w:p w14:paraId="3B426445"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0.0</w:t>
            </w:r>
          </w:p>
        </w:tc>
      </w:tr>
      <w:tr w:rsidR="000E1578" w:rsidRPr="00936D28" w14:paraId="23BBFEF1" w14:textId="77777777" w:rsidTr="000E1578">
        <w:trPr>
          <w:trHeight w:val="258"/>
        </w:trPr>
        <w:tc>
          <w:tcPr>
            <w:tcW w:w="794" w:type="dxa"/>
            <w:vAlign w:val="bottom"/>
          </w:tcPr>
          <w:p w14:paraId="0B71214B"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bCs/>
                <w:sz w:val="22"/>
                <w:szCs w:val="22"/>
              </w:rPr>
              <w:t>CCG4</w:t>
            </w:r>
          </w:p>
        </w:tc>
        <w:tc>
          <w:tcPr>
            <w:tcW w:w="1226" w:type="dxa"/>
            <w:vAlign w:val="bottom"/>
          </w:tcPr>
          <w:p w14:paraId="0E16E5C8"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6 </w:t>
            </w:r>
          </w:p>
        </w:tc>
        <w:tc>
          <w:tcPr>
            <w:tcW w:w="1134" w:type="dxa"/>
            <w:vAlign w:val="bottom"/>
          </w:tcPr>
          <w:p w14:paraId="1F79F197"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172 </w:t>
            </w:r>
          </w:p>
        </w:tc>
        <w:tc>
          <w:tcPr>
            <w:tcW w:w="1134" w:type="dxa"/>
            <w:vAlign w:val="bottom"/>
          </w:tcPr>
          <w:p w14:paraId="2435EFB8"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34.9 </w:t>
            </w:r>
          </w:p>
        </w:tc>
        <w:tc>
          <w:tcPr>
            <w:tcW w:w="1133" w:type="dxa"/>
            <w:vAlign w:val="bottom"/>
          </w:tcPr>
          <w:p w14:paraId="443A32B8"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0.0</w:t>
            </w:r>
          </w:p>
        </w:tc>
        <w:tc>
          <w:tcPr>
            <w:tcW w:w="1104" w:type="dxa"/>
            <w:vAlign w:val="bottom"/>
          </w:tcPr>
          <w:p w14:paraId="07B8A4A0"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0.0</w:t>
            </w:r>
          </w:p>
        </w:tc>
        <w:tc>
          <w:tcPr>
            <w:tcW w:w="1113" w:type="dxa"/>
            <w:vAlign w:val="bottom"/>
          </w:tcPr>
          <w:p w14:paraId="51903131"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0.0</w:t>
            </w:r>
          </w:p>
        </w:tc>
      </w:tr>
      <w:tr w:rsidR="000E1578" w:rsidRPr="00936D28" w14:paraId="12FE23AA" w14:textId="77777777" w:rsidTr="000E1578">
        <w:trPr>
          <w:trHeight w:val="258"/>
        </w:trPr>
        <w:tc>
          <w:tcPr>
            <w:tcW w:w="794" w:type="dxa"/>
            <w:vAlign w:val="bottom"/>
          </w:tcPr>
          <w:p w14:paraId="7E302ABB"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bCs/>
                <w:sz w:val="22"/>
                <w:szCs w:val="22"/>
              </w:rPr>
              <w:t>CCG5</w:t>
            </w:r>
          </w:p>
        </w:tc>
        <w:tc>
          <w:tcPr>
            <w:tcW w:w="1226" w:type="dxa"/>
            <w:vAlign w:val="bottom"/>
          </w:tcPr>
          <w:p w14:paraId="18E43734"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15 </w:t>
            </w:r>
          </w:p>
        </w:tc>
        <w:tc>
          <w:tcPr>
            <w:tcW w:w="1134" w:type="dxa"/>
            <w:vAlign w:val="bottom"/>
          </w:tcPr>
          <w:p w14:paraId="062695B1"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418 </w:t>
            </w:r>
          </w:p>
        </w:tc>
        <w:tc>
          <w:tcPr>
            <w:tcW w:w="1134" w:type="dxa"/>
            <w:vAlign w:val="bottom"/>
          </w:tcPr>
          <w:p w14:paraId="11496BF0"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35.9 </w:t>
            </w:r>
          </w:p>
        </w:tc>
        <w:tc>
          <w:tcPr>
            <w:tcW w:w="1133" w:type="dxa"/>
            <w:vAlign w:val="bottom"/>
          </w:tcPr>
          <w:p w14:paraId="48BE9859"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0.0</w:t>
            </w:r>
          </w:p>
        </w:tc>
        <w:tc>
          <w:tcPr>
            <w:tcW w:w="1104" w:type="dxa"/>
            <w:vAlign w:val="bottom"/>
          </w:tcPr>
          <w:p w14:paraId="52E77715"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0.0</w:t>
            </w:r>
          </w:p>
        </w:tc>
        <w:tc>
          <w:tcPr>
            <w:tcW w:w="1113" w:type="dxa"/>
            <w:vAlign w:val="bottom"/>
          </w:tcPr>
          <w:p w14:paraId="14D037EC"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0.0</w:t>
            </w:r>
          </w:p>
        </w:tc>
      </w:tr>
      <w:tr w:rsidR="000E1578" w:rsidRPr="00936D28" w14:paraId="4C78F91B" w14:textId="77777777" w:rsidTr="000E1578">
        <w:trPr>
          <w:trHeight w:val="258"/>
        </w:trPr>
        <w:tc>
          <w:tcPr>
            <w:tcW w:w="794" w:type="dxa"/>
            <w:vAlign w:val="bottom"/>
          </w:tcPr>
          <w:p w14:paraId="3AAAFCD0"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bCs/>
                <w:sz w:val="22"/>
                <w:szCs w:val="22"/>
              </w:rPr>
              <w:t>CCG6</w:t>
            </w:r>
          </w:p>
        </w:tc>
        <w:tc>
          <w:tcPr>
            <w:tcW w:w="1226" w:type="dxa"/>
            <w:vAlign w:val="bottom"/>
          </w:tcPr>
          <w:p w14:paraId="4CB1790D"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20 </w:t>
            </w:r>
          </w:p>
        </w:tc>
        <w:tc>
          <w:tcPr>
            <w:tcW w:w="1134" w:type="dxa"/>
            <w:vAlign w:val="bottom"/>
          </w:tcPr>
          <w:p w14:paraId="4F7DB81F"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479 </w:t>
            </w:r>
          </w:p>
        </w:tc>
        <w:tc>
          <w:tcPr>
            <w:tcW w:w="1134" w:type="dxa"/>
            <w:vAlign w:val="bottom"/>
          </w:tcPr>
          <w:p w14:paraId="250D5348"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41.8 </w:t>
            </w:r>
          </w:p>
        </w:tc>
        <w:tc>
          <w:tcPr>
            <w:tcW w:w="1133" w:type="dxa"/>
            <w:vAlign w:val="bottom"/>
          </w:tcPr>
          <w:p w14:paraId="0B40B8B7"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0.0</w:t>
            </w:r>
          </w:p>
        </w:tc>
        <w:tc>
          <w:tcPr>
            <w:tcW w:w="1104" w:type="dxa"/>
            <w:vAlign w:val="bottom"/>
          </w:tcPr>
          <w:p w14:paraId="4CFB09DD"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0.0</w:t>
            </w:r>
          </w:p>
        </w:tc>
        <w:tc>
          <w:tcPr>
            <w:tcW w:w="1113" w:type="dxa"/>
            <w:vAlign w:val="bottom"/>
          </w:tcPr>
          <w:p w14:paraId="55B644C4"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0.0</w:t>
            </w:r>
          </w:p>
        </w:tc>
      </w:tr>
      <w:tr w:rsidR="000E1578" w:rsidRPr="00936D28" w14:paraId="1E58A5CC" w14:textId="77777777" w:rsidTr="000E1578">
        <w:trPr>
          <w:trHeight w:val="258"/>
        </w:trPr>
        <w:tc>
          <w:tcPr>
            <w:tcW w:w="794" w:type="dxa"/>
            <w:vAlign w:val="bottom"/>
          </w:tcPr>
          <w:p w14:paraId="57F95BD8"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bCs/>
                <w:sz w:val="22"/>
                <w:szCs w:val="22"/>
              </w:rPr>
              <w:t>CCG7</w:t>
            </w:r>
          </w:p>
        </w:tc>
        <w:tc>
          <w:tcPr>
            <w:tcW w:w="1226" w:type="dxa"/>
            <w:vAlign w:val="bottom"/>
          </w:tcPr>
          <w:p w14:paraId="144561E9"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24 </w:t>
            </w:r>
          </w:p>
        </w:tc>
        <w:tc>
          <w:tcPr>
            <w:tcW w:w="1134" w:type="dxa"/>
            <w:vAlign w:val="bottom"/>
          </w:tcPr>
          <w:p w14:paraId="44C9E576"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492 </w:t>
            </w:r>
          </w:p>
        </w:tc>
        <w:tc>
          <w:tcPr>
            <w:tcW w:w="1134" w:type="dxa"/>
            <w:vAlign w:val="bottom"/>
          </w:tcPr>
          <w:p w14:paraId="1074B417"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48.8 </w:t>
            </w:r>
          </w:p>
        </w:tc>
        <w:tc>
          <w:tcPr>
            <w:tcW w:w="1133" w:type="dxa"/>
            <w:vAlign w:val="bottom"/>
          </w:tcPr>
          <w:p w14:paraId="682D9020"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0.0</w:t>
            </w:r>
          </w:p>
        </w:tc>
        <w:tc>
          <w:tcPr>
            <w:tcW w:w="1104" w:type="dxa"/>
            <w:vAlign w:val="bottom"/>
          </w:tcPr>
          <w:p w14:paraId="36FEF730"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0.0</w:t>
            </w:r>
          </w:p>
        </w:tc>
        <w:tc>
          <w:tcPr>
            <w:tcW w:w="1113" w:type="dxa"/>
            <w:vAlign w:val="bottom"/>
          </w:tcPr>
          <w:p w14:paraId="6E5DC4ED"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0.0</w:t>
            </w:r>
          </w:p>
        </w:tc>
      </w:tr>
      <w:tr w:rsidR="000E1578" w:rsidRPr="00936D28" w14:paraId="437AECC9" w14:textId="77777777" w:rsidTr="000E1578">
        <w:trPr>
          <w:trHeight w:val="258"/>
        </w:trPr>
        <w:tc>
          <w:tcPr>
            <w:tcW w:w="794" w:type="dxa"/>
            <w:vAlign w:val="bottom"/>
          </w:tcPr>
          <w:p w14:paraId="49DD3396"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bCs/>
                <w:sz w:val="22"/>
                <w:szCs w:val="22"/>
              </w:rPr>
              <w:t>CCG8</w:t>
            </w:r>
          </w:p>
        </w:tc>
        <w:tc>
          <w:tcPr>
            <w:tcW w:w="1226" w:type="dxa"/>
            <w:vAlign w:val="bottom"/>
          </w:tcPr>
          <w:p w14:paraId="4610EF56"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21 </w:t>
            </w:r>
          </w:p>
        </w:tc>
        <w:tc>
          <w:tcPr>
            <w:tcW w:w="1134" w:type="dxa"/>
            <w:vAlign w:val="bottom"/>
          </w:tcPr>
          <w:p w14:paraId="12BA9B06"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391 </w:t>
            </w:r>
          </w:p>
        </w:tc>
        <w:tc>
          <w:tcPr>
            <w:tcW w:w="1134" w:type="dxa"/>
            <w:vAlign w:val="bottom"/>
          </w:tcPr>
          <w:p w14:paraId="1BD9F46C"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53.7 </w:t>
            </w:r>
          </w:p>
        </w:tc>
        <w:tc>
          <w:tcPr>
            <w:tcW w:w="1133" w:type="dxa"/>
            <w:vAlign w:val="bottom"/>
          </w:tcPr>
          <w:p w14:paraId="13829267"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0.0</w:t>
            </w:r>
          </w:p>
        </w:tc>
        <w:tc>
          <w:tcPr>
            <w:tcW w:w="1104" w:type="dxa"/>
            <w:vAlign w:val="bottom"/>
          </w:tcPr>
          <w:p w14:paraId="1337319E"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0.0</w:t>
            </w:r>
          </w:p>
        </w:tc>
        <w:tc>
          <w:tcPr>
            <w:tcW w:w="1113" w:type="dxa"/>
            <w:vAlign w:val="bottom"/>
          </w:tcPr>
          <w:p w14:paraId="477736B7"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0.0</w:t>
            </w:r>
          </w:p>
        </w:tc>
      </w:tr>
      <w:tr w:rsidR="000E1578" w:rsidRPr="00936D28" w14:paraId="0CC3650B" w14:textId="77777777" w:rsidTr="000E1578">
        <w:trPr>
          <w:trHeight w:val="258"/>
        </w:trPr>
        <w:tc>
          <w:tcPr>
            <w:tcW w:w="794" w:type="dxa"/>
            <w:vAlign w:val="bottom"/>
          </w:tcPr>
          <w:p w14:paraId="5DDAC0D8"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bCs/>
                <w:sz w:val="22"/>
                <w:szCs w:val="22"/>
              </w:rPr>
              <w:t>CCG9</w:t>
            </w:r>
          </w:p>
        </w:tc>
        <w:tc>
          <w:tcPr>
            <w:tcW w:w="1226" w:type="dxa"/>
            <w:vAlign w:val="bottom"/>
          </w:tcPr>
          <w:p w14:paraId="2C2518E7"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15 </w:t>
            </w:r>
          </w:p>
        </w:tc>
        <w:tc>
          <w:tcPr>
            <w:tcW w:w="1134" w:type="dxa"/>
            <w:vAlign w:val="bottom"/>
          </w:tcPr>
          <w:p w14:paraId="2639281E"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254 </w:t>
            </w:r>
          </w:p>
        </w:tc>
        <w:tc>
          <w:tcPr>
            <w:tcW w:w="1134" w:type="dxa"/>
            <w:vAlign w:val="bottom"/>
          </w:tcPr>
          <w:p w14:paraId="79C4C456"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59.1 </w:t>
            </w:r>
          </w:p>
        </w:tc>
        <w:tc>
          <w:tcPr>
            <w:tcW w:w="1133" w:type="dxa"/>
            <w:vAlign w:val="bottom"/>
          </w:tcPr>
          <w:p w14:paraId="0CAD155A"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0.0</w:t>
            </w:r>
          </w:p>
        </w:tc>
        <w:tc>
          <w:tcPr>
            <w:tcW w:w="1104" w:type="dxa"/>
            <w:vAlign w:val="bottom"/>
          </w:tcPr>
          <w:p w14:paraId="6718C5C8"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0.0</w:t>
            </w:r>
          </w:p>
        </w:tc>
        <w:tc>
          <w:tcPr>
            <w:tcW w:w="1113" w:type="dxa"/>
            <w:vAlign w:val="bottom"/>
          </w:tcPr>
          <w:p w14:paraId="3C686A50"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0.0</w:t>
            </w:r>
          </w:p>
        </w:tc>
      </w:tr>
      <w:tr w:rsidR="000E1578" w:rsidRPr="00936D28" w14:paraId="140100F4" w14:textId="77777777" w:rsidTr="000E1578">
        <w:trPr>
          <w:trHeight w:val="258"/>
        </w:trPr>
        <w:tc>
          <w:tcPr>
            <w:tcW w:w="794" w:type="dxa"/>
            <w:vAlign w:val="bottom"/>
          </w:tcPr>
          <w:p w14:paraId="3F0812A4"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bCs/>
                <w:sz w:val="22"/>
                <w:szCs w:val="22"/>
              </w:rPr>
              <w:t>CCG10</w:t>
            </w:r>
          </w:p>
        </w:tc>
        <w:tc>
          <w:tcPr>
            <w:tcW w:w="1226" w:type="dxa"/>
            <w:vAlign w:val="bottom"/>
          </w:tcPr>
          <w:p w14:paraId="33BFE789"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30 </w:t>
            </w:r>
          </w:p>
        </w:tc>
        <w:tc>
          <w:tcPr>
            <w:tcW w:w="1134" w:type="dxa"/>
            <w:vAlign w:val="bottom"/>
          </w:tcPr>
          <w:p w14:paraId="642230F5"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851 </w:t>
            </w:r>
          </w:p>
        </w:tc>
        <w:tc>
          <w:tcPr>
            <w:tcW w:w="1134" w:type="dxa"/>
            <w:vAlign w:val="bottom"/>
          </w:tcPr>
          <w:p w14:paraId="0EBD1E11"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35.3 </w:t>
            </w:r>
          </w:p>
        </w:tc>
        <w:tc>
          <w:tcPr>
            <w:tcW w:w="1133" w:type="dxa"/>
            <w:vAlign w:val="bottom"/>
          </w:tcPr>
          <w:p w14:paraId="08373DB5"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36.5</w:t>
            </w:r>
          </w:p>
        </w:tc>
        <w:tc>
          <w:tcPr>
            <w:tcW w:w="1104" w:type="dxa"/>
            <w:vAlign w:val="bottom"/>
          </w:tcPr>
          <w:p w14:paraId="4A46FFD3"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24.4</w:t>
            </w:r>
          </w:p>
        </w:tc>
        <w:tc>
          <w:tcPr>
            <w:tcW w:w="1113" w:type="dxa"/>
            <w:vAlign w:val="bottom"/>
          </w:tcPr>
          <w:p w14:paraId="20D12EE6"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52.5</w:t>
            </w:r>
          </w:p>
        </w:tc>
      </w:tr>
    </w:tbl>
    <w:p w14:paraId="02FA92DA" w14:textId="61E05D21" w:rsidR="000E1578" w:rsidRDefault="000E1578"/>
    <w:p w14:paraId="7761B412" w14:textId="7A461BC2" w:rsidR="000E1578" w:rsidRDefault="000E1578"/>
    <w:p w14:paraId="6EA3E02E" w14:textId="1FDC248C" w:rsidR="000E1578" w:rsidRDefault="000E1578"/>
    <w:p w14:paraId="5B72CE9F" w14:textId="5E6D99B4" w:rsidR="000E1578" w:rsidRDefault="000E1578"/>
    <w:p w14:paraId="2DAE7678" w14:textId="19039889" w:rsidR="000E1578" w:rsidRDefault="000E1578"/>
    <w:p w14:paraId="39FF896D" w14:textId="1B47E348" w:rsidR="000E1578" w:rsidRDefault="000E1578"/>
    <w:p w14:paraId="2FE6FBFA" w14:textId="77777777" w:rsidR="000E1578" w:rsidRDefault="000E1578"/>
    <w:tbl>
      <w:tblPr>
        <w:tblStyle w:val="TableGrid"/>
        <w:tblW w:w="7606" w:type="dxa"/>
        <w:tblInd w:w="-5" w:type="dxa"/>
        <w:tblLayout w:type="fixed"/>
        <w:tblLook w:val="04A0" w:firstRow="1" w:lastRow="0" w:firstColumn="1" w:lastColumn="0" w:noHBand="0" w:noVBand="1"/>
      </w:tblPr>
      <w:tblGrid>
        <w:gridCol w:w="806"/>
        <w:gridCol w:w="1214"/>
        <w:gridCol w:w="1134"/>
        <w:gridCol w:w="1134"/>
        <w:gridCol w:w="1134"/>
        <w:gridCol w:w="1134"/>
        <w:gridCol w:w="1050"/>
      </w:tblGrid>
      <w:tr w:rsidR="000E1578" w:rsidRPr="00936D28" w14:paraId="1E0DA19D" w14:textId="77777777" w:rsidTr="000E1578">
        <w:trPr>
          <w:trHeight w:val="301"/>
        </w:trPr>
        <w:tc>
          <w:tcPr>
            <w:tcW w:w="806" w:type="dxa"/>
          </w:tcPr>
          <w:p w14:paraId="13452813" w14:textId="77777777" w:rsidR="000E1578" w:rsidRPr="00936D28" w:rsidRDefault="000E1578" w:rsidP="000D2587">
            <w:pPr>
              <w:spacing w:after="0"/>
              <w:textboxTightWrap w:val="none"/>
              <w:rPr>
                <w:rFonts w:asciiTheme="majorHAnsi" w:hAnsiTheme="majorHAnsi" w:cstheme="majorHAnsi"/>
                <w:b/>
                <w:bCs/>
                <w:sz w:val="22"/>
                <w:szCs w:val="22"/>
              </w:rPr>
            </w:pPr>
            <w:r w:rsidRPr="00936D28">
              <w:rPr>
                <w:rFonts w:asciiTheme="majorHAnsi" w:hAnsiTheme="majorHAnsi" w:cstheme="majorHAnsi"/>
                <w:b/>
                <w:bCs/>
                <w:sz w:val="22"/>
                <w:szCs w:val="22"/>
              </w:rPr>
              <w:t>CCG</w:t>
            </w:r>
          </w:p>
        </w:tc>
        <w:tc>
          <w:tcPr>
            <w:tcW w:w="1214" w:type="dxa"/>
          </w:tcPr>
          <w:p w14:paraId="5F1F1A25" w14:textId="77777777" w:rsidR="000E1578" w:rsidRPr="00936D28" w:rsidRDefault="000E1578" w:rsidP="000D2587">
            <w:pPr>
              <w:spacing w:after="0"/>
              <w:textboxTightWrap w:val="none"/>
              <w:rPr>
                <w:rFonts w:asciiTheme="majorHAnsi" w:hAnsiTheme="majorHAnsi" w:cstheme="majorHAnsi"/>
                <w:b/>
                <w:bCs/>
                <w:sz w:val="22"/>
                <w:szCs w:val="22"/>
              </w:rPr>
            </w:pPr>
            <w:r w:rsidRPr="00936D28">
              <w:rPr>
                <w:rFonts w:asciiTheme="majorHAnsi" w:hAnsiTheme="majorHAnsi" w:cstheme="majorHAnsi"/>
                <w:b/>
                <w:bCs/>
                <w:sz w:val="22"/>
                <w:szCs w:val="22"/>
              </w:rPr>
              <w:t>Numerator</w:t>
            </w:r>
          </w:p>
        </w:tc>
        <w:tc>
          <w:tcPr>
            <w:tcW w:w="1134" w:type="dxa"/>
          </w:tcPr>
          <w:p w14:paraId="473AF4F4" w14:textId="77777777" w:rsidR="000E1578" w:rsidRPr="00936D28" w:rsidRDefault="000E1578" w:rsidP="000D2587">
            <w:pPr>
              <w:spacing w:after="0"/>
              <w:textboxTightWrap w:val="none"/>
              <w:rPr>
                <w:rFonts w:asciiTheme="majorHAnsi" w:hAnsiTheme="majorHAnsi" w:cstheme="majorHAnsi"/>
                <w:b/>
                <w:bCs/>
                <w:sz w:val="22"/>
                <w:szCs w:val="22"/>
              </w:rPr>
            </w:pPr>
            <w:r w:rsidRPr="00936D28">
              <w:rPr>
                <w:rFonts w:asciiTheme="majorHAnsi" w:hAnsiTheme="majorHAnsi" w:cstheme="majorHAnsi"/>
                <w:b/>
                <w:bCs/>
                <w:sz w:val="22"/>
                <w:szCs w:val="22"/>
              </w:rPr>
              <w:t>Denominator</w:t>
            </w:r>
          </w:p>
        </w:tc>
        <w:tc>
          <w:tcPr>
            <w:tcW w:w="1134" w:type="dxa"/>
          </w:tcPr>
          <w:p w14:paraId="3BD4039E" w14:textId="77777777" w:rsidR="000E1578" w:rsidRPr="00936D28" w:rsidRDefault="000E1578" w:rsidP="000D2587">
            <w:pPr>
              <w:spacing w:after="0"/>
              <w:textboxTightWrap w:val="none"/>
              <w:rPr>
                <w:rFonts w:asciiTheme="majorHAnsi" w:hAnsiTheme="majorHAnsi" w:cstheme="majorHAnsi"/>
                <w:b/>
                <w:bCs/>
                <w:sz w:val="22"/>
                <w:szCs w:val="22"/>
              </w:rPr>
            </w:pPr>
            <w:r w:rsidRPr="00936D28">
              <w:rPr>
                <w:rFonts w:asciiTheme="majorHAnsi" w:hAnsiTheme="majorHAnsi" w:cstheme="majorHAnsi"/>
                <w:b/>
                <w:bCs/>
                <w:sz w:val="22"/>
                <w:szCs w:val="22"/>
              </w:rPr>
              <w:t>Rate per 1,000</w:t>
            </w:r>
          </w:p>
        </w:tc>
        <w:tc>
          <w:tcPr>
            <w:tcW w:w="1134" w:type="dxa"/>
          </w:tcPr>
          <w:p w14:paraId="4F9B891B" w14:textId="77777777" w:rsidR="000E1578" w:rsidRPr="00936D28" w:rsidRDefault="000E1578" w:rsidP="000D2587">
            <w:pPr>
              <w:spacing w:after="0"/>
              <w:textboxTightWrap w:val="none"/>
              <w:rPr>
                <w:rFonts w:asciiTheme="majorHAnsi" w:hAnsiTheme="majorHAnsi" w:cstheme="majorHAnsi"/>
                <w:b/>
                <w:bCs/>
                <w:sz w:val="22"/>
                <w:szCs w:val="22"/>
              </w:rPr>
            </w:pPr>
            <w:r w:rsidRPr="00936D28">
              <w:rPr>
                <w:rFonts w:asciiTheme="majorHAnsi" w:hAnsiTheme="majorHAnsi" w:cstheme="majorHAnsi"/>
                <w:b/>
                <w:bCs/>
                <w:sz w:val="22"/>
                <w:szCs w:val="22"/>
              </w:rPr>
              <w:t>DSR per 1,000</w:t>
            </w:r>
          </w:p>
        </w:tc>
        <w:tc>
          <w:tcPr>
            <w:tcW w:w="1134" w:type="dxa"/>
          </w:tcPr>
          <w:p w14:paraId="1CE7C04E" w14:textId="62B74F65" w:rsidR="000E1578" w:rsidRPr="00936D28" w:rsidRDefault="000E1578" w:rsidP="000D2587">
            <w:pPr>
              <w:spacing w:after="0"/>
              <w:textboxTightWrap w:val="none"/>
              <w:rPr>
                <w:rFonts w:asciiTheme="majorHAnsi" w:hAnsiTheme="majorHAnsi" w:cstheme="majorHAnsi"/>
                <w:b/>
                <w:bCs/>
                <w:sz w:val="22"/>
                <w:szCs w:val="22"/>
              </w:rPr>
            </w:pPr>
            <w:r w:rsidRPr="00936D28">
              <w:rPr>
                <w:rFonts w:asciiTheme="majorHAnsi" w:hAnsiTheme="majorHAnsi" w:cstheme="majorHAnsi"/>
                <w:b/>
                <w:bCs/>
                <w:sz w:val="22"/>
                <w:szCs w:val="22"/>
              </w:rPr>
              <w:t xml:space="preserve">95% Confidence Interval </w:t>
            </w:r>
            <w:proofErr w:type="spellStart"/>
            <w:r w:rsidRPr="00936D28">
              <w:rPr>
                <w:rFonts w:asciiTheme="majorHAnsi" w:hAnsiTheme="majorHAnsi" w:cstheme="majorHAnsi"/>
                <w:b/>
                <w:bCs/>
                <w:sz w:val="22"/>
                <w:szCs w:val="22"/>
              </w:rPr>
              <w:t>DSR</w:t>
            </w:r>
            <w:r w:rsidRPr="00936D28">
              <w:rPr>
                <w:rFonts w:asciiTheme="majorHAnsi" w:hAnsiTheme="majorHAnsi" w:cstheme="majorHAnsi"/>
                <w:b/>
                <w:bCs/>
                <w:i/>
                <w:sz w:val="22"/>
                <w:szCs w:val="22"/>
                <w:vertAlign w:val="subscript"/>
              </w:rPr>
              <w:t>lower</w:t>
            </w:r>
            <w:proofErr w:type="spellEnd"/>
          </w:p>
        </w:tc>
        <w:tc>
          <w:tcPr>
            <w:tcW w:w="1050" w:type="dxa"/>
          </w:tcPr>
          <w:p w14:paraId="01C92E9B" w14:textId="77BBCFDB" w:rsidR="000E1578" w:rsidRPr="00936D28" w:rsidRDefault="000E1578" w:rsidP="000D2587">
            <w:pPr>
              <w:spacing w:after="0"/>
              <w:textboxTightWrap w:val="none"/>
              <w:rPr>
                <w:rFonts w:asciiTheme="majorHAnsi" w:hAnsiTheme="majorHAnsi" w:cstheme="majorHAnsi"/>
                <w:b/>
                <w:bCs/>
                <w:sz w:val="22"/>
                <w:szCs w:val="22"/>
              </w:rPr>
            </w:pPr>
            <w:r w:rsidRPr="00936D28">
              <w:rPr>
                <w:rFonts w:asciiTheme="majorHAnsi" w:hAnsiTheme="majorHAnsi" w:cstheme="majorHAnsi"/>
                <w:b/>
                <w:bCs/>
                <w:sz w:val="22"/>
                <w:szCs w:val="22"/>
              </w:rPr>
              <w:t xml:space="preserve">95% Confidence Interval </w:t>
            </w:r>
            <w:proofErr w:type="spellStart"/>
            <w:r w:rsidRPr="00936D28">
              <w:rPr>
                <w:rFonts w:asciiTheme="majorHAnsi" w:hAnsiTheme="majorHAnsi" w:cstheme="majorHAnsi"/>
                <w:b/>
                <w:bCs/>
                <w:sz w:val="22"/>
                <w:szCs w:val="22"/>
              </w:rPr>
              <w:t>DSR</w:t>
            </w:r>
            <w:r w:rsidRPr="00936D28">
              <w:rPr>
                <w:rFonts w:asciiTheme="majorHAnsi" w:hAnsiTheme="majorHAnsi" w:cstheme="majorHAnsi"/>
                <w:b/>
                <w:bCs/>
                <w:i/>
                <w:sz w:val="22"/>
                <w:szCs w:val="22"/>
                <w:vertAlign w:val="subscript"/>
              </w:rPr>
              <w:t>upper</w:t>
            </w:r>
            <w:proofErr w:type="spellEnd"/>
          </w:p>
        </w:tc>
      </w:tr>
      <w:tr w:rsidR="000E1578" w:rsidRPr="00936D28" w14:paraId="760DC543" w14:textId="77777777" w:rsidTr="000E1578">
        <w:trPr>
          <w:trHeight w:val="255"/>
        </w:trPr>
        <w:tc>
          <w:tcPr>
            <w:tcW w:w="806" w:type="dxa"/>
            <w:vAlign w:val="bottom"/>
          </w:tcPr>
          <w:p w14:paraId="0BFDCB73"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bCs/>
                <w:sz w:val="22"/>
                <w:szCs w:val="22"/>
              </w:rPr>
              <w:t>CCG202</w:t>
            </w:r>
          </w:p>
        </w:tc>
        <w:tc>
          <w:tcPr>
            <w:tcW w:w="1214" w:type="dxa"/>
            <w:vAlign w:val="bottom"/>
          </w:tcPr>
          <w:p w14:paraId="2272A2DE"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326 </w:t>
            </w:r>
          </w:p>
        </w:tc>
        <w:tc>
          <w:tcPr>
            <w:tcW w:w="1134" w:type="dxa"/>
            <w:vAlign w:val="bottom"/>
          </w:tcPr>
          <w:p w14:paraId="22DED8F2"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2,544 </w:t>
            </w:r>
          </w:p>
        </w:tc>
        <w:tc>
          <w:tcPr>
            <w:tcW w:w="1134" w:type="dxa"/>
            <w:vAlign w:val="bottom"/>
          </w:tcPr>
          <w:p w14:paraId="5A357B87"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128.1 </w:t>
            </w:r>
          </w:p>
        </w:tc>
        <w:tc>
          <w:tcPr>
            <w:tcW w:w="1134" w:type="dxa"/>
            <w:vAlign w:val="bottom"/>
          </w:tcPr>
          <w:p w14:paraId="50D0CC0C"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121.5</w:t>
            </w:r>
          </w:p>
        </w:tc>
        <w:tc>
          <w:tcPr>
            <w:tcW w:w="1134" w:type="dxa"/>
            <w:vAlign w:val="bottom"/>
          </w:tcPr>
          <w:p w14:paraId="7530D8AD"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108.5</w:t>
            </w:r>
          </w:p>
        </w:tc>
        <w:tc>
          <w:tcPr>
            <w:tcW w:w="1050" w:type="dxa"/>
            <w:vAlign w:val="bottom"/>
          </w:tcPr>
          <w:p w14:paraId="6DF54966"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135.7</w:t>
            </w:r>
          </w:p>
        </w:tc>
      </w:tr>
      <w:tr w:rsidR="000E1578" w:rsidRPr="00936D28" w14:paraId="604BE145" w14:textId="77777777" w:rsidTr="000E1578">
        <w:trPr>
          <w:trHeight w:val="255"/>
        </w:trPr>
        <w:tc>
          <w:tcPr>
            <w:tcW w:w="806" w:type="dxa"/>
            <w:vAlign w:val="bottom"/>
          </w:tcPr>
          <w:p w14:paraId="09559B3F"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bCs/>
                <w:sz w:val="22"/>
                <w:szCs w:val="22"/>
              </w:rPr>
              <w:t>CCG203</w:t>
            </w:r>
          </w:p>
        </w:tc>
        <w:tc>
          <w:tcPr>
            <w:tcW w:w="1214" w:type="dxa"/>
            <w:vAlign w:val="bottom"/>
          </w:tcPr>
          <w:p w14:paraId="343175C3"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245 </w:t>
            </w:r>
          </w:p>
        </w:tc>
        <w:tc>
          <w:tcPr>
            <w:tcW w:w="1134" w:type="dxa"/>
            <w:vAlign w:val="bottom"/>
          </w:tcPr>
          <w:p w14:paraId="687F8451"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1,985 </w:t>
            </w:r>
          </w:p>
        </w:tc>
        <w:tc>
          <w:tcPr>
            <w:tcW w:w="1134" w:type="dxa"/>
            <w:vAlign w:val="bottom"/>
          </w:tcPr>
          <w:p w14:paraId="7F040664"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123.4 </w:t>
            </w:r>
          </w:p>
        </w:tc>
        <w:tc>
          <w:tcPr>
            <w:tcW w:w="1134" w:type="dxa"/>
            <w:vAlign w:val="bottom"/>
          </w:tcPr>
          <w:p w14:paraId="58762AE7"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121.8</w:t>
            </w:r>
          </w:p>
        </w:tc>
        <w:tc>
          <w:tcPr>
            <w:tcW w:w="1134" w:type="dxa"/>
            <w:vAlign w:val="bottom"/>
          </w:tcPr>
          <w:p w14:paraId="4858D46E"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106.7</w:t>
            </w:r>
          </w:p>
        </w:tc>
        <w:tc>
          <w:tcPr>
            <w:tcW w:w="1050" w:type="dxa"/>
            <w:vAlign w:val="bottom"/>
          </w:tcPr>
          <w:p w14:paraId="12DA6B1D"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138.3</w:t>
            </w:r>
          </w:p>
        </w:tc>
      </w:tr>
      <w:tr w:rsidR="000E1578" w:rsidRPr="00936D28" w14:paraId="3DF54777" w14:textId="77777777" w:rsidTr="000E1578">
        <w:trPr>
          <w:trHeight w:val="255"/>
        </w:trPr>
        <w:tc>
          <w:tcPr>
            <w:tcW w:w="806" w:type="dxa"/>
            <w:vAlign w:val="bottom"/>
          </w:tcPr>
          <w:p w14:paraId="5A0DF493"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bCs/>
                <w:sz w:val="22"/>
                <w:szCs w:val="22"/>
              </w:rPr>
              <w:t>CCG204</w:t>
            </w:r>
          </w:p>
        </w:tc>
        <w:tc>
          <w:tcPr>
            <w:tcW w:w="1214" w:type="dxa"/>
            <w:vAlign w:val="bottom"/>
          </w:tcPr>
          <w:p w14:paraId="646C8371"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321 </w:t>
            </w:r>
          </w:p>
        </w:tc>
        <w:tc>
          <w:tcPr>
            <w:tcW w:w="1134" w:type="dxa"/>
            <w:vAlign w:val="bottom"/>
          </w:tcPr>
          <w:p w14:paraId="31FB704D"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2,552 </w:t>
            </w:r>
          </w:p>
        </w:tc>
        <w:tc>
          <w:tcPr>
            <w:tcW w:w="1134" w:type="dxa"/>
            <w:vAlign w:val="bottom"/>
          </w:tcPr>
          <w:p w14:paraId="1610032E"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125.8 </w:t>
            </w:r>
          </w:p>
        </w:tc>
        <w:tc>
          <w:tcPr>
            <w:tcW w:w="1134" w:type="dxa"/>
            <w:vAlign w:val="bottom"/>
          </w:tcPr>
          <w:p w14:paraId="7F56C0F1"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126.2</w:t>
            </w:r>
          </w:p>
        </w:tc>
        <w:tc>
          <w:tcPr>
            <w:tcW w:w="1134" w:type="dxa"/>
            <w:vAlign w:val="bottom"/>
          </w:tcPr>
          <w:p w14:paraId="3E34D776"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112.6</w:t>
            </w:r>
          </w:p>
        </w:tc>
        <w:tc>
          <w:tcPr>
            <w:tcW w:w="1050" w:type="dxa"/>
            <w:vAlign w:val="bottom"/>
          </w:tcPr>
          <w:p w14:paraId="0C3A91BA"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141.0</w:t>
            </w:r>
          </w:p>
        </w:tc>
      </w:tr>
      <w:tr w:rsidR="000E1578" w:rsidRPr="00936D28" w14:paraId="776B0A07" w14:textId="77777777" w:rsidTr="000E1578">
        <w:trPr>
          <w:trHeight w:val="255"/>
        </w:trPr>
        <w:tc>
          <w:tcPr>
            <w:tcW w:w="806" w:type="dxa"/>
            <w:vAlign w:val="bottom"/>
          </w:tcPr>
          <w:p w14:paraId="05C3713B"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bCs/>
                <w:sz w:val="22"/>
                <w:szCs w:val="22"/>
              </w:rPr>
              <w:t>CCG205</w:t>
            </w:r>
          </w:p>
        </w:tc>
        <w:tc>
          <w:tcPr>
            <w:tcW w:w="1214" w:type="dxa"/>
            <w:vAlign w:val="bottom"/>
          </w:tcPr>
          <w:p w14:paraId="35DBA579"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211 </w:t>
            </w:r>
          </w:p>
        </w:tc>
        <w:tc>
          <w:tcPr>
            <w:tcW w:w="1134" w:type="dxa"/>
            <w:vAlign w:val="bottom"/>
          </w:tcPr>
          <w:p w14:paraId="4667DFE9"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1,530 </w:t>
            </w:r>
          </w:p>
        </w:tc>
        <w:tc>
          <w:tcPr>
            <w:tcW w:w="1134" w:type="dxa"/>
            <w:vAlign w:val="bottom"/>
          </w:tcPr>
          <w:p w14:paraId="1A05B607"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137.9 </w:t>
            </w:r>
          </w:p>
        </w:tc>
        <w:tc>
          <w:tcPr>
            <w:tcW w:w="1134" w:type="dxa"/>
            <w:vAlign w:val="bottom"/>
          </w:tcPr>
          <w:p w14:paraId="6824EFD9"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136.1</w:t>
            </w:r>
          </w:p>
        </w:tc>
        <w:tc>
          <w:tcPr>
            <w:tcW w:w="1134" w:type="dxa"/>
            <w:vAlign w:val="bottom"/>
          </w:tcPr>
          <w:p w14:paraId="6C1258B5"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117.9</w:t>
            </w:r>
          </w:p>
        </w:tc>
        <w:tc>
          <w:tcPr>
            <w:tcW w:w="1050" w:type="dxa"/>
            <w:vAlign w:val="bottom"/>
          </w:tcPr>
          <w:p w14:paraId="16E201C8"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156.2</w:t>
            </w:r>
          </w:p>
        </w:tc>
      </w:tr>
      <w:tr w:rsidR="000E1578" w:rsidRPr="00936D28" w14:paraId="3D6678D7" w14:textId="77777777" w:rsidTr="000E1578">
        <w:trPr>
          <w:trHeight w:val="255"/>
        </w:trPr>
        <w:tc>
          <w:tcPr>
            <w:tcW w:w="806" w:type="dxa"/>
            <w:vAlign w:val="bottom"/>
          </w:tcPr>
          <w:p w14:paraId="606CAD78"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bCs/>
                <w:sz w:val="22"/>
                <w:szCs w:val="22"/>
              </w:rPr>
              <w:t>CCG206</w:t>
            </w:r>
          </w:p>
        </w:tc>
        <w:tc>
          <w:tcPr>
            <w:tcW w:w="1214" w:type="dxa"/>
            <w:vAlign w:val="bottom"/>
          </w:tcPr>
          <w:p w14:paraId="4447C968"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185 </w:t>
            </w:r>
          </w:p>
        </w:tc>
        <w:tc>
          <w:tcPr>
            <w:tcW w:w="1134" w:type="dxa"/>
            <w:vAlign w:val="bottom"/>
          </w:tcPr>
          <w:p w14:paraId="11067B71"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1,281 </w:t>
            </w:r>
          </w:p>
        </w:tc>
        <w:tc>
          <w:tcPr>
            <w:tcW w:w="1134" w:type="dxa"/>
            <w:vAlign w:val="bottom"/>
          </w:tcPr>
          <w:p w14:paraId="40BA5DAA"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144.4 </w:t>
            </w:r>
          </w:p>
        </w:tc>
        <w:tc>
          <w:tcPr>
            <w:tcW w:w="1134" w:type="dxa"/>
            <w:vAlign w:val="bottom"/>
          </w:tcPr>
          <w:p w14:paraId="48A824C4"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139.1</w:t>
            </w:r>
          </w:p>
        </w:tc>
        <w:tc>
          <w:tcPr>
            <w:tcW w:w="1134" w:type="dxa"/>
            <w:vAlign w:val="bottom"/>
          </w:tcPr>
          <w:p w14:paraId="75973D28"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119.3</w:t>
            </w:r>
          </w:p>
        </w:tc>
        <w:tc>
          <w:tcPr>
            <w:tcW w:w="1050" w:type="dxa"/>
            <w:vAlign w:val="bottom"/>
          </w:tcPr>
          <w:p w14:paraId="46120C16"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161.2</w:t>
            </w:r>
          </w:p>
        </w:tc>
      </w:tr>
      <w:tr w:rsidR="000E1578" w:rsidRPr="00936D28" w14:paraId="0D4737EF" w14:textId="77777777" w:rsidTr="000E1578">
        <w:trPr>
          <w:trHeight w:val="255"/>
        </w:trPr>
        <w:tc>
          <w:tcPr>
            <w:tcW w:w="806" w:type="dxa"/>
            <w:vAlign w:val="bottom"/>
          </w:tcPr>
          <w:p w14:paraId="1F36A992"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bCs/>
                <w:sz w:val="22"/>
                <w:szCs w:val="22"/>
              </w:rPr>
              <w:t>CCG207</w:t>
            </w:r>
          </w:p>
        </w:tc>
        <w:tc>
          <w:tcPr>
            <w:tcW w:w="1214" w:type="dxa"/>
            <w:vAlign w:val="bottom"/>
          </w:tcPr>
          <w:p w14:paraId="0F141B3C"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237 </w:t>
            </w:r>
          </w:p>
        </w:tc>
        <w:tc>
          <w:tcPr>
            <w:tcW w:w="1134" w:type="dxa"/>
            <w:vAlign w:val="bottom"/>
          </w:tcPr>
          <w:p w14:paraId="1165946E"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1,587 </w:t>
            </w:r>
          </w:p>
        </w:tc>
        <w:tc>
          <w:tcPr>
            <w:tcW w:w="1134" w:type="dxa"/>
            <w:vAlign w:val="bottom"/>
          </w:tcPr>
          <w:p w14:paraId="00FC0C51"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149.3 </w:t>
            </w:r>
          </w:p>
        </w:tc>
        <w:tc>
          <w:tcPr>
            <w:tcW w:w="1134" w:type="dxa"/>
            <w:vAlign w:val="bottom"/>
          </w:tcPr>
          <w:p w14:paraId="6071366C"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142.1</w:t>
            </w:r>
          </w:p>
        </w:tc>
        <w:tc>
          <w:tcPr>
            <w:tcW w:w="1134" w:type="dxa"/>
            <w:vAlign w:val="bottom"/>
          </w:tcPr>
          <w:p w14:paraId="7241B383"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123.8</w:t>
            </w:r>
          </w:p>
        </w:tc>
        <w:tc>
          <w:tcPr>
            <w:tcW w:w="1050" w:type="dxa"/>
            <w:vAlign w:val="bottom"/>
          </w:tcPr>
          <w:p w14:paraId="5D908B92"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162.2</w:t>
            </w:r>
          </w:p>
        </w:tc>
      </w:tr>
      <w:tr w:rsidR="000E1578" w:rsidRPr="00936D28" w14:paraId="3E173308" w14:textId="77777777" w:rsidTr="000E1578">
        <w:trPr>
          <w:trHeight w:val="255"/>
        </w:trPr>
        <w:tc>
          <w:tcPr>
            <w:tcW w:w="806" w:type="dxa"/>
            <w:vAlign w:val="bottom"/>
          </w:tcPr>
          <w:p w14:paraId="003981C7"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bCs/>
                <w:sz w:val="22"/>
                <w:szCs w:val="22"/>
              </w:rPr>
              <w:t>CCG208</w:t>
            </w:r>
          </w:p>
        </w:tc>
        <w:tc>
          <w:tcPr>
            <w:tcW w:w="1214" w:type="dxa"/>
            <w:vAlign w:val="bottom"/>
          </w:tcPr>
          <w:p w14:paraId="39345A61"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372 </w:t>
            </w:r>
          </w:p>
        </w:tc>
        <w:tc>
          <w:tcPr>
            <w:tcW w:w="1134" w:type="dxa"/>
            <w:vAlign w:val="bottom"/>
          </w:tcPr>
          <w:p w14:paraId="287BFFBA"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2,055 </w:t>
            </w:r>
          </w:p>
        </w:tc>
        <w:tc>
          <w:tcPr>
            <w:tcW w:w="1134" w:type="dxa"/>
            <w:vAlign w:val="bottom"/>
          </w:tcPr>
          <w:p w14:paraId="380E452F"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181.0 </w:t>
            </w:r>
          </w:p>
        </w:tc>
        <w:tc>
          <w:tcPr>
            <w:tcW w:w="1134" w:type="dxa"/>
            <w:vAlign w:val="bottom"/>
          </w:tcPr>
          <w:p w14:paraId="1680E1E9"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165.9</w:t>
            </w:r>
          </w:p>
        </w:tc>
        <w:tc>
          <w:tcPr>
            <w:tcW w:w="1134" w:type="dxa"/>
            <w:vAlign w:val="bottom"/>
          </w:tcPr>
          <w:p w14:paraId="69676635"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149.0</w:t>
            </w:r>
          </w:p>
        </w:tc>
        <w:tc>
          <w:tcPr>
            <w:tcW w:w="1050" w:type="dxa"/>
            <w:vAlign w:val="bottom"/>
          </w:tcPr>
          <w:p w14:paraId="3EC8F2CB"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184.0</w:t>
            </w:r>
          </w:p>
        </w:tc>
      </w:tr>
      <w:tr w:rsidR="000E1578" w:rsidRPr="00936D28" w14:paraId="6C5037A1" w14:textId="77777777" w:rsidTr="000E1578">
        <w:trPr>
          <w:trHeight w:val="255"/>
        </w:trPr>
        <w:tc>
          <w:tcPr>
            <w:tcW w:w="806" w:type="dxa"/>
            <w:vAlign w:val="bottom"/>
          </w:tcPr>
          <w:p w14:paraId="1B0D9938"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bCs/>
                <w:sz w:val="22"/>
                <w:szCs w:val="22"/>
              </w:rPr>
              <w:t>CCG209</w:t>
            </w:r>
          </w:p>
        </w:tc>
        <w:tc>
          <w:tcPr>
            <w:tcW w:w="1214" w:type="dxa"/>
            <w:vAlign w:val="bottom"/>
          </w:tcPr>
          <w:p w14:paraId="73BBAE9D"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1,173 </w:t>
            </w:r>
          </w:p>
        </w:tc>
        <w:tc>
          <w:tcPr>
            <w:tcW w:w="1134" w:type="dxa"/>
            <w:vAlign w:val="bottom"/>
          </w:tcPr>
          <w:p w14:paraId="0226C2DC"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6,558 </w:t>
            </w:r>
          </w:p>
        </w:tc>
        <w:tc>
          <w:tcPr>
            <w:tcW w:w="1134" w:type="dxa"/>
            <w:vAlign w:val="bottom"/>
          </w:tcPr>
          <w:p w14:paraId="240E3549"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178.9 </w:t>
            </w:r>
          </w:p>
        </w:tc>
        <w:tc>
          <w:tcPr>
            <w:tcW w:w="1134" w:type="dxa"/>
            <w:vAlign w:val="bottom"/>
          </w:tcPr>
          <w:p w14:paraId="501EF050"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169.1</w:t>
            </w:r>
          </w:p>
        </w:tc>
        <w:tc>
          <w:tcPr>
            <w:tcW w:w="1134" w:type="dxa"/>
            <w:vAlign w:val="bottom"/>
          </w:tcPr>
          <w:p w14:paraId="4DF5FFC8"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159.1</w:t>
            </w:r>
          </w:p>
        </w:tc>
        <w:tc>
          <w:tcPr>
            <w:tcW w:w="1050" w:type="dxa"/>
            <w:vAlign w:val="bottom"/>
          </w:tcPr>
          <w:p w14:paraId="716289E0"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179.5</w:t>
            </w:r>
          </w:p>
        </w:tc>
      </w:tr>
      <w:tr w:rsidR="000E1578" w:rsidRPr="00936D28" w14:paraId="1E677727" w14:textId="77777777" w:rsidTr="000E1578">
        <w:trPr>
          <w:trHeight w:val="255"/>
        </w:trPr>
        <w:tc>
          <w:tcPr>
            <w:tcW w:w="806" w:type="dxa"/>
            <w:vAlign w:val="bottom"/>
          </w:tcPr>
          <w:p w14:paraId="5C7312FF"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bCs/>
                <w:sz w:val="22"/>
                <w:szCs w:val="22"/>
              </w:rPr>
              <w:t>CCG210</w:t>
            </w:r>
          </w:p>
        </w:tc>
        <w:tc>
          <w:tcPr>
            <w:tcW w:w="1214" w:type="dxa"/>
            <w:vAlign w:val="bottom"/>
          </w:tcPr>
          <w:p w14:paraId="45ACB60D"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148 </w:t>
            </w:r>
          </w:p>
        </w:tc>
        <w:tc>
          <w:tcPr>
            <w:tcW w:w="1134" w:type="dxa"/>
            <w:vAlign w:val="bottom"/>
          </w:tcPr>
          <w:p w14:paraId="0DD0DC67"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746 </w:t>
            </w:r>
          </w:p>
        </w:tc>
        <w:tc>
          <w:tcPr>
            <w:tcW w:w="1134" w:type="dxa"/>
            <w:vAlign w:val="bottom"/>
          </w:tcPr>
          <w:p w14:paraId="20A4206E"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198.4 </w:t>
            </w:r>
          </w:p>
        </w:tc>
        <w:tc>
          <w:tcPr>
            <w:tcW w:w="1134" w:type="dxa"/>
            <w:vAlign w:val="bottom"/>
          </w:tcPr>
          <w:p w14:paraId="537CDA9A"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191.0</w:t>
            </w:r>
          </w:p>
        </w:tc>
        <w:tc>
          <w:tcPr>
            <w:tcW w:w="1134" w:type="dxa"/>
            <w:vAlign w:val="bottom"/>
          </w:tcPr>
          <w:p w14:paraId="77DB1A16"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160.8</w:t>
            </w:r>
          </w:p>
        </w:tc>
        <w:tc>
          <w:tcPr>
            <w:tcW w:w="1050" w:type="dxa"/>
            <w:vAlign w:val="bottom"/>
          </w:tcPr>
          <w:p w14:paraId="2B84BD86"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225.1</w:t>
            </w:r>
          </w:p>
        </w:tc>
      </w:tr>
      <w:tr w:rsidR="000E1578" w:rsidRPr="00936D28" w14:paraId="1364C4B1" w14:textId="77777777" w:rsidTr="000E1578">
        <w:trPr>
          <w:trHeight w:val="255"/>
        </w:trPr>
        <w:tc>
          <w:tcPr>
            <w:tcW w:w="806" w:type="dxa"/>
            <w:vAlign w:val="bottom"/>
          </w:tcPr>
          <w:p w14:paraId="0252D2DC"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bCs/>
                <w:sz w:val="22"/>
                <w:szCs w:val="22"/>
              </w:rPr>
              <w:t>CCG211</w:t>
            </w:r>
          </w:p>
        </w:tc>
        <w:tc>
          <w:tcPr>
            <w:tcW w:w="1214" w:type="dxa"/>
            <w:vAlign w:val="bottom"/>
          </w:tcPr>
          <w:p w14:paraId="3E700489"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1,635 </w:t>
            </w:r>
          </w:p>
        </w:tc>
        <w:tc>
          <w:tcPr>
            <w:tcW w:w="1134" w:type="dxa"/>
            <w:vAlign w:val="bottom"/>
          </w:tcPr>
          <w:p w14:paraId="6A6AC19A"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7,902 </w:t>
            </w:r>
          </w:p>
        </w:tc>
        <w:tc>
          <w:tcPr>
            <w:tcW w:w="1134" w:type="dxa"/>
            <w:vAlign w:val="bottom"/>
          </w:tcPr>
          <w:p w14:paraId="1C922CE1"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 xml:space="preserve">     206.9 </w:t>
            </w:r>
          </w:p>
        </w:tc>
        <w:tc>
          <w:tcPr>
            <w:tcW w:w="1134" w:type="dxa"/>
            <w:vAlign w:val="bottom"/>
          </w:tcPr>
          <w:p w14:paraId="2ED077D9"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204.9</w:t>
            </w:r>
          </w:p>
        </w:tc>
        <w:tc>
          <w:tcPr>
            <w:tcW w:w="1134" w:type="dxa"/>
            <w:vAlign w:val="bottom"/>
          </w:tcPr>
          <w:p w14:paraId="0E929DF2"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195.0</w:t>
            </w:r>
          </w:p>
        </w:tc>
        <w:tc>
          <w:tcPr>
            <w:tcW w:w="1050" w:type="dxa"/>
            <w:vAlign w:val="bottom"/>
          </w:tcPr>
          <w:p w14:paraId="29C205C9" w14:textId="77777777" w:rsidR="000E1578" w:rsidRPr="00936D28" w:rsidRDefault="000E1578" w:rsidP="000D2587">
            <w:pPr>
              <w:spacing w:after="0"/>
              <w:textboxTightWrap w:val="none"/>
              <w:rPr>
                <w:rFonts w:asciiTheme="majorHAnsi" w:hAnsiTheme="majorHAnsi" w:cstheme="majorHAnsi"/>
                <w:bCs/>
                <w:sz w:val="22"/>
                <w:szCs w:val="22"/>
              </w:rPr>
            </w:pPr>
            <w:r w:rsidRPr="00936D28">
              <w:rPr>
                <w:rFonts w:asciiTheme="majorHAnsi" w:hAnsiTheme="majorHAnsi" w:cstheme="majorHAnsi"/>
                <w:sz w:val="22"/>
                <w:szCs w:val="22"/>
              </w:rPr>
              <w:t>215.1</w:t>
            </w:r>
          </w:p>
        </w:tc>
      </w:tr>
    </w:tbl>
    <w:p w14:paraId="5ABF3E6A" w14:textId="75CA414B" w:rsidR="000E1578" w:rsidRDefault="000E1578"/>
    <w:p w14:paraId="6B37E3D0" w14:textId="77777777" w:rsidR="000E1578" w:rsidRDefault="000E1578"/>
    <w:p w14:paraId="5AD6B620" w14:textId="6FDEA2E4" w:rsidR="000E1578" w:rsidRDefault="000E1578">
      <w:r w:rsidRPr="00936D28">
        <w:rPr>
          <w:rFonts w:asciiTheme="majorHAnsi" w:hAnsiTheme="majorHAnsi" w:cstheme="majorHAnsi"/>
          <w:noProof/>
          <w:sz w:val="22"/>
          <w:szCs w:val="22"/>
        </w:rPr>
        <w:lastRenderedPageBreak/>
        <w:drawing>
          <wp:inline distT="0" distB="0" distL="0" distR="0" wp14:anchorId="4B1C06C1" wp14:editId="1517EB3B">
            <wp:extent cx="5158854" cy="3234520"/>
            <wp:effectExtent l="0" t="0" r="22860" b="23495"/>
            <wp:docPr id="7" name="Chart 7" descr="chart to show mental health readmissions directly standardised rate per 100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9BFF83" w14:textId="25A614B1" w:rsidR="000E1578" w:rsidRDefault="000E1578"/>
    <w:p w14:paraId="6F748471" w14:textId="6409E174" w:rsidR="000E1578" w:rsidRDefault="000E1578"/>
    <w:p w14:paraId="6A1B0976" w14:textId="2A46EA68" w:rsidR="000E1578" w:rsidRDefault="000E1578"/>
    <w:p w14:paraId="7D9B58E4" w14:textId="4BAE1D1C" w:rsidR="000E1578" w:rsidRDefault="000E1578"/>
    <w:p w14:paraId="719FA5CB" w14:textId="14A848CC" w:rsidR="000E1578" w:rsidRDefault="000E1578"/>
    <w:p w14:paraId="16FD6AE4" w14:textId="12FA69D3" w:rsidR="000E1578" w:rsidRDefault="000E1578"/>
    <w:p w14:paraId="2BBA7196" w14:textId="2AA4483B" w:rsidR="000E1578" w:rsidRDefault="000E1578"/>
    <w:p w14:paraId="7B73D6DF" w14:textId="2607283E" w:rsidR="000E1578" w:rsidRDefault="000E1578"/>
    <w:p w14:paraId="7B9F967B" w14:textId="345CE339" w:rsidR="000E1578" w:rsidRDefault="000E1578"/>
    <w:p w14:paraId="6A85C2F8" w14:textId="77777777" w:rsidR="000E1578" w:rsidRDefault="000E1578"/>
    <w:tbl>
      <w:tblPr>
        <w:tblStyle w:val="TableGrid"/>
        <w:tblW w:w="9923" w:type="dxa"/>
        <w:tblLayout w:type="fixed"/>
        <w:tblLook w:val="01E0" w:firstRow="1" w:lastRow="1" w:firstColumn="1" w:lastColumn="1" w:noHBand="0" w:noVBand="0"/>
      </w:tblPr>
      <w:tblGrid>
        <w:gridCol w:w="1701"/>
        <w:gridCol w:w="8222"/>
      </w:tblGrid>
      <w:tr w:rsidR="00460B4E" w:rsidRPr="00936D28" w14:paraId="09010846" w14:textId="77777777" w:rsidTr="002F05F5">
        <w:tc>
          <w:tcPr>
            <w:tcW w:w="1701" w:type="dxa"/>
          </w:tcPr>
          <w:p w14:paraId="696A13B9" w14:textId="312D208F" w:rsidR="00C62A77" w:rsidRPr="00936D28" w:rsidRDefault="00C62A77" w:rsidP="00C62A77">
            <w:p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t>Updated Potential Issues</w:t>
            </w:r>
          </w:p>
        </w:tc>
        <w:tc>
          <w:tcPr>
            <w:tcW w:w="8222" w:type="dxa"/>
          </w:tcPr>
          <w:p w14:paraId="2583842A" w14:textId="77777777" w:rsidR="00C62A77" w:rsidRPr="00936D28" w:rsidRDefault="00C62A77" w:rsidP="00C62A77">
            <w:p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t xml:space="preserve">This indicator does not capture cases where a readmission occurs at a different Mental Health service than the one that discharged the patient. This will potentially exclude activity elsewhere and underestimate a services true readmission rate. </w:t>
            </w:r>
          </w:p>
          <w:p w14:paraId="4171FE93" w14:textId="0D96D1EC" w:rsidR="00C62A77" w:rsidRPr="00936D28" w:rsidRDefault="00C62A77" w:rsidP="00C62A77">
            <w:pPr>
              <w:spacing w:after="0"/>
              <w:textboxTightWrap w:val="none"/>
              <w:rPr>
                <w:rFonts w:asciiTheme="majorHAnsi" w:hAnsiTheme="majorHAnsi" w:cstheme="majorHAnsi"/>
                <w:sz w:val="22"/>
                <w:szCs w:val="22"/>
              </w:rPr>
            </w:pPr>
          </w:p>
          <w:p w14:paraId="6DFFFF55" w14:textId="77777777" w:rsidR="00000D88" w:rsidRPr="00936D28" w:rsidRDefault="00000D88" w:rsidP="00C62A77">
            <w:pPr>
              <w:spacing w:after="0"/>
              <w:textboxTightWrap w:val="none"/>
              <w:rPr>
                <w:rFonts w:asciiTheme="majorHAnsi" w:hAnsiTheme="majorHAnsi" w:cstheme="majorHAnsi"/>
                <w:sz w:val="22"/>
                <w:szCs w:val="22"/>
              </w:rPr>
            </w:pPr>
          </w:p>
          <w:p w14:paraId="4D401389" w14:textId="77777777" w:rsidR="00C62A77" w:rsidRPr="00936D28" w:rsidRDefault="00C62A77" w:rsidP="00C62A77">
            <w:p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t xml:space="preserve">No adjustment is put in place for more severe mental illness that may have a higher readmission rate than a more mild mental illness; this could unfairly punish Mental Health services that deal with more serious cases. </w:t>
            </w:r>
          </w:p>
          <w:p w14:paraId="2E3A4936" w14:textId="77777777" w:rsidR="00C62A77" w:rsidRPr="00936D28" w:rsidRDefault="00C62A77" w:rsidP="00C62A77">
            <w:pPr>
              <w:spacing w:after="0"/>
              <w:textboxTightWrap w:val="none"/>
              <w:rPr>
                <w:rFonts w:asciiTheme="majorHAnsi" w:hAnsiTheme="majorHAnsi" w:cstheme="majorHAnsi"/>
                <w:sz w:val="22"/>
                <w:szCs w:val="22"/>
              </w:rPr>
            </w:pPr>
          </w:p>
          <w:p w14:paraId="0D175950" w14:textId="77777777" w:rsidR="00C62A77" w:rsidRPr="00936D28" w:rsidRDefault="00C62A77" w:rsidP="00C62A77">
            <w:p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t xml:space="preserve">The updated methodology used to obtain mental health readmissions will be inconsistent with other readmission indicators in the CCG OIS. However, if the original methodology is used, it will be inconsistent with a measure produced on a </w:t>
            </w:r>
            <w:r w:rsidRPr="00936D28">
              <w:rPr>
                <w:rFonts w:asciiTheme="majorHAnsi" w:hAnsiTheme="majorHAnsi" w:cstheme="majorHAnsi"/>
                <w:sz w:val="22"/>
                <w:szCs w:val="22"/>
              </w:rPr>
              <w:lastRenderedPageBreak/>
              <w:t xml:space="preserve">monthly basis as part of the Mental Health Bulletin. If the monthly figure produced in the Mental Health Bulletin were to be aggregated to an annual figure, it will not match the one presented by this indicator, even though they are purporting to measure the same thing.  We recommend using the method that is consistent with the Mental Health Bulletin to minimise the risk of inconsistent indicators being produced. </w:t>
            </w:r>
          </w:p>
          <w:p w14:paraId="53CA0A7C" w14:textId="77777777" w:rsidR="00C62A77" w:rsidRPr="00936D28" w:rsidRDefault="00C62A77" w:rsidP="00C62A77">
            <w:pPr>
              <w:spacing w:after="0"/>
              <w:textboxTightWrap w:val="none"/>
              <w:rPr>
                <w:rFonts w:asciiTheme="majorHAnsi" w:hAnsiTheme="majorHAnsi" w:cstheme="majorHAnsi"/>
                <w:sz w:val="22"/>
                <w:szCs w:val="22"/>
              </w:rPr>
            </w:pPr>
          </w:p>
        </w:tc>
      </w:tr>
    </w:tbl>
    <w:p w14:paraId="07A71503" w14:textId="77777777" w:rsidR="007D13A1" w:rsidRPr="00936D28" w:rsidRDefault="007D13A1">
      <w:pPr>
        <w:spacing w:after="0"/>
        <w:textboxTightWrap w:val="none"/>
        <w:rPr>
          <w:rFonts w:asciiTheme="majorHAnsi" w:eastAsia="MS Mincho" w:hAnsiTheme="majorHAnsi" w:cstheme="majorHAnsi"/>
          <w:b/>
          <w:spacing w:val="-8"/>
          <w:kern w:val="28"/>
          <w:sz w:val="22"/>
          <w:szCs w:val="22"/>
          <w14:ligatures w14:val="standardContextual"/>
        </w:rPr>
      </w:pPr>
    </w:p>
    <w:p w14:paraId="2FDDD4AE" w14:textId="77777777" w:rsidR="00C62A77" w:rsidRPr="00936D28" w:rsidRDefault="00C62A77">
      <w:pPr>
        <w:spacing w:after="0"/>
        <w:textboxTightWrap w:val="none"/>
        <w:rPr>
          <w:rFonts w:asciiTheme="majorHAnsi" w:eastAsia="MS Mincho" w:hAnsiTheme="majorHAnsi" w:cstheme="majorHAnsi"/>
          <w:b/>
          <w:spacing w:val="-8"/>
          <w:kern w:val="28"/>
          <w:sz w:val="22"/>
          <w:szCs w:val="22"/>
          <w14:ligatures w14:val="standardContextual"/>
        </w:rPr>
      </w:pPr>
      <w:r w:rsidRPr="00936D28">
        <w:rPr>
          <w:rFonts w:asciiTheme="majorHAnsi" w:hAnsiTheme="majorHAnsi" w:cstheme="majorHAnsi"/>
          <w:sz w:val="22"/>
          <w:szCs w:val="22"/>
        </w:rPr>
        <w:br w:type="page"/>
      </w:r>
    </w:p>
    <w:p w14:paraId="6C34E0B7" w14:textId="2E24A741" w:rsidR="00A7524F" w:rsidRPr="00936D28" w:rsidRDefault="003A37BA" w:rsidP="00936D28">
      <w:pPr>
        <w:pStyle w:val="Heading2"/>
        <w:numPr>
          <w:ilvl w:val="1"/>
          <w:numId w:val="8"/>
        </w:numPr>
        <w:rPr>
          <w:rFonts w:asciiTheme="majorHAnsi" w:hAnsiTheme="majorHAnsi" w:cstheme="majorHAnsi"/>
          <w:color w:val="auto"/>
          <w:sz w:val="22"/>
          <w:szCs w:val="22"/>
        </w:rPr>
      </w:pPr>
      <w:bookmarkStart w:id="5" w:name="_Toc389568158"/>
      <w:r w:rsidRPr="00936D28">
        <w:rPr>
          <w:rFonts w:asciiTheme="majorHAnsi" w:hAnsiTheme="majorHAnsi" w:cstheme="majorHAnsi"/>
          <w:color w:val="auto"/>
          <w:sz w:val="22"/>
          <w:szCs w:val="22"/>
        </w:rPr>
        <w:lastRenderedPageBreak/>
        <w:t>Health related quality of life for people with long term mental health conditions (CCG OIS)</w:t>
      </w:r>
      <w:bookmarkEnd w:id="5"/>
    </w:p>
    <w:p w14:paraId="439DAD96" w14:textId="77777777" w:rsidR="003A37BA" w:rsidRPr="00936D28" w:rsidRDefault="003A37BA" w:rsidP="003A37BA">
      <w:pPr>
        <w:rPr>
          <w:rFonts w:asciiTheme="majorHAnsi" w:hAnsiTheme="majorHAnsi" w:cstheme="majorHAnsi"/>
          <w:i/>
          <w:sz w:val="22"/>
          <w:szCs w:val="22"/>
        </w:rPr>
      </w:pPr>
      <w:r w:rsidRPr="00936D28">
        <w:rPr>
          <w:rFonts w:asciiTheme="majorHAnsi" w:hAnsiTheme="majorHAnsi" w:cstheme="majorHAnsi"/>
          <w:i/>
          <w:sz w:val="22"/>
          <w:szCs w:val="22"/>
        </w:rPr>
        <w:t>Presented by: Matt Curley</w:t>
      </w:r>
    </w:p>
    <w:p w14:paraId="13193CEB" w14:textId="3EB3F090" w:rsidR="007D13A1" w:rsidRPr="00936D28" w:rsidRDefault="007D13A1" w:rsidP="00B6479F">
      <w:pPr>
        <w:rPr>
          <w:rFonts w:asciiTheme="majorHAnsi" w:hAnsiTheme="majorHAnsi" w:cstheme="majorHAnsi"/>
          <w:b/>
          <w:sz w:val="22"/>
          <w:szCs w:val="22"/>
        </w:rPr>
      </w:pPr>
      <w:r w:rsidRPr="00936D28">
        <w:rPr>
          <w:rFonts w:asciiTheme="majorHAnsi" w:hAnsiTheme="majorHAnsi" w:cstheme="majorHAnsi"/>
          <w:b/>
          <w:sz w:val="22"/>
          <w:szCs w:val="22"/>
        </w:rPr>
        <w:t>Background information (Initial Submission</w:t>
      </w:r>
      <w:r w:rsidR="00EA2382" w:rsidRPr="00936D28">
        <w:rPr>
          <w:rFonts w:asciiTheme="majorHAnsi" w:hAnsiTheme="majorHAnsi" w:cstheme="majorHAnsi"/>
          <w:b/>
          <w:sz w:val="22"/>
          <w:szCs w:val="22"/>
        </w:rPr>
        <w:t xml:space="preserve"> Previously discussed by MRG</w:t>
      </w:r>
      <w:r w:rsidR="008C6515" w:rsidRPr="00936D28">
        <w:rPr>
          <w:rFonts w:asciiTheme="majorHAnsi" w:hAnsiTheme="majorHAnsi" w:cstheme="majorHAnsi"/>
          <w:b/>
          <w:sz w:val="22"/>
          <w:szCs w:val="22"/>
        </w:rPr>
        <w:t xml:space="preserve"> 15/11/13</w:t>
      </w:r>
      <w:r w:rsidRPr="00936D28">
        <w:rPr>
          <w:rFonts w:asciiTheme="majorHAnsi" w:hAnsiTheme="majorHAnsi" w:cstheme="majorHAnsi"/>
          <w:b/>
          <w:sz w:val="22"/>
          <w:szCs w:val="22"/>
        </w:rPr>
        <w:t>)</w:t>
      </w:r>
      <w:r w:rsidR="008C6515" w:rsidRPr="00936D28">
        <w:rPr>
          <w:rFonts w:asciiTheme="majorHAnsi" w:hAnsiTheme="majorHAnsi" w:cstheme="majorHAnsi"/>
          <w:b/>
          <w:sz w:val="22"/>
          <w:szCs w:val="22"/>
        </w:rPr>
        <w:t xml:space="preserve"> </w:t>
      </w:r>
      <w:r w:rsidR="00CF5D36" w:rsidRPr="00936D28">
        <w:rPr>
          <w:rFonts w:asciiTheme="majorHAnsi" w:hAnsiTheme="majorHAnsi" w:cstheme="majorHAnsi"/>
          <w:b/>
          <w:sz w:val="22"/>
          <w:szCs w:val="22"/>
        </w:rPr>
        <w:t xml:space="preserve">- </w:t>
      </w:r>
      <w:r w:rsidR="00CF5D36" w:rsidRPr="00936D28">
        <w:rPr>
          <w:rFonts w:asciiTheme="majorHAnsi" w:hAnsiTheme="majorHAnsi" w:cstheme="majorHAnsi"/>
          <w:b/>
          <w:i/>
          <w:sz w:val="22"/>
          <w:szCs w:val="22"/>
        </w:rPr>
        <w:t>shaded in grey</w:t>
      </w:r>
    </w:p>
    <w:tbl>
      <w:tblPr>
        <w:tblStyle w:val="TableGrid"/>
        <w:tblW w:w="9923" w:type="dxa"/>
        <w:tblLayout w:type="fixed"/>
        <w:tblLook w:val="01E0" w:firstRow="1" w:lastRow="1" w:firstColumn="1" w:lastColumn="1" w:noHBand="0" w:noVBand="0"/>
      </w:tblPr>
      <w:tblGrid>
        <w:gridCol w:w="2125"/>
        <w:gridCol w:w="7798"/>
      </w:tblGrid>
      <w:tr w:rsidR="00460B4E" w:rsidRPr="00936D28" w14:paraId="458644EA" w14:textId="77777777" w:rsidTr="002F05F5">
        <w:tc>
          <w:tcPr>
            <w:tcW w:w="2125" w:type="dxa"/>
          </w:tcPr>
          <w:p w14:paraId="4A42CCA7" w14:textId="77777777" w:rsidR="003A37BA" w:rsidRPr="00936D28" w:rsidRDefault="003A37BA" w:rsidP="003A37BA">
            <w:pPr>
              <w:rPr>
                <w:rFonts w:asciiTheme="majorHAnsi" w:hAnsiTheme="majorHAnsi" w:cstheme="majorHAnsi"/>
                <w:sz w:val="22"/>
                <w:szCs w:val="22"/>
              </w:rPr>
            </w:pPr>
            <w:r w:rsidRPr="00936D28">
              <w:rPr>
                <w:rFonts w:asciiTheme="majorHAnsi" w:hAnsiTheme="majorHAnsi" w:cstheme="majorHAnsi"/>
                <w:sz w:val="22"/>
                <w:szCs w:val="22"/>
              </w:rPr>
              <w:t xml:space="preserve">Rationale / usefulness </w:t>
            </w:r>
          </w:p>
          <w:p w14:paraId="7FB1EEDE" w14:textId="77777777" w:rsidR="003A37BA" w:rsidRPr="00936D28" w:rsidRDefault="003A37BA" w:rsidP="003A37BA">
            <w:pPr>
              <w:rPr>
                <w:rFonts w:asciiTheme="majorHAnsi" w:hAnsiTheme="majorHAnsi" w:cstheme="majorHAnsi"/>
                <w:sz w:val="22"/>
                <w:szCs w:val="22"/>
              </w:rPr>
            </w:pPr>
          </w:p>
        </w:tc>
        <w:tc>
          <w:tcPr>
            <w:tcW w:w="7798" w:type="dxa"/>
          </w:tcPr>
          <w:p w14:paraId="08EE80D9" w14:textId="77777777" w:rsidR="003A37BA" w:rsidRPr="00936D28" w:rsidRDefault="003A37BA" w:rsidP="003A37BA">
            <w:pPr>
              <w:rPr>
                <w:rFonts w:asciiTheme="majorHAnsi" w:hAnsiTheme="majorHAnsi" w:cstheme="majorHAnsi"/>
                <w:sz w:val="22"/>
                <w:szCs w:val="22"/>
              </w:rPr>
            </w:pPr>
            <w:r w:rsidRPr="00936D28">
              <w:rPr>
                <w:rFonts w:asciiTheme="majorHAnsi" w:hAnsiTheme="majorHAnsi" w:cstheme="majorHAnsi"/>
                <w:sz w:val="22"/>
                <w:szCs w:val="22"/>
              </w:rPr>
              <w:t>This indicator seeks to capture how successfully the NHS is supporting people with a long-term mental health condition to live as normal a life as possible.  It will help people to understand whether health related quality of life is improving over time for adults with a long-term mental health condition.  The indicator uses EQ-5D, which is a validated direct measure of health status or health-related quality of life used internationally.</w:t>
            </w:r>
          </w:p>
          <w:p w14:paraId="21CBBEAB" w14:textId="77777777" w:rsidR="003A37BA" w:rsidRPr="00936D28" w:rsidRDefault="003A37BA" w:rsidP="003A37BA">
            <w:pPr>
              <w:rPr>
                <w:rFonts w:asciiTheme="majorHAnsi" w:hAnsiTheme="majorHAnsi" w:cstheme="majorHAnsi"/>
                <w:sz w:val="22"/>
                <w:szCs w:val="22"/>
              </w:rPr>
            </w:pPr>
            <w:r w:rsidRPr="00936D28">
              <w:rPr>
                <w:rFonts w:asciiTheme="majorHAnsi" w:hAnsiTheme="majorHAnsi" w:cstheme="majorHAnsi"/>
                <w:sz w:val="22"/>
                <w:szCs w:val="22"/>
              </w:rPr>
              <w:t>The indicator provides a CCG level figure that is concerned with adults with a long-term mental health condition.</w:t>
            </w:r>
          </w:p>
          <w:p w14:paraId="205E5F25" w14:textId="77777777" w:rsidR="003A37BA" w:rsidRPr="00936D28" w:rsidRDefault="003A37BA" w:rsidP="003A37BA">
            <w:pPr>
              <w:rPr>
                <w:rFonts w:asciiTheme="majorHAnsi" w:hAnsiTheme="majorHAnsi" w:cstheme="majorHAnsi"/>
                <w:sz w:val="22"/>
                <w:szCs w:val="22"/>
              </w:rPr>
            </w:pPr>
            <w:r w:rsidRPr="00936D28">
              <w:rPr>
                <w:rFonts w:asciiTheme="majorHAnsi" w:hAnsiTheme="majorHAnsi" w:cstheme="majorHAnsi"/>
                <w:sz w:val="22"/>
                <w:szCs w:val="22"/>
              </w:rPr>
              <w:t>CCGs could help to look after the physical needs of their patients with long-term mental health conditions by ensuring they commission appropriate secondary mental health services that pay attention to patients’ physical health needs.</w:t>
            </w:r>
          </w:p>
          <w:p w14:paraId="272EB298" w14:textId="0AC174B4" w:rsidR="003A37BA" w:rsidRPr="00936D28" w:rsidRDefault="003A37BA" w:rsidP="003A37BA">
            <w:pPr>
              <w:rPr>
                <w:rFonts w:asciiTheme="majorHAnsi" w:hAnsiTheme="majorHAnsi" w:cstheme="majorHAnsi"/>
                <w:sz w:val="22"/>
                <w:szCs w:val="22"/>
              </w:rPr>
            </w:pPr>
            <w:r w:rsidRPr="00936D28">
              <w:rPr>
                <w:rFonts w:asciiTheme="majorHAnsi" w:hAnsiTheme="majorHAnsi" w:cstheme="majorHAnsi"/>
                <w:sz w:val="22"/>
                <w:szCs w:val="22"/>
              </w:rPr>
              <w:t>CCGs could also make sure that patients’ physical healthcare needs ar</w:t>
            </w:r>
            <w:r w:rsidR="00EA2382" w:rsidRPr="00936D28">
              <w:rPr>
                <w:rFonts w:asciiTheme="majorHAnsi" w:hAnsiTheme="majorHAnsi" w:cstheme="majorHAnsi"/>
                <w:sz w:val="22"/>
                <w:szCs w:val="22"/>
              </w:rPr>
              <w:t>e provided for in primary care.</w:t>
            </w:r>
          </w:p>
        </w:tc>
      </w:tr>
      <w:tr w:rsidR="00460B4E" w:rsidRPr="00936D28" w14:paraId="1D05A2B0" w14:textId="77777777" w:rsidTr="002F05F5">
        <w:tc>
          <w:tcPr>
            <w:tcW w:w="2125" w:type="dxa"/>
          </w:tcPr>
          <w:p w14:paraId="4B0E9ABA" w14:textId="77777777" w:rsidR="003A37BA" w:rsidRPr="00936D28" w:rsidRDefault="003A37BA" w:rsidP="003A37BA">
            <w:pPr>
              <w:rPr>
                <w:rFonts w:asciiTheme="majorHAnsi" w:hAnsiTheme="majorHAnsi" w:cstheme="majorHAnsi"/>
                <w:sz w:val="22"/>
                <w:szCs w:val="22"/>
              </w:rPr>
            </w:pPr>
            <w:r w:rsidRPr="00936D28">
              <w:rPr>
                <w:rFonts w:asciiTheme="majorHAnsi" w:hAnsiTheme="majorHAnsi" w:cstheme="majorHAnsi"/>
                <w:sz w:val="22"/>
                <w:szCs w:val="22"/>
              </w:rPr>
              <w:t>Data source</w:t>
            </w:r>
          </w:p>
        </w:tc>
        <w:tc>
          <w:tcPr>
            <w:tcW w:w="7798" w:type="dxa"/>
          </w:tcPr>
          <w:p w14:paraId="1F5BBA45" w14:textId="2F176A42" w:rsidR="003A37BA" w:rsidRPr="00936D28" w:rsidRDefault="003A37BA" w:rsidP="003A37BA">
            <w:pPr>
              <w:rPr>
                <w:rFonts w:asciiTheme="majorHAnsi" w:hAnsiTheme="majorHAnsi" w:cstheme="majorHAnsi"/>
                <w:sz w:val="22"/>
                <w:szCs w:val="22"/>
              </w:rPr>
            </w:pPr>
            <w:r w:rsidRPr="00936D28">
              <w:rPr>
                <w:rFonts w:asciiTheme="majorHAnsi" w:hAnsiTheme="majorHAnsi" w:cstheme="majorHAnsi"/>
                <w:sz w:val="22"/>
                <w:szCs w:val="22"/>
              </w:rPr>
              <w:t xml:space="preserve">GPPS (NHS England/Ipsos Mori) </w:t>
            </w:r>
            <w:hyperlink r:id="rId14" w:history="1">
              <w:r w:rsidRPr="00936D28">
                <w:rPr>
                  <w:rStyle w:val="Hyperlink"/>
                  <w:rFonts w:asciiTheme="majorHAnsi" w:hAnsiTheme="majorHAnsi" w:cstheme="majorHAnsi"/>
                  <w:color w:val="auto"/>
                  <w:sz w:val="22"/>
                  <w:szCs w:val="22"/>
                </w:rPr>
                <w:t>http://www.gp-patient.co.uk</w:t>
              </w:r>
            </w:hyperlink>
          </w:p>
        </w:tc>
      </w:tr>
      <w:tr w:rsidR="000E1578" w:rsidRPr="00936D28" w14:paraId="124CE54F" w14:textId="77777777" w:rsidTr="000D2587">
        <w:trPr>
          <w:trHeight w:val="25910"/>
        </w:trPr>
        <w:tc>
          <w:tcPr>
            <w:tcW w:w="2125" w:type="dxa"/>
          </w:tcPr>
          <w:p w14:paraId="7C3F078F" w14:textId="77777777" w:rsidR="000E1578" w:rsidRPr="00936D28" w:rsidRDefault="000E1578" w:rsidP="003A37BA">
            <w:pPr>
              <w:rPr>
                <w:rFonts w:asciiTheme="majorHAnsi" w:hAnsiTheme="majorHAnsi" w:cstheme="majorHAnsi"/>
                <w:sz w:val="22"/>
                <w:szCs w:val="22"/>
              </w:rPr>
            </w:pPr>
            <w:r w:rsidRPr="00936D28">
              <w:rPr>
                <w:rFonts w:asciiTheme="majorHAnsi" w:hAnsiTheme="majorHAnsi" w:cstheme="majorHAnsi"/>
                <w:sz w:val="22"/>
                <w:szCs w:val="22"/>
              </w:rPr>
              <w:lastRenderedPageBreak/>
              <w:t>Construction</w:t>
            </w:r>
          </w:p>
        </w:tc>
        <w:tc>
          <w:tcPr>
            <w:tcW w:w="7798" w:type="dxa"/>
          </w:tcPr>
          <w:p w14:paraId="1912000C" w14:textId="77777777" w:rsidR="000E1578" w:rsidRPr="00936D28" w:rsidRDefault="000E1578" w:rsidP="003A37BA">
            <w:pPr>
              <w:rPr>
                <w:rFonts w:asciiTheme="majorHAnsi" w:hAnsiTheme="majorHAnsi" w:cstheme="majorHAnsi"/>
                <w:b/>
                <w:i/>
                <w:sz w:val="22"/>
                <w:szCs w:val="22"/>
              </w:rPr>
            </w:pPr>
            <w:r w:rsidRPr="00936D28">
              <w:rPr>
                <w:rFonts w:asciiTheme="majorHAnsi" w:hAnsiTheme="majorHAnsi" w:cstheme="majorHAnsi"/>
                <w:b/>
                <w:i/>
                <w:sz w:val="22"/>
                <w:szCs w:val="22"/>
              </w:rPr>
              <w:t>Summary description of the calculation:</w:t>
            </w:r>
          </w:p>
          <w:p w14:paraId="6FD87CED" w14:textId="77777777" w:rsidR="000E1578" w:rsidRPr="00936D28" w:rsidRDefault="000E1578" w:rsidP="003A37BA">
            <w:pPr>
              <w:rPr>
                <w:rFonts w:asciiTheme="majorHAnsi" w:hAnsiTheme="majorHAnsi" w:cstheme="majorHAnsi"/>
                <w:sz w:val="22"/>
                <w:szCs w:val="22"/>
              </w:rPr>
            </w:pPr>
            <w:r w:rsidRPr="00936D28">
              <w:rPr>
                <w:rFonts w:asciiTheme="majorHAnsi" w:hAnsiTheme="majorHAnsi" w:cstheme="majorHAnsi"/>
                <w:sz w:val="22"/>
                <w:szCs w:val="22"/>
              </w:rPr>
              <w:t>The average weighted health status (EQ-5D) score for adults with a long-term mental health condition, given by CCG.</w:t>
            </w:r>
          </w:p>
          <w:p w14:paraId="5599E56C" w14:textId="77777777" w:rsidR="000E1578" w:rsidRPr="00936D28" w:rsidRDefault="000E1578" w:rsidP="003A37BA">
            <w:pPr>
              <w:rPr>
                <w:rFonts w:asciiTheme="majorHAnsi" w:hAnsiTheme="majorHAnsi" w:cstheme="majorHAnsi"/>
                <w:sz w:val="22"/>
                <w:szCs w:val="22"/>
              </w:rPr>
            </w:pPr>
            <w:r w:rsidRPr="00936D28">
              <w:rPr>
                <w:rFonts w:asciiTheme="majorHAnsi" w:hAnsiTheme="majorHAnsi" w:cstheme="majorHAnsi"/>
                <w:b/>
                <w:i/>
                <w:sz w:val="22"/>
                <w:szCs w:val="22"/>
              </w:rPr>
              <w:t xml:space="preserve">Calculation type: </w:t>
            </w:r>
            <w:r w:rsidRPr="00936D28">
              <w:rPr>
                <w:rFonts w:asciiTheme="majorHAnsi" w:hAnsiTheme="majorHAnsi" w:cstheme="majorHAnsi"/>
                <w:sz w:val="22"/>
                <w:szCs w:val="22"/>
              </w:rPr>
              <w:t>Mean EQ-5D score.</w:t>
            </w:r>
          </w:p>
          <w:p w14:paraId="0C035520" w14:textId="77777777" w:rsidR="000E1578" w:rsidRPr="00936D28" w:rsidRDefault="000E1578" w:rsidP="003A37BA">
            <w:pPr>
              <w:rPr>
                <w:rFonts w:asciiTheme="majorHAnsi" w:hAnsiTheme="majorHAnsi" w:cstheme="majorHAnsi"/>
                <w:b/>
                <w:i/>
                <w:sz w:val="22"/>
                <w:szCs w:val="22"/>
              </w:rPr>
            </w:pPr>
            <w:r w:rsidRPr="00936D28">
              <w:rPr>
                <w:rFonts w:asciiTheme="majorHAnsi" w:hAnsiTheme="majorHAnsi" w:cstheme="majorHAnsi"/>
                <w:b/>
                <w:i/>
                <w:sz w:val="22"/>
                <w:szCs w:val="22"/>
              </w:rPr>
              <w:t>Denominator:</w:t>
            </w:r>
          </w:p>
          <w:p w14:paraId="76E56DE2" w14:textId="77777777" w:rsidR="000E1578" w:rsidRPr="00936D28" w:rsidRDefault="000E1578" w:rsidP="003A37BA">
            <w:pPr>
              <w:rPr>
                <w:rFonts w:asciiTheme="majorHAnsi" w:hAnsiTheme="majorHAnsi" w:cstheme="majorHAnsi"/>
                <w:sz w:val="22"/>
                <w:szCs w:val="22"/>
              </w:rPr>
            </w:pPr>
            <w:r w:rsidRPr="00936D28">
              <w:rPr>
                <w:rFonts w:asciiTheme="majorHAnsi" w:hAnsiTheme="majorHAnsi" w:cstheme="majorHAnsi"/>
                <w:sz w:val="22"/>
                <w:szCs w:val="22"/>
              </w:rPr>
              <w:t>The sum of all weighted responses from people who identify themselves as having a long-term mental health condition.</w:t>
            </w:r>
          </w:p>
          <w:p w14:paraId="5AB57F52" w14:textId="77777777" w:rsidR="000E1578" w:rsidRPr="00936D28" w:rsidRDefault="000E1578" w:rsidP="003A37BA">
            <w:pPr>
              <w:rPr>
                <w:rFonts w:asciiTheme="majorHAnsi" w:hAnsiTheme="majorHAnsi" w:cstheme="majorHAnsi"/>
                <w:sz w:val="22"/>
                <w:szCs w:val="22"/>
              </w:rPr>
            </w:pPr>
            <w:r w:rsidRPr="00936D28">
              <w:rPr>
                <w:rFonts w:asciiTheme="majorHAnsi" w:hAnsiTheme="majorHAnsi" w:cstheme="majorHAnsi"/>
                <w:sz w:val="22"/>
                <w:szCs w:val="22"/>
              </w:rPr>
              <w:t>This is the sum of the ‘</w:t>
            </w:r>
            <w:proofErr w:type="spellStart"/>
            <w:r w:rsidRPr="00936D28">
              <w:rPr>
                <w:rFonts w:asciiTheme="majorHAnsi" w:hAnsiTheme="majorHAnsi" w:cstheme="majorHAnsi"/>
                <w:sz w:val="22"/>
                <w:szCs w:val="22"/>
              </w:rPr>
              <w:t>wt_new</w:t>
            </w:r>
            <w:proofErr w:type="spellEnd"/>
            <w:r w:rsidRPr="00936D28">
              <w:rPr>
                <w:rFonts w:asciiTheme="majorHAnsi" w:hAnsiTheme="majorHAnsi" w:cstheme="majorHAnsi"/>
                <w:sz w:val="22"/>
                <w:szCs w:val="22"/>
              </w:rPr>
              <w:t>’ field for people who identified themselves as having a long-term mental health condition in Q31, answer 14 (GPPS, Year 8, July – Sept 2013).</w:t>
            </w:r>
          </w:p>
          <w:p w14:paraId="7FE24F51" w14:textId="77777777" w:rsidR="000E1578" w:rsidRPr="00936D28" w:rsidRDefault="000E1578" w:rsidP="003A37BA">
            <w:pPr>
              <w:rPr>
                <w:rFonts w:asciiTheme="majorHAnsi" w:hAnsiTheme="majorHAnsi" w:cstheme="majorHAnsi"/>
                <w:b/>
                <w:i/>
                <w:sz w:val="22"/>
                <w:szCs w:val="22"/>
              </w:rPr>
            </w:pPr>
          </w:p>
          <w:p w14:paraId="2809D129" w14:textId="77777777" w:rsidR="000E1578" w:rsidRPr="00936D28" w:rsidRDefault="000E1578" w:rsidP="003A37BA">
            <w:pPr>
              <w:rPr>
                <w:rFonts w:asciiTheme="majorHAnsi" w:hAnsiTheme="majorHAnsi" w:cstheme="majorHAnsi"/>
                <w:b/>
                <w:i/>
                <w:sz w:val="22"/>
                <w:szCs w:val="22"/>
              </w:rPr>
            </w:pPr>
          </w:p>
          <w:p w14:paraId="1BA9D9C1" w14:textId="77777777" w:rsidR="000E1578" w:rsidRPr="00936D28" w:rsidRDefault="000E1578" w:rsidP="003A37BA">
            <w:pPr>
              <w:rPr>
                <w:rFonts w:asciiTheme="majorHAnsi" w:hAnsiTheme="majorHAnsi" w:cstheme="majorHAnsi"/>
                <w:b/>
                <w:i/>
                <w:sz w:val="22"/>
                <w:szCs w:val="22"/>
              </w:rPr>
            </w:pPr>
          </w:p>
          <w:p w14:paraId="5E137C01" w14:textId="77777777" w:rsidR="000E1578" w:rsidRPr="00936D28" w:rsidRDefault="000E1578" w:rsidP="003A37BA">
            <w:pPr>
              <w:rPr>
                <w:rFonts w:asciiTheme="majorHAnsi" w:hAnsiTheme="majorHAnsi" w:cstheme="majorHAnsi"/>
                <w:b/>
                <w:i/>
                <w:sz w:val="22"/>
                <w:szCs w:val="22"/>
              </w:rPr>
            </w:pPr>
          </w:p>
          <w:p w14:paraId="2C8929BA" w14:textId="77777777" w:rsidR="000E1578" w:rsidRPr="00936D28" w:rsidRDefault="000E1578" w:rsidP="003A37BA">
            <w:pPr>
              <w:rPr>
                <w:rFonts w:asciiTheme="majorHAnsi" w:hAnsiTheme="majorHAnsi" w:cstheme="majorHAnsi"/>
                <w:b/>
                <w:i/>
                <w:sz w:val="22"/>
                <w:szCs w:val="22"/>
              </w:rPr>
            </w:pPr>
            <w:r w:rsidRPr="00936D28">
              <w:rPr>
                <w:rFonts w:asciiTheme="majorHAnsi" w:hAnsiTheme="majorHAnsi" w:cstheme="majorHAnsi"/>
                <w:b/>
                <w:i/>
                <w:sz w:val="22"/>
                <w:szCs w:val="22"/>
              </w:rPr>
              <w:t>Numerator:</w:t>
            </w:r>
          </w:p>
          <w:p w14:paraId="2512859C" w14:textId="77777777" w:rsidR="000E1578" w:rsidRPr="00936D28" w:rsidRDefault="000E1578" w:rsidP="003A37BA">
            <w:pPr>
              <w:rPr>
                <w:rFonts w:asciiTheme="majorHAnsi" w:hAnsiTheme="majorHAnsi" w:cstheme="majorHAnsi"/>
                <w:sz w:val="22"/>
                <w:szCs w:val="22"/>
              </w:rPr>
            </w:pPr>
            <w:r w:rsidRPr="00936D28">
              <w:rPr>
                <w:rFonts w:asciiTheme="majorHAnsi" w:hAnsiTheme="majorHAnsi" w:cstheme="majorHAnsi"/>
                <w:sz w:val="22"/>
                <w:szCs w:val="22"/>
              </w:rPr>
              <w:t>The sum of weighted EQ-5D scores for all responses from people who identify themselves as having a long-term mental health condition.</w:t>
            </w:r>
          </w:p>
          <w:p w14:paraId="529C7E9F" w14:textId="77777777" w:rsidR="000E1578" w:rsidRPr="00936D28" w:rsidRDefault="000E1578" w:rsidP="003A37BA">
            <w:pPr>
              <w:rPr>
                <w:rFonts w:asciiTheme="majorHAnsi" w:hAnsiTheme="majorHAnsi" w:cstheme="majorHAnsi"/>
                <w:sz w:val="22"/>
                <w:szCs w:val="22"/>
              </w:rPr>
            </w:pPr>
            <w:r w:rsidRPr="00936D28">
              <w:rPr>
                <w:rFonts w:asciiTheme="majorHAnsi" w:hAnsiTheme="majorHAnsi" w:cstheme="majorHAnsi"/>
                <w:sz w:val="22"/>
                <w:szCs w:val="22"/>
              </w:rPr>
              <w:t xml:space="preserve">The GPPS has a section headed Your State of Health Today.  The health status (EQ-5D) scores are derived from responses to Q34 in the GPPS (Year 8, July – September 2013), which asks respondents to describe their health status using the five dimensions of the </w:t>
            </w:r>
            <w:proofErr w:type="spellStart"/>
            <w:r w:rsidRPr="00936D28">
              <w:rPr>
                <w:rFonts w:asciiTheme="majorHAnsi" w:hAnsiTheme="majorHAnsi" w:cstheme="majorHAnsi"/>
                <w:sz w:val="22"/>
                <w:szCs w:val="22"/>
              </w:rPr>
              <w:t>EuroQuol</w:t>
            </w:r>
            <w:proofErr w:type="spellEnd"/>
            <w:r w:rsidRPr="00936D28">
              <w:rPr>
                <w:rFonts w:asciiTheme="majorHAnsi" w:hAnsiTheme="majorHAnsi" w:cstheme="majorHAnsi"/>
                <w:sz w:val="22"/>
                <w:szCs w:val="22"/>
              </w:rPr>
              <w:t xml:space="preserve"> 5D (EQ-5D) survey instrument: </w:t>
            </w:r>
          </w:p>
          <w:p w14:paraId="58B28881" w14:textId="77777777" w:rsidR="000E1578" w:rsidRPr="00936D28" w:rsidRDefault="000E1578" w:rsidP="003A37BA">
            <w:pPr>
              <w:rPr>
                <w:rFonts w:asciiTheme="majorHAnsi" w:hAnsiTheme="majorHAnsi" w:cstheme="majorHAnsi"/>
                <w:sz w:val="22"/>
                <w:szCs w:val="22"/>
              </w:rPr>
            </w:pPr>
            <w:r w:rsidRPr="00936D28">
              <w:rPr>
                <w:rFonts w:asciiTheme="majorHAnsi" w:hAnsiTheme="majorHAnsi" w:cstheme="majorHAnsi"/>
                <w:sz w:val="22"/>
                <w:szCs w:val="22"/>
              </w:rPr>
              <w:t>•</w:t>
            </w:r>
            <w:r w:rsidRPr="00936D28">
              <w:rPr>
                <w:rFonts w:asciiTheme="majorHAnsi" w:hAnsiTheme="majorHAnsi" w:cstheme="majorHAnsi"/>
                <w:sz w:val="22"/>
                <w:szCs w:val="22"/>
              </w:rPr>
              <w:tab/>
              <w:t xml:space="preserve">Mobility </w:t>
            </w:r>
          </w:p>
          <w:p w14:paraId="542BA889" w14:textId="77777777" w:rsidR="000E1578" w:rsidRPr="00936D28" w:rsidRDefault="000E1578" w:rsidP="003A37BA">
            <w:pPr>
              <w:rPr>
                <w:rFonts w:asciiTheme="majorHAnsi" w:hAnsiTheme="majorHAnsi" w:cstheme="majorHAnsi"/>
                <w:sz w:val="22"/>
                <w:szCs w:val="22"/>
              </w:rPr>
            </w:pPr>
            <w:r w:rsidRPr="00936D28">
              <w:rPr>
                <w:rFonts w:asciiTheme="majorHAnsi" w:hAnsiTheme="majorHAnsi" w:cstheme="majorHAnsi"/>
                <w:sz w:val="22"/>
                <w:szCs w:val="22"/>
              </w:rPr>
              <w:t>•</w:t>
            </w:r>
            <w:r w:rsidRPr="00936D28">
              <w:rPr>
                <w:rFonts w:asciiTheme="majorHAnsi" w:hAnsiTheme="majorHAnsi" w:cstheme="majorHAnsi"/>
                <w:sz w:val="22"/>
                <w:szCs w:val="22"/>
              </w:rPr>
              <w:tab/>
              <w:t xml:space="preserve">Self-care </w:t>
            </w:r>
          </w:p>
          <w:p w14:paraId="29ED6A49" w14:textId="77777777" w:rsidR="000E1578" w:rsidRPr="00936D28" w:rsidRDefault="000E1578" w:rsidP="003A37BA">
            <w:pPr>
              <w:rPr>
                <w:rFonts w:asciiTheme="majorHAnsi" w:hAnsiTheme="majorHAnsi" w:cstheme="majorHAnsi"/>
                <w:sz w:val="22"/>
                <w:szCs w:val="22"/>
              </w:rPr>
            </w:pPr>
            <w:r w:rsidRPr="00936D28">
              <w:rPr>
                <w:rFonts w:asciiTheme="majorHAnsi" w:hAnsiTheme="majorHAnsi" w:cstheme="majorHAnsi"/>
                <w:sz w:val="22"/>
                <w:szCs w:val="22"/>
              </w:rPr>
              <w:t>•</w:t>
            </w:r>
            <w:r w:rsidRPr="00936D28">
              <w:rPr>
                <w:rFonts w:asciiTheme="majorHAnsi" w:hAnsiTheme="majorHAnsi" w:cstheme="majorHAnsi"/>
                <w:sz w:val="22"/>
                <w:szCs w:val="22"/>
              </w:rPr>
              <w:tab/>
              <w:t xml:space="preserve">Usual activities </w:t>
            </w:r>
          </w:p>
          <w:p w14:paraId="1413362F" w14:textId="77777777" w:rsidR="000E1578" w:rsidRPr="00936D28" w:rsidRDefault="000E1578" w:rsidP="003A37BA">
            <w:pPr>
              <w:rPr>
                <w:rFonts w:asciiTheme="majorHAnsi" w:hAnsiTheme="majorHAnsi" w:cstheme="majorHAnsi"/>
                <w:sz w:val="22"/>
                <w:szCs w:val="22"/>
              </w:rPr>
            </w:pPr>
            <w:r w:rsidRPr="00936D28">
              <w:rPr>
                <w:rFonts w:asciiTheme="majorHAnsi" w:hAnsiTheme="majorHAnsi" w:cstheme="majorHAnsi"/>
                <w:sz w:val="22"/>
                <w:szCs w:val="22"/>
              </w:rPr>
              <w:t>•</w:t>
            </w:r>
            <w:r w:rsidRPr="00936D28">
              <w:rPr>
                <w:rFonts w:asciiTheme="majorHAnsi" w:hAnsiTheme="majorHAnsi" w:cstheme="majorHAnsi"/>
                <w:sz w:val="22"/>
                <w:szCs w:val="22"/>
              </w:rPr>
              <w:tab/>
              <w:t xml:space="preserve">Pain/discomfort </w:t>
            </w:r>
          </w:p>
          <w:p w14:paraId="40125D60" w14:textId="77777777" w:rsidR="000E1578" w:rsidRPr="00936D28" w:rsidRDefault="000E1578" w:rsidP="003A37BA">
            <w:pPr>
              <w:rPr>
                <w:rFonts w:asciiTheme="majorHAnsi" w:hAnsiTheme="majorHAnsi" w:cstheme="majorHAnsi"/>
                <w:sz w:val="22"/>
                <w:szCs w:val="22"/>
              </w:rPr>
            </w:pPr>
            <w:r w:rsidRPr="00936D28">
              <w:rPr>
                <w:rFonts w:asciiTheme="majorHAnsi" w:hAnsiTheme="majorHAnsi" w:cstheme="majorHAnsi"/>
                <w:sz w:val="22"/>
                <w:szCs w:val="22"/>
              </w:rPr>
              <w:t>•</w:t>
            </w:r>
            <w:r w:rsidRPr="00936D28">
              <w:rPr>
                <w:rFonts w:asciiTheme="majorHAnsi" w:hAnsiTheme="majorHAnsi" w:cstheme="majorHAnsi"/>
                <w:sz w:val="22"/>
                <w:szCs w:val="22"/>
              </w:rPr>
              <w:tab/>
              <w:t>Anxiety/depression</w:t>
            </w:r>
          </w:p>
          <w:p w14:paraId="1B94FD79" w14:textId="77777777" w:rsidR="000E1578" w:rsidRPr="00936D28" w:rsidRDefault="000E1578" w:rsidP="003A37BA">
            <w:pPr>
              <w:rPr>
                <w:rFonts w:asciiTheme="majorHAnsi" w:hAnsiTheme="majorHAnsi" w:cstheme="majorHAnsi"/>
                <w:sz w:val="22"/>
                <w:szCs w:val="22"/>
              </w:rPr>
            </w:pPr>
            <w:r w:rsidRPr="00936D28">
              <w:rPr>
                <w:rFonts w:asciiTheme="majorHAnsi" w:hAnsiTheme="majorHAnsi" w:cstheme="majorHAnsi"/>
                <w:sz w:val="22"/>
                <w:szCs w:val="22"/>
              </w:rPr>
              <w:t xml:space="preserve">EQ-5D™ is a registered trademark of </w:t>
            </w:r>
            <w:proofErr w:type="spellStart"/>
            <w:r w:rsidRPr="00936D28">
              <w:rPr>
                <w:rFonts w:asciiTheme="majorHAnsi" w:hAnsiTheme="majorHAnsi" w:cstheme="majorHAnsi"/>
                <w:sz w:val="22"/>
                <w:szCs w:val="22"/>
              </w:rPr>
              <w:t>EuroQol</w:t>
            </w:r>
            <w:proofErr w:type="spellEnd"/>
            <w:r w:rsidRPr="00936D28">
              <w:rPr>
                <w:rFonts w:asciiTheme="majorHAnsi" w:hAnsiTheme="majorHAnsi" w:cstheme="majorHAnsi"/>
                <w:sz w:val="22"/>
                <w:szCs w:val="22"/>
              </w:rPr>
              <w:t xml:space="preserve">.  It assesses whether health-related quality of life is increasing over time for the population with long-term conditions, while controlling for measurable confounders (age, gender, disease mix, etc.).  Further details are available from </w:t>
            </w:r>
            <w:hyperlink r:id="rId15" w:history="1">
              <w:r w:rsidRPr="00936D28">
                <w:rPr>
                  <w:rStyle w:val="Hyperlink"/>
                  <w:rFonts w:asciiTheme="majorHAnsi" w:hAnsiTheme="majorHAnsi" w:cstheme="majorHAnsi"/>
                  <w:color w:val="auto"/>
                  <w:sz w:val="22"/>
                  <w:szCs w:val="22"/>
                </w:rPr>
                <w:t>http://www.euroqol.org</w:t>
              </w:r>
            </w:hyperlink>
            <w:r w:rsidRPr="00936D28">
              <w:rPr>
                <w:rFonts w:asciiTheme="majorHAnsi" w:hAnsiTheme="majorHAnsi" w:cstheme="majorHAnsi"/>
                <w:sz w:val="22"/>
                <w:szCs w:val="22"/>
              </w:rPr>
              <w:t>.</w:t>
            </w:r>
          </w:p>
          <w:p w14:paraId="3DCCDD61" w14:textId="77777777" w:rsidR="000E1578" w:rsidRPr="00936D28" w:rsidRDefault="000E1578" w:rsidP="003A37BA">
            <w:pPr>
              <w:rPr>
                <w:rFonts w:asciiTheme="majorHAnsi" w:hAnsiTheme="majorHAnsi" w:cstheme="majorHAnsi"/>
                <w:sz w:val="22"/>
                <w:szCs w:val="22"/>
              </w:rPr>
            </w:pPr>
            <w:r w:rsidRPr="00936D28">
              <w:rPr>
                <w:rFonts w:asciiTheme="majorHAnsi" w:hAnsiTheme="majorHAnsi" w:cstheme="majorHAnsi"/>
                <w:sz w:val="22"/>
                <w:szCs w:val="22"/>
              </w:rPr>
              <w:t xml:space="preserve">A single measure of </w:t>
            </w:r>
            <w:proofErr w:type="gramStart"/>
            <w:r w:rsidRPr="00936D28">
              <w:rPr>
                <w:rFonts w:asciiTheme="majorHAnsi" w:hAnsiTheme="majorHAnsi" w:cstheme="majorHAnsi"/>
                <w:sz w:val="22"/>
                <w:szCs w:val="22"/>
              </w:rPr>
              <w:t>health related</w:t>
            </w:r>
            <w:proofErr w:type="gramEnd"/>
            <w:r w:rsidRPr="00936D28">
              <w:rPr>
                <w:rFonts w:asciiTheme="majorHAnsi" w:hAnsiTheme="majorHAnsi" w:cstheme="majorHAnsi"/>
                <w:sz w:val="22"/>
                <w:szCs w:val="22"/>
              </w:rPr>
              <w:t xml:space="preserve"> quality of life for each survey respondent is derived using a standard tariff, which is itself elicited from a representative sample of the general population.  (For the derivation, see Dolan, </w:t>
            </w:r>
            <w:proofErr w:type="spellStart"/>
            <w:r w:rsidRPr="00936D28">
              <w:rPr>
                <w:rFonts w:asciiTheme="majorHAnsi" w:hAnsiTheme="majorHAnsi" w:cstheme="majorHAnsi"/>
                <w:sz w:val="22"/>
                <w:szCs w:val="22"/>
              </w:rPr>
              <w:t>Gudex</w:t>
            </w:r>
            <w:proofErr w:type="spellEnd"/>
            <w:r w:rsidRPr="00936D28">
              <w:rPr>
                <w:rFonts w:asciiTheme="majorHAnsi" w:hAnsiTheme="majorHAnsi" w:cstheme="majorHAnsi"/>
                <w:sz w:val="22"/>
                <w:szCs w:val="22"/>
              </w:rPr>
              <w:t xml:space="preserve">, Kind and Williams “A Social Tariff for </w:t>
            </w:r>
            <w:proofErr w:type="spellStart"/>
            <w:r w:rsidRPr="00936D28">
              <w:rPr>
                <w:rFonts w:asciiTheme="majorHAnsi" w:hAnsiTheme="majorHAnsi" w:cstheme="majorHAnsi"/>
                <w:sz w:val="22"/>
                <w:szCs w:val="22"/>
              </w:rPr>
              <w:t>EuroQol</w:t>
            </w:r>
            <w:proofErr w:type="spellEnd"/>
            <w:r w:rsidRPr="00936D28">
              <w:rPr>
                <w:rFonts w:asciiTheme="majorHAnsi" w:hAnsiTheme="majorHAnsi" w:cstheme="majorHAnsi"/>
                <w:sz w:val="22"/>
                <w:szCs w:val="22"/>
              </w:rPr>
              <w:t xml:space="preserve">: Results from a UK General Population survey”, Discussion Paper 138, Centre for Health Economics, University of York, September 1995.  Available online at: </w:t>
            </w:r>
            <w:hyperlink r:id="rId16" w:history="1">
              <w:r w:rsidRPr="00936D28">
                <w:rPr>
                  <w:rStyle w:val="Hyperlink"/>
                  <w:rFonts w:asciiTheme="majorHAnsi" w:hAnsiTheme="majorHAnsi" w:cstheme="majorHAnsi"/>
                  <w:color w:val="auto"/>
                  <w:sz w:val="22"/>
                  <w:szCs w:val="22"/>
                </w:rPr>
                <w:t>http://www.york.ac.uk/media/che/documents/papers/discussionpapers/CHE%20Discussion%20Paper%20138.pdf</w:t>
              </w:r>
            </w:hyperlink>
            <w:r w:rsidRPr="00936D28">
              <w:rPr>
                <w:rFonts w:asciiTheme="majorHAnsi" w:hAnsiTheme="majorHAnsi" w:cstheme="majorHAnsi"/>
                <w:sz w:val="22"/>
                <w:szCs w:val="22"/>
              </w:rPr>
              <w:t xml:space="preserve">.)  The derived value takes a maximum </w:t>
            </w:r>
            <w:r w:rsidRPr="00936D28">
              <w:rPr>
                <w:rFonts w:asciiTheme="majorHAnsi" w:hAnsiTheme="majorHAnsi" w:cstheme="majorHAnsi"/>
                <w:sz w:val="22"/>
                <w:szCs w:val="22"/>
              </w:rPr>
              <w:lastRenderedPageBreak/>
              <w:t>score of 1 (full health) and is anchored at 0 (a state of no intrinsic value, for example, unconscious).</w:t>
            </w:r>
          </w:p>
          <w:p w14:paraId="68CB8E59" w14:textId="77777777" w:rsidR="000E1578" w:rsidRPr="00936D28" w:rsidRDefault="000E1578" w:rsidP="003A37BA">
            <w:pPr>
              <w:rPr>
                <w:rFonts w:asciiTheme="majorHAnsi" w:hAnsiTheme="majorHAnsi" w:cstheme="majorHAnsi"/>
                <w:sz w:val="22"/>
                <w:szCs w:val="22"/>
              </w:rPr>
            </w:pPr>
            <w:r w:rsidRPr="00936D28">
              <w:rPr>
                <w:rFonts w:asciiTheme="majorHAnsi" w:hAnsiTheme="majorHAnsi" w:cstheme="majorHAnsi"/>
                <w:sz w:val="22"/>
                <w:szCs w:val="22"/>
              </w:rPr>
              <w:t xml:space="preserve">This indicator uses a similar definition to NHS Outcomes Framework indicator 2: health related quality of life for adults with long-term conditions but is only concerned with adults with a long-term mental health condition.  It is also similar to </w:t>
            </w:r>
            <w:proofErr w:type="gramStart"/>
            <w:r w:rsidRPr="00936D28">
              <w:rPr>
                <w:rFonts w:asciiTheme="majorHAnsi" w:hAnsiTheme="majorHAnsi" w:cstheme="majorHAnsi"/>
                <w:sz w:val="22"/>
                <w:szCs w:val="22"/>
              </w:rPr>
              <w:t>health related</w:t>
            </w:r>
            <w:proofErr w:type="gramEnd"/>
            <w:r w:rsidRPr="00936D28">
              <w:rPr>
                <w:rFonts w:asciiTheme="majorHAnsi" w:hAnsiTheme="majorHAnsi" w:cstheme="majorHAnsi"/>
                <w:sz w:val="22"/>
                <w:szCs w:val="22"/>
              </w:rPr>
              <w:t xml:space="preserve"> quality of life for carers, a forthcoming indicator for the NHS Outcomes Framework.</w:t>
            </w:r>
          </w:p>
          <w:p w14:paraId="6420EBA2" w14:textId="77777777" w:rsidR="000E1578" w:rsidRPr="00936D28" w:rsidRDefault="000E1578" w:rsidP="003A37BA">
            <w:pPr>
              <w:rPr>
                <w:rFonts w:asciiTheme="majorHAnsi" w:hAnsiTheme="majorHAnsi" w:cstheme="majorHAnsi"/>
                <w:b/>
                <w:i/>
                <w:sz w:val="22"/>
                <w:szCs w:val="22"/>
              </w:rPr>
            </w:pPr>
            <w:r w:rsidRPr="00936D28">
              <w:rPr>
                <w:rFonts w:asciiTheme="majorHAnsi" w:hAnsiTheme="majorHAnsi" w:cstheme="majorHAnsi"/>
                <w:b/>
                <w:i/>
                <w:sz w:val="22"/>
                <w:szCs w:val="22"/>
              </w:rPr>
              <w:t>Statistical Methods / Risk adjustment variables:</w:t>
            </w:r>
          </w:p>
          <w:p w14:paraId="5DFC96FE" w14:textId="77777777" w:rsidR="000E1578" w:rsidRPr="00936D28" w:rsidRDefault="000E1578" w:rsidP="003A37BA">
            <w:pPr>
              <w:rPr>
                <w:rFonts w:asciiTheme="majorHAnsi" w:hAnsiTheme="majorHAnsi" w:cstheme="majorHAnsi"/>
                <w:b/>
                <w:sz w:val="22"/>
                <w:szCs w:val="22"/>
              </w:rPr>
            </w:pPr>
            <w:r w:rsidRPr="00936D28">
              <w:rPr>
                <w:rFonts w:asciiTheme="majorHAnsi" w:hAnsiTheme="majorHAnsi" w:cstheme="majorHAnsi"/>
                <w:i/>
                <w:sz w:val="22"/>
                <w:szCs w:val="22"/>
              </w:rPr>
              <w:t>The data are not standardised</w:t>
            </w:r>
            <w:r w:rsidRPr="00936D28">
              <w:rPr>
                <w:rFonts w:asciiTheme="majorHAnsi" w:hAnsiTheme="majorHAnsi" w:cstheme="majorHAnsi"/>
                <w:b/>
                <w:sz w:val="22"/>
                <w:szCs w:val="22"/>
              </w:rPr>
              <w:t>. (Subsequently updated, see applicant update below)</w:t>
            </w:r>
          </w:p>
          <w:p w14:paraId="3E3972C1" w14:textId="77777777" w:rsidR="000E1578" w:rsidRPr="00936D28" w:rsidRDefault="000E1578" w:rsidP="003A37BA">
            <w:pPr>
              <w:rPr>
                <w:rFonts w:asciiTheme="majorHAnsi" w:hAnsiTheme="majorHAnsi" w:cstheme="majorHAnsi"/>
                <w:sz w:val="22"/>
                <w:szCs w:val="22"/>
              </w:rPr>
            </w:pPr>
            <w:r w:rsidRPr="00936D28">
              <w:rPr>
                <w:rFonts w:asciiTheme="majorHAnsi" w:hAnsiTheme="majorHAnsi" w:cstheme="majorHAnsi"/>
                <w:sz w:val="22"/>
                <w:szCs w:val="22"/>
              </w:rPr>
              <w:t>The GPPS data are weighted to ensure results are representative of the national population.  People likely to respond to the survey are not necessarily representative of the population as a whole, so the data include a weight for non-response bias (a field called ‘</w:t>
            </w:r>
            <w:proofErr w:type="spellStart"/>
            <w:r w:rsidRPr="00936D28">
              <w:rPr>
                <w:rFonts w:asciiTheme="majorHAnsi" w:hAnsiTheme="majorHAnsi" w:cstheme="majorHAnsi"/>
                <w:sz w:val="22"/>
                <w:szCs w:val="22"/>
              </w:rPr>
              <w:t>wt_new</w:t>
            </w:r>
            <w:proofErr w:type="spellEnd"/>
            <w:r w:rsidRPr="00936D28">
              <w:rPr>
                <w:rFonts w:asciiTheme="majorHAnsi" w:hAnsiTheme="majorHAnsi" w:cstheme="majorHAnsi"/>
                <w:sz w:val="22"/>
                <w:szCs w:val="22"/>
              </w:rPr>
              <w:t>’).  This weights the data to account for potential differences between the demographic profile of all eligible patients in a practice and those who actually return the questionnaire.  The weighting accounts for gender, age and practice.</w:t>
            </w:r>
          </w:p>
          <w:p w14:paraId="3CF41FD8" w14:textId="77777777" w:rsidR="000E1578" w:rsidRPr="00936D28" w:rsidRDefault="000E1578" w:rsidP="003A37BA">
            <w:pPr>
              <w:rPr>
                <w:rFonts w:asciiTheme="majorHAnsi" w:hAnsiTheme="majorHAnsi" w:cstheme="majorHAnsi"/>
                <w:sz w:val="22"/>
                <w:szCs w:val="22"/>
              </w:rPr>
            </w:pPr>
            <w:r w:rsidRPr="00936D28">
              <w:rPr>
                <w:rFonts w:asciiTheme="majorHAnsi" w:hAnsiTheme="majorHAnsi" w:cstheme="majorHAnsi"/>
                <w:sz w:val="22"/>
                <w:szCs w:val="22"/>
              </w:rPr>
              <w:t xml:space="preserve">The weighting scheme from the 2011-2012 survey onwards has been adjusted to make the data better represent the views of the population as a whole.  It now </w:t>
            </w:r>
            <w:proofErr w:type="gramStart"/>
            <w:r w:rsidRPr="00936D28">
              <w:rPr>
                <w:rFonts w:asciiTheme="majorHAnsi" w:hAnsiTheme="majorHAnsi" w:cstheme="majorHAnsi"/>
                <w:sz w:val="22"/>
                <w:szCs w:val="22"/>
              </w:rPr>
              <w:t>takes into account</w:t>
            </w:r>
            <w:proofErr w:type="gramEnd"/>
            <w:r w:rsidRPr="00936D28">
              <w:rPr>
                <w:rFonts w:asciiTheme="majorHAnsi" w:hAnsiTheme="majorHAnsi" w:cstheme="majorHAnsi"/>
                <w:sz w:val="22"/>
                <w:szCs w:val="22"/>
              </w:rPr>
              <w:t xml:space="preserve"> local factors (such as deprivation, crime levels, ethnicity, marital status, overcrowding in households, household tenure and employment status).</w:t>
            </w:r>
          </w:p>
          <w:p w14:paraId="7C76711D" w14:textId="77777777" w:rsidR="000E1578" w:rsidRPr="00936D28" w:rsidRDefault="000E1578" w:rsidP="003A37BA">
            <w:pPr>
              <w:rPr>
                <w:rFonts w:asciiTheme="majorHAnsi" w:hAnsiTheme="majorHAnsi" w:cstheme="majorHAnsi"/>
                <w:sz w:val="22"/>
                <w:szCs w:val="22"/>
              </w:rPr>
            </w:pPr>
            <w:r w:rsidRPr="00936D28">
              <w:rPr>
                <w:rFonts w:asciiTheme="majorHAnsi" w:hAnsiTheme="majorHAnsi" w:cstheme="majorHAnsi"/>
                <w:sz w:val="22"/>
                <w:szCs w:val="22"/>
              </w:rPr>
              <w:t>As the weighting scheme has changed, as well as changes to questionnaire design and survey frequency, it is not possible to make direct comparisons with previous years’ data, even in cases where the same questions have been asked.</w:t>
            </w:r>
          </w:p>
          <w:p w14:paraId="66DE68F5" w14:textId="77777777" w:rsidR="000E1578" w:rsidRPr="00936D28" w:rsidRDefault="000E1578" w:rsidP="003A37BA">
            <w:pPr>
              <w:rPr>
                <w:rFonts w:asciiTheme="majorHAnsi" w:hAnsiTheme="majorHAnsi" w:cstheme="majorHAnsi"/>
                <w:sz w:val="22"/>
                <w:szCs w:val="22"/>
              </w:rPr>
            </w:pPr>
            <w:r w:rsidRPr="00936D28">
              <w:rPr>
                <w:rFonts w:asciiTheme="majorHAnsi" w:hAnsiTheme="majorHAnsi" w:cstheme="majorHAnsi"/>
                <w:sz w:val="22"/>
                <w:szCs w:val="22"/>
              </w:rPr>
              <w:t>Results of the GPPS are available both weighted and unweighted.</w:t>
            </w:r>
          </w:p>
          <w:p w14:paraId="7D6D6FEB" w14:textId="77777777" w:rsidR="000E1578" w:rsidRPr="00936D28" w:rsidRDefault="000E1578" w:rsidP="003A37BA">
            <w:pPr>
              <w:rPr>
                <w:rFonts w:asciiTheme="majorHAnsi" w:hAnsiTheme="majorHAnsi" w:cstheme="majorHAnsi"/>
                <w:sz w:val="22"/>
                <w:szCs w:val="22"/>
              </w:rPr>
            </w:pPr>
            <w:r w:rsidRPr="00936D28">
              <w:rPr>
                <w:rFonts w:asciiTheme="majorHAnsi" w:hAnsiTheme="majorHAnsi" w:cstheme="majorHAnsi"/>
                <w:sz w:val="22"/>
                <w:szCs w:val="22"/>
              </w:rPr>
              <w:t>Confidence intervals are to be calculated for this indicator.  The method to be used will be determined in conjunction with the Clinical Indicators team to ensure a consistent methodology across similar indicators.  In the meantime, a 95% confidence interval based on the standard error and the t-distribution has been presented with the sample data (below).</w:t>
            </w:r>
          </w:p>
          <w:p w14:paraId="6A6B804E" w14:textId="77777777" w:rsidR="000E1578" w:rsidRPr="00936D28" w:rsidRDefault="000E1578" w:rsidP="003A37BA">
            <w:pPr>
              <w:rPr>
                <w:rFonts w:asciiTheme="majorHAnsi" w:hAnsiTheme="majorHAnsi" w:cstheme="majorHAnsi"/>
                <w:b/>
                <w:i/>
                <w:sz w:val="22"/>
                <w:szCs w:val="22"/>
              </w:rPr>
            </w:pPr>
            <w:r w:rsidRPr="00936D28">
              <w:rPr>
                <w:rFonts w:asciiTheme="majorHAnsi" w:hAnsiTheme="majorHAnsi" w:cstheme="majorHAnsi"/>
                <w:b/>
                <w:i/>
                <w:sz w:val="22"/>
                <w:szCs w:val="22"/>
              </w:rPr>
              <w:t>Other (Quality assurance/interpretation/known limitations):</w:t>
            </w:r>
          </w:p>
          <w:p w14:paraId="39262CF1" w14:textId="77777777" w:rsidR="000E1578" w:rsidRPr="00936D28" w:rsidRDefault="000E1578" w:rsidP="003A37BA">
            <w:pPr>
              <w:rPr>
                <w:rFonts w:asciiTheme="majorHAnsi" w:hAnsiTheme="majorHAnsi" w:cstheme="majorHAnsi"/>
                <w:sz w:val="22"/>
                <w:szCs w:val="22"/>
              </w:rPr>
            </w:pPr>
            <w:r w:rsidRPr="00936D28">
              <w:rPr>
                <w:rFonts w:asciiTheme="majorHAnsi" w:hAnsiTheme="majorHAnsi" w:cstheme="majorHAnsi"/>
                <w:sz w:val="22"/>
                <w:szCs w:val="22"/>
              </w:rPr>
              <w:t>The question in the GPPS has developed over time in order to elicit the most accurate response.  However, as it is a self-completed questionnaire, interpretation could vary between respondents.  The survey does not include a definition of either “long-term” or “mental health condition” so there may be variation as to how these terms are interpreted and how this question is approached.  Note that the mental health condition does not necessarily have to been diagnosed by a doctor.</w:t>
            </w:r>
          </w:p>
          <w:p w14:paraId="0896F604" w14:textId="77777777" w:rsidR="000E1578" w:rsidRPr="00936D28" w:rsidRDefault="000E1578" w:rsidP="003A37BA">
            <w:pPr>
              <w:rPr>
                <w:rFonts w:asciiTheme="majorHAnsi" w:hAnsiTheme="majorHAnsi" w:cstheme="majorHAnsi"/>
                <w:sz w:val="22"/>
                <w:szCs w:val="22"/>
              </w:rPr>
            </w:pPr>
            <w:r w:rsidRPr="00936D28">
              <w:rPr>
                <w:rFonts w:asciiTheme="majorHAnsi" w:hAnsiTheme="majorHAnsi" w:cstheme="majorHAnsi"/>
                <w:sz w:val="22"/>
                <w:szCs w:val="22"/>
              </w:rPr>
              <w:t>The assignment of a patient to a CCG will be based on the GP practice code, which is 100% complete in the GPPS.</w:t>
            </w:r>
          </w:p>
          <w:p w14:paraId="2268B07A" w14:textId="77777777" w:rsidR="000E1578" w:rsidRPr="00936D28" w:rsidRDefault="000E1578" w:rsidP="003A37BA">
            <w:pPr>
              <w:rPr>
                <w:rFonts w:asciiTheme="majorHAnsi" w:hAnsiTheme="majorHAnsi" w:cstheme="majorHAnsi"/>
                <w:sz w:val="22"/>
                <w:szCs w:val="22"/>
              </w:rPr>
            </w:pPr>
            <w:r w:rsidRPr="00936D28">
              <w:rPr>
                <w:rFonts w:asciiTheme="majorHAnsi" w:hAnsiTheme="majorHAnsi" w:cstheme="majorHAnsi"/>
                <w:sz w:val="22"/>
                <w:szCs w:val="22"/>
              </w:rPr>
              <w:lastRenderedPageBreak/>
              <w:t>A high rate is desirable.  The higher the rate the higher the average health status of the relevant population.</w:t>
            </w:r>
          </w:p>
          <w:p w14:paraId="62989304" w14:textId="7755A495" w:rsidR="000E1578" w:rsidRPr="00936D28" w:rsidRDefault="000E1578" w:rsidP="003A37BA">
            <w:pPr>
              <w:rPr>
                <w:rFonts w:asciiTheme="majorHAnsi" w:hAnsiTheme="majorHAnsi" w:cstheme="majorHAnsi"/>
                <w:sz w:val="22"/>
                <w:szCs w:val="22"/>
              </w:rPr>
            </w:pPr>
          </w:p>
        </w:tc>
      </w:tr>
      <w:tr w:rsidR="00460B4E" w:rsidRPr="00936D28" w14:paraId="1E104519" w14:textId="77777777" w:rsidTr="002F05F5">
        <w:tc>
          <w:tcPr>
            <w:tcW w:w="2125" w:type="dxa"/>
          </w:tcPr>
          <w:p w14:paraId="7E5C95B4" w14:textId="77777777" w:rsidR="003A37BA" w:rsidRPr="00936D28" w:rsidRDefault="003A37BA" w:rsidP="003A37BA">
            <w:pPr>
              <w:rPr>
                <w:rFonts w:asciiTheme="majorHAnsi" w:hAnsiTheme="majorHAnsi" w:cstheme="majorHAnsi"/>
                <w:sz w:val="22"/>
                <w:szCs w:val="22"/>
              </w:rPr>
            </w:pPr>
            <w:r w:rsidRPr="00936D28">
              <w:rPr>
                <w:rFonts w:asciiTheme="majorHAnsi" w:hAnsiTheme="majorHAnsi" w:cstheme="majorHAnsi"/>
                <w:sz w:val="22"/>
                <w:szCs w:val="22"/>
              </w:rPr>
              <w:lastRenderedPageBreak/>
              <w:t>Potential Issues</w:t>
            </w:r>
          </w:p>
        </w:tc>
        <w:tc>
          <w:tcPr>
            <w:tcW w:w="7798" w:type="dxa"/>
          </w:tcPr>
          <w:p w14:paraId="51294878" w14:textId="77777777" w:rsidR="003A37BA" w:rsidRPr="00936D28" w:rsidRDefault="003A37BA" w:rsidP="003A37BA">
            <w:pPr>
              <w:rPr>
                <w:rFonts w:asciiTheme="majorHAnsi" w:hAnsiTheme="majorHAnsi" w:cstheme="majorHAnsi"/>
                <w:sz w:val="22"/>
                <w:szCs w:val="22"/>
              </w:rPr>
            </w:pPr>
            <w:r w:rsidRPr="00936D28">
              <w:rPr>
                <w:rFonts w:asciiTheme="majorHAnsi" w:hAnsiTheme="majorHAnsi" w:cstheme="majorHAnsi"/>
                <w:sz w:val="22"/>
                <w:szCs w:val="22"/>
              </w:rPr>
              <w:t>Of the people reporting a long-term mental health condition, 30496 respondents (88%) completed the question which allowed their health status to be calculated (GPPS, July 2011 to March 2012).  The smallest number in a CCG was 23 people.</w:t>
            </w:r>
          </w:p>
          <w:p w14:paraId="37CDFF9B" w14:textId="77777777" w:rsidR="003A37BA" w:rsidRPr="00936D28" w:rsidRDefault="003A37BA" w:rsidP="003A37BA">
            <w:pPr>
              <w:rPr>
                <w:rFonts w:asciiTheme="majorHAnsi" w:hAnsiTheme="majorHAnsi" w:cstheme="majorHAnsi"/>
                <w:sz w:val="22"/>
                <w:szCs w:val="22"/>
              </w:rPr>
            </w:pPr>
            <w:r w:rsidRPr="00936D28">
              <w:rPr>
                <w:rFonts w:asciiTheme="majorHAnsi" w:hAnsiTheme="majorHAnsi" w:cstheme="majorHAnsi"/>
                <w:sz w:val="22"/>
                <w:szCs w:val="22"/>
              </w:rPr>
              <w:t>A patient’s average health status could be influenced by numerous factors, including the severity of their condition and how long they have suffered from it.  The survey does not give respondents the opportunity to specify which mental health condition (or conditions) they have.  Additionally, this indicator does not take account of whether respondents also have a long-term physical health condition, which may or may not be related to their mental health condition.  A long-term physical health condition may have a greater impact on respondent’s physical health than a long-term mental health condition.</w:t>
            </w:r>
          </w:p>
          <w:p w14:paraId="74D3B93E" w14:textId="77777777" w:rsidR="003A37BA" w:rsidRPr="00936D28" w:rsidRDefault="003A37BA" w:rsidP="003A37BA">
            <w:pPr>
              <w:rPr>
                <w:rFonts w:asciiTheme="majorHAnsi" w:hAnsiTheme="majorHAnsi" w:cstheme="majorHAnsi"/>
                <w:sz w:val="22"/>
                <w:szCs w:val="22"/>
              </w:rPr>
            </w:pPr>
            <w:r w:rsidRPr="00936D28">
              <w:rPr>
                <w:rFonts w:asciiTheme="majorHAnsi" w:hAnsiTheme="majorHAnsi" w:cstheme="majorHAnsi"/>
                <w:sz w:val="22"/>
                <w:szCs w:val="22"/>
              </w:rPr>
              <w:t>The weighting scheme for non-response bias does not take the experience mix into account, i.e., whether people with a bad experience are more likely to respond to the survey.  This indicator is dependent on people’s readiness to self-report a long-term mental health problem in the GPPS.  It is not clear whether those affected with a long-term mental health condition are more or less likely to respond to the survey.  Over or under reporting of long-term mental health conditions could distort the measure.</w:t>
            </w:r>
          </w:p>
          <w:p w14:paraId="5153FCA6" w14:textId="62BF2991" w:rsidR="003A37BA" w:rsidRPr="00936D28" w:rsidRDefault="003A37BA" w:rsidP="003A37BA">
            <w:pPr>
              <w:rPr>
                <w:rFonts w:asciiTheme="majorHAnsi" w:hAnsiTheme="majorHAnsi" w:cstheme="majorHAnsi"/>
                <w:sz w:val="22"/>
                <w:szCs w:val="22"/>
              </w:rPr>
            </w:pPr>
            <w:r w:rsidRPr="00936D28">
              <w:rPr>
                <w:rFonts w:asciiTheme="majorHAnsi" w:hAnsiTheme="majorHAnsi" w:cstheme="majorHAnsi"/>
                <w:sz w:val="22"/>
                <w:szCs w:val="22"/>
              </w:rPr>
              <w:t>There is the potential of a perverse incentive or gaming with this indicator.  If people with severe mental illness/complex conditions have poor EQ-5D scores, there could be a risk that some GPs would be disincline</w:t>
            </w:r>
            <w:r w:rsidR="008C6515" w:rsidRPr="00936D28">
              <w:rPr>
                <w:rFonts w:asciiTheme="majorHAnsi" w:hAnsiTheme="majorHAnsi" w:cstheme="majorHAnsi"/>
                <w:sz w:val="22"/>
                <w:szCs w:val="22"/>
              </w:rPr>
              <w:t>d to take them onto their list.</w:t>
            </w:r>
          </w:p>
        </w:tc>
      </w:tr>
    </w:tbl>
    <w:p w14:paraId="1EEB815B" w14:textId="77777777" w:rsidR="003156D7" w:rsidRPr="00936D28" w:rsidRDefault="003156D7" w:rsidP="005A359D">
      <w:pPr>
        <w:rPr>
          <w:rFonts w:asciiTheme="majorHAnsi" w:hAnsiTheme="majorHAnsi" w:cstheme="majorHAnsi"/>
          <w:b/>
          <w:sz w:val="22"/>
          <w:szCs w:val="22"/>
        </w:rPr>
      </w:pPr>
    </w:p>
    <w:p w14:paraId="5C34ED8C" w14:textId="417F4081" w:rsidR="007D13A1" w:rsidRPr="00936D28" w:rsidRDefault="007D13A1" w:rsidP="005A359D">
      <w:pPr>
        <w:rPr>
          <w:rFonts w:asciiTheme="majorHAnsi" w:hAnsiTheme="majorHAnsi" w:cstheme="majorHAnsi"/>
          <w:b/>
          <w:sz w:val="22"/>
          <w:szCs w:val="22"/>
        </w:rPr>
      </w:pPr>
      <w:r w:rsidRPr="00936D28">
        <w:rPr>
          <w:rFonts w:asciiTheme="majorHAnsi" w:hAnsiTheme="majorHAnsi" w:cstheme="majorHAnsi"/>
          <w:b/>
          <w:sz w:val="22"/>
          <w:szCs w:val="22"/>
        </w:rPr>
        <w:t>Updates to recommendations</w:t>
      </w:r>
    </w:p>
    <w:tbl>
      <w:tblPr>
        <w:tblStyle w:val="TableGrid"/>
        <w:tblW w:w="9923" w:type="dxa"/>
        <w:tblLayout w:type="fixed"/>
        <w:tblLook w:val="01E0" w:firstRow="1" w:lastRow="1" w:firstColumn="1" w:lastColumn="1" w:noHBand="0" w:noVBand="0"/>
      </w:tblPr>
      <w:tblGrid>
        <w:gridCol w:w="1844"/>
        <w:gridCol w:w="8079"/>
      </w:tblGrid>
      <w:tr w:rsidR="00460B4E" w:rsidRPr="00936D28" w14:paraId="16D12A73" w14:textId="77777777" w:rsidTr="002F05F5">
        <w:tc>
          <w:tcPr>
            <w:tcW w:w="1844" w:type="dxa"/>
          </w:tcPr>
          <w:p w14:paraId="7589F2B7" w14:textId="77777777" w:rsidR="003A37BA" w:rsidRPr="00936D28" w:rsidRDefault="003A37BA" w:rsidP="003A37BA">
            <w:pPr>
              <w:rPr>
                <w:rFonts w:asciiTheme="majorHAnsi" w:hAnsiTheme="majorHAnsi" w:cstheme="majorHAnsi"/>
                <w:sz w:val="22"/>
                <w:szCs w:val="22"/>
              </w:rPr>
            </w:pPr>
            <w:r w:rsidRPr="00936D28">
              <w:rPr>
                <w:rFonts w:asciiTheme="majorHAnsi" w:hAnsiTheme="majorHAnsi" w:cstheme="majorHAnsi"/>
                <w:sz w:val="22"/>
                <w:szCs w:val="22"/>
              </w:rPr>
              <w:t>Ref code</w:t>
            </w:r>
          </w:p>
          <w:p w14:paraId="48315509" w14:textId="77777777" w:rsidR="003A37BA" w:rsidRPr="00936D28" w:rsidRDefault="003A37BA" w:rsidP="003A37BA">
            <w:pPr>
              <w:rPr>
                <w:rFonts w:asciiTheme="majorHAnsi" w:hAnsiTheme="majorHAnsi" w:cstheme="majorHAnsi"/>
                <w:sz w:val="22"/>
                <w:szCs w:val="22"/>
              </w:rPr>
            </w:pPr>
            <w:r w:rsidRPr="00936D28">
              <w:rPr>
                <w:rFonts w:asciiTheme="majorHAnsi" w:hAnsiTheme="majorHAnsi" w:cstheme="majorHAnsi"/>
                <w:sz w:val="22"/>
                <w:szCs w:val="22"/>
              </w:rPr>
              <w:t>IAP00354-01</w:t>
            </w:r>
          </w:p>
          <w:p w14:paraId="27980C2B" w14:textId="77777777" w:rsidR="003A37BA" w:rsidRPr="00936D28" w:rsidRDefault="003A37BA" w:rsidP="003A37BA">
            <w:pPr>
              <w:rPr>
                <w:rFonts w:asciiTheme="majorHAnsi" w:hAnsiTheme="majorHAnsi" w:cstheme="majorHAnsi"/>
                <w:sz w:val="22"/>
                <w:szCs w:val="22"/>
              </w:rPr>
            </w:pPr>
            <w:r w:rsidRPr="00936D28">
              <w:rPr>
                <w:rFonts w:asciiTheme="majorHAnsi" w:hAnsiTheme="majorHAnsi" w:cstheme="majorHAnsi"/>
                <w:sz w:val="22"/>
                <w:szCs w:val="22"/>
              </w:rPr>
              <w:t>Made: 31/10/13</w:t>
            </w:r>
          </w:p>
        </w:tc>
        <w:tc>
          <w:tcPr>
            <w:tcW w:w="8079" w:type="dxa"/>
          </w:tcPr>
          <w:p w14:paraId="0F17958E" w14:textId="77777777" w:rsidR="003A37BA" w:rsidRPr="00936D28" w:rsidRDefault="003A37BA" w:rsidP="003A37BA">
            <w:pPr>
              <w:rPr>
                <w:rFonts w:asciiTheme="majorHAnsi" w:hAnsiTheme="majorHAnsi" w:cstheme="majorHAnsi"/>
                <w:b/>
                <w:sz w:val="22"/>
                <w:szCs w:val="22"/>
              </w:rPr>
            </w:pPr>
            <w:r w:rsidRPr="00936D28">
              <w:rPr>
                <w:rFonts w:asciiTheme="majorHAnsi" w:hAnsiTheme="majorHAnsi" w:cstheme="majorHAnsi"/>
                <w:b/>
                <w:sz w:val="22"/>
                <w:szCs w:val="22"/>
              </w:rPr>
              <w:t>The standardisation methods used should be brought in line with other indicators using the EQ-5D score as much as possible, which will influence the confidence interval methodology used.</w:t>
            </w:r>
          </w:p>
        </w:tc>
      </w:tr>
    </w:tbl>
    <w:p w14:paraId="373C194A" w14:textId="77777777" w:rsidR="004F07F3" w:rsidRPr="00936D28" w:rsidRDefault="004F07F3" w:rsidP="004F07F3">
      <w:pPr>
        <w:rPr>
          <w:rFonts w:asciiTheme="majorHAnsi" w:hAnsiTheme="majorHAnsi" w:cstheme="majorHAnsi"/>
          <w:sz w:val="22"/>
          <w:szCs w:val="22"/>
        </w:rPr>
      </w:pPr>
      <w:r w:rsidRPr="00936D28">
        <w:rPr>
          <w:rFonts w:asciiTheme="majorHAnsi" w:hAnsiTheme="majorHAnsi" w:cstheme="majorHAnsi"/>
          <w:sz w:val="22"/>
          <w:szCs w:val="22"/>
        </w:rPr>
        <w:t>The standardisation methodology for this indicator was considered and agreed by MRG on 17</w:t>
      </w:r>
      <w:r w:rsidRPr="00936D28">
        <w:rPr>
          <w:rFonts w:asciiTheme="majorHAnsi" w:hAnsiTheme="majorHAnsi" w:cstheme="majorHAnsi"/>
          <w:sz w:val="22"/>
          <w:szCs w:val="22"/>
          <w:vertAlign w:val="superscript"/>
        </w:rPr>
        <w:t>th</w:t>
      </w:r>
      <w:r w:rsidRPr="00936D28">
        <w:rPr>
          <w:rFonts w:asciiTheme="majorHAnsi" w:hAnsiTheme="majorHAnsi" w:cstheme="majorHAnsi"/>
          <w:sz w:val="22"/>
          <w:szCs w:val="22"/>
        </w:rPr>
        <w:t xml:space="preserve"> January 2014 along with the following Health Related Quality of Life indicators:</w:t>
      </w:r>
    </w:p>
    <w:p w14:paraId="17A30A25" w14:textId="77777777" w:rsidR="004F07F3" w:rsidRPr="00936D28" w:rsidRDefault="004F07F3" w:rsidP="004F07F3">
      <w:pPr>
        <w:numPr>
          <w:ilvl w:val="0"/>
          <w:numId w:val="6"/>
        </w:numPr>
        <w:rPr>
          <w:rFonts w:asciiTheme="majorHAnsi" w:hAnsiTheme="majorHAnsi" w:cstheme="majorHAnsi"/>
          <w:sz w:val="22"/>
          <w:szCs w:val="22"/>
        </w:rPr>
      </w:pPr>
      <w:r w:rsidRPr="00936D28">
        <w:rPr>
          <w:rFonts w:asciiTheme="majorHAnsi" w:hAnsiTheme="majorHAnsi" w:cstheme="majorHAnsi"/>
          <w:sz w:val="22"/>
          <w:szCs w:val="22"/>
        </w:rPr>
        <w:t>Health related quality of life for people with long term conditions (NHS OF indicator 2 and CCG OIS 2.1)</w:t>
      </w:r>
    </w:p>
    <w:p w14:paraId="64C8F43F" w14:textId="77777777" w:rsidR="004F07F3" w:rsidRPr="00936D28" w:rsidRDefault="004F07F3" w:rsidP="004F07F3">
      <w:pPr>
        <w:numPr>
          <w:ilvl w:val="0"/>
          <w:numId w:val="6"/>
        </w:numPr>
        <w:rPr>
          <w:rFonts w:asciiTheme="majorHAnsi" w:hAnsiTheme="majorHAnsi" w:cstheme="majorHAnsi"/>
          <w:sz w:val="22"/>
          <w:szCs w:val="22"/>
        </w:rPr>
      </w:pPr>
      <w:r w:rsidRPr="00936D28">
        <w:rPr>
          <w:rFonts w:asciiTheme="majorHAnsi" w:hAnsiTheme="majorHAnsi" w:cstheme="majorHAnsi"/>
          <w:sz w:val="22"/>
          <w:szCs w:val="22"/>
        </w:rPr>
        <w:t>Proportion of people who feel supported to manage their condition (NHS OF 2.1 and CCG OIS 2.2)</w:t>
      </w:r>
    </w:p>
    <w:p w14:paraId="0C4F07AE" w14:textId="77777777" w:rsidR="004F07F3" w:rsidRPr="00936D28" w:rsidRDefault="004F07F3" w:rsidP="004F07F3">
      <w:pPr>
        <w:numPr>
          <w:ilvl w:val="0"/>
          <w:numId w:val="6"/>
        </w:numPr>
        <w:rPr>
          <w:rFonts w:asciiTheme="majorHAnsi" w:hAnsiTheme="majorHAnsi" w:cstheme="majorHAnsi"/>
          <w:sz w:val="22"/>
          <w:szCs w:val="22"/>
        </w:rPr>
      </w:pPr>
      <w:r w:rsidRPr="00936D28">
        <w:rPr>
          <w:rFonts w:asciiTheme="majorHAnsi" w:hAnsiTheme="majorHAnsi" w:cstheme="majorHAnsi"/>
          <w:sz w:val="22"/>
          <w:szCs w:val="22"/>
        </w:rPr>
        <w:t>Health related quality of life for carers, aged over 18 years (NHS OF 2.4 and CCG OIS 2.15)</w:t>
      </w:r>
    </w:p>
    <w:p w14:paraId="27834C8D" w14:textId="4EE65C2D" w:rsidR="004F07F3" w:rsidRDefault="004F07F3" w:rsidP="004F07F3">
      <w:r w:rsidRPr="00936D28">
        <w:rPr>
          <w:rFonts w:asciiTheme="majorHAnsi" w:hAnsiTheme="majorHAnsi" w:cstheme="majorHAnsi"/>
          <w:sz w:val="22"/>
          <w:szCs w:val="22"/>
        </w:rPr>
        <w:t>As agreed by MRG, the indicator will be standardised by age and gender using 4 age bands, rather than 8, reducing the number of CCGs with zero cells from 162 to 30.</w:t>
      </w:r>
    </w:p>
    <w:p w14:paraId="2CDABF9D" w14:textId="511696FD" w:rsidR="003A37BA" w:rsidRPr="00936D28" w:rsidRDefault="003A37BA" w:rsidP="003A37BA">
      <w:pPr>
        <w:rPr>
          <w:rFonts w:asciiTheme="majorHAnsi" w:hAnsiTheme="majorHAnsi" w:cstheme="majorHAnsi"/>
          <w:b/>
          <w:sz w:val="22"/>
          <w:szCs w:val="22"/>
        </w:rPr>
      </w:pPr>
    </w:p>
    <w:p w14:paraId="6AAB3E26" w14:textId="467C3AA1" w:rsidR="00000D88" w:rsidRPr="00936D28" w:rsidRDefault="00000D88" w:rsidP="003A37BA">
      <w:pPr>
        <w:rPr>
          <w:rFonts w:asciiTheme="majorHAnsi" w:hAnsiTheme="majorHAnsi" w:cstheme="majorHAnsi"/>
          <w:b/>
          <w:sz w:val="22"/>
          <w:szCs w:val="22"/>
        </w:rPr>
      </w:pPr>
    </w:p>
    <w:p w14:paraId="26E211E0" w14:textId="77777777" w:rsidR="00000D88" w:rsidRPr="00936D28" w:rsidRDefault="00000D88" w:rsidP="003A37BA">
      <w:pPr>
        <w:rPr>
          <w:rFonts w:asciiTheme="majorHAnsi" w:hAnsiTheme="majorHAnsi" w:cstheme="majorHAnsi"/>
          <w:b/>
          <w:sz w:val="22"/>
          <w:szCs w:val="22"/>
        </w:rPr>
      </w:pPr>
    </w:p>
    <w:tbl>
      <w:tblPr>
        <w:tblStyle w:val="TableGrid"/>
        <w:tblW w:w="9923" w:type="dxa"/>
        <w:tblLayout w:type="fixed"/>
        <w:tblLook w:val="01E0" w:firstRow="1" w:lastRow="1" w:firstColumn="1" w:lastColumn="1" w:noHBand="0" w:noVBand="0"/>
      </w:tblPr>
      <w:tblGrid>
        <w:gridCol w:w="1844"/>
        <w:gridCol w:w="8079"/>
      </w:tblGrid>
      <w:tr w:rsidR="00460B4E" w:rsidRPr="00936D28" w14:paraId="0466E1B0" w14:textId="77777777" w:rsidTr="002F05F5">
        <w:tc>
          <w:tcPr>
            <w:tcW w:w="1844" w:type="dxa"/>
          </w:tcPr>
          <w:p w14:paraId="5EF5AFCB" w14:textId="77777777" w:rsidR="003A37BA" w:rsidRPr="00936D28" w:rsidRDefault="003A37BA" w:rsidP="003A37BA">
            <w:pPr>
              <w:rPr>
                <w:rFonts w:asciiTheme="majorHAnsi" w:hAnsiTheme="majorHAnsi" w:cstheme="majorHAnsi"/>
                <w:sz w:val="22"/>
                <w:szCs w:val="22"/>
              </w:rPr>
            </w:pPr>
            <w:r w:rsidRPr="00936D28">
              <w:rPr>
                <w:rFonts w:asciiTheme="majorHAnsi" w:hAnsiTheme="majorHAnsi" w:cstheme="majorHAnsi"/>
                <w:sz w:val="22"/>
                <w:szCs w:val="22"/>
              </w:rPr>
              <w:lastRenderedPageBreak/>
              <w:t>Ref code</w:t>
            </w:r>
          </w:p>
          <w:p w14:paraId="1265DCB6" w14:textId="77777777" w:rsidR="003A37BA" w:rsidRPr="00936D28" w:rsidRDefault="003A37BA" w:rsidP="003A37BA">
            <w:pPr>
              <w:rPr>
                <w:rFonts w:asciiTheme="majorHAnsi" w:hAnsiTheme="majorHAnsi" w:cstheme="majorHAnsi"/>
                <w:sz w:val="22"/>
                <w:szCs w:val="22"/>
              </w:rPr>
            </w:pPr>
            <w:r w:rsidRPr="00936D28">
              <w:rPr>
                <w:rFonts w:asciiTheme="majorHAnsi" w:hAnsiTheme="majorHAnsi" w:cstheme="majorHAnsi"/>
                <w:sz w:val="22"/>
                <w:szCs w:val="22"/>
              </w:rPr>
              <w:t>IAP00354-02</w:t>
            </w:r>
          </w:p>
          <w:p w14:paraId="68D0DD0D" w14:textId="77777777" w:rsidR="003A37BA" w:rsidRPr="00936D28" w:rsidRDefault="003A37BA" w:rsidP="003A37BA">
            <w:pPr>
              <w:rPr>
                <w:rFonts w:asciiTheme="majorHAnsi" w:hAnsiTheme="majorHAnsi" w:cstheme="majorHAnsi"/>
                <w:sz w:val="22"/>
                <w:szCs w:val="22"/>
              </w:rPr>
            </w:pPr>
            <w:r w:rsidRPr="00936D28">
              <w:rPr>
                <w:rFonts w:asciiTheme="majorHAnsi" w:hAnsiTheme="majorHAnsi" w:cstheme="majorHAnsi"/>
                <w:sz w:val="22"/>
                <w:szCs w:val="22"/>
              </w:rPr>
              <w:t>Made: 31/10/13</w:t>
            </w:r>
          </w:p>
        </w:tc>
        <w:tc>
          <w:tcPr>
            <w:tcW w:w="8079" w:type="dxa"/>
          </w:tcPr>
          <w:p w14:paraId="2FBD18A3" w14:textId="77777777" w:rsidR="003A37BA" w:rsidRPr="00936D28" w:rsidRDefault="003A37BA" w:rsidP="003A37BA">
            <w:pPr>
              <w:rPr>
                <w:rFonts w:asciiTheme="majorHAnsi" w:hAnsiTheme="majorHAnsi" w:cstheme="majorHAnsi"/>
                <w:b/>
                <w:sz w:val="22"/>
                <w:szCs w:val="22"/>
              </w:rPr>
            </w:pPr>
            <w:r w:rsidRPr="00936D28">
              <w:rPr>
                <w:rFonts w:asciiTheme="majorHAnsi" w:hAnsiTheme="majorHAnsi" w:cstheme="majorHAnsi"/>
                <w:b/>
                <w:sz w:val="22"/>
                <w:szCs w:val="22"/>
              </w:rPr>
              <w:t>Response rate of people with mental health conditions should be explored and evidenced.</w:t>
            </w:r>
          </w:p>
        </w:tc>
      </w:tr>
    </w:tbl>
    <w:p w14:paraId="766B0C80" w14:textId="03CB88C2" w:rsidR="004F07F3" w:rsidRDefault="004F07F3"/>
    <w:p w14:paraId="18C2FBFC" w14:textId="77777777" w:rsidR="004F07F3" w:rsidRPr="00936D28" w:rsidRDefault="004F07F3" w:rsidP="004F07F3">
      <w:pPr>
        <w:rPr>
          <w:rFonts w:asciiTheme="majorHAnsi" w:hAnsiTheme="majorHAnsi" w:cstheme="majorHAnsi"/>
          <w:sz w:val="22"/>
          <w:szCs w:val="22"/>
        </w:rPr>
      </w:pPr>
      <w:r w:rsidRPr="00936D28">
        <w:rPr>
          <w:rFonts w:asciiTheme="majorHAnsi" w:hAnsiTheme="majorHAnsi" w:cstheme="majorHAnsi"/>
          <w:sz w:val="22"/>
          <w:szCs w:val="22"/>
        </w:rPr>
        <w:t>We have explored potential proxy measures regarding the response rate of people with mental health conditions. We are unable to determine the overall response rate compared to the general population.</w:t>
      </w:r>
    </w:p>
    <w:p w14:paraId="0B499EC2" w14:textId="77777777" w:rsidR="004F07F3" w:rsidRPr="00936D28" w:rsidRDefault="004F07F3" w:rsidP="004F07F3">
      <w:pPr>
        <w:rPr>
          <w:rFonts w:asciiTheme="majorHAnsi" w:hAnsiTheme="majorHAnsi" w:cstheme="majorHAnsi"/>
          <w:sz w:val="22"/>
          <w:szCs w:val="22"/>
        </w:rPr>
      </w:pPr>
      <w:r w:rsidRPr="00936D28">
        <w:rPr>
          <w:rFonts w:asciiTheme="majorHAnsi" w:hAnsiTheme="majorHAnsi" w:cstheme="majorHAnsi"/>
          <w:sz w:val="22"/>
          <w:szCs w:val="22"/>
        </w:rPr>
        <w:t>We have investigated any potential difference between those with long term mental health conditions and the general population in terms of completion of the EQ-5D score by those responding to the GPPS.  As a proxy measure, this indicated an insignificant difference in completion rates between the groups.</w:t>
      </w:r>
    </w:p>
    <w:p w14:paraId="324A3080" w14:textId="225C3266" w:rsidR="004F07F3" w:rsidRDefault="004F07F3" w:rsidP="004F07F3">
      <w:r w:rsidRPr="00936D28">
        <w:rPr>
          <w:rFonts w:asciiTheme="majorHAnsi" w:hAnsiTheme="majorHAnsi" w:cstheme="majorHAnsi"/>
          <w:sz w:val="22"/>
          <w:szCs w:val="22"/>
        </w:rPr>
        <w:t>As a proxy measure to determine the likely response rate of those with long term mental health problems, we investigated discrepancies between response rates of the Community Mental Health Survey (29%) and the National Inpatient Survey (49%). The surveys have a sizable difference in response rate, but the applicability of this result as a proxy measure of response rates is questionable.</w:t>
      </w:r>
    </w:p>
    <w:p w14:paraId="7EE96444" w14:textId="77777777" w:rsidR="003A37BA" w:rsidRPr="00936D28" w:rsidRDefault="003A37BA" w:rsidP="003A37BA">
      <w:pPr>
        <w:rPr>
          <w:rFonts w:asciiTheme="majorHAnsi" w:hAnsiTheme="majorHAnsi" w:cstheme="majorHAnsi"/>
          <w:sz w:val="22"/>
          <w:szCs w:val="22"/>
        </w:rPr>
      </w:pPr>
    </w:p>
    <w:tbl>
      <w:tblPr>
        <w:tblStyle w:val="TableGrid"/>
        <w:tblW w:w="9923" w:type="dxa"/>
        <w:tblLayout w:type="fixed"/>
        <w:tblLook w:val="01E0" w:firstRow="1" w:lastRow="1" w:firstColumn="1" w:lastColumn="1" w:noHBand="0" w:noVBand="0"/>
      </w:tblPr>
      <w:tblGrid>
        <w:gridCol w:w="1844"/>
        <w:gridCol w:w="8079"/>
      </w:tblGrid>
      <w:tr w:rsidR="00460B4E" w:rsidRPr="00936D28" w14:paraId="2B798C15" w14:textId="77777777" w:rsidTr="002F05F5">
        <w:tc>
          <w:tcPr>
            <w:tcW w:w="1844" w:type="dxa"/>
          </w:tcPr>
          <w:p w14:paraId="5AB87911" w14:textId="77777777" w:rsidR="003A37BA" w:rsidRPr="00936D28" w:rsidRDefault="003A37BA" w:rsidP="003A37BA">
            <w:pPr>
              <w:rPr>
                <w:rFonts w:asciiTheme="majorHAnsi" w:hAnsiTheme="majorHAnsi" w:cstheme="majorHAnsi"/>
                <w:sz w:val="22"/>
                <w:szCs w:val="22"/>
              </w:rPr>
            </w:pPr>
            <w:r w:rsidRPr="00936D28">
              <w:rPr>
                <w:rFonts w:asciiTheme="majorHAnsi" w:hAnsiTheme="majorHAnsi" w:cstheme="majorHAnsi"/>
                <w:sz w:val="22"/>
                <w:szCs w:val="22"/>
              </w:rPr>
              <w:t>Ref code</w:t>
            </w:r>
          </w:p>
          <w:p w14:paraId="72095E75" w14:textId="77777777" w:rsidR="003A37BA" w:rsidRPr="00936D28" w:rsidRDefault="003A37BA" w:rsidP="003A37BA">
            <w:pPr>
              <w:rPr>
                <w:rFonts w:asciiTheme="majorHAnsi" w:hAnsiTheme="majorHAnsi" w:cstheme="majorHAnsi"/>
                <w:sz w:val="22"/>
                <w:szCs w:val="22"/>
              </w:rPr>
            </w:pPr>
            <w:r w:rsidRPr="00936D28">
              <w:rPr>
                <w:rFonts w:asciiTheme="majorHAnsi" w:hAnsiTheme="majorHAnsi" w:cstheme="majorHAnsi"/>
                <w:sz w:val="22"/>
                <w:szCs w:val="22"/>
              </w:rPr>
              <w:t>IAP00354-03</w:t>
            </w:r>
          </w:p>
          <w:p w14:paraId="6C79B42C" w14:textId="77777777" w:rsidR="003A37BA" w:rsidRPr="00936D28" w:rsidRDefault="003A37BA" w:rsidP="003A37BA">
            <w:pPr>
              <w:rPr>
                <w:rFonts w:asciiTheme="majorHAnsi" w:hAnsiTheme="majorHAnsi" w:cstheme="majorHAnsi"/>
                <w:sz w:val="22"/>
                <w:szCs w:val="22"/>
              </w:rPr>
            </w:pPr>
            <w:r w:rsidRPr="00936D28">
              <w:rPr>
                <w:rFonts w:asciiTheme="majorHAnsi" w:hAnsiTheme="majorHAnsi" w:cstheme="majorHAnsi"/>
                <w:sz w:val="22"/>
                <w:szCs w:val="22"/>
              </w:rPr>
              <w:t>Made: 31/10/13</w:t>
            </w:r>
          </w:p>
        </w:tc>
        <w:tc>
          <w:tcPr>
            <w:tcW w:w="8079" w:type="dxa"/>
          </w:tcPr>
          <w:p w14:paraId="1401FDFD" w14:textId="77777777" w:rsidR="003A37BA" w:rsidRPr="00936D28" w:rsidRDefault="003A37BA" w:rsidP="003A37BA">
            <w:pPr>
              <w:rPr>
                <w:rFonts w:asciiTheme="majorHAnsi" w:hAnsiTheme="majorHAnsi" w:cstheme="majorHAnsi"/>
                <w:b/>
                <w:sz w:val="22"/>
                <w:szCs w:val="22"/>
              </w:rPr>
            </w:pPr>
            <w:r w:rsidRPr="00936D28">
              <w:rPr>
                <w:rFonts w:asciiTheme="majorHAnsi" w:hAnsiTheme="majorHAnsi" w:cstheme="majorHAnsi"/>
                <w:b/>
                <w:sz w:val="22"/>
                <w:szCs w:val="22"/>
              </w:rPr>
              <w:t>Exploration of any bias caused by including the anxiety/depression dimension for people with mental health conditions should be explored.</w:t>
            </w:r>
          </w:p>
        </w:tc>
      </w:tr>
    </w:tbl>
    <w:p w14:paraId="35BD9B03" w14:textId="77777777" w:rsidR="004F07F3" w:rsidRDefault="004F07F3" w:rsidP="004F07F3">
      <w:pPr>
        <w:rPr>
          <w:rFonts w:asciiTheme="majorHAnsi" w:hAnsiTheme="majorHAnsi" w:cstheme="majorHAnsi"/>
          <w:sz w:val="22"/>
          <w:szCs w:val="22"/>
        </w:rPr>
      </w:pPr>
    </w:p>
    <w:p w14:paraId="155D627F" w14:textId="455DACDE" w:rsidR="004F07F3" w:rsidRPr="00936D28" w:rsidRDefault="004F07F3" w:rsidP="004F07F3">
      <w:pPr>
        <w:rPr>
          <w:rFonts w:asciiTheme="majorHAnsi" w:hAnsiTheme="majorHAnsi" w:cstheme="majorHAnsi"/>
          <w:sz w:val="22"/>
          <w:szCs w:val="22"/>
        </w:rPr>
      </w:pPr>
      <w:proofErr w:type="spellStart"/>
      <w:r w:rsidRPr="00936D28">
        <w:rPr>
          <w:rFonts w:asciiTheme="majorHAnsi" w:hAnsiTheme="majorHAnsi" w:cstheme="majorHAnsi"/>
          <w:sz w:val="22"/>
          <w:szCs w:val="22"/>
        </w:rPr>
        <w:t>Euroqol</w:t>
      </w:r>
      <w:proofErr w:type="spellEnd"/>
      <w:r w:rsidRPr="00936D28">
        <w:rPr>
          <w:rFonts w:asciiTheme="majorHAnsi" w:hAnsiTheme="majorHAnsi" w:cstheme="majorHAnsi"/>
          <w:sz w:val="22"/>
          <w:szCs w:val="22"/>
        </w:rPr>
        <w:t xml:space="preserve"> documentation states that excluding an element of EQ-5D means the method can no longer be claimed to have been used with limitations imposed for the way that EQ-5D can be analysed. Removing a dimension would invalidate the calculation as the scores are based on trade-offs between different combinations of the health status in the 5 dimensions.</w:t>
      </w:r>
    </w:p>
    <w:p w14:paraId="3A986067" w14:textId="77777777" w:rsidR="004F07F3" w:rsidRPr="00936D28" w:rsidRDefault="004F07F3" w:rsidP="004F07F3">
      <w:pPr>
        <w:rPr>
          <w:rFonts w:asciiTheme="majorHAnsi" w:hAnsiTheme="majorHAnsi" w:cstheme="majorHAnsi"/>
          <w:sz w:val="22"/>
          <w:szCs w:val="22"/>
        </w:rPr>
      </w:pPr>
      <w:r w:rsidRPr="00936D28">
        <w:rPr>
          <w:rFonts w:asciiTheme="majorHAnsi" w:hAnsiTheme="majorHAnsi" w:cstheme="majorHAnsi"/>
          <w:sz w:val="22"/>
          <w:szCs w:val="22"/>
        </w:rPr>
        <w:t xml:space="preserve">We do not receive the individual EQ-5D dimensions in a scored format and only have access to the written responses provided. This has meant that we have not been able to explore removing a dimension and how it would affect the overall weighted EQ-5D. </w:t>
      </w:r>
    </w:p>
    <w:p w14:paraId="02B72717" w14:textId="77777777" w:rsidR="004F07F3" w:rsidRPr="00936D28" w:rsidRDefault="004F07F3" w:rsidP="004F07F3">
      <w:pPr>
        <w:rPr>
          <w:rFonts w:asciiTheme="majorHAnsi" w:hAnsiTheme="majorHAnsi" w:cstheme="majorHAnsi"/>
          <w:sz w:val="22"/>
          <w:szCs w:val="22"/>
        </w:rPr>
      </w:pPr>
      <w:r w:rsidRPr="00936D28">
        <w:rPr>
          <w:rFonts w:asciiTheme="majorHAnsi" w:hAnsiTheme="majorHAnsi" w:cstheme="majorHAnsi"/>
          <w:sz w:val="22"/>
          <w:szCs w:val="22"/>
        </w:rPr>
        <w:t xml:space="preserve">There is also the issue of comparability with other similar CCG OIS indicators that use EQ-5D. This indicator is a sub-set of CCG OIS indicator 2.1 and will no longer be comparable if the method used to assess overall health is changed. A reference in the Indicator Quality Statement can be included to highlight any possible bias caused by the use of certain dimensions in the EQ-5D.  </w:t>
      </w:r>
    </w:p>
    <w:p w14:paraId="46063631" w14:textId="47633E66" w:rsidR="004F07F3" w:rsidRDefault="004F07F3" w:rsidP="004F07F3">
      <w:r w:rsidRPr="00936D28">
        <w:rPr>
          <w:rFonts w:asciiTheme="majorHAnsi" w:hAnsiTheme="majorHAnsi" w:cstheme="majorHAnsi"/>
          <w:sz w:val="22"/>
          <w:szCs w:val="22"/>
        </w:rPr>
        <w:t>The existing NHS OF indicator 2 and CCG OIS indicator 2.1 (Health related quality of life for people with long-term conditions)include people who identify themselves as having ‘Arthritis or long-term joint problem’ or a ‘Long-term back problem’ (as well people with a ‘Long-term mental health condition’) but still include the mobility and pain/discomfort elements of the EQ-5D in their overall health calculation where the responses may be influenced by their condition.</w:t>
      </w:r>
    </w:p>
    <w:p w14:paraId="6AC60ADB" w14:textId="77777777" w:rsidR="003A37BA" w:rsidRPr="00936D28" w:rsidRDefault="003A37BA" w:rsidP="003A37BA">
      <w:pPr>
        <w:rPr>
          <w:rFonts w:asciiTheme="majorHAnsi" w:hAnsiTheme="majorHAnsi" w:cstheme="majorHAnsi"/>
          <w:sz w:val="22"/>
          <w:szCs w:val="22"/>
        </w:rPr>
      </w:pPr>
    </w:p>
    <w:tbl>
      <w:tblPr>
        <w:tblStyle w:val="TableGrid"/>
        <w:tblW w:w="9923" w:type="dxa"/>
        <w:tblLayout w:type="fixed"/>
        <w:tblLook w:val="01E0" w:firstRow="1" w:lastRow="1" w:firstColumn="1" w:lastColumn="1" w:noHBand="0" w:noVBand="0"/>
      </w:tblPr>
      <w:tblGrid>
        <w:gridCol w:w="1844"/>
        <w:gridCol w:w="8079"/>
      </w:tblGrid>
      <w:tr w:rsidR="00460B4E" w:rsidRPr="00936D28" w14:paraId="143AAEDA" w14:textId="77777777" w:rsidTr="002F05F5">
        <w:tc>
          <w:tcPr>
            <w:tcW w:w="1844" w:type="dxa"/>
          </w:tcPr>
          <w:p w14:paraId="4A9B6659" w14:textId="77777777" w:rsidR="003A37BA" w:rsidRPr="00936D28" w:rsidRDefault="003A37BA" w:rsidP="003A37BA">
            <w:pPr>
              <w:rPr>
                <w:rFonts w:asciiTheme="majorHAnsi" w:hAnsiTheme="majorHAnsi" w:cstheme="majorHAnsi"/>
                <w:sz w:val="22"/>
                <w:szCs w:val="22"/>
              </w:rPr>
            </w:pPr>
            <w:r w:rsidRPr="00936D28">
              <w:rPr>
                <w:rFonts w:asciiTheme="majorHAnsi" w:hAnsiTheme="majorHAnsi" w:cstheme="majorHAnsi"/>
                <w:sz w:val="22"/>
                <w:szCs w:val="22"/>
              </w:rPr>
              <w:lastRenderedPageBreak/>
              <w:t>Ref code</w:t>
            </w:r>
          </w:p>
          <w:p w14:paraId="46B248A9" w14:textId="77777777" w:rsidR="003A37BA" w:rsidRPr="00936D28" w:rsidRDefault="003A37BA" w:rsidP="003A37BA">
            <w:pPr>
              <w:rPr>
                <w:rFonts w:asciiTheme="majorHAnsi" w:hAnsiTheme="majorHAnsi" w:cstheme="majorHAnsi"/>
                <w:sz w:val="22"/>
                <w:szCs w:val="22"/>
              </w:rPr>
            </w:pPr>
            <w:r w:rsidRPr="00936D28">
              <w:rPr>
                <w:rFonts w:asciiTheme="majorHAnsi" w:hAnsiTheme="majorHAnsi" w:cstheme="majorHAnsi"/>
                <w:sz w:val="22"/>
                <w:szCs w:val="22"/>
              </w:rPr>
              <w:t>IAP00354-04</w:t>
            </w:r>
          </w:p>
          <w:p w14:paraId="409A5D8D" w14:textId="77777777" w:rsidR="003A37BA" w:rsidRPr="00936D28" w:rsidRDefault="003A37BA" w:rsidP="003A37BA">
            <w:pPr>
              <w:rPr>
                <w:rFonts w:asciiTheme="majorHAnsi" w:hAnsiTheme="majorHAnsi" w:cstheme="majorHAnsi"/>
                <w:sz w:val="22"/>
                <w:szCs w:val="22"/>
              </w:rPr>
            </w:pPr>
            <w:r w:rsidRPr="00936D28">
              <w:rPr>
                <w:rFonts w:asciiTheme="majorHAnsi" w:hAnsiTheme="majorHAnsi" w:cstheme="majorHAnsi"/>
                <w:sz w:val="22"/>
                <w:szCs w:val="22"/>
              </w:rPr>
              <w:t>Made: 31/10/13</w:t>
            </w:r>
          </w:p>
        </w:tc>
        <w:tc>
          <w:tcPr>
            <w:tcW w:w="8079" w:type="dxa"/>
          </w:tcPr>
          <w:p w14:paraId="7D03C21C" w14:textId="77777777" w:rsidR="003A37BA" w:rsidRPr="00936D28" w:rsidRDefault="003A37BA" w:rsidP="003A37BA">
            <w:pPr>
              <w:rPr>
                <w:rFonts w:asciiTheme="majorHAnsi" w:hAnsiTheme="majorHAnsi" w:cstheme="majorHAnsi"/>
                <w:b/>
                <w:sz w:val="22"/>
                <w:szCs w:val="22"/>
              </w:rPr>
            </w:pPr>
            <w:r w:rsidRPr="00936D28">
              <w:rPr>
                <w:rFonts w:asciiTheme="majorHAnsi" w:hAnsiTheme="majorHAnsi" w:cstheme="majorHAnsi"/>
                <w:b/>
                <w:sz w:val="22"/>
                <w:szCs w:val="22"/>
              </w:rPr>
              <w:t>Produce a scatter graph showing the number of respondents against the average EQ-5D score to show variation in score is not due to response rate.</w:t>
            </w:r>
          </w:p>
        </w:tc>
      </w:tr>
    </w:tbl>
    <w:p w14:paraId="56516C40" w14:textId="355EEF89" w:rsidR="003A37BA" w:rsidRDefault="003A37BA" w:rsidP="003A37BA">
      <w:pPr>
        <w:rPr>
          <w:rFonts w:asciiTheme="majorHAnsi" w:hAnsiTheme="majorHAnsi" w:cstheme="majorHAnsi"/>
          <w:sz w:val="22"/>
          <w:szCs w:val="22"/>
        </w:rPr>
      </w:pPr>
    </w:p>
    <w:p w14:paraId="16182720" w14:textId="662E5CB8" w:rsidR="004F07F3" w:rsidRDefault="004F07F3" w:rsidP="003A37BA">
      <w:pPr>
        <w:rPr>
          <w:rFonts w:asciiTheme="majorHAnsi" w:hAnsiTheme="majorHAnsi" w:cstheme="majorHAnsi"/>
          <w:sz w:val="22"/>
          <w:szCs w:val="22"/>
        </w:rPr>
      </w:pPr>
      <w:r w:rsidRPr="00936D28">
        <w:rPr>
          <w:rFonts w:asciiTheme="majorHAnsi" w:hAnsiTheme="majorHAnsi" w:cstheme="majorHAnsi"/>
          <w:noProof/>
          <w:sz w:val="22"/>
          <w:szCs w:val="22"/>
        </w:rPr>
        <w:drawing>
          <wp:inline distT="0" distB="0" distL="0" distR="0" wp14:anchorId="1BA7F59C" wp14:editId="2DC39B79">
            <wp:extent cx="6168788" cy="3766782"/>
            <wp:effectExtent l="0" t="0" r="3810" b="5715"/>
            <wp:docPr id="4" name="Chart 4" descr="graph to show average health statsu score per respondent number of CCG"/>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08E930A" w14:textId="2590F723" w:rsidR="004F07F3" w:rsidRDefault="004F07F3" w:rsidP="003A37BA">
      <w:pPr>
        <w:rPr>
          <w:rFonts w:asciiTheme="majorHAnsi" w:hAnsiTheme="majorHAnsi" w:cstheme="majorHAnsi"/>
          <w:sz w:val="22"/>
          <w:szCs w:val="22"/>
        </w:rPr>
      </w:pPr>
      <w:r w:rsidRPr="00936D28">
        <w:rPr>
          <w:rFonts w:asciiTheme="majorHAnsi" w:hAnsiTheme="majorHAnsi" w:cstheme="majorHAnsi"/>
          <w:sz w:val="22"/>
          <w:szCs w:val="22"/>
        </w:rPr>
        <w:t>As shown in the above scatter-graph, there is no notable correlation between the average EQ-5D score and CCG response rates.</w:t>
      </w:r>
    </w:p>
    <w:p w14:paraId="3FAA97A3" w14:textId="0E882E45" w:rsidR="004F07F3" w:rsidRDefault="004F07F3" w:rsidP="003A37BA">
      <w:pPr>
        <w:rPr>
          <w:rFonts w:asciiTheme="majorHAnsi" w:hAnsiTheme="majorHAnsi" w:cstheme="majorHAnsi"/>
          <w:sz w:val="22"/>
          <w:szCs w:val="22"/>
        </w:rPr>
      </w:pPr>
    </w:p>
    <w:p w14:paraId="1963CFAE" w14:textId="25230C0C" w:rsidR="004F07F3" w:rsidRDefault="004F07F3" w:rsidP="003A37BA">
      <w:pPr>
        <w:rPr>
          <w:rFonts w:asciiTheme="majorHAnsi" w:hAnsiTheme="majorHAnsi" w:cstheme="majorHAnsi"/>
          <w:sz w:val="22"/>
          <w:szCs w:val="22"/>
        </w:rPr>
      </w:pPr>
    </w:p>
    <w:p w14:paraId="4C91E6ED" w14:textId="77777777" w:rsidR="004F07F3" w:rsidRPr="00936D28" w:rsidRDefault="004F07F3" w:rsidP="003A37BA">
      <w:pPr>
        <w:rPr>
          <w:rFonts w:asciiTheme="majorHAnsi" w:hAnsiTheme="majorHAnsi" w:cstheme="majorHAnsi"/>
          <w:sz w:val="22"/>
          <w:szCs w:val="22"/>
        </w:rPr>
      </w:pPr>
    </w:p>
    <w:tbl>
      <w:tblPr>
        <w:tblStyle w:val="TableGrid"/>
        <w:tblW w:w="9923" w:type="dxa"/>
        <w:tblLayout w:type="fixed"/>
        <w:tblLook w:val="01E0" w:firstRow="1" w:lastRow="1" w:firstColumn="1" w:lastColumn="1" w:noHBand="0" w:noVBand="0"/>
      </w:tblPr>
      <w:tblGrid>
        <w:gridCol w:w="1844"/>
        <w:gridCol w:w="8079"/>
      </w:tblGrid>
      <w:tr w:rsidR="00460B4E" w:rsidRPr="00936D28" w14:paraId="1492DB3E" w14:textId="77777777" w:rsidTr="002F05F5">
        <w:tc>
          <w:tcPr>
            <w:tcW w:w="1844" w:type="dxa"/>
          </w:tcPr>
          <w:p w14:paraId="0CB2A9CC" w14:textId="77777777" w:rsidR="003A37BA" w:rsidRPr="00936D28" w:rsidRDefault="003A37BA" w:rsidP="003A37BA">
            <w:pPr>
              <w:rPr>
                <w:rFonts w:asciiTheme="majorHAnsi" w:hAnsiTheme="majorHAnsi" w:cstheme="majorHAnsi"/>
                <w:sz w:val="22"/>
                <w:szCs w:val="22"/>
              </w:rPr>
            </w:pPr>
            <w:r w:rsidRPr="00936D28">
              <w:rPr>
                <w:rFonts w:asciiTheme="majorHAnsi" w:hAnsiTheme="majorHAnsi" w:cstheme="majorHAnsi"/>
                <w:sz w:val="22"/>
                <w:szCs w:val="22"/>
              </w:rPr>
              <w:t>Ref code</w:t>
            </w:r>
          </w:p>
          <w:p w14:paraId="3D28A2B8" w14:textId="77777777" w:rsidR="003A37BA" w:rsidRPr="00936D28" w:rsidRDefault="003A37BA" w:rsidP="003A37BA">
            <w:pPr>
              <w:rPr>
                <w:rFonts w:asciiTheme="majorHAnsi" w:hAnsiTheme="majorHAnsi" w:cstheme="majorHAnsi"/>
                <w:sz w:val="22"/>
                <w:szCs w:val="22"/>
              </w:rPr>
            </w:pPr>
            <w:r w:rsidRPr="00936D28">
              <w:rPr>
                <w:rFonts w:asciiTheme="majorHAnsi" w:hAnsiTheme="majorHAnsi" w:cstheme="majorHAnsi"/>
                <w:sz w:val="22"/>
                <w:szCs w:val="22"/>
              </w:rPr>
              <w:t>IAP00354-05</w:t>
            </w:r>
          </w:p>
          <w:p w14:paraId="5AF73BBE" w14:textId="77777777" w:rsidR="003A37BA" w:rsidRPr="00936D28" w:rsidRDefault="003A37BA" w:rsidP="003A37BA">
            <w:pPr>
              <w:rPr>
                <w:rFonts w:asciiTheme="majorHAnsi" w:hAnsiTheme="majorHAnsi" w:cstheme="majorHAnsi"/>
                <w:sz w:val="22"/>
                <w:szCs w:val="22"/>
              </w:rPr>
            </w:pPr>
            <w:r w:rsidRPr="00936D28">
              <w:rPr>
                <w:rFonts w:asciiTheme="majorHAnsi" w:hAnsiTheme="majorHAnsi" w:cstheme="majorHAnsi"/>
                <w:sz w:val="22"/>
                <w:szCs w:val="22"/>
              </w:rPr>
              <w:t>Made: 31/10/13</w:t>
            </w:r>
          </w:p>
        </w:tc>
        <w:tc>
          <w:tcPr>
            <w:tcW w:w="8079" w:type="dxa"/>
          </w:tcPr>
          <w:p w14:paraId="59BBCC20" w14:textId="77777777" w:rsidR="003A37BA" w:rsidRPr="00936D28" w:rsidRDefault="003A37BA" w:rsidP="003A37BA">
            <w:pPr>
              <w:rPr>
                <w:rFonts w:asciiTheme="majorHAnsi" w:hAnsiTheme="majorHAnsi" w:cstheme="majorHAnsi"/>
                <w:b/>
                <w:sz w:val="22"/>
                <w:szCs w:val="22"/>
              </w:rPr>
            </w:pPr>
            <w:r w:rsidRPr="00936D28">
              <w:rPr>
                <w:rFonts w:asciiTheme="majorHAnsi" w:hAnsiTheme="majorHAnsi" w:cstheme="majorHAnsi"/>
                <w:b/>
                <w:sz w:val="22"/>
                <w:szCs w:val="22"/>
              </w:rPr>
              <w:t xml:space="preserve">Reference the contextual indicator which provides the average EQ-5D score of all respondents to the GPPS. </w:t>
            </w:r>
          </w:p>
        </w:tc>
      </w:tr>
    </w:tbl>
    <w:p w14:paraId="4565BE20" w14:textId="30283326" w:rsidR="004F07F3" w:rsidRDefault="004F07F3">
      <w:r w:rsidRPr="00936D28">
        <w:rPr>
          <w:rFonts w:asciiTheme="majorHAnsi" w:hAnsiTheme="majorHAnsi" w:cstheme="majorHAnsi"/>
          <w:sz w:val="22"/>
          <w:szCs w:val="22"/>
        </w:rPr>
        <w:t>The Indicator Quality Statement has been amended to include a reference to CCG OIS indicator 2.1 which provides the average EQ-5D score of all respondents at national and CCG level.</w:t>
      </w:r>
    </w:p>
    <w:p w14:paraId="5BD0C0AD" w14:textId="77777777" w:rsidR="003A37BA" w:rsidRPr="00936D28" w:rsidRDefault="003A37BA" w:rsidP="003A37BA">
      <w:pPr>
        <w:rPr>
          <w:rFonts w:asciiTheme="majorHAnsi" w:hAnsiTheme="majorHAnsi" w:cstheme="majorHAnsi"/>
          <w:sz w:val="22"/>
          <w:szCs w:val="22"/>
        </w:rPr>
      </w:pPr>
    </w:p>
    <w:tbl>
      <w:tblPr>
        <w:tblStyle w:val="TableGrid"/>
        <w:tblW w:w="9923" w:type="dxa"/>
        <w:tblLayout w:type="fixed"/>
        <w:tblLook w:val="01E0" w:firstRow="1" w:lastRow="1" w:firstColumn="1" w:lastColumn="1" w:noHBand="0" w:noVBand="0"/>
      </w:tblPr>
      <w:tblGrid>
        <w:gridCol w:w="1844"/>
        <w:gridCol w:w="8079"/>
      </w:tblGrid>
      <w:tr w:rsidR="004F07F3" w:rsidRPr="00936D28" w14:paraId="21AA2CB5" w14:textId="77777777" w:rsidTr="002F05F5">
        <w:tc>
          <w:tcPr>
            <w:tcW w:w="1844" w:type="dxa"/>
          </w:tcPr>
          <w:p w14:paraId="5402D97D" w14:textId="77777777" w:rsidR="004F07F3" w:rsidRPr="00936D28" w:rsidRDefault="004F07F3" w:rsidP="004F07F3">
            <w:pPr>
              <w:rPr>
                <w:rFonts w:asciiTheme="majorHAnsi" w:hAnsiTheme="majorHAnsi" w:cstheme="majorHAnsi"/>
                <w:sz w:val="22"/>
                <w:szCs w:val="22"/>
              </w:rPr>
            </w:pPr>
            <w:r w:rsidRPr="00936D28">
              <w:rPr>
                <w:rFonts w:asciiTheme="majorHAnsi" w:hAnsiTheme="majorHAnsi" w:cstheme="majorHAnsi"/>
                <w:sz w:val="22"/>
                <w:szCs w:val="22"/>
              </w:rPr>
              <w:t>Ref code</w:t>
            </w:r>
          </w:p>
          <w:p w14:paraId="0C5E7258" w14:textId="77777777" w:rsidR="004F07F3" w:rsidRPr="00936D28" w:rsidRDefault="004F07F3" w:rsidP="004F07F3">
            <w:pPr>
              <w:rPr>
                <w:rFonts w:asciiTheme="majorHAnsi" w:hAnsiTheme="majorHAnsi" w:cstheme="majorHAnsi"/>
                <w:sz w:val="22"/>
                <w:szCs w:val="22"/>
              </w:rPr>
            </w:pPr>
            <w:r w:rsidRPr="00936D28">
              <w:rPr>
                <w:rFonts w:asciiTheme="majorHAnsi" w:hAnsiTheme="majorHAnsi" w:cstheme="majorHAnsi"/>
                <w:sz w:val="22"/>
                <w:szCs w:val="22"/>
              </w:rPr>
              <w:t>IAP00354-06</w:t>
            </w:r>
          </w:p>
          <w:p w14:paraId="4D480F63" w14:textId="1E555CF5" w:rsidR="004F07F3" w:rsidRPr="00936D28" w:rsidRDefault="004F07F3" w:rsidP="004F07F3">
            <w:pPr>
              <w:rPr>
                <w:rFonts w:asciiTheme="majorHAnsi" w:hAnsiTheme="majorHAnsi" w:cstheme="majorHAnsi"/>
                <w:sz w:val="22"/>
                <w:szCs w:val="22"/>
              </w:rPr>
            </w:pPr>
            <w:r w:rsidRPr="00936D28">
              <w:rPr>
                <w:rFonts w:asciiTheme="majorHAnsi" w:hAnsiTheme="majorHAnsi" w:cstheme="majorHAnsi"/>
                <w:sz w:val="22"/>
                <w:szCs w:val="22"/>
              </w:rPr>
              <w:lastRenderedPageBreak/>
              <w:t>Made: 31/10/13</w:t>
            </w:r>
          </w:p>
        </w:tc>
        <w:tc>
          <w:tcPr>
            <w:tcW w:w="8079" w:type="dxa"/>
          </w:tcPr>
          <w:p w14:paraId="60832187" w14:textId="6D9B2D2D" w:rsidR="004F07F3" w:rsidRPr="00936D28" w:rsidRDefault="004F07F3" w:rsidP="003A37BA">
            <w:pPr>
              <w:rPr>
                <w:rFonts w:asciiTheme="majorHAnsi" w:hAnsiTheme="majorHAnsi" w:cstheme="majorHAnsi"/>
                <w:b/>
                <w:sz w:val="22"/>
                <w:szCs w:val="22"/>
              </w:rPr>
            </w:pPr>
            <w:r w:rsidRPr="00936D28">
              <w:rPr>
                <w:rFonts w:asciiTheme="majorHAnsi" w:hAnsiTheme="majorHAnsi" w:cstheme="majorHAnsi"/>
                <w:b/>
                <w:sz w:val="22"/>
                <w:szCs w:val="22"/>
              </w:rPr>
              <w:lastRenderedPageBreak/>
              <w:t>Provide a link in the Quality Statement to the GPPS website to explain the response rate to the survey.</w:t>
            </w:r>
          </w:p>
        </w:tc>
      </w:tr>
    </w:tbl>
    <w:p w14:paraId="6104A853" w14:textId="77777777" w:rsidR="004F07F3" w:rsidRPr="00936D28" w:rsidRDefault="004F07F3" w:rsidP="004F07F3">
      <w:pPr>
        <w:rPr>
          <w:rFonts w:asciiTheme="majorHAnsi" w:hAnsiTheme="majorHAnsi" w:cstheme="majorHAnsi"/>
          <w:sz w:val="22"/>
          <w:szCs w:val="22"/>
        </w:rPr>
      </w:pPr>
      <w:r w:rsidRPr="00936D28">
        <w:rPr>
          <w:rFonts w:asciiTheme="majorHAnsi" w:hAnsiTheme="majorHAnsi" w:cstheme="majorHAnsi"/>
          <w:sz w:val="22"/>
          <w:szCs w:val="22"/>
        </w:rPr>
        <w:t xml:space="preserve">The Indicator Quality Statement has been amended to provide a link to the GP Patient Survey annual technical annex report, detailing the technical details of how the survey is administered including response rates: </w:t>
      </w:r>
    </w:p>
    <w:p w14:paraId="113EF32D" w14:textId="0ABA7330" w:rsidR="004F07F3" w:rsidRDefault="004F07F3" w:rsidP="004F07F3">
      <w:hyperlink r:id="rId18" w:history="1">
        <w:r w:rsidRPr="00936D28">
          <w:rPr>
            <w:rStyle w:val="Hyperlink"/>
            <w:rFonts w:asciiTheme="majorHAnsi" w:hAnsiTheme="majorHAnsi" w:cstheme="majorHAnsi"/>
            <w:color w:val="auto"/>
            <w:sz w:val="22"/>
            <w:szCs w:val="22"/>
          </w:rPr>
          <w:t>http://www.gp-patient.co.uk/results/annual/technicalannex/</w:t>
        </w:r>
      </w:hyperlink>
    </w:p>
    <w:p w14:paraId="50A56BA7" w14:textId="77777777" w:rsidR="003A37BA" w:rsidRPr="00936D28" w:rsidRDefault="003A37BA" w:rsidP="003A37BA">
      <w:pPr>
        <w:rPr>
          <w:rFonts w:asciiTheme="majorHAnsi" w:hAnsiTheme="majorHAnsi" w:cstheme="majorHAnsi"/>
          <w:sz w:val="22"/>
          <w:szCs w:val="22"/>
        </w:rPr>
      </w:pPr>
    </w:p>
    <w:p w14:paraId="751FCD4A" w14:textId="77777777" w:rsidR="00985BD5" w:rsidRPr="00936D28" w:rsidRDefault="00985BD5" w:rsidP="00985BD5">
      <w:pPr>
        <w:rPr>
          <w:rFonts w:asciiTheme="majorHAnsi" w:hAnsiTheme="majorHAnsi" w:cstheme="majorHAnsi"/>
          <w:sz w:val="22"/>
          <w:szCs w:val="22"/>
        </w:rPr>
      </w:pPr>
    </w:p>
    <w:bookmarkEnd w:id="0"/>
    <w:p w14:paraId="6013981A" w14:textId="77777777" w:rsidR="007D13A1" w:rsidRPr="00936D28" w:rsidRDefault="007D13A1">
      <w:pPr>
        <w:spacing w:after="0"/>
        <w:textboxTightWrap w:val="none"/>
        <w:rPr>
          <w:rFonts w:asciiTheme="majorHAnsi" w:hAnsiTheme="majorHAnsi" w:cstheme="majorHAnsi"/>
          <w:b/>
          <w:bCs/>
          <w:spacing w:val="-14"/>
          <w:kern w:val="28"/>
          <w:sz w:val="22"/>
          <w:szCs w:val="22"/>
          <w:highlight w:val="lightGray"/>
          <w14:ligatures w14:val="standardContextual"/>
        </w:rPr>
      </w:pPr>
      <w:r w:rsidRPr="00936D28">
        <w:rPr>
          <w:rFonts w:asciiTheme="majorHAnsi" w:hAnsiTheme="majorHAnsi" w:cstheme="majorHAnsi"/>
          <w:sz w:val="22"/>
          <w:szCs w:val="22"/>
          <w:highlight w:val="lightGray"/>
        </w:rPr>
        <w:br w:type="page"/>
      </w:r>
    </w:p>
    <w:p w14:paraId="6ABEFFD3" w14:textId="77777777" w:rsidR="001D243C" w:rsidRPr="00936D28" w:rsidRDefault="00A7524F" w:rsidP="00936D28">
      <w:pPr>
        <w:pStyle w:val="Heading1"/>
        <w:numPr>
          <w:ilvl w:val="0"/>
          <w:numId w:val="8"/>
        </w:numPr>
        <w:rPr>
          <w:rFonts w:asciiTheme="majorHAnsi" w:hAnsiTheme="majorHAnsi" w:cstheme="majorHAnsi"/>
          <w:color w:val="auto"/>
          <w:sz w:val="22"/>
          <w:szCs w:val="22"/>
        </w:rPr>
      </w:pPr>
      <w:r w:rsidRPr="00936D28">
        <w:rPr>
          <w:rFonts w:asciiTheme="majorHAnsi" w:hAnsiTheme="majorHAnsi" w:cstheme="majorHAnsi"/>
          <w:color w:val="auto"/>
          <w:sz w:val="22"/>
          <w:szCs w:val="22"/>
        </w:rPr>
        <w:lastRenderedPageBreak/>
        <w:t xml:space="preserve"> </w:t>
      </w:r>
      <w:bookmarkStart w:id="6" w:name="_Toc389568159"/>
      <w:r w:rsidRPr="00936D28">
        <w:rPr>
          <w:rFonts w:asciiTheme="majorHAnsi" w:hAnsiTheme="majorHAnsi" w:cstheme="majorHAnsi"/>
          <w:color w:val="auto"/>
          <w:sz w:val="22"/>
          <w:szCs w:val="22"/>
        </w:rPr>
        <w:t>Applicant Initiated Reviews</w:t>
      </w:r>
      <w:bookmarkEnd w:id="6"/>
    </w:p>
    <w:p w14:paraId="3C692E73" w14:textId="6AC900AD" w:rsidR="00A7524F" w:rsidRPr="00936D28" w:rsidRDefault="00A7524F" w:rsidP="00A7524F">
      <w:pPr>
        <w:rPr>
          <w:rFonts w:asciiTheme="majorHAnsi" w:hAnsiTheme="majorHAnsi" w:cstheme="majorHAnsi"/>
          <w:sz w:val="22"/>
          <w:szCs w:val="22"/>
        </w:rPr>
      </w:pPr>
      <w:r w:rsidRPr="00936D28">
        <w:rPr>
          <w:rFonts w:asciiTheme="majorHAnsi" w:hAnsiTheme="majorHAnsi" w:cstheme="majorHAnsi"/>
          <w:sz w:val="22"/>
          <w:szCs w:val="22"/>
        </w:rPr>
        <w:t>The following papers have been submitted to the service</w:t>
      </w:r>
      <w:r w:rsidR="00507D97" w:rsidRPr="00936D28">
        <w:rPr>
          <w:rFonts w:asciiTheme="majorHAnsi" w:hAnsiTheme="majorHAnsi" w:cstheme="majorHAnsi"/>
          <w:sz w:val="22"/>
          <w:szCs w:val="22"/>
        </w:rPr>
        <w:t xml:space="preserve"> to provide updates to existing indicators for assurance.</w:t>
      </w:r>
    </w:p>
    <w:p w14:paraId="2A27C1BA" w14:textId="77777777" w:rsidR="00A7524F" w:rsidRPr="00936D28" w:rsidRDefault="00A7524F" w:rsidP="00A7524F">
      <w:pPr>
        <w:pStyle w:val="Heading2"/>
        <w:rPr>
          <w:rFonts w:asciiTheme="majorHAnsi" w:hAnsiTheme="majorHAnsi" w:cstheme="majorHAnsi"/>
          <w:color w:val="auto"/>
          <w:sz w:val="22"/>
          <w:szCs w:val="22"/>
        </w:rPr>
      </w:pPr>
      <w:bookmarkStart w:id="7" w:name="_Toc389568160"/>
      <w:r w:rsidRPr="00936D28">
        <w:rPr>
          <w:rFonts w:asciiTheme="majorHAnsi" w:hAnsiTheme="majorHAnsi" w:cstheme="majorHAnsi"/>
          <w:color w:val="auto"/>
          <w:sz w:val="22"/>
          <w:szCs w:val="22"/>
        </w:rPr>
        <w:t xml:space="preserve">2.1 NHS OF </w:t>
      </w:r>
      <w:r w:rsidRPr="00936D28">
        <w:rPr>
          <w:rFonts w:asciiTheme="majorHAnsi" w:hAnsiTheme="majorHAnsi" w:cstheme="majorHAnsi"/>
          <w:color w:val="auto"/>
          <w:sz w:val="22"/>
          <w:szCs w:val="22"/>
          <w:lang w:val="en-US"/>
        </w:rPr>
        <w:t>Deprivation Breakdown Methodology Proposal</w:t>
      </w:r>
      <w:bookmarkEnd w:id="7"/>
    </w:p>
    <w:p w14:paraId="523FCF24" w14:textId="7674BDEF" w:rsidR="008D5953" w:rsidRPr="00936D28" w:rsidRDefault="00A7524F" w:rsidP="008D5953">
      <w:pPr>
        <w:rPr>
          <w:rFonts w:asciiTheme="majorHAnsi" w:hAnsiTheme="majorHAnsi" w:cstheme="majorHAnsi"/>
          <w:i/>
          <w:sz w:val="22"/>
          <w:szCs w:val="22"/>
        </w:rPr>
      </w:pPr>
      <w:r w:rsidRPr="00936D28">
        <w:rPr>
          <w:rFonts w:asciiTheme="majorHAnsi" w:hAnsiTheme="majorHAnsi" w:cstheme="majorHAnsi"/>
          <w:i/>
          <w:sz w:val="22"/>
          <w:szCs w:val="22"/>
        </w:rPr>
        <w:t xml:space="preserve">Presented by: </w:t>
      </w:r>
      <w:r w:rsidR="00E736A2" w:rsidRPr="00936D28">
        <w:rPr>
          <w:rFonts w:asciiTheme="majorHAnsi" w:hAnsiTheme="majorHAnsi" w:cstheme="majorHAnsi"/>
          <w:i/>
          <w:sz w:val="22"/>
          <w:szCs w:val="22"/>
        </w:rPr>
        <w:t>Sindy Holschumacher</w:t>
      </w:r>
    </w:p>
    <w:p w14:paraId="74FA785C" w14:textId="77777777" w:rsidR="00A7524F" w:rsidRPr="00936D28" w:rsidRDefault="00A7524F" w:rsidP="00A7524F">
      <w:pPr>
        <w:rPr>
          <w:rFonts w:asciiTheme="majorHAnsi" w:hAnsiTheme="majorHAnsi" w:cstheme="majorHAnsi"/>
          <w:b/>
          <w:sz w:val="22"/>
          <w:szCs w:val="22"/>
        </w:rPr>
      </w:pPr>
      <w:r w:rsidRPr="00936D28">
        <w:rPr>
          <w:rFonts w:asciiTheme="majorHAnsi" w:hAnsiTheme="majorHAnsi" w:cstheme="majorHAnsi"/>
          <w:b/>
          <w:sz w:val="22"/>
          <w:szCs w:val="22"/>
        </w:rPr>
        <w:t xml:space="preserve">Proposal for inclusion of deprivation breakdowns within the NHS Outcomes Framework – an interim approach </w:t>
      </w:r>
    </w:p>
    <w:p w14:paraId="47E84AEC" w14:textId="77777777" w:rsidR="00A7524F" w:rsidRPr="00936D28" w:rsidRDefault="00A7524F" w:rsidP="00A7524F">
      <w:pPr>
        <w:rPr>
          <w:rFonts w:asciiTheme="majorHAnsi" w:hAnsiTheme="majorHAnsi" w:cstheme="majorHAnsi"/>
          <w:sz w:val="22"/>
          <w:szCs w:val="22"/>
        </w:rPr>
      </w:pPr>
      <w:r w:rsidRPr="00936D28">
        <w:rPr>
          <w:rFonts w:asciiTheme="majorHAnsi" w:hAnsiTheme="majorHAnsi" w:cstheme="majorHAnsi"/>
          <w:sz w:val="22"/>
          <w:szCs w:val="22"/>
        </w:rPr>
        <w:t>We propose to include new deprivation breakdowns for certain indicators within the NHS Outcomes Framework.  This proposal affects the following indicators:</w:t>
      </w:r>
    </w:p>
    <w:p w14:paraId="358F0FFC" w14:textId="77777777" w:rsidR="00A7524F" w:rsidRPr="00936D28" w:rsidRDefault="00A7524F" w:rsidP="00936D28">
      <w:pPr>
        <w:numPr>
          <w:ilvl w:val="0"/>
          <w:numId w:val="3"/>
        </w:numPr>
        <w:rPr>
          <w:rFonts w:asciiTheme="majorHAnsi" w:hAnsiTheme="majorHAnsi" w:cstheme="majorHAnsi"/>
          <w:sz w:val="22"/>
          <w:szCs w:val="22"/>
        </w:rPr>
      </w:pPr>
      <w:r w:rsidRPr="00936D28">
        <w:rPr>
          <w:rFonts w:asciiTheme="majorHAnsi" w:hAnsiTheme="majorHAnsi" w:cstheme="majorHAnsi"/>
          <w:sz w:val="22"/>
          <w:szCs w:val="22"/>
        </w:rPr>
        <w:t>1a Potential years of life lost (PYLL) from causes considered amenable to health care – Adults and children</w:t>
      </w:r>
    </w:p>
    <w:p w14:paraId="4C64FEA1" w14:textId="77777777" w:rsidR="00A7524F" w:rsidRPr="00936D28" w:rsidRDefault="00A7524F" w:rsidP="00936D28">
      <w:pPr>
        <w:numPr>
          <w:ilvl w:val="0"/>
          <w:numId w:val="3"/>
        </w:numPr>
        <w:rPr>
          <w:rFonts w:asciiTheme="majorHAnsi" w:hAnsiTheme="majorHAnsi" w:cstheme="majorHAnsi"/>
          <w:sz w:val="22"/>
          <w:szCs w:val="22"/>
        </w:rPr>
      </w:pPr>
      <w:r w:rsidRPr="00936D28">
        <w:rPr>
          <w:rFonts w:asciiTheme="majorHAnsi" w:hAnsiTheme="majorHAnsi" w:cstheme="majorHAnsi"/>
          <w:sz w:val="22"/>
          <w:szCs w:val="22"/>
        </w:rPr>
        <w:t>1a.i Potential years of life lost (PYLL) from causes considered amenable to healthcare – Adults</w:t>
      </w:r>
    </w:p>
    <w:p w14:paraId="59893649" w14:textId="77777777" w:rsidR="00A7524F" w:rsidRPr="00936D28" w:rsidRDefault="00A7524F" w:rsidP="00936D28">
      <w:pPr>
        <w:numPr>
          <w:ilvl w:val="0"/>
          <w:numId w:val="3"/>
        </w:numPr>
        <w:rPr>
          <w:rFonts w:asciiTheme="majorHAnsi" w:hAnsiTheme="majorHAnsi" w:cstheme="majorHAnsi"/>
          <w:sz w:val="22"/>
          <w:szCs w:val="22"/>
        </w:rPr>
      </w:pPr>
      <w:r w:rsidRPr="00936D28">
        <w:rPr>
          <w:rFonts w:asciiTheme="majorHAnsi" w:hAnsiTheme="majorHAnsi" w:cstheme="majorHAnsi"/>
          <w:sz w:val="22"/>
          <w:szCs w:val="22"/>
        </w:rPr>
        <w:t>1.1 Under 75 mortality rate from cardiovascular disease</w:t>
      </w:r>
    </w:p>
    <w:p w14:paraId="7FF47983" w14:textId="77777777" w:rsidR="00A7524F" w:rsidRPr="00936D28" w:rsidRDefault="00A7524F" w:rsidP="00936D28">
      <w:pPr>
        <w:numPr>
          <w:ilvl w:val="0"/>
          <w:numId w:val="3"/>
        </w:numPr>
        <w:rPr>
          <w:rFonts w:asciiTheme="majorHAnsi" w:hAnsiTheme="majorHAnsi" w:cstheme="majorHAnsi"/>
          <w:sz w:val="22"/>
          <w:szCs w:val="22"/>
        </w:rPr>
      </w:pPr>
      <w:r w:rsidRPr="00936D28">
        <w:rPr>
          <w:rFonts w:asciiTheme="majorHAnsi" w:hAnsiTheme="majorHAnsi" w:cstheme="majorHAnsi"/>
          <w:sz w:val="22"/>
          <w:szCs w:val="22"/>
        </w:rPr>
        <w:t>1.2 Under 75 mortality rate from respiratory disease</w:t>
      </w:r>
    </w:p>
    <w:p w14:paraId="60E6A57A" w14:textId="77777777" w:rsidR="00A7524F" w:rsidRPr="00936D28" w:rsidRDefault="00A7524F" w:rsidP="00936D28">
      <w:pPr>
        <w:numPr>
          <w:ilvl w:val="0"/>
          <w:numId w:val="3"/>
        </w:numPr>
        <w:rPr>
          <w:rFonts w:asciiTheme="majorHAnsi" w:hAnsiTheme="majorHAnsi" w:cstheme="majorHAnsi"/>
          <w:sz w:val="22"/>
          <w:szCs w:val="22"/>
        </w:rPr>
      </w:pPr>
      <w:r w:rsidRPr="00936D28">
        <w:rPr>
          <w:rFonts w:asciiTheme="majorHAnsi" w:hAnsiTheme="majorHAnsi" w:cstheme="majorHAnsi"/>
          <w:sz w:val="22"/>
          <w:szCs w:val="22"/>
        </w:rPr>
        <w:t>1.3 Under 75 mortality rate from liver disease</w:t>
      </w:r>
    </w:p>
    <w:p w14:paraId="0B672226" w14:textId="77777777" w:rsidR="00A7524F" w:rsidRPr="00936D28" w:rsidRDefault="00A7524F" w:rsidP="00936D28">
      <w:pPr>
        <w:numPr>
          <w:ilvl w:val="0"/>
          <w:numId w:val="3"/>
        </w:numPr>
        <w:rPr>
          <w:rFonts w:asciiTheme="majorHAnsi" w:hAnsiTheme="majorHAnsi" w:cstheme="majorHAnsi"/>
          <w:sz w:val="22"/>
          <w:szCs w:val="22"/>
        </w:rPr>
      </w:pPr>
      <w:r w:rsidRPr="00936D28">
        <w:rPr>
          <w:rFonts w:asciiTheme="majorHAnsi" w:hAnsiTheme="majorHAnsi" w:cstheme="majorHAnsi"/>
          <w:sz w:val="22"/>
          <w:szCs w:val="22"/>
        </w:rPr>
        <w:t>1.4 Under 75 mortality rate from cancer</w:t>
      </w:r>
    </w:p>
    <w:p w14:paraId="0E95C3B4" w14:textId="77777777" w:rsidR="00A7524F" w:rsidRPr="00936D28" w:rsidRDefault="00A7524F" w:rsidP="00936D28">
      <w:pPr>
        <w:numPr>
          <w:ilvl w:val="0"/>
          <w:numId w:val="3"/>
        </w:numPr>
        <w:rPr>
          <w:rFonts w:asciiTheme="majorHAnsi" w:hAnsiTheme="majorHAnsi" w:cstheme="majorHAnsi"/>
          <w:sz w:val="22"/>
          <w:szCs w:val="22"/>
        </w:rPr>
      </w:pPr>
      <w:r w:rsidRPr="00936D28">
        <w:rPr>
          <w:rFonts w:asciiTheme="majorHAnsi" w:hAnsiTheme="majorHAnsi" w:cstheme="majorHAnsi"/>
          <w:sz w:val="22"/>
          <w:szCs w:val="22"/>
        </w:rPr>
        <w:t>2.3i Unplanned hospitalisation for chronic ambulatory care sensitive conditions</w:t>
      </w:r>
    </w:p>
    <w:p w14:paraId="22819733" w14:textId="77777777" w:rsidR="00A7524F" w:rsidRPr="00936D28" w:rsidRDefault="00A7524F" w:rsidP="00936D28">
      <w:pPr>
        <w:numPr>
          <w:ilvl w:val="0"/>
          <w:numId w:val="3"/>
        </w:numPr>
        <w:rPr>
          <w:rFonts w:asciiTheme="majorHAnsi" w:hAnsiTheme="majorHAnsi" w:cstheme="majorHAnsi"/>
          <w:sz w:val="22"/>
          <w:szCs w:val="22"/>
        </w:rPr>
      </w:pPr>
      <w:r w:rsidRPr="00936D28">
        <w:rPr>
          <w:rFonts w:asciiTheme="majorHAnsi" w:hAnsiTheme="majorHAnsi" w:cstheme="majorHAnsi"/>
          <w:sz w:val="22"/>
          <w:szCs w:val="22"/>
        </w:rPr>
        <w:t>2.3ii Unplanned hospitalisation for asthma, diabetes and epilepsy in under 19s</w:t>
      </w:r>
    </w:p>
    <w:p w14:paraId="60924BF4" w14:textId="77777777" w:rsidR="00A7524F" w:rsidRPr="00936D28" w:rsidRDefault="00A7524F" w:rsidP="00936D28">
      <w:pPr>
        <w:numPr>
          <w:ilvl w:val="0"/>
          <w:numId w:val="3"/>
        </w:numPr>
        <w:rPr>
          <w:rFonts w:asciiTheme="majorHAnsi" w:hAnsiTheme="majorHAnsi" w:cstheme="majorHAnsi"/>
          <w:sz w:val="22"/>
          <w:szCs w:val="22"/>
        </w:rPr>
      </w:pPr>
      <w:r w:rsidRPr="00936D28">
        <w:rPr>
          <w:rFonts w:asciiTheme="majorHAnsi" w:hAnsiTheme="majorHAnsi" w:cstheme="majorHAnsi"/>
          <w:sz w:val="22"/>
          <w:szCs w:val="22"/>
        </w:rPr>
        <w:t>3a Emergency admissions for acute conditions that should not usually require hospital admission</w:t>
      </w:r>
    </w:p>
    <w:p w14:paraId="6778B3F8" w14:textId="77777777" w:rsidR="00A7524F" w:rsidRPr="00936D28" w:rsidRDefault="00A7524F" w:rsidP="00936D28">
      <w:pPr>
        <w:numPr>
          <w:ilvl w:val="0"/>
          <w:numId w:val="3"/>
        </w:numPr>
        <w:rPr>
          <w:rFonts w:asciiTheme="majorHAnsi" w:hAnsiTheme="majorHAnsi" w:cstheme="majorHAnsi"/>
          <w:sz w:val="22"/>
          <w:szCs w:val="22"/>
        </w:rPr>
      </w:pPr>
      <w:r w:rsidRPr="00936D28">
        <w:rPr>
          <w:rFonts w:asciiTheme="majorHAnsi" w:hAnsiTheme="majorHAnsi" w:cstheme="majorHAnsi"/>
          <w:sz w:val="22"/>
          <w:szCs w:val="22"/>
        </w:rPr>
        <w:t>3.2 Emergency admissions for children with lower respiratory tract infections</w:t>
      </w:r>
    </w:p>
    <w:p w14:paraId="1C9D1341" w14:textId="77777777" w:rsidR="00A7524F" w:rsidRPr="00936D28" w:rsidRDefault="00A7524F" w:rsidP="00A7524F">
      <w:pPr>
        <w:rPr>
          <w:rFonts w:asciiTheme="majorHAnsi" w:hAnsiTheme="majorHAnsi" w:cstheme="majorHAnsi"/>
          <w:sz w:val="22"/>
          <w:szCs w:val="22"/>
        </w:rPr>
      </w:pPr>
    </w:p>
    <w:p w14:paraId="50F85624" w14:textId="77777777" w:rsidR="00A7524F" w:rsidRPr="00936D28" w:rsidRDefault="00A7524F" w:rsidP="00A7524F">
      <w:pPr>
        <w:rPr>
          <w:rFonts w:asciiTheme="majorHAnsi" w:hAnsiTheme="majorHAnsi" w:cstheme="majorHAnsi"/>
          <w:sz w:val="22"/>
          <w:szCs w:val="22"/>
          <w:u w:val="single"/>
        </w:rPr>
      </w:pPr>
      <w:r w:rsidRPr="00936D28">
        <w:rPr>
          <w:rFonts w:asciiTheme="majorHAnsi" w:hAnsiTheme="majorHAnsi" w:cstheme="majorHAnsi"/>
          <w:sz w:val="22"/>
          <w:szCs w:val="22"/>
          <w:u w:val="single"/>
        </w:rPr>
        <w:t>Rationale for introduction of an interim approach</w:t>
      </w:r>
    </w:p>
    <w:p w14:paraId="620D7F63" w14:textId="77777777" w:rsidR="00A7524F" w:rsidRPr="00936D28" w:rsidRDefault="00A7524F" w:rsidP="00A7524F">
      <w:pPr>
        <w:rPr>
          <w:rFonts w:asciiTheme="majorHAnsi" w:hAnsiTheme="majorHAnsi" w:cstheme="majorHAnsi"/>
          <w:sz w:val="22"/>
          <w:szCs w:val="22"/>
        </w:rPr>
      </w:pPr>
      <w:r w:rsidRPr="00936D28">
        <w:rPr>
          <w:rFonts w:asciiTheme="majorHAnsi" w:hAnsiTheme="majorHAnsi" w:cstheme="majorHAnsi"/>
          <w:sz w:val="22"/>
          <w:szCs w:val="22"/>
        </w:rPr>
        <w:t xml:space="preserve">The introduction of deprivation breakdowns for the above indicators has been requested by colleagues at the Department of Health and NHS England.  These breakdowns, which would use the Indices of Multiple Deprivation (IMD) 2010 scores for 2011 lower super output area (LSOA) boundaries, would provide useful information relating to inequalities.  </w:t>
      </w:r>
    </w:p>
    <w:p w14:paraId="3ADCF0C7" w14:textId="77777777" w:rsidR="00A7524F" w:rsidRPr="00936D28" w:rsidRDefault="00A7524F" w:rsidP="00A7524F">
      <w:pPr>
        <w:rPr>
          <w:rFonts w:asciiTheme="majorHAnsi" w:hAnsiTheme="majorHAnsi" w:cstheme="majorHAnsi"/>
          <w:sz w:val="22"/>
          <w:szCs w:val="22"/>
        </w:rPr>
      </w:pPr>
      <w:r w:rsidRPr="00936D28">
        <w:rPr>
          <w:rFonts w:asciiTheme="majorHAnsi" w:hAnsiTheme="majorHAnsi" w:cstheme="majorHAnsi"/>
          <w:sz w:val="22"/>
          <w:szCs w:val="22"/>
        </w:rPr>
        <w:t>Following the census in 2011, updated LSOA boundaries (known as LSOA 2011) came into existence from 1</w:t>
      </w:r>
      <w:r w:rsidRPr="00936D28">
        <w:rPr>
          <w:rFonts w:asciiTheme="majorHAnsi" w:hAnsiTheme="majorHAnsi" w:cstheme="majorHAnsi"/>
          <w:sz w:val="22"/>
          <w:szCs w:val="22"/>
          <w:vertAlign w:val="superscript"/>
        </w:rPr>
        <w:t>st</w:t>
      </w:r>
      <w:r w:rsidRPr="00936D28">
        <w:rPr>
          <w:rFonts w:asciiTheme="majorHAnsi" w:hAnsiTheme="majorHAnsi" w:cstheme="majorHAnsi"/>
          <w:sz w:val="22"/>
          <w:szCs w:val="22"/>
        </w:rPr>
        <w:t xml:space="preserve"> April 2012.  The majority of boundaries did not change between the LSOA 2001 and LSOA 2011 configurations. In summary, the changes were:</w:t>
      </w:r>
    </w:p>
    <w:p w14:paraId="490DC6C7" w14:textId="77777777" w:rsidR="00A7524F" w:rsidRPr="00936D28" w:rsidRDefault="00A7524F" w:rsidP="00936D28">
      <w:pPr>
        <w:numPr>
          <w:ilvl w:val="0"/>
          <w:numId w:val="4"/>
        </w:numPr>
        <w:rPr>
          <w:rFonts w:asciiTheme="majorHAnsi" w:hAnsiTheme="majorHAnsi" w:cstheme="majorHAnsi"/>
          <w:sz w:val="22"/>
          <w:szCs w:val="22"/>
        </w:rPr>
      </w:pPr>
      <w:r w:rsidRPr="00936D28">
        <w:rPr>
          <w:rFonts w:asciiTheme="majorHAnsi" w:hAnsiTheme="majorHAnsi" w:cstheme="majorHAnsi"/>
          <w:sz w:val="22"/>
          <w:szCs w:val="22"/>
        </w:rPr>
        <w:t>31,672 LSOAs did not change between 2001 and 2011 (97.5%)</w:t>
      </w:r>
    </w:p>
    <w:p w14:paraId="308F9AE2" w14:textId="77777777" w:rsidR="00A7524F" w:rsidRPr="00936D28" w:rsidRDefault="00A7524F" w:rsidP="00936D28">
      <w:pPr>
        <w:numPr>
          <w:ilvl w:val="0"/>
          <w:numId w:val="4"/>
        </w:numPr>
        <w:rPr>
          <w:rFonts w:asciiTheme="majorHAnsi" w:hAnsiTheme="majorHAnsi" w:cstheme="majorHAnsi"/>
          <w:sz w:val="22"/>
          <w:szCs w:val="22"/>
        </w:rPr>
      </w:pPr>
      <w:r w:rsidRPr="00936D28">
        <w:rPr>
          <w:rFonts w:asciiTheme="majorHAnsi" w:hAnsiTheme="majorHAnsi" w:cstheme="majorHAnsi"/>
          <w:sz w:val="22"/>
          <w:szCs w:val="22"/>
        </w:rPr>
        <w:t>366 LSOAs split</w:t>
      </w:r>
    </w:p>
    <w:p w14:paraId="10359ABC" w14:textId="77777777" w:rsidR="00A7524F" w:rsidRPr="00936D28" w:rsidRDefault="00A7524F" w:rsidP="00936D28">
      <w:pPr>
        <w:numPr>
          <w:ilvl w:val="0"/>
          <w:numId w:val="4"/>
        </w:numPr>
        <w:rPr>
          <w:rFonts w:asciiTheme="majorHAnsi" w:hAnsiTheme="majorHAnsi" w:cstheme="majorHAnsi"/>
          <w:sz w:val="22"/>
          <w:szCs w:val="22"/>
        </w:rPr>
      </w:pPr>
      <w:r w:rsidRPr="00936D28">
        <w:rPr>
          <w:rFonts w:asciiTheme="majorHAnsi" w:hAnsiTheme="majorHAnsi" w:cstheme="majorHAnsi"/>
          <w:sz w:val="22"/>
          <w:szCs w:val="22"/>
        </w:rPr>
        <w:t>294 LSOAs merged</w:t>
      </w:r>
    </w:p>
    <w:p w14:paraId="737DCE79" w14:textId="77777777" w:rsidR="00A7524F" w:rsidRPr="00936D28" w:rsidRDefault="00A7524F" w:rsidP="00936D28">
      <w:pPr>
        <w:numPr>
          <w:ilvl w:val="0"/>
          <w:numId w:val="4"/>
        </w:numPr>
        <w:rPr>
          <w:rFonts w:asciiTheme="majorHAnsi" w:hAnsiTheme="majorHAnsi" w:cstheme="majorHAnsi"/>
          <w:sz w:val="22"/>
          <w:szCs w:val="22"/>
        </w:rPr>
      </w:pPr>
      <w:r w:rsidRPr="00936D28">
        <w:rPr>
          <w:rFonts w:asciiTheme="majorHAnsi" w:hAnsiTheme="majorHAnsi" w:cstheme="majorHAnsi"/>
          <w:sz w:val="22"/>
          <w:szCs w:val="22"/>
        </w:rPr>
        <w:t>150 LSOAs have had a more complex change</w:t>
      </w:r>
    </w:p>
    <w:p w14:paraId="3C66F04B" w14:textId="77777777" w:rsidR="00A7524F" w:rsidRPr="00936D28" w:rsidRDefault="00A7524F" w:rsidP="00A7524F">
      <w:pPr>
        <w:rPr>
          <w:rFonts w:asciiTheme="majorHAnsi" w:hAnsiTheme="majorHAnsi" w:cstheme="majorHAnsi"/>
          <w:sz w:val="22"/>
          <w:szCs w:val="22"/>
        </w:rPr>
      </w:pPr>
      <w:r w:rsidRPr="00936D28">
        <w:rPr>
          <w:rFonts w:asciiTheme="majorHAnsi" w:hAnsiTheme="majorHAnsi" w:cstheme="majorHAnsi"/>
          <w:sz w:val="22"/>
          <w:szCs w:val="22"/>
        </w:rPr>
        <w:lastRenderedPageBreak/>
        <w:t xml:space="preserve">The Department of Communities and Local Government (DCLG), who produce the official indices of deprivation, have not yet released updated IMD 2010 values based on LSOA 2011 boundaries, resulting in a mis-match between current geographies, populations and the IMD data.  Although DCLG have recently announced that they have commissioned an update and review of the existing methodology the planned release date for these updated indices is summer 2015:   </w:t>
      </w:r>
    </w:p>
    <w:p w14:paraId="541D3C25" w14:textId="77777777" w:rsidR="00A7524F" w:rsidRPr="00936D28" w:rsidRDefault="002F05F5" w:rsidP="00A7524F">
      <w:pPr>
        <w:rPr>
          <w:rFonts w:asciiTheme="majorHAnsi" w:hAnsiTheme="majorHAnsi" w:cstheme="majorHAnsi"/>
          <w:sz w:val="22"/>
          <w:szCs w:val="22"/>
        </w:rPr>
      </w:pPr>
      <w:hyperlink r:id="rId19" w:history="1">
        <w:r w:rsidR="00A7524F" w:rsidRPr="00936D28">
          <w:rPr>
            <w:rStyle w:val="Hyperlink"/>
            <w:rFonts w:asciiTheme="majorHAnsi" w:hAnsiTheme="majorHAnsi" w:cstheme="majorHAnsi"/>
            <w:color w:val="auto"/>
            <w:sz w:val="22"/>
            <w:szCs w:val="22"/>
          </w:rPr>
          <w:t>https://www.gov.uk/government/collections/english-indices-of-deprivation</w:t>
        </w:r>
      </w:hyperlink>
    </w:p>
    <w:p w14:paraId="00993B8D" w14:textId="77777777" w:rsidR="00A7524F" w:rsidRPr="00936D28" w:rsidRDefault="00A7524F" w:rsidP="00A7524F">
      <w:pPr>
        <w:rPr>
          <w:rFonts w:asciiTheme="majorHAnsi" w:hAnsiTheme="majorHAnsi" w:cstheme="majorHAnsi"/>
          <w:sz w:val="22"/>
          <w:szCs w:val="22"/>
        </w:rPr>
      </w:pPr>
      <w:r w:rsidRPr="00936D28">
        <w:rPr>
          <w:rFonts w:asciiTheme="majorHAnsi" w:hAnsiTheme="majorHAnsi" w:cstheme="majorHAnsi"/>
          <w:sz w:val="22"/>
          <w:szCs w:val="22"/>
        </w:rPr>
        <w:t>Due to this delay, an interim approach which uses an unofficial reference file produced by the Association of Public Health Observatories (APHO) is being proposed.  Given the appetite for deprivation breakdowns within the NHS Outcomes Framework we are concerned that by waiting for the official DCLG file to be released we would be restricting the use of our statistics and encouraging other organisations to produce these breakdowns.  In addition, the APHO reference file is used by Public Health England in a number of Public Health Outcomes Framework indicators and by the Office for National Statistics (ONS) in their publications (both National Statistics publications and bespoke data requests).</w:t>
      </w:r>
    </w:p>
    <w:p w14:paraId="118E371D" w14:textId="77777777" w:rsidR="00A7524F" w:rsidRPr="00936D28" w:rsidRDefault="00A7524F" w:rsidP="00A7524F">
      <w:pPr>
        <w:rPr>
          <w:rFonts w:asciiTheme="majorHAnsi" w:hAnsiTheme="majorHAnsi" w:cstheme="majorHAnsi"/>
          <w:sz w:val="22"/>
          <w:szCs w:val="22"/>
        </w:rPr>
      </w:pPr>
    </w:p>
    <w:p w14:paraId="17E5116E" w14:textId="77777777" w:rsidR="00A7524F" w:rsidRPr="00936D28" w:rsidRDefault="00A7524F" w:rsidP="00A7524F">
      <w:pPr>
        <w:rPr>
          <w:rFonts w:asciiTheme="majorHAnsi" w:hAnsiTheme="majorHAnsi" w:cstheme="majorHAnsi"/>
          <w:sz w:val="22"/>
          <w:szCs w:val="22"/>
          <w:u w:val="single"/>
        </w:rPr>
      </w:pPr>
      <w:r w:rsidRPr="00936D28">
        <w:rPr>
          <w:rFonts w:asciiTheme="majorHAnsi" w:hAnsiTheme="majorHAnsi" w:cstheme="majorHAnsi"/>
          <w:sz w:val="22"/>
          <w:szCs w:val="22"/>
          <w:u w:val="single"/>
        </w:rPr>
        <w:t>Proposed Method</w:t>
      </w:r>
    </w:p>
    <w:p w14:paraId="49DA6949" w14:textId="77777777" w:rsidR="00A7524F" w:rsidRPr="00936D28" w:rsidRDefault="00A7524F" w:rsidP="00A7524F">
      <w:pPr>
        <w:rPr>
          <w:rFonts w:asciiTheme="majorHAnsi" w:hAnsiTheme="majorHAnsi" w:cstheme="majorHAnsi"/>
          <w:sz w:val="22"/>
          <w:szCs w:val="22"/>
        </w:rPr>
      </w:pPr>
      <w:r w:rsidRPr="00936D28">
        <w:rPr>
          <w:rFonts w:asciiTheme="majorHAnsi" w:hAnsiTheme="majorHAnsi" w:cstheme="majorHAnsi"/>
          <w:sz w:val="22"/>
          <w:szCs w:val="22"/>
        </w:rPr>
        <w:t>The proposed method would use the APHO reference data which includes IMD 2010 scores based on 2011 LSOA boundaries.  This file is available at:</w:t>
      </w:r>
    </w:p>
    <w:p w14:paraId="5B06002E" w14:textId="77777777" w:rsidR="00A7524F" w:rsidRPr="00936D28" w:rsidRDefault="002F05F5" w:rsidP="00A7524F">
      <w:pPr>
        <w:rPr>
          <w:rFonts w:asciiTheme="majorHAnsi" w:hAnsiTheme="majorHAnsi" w:cstheme="majorHAnsi"/>
          <w:sz w:val="22"/>
          <w:szCs w:val="22"/>
        </w:rPr>
      </w:pPr>
      <w:hyperlink r:id="rId20" w:history="1">
        <w:r w:rsidR="00A7524F" w:rsidRPr="00936D28">
          <w:rPr>
            <w:rStyle w:val="Hyperlink"/>
            <w:rFonts w:asciiTheme="majorHAnsi" w:hAnsiTheme="majorHAnsi" w:cstheme="majorHAnsi"/>
            <w:color w:val="auto"/>
            <w:sz w:val="22"/>
            <w:szCs w:val="22"/>
          </w:rPr>
          <w:t>http://www.apho.org.uk/resource/view.aspx?RID=125886</w:t>
        </w:r>
      </w:hyperlink>
    </w:p>
    <w:p w14:paraId="1041C11A" w14:textId="77777777" w:rsidR="00A7524F" w:rsidRPr="00936D28" w:rsidRDefault="00A7524F" w:rsidP="00A7524F">
      <w:pPr>
        <w:rPr>
          <w:rFonts w:asciiTheme="majorHAnsi" w:hAnsiTheme="majorHAnsi" w:cstheme="majorHAnsi"/>
          <w:sz w:val="22"/>
          <w:szCs w:val="22"/>
        </w:rPr>
      </w:pPr>
      <w:r w:rsidRPr="00936D28">
        <w:rPr>
          <w:rFonts w:asciiTheme="majorHAnsi" w:hAnsiTheme="majorHAnsi" w:cstheme="majorHAnsi"/>
          <w:sz w:val="22"/>
          <w:szCs w:val="22"/>
        </w:rPr>
        <w:t>It is acknowledged by Public Health England, which APHO are now part of, that these adjusted indices have not been quality assured by or endorsed by DCLG and that the 2010 English Indices of Deprivation based on 2001 LSOA boundaries are still the official source of IMD 2010 scores.</w:t>
      </w:r>
    </w:p>
    <w:p w14:paraId="4599B47F" w14:textId="77777777" w:rsidR="00A7524F" w:rsidRPr="00936D28" w:rsidRDefault="00A7524F" w:rsidP="00A7524F">
      <w:pPr>
        <w:rPr>
          <w:rFonts w:asciiTheme="majorHAnsi" w:hAnsiTheme="majorHAnsi" w:cstheme="majorHAnsi"/>
          <w:sz w:val="22"/>
          <w:szCs w:val="22"/>
        </w:rPr>
      </w:pPr>
      <w:r w:rsidRPr="00936D28">
        <w:rPr>
          <w:rFonts w:asciiTheme="majorHAnsi" w:hAnsiTheme="majorHAnsi" w:cstheme="majorHAnsi"/>
          <w:sz w:val="22"/>
          <w:szCs w:val="22"/>
        </w:rPr>
        <w:t>As previously mentioned, 97.5% of LSOAs have the same boundaries in both 2001 and 2011 configurations so these have not changed.</w:t>
      </w:r>
    </w:p>
    <w:p w14:paraId="34AE52DD" w14:textId="77777777" w:rsidR="00A7524F" w:rsidRPr="00936D28" w:rsidRDefault="00A7524F" w:rsidP="00A7524F">
      <w:pPr>
        <w:rPr>
          <w:rFonts w:asciiTheme="majorHAnsi" w:hAnsiTheme="majorHAnsi" w:cstheme="majorHAnsi"/>
          <w:sz w:val="22"/>
          <w:szCs w:val="22"/>
        </w:rPr>
      </w:pPr>
      <w:r w:rsidRPr="00936D28">
        <w:rPr>
          <w:rFonts w:asciiTheme="majorHAnsi" w:hAnsiTheme="majorHAnsi" w:cstheme="majorHAnsi"/>
          <w:sz w:val="22"/>
          <w:szCs w:val="22"/>
        </w:rPr>
        <w:t>For the 366 LSOAs which split between 2001 and 2011, the current 2010 IMD score has been assigned to the new LSOAs.  For example, if one 2001 LSOA split into three 2011 LSOAs, each of the three LSOAs would have the same IMD score as the original 2001 LSOA as they cover the same geographical area.</w:t>
      </w:r>
    </w:p>
    <w:p w14:paraId="1EADC340" w14:textId="77777777" w:rsidR="00A7524F" w:rsidRPr="00936D28" w:rsidRDefault="00A7524F" w:rsidP="00A7524F">
      <w:pPr>
        <w:rPr>
          <w:rFonts w:asciiTheme="majorHAnsi" w:hAnsiTheme="majorHAnsi" w:cstheme="majorHAnsi"/>
          <w:sz w:val="22"/>
          <w:szCs w:val="22"/>
        </w:rPr>
      </w:pPr>
      <w:r w:rsidRPr="00936D28">
        <w:rPr>
          <w:rFonts w:asciiTheme="majorHAnsi" w:hAnsiTheme="majorHAnsi" w:cstheme="majorHAnsi"/>
          <w:sz w:val="22"/>
          <w:szCs w:val="22"/>
        </w:rPr>
        <w:t>For the 294 LSOAs which merged between 2001 and 2011, a population weighted average of the current IMD 2010 score was assigned to the new LSOA.  For example, if two 2001 LSOAs merged to form one 2011 LSOA, the original scores were averaged to create a single score for the new 2011 LSOA.</w:t>
      </w:r>
    </w:p>
    <w:p w14:paraId="0B28355C" w14:textId="77777777" w:rsidR="00A7524F" w:rsidRPr="00936D28" w:rsidRDefault="00A7524F" w:rsidP="00A7524F">
      <w:pPr>
        <w:rPr>
          <w:rFonts w:asciiTheme="majorHAnsi" w:hAnsiTheme="majorHAnsi" w:cstheme="majorHAnsi"/>
          <w:sz w:val="22"/>
          <w:szCs w:val="22"/>
        </w:rPr>
      </w:pPr>
      <w:r w:rsidRPr="00936D28">
        <w:rPr>
          <w:rFonts w:asciiTheme="majorHAnsi" w:hAnsiTheme="majorHAnsi" w:cstheme="majorHAnsi"/>
          <w:sz w:val="22"/>
          <w:szCs w:val="22"/>
        </w:rPr>
        <w:t>The remaining 150 LSOAs were classed as having a more complex change and these were dealt with on a case by case basis, depending on the type of change.  An example of one of these changes is a slight boundary changes between the two versions of LSOAs which used population weighted averages to derive a new value for the new LSOAs.</w:t>
      </w:r>
    </w:p>
    <w:p w14:paraId="2093CC5C" w14:textId="77777777" w:rsidR="00A7524F" w:rsidRPr="00936D28" w:rsidRDefault="00A7524F" w:rsidP="00A7524F">
      <w:pPr>
        <w:rPr>
          <w:rFonts w:asciiTheme="majorHAnsi" w:hAnsiTheme="majorHAnsi" w:cstheme="majorHAnsi"/>
          <w:sz w:val="22"/>
          <w:szCs w:val="22"/>
        </w:rPr>
      </w:pPr>
      <w:r w:rsidRPr="00936D28">
        <w:rPr>
          <w:rFonts w:asciiTheme="majorHAnsi" w:hAnsiTheme="majorHAnsi" w:cstheme="majorHAnsi"/>
          <w:sz w:val="22"/>
          <w:szCs w:val="22"/>
        </w:rPr>
        <w:t>For further information please the link above.</w:t>
      </w:r>
    </w:p>
    <w:p w14:paraId="6113B944" w14:textId="77777777" w:rsidR="00A7524F" w:rsidRPr="00936D28" w:rsidRDefault="00A7524F" w:rsidP="00A7524F">
      <w:pPr>
        <w:rPr>
          <w:rFonts w:asciiTheme="majorHAnsi" w:hAnsiTheme="majorHAnsi" w:cstheme="majorHAnsi"/>
          <w:sz w:val="22"/>
          <w:szCs w:val="22"/>
          <w:u w:val="single"/>
        </w:rPr>
      </w:pPr>
    </w:p>
    <w:p w14:paraId="4CB7495B" w14:textId="77777777" w:rsidR="00A7524F" w:rsidRPr="00936D28" w:rsidRDefault="00A7524F" w:rsidP="00A7524F">
      <w:pPr>
        <w:rPr>
          <w:rFonts w:asciiTheme="majorHAnsi" w:hAnsiTheme="majorHAnsi" w:cstheme="majorHAnsi"/>
          <w:sz w:val="22"/>
          <w:szCs w:val="22"/>
        </w:rPr>
      </w:pPr>
      <w:r w:rsidRPr="00936D28">
        <w:rPr>
          <w:rFonts w:asciiTheme="majorHAnsi" w:hAnsiTheme="majorHAnsi" w:cstheme="majorHAnsi"/>
          <w:sz w:val="22"/>
          <w:szCs w:val="22"/>
          <w:u w:val="single"/>
        </w:rPr>
        <w:t>Support for change of calculation methodology</w:t>
      </w:r>
    </w:p>
    <w:p w14:paraId="2E86183A" w14:textId="77777777" w:rsidR="00A7524F" w:rsidRPr="00936D28" w:rsidRDefault="00A7524F" w:rsidP="00A7524F">
      <w:pPr>
        <w:rPr>
          <w:rFonts w:asciiTheme="majorHAnsi" w:hAnsiTheme="majorHAnsi" w:cstheme="majorHAnsi"/>
          <w:sz w:val="22"/>
          <w:szCs w:val="22"/>
        </w:rPr>
      </w:pPr>
      <w:r w:rsidRPr="00936D28">
        <w:rPr>
          <w:rFonts w:asciiTheme="majorHAnsi" w:hAnsiTheme="majorHAnsi" w:cstheme="majorHAnsi"/>
          <w:sz w:val="22"/>
          <w:szCs w:val="22"/>
        </w:rPr>
        <w:t xml:space="preserve">The NHS Outcome Framework Team at NHS England agree with the rationale for the change in methodology and support this proposed change. </w:t>
      </w:r>
    </w:p>
    <w:p w14:paraId="695C3FAF" w14:textId="6618788E" w:rsidR="00460B4E" w:rsidRPr="00936D28" w:rsidRDefault="00460B4E">
      <w:p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br w:type="page"/>
      </w:r>
    </w:p>
    <w:p w14:paraId="25CFCDEC" w14:textId="77777777" w:rsidR="00460B4E" w:rsidRPr="00936D28" w:rsidRDefault="00460B4E" w:rsidP="00460B4E">
      <w:pPr>
        <w:rPr>
          <w:rFonts w:asciiTheme="majorHAnsi" w:hAnsiTheme="majorHAnsi" w:cstheme="majorHAnsi"/>
          <w:sz w:val="22"/>
          <w:szCs w:val="22"/>
        </w:rPr>
      </w:pPr>
    </w:p>
    <w:p w14:paraId="301BA2CA" w14:textId="77777777" w:rsidR="00460B4E" w:rsidRPr="00936D28" w:rsidRDefault="00460B4E" w:rsidP="00460B4E">
      <w:pPr>
        <w:rPr>
          <w:rFonts w:asciiTheme="majorHAnsi" w:hAnsiTheme="majorHAnsi" w:cstheme="majorHAnsi"/>
          <w:sz w:val="22"/>
          <w:szCs w:val="22"/>
        </w:rPr>
      </w:pPr>
    </w:p>
    <w:p w14:paraId="2F40E0DF" w14:textId="77777777" w:rsidR="00460B4E" w:rsidRPr="00936D28" w:rsidRDefault="00460B4E" w:rsidP="00460B4E">
      <w:pPr>
        <w:ind w:left="-851"/>
        <w:rPr>
          <w:rFonts w:asciiTheme="majorHAnsi" w:hAnsiTheme="majorHAnsi" w:cstheme="majorHAnsi"/>
          <w:sz w:val="22"/>
          <w:szCs w:val="22"/>
        </w:rPr>
      </w:pPr>
      <w:r w:rsidRPr="00936D28">
        <w:rPr>
          <w:rFonts w:asciiTheme="majorHAnsi" w:hAnsiTheme="majorHAnsi" w:cstheme="majorHAnsi"/>
          <w:sz w:val="22"/>
          <w:szCs w:val="22"/>
        </w:rPr>
        <w:t>Indicator Governance Board Meeting – 22</w:t>
      </w:r>
      <w:r w:rsidRPr="00936D28">
        <w:rPr>
          <w:rFonts w:asciiTheme="majorHAnsi" w:hAnsiTheme="majorHAnsi" w:cstheme="majorHAnsi"/>
          <w:sz w:val="22"/>
          <w:szCs w:val="22"/>
          <w:vertAlign w:val="superscript"/>
        </w:rPr>
        <w:t>nd</w:t>
      </w:r>
      <w:r w:rsidRPr="00936D28">
        <w:rPr>
          <w:rFonts w:asciiTheme="majorHAnsi" w:hAnsiTheme="majorHAnsi" w:cstheme="majorHAnsi"/>
          <w:sz w:val="22"/>
          <w:szCs w:val="22"/>
        </w:rPr>
        <w:t xml:space="preserve"> July 2014</w:t>
      </w:r>
    </w:p>
    <w:p w14:paraId="6B3FCFD0" w14:textId="77777777" w:rsidR="00460B4E" w:rsidRPr="00936D28" w:rsidRDefault="00460B4E" w:rsidP="00460B4E">
      <w:pPr>
        <w:ind w:left="-851"/>
        <w:rPr>
          <w:rFonts w:asciiTheme="majorHAnsi" w:hAnsiTheme="majorHAnsi" w:cstheme="majorHAnsi"/>
          <w:sz w:val="22"/>
          <w:szCs w:val="22"/>
        </w:rPr>
      </w:pPr>
      <w:r w:rsidRPr="00936D28">
        <w:rPr>
          <w:rFonts w:asciiTheme="majorHAnsi" w:hAnsiTheme="majorHAnsi" w:cstheme="majorHAnsi"/>
          <w:i/>
          <w:sz w:val="22"/>
          <w:szCs w:val="22"/>
        </w:rPr>
        <w:t>Paper (4)</w:t>
      </w:r>
    </w:p>
    <w:p w14:paraId="47767A20" w14:textId="77777777" w:rsidR="00460B4E" w:rsidRPr="00936D28" w:rsidRDefault="00460B4E" w:rsidP="00460B4E">
      <w:pPr>
        <w:ind w:left="-851"/>
        <w:rPr>
          <w:rFonts w:asciiTheme="majorHAnsi" w:hAnsiTheme="majorHAnsi" w:cstheme="majorHAnsi"/>
          <w:sz w:val="22"/>
          <w:szCs w:val="22"/>
        </w:rPr>
      </w:pPr>
      <w:r w:rsidRPr="00936D28">
        <w:rPr>
          <w:rFonts w:asciiTheme="majorHAnsi" w:hAnsiTheme="majorHAnsi" w:cstheme="majorHAnsi"/>
          <w:sz w:val="22"/>
          <w:szCs w:val="22"/>
        </w:rPr>
        <w:t>Indicators for Appraisal - Pack 2</w:t>
      </w:r>
    </w:p>
    <w:p w14:paraId="27380660" w14:textId="77777777" w:rsidR="00460B4E" w:rsidRPr="00936D28" w:rsidRDefault="00460B4E" w:rsidP="00460B4E">
      <w:pPr>
        <w:rPr>
          <w:rFonts w:asciiTheme="majorHAnsi" w:hAnsiTheme="majorHAnsi" w:cstheme="majorHAnsi"/>
          <w:sz w:val="22"/>
          <w:szCs w:val="22"/>
        </w:rPr>
      </w:pPr>
    </w:p>
    <w:p w14:paraId="2B59682B" w14:textId="77777777" w:rsidR="00460B4E" w:rsidRPr="00936D28" w:rsidRDefault="00460B4E" w:rsidP="00460B4E">
      <w:pPr>
        <w:rPr>
          <w:rFonts w:asciiTheme="majorHAnsi" w:hAnsiTheme="majorHAnsi" w:cstheme="majorHAnsi"/>
          <w:sz w:val="22"/>
          <w:szCs w:val="22"/>
        </w:rPr>
      </w:pPr>
    </w:p>
    <w:p w14:paraId="1FFE048D" w14:textId="77777777" w:rsidR="00460B4E" w:rsidRPr="00936D28" w:rsidRDefault="00460B4E" w:rsidP="00460B4E">
      <w:pPr>
        <w:rPr>
          <w:rFonts w:asciiTheme="majorHAnsi" w:hAnsiTheme="majorHAnsi" w:cstheme="majorHAnsi"/>
          <w:sz w:val="22"/>
          <w:szCs w:val="22"/>
        </w:rPr>
      </w:pPr>
    </w:p>
    <w:p w14:paraId="6F016146" w14:textId="77777777" w:rsidR="00460B4E" w:rsidRPr="00936D28" w:rsidRDefault="00460B4E" w:rsidP="00936D28">
      <w:pPr>
        <w:pStyle w:val="ListParagraph"/>
        <w:numPr>
          <w:ilvl w:val="0"/>
          <w:numId w:val="9"/>
        </w:numPr>
        <w:spacing w:after="0"/>
        <w:contextualSpacing/>
        <w:textboxTightWrap w:val="none"/>
        <w:rPr>
          <w:rFonts w:asciiTheme="majorHAnsi" w:hAnsiTheme="majorHAnsi" w:cstheme="majorHAnsi"/>
          <w:sz w:val="22"/>
          <w:szCs w:val="22"/>
        </w:rPr>
      </w:pPr>
      <w:r w:rsidRPr="00936D28">
        <w:rPr>
          <w:rFonts w:asciiTheme="majorHAnsi" w:hAnsiTheme="majorHAnsi" w:cstheme="majorHAnsi"/>
          <w:b/>
          <w:sz w:val="22"/>
          <w:szCs w:val="22"/>
        </w:rPr>
        <w:t xml:space="preserve">IAP00344   </w:t>
      </w:r>
      <w:r w:rsidRPr="00936D28">
        <w:rPr>
          <w:rFonts w:asciiTheme="majorHAnsi" w:hAnsiTheme="majorHAnsi" w:cstheme="majorHAnsi"/>
          <w:sz w:val="22"/>
          <w:szCs w:val="22"/>
        </w:rPr>
        <w:t>Mortality from breast cancer in females</w:t>
      </w:r>
    </w:p>
    <w:p w14:paraId="22FDA248" w14:textId="77777777" w:rsidR="00460B4E" w:rsidRPr="00936D28" w:rsidRDefault="00460B4E" w:rsidP="00936D28">
      <w:pPr>
        <w:pStyle w:val="ListParagraph"/>
        <w:numPr>
          <w:ilvl w:val="0"/>
          <w:numId w:val="9"/>
        </w:numPr>
        <w:spacing w:after="0"/>
        <w:contextualSpacing/>
        <w:textboxTightWrap w:val="none"/>
        <w:rPr>
          <w:rFonts w:asciiTheme="majorHAnsi" w:hAnsiTheme="majorHAnsi" w:cstheme="majorHAnsi"/>
          <w:sz w:val="22"/>
          <w:szCs w:val="22"/>
        </w:rPr>
      </w:pPr>
      <w:r w:rsidRPr="00936D28">
        <w:rPr>
          <w:rFonts w:asciiTheme="majorHAnsi" w:hAnsiTheme="majorHAnsi" w:cstheme="majorHAnsi"/>
          <w:b/>
          <w:sz w:val="22"/>
          <w:szCs w:val="22"/>
        </w:rPr>
        <w:t xml:space="preserve">IAP00346   </w:t>
      </w:r>
      <w:r w:rsidRPr="00936D28">
        <w:rPr>
          <w:rFonts w:asciiTheme="majorHAnsi" w:hAnsiTheme="majorHAnsi" w:cstheme="majorHAnsi"/>
          <w:sz w:val="22"/>
          <w:szCs w:val="22"/>
        </w:rPr>
        <w:t>Percentage of cancers diagnosed via emergency routes</w:t>
      </w:r>
    </w:p>
    <w:p w14:paraId="774774B3" w14:textId="77777777" w:rsidR="00460B4E" w:rsidRPr="00936D28" w:rsidRDefault="00460B4E" w:rsidP="00936D28">
      <w:pPr>
        <w:pStyle w:val="ListParagraph"/>
        <w:numPr>
          <w:ilvl w:val="0"/>
          <w:numId w:val="9"/>
        </w:numPr>
        <w:spacing w:after="0"/>
        <w:contextualSpacing/>
        <w:textboxTightWrap w:val="none"/>
        <w:rPr>
          <w:rFonts w:asciiTheme="majorHAnsi" w:hAnsiTheme="majorHAnsi" w:cstheme="majorHAnsi"/>
          <w:sz w:val="22"/>
          <w:szCs w:val="22"/>
        </w:rPr>
      </w:pPr>
      <w:r w:rsidRPr="00936D28">
        <w:rPr>
          <w:rFonts w:asciiTheme="majorHAnsi" w:hAnsiTheme="majorHAnsi" w:cstheme="majorHAnsi"/>
          <w:b/>
          <w:sz w:val="22"/>
          <w:szCs w:val="22"/>
        </w:rPr>
        <w:t xml:space="preserve">IAP00347   </w:t>
      </w:r>
      <w:r w:rsidRPr="00936D28">
        <w:rPr>
          <w:rFonts w:asciiTheme="majorHAnsi" w:hAnsiTheme="majorHAnsi" w:cstheme="majorHAnsi"/>
          <w:sz w:val="22"/>
          <w:szCs w:val="22"/>
        </w:rPr>
        <w:t>Record of cancer stage at diagnosis</w:t>
      </w:r>
    </w:p>
    <w:p w14:paraId="0B550159" w14:textId="77777777" w:rsidR="00460B4E" w:rsidRPr="00936D28" w:rsidRDefault="00460B4E" w:rsidP="00936D28">
      <w:pPr>
        <w:pStyle w:val="ListParagraph"/>
        <w:numPr>
          <w:ilvl w:val="0"/>
          <w:numId w:val="9"/>
        </w:numPr>
        <w:spacing w:after="0"/>
        <w:contextualSpacing/>
        <w:textboxTightWrap w:val="none"/>
        <w:rPr>
          <w:rFonts w:asciiTheme="majorHAnsi" w:hAnsiTheme="majorHAnsi" w:cstheme="majorHAnsi"/>
          <w:sz w:val="22"/>
          <w:szCs w:val="22"/>
        </w:rPr>
      </w:pPr>
      <w:r w:rsidRPr="00936D28">
        <w:rPr>
          <w:rFonts w:asciiTheme="majorHAnsi" w:hAnsiTheme="majorHAnsi" w:cstheme="majorHAnsi"/>
          <w:b/>
          <w:sz w:val="22"/>
          <w:szCs w:val="22"/>
        </w:rPr>
        <w:t xml:space="preserve">IAP00350   </w:t>
      </w:r>
      <w:r w:rsidRPr="00936D28">
        <w:rPr>
          <w:rFonts w:asciiTheme="majorHAnsi" w:hAnsiTheme="majorHAnsi" w:cstheme="majorHAnsi"/>
          <w:sz w:val="22"/>
          <w:szCs w:val="22"/>
        </w:rPr>
        <w:t>Cancers detected at stage 1 or 2</w:t>
      </w:r>
    </w:p>
    <w:p w14:paraId="572172CC" w14:textId="77777777" w:rsidR="00460B4E" w:rsidRPr="00936D28" w:rsidRDefault="00460B4E" w:rsidP="00936D28">
      <w:pPr>
        <w:pStyle w:val="ListParagraph"/>
        <w:numPr>
          <w:ilvl w:val="0"/>
          <w:numId w:val="9"/>
        </w:numPr>
        <w:spacing w:after="0"/>
        <w:contextualSpacing/>
        <w:textboxTightWrap w:val="none"/>
        <w:rPr>
          <w:rFonts w:asciiTheme="majorHAnsi" w:hAnsiTheme="majorHAnsi" w:cstheme="majorHAnsi"/>
          <w:sz w:val="22"/>
          <w:szCs w:val="22"/>
        </w:rPr>
      </w:pPr>
      <w:r w:rsidRPr="00936D28">
        <w:rPr>
          <w:rFonts w:asciiTheme="majorHAnsi" w:hAnsiTheme="majorHAnsi" w:cstheme="majorHAnsi"/>
          <w:b/>
          <w:sz w:val="22"/>
          <w:szCs w:val="22"/>
        </w:rPr>
        <w:t xml:space="preserve">IAP00351   </w:t>
      </w:r>
      <w:r w:rsidRPr="00936D28">
        <w:rPr>
          <w:rFonts w:asciiTheme="majorHAnsi" w:hAnsiTheme="majorHAnsi" w:cstheme="majorHAnsi"/>
          <w:sz w:val="22"/>
          <w:szCs w:val="22"/>
        </w:rPr>
        <w:t>Record of lung cancer stage at decision to treat</w:t>
      </w:r>
    </w:p>
    <w:p w14:paraId="393DD02E" w14:textId="77777777" w:rsidR="00460B4E" w:rsidRPr="00936D28" w:rsidRDefault="00460B4E" w:rsidP="00460B4E">
      <w:pPr>
        <w:ind w:left="-540"/>
        <w:rPr>
          <w:rFonts w:asciiTheme="majorHAnsi" w:hAnsiTheme="majorHAnsi" w:cstheme="majorHAnsi"/>
          <w:sz w:val="22"/>
          <w:szCs w:val="22"/>
        </w:rPr>
      </w:pPr>
    </w:p>
    <w:p w14:paraId="136846E9" w14:textId="77777777" w:rsidR="00460B4E" w:rsidRPr="00936D28" w:rsidRDefault="00460B4E" w:rsidP="00460B4E">
      <w:pPr>
        <w:ind w:left="-540"/>
        <w:rPr>
          <w:rFonts w:asciiTheme="majorHAnsi" w:hAnsiTheme="majorHAnsi" w:cstheme="majorHAnsi"/>
          <w:sz w:val="22"/>
          <w:szCs w:val="22"/>
        </w:rPr>
      </w:pPr>
    </w:p>
    <w:p w14:paraId="22751616" w14:textId="77777777" w:rsidR="00460B4E" w:rsidRPr="00936D28" w:rsidRDefault="00460B4E" w:rsidP="00460B4E">
      <w:pPr>
        <w:ind w:left="-540"/>
        <w:rPr>
          <w:rFonts w:asciiTheme="majorHAnsi" w:hAnsiTheme="majorHAnsi" w:cstheme="majorHAnsi"/>
          <w:sz w:val="22"/>
          <w:szCs w:val="22"/>
        </w:rPr>
      </w:pPr>
    </w:p>
    <w:p w14:paraId="00DD21BD" w14:textId="77777777" w:rsidR="00460B4E" w:rsidRPr="00936D28" w:rsidRDefault="00460B4E" w:rsidP="00460B4E">
      <w:pPr>
        <w:ind w:left="-540"/>
        <w:rPr>
          <w:rFonts w:asciiTheme="majorHAnsi" w:hAnsiTheme="majorHAnsi" w:cstheme="majorHAnsi"/>
          <w:sz w:val="22"/>
          <w:szCs w:val="22"/>
        </w:rPr>
      </w:pPr>
    </w:p>
    <w:p w14:paraId="3E63F7AC" w14:textId="77777777" w:rsidR="00460B4E" w:rsidRPr="00936D28" w:rsidRDefault="00460B4E" w:rsidP="00460B4E">
      <w:pPr>
        <w:ind w:left="-540"/>
        <w:rPr>
          <w:rFonts w:asciiTheme="majorHAnsi" w:hAnsiTheme="majorHAnsi" w:cstheme="majorHAnsi"/>
          <w:sz w:val="22"/>
          <w:szCs w:val="22"/>
        </w:rPr>
      </w:pPr>
    </w:p>
    <w:p w14:paraId="1C215B2D" w14:textId="77777777" w:rsidR="00460B4E" w:rsidRPr="00936D28" w:rsidRDefault="00460B4E" w:rsidP="00460B4E">
      <w:pPr>
        <w:ind w:left="-540"/>
        <w:rPr>
          <w:rFonts w:asciiTheme="majorHAnsi" w:hAnsiTheme="majorHAnsi" w:cstheme="majorHAnsi"/>
          <w:sz w:val="22"/>
          <w:szCs w:val="22"/>
        </w:rPr>
      </w:pPr>
    </w:p>
    <w:p w14:paraId="46B39C8C" w14:textId="77777777" w:rsidR="00460B4E" w:rsidRPr="00936D28" w:rsidRDefault="00460B4E" w:rsidP="00460B4E">
      <w:pPr>
        <w:ind w:left="-540"/>
        <w:rPr>
          <w:rFonts w:asciiTheme="majorHAnsi" w:hAnsiTheme="majorHAnsi" w:cstheme="majorHAnsi"/>
          <w:sz w:val="22"/>
          <w:szCs w:val="22"/>
        </w:rPr>
      </w:pPr>
    </w:p>
    <w:p w14:paraId="73898079"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br w:type="page"/>
      </w:r>
    </w:p>
    <w:p w14:paraId="7D128515" w14:textId="77777777" w:rsidR="00460B4E" w:rsidRPr="00936D28" w:rsidRDefault="00460B4E" w:rsidP="00460B4E">
      <w:pPr>
        <w:ind w:left="-851"/>
        <w:rPr>
          <w:rFonts w:asciiTheme="majorHAnsi" w:hAnsiTheme="majorHAnsi" w:cstheme="majorHAnsi"/>
          <w:sz w:val="22"/>
          <w:szCs w:val="22"/>
        </w:rPr>
      </w:pPr>
    </w:p>
    <w:p w14:paraId="4A8882D2" w14:textId="77777777" w:rsidR="00460B4E" w:rsidRPr="00936D28" w:rsidRDefault="00460B4E" w:rsidP="00460B4E">
      <w:pPr>
        <w:ind w:left="-851"/>
        <w:rPr>
          <w:rFonts w:asciiTheme="majorHAnsi" w:hAnsiTheme="majorHAnsi" w:cstheme="majorHAnsi"/>
          <w:sz w:val="22"/>
          <w:szCs w:val="22"/>
        </w:rPr>
      </w:pPr>
      <w:r w:rsidRPr="00936D28">
        <w:rPr>
          <w:rFonts w:asciiTheme="majorHAnsi" w:hAnsiTheme="majorHAnsi" w:cstheme="majorHAnsi"/>
          <w:sz w:val="22"/>
          <w:szCs w:val="22"/>
        </w:rPr>
        <w:t xml:space="preserve">Record of Assurance provided by </w:t>
      </w:r>
      <w:r w:rsidRPr="00936D28">
        <w:rPr>
          <w:rFonts w:asciiTheme="majorHAnsi" w:hAnsiTheme="majorHAnsi" w:cstheme="majorHAnsi"/>
          <w:b/>
          <w:sz w:val="22"/>
          <w:szCs w:val="22"/>
        </w:rPr>
        <w:t>Indicator Governance Board</w:t>
      </w:r>
    </w:p>
    <w:p w14:paraId="720F866E" w14:textId="77777777" w:rsidR="00460B4E" w:rsidRPr="00936D28" w:rsidRDefault="00460B4E" w:rsidP="00460B4E">
      <w:pPr>
        <w:rPr>
          <w:rFonts w:asciiTheme="majorHAnsi" w:hAnsiTheme="majorHAnsi" w:cstheme="majorHAnsi"/>
          <w:sz w:val="22"/>
          <w:szCs w:val="22"/>
        </w:rPr>
      </w:pPr>
    </w:p>
    <w:tbl>
      <w:tblPr>
        <w:tblStyle w:val="TableGrid"/>
        <w:tblW w:w="9923" w:type="dxa"/>
        <w:tblLayout w:type="fixed"/>
        <w:tblLook w:val="01E0" w:firstRow="1" w:lastRow="1" w:firstColumn="1" w:lastColumn="1" w:noHBand="0" w:noVBand="0"/>
      </w:tblPr>
      <w:tblGrid>
        <w:gridCol w:w="2122"/>
        <w:gridCol w:w="5379"/>
        <w:gridCol w:w="997"/>
        <w:gridCol w:w="1425"/>
      </w:tblGrid>
      <w:tr w:rsidR="00460B4E" w:rsidRPr="00936D28" w14:paraId="0853AF13" w14:textId="77777777" w:rsidTr="004F07F3">
        <w:tc>
          <w:tcPr>
            <w:tcW w:w="2122" w:type="dxa"/>
          </w:tcPr>
          <w:p w14:paraId="58A5297D" w14:textId="77777777" w:rsidR="00460B4E" w:rsidRPr="00936D28" w:rsidRDefault="00460B4E" w:rsidP="00460B4E">
            <w:pPr>
              <w:rPr>
                <w:rFonts w:asciiTheme="majorHAnsi" w:hAnsiTheme="majorHAnsi" w:cstheme="majorHAnsi"/>
                <w:b/>
                <w:sz w:val="22"/>
                <w:szCs w:val="22"/>
              </w:rPr>
            </w:pPr>
            <w:r w:rsidRPr="00936D28">
              <w:rPr>
                <w:rFonts w:asciiTheme="majorHAnsi" w:hAnsiTheme="majorHAnsi" w:cstheme="majorHAnsi"/>
                <w:b/>
                <w:sz w:val="22"/>
                <w:szCs w:val="22"/>
              </w:rPr>
              <w:t>Indicator Title</w:t>
            </w:r>
          </w:p>
        </w:tc>
        <w:tc>
          <w:tcPr>
            <w:tcW w:w="5379" w:type="dxa"/>
          </w:tcPr>
          <w:p w14:paraId="5335803E" w14:textId="77777777" w:rsidR="00460B4E" w:rsidRPr="00936D28" w:rsidRDefault="00460B4E" w:rsidP="00460B4E">
            <w:pPr>
              <w:rPr>
                <w:rFonts w:asciiTheme="majorHAnsi" w:hAnsiTheme="majorHAnsi" w:cstheme="majorHAnsi"/>
                <w:b/>
                <w:sz w:val="22"/>
                <w:szCs w:val="22"/>
              </w:rPr>
            </w:pPr>
            <w:r w:rsidRPr="00936D28">
              <w:rPr>
                <w:rFonts w:asciiTheme="majorHAnsi" w:hAnsiTheme="majorHAnsi" w:cstheme="majorHAnsi"/>
                <w:b/>
                <w:sz w:val="22"/>
                <w:szCs w:val="22"/>
              </w:rPr>
              <w:t>Mortality from breast cancer in females</w:t>
            </w:r>
          </w:p>
        </w:tc>
        <w:tc>
          <w:tcPr>
            <w:tcW w:w="997" w:type="dxa"/>
          </w:tcPr>
          <w:p w14:paraId="4685B093"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IAS Ref Code:</w:t>
            </w:r>
          </w:p>
        </w:tc>
        <w:tc>
          <w:tcPr>
            <w:tcW w:w="1425" w:type="dxa"/>
          </w:tcPr>
          <w:p w14:paraId="11D3E061"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IAP00344</w:t>
            </w:r>
          </w:p>
        </w:tc>
      </w:tr>
      <w:tr w:rsidR="00460B4E" w:rsidRPr="00936D28" w14:paraId="3F1A7680" w14:textId="77777777" w:rsidTr="004F07F3">
        <w:tc>
          <w:tcPr>
            <w:tcW w:w="2122" w:type="dxa"/>
          </w:tcPr>
          <w:p w14:paraId="0D702A79"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Indicator Set</w:t>
            </w:r>
          </w:p>
        </w:tc>
        <w:tc>
          <w:tcPr>
            <w:tcW w:w="5379" w:type="dxa"/>
          </w:tcPr>
          <w:p w14:paraId="231A0AC6" w14:textId="77777777" w:rsidR="00460B4E" w:rsidRPr="00936D28" w:rsidRDefault="00460B4E" w:rsidP="00460B4E">
            <w:pPr>
              <w:spacing w:after="240"/>
              <w:rPr>
                <w:rFonts w:asciiTheme="majorHAnsi" w:hAnsiTheme="majorHAnsi" w:cstheme="majorHAnsi"/>
                <w:sz w:val="22"/>
                <w:szCs w:val="22"/>
              </w:rPr>
            </w:pPr>
            <w:r w:rsidRPr="00936D28">
              <w:rPr>
                <w:rFonts w:asciiTheme="majorHAnsi" w:hAnsiTheme="majorHAnsi" w:cstheme="majorHAnsi"/>
                <w:sz w:val="22"/>
                <w:szCs w:val="22"/>
              </w:rPr>
              <w:t>CCG Outcomes Indicator Set</w:t>
            </w:r>
          </w:p>
        </w:tc>
        <w:tc>
          <w:tcPr>
            <w:tcW w:w="997" w:type="dxa"/>
          </w:tcPr>
          <w:p w14:paraId="391C04DA" w14:textId="77777777" w:rsidR="00460B4E" w:rsidRPr="00936D28" w:rsidRDefault="00460B4E" w:rsidP="00460B4E">
            <w:pPr>
              <w:rPr>
                <w:rFonts w:asciiTheme="majorHAnsi" w:hAnsiTheme="majorHAnsi" w:cstheme="majorHAnsi"/>
                <w:sz w:val="22"/>
                <w:szCs w:val="22"/>
              </w:rPr>
            </w:pPr>
          </w:p>
        </w:tc>
        <w:tc>
          <w:tcPr>
            <w:tcW w:w="1425" w:type="dxa"/>
          </w:tcPr>
          <w:p w14:paraId="02F2FE82" w14:textId="77777777" w:rsidR="00460B4E" w:rsidRPr="00936D28" w:rsidRDefault="00460B4E" w:rsidP="00460B4E">
            <w:pPr>
              <w:rPr>
                <w:rFonts w:asciiTheme="majorHAnsi" w:hAnsiTheme="majorHAnsi" w:cstheme="majorHAnsi"/>
                <w:sz w:val="22"/>
                <w:szCs w:val="22"/>
              </w:rPr>
            </w:pPr>
          </w:p>
        </w:tc>
      </w:tr>
    </w:tbl>
    <w:p w14:paraId="4BDBE551" w14:textId="77777777" w:rsidR="004F07F3" w:rsidRDefault="004F07F3"/>
    <w:tbl>
      <w:tblPr>
        <w:tblStyle w:val="TableGrid"/>
        <w:tblW w:w="9923" w:type="dxa"/>
        <w:tblLayout w:type="fixed"/>
        <w:tblLook w:val="01E0" w:firstRow="1" w:lastRow="1" w:firstColumn="1" w:lastColumn="1" w:noHBand="0" w:noVBand="0"/>
      </w:tblPr>
      <w:tblGrid>
        <w:gridCol w:w="2122"/>
        <w:gridCol w:w="7801"/>
      </w:tblGrid>
      <w:tr w:rsidR="00460B4E" w:rsidRPr="00936D28" w14:paraId="77E72EF0" w14:textId="77777777" w:rsidTr="004F07F3">
        <w:tc>
          <w:tcPr>
            <w:tcW w:w="2122" w:type="dxa"/>
          </w:tcPr>
          <w:p w14:paraId="7540EBF5"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 xml:space="preserve">Description </w:t>
            </w:r>
          </w:p>
        </w:tc>
        <w:tc>
          <w:tcPr>
            <w:tcW w:w="7801" w:type="dxa"/>
          </w:tcPr>
          <w:p w14:paraId="56A91694"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Deaths from breast cancer registered in the calendar year, directly standardised by age group, females only, given as a rate per 100,000 CCG population.</w:t>
            </w:r>
          </w:p>
          <w:p w14:paraId="2FD42048" w14:textId="77777777" w:rsidR="00460B4E" w:rsidRPr="00936D28" w:rsidRDefault="00460B4E" w:rsidP="00460B4E">
            <w:pPr>
              <w:rPr>
                <w:rFonts w:asciiTheme="majorHAnsi" w:hAnsiTheme="majorHAnsi" w:cstheme="majorHAnsi"/>
                <w:sz w:val="22"/>
                <w:szCs w:val="22"/>
              </w:rPr>
            </w:pPr>
          </w:p>
        </w:tc>
      </w:tr>
    </w:tbl>
    <w:p w14:paraId="7B00A3A5" w14:textId="77777777" w:rsidR="00460B4E" w:rsidRPr="00936D28" w:rsidRDefault="00460B4E" w:rsidP="00460B4E">
      <w:pPr>
        <w:rPr>
          <w:rFonts w:asciiTheme="majorHAnsi" w:hAnsiTheme="majorHAnsi" w:cstheme="majorHAnsi"/>
          <w:sz w:val="22"/>
          <w:szCs w:val="22"/>
        </w:rPr>
      </w:pPr>
    </w:p>
    <w:tbl>
      <w:tblPr>
        <w:tblStyle w:val="TableGrid"/>
        <w:tblW w:w="9923" w:type="dxa"/>
        <w:tblLook w:val="01E0" w:firstRow="1" w:lastRow="1" w:firstColumn="1" w:lastColumn="1" w:noHBand="0" w:noVBand="0"/>
      </w:tblPr>
      <w:tblGrid>
        <w:gridCol w:w="2127"/>
        <w:gridCol w:w="1418"/>
        <w:gridCol w:w="1842"/>
        <w:gridCol w:w="4536"/>
      </w:tblGrid>
      <w:tr w:rsidR="00460B4E" w:rsidRPr="00936D28" w14:paraId="40491851" w14:textId="77777777" w:rsidTr="002F05F5">
        <w:trPr>
          <w:trHeight w:val="229"/>
        </w:trPr>
        <w:tc>
          <w:tcPr>
            <w:tcW w:w="2127" w:type="dxa"/>
          </w:tcPr>
          <w:p w14:paraId="6292F7E3"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 xml:space="preserve">Initial IGB discussion </w:t>
            </w:r>
          </w:p>
        </w:tc>
        <w:tc>
          <w:tcPr>
            <w:tcW w:w="1418" w:type="dxa"/>
          </w:tcPr>
          <w:p w14:paraId="3B3C9E8D"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22/07/14</w:t>
            </w:r>
          </w:p>
        </w:tc>
        <w:tc>
          <w:tcPr>
            <w:tcW w:w="1842" w:type="dxa"/>
          </w:tcPr>
          <w:p w14:paraId="1F9B4DF5" w14:textId="77777777" w:rsidR="00460B4E" w:rsidRPr="00936D28" w:rsidRDefault="00460B4E" w:rsidP="00460B4E">
            <w:pPr>
              <w:rPr>
                <w:rFonts w:asciiTheme="majorHAnsi" w:hAnsiTheme="majorHAnsi" w:cstheme="majorHAnsi"/>
                <w:b/>
                <w:sz w:val="22"/>
                <w:szCs w:val="22"/>
              </w:rPr>
            </w:pPr>
            <w:r w:rsidRPr="00936D28">
              <w:rPr>
                <w:rFonts w:asciiTheme="majorHAnsi" w:hAnsiTheme="majorHAnsi" w:cstheme="majorHAnsi"/>
                <w:sz w:val="22"/>
                <w:szCs w:val="22"/>
              </w:rPr>
              <w:t>Further discussed</w:t>
            </w:r>
          </w:p>
        </w:tc>
        <w:tc>
          <w:tcPr>
            <w:tcW w:w="4536" w:type="dxa"/>
          </w:tcPr>
          <w:p w14:paraId="240A7577" w14:textId="77777777" w:rsidR="00460B4E" w:rsidRPr="00936D28" w:rsidRDefault="00460B4E" w:rsidP="00460B4E">
            <w:pPr>
              <w:rPr>
                <w:rFonts w:asciiTheme="majorHAnsi" w:hAnsiTheme="majorHAnsi" w:cstheme="majorHAnsi"/>
                <w:b/>
                <w:sz w:val="22"/>
                <w:szCs w:val="22"/>
              </w:rPr>
            </w:pPr>
          </w:p>
        </w:tc>
      </w:tr>
    </w:tbl>
    <w:p w14:paraId="4F36BD35" w14:textId="616917C1" w:rsidR="00460B4E" w:rsidRPr="00936D28" w:rsidRDefault="004F07F3" w:rsidP="00460B4E">
      <w:pPr>
        <w:rPr>
          <w:rFonts w:asciiTheme="majorHAnsi" w:hAnsiTheme="majorHAnsi" w:cstheme="majorHAnsi"/>
          <w:sz w:val="22"/>
          <w:szCs w:val="22"/>
        </w:rPr>
      </w:pPr>
      <w:r w:rsidRPr="00936D28">
        <w:rPr>
          <w:rFonts w:asciiTheme="majorHAnsi" w:hAnsiTheme="majorHAnsi" w:cstheme="majorHAnsi"/>
          <w:b/>
          <w:sz w:val="22"/>
          <w:szCs w:val="22"/>
        </w:rPr>
        <w:t>Strategic Considerations &amp; Implications</w:t>
      </w:r>
    </w:p>
    <w:tbl>
      <w:tblPr>
        <w:tblStyle w:val="TableGrid"/>
        <w:tblW w:w="9923" w:type="dxa"/>
        <w:tblLayout w:type="fixed"/>
        <w:tblLook w:val="01E0" w:firstRow="1" w:lastRow="1" w:firstColumn="1" w:lastColumn="1" w:noHBand="0" w:noVBand="0"/>
      </w:tblPr>
      <w:tblGrid>
        <w:gridCol w:w="2119"/>
        <w:gridCol w:w="4402"/>
        <w:gridCol w:w="1696"/>
        <w:gridCol w:w="1423"/>
        <w:gridCol w:w="283"/>
      </w:tblGrid>
      <w:tr w:rsidR="004F07F3" w:rsidRPr="00936D28" w14:paraId="47EEE3B0" w14:textId="77777777" w:rsidTr="000D2587">
        <w:trPr>
          <w:trHeight w:val="1661"/>
        </w:trPr>
        <w:tc>
          <w:tcPr>
            <w:tcW w:w="2119" w:type="dxa"/>
          </w:tcPr>
          <w:p w14:paraId="14811B6D" w14:textId="77777777" w:rsidR="004F07F3" w:rsidRPr="00936D28" w:rsidRDefault="004F07F3" w:rsidP="00460B4E">
            <w:pPr>
              <w:rPr>
                <w:rFonts w:asciiTheme="majorHAnsi" w:hAnsiTheme="majorHAnsi" w:cstheme="majorHAnsi"/>
                <w:sz w:val="22"/>
                <w:szCs w:val="22"/>
              </w:rPr>
            </w:pPr>
            <w:r w:rsidRPr="00936D28">
              <w:rPr>
                <w:rFonts w:asciiTheme="majorHAnsi" w:hAnsiTheme="majorHAnsi" w:cstheme="majorHAnsi"/>
                <w:sz w:val="22"/>
                <w:szCs w:val="22"/>
              </w:rPr>
              <w:t>Applicant / Sponsor Organisation</w:t>
            </w:r>
          </w:p>
        </w:tc>
        <w:tc>
          <w:tcPr>
            <w:tcW w:w="4402" w:type="dxa"/>
          </w:tcPr>
          <w:p w14:paraId="3805EB55" w14:textId="77777777" w:rsidR="004F07F3" w:rsidRPr="00936D28" w:rsidRDefault="004F07F3" w:rsidP="00460B4E">
            <w:pPr>
              <w:rPr>
                <w:rFonts w:asciiTheme="majorHAnsi" w:hAnsiTheme="majorHAnsi" w:cstheme="majorHAnsi"/>
                <w:sz w:val="22"/>
                <w:szCs w:val="22"/>
              </w:rPr>
            </w:pPr>
            <w:r w:rsidRPr="00936D28">
              <w:rPr>
                <w:rFonts w:asciiTheme="majorHAnsi" w:hAnsiTheme="majorHAnsi" w:cstheme="majorHAnsi"/>
                <w:sz w:val="22"/>
                <w:szCs w:val="22"/>
              </w:rPr>
              <w:t>NHS England</w:t>
            </w:r>
          </w:p>
          <w:p w14:paraId="5621E156" w14:textId="77777777" w:rsidR="004F07F3" w:rsidRPr="00936D28" w:rsidRDefault="004F07F3" w:rsidP="00460B4E">
            <w:pPr>
              <w:rPr>
                <w:rFonts w:asciiTheme="majorHAnsi" w:hAnsiTheme="majorHAnsi" w:cstheme="majorHAnsi"/>
                <w:sz w:val="22"/>
                <w:szCs w:val="22"/>
              </w:rPr>
            </w:pPr>
            <w:r w:rsidRPr="00936D28">
              <w:rPr>
                <w:rFonts w:asciiTheme="majorHAnsi" w:hAnsiTheme="majorHAnsi" w:cstheme="majorHAnsi"/>
                <w:sz w:val="22"/>
                <w:szCs w:val="22"/>
              </w:rPr>
              <w:t>*Costing for assurance appraisal included in development cost</w:t>
            </w:r>
          </w:p>
        </w:tc>
        <w:tc>
          <w:tcPr>
            <w:tcW w:w="1696" w:type="dxa"/>
          </w:tcPr>
          <w:p w14:paraId="6CCE88B1" w14:textId="77777777" w:rsidR="004F07F3" w:rsidRPr="00936D28" w:rsidRDefault="004F07F3" w:rsidP="00460B4E">
            <w:pPr>
              <w:rPr>
                <w:rFonts w:asciiTheme="majorHAnsi" w:hAnsiTheme="majorHAnsi" w:cstheme="majorHAnsi"/>
                <w:sz w:val="22"/>
                <w:szCs w:val="22"/>
              </w:rPr>
            </w:pPr>
            <w:r w:rsidRPr="00936D28">
              <w:rPr>
                <w:rFonts w:asciiTheme="majorHAnsi" w:hAnsiTheme="majorHAnsi" w:cstheme="majorHAnsi"/>
                <w:sz w:val="22"/>
                <w:szCs w:val="22"/>
              </w:rPr>
              <w:t>Assurance process funded?</w:t>
            </w:r>
          </w:p>
        </w:tc>
        <w:tc>
          <w:tcPr>
            <w:tcW w:w="1423" w:type="dxa"/>
          </w:tcPr>
          <w:p w14:paraId="78C42F1C" w14:textId="77777777" w:rsidR="004F07F3" w:rsidRPr="00936D28" w:rsidRDefault="004F07F3" w:rsidP="00460B4E">
            <w:pPr>
              <w:rPr>
                <w:rFonts w:asciiTheme="majorHAnsi" w:hAnsiTheme="majorHAnsi" w:cstheme="majorHAnsi"/>
                <w:b/>
                <w:sz w:val="22"/>
                <w:szCs w:val="22"/>
              </w:rPr>
            </w:pPr>
            <w:r w:rsidRPr="00936D28">
              <w:rPr>
                <w:rFonts w:asciiTheme="majorHAnsi" w:hAnsiTheme="majorHAnsi" w:cstheme="majorHAnsi"/>
                <w:b/>
                <w:sz w:val="22"/>
                <w:szCs w:val="22"/>
              </w:rPr>
              <w:t>Yes*</w:t>
            </w:r>
          </w:p>
          <w:sdt>
            <w:sdtPr>
              <w:rPr>
                <w:rFonts w:asciiTheme="majorHAnsi" w:hAnsiTheme="majorHAnsi" w:cstheme="majorHAnsi"/>
                <w:sz w:val="22"/>
                <w:szCs w:val="22"/>
              </w:rPr>
              <w:id w:val="914590272"/>
              <w14:checkbox>
                <w14:checked w14:val="1"/>
                <w14:checkedState w14:val="2612" w14:font="MS Gothic"/>
                <w14:uncheckedState w14:val="2610" w14:font="MS Gothic"/>
              </w14:checkbox>
            </w:sdtPr>
            <w:sdtContent>
              <w:p w14:paraId="4F722CC0" w14:textId="77777777" w:rsidR="004F07F3" w:rsidRPr="00936D28" w:rsidRDefault="004F07F3" w:rsidP="00460B4E">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sdtContent>
          </w:sdt>
          <w:p w14:paraId="6A2B9D63" w14:textId="77777777" w:rsidR="004F07F3" w:rsidRPr="00936D28" w:rsidRDefault="004F07F3" w:rsidP="00460B4E">
            <w:pPr>
              <w:rPr>
                <w:rFonts w:asciiTheme="majorHAnsi" w:hAnsiTheme="majorHAnsi" w:cstheme="majorHAnsi"/>
                <w:b/>
                <w:sz w:val="22"/>
                <w:szCs w:val="22"/>
              </w:rPr>
            </w:pPr>
            <w:r w:rsidRPr="00936D28">
              <w:rPr>
                <w:rFonts w:asciiTheme="majorHAnsi" w:hAnsiTheme="majorHAnsi" w:cstheme="majorHAnsi"/>
                <w:b/>
                <w:sz w:val="22"/>
                <w:szCs w:val="22"/>
              </w:rPr>
              <w:t>No</w:t>
            </w:r>
          </w:p>
          <w:sdt>
            <w:sdtPr>
              <w:rPr>
                <w:rFonts w:asciiTheme="majorHAnsi" w:hAnsiTheme="majorHAnsi" w:cstheme="majorHAnsi"/>
                <w:sz w:val="22"/>
                <w:szCs w:val="22"/>
              </w:rPr>
              <w:id w:val="146785280"/>
              <w14:checkbox>
                <w14:checked w14:val="0"/>
                <w14:checkedState w14:val="2612" w14:font="MS Gothic"/>
                <w14:uncheckedState w14:val="2610" w14:font="MS Gothic"/>
              </w14:checkbox>
            </w:sdtPr>
            <w:sdtContent>
              <w:p w14:paraId="3261911E" w14:textId="2641BE6D" w:rsidR="004F07F3" w:rsidRPr="00936D28" w:rsidRDefault="004F07F3" w:rsidP="00460B4E">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sdtContent>
          </w:sdt>
        </w:tc>
        <w:tc>
          <w:tcPr>
            <w:tcW w:w="283" w:type="dxa"/>
          </w:tcPr>
          <w:p w14:paraId="6408FD6B" w14:textId="77777777" w:rsidR="004F07F3" w:rsidRPr="00936D28" w:rsidRDefault="004F07F3" w:rsidP="00460B4E">
            <w:pPr>
              <w:rPr>
                <w:rFonts w:asciiTheme="majorHAnsi" w:hAnsiTheme="majorHAnsi" w:cstheme="majorHAnsi"/>
                <w:sz w:val="22"/>
                <w:szCs w:val="22"/>
              </w:rPr>
            </w:pPr>
          </w:p>
        </w:tc>
      </w:tr>
    </w:tbl>
    <w:p w14:paraId="17C13962" w14:textId="77777777" w:rsidR="004F07F3" w:rsidRDefault="004F07F3"/>
    <w:tbl>
      <w:tblPr>
        <w:tblStyle w:val="TableGrid"/>
        <w:tblW w:w="9923" w:type="dxa"/>
        <w:tblLayout w:type="fixed"/>
        <w:tblLook w:val="01E0" w:firstRow="1" w:lastRow="1" w:firstColumn="1" w:lastColumn="1" w:noHBand="0" w:noVBand="0"/>
      </w:tblPr>
      <w:tblGrid>
        <w:gridCol w:w="2119"/>
        <w:gridCol w:w="7804"/>
      </w:tblGrid>
      <w:tr w:rsidR="004F07F3" w:rsidRPr="00936D28" w14:paraId="685EB4CA" w14:textId="77777777" w:rsidTr="002F05F5">
        <w:tc>
          <w:tcPr>
            <w:tcW w:w="2119" w:type="dxa"/>
          </w:tcPr>
          <w:p w14:paraId="462320D1" w14:textId="2D116575" w:rsidR="004F07F3" w:rsidRPr="00936D28" w:rsidRDefault="004F07F3" w:rsidP="00460B4E">
            <w:pPr>
              <w:rPr>
                <w:rFonts w:asciiTheme="majorHAnsi" w:hAnsiTheme="majorHAnsi" w:cstheme="majorHAnsi"/>
                <w:sz w:val="22"/>
                <w:szCs w:val="22"/>
              </w:rPr>
            </w:pPr>
            <w:r w:rsidRPr="00936D28">
              <w:rPr>
                <w:rFonts w:asciiTheme="majorHAnsi" w:hAnsiTheme="majorHAnsi" w:cstheme="majorHAnsi"/>
                <w:sz w:val="22"/>
                <w:szCs w:val="22"/>
              </w:rPr>
              <w:t>Indicator rationale</w:t>
            </w:r>
          </w:p>
        </w:tc>
        <w:tc>
          <w:tcPr>
            <w:tcW w:w="7804" w:type="dxa"/>
          </w:tcPr>
          <w:p w14:paraId="4E8C743F" w14:textId="77777777" w:rsidR="004F07F3" w:rsidRPr="00936D28" w:rsidRDefault="004F07F3" w:rsidP="004F07F3">
            <w:pPr>
              <w:spacing w:after="120"/>
              <w:rPr>
                <w:rFonts w:asciiTheme="majorHAnsi" w:hAnsiTheme="majorHAnsi" w:cstheme="majorHAnsi"/>
                <w:sz w:val="22"/>
                <w:szCs w:val="22"/>
              </w:rPr>
            </w:pPr>
            <w:r w:rsidRPr="00936D28">
              <w:rPr>
                <w:rFonts w:asciiTheme="majorHAnsi" w:hAnsiTheme="majorHAnsi" w:cstheme="majorHAnsi"/>
                <w:sz w:val="22"/>
                <w:szCs w:val="22"/>
              </w:rPr>
              <w:t>Breast cancer is the most common cancer in women in England (and also affects a very small number of men).  New cases diagnosed in women each year have increased from under 30,000 in 1993 to more than 41,000 in 2010.  During the same period, the number of deaths from breast cancer in women has fallen from 12,500 to just over 9,600.</w:t>
            </w:r>
          </w:p>
          <w:p w14:paraId="7D547F95" w14:textId="77777777" w:rsidR="004F07F3" w:rsidRPr="00936D28" w:rsidRDefault="004F07F3" w:rsidP="004F07F3">
            <w:pPr>
              <w:spacing w:after="120"/>
              <w:rPr>
                <w:rFonts w:asciiTheme="majorHAnsi" w:hAnsiTheme="majorHAnsi" w:cstheme="majorHAnsi"/>
                <w:sz w:val="22"/>
                <w:szCs w:val="22"/>
              </w:rPr>
            </w:pPr>
            <w:r w:rsidRPr="00936D28">
              <w:rPr>
                <w:rFonts w:asciiTheme="majorHAnsi" w:hAnsiTheme="majorHAnsi" w:cstheme="majorHAnsi"/>
                <w:sz w:val="22"/>
                <w:szCs w:val="22"/>
              </w:rPr>
              <w:t>There is a trend of increasing incidence because of lifestyle factors and improved detection, and decreasing mortality because of earlier detection and improvements in the quality and availability of effective treatments.</w:t>
            </w:r>
          </w:p>
          <w:p w14:paraId="4CAEC8EB" w14:textId="2DAF6A25" w:rsidR="004F07F3" w:rsidRPr="00936D28" w:rsidRDefault="004F07F3" w:rsidP="004F07F3">
            <w:pPr>
              <w:spacing w:after="120"/>
              <w:rPr>
                <w:rFonts w:asciiTheme="majorHAnsi" w:hAnsiTheme="majorHAnsi" w:cstheme="majorHAnsi"/>
                <w:sz w:val="22"/>
                <w:szCs w:val="22"/>
              </w:rPr>
            </w:pPr>
            <w:r w:rsidRPr="00936D28">
              <w:rPr>
                <w:rFonts w:asciiTheme="majorHAnsi" w:hAnsiTheme="majorHAnsi" w:cstheme="majorHAnsi"/>
                <w:sz w:val="22"/>
                <w:szCs w:val="22"/>
              </w:rPr>
              <w:t>CCGs could impact on breast cancer mortality in a number of ways.  They could encourage women to attend breast screening when invited and commissioning appropriate treatment services, etc.  However, it could be several years before any effect is noticed, particularly given the existing general downward trend in breast cancer mortality.</w:t>
            </w:r>
          </w:p>
        </w:tc>
      </w:tr>
      <w:tr w:rsidR="00460B4E" w:rsidRPr="00936D28" w14:paraId="11F05891" w14:textId="77777777" w:rsidTr="002F05F5">
        <w:tc>
          <w:tcPr>
            <w:tcW w:w="2119" w:type="dxa"/>
          </w:tcPr>
          <w:p w14:paraId="4967CDA6"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 xml:space="preserve">Basis for rationale </w:t>
            </w:r>
          </w:p>
          <w:p w14:paraId="2E492D3A"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[Details of quality statement, policy etc.]</w:t>
            </w:r>
            <w:r w:rsidRPr="00936D28">
              <w:rPr>
                <w:rFonts w:asciiTheme="majorHAnsi" w:hAnsiTheme="majorHAnsi" w:cstheme="majorHAnsi"/>
                <w:i/>
                <w:sz w:val="22"/>
                <w:szCs w:val="22"/>
              </w:rPr>
              <w:t xml:space="preserve"> </w:t>
            </w:r>
          </w:p>
        </w:tc>
        <w:tc>
          <w:tcPr>
            <w:tcW w:w="7804" w:type="dxa"/>
          </w:tcPr>
          <w:p w14:paraId="4858CE54" w14:textId="77777777" w:rsidR="00460B4E" w:rsidRPr="00936D28" w:rsidRDefault="00460B4E" w:rsidP="00460B4E">
            <w:pPr>
              <w:spacing w:after="120"/>
              <w:rPr>
                <w:rFonts w:asciiTheme="majorHAnsi" w:hAnsiTheme="majorHAnsi" w:cstheme="majorHAnsi"/>
                <w:sz w:val="22"/>
                <w:szCs w:val="22"/>
              </w:rPr>
            </w:pPr>
            <w:r w:rsidRPr="00936D28">
              <w:rPr>
                <w:rFonts w:asciiTheme="majorHAnsi" w:hAnsiTheme="majorHAnsi" w:cstheme="majorHAnsi"/>
                <w:sz w:val="22"/>
                <w:szCs w:val="22"/>
              </w:rPr>
              <w:t>This indicator is based on NICE Quality Standard 12 (Breast Cancer), linked to Clinical Guidelines 80 and 81.</w:t>
            </w:r>
          </w:p>
        </w:tc>
      </w:tr>
      <w:tr w:rsidR="00460B4E" w:rsidRPr="00936D28" w14:paraId="53C3C365" w14:textId="77777777" w:rsidTr="002F05F5">
        <w:tc>
          <w:tcPr>
            <w:tcW w:w="2119" w:type="dxa"/>
          </w:tcPr>
          <w:p w14:paraId="4C82634E"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lastRenderedPageBreak/>
              <w:t>Calculation Summary</w:t>
            </w:r>
          </w:p>
        </w:tc>
        <w:tc>
          <w:tcPr>
            <w:tcW w:w="7804" w:type="dxa"/>
          </w:tcPr>
          <w:p w14:paraId="41287CC1" w14:textId="7B1A1D60"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 xml:space="preserve">Calculation type: 3 year rolling indicator, </w:t>
            </w:r>
            <w:r w:rsidR="00936D28" w:rsidRPr="00936D28">
              <w:rPr>
                <w:rFonts w:asciiTheme="majorHAnsi" w:hAnsiTheme="majorHAnsi" w:cstheme="majorHAnsi"/>
                <w:sz w:val="22"/>
                <w:szCs w:val="22"/>
              </w:rPr>
              <w:t>directly</w:t>
            </w:r>
            <w:r w:rsidRPr="00936D28">
              <w:rPr>
                <w:rFonts w:asciiTheme="majorHAnsi" w:hAnsiTheme="majorHAnsi" w:cstheme="majorHAnsi"/>
                <w:sz w:val="22"/>
                <w:szCs w:val="22"/>
              </w:rPr>
              <w:t xml:space="preserve"> age standardisation, standardised using 5 year age bands.</w:t>
            </w:r>
          </w:p>
          <w:p w14:paraId="4946D4A6" w14:textId="77777777" w:rsidR="00460B4E" w:rsidRPr="00936D28" w:rsidRDefault="00460B4E" w:rsidP="00460B4E">
            <w:pPr>
              <w:rPr>
                <w:rFonts w:asciiTheme="majorHAnsi" w:hAnsiTheme="majorHAnsi" w:cstheme="majorHAnsi"/>
                <w:sz w:val="22"/>
                <w:szCs w:val="22"/>
              </w:rPr>
            </w:pPr>
          </w:p>
          <w:p w14:paraId="3D58CAA8" w14:textId="77777777" w:rsidR="00460B4E" w:rsidRPr="00936D28" w:rsidRDefault="00460B4E" w:rsidP="00460B4E">
            <w:pPr>
              <w:rPr>
                <w:rFonts w:asciiTheme="majorHAnsi" w:hAnsiTheme="majorHAnsi" w:cstheme="majorHAnsi"/>
                <w:b/>
                <w:i/>
                <w:sz w:val="22"/>
                <w:szCs w:val="22"/>
              </w:rPr>
            </w:pPr>
            <w:r w:rsidRPr="00936D28">
              <w:rPr>
                <w:rFonts w:asciiTheme="majorHAnsi" w:hAnsiTheme="majorHAnsi" w:cstheme="majorHAnsi"/>
                <w:b/>
                <w:i/>
                <w:sz w:val="22"/>
                <w:szCs w:val="22"/>
              </w:rPr>
              <w:t>Denominator:</w:t>
            </w:r>
          </w:p>
          <w:p w14:paraId="12636D85"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CCG level count of females registered with the constituent GP Practices provided by NHAIS (Exeter) Systems.</w:t>
            </w:r>
          </w:p>
          <w:p w14:paraId="0B6D3CAB" w14:textId="77777777" w:rsidR="00460B4E" w:rsidRPr="00936D28" w:rsidRDefault="00460B4E" w:rsidP="00460B4E">
            <w:pPr>
              <w:rPr>
                <w:rFonts w:asciiTheme="majorHAnsi" w:hAnsiTheme="majorHAnsi" w:cstheme="majorHAnsi"/>
                <w:sz w:val="22"/>
                <w:szCs w:val="22"/>
              </w:rPr>
            </w:pPr>
          </w:p>
          <w:p w14:paraId="78BD2C2F" w14:textId="77777777" w:rsidR="00460B4E" w:rsidRPr="00936D28" w:rsidRDefault="00460B4E" w:rsidP="00460B4E">
            <w:pPr>
              <w:rPr>
                <w:rFonts w:asciiTheme="majorHAnsi" w:hAnsiTheme="majorHAnsi" w:cstheme="majorHAnsi"/>
                <w:b/>
                <w:i/>
                <w:sz w:val="22"/>
                <w:szCs w:val="22"/>
              </w:rPr>
            </w:pPr>
            <w:r w:rsidRPr="00936D28">
              <w:rPr>
                <w:rFonts w:asciiTheme="majorHAnsi" w:hAnsiTheme="majorHAnsi" w:cstheme="majorHAnsi"/>
                <w:b/>
                <w:i/>
                <w:sz w:val="22"/>
                <w:szCs w:val="22"/>
              </w:rPr>
              <w:t>Numerator:</w:t>
            </w:r>
          </w:p>
          <w:p w14:paraId="0C54EC88"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The number of deaths of females from breast cancer (ICD-10: C50), classified by the underlying cause of death registered in the respective calendar years.</w:t>
            </w:r>
          </w:p>
          <w:p w14:paraId="3102CEC9" w14:textId="77777777" w:rsidR="00460B4E" w:rsidRPr="00936D28" w:rsidRDefault="00460B4E" w:rsidP="00460B4E">
            <w:pPr>
              <w:rPr>
                <w:rFonts w:asciiTheme="majorHAnsi" w:hAnsiTheme="majorHAnsi" w:cstheme="majorHAnsi"/>
                <w:sz w:val="22"/>
                <w:szCs w:val="22"/>
              </w:rPr>
            </w:pPr>
          </w:p>
        </w:tc>
      </w:tr>
      <w:tr w:rsidR="00460B4E" w:rsidRPr="00936D28" w14:paraId="2AEA241A" w14:textId="77777777" w:rsidTr="002F05F5">
        <w:tc>
          <w:tcPr>
            <w:tcW w:w="2119" w:type="dxa"/>
          </w:tcPr>
          <w:p w14:paraId="182BD362"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Risks &amp; assumptions</w:t>
            </w:r>
          </w:p>
        </w:tc>
        <w:tc>
          <w:tcPr>
            <w:tcW w:w="7804" w:type="dxa"/>
          </w:tcPr>
          <w:p w14:paraId="64591A56" w14:textId="77777777" w:rsidR="00460B4E" w:rsidRPr="00936D28" w:rsidRDefault="00460B4E" w:rsidP="00936D28">
            <w:pPr>
              <w:pStyle w:val="ListParagraph"/>
              <w:numPr>
                <w:ilvl w:val="0"/>
                <w:numId w:val="21"/>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The registered population is derived from practice populations.  All current practices in England are part of a CCG.  It is acknowledged that the registered population may be an overestimate of the true population.  The registered population is larger than the postcode-based resident population; it is 6.6% larger throughout England, based on 2010 population estimates.  .</w:t>
            </w:r>
          </w:p>
          <w:p w14:paraId="495436E0" w14:textId="77777777" w:rsidR="00460B4E" w:rsidRPr="00936D28" w:rsidRDefault="00460B4E" w:rsidP="00936D28">
            <w:pPr>
              <w:pStyle w:val="ListParagraph"/>
              <w:numPr>
                <w:ilvl w:val="0"/>
                <w:numId w:val="21"/>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To remain in line with the Office of National Statistics, male breast cancer deaths are not included in the indicator.</w:t>
            </w:r>
          </w:p>
          <w:p w14:paraId="3EC9FCDA" w14:textId="77777777" w:rsidR="00460B4E" w:rsidRPr="00936D28" w:rsidRDefault="00460B4E" w:rsidP="00936D28">
            <w:pPr>
              <w:pStyle w:val="ListParagraph"/>
              <w:numPr>
                <w:ilvl w:val="0"/>
                <w:numId w:val="21"/>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The data used is based on the original cause of death recorded on the death certificate rather than any final amended causes.</w:t>
            </w:r>
          </w:p>
          <w:p w14:paraId="65F609FD" w14:textId="77777777" w:rsidR="00460B4E" w:rsidRPr="00936D28" w:rsidRDefault="00460B4E" w:rsidP="00460B4E">
            <w:pPr>
              <w:rPr>
                <w:rFonts w:asciiTheme="majorHAnsi" w:hAnsiTheme="majorHAnsi" w:cstheme="majorHAnsi"/>
                <w:sz w:val="22"/>
                <w:szCs w:val="22"/>
              </w:rPr>
            </w:pPr>
          </w:p>
        </w:tc>
      </w:tr>
      <w:tr w:rsidR="004F07F3" w:rsidRPr="00936D28" w14:paraId="15B3DF5A" w14:textId="77777777" w:rsidTr="000D2587">
        <w:trPr>
          <w:trHeight w:val="5603"/>
        </w:trPr>
        <w:tc>
          <w:tcPr>
            <w:tcW w:w="2119" w:type="dxa"/>
          </w:tcPr>
          <w:p w14:paraId="7377B037" w14:textId="77777777" w:rsidR="004F07F3" w:rsidRPr="00936D28" w:rsidRDefault="004F07F3" w:rsidP="00460B4E">
            <w:pPr>
              <w:rPr>
                <w:rFonts w:asciiTheme="majorHAnsi" w:hAnsiTheme="majorHAnsi" w:cstheme="majorHAnsi"/>
                <w:sz w:val="22"/>
                <w:szCs w:val="22"/>
              </w:rPr>
            </w:pPr>
            <w:r w:rsidRPr="00936D28">
              <w:rPr>
                <w:rFonts w:asciiTheme="majorHAnsi" w:hAnsiTheme="majorHAnsi" w:cstheme="majorHAnsi"/>
                <w:sz w:val="22"/>
                <w:szCs w:val="22"/>
              </w:rPr>
              <w:t xml:space="preserve">IG </w:t>
            </w:r>
            <w:proofErr w:type="gramStart"/>
            <w:r w:rsidRPr="00936D28">
              <w:rPr>
                <w:rFonts w:asciiTheme="majorHAnsi" w:hAnsiTheme="majorHAnsi" w:cstheme="majorHAnsi"/>
                <w:sz w:val="22"/>
                <w:szCs w:val="22"/>
              </w:rPr>
              <w:t>Considerations  [</w:t>
            </w:r>
            <w:proofErr w:type="gramEnd"/>
            <w:r w:rsidRPr="00936D28">
              <w:rPr>
                <w:rFonts w:asciiTheme="majorHAnsi" w:hAnsiTheme="majorHAnsi" w:cstheme="majorHAnsi"/>
                <w:sz w:val="22"/>
                <w:szCs w:val="22"/>
              </w:rPr>
              <w:t>e.g. release of under-lying data, intermediaries access to data, data ownership impact on production]</w:t>
            </w:r>
          </w:p>
        </w:tc>
        <w:tc>
          <w:tcPr>
            <w:tcW w:w="7804" w:type="dxa"/>
          </w:tcPr>
          <w:p w14:paraId="51B025B7" w14:textId="77777777" w:rsidR="004F07F3" w:rsidRPr="00936D28" w:rsidRDefault="004F07F3" w:rsidP="00460B4E">
            <w:pPr>
              <w:rPr>
                <w:rFonts w:asciiTheme="majorHAnsi" w:hAnsiTheme="majorHAnsi" w:cstheme="majorHAnsi"/>
                <w:i/>
                <w:sz w:val="22"/>
                <w:szCs w:val="22"/>
              </w:rPr>
            </w:pPr>
            <w:r w:rsidRPr="00936D28">
              <w:rPr>
                <w:rFonts w:asciiTheme="majorHAnsi" w:hAnsiTheme="majorHAnsi" w:cstheme="majorHAnsi"/>
                <w:i/>
                <w:sz w:val="22"/>
                <w:szCs w:val="22"/>
              </w:rPr>
              <w:t xml:space="preserve">Data Source(s):  </w:t>
            </w:r>
          </w:p>
          <w:p w14:paraId="6DA3C182" w14:textId="77777777" w:rsidR="004F07F3" w:rsidRPr="00936D28" w:rsidRDefault="004F07F3" w:rsidP="00460B4E">
            <w:pPr>
              <w:rPr>
                <w:rFonts w:asciiTheme="majorHAnsi" w:hAnsiTheme="majorHAnsi" w:cstheme="majorHAnsi"/>
                <w:i/>
                <w:sz w:val="22"/>
                <w:szCs w:val="22"/>
              </w:rPr>
            </w:pPr>
            <w:r w:rsidRPr="00936D28">
              <w:rPr>
                <w:rFonts w:asciiTheme="majorHAnsi" w:hAnsiTheme="majorHAnsi" w:cstheme="majorHAnsi"/>
                <w:i/>
                <w:sz w:val="22"/>
                <w:szCs w:val="22"/>
              </w:rPr>
              <w:t xml:space="preserve">Denominator: </w:t>
            </w:r>
          </w:p>
          <w:p w14:paraId="3E4384DF" w14:textId="77777777" w:rsidR="004F07F3" w:rsidRPr="00936D28" w:rsidRDefault="004F07F3" w:rsidP="00936D28">
            <w:pPr>
              <w:pStyle w:val="ListParagraph"/>
              <w:numPr>
                <w:ilvl w:val="0"/>
                <w:numId w:val="2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National Health Application &amp; Infrastructure Services (NHAIS, commonly known as the Exeter System) for the CCG populations.</w:t>
            </w:r>
          </w:p>
          <w:p w14:paraId="3F4D4789" w14:textId="77777777" w:rsidR="004F07F3" w:rsidRPr="00936D28" w:rsidRDefault="004F07F3" w:rsidP="00936D28">
            <w:pPr>
              <w:pStyle w:val="ListParagraph"/>
              <w:numPr>
                <w:ilvl w:val="0"/>
                <w:numId w:val="22"/>
              </w:numPr>
              <w:spacing w:after="0"/>
              <w:contextualSpacing/>
              <w:textboxTightWrap w:val="none"/>
              <w:rPr>
                <w:rFonts w:asciiTheme="majorHAnsi" w:hAnsiTheme="majorHAnsi" w:cstheme="majorHAnsi"/>
                <w:i/>
                <w:sz w:val="22"/>
                <w:szCs w:val="22"/>
              </w:rPr>
            </w:pPr>
            <w:r w:rsidRPr="00936D28">
              <w:rPr>
                <w:rFonts w:asciiTheme="majorHAnsi" w:hAnsiTheme="majorHAnsi" w:cstheme="majorHAnsi"/>
                <w:i/>
                <w:sz w:val="22"/>
                <w:szCs w:val="22"/>
              </w:rPr>
              <w:t>Also: ONS mid-year population estimates (for England ‘standard’ population).</w:t>
            </w:r>
          </w:p>
          <w:p w14:paraId="12BE3B86" w14:textId="77777777" w:rsidR="004F07F3" w:rsidRPr="00936D28" w:rsidRDefault="004F07F3" w:rsidP="00460B4E">
            <w:pPr>
              <w:rPr>
                <w:rFonts w:asciiTheme="majorHAnsi" w:hAnsiTheme="majorHAnsi" w:cstheme="majorHAnsi"/>
                <w:i/>
                <w:sz w:val="22"/>
                <w:szCs w:val="22"/>
              </w:rPr>
            </w:pPr>
          </w:p>
          <w:p w14:paraId="26FE349C" w14:textId="77777777" w:rsidR="004F07F3" w:rsidRPr="00936D28" w:rsidRDefault="004F07F3" w:rsidP="00460B4E">
            <w:pPr>
              <w:rPr>
                <w:rFonts w:asciiTheme="majorHAnsi" w:hAnsiTheme="majorHAnsi" w:cstheme="majorHAnsi"/>
                <w:i/>
                <w:sz w:val="22"/>
                <w:szCs w:val="22"/>
              </w:rPr>
            </w:pPr>
            <w:r w:rsidRPr="00936D28">
              <w:rPr>
                <w:rFonts w:asciiTheme="majorHAnsi" w:hAnsiTheme="majorHAnsi" w:cstheme="majorHAnsi"/>
                <w:i/>
                <w:sz w:val="22"/>
                <w:szCs w:val="22"/>
              </w:rPr>
              <w:t>Numerator:</w:t>
            </w:r>
          </w:p>
          <w:p w14:paraId="01350F9B" w14:textId="77777777" w:rsidR="004F07F3" w:rsidRPr="00936D28" w:rsidRDefault="004F07F3" w:rsidP="00936D28">
            <w:pPr>
              <w:pStyle w:val="ListParagraph"/>
              <w:numPr>
                <w:ilvl w:val="0"/>
                <w:numId w:val="2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Primary Care Mortality Database (PCMD) from HSCIC:</w:t>
            </w:r>
          </w:p>
          <w:p w14:paraId="6BA452FF" w14:textId="77777777" w:rsidR="004F07F3" w:rsidRPr="00936D28" w:rsidRDefault="004F07F3" w:rsidP="00460B4E">
            <w:pPr>
              <w:ind w:left="720"/>
              <w:rPr>
                <w:rFonts w:asciiTheme="majorHAnsi" w:hAnsiTheme="majorHAnsi" w:cstheme="majorHAnsi"/>
                <w:i/>
                <w:sz w:val="22"/>
                <w:szCs w:val="22"/>
              </w:rPr>
            </w:pPr>
            <w:r w:rsidRPr="00936D28">
              <w:rPr>
                <w:rFonts w:asciiTheme="majorHAnsi" w:hAnsiTheme="majorHAnsi" w:cstheme="majorHAnsi"/>
                <w:i/>
                <w:sz w:val="22"/>
                <w:szCs w:val="22"/>
              </w:rPr>
              <w:t>The numerator is derived from data in the ONS mortality database, which does not contain the GP practice code required to report these data at CCG level.  The PCMD contains the ONS mortality data with the addition of the GP practice code.</w:t>
            </w:r>
          </w:p>
          <w:p w14:paraId="7EC0C68A" w14:textId="77777777" w:rsidR="004F07F3" w:rsidRPr="00936D28" w:rsidRDefault="004F07F3" w:rsidP="00936D28">
            <w:pPr>
              <w:pStyle w:val="ListParagraph"/>
              <w:numPr>
                <w:ilvl w:val="0"/>
                <w:numId w:val="21"/>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Discussions between the HSCIC, ONS and General Register Office (GRO) are on-going around PCMD access and it needs to be made sure that the appropriate legal gateway is used for the indicator.</w:t>
            </w:r>
          </w:p>
          <w:p w14:paraId="1A10E87E" w14:textId="77777777" w:rsidR="004F07F3" w:rsidRPr="00936D28" w:rsidRDefault="004F07F3" w:rsidP="00460B4E">
            <w:pPr>
              <w:rPr>
                <w:rFonts w:asciiTheme="majorHAnsi" w:hAnsiTheme="majorHAnsi" w:cstheme="majorHAnsi"/>
                <w:sz w:val="22"/>
                <w:szCs w:val="22"/>
              </w:rPr>
            </w:pPr>
          </w:p>
        </w:tc>
      </w:tr>
      <w:tr w:rsidR="00460B4E" w:rsidRPr="00936D28" w14:paraId="26BE81B7" w14:textId="77777777" w:rsidTr="002F05F5">
        <w:tc>
          <w:tcPr>
            <w:tcW w:w="2119" w:type="dxa"/>
          </w:tcPr>
          <w:p w14:paraId="180A1AB6"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lastRenderedPageBreak/>
              <w:t>Potential impacts on other business areas [inc outstanding generic issues]</w:t>
            </w:r>
          </w:p>
        </w:tc>
        <w:tc>
          <w:tcPr>
            <w:tcW w:w="7804" w:type="dxa"/>
          </w:tcPr>
          <w:p w14:paraId="56AF87B1" w14:textId="77777777" w:rsidR="00460B4E" w:rsidRPr="00936D28" w:rsidRDefault="00460B4E" w:rsidP="00460B4E">
            <w:pPr>
              <w:contextualSpacing/>
              <w:rPr>
                <w:rFonts w:asciiTheme="majorHAnsi" w:hAnsiTheme="majorHAnsi" w:cstheme="majorHAnsi"/>
                <w:sz w:val="22"/>
                <w:szCs w:val="22"/>
              </w:rPr>
            </w:pPr>
            <w:r w:rsidRPr="00936D28">
              <w:rPr>
                <w:rFonts w:asciiTheme="majorHAnsi" w:hAnsiTheme="majorHAnsi" w:cstheme="majorHAnsi"/>
                <w:sz w:val="22"/>
                <w:szCs w:val="22"/>
              </w:rPr>
              <w:t>There are a number of indicators relating to Breast Cancer reported on the HSCIC Indicators Portal (Compendium of Population Health Indicators), including:</w:t>
            </w:r>
          </w:p>
          <w:p w14:paraId="26F56765" w14:textId="77777777" w:rsidR="00460B4E" w:rsidRPr="00936D28" w:rsidRDefault="00460B4E" w:rsidP="00460B4E">
            <w:pPr>
              <w:contextualSpacing/>
              <w:rPr>
                <w:rFonts w:asciiTheme="majorHAnsi" w:hAnsiTheme="majorHAnsi" w:cstheme="majorHAnsi"/>
                <w:sz w:val="22"/>
                <w:szCs w:val="22"/>
              </w:rPr>
            </w:pPr>
          </w:p>
          <w:p w14:paraId="2F8C5C38" w14:textId="77777777" w:rsidR="00460B4E" w:rsidRPr="00936D28" w:rsidRDefault="00460B4E" w:rsidP="00936D28">
            <w:pPr>
              <w:pStyle w:val="ListParagraph"/>
              <w:numPr>
                <w:ilvl w:val="0"/>
                <w:numId w:val="21"/>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Incidence of breast cancer:</w:t>
            </w:r>
          </w:p>
          <w:p w14:paraId="36BA919B" w14:textId="77777777" w:rsidR="00460B4E" w:rsidRPr="00936D28" w:rsidRDefault="00460B4E" w:rsidP="00460B4E">
            <w:pPr>
              <w:ind w:left="360"/>
              <w:rPr>
                <w:rFonts w:asciiTheme="majorHAnsi" w:hAnsiTheme="majorHAnsi" w:cstheme="majorHAnsi"/>
                <w:sz w:val="22"/>
                <w:szCs w:val="22"/>
              </w:rPr>
            </w:pPr>
            <w:r w:rsidRPr="00936D28">
              <w:rPr>
                <w:rFonts w:asciiTheme="majorHAnsi" w:hAnsiTheme="majorHAnsi" w:cstheme="majorHAnsi"/>
                <w:sz w:val="22"/>
                <w:szCs w:val="22"/>
              </w:rPr>
              <w:t>indirectly standardised ratio, &lt;75 years, 3-year average, Female</w:t>
            </w:r>
          </w:p>
          <w:p w14:paraId="2E70C92B" w14:textId="77777777" w:rsidR="00460B4E" w:rsidRPr="00936D28" w:rsidRDefault="00460B4E" w:rsidP="00936D28">
            <w:pPr>
              <w:pStyle w:val="ListParagraph"/>
              <w:numPr>
                <w:ilvl w:val="0"/>
                <w:numId w:val="21"/>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Mortality from breast cancer:</w:t>
            </w:r>
          </w:p>
          <w:p w14:paraId="37E232A4" w14:textId="77777777" w:rsidR="00460B4E" w:rsidRPr="00936D28" w:rsidRDefault="00460B4E" w:rsidP="00460B4E">
            <w:pPr>
              <w:ind w:left="360"/>
              <w:rPr>
                <w:rFonts w:asciiTheme="majorHAnsi" w:hAnsiTheme="majorHAnsi" w:cstheme="majorHAnsi"/>
                <w:sz w:val="22"/>
                <w:szCs w:val="22"/>
              </w:rPr>
            </w:pPr>
            <w:r w:rsidRPr="00936D28">
              <w:rPr>
                <w:rFonts w:asciiTheme="majorHAnsi" w:hAnsiTheme="majorHAnsi" w:cstheme="majorHAnsi"/>
                <w:sz w:val="22"/>
                <w:szCs w:val="22"/>
              </w:rPr>
              <w:t>directly standardised rate, all ages, 3-year average, Female</w:t>
            </w:r>
          </w:p>
          <w:p w14:paraId="7BBD8402" w14:textId="77777777" w:rsidR="00460B4E" w:rsidRPr="00936D28" w:rsidRDefault="00460B4E" w:rsidP="00936D28">
            <w:pPr>
              <w:pStyle w:val="ListParagraph"/>
              <w:numPr>
                <w:ilvl w:val="0"/>
                <w:numId w:val="21"/>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 xml:space="preserve">Mortality from breast cancer: </w:t>
            </w:r>
          </w:p>
          <w:p w14:paraId="307E370A" w14:textId="77777777" w:rsidR="00460B4E" w:rsidRPr="00936D28" w:rsidRDefault="00460B4E" w:rsidP="00460B4E">
            <w:pPr>
              <w:ind w:left="360"/>
              <w:rPr>
                <w:rFonts w:asciiTheme="majorHAnsi" w:hAnsiTheme="majorHAnsi" w:cstheme="majorHAnsi"/>
                <w:sz w:val="22"/>
                <w:szCs w:val="22"/>
              </w:rPr>
            </w:pPr>
            <w:r w:rsidRPr="00936D28">
              <w:rPr>
                <w:rFonts w:asciiTheme="majorHAnsi" w:hAnsiTheme="majorHAnsi" w:cstheme="majorHAnsi"/>
                <w:sz w:val="22"/>
                <w:szCs w:val="22"/>
              </w:rPr>
              <w:t>number, by age group, annual, Female</w:t>
            </w:r>
          </w:p>
          <w:p w14:paraId="75124D47" w14:textId="77777777" w:rsidR="00460B4E" w:rsidRPr="00936D28" w:rsidRDefault="00460B4E" w:rsidP="00936D28">
            <w:pPr>
              <w:pStyle w:val="ListParagraph"/>
              <w:numPr>
                <w:ilvl w:val="0"/>
                <w:numId w:val="21"/>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Years of life lost due to mortality from breast cancer:</w:t>
            </w:r>
          </w:p>
          <w:p w14:paraId="5A2B840B" w14:textId="77777777" w:rsidR="00460B4E" w:rsidRPr="00936D28" w:rsidRDefault="00460B4E" w:rsidP="00460B4E">
            <w:pPr>
              <w:ind w:left="360"/>
              <w:rPr>
                <w:rFonts w:asciiTheme="majorHAnsi" w:hAnsiTheme="majorHAnsi" w:cstheme="majorHAnsi"/>
                <w:sz w:val="22"/>
                <w:szCs w:val="22"/>
              </w:rPr>
            </w:pPr>
            <w:r w:rsidRPr="00936D28">
              <w:rPr>
                <w:rFonts w:asciiTheme="majorHAnsi" w:hAnsiTheme="majorHAnsi" w:cstheme="majorHAnsi"/>
                <w:sz w:val="22"/>
                <w:szCs w:val="22"/>
              </w:rPr>
              <w:t>directly standardised rate, 1-74 years, 3-year average, Female</w:t>
            </w:r>
          </w:p>
          <w:p w14:paraId="52757F86" w14:textId="77777777" w:rsidR="00460B4E" w:rsidRPr="00936D28" w:rsidRDefault="00460B4E" w:rsidP="00936D28">
            <w:pPr>
              <w:pStyle w:val="ListParagraph"/>
              <w:numPr>
                <w:ilvl w:val="0"/>
                <w:numId w:val="21"/>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Survival following diagnosis of breast cancer:</w:t>
            </w:r>
          </w:p>
          <w:p w14:paraId="00AA163E" w14:textId="77777777" w:rsidR="00460B4E" w:rsidRPr="00936D28" w:rsidRDefault="00460B4E" w:rsidP="00460B4E">
            <w:pPr>
              <w:ind w:left="360"/>
              <w:rPr>
                <w:rFonts w:asciiTheme="majorHAnsi" w:hAnsiTheme="majorHAnsi" w:cstheme="majorHAnsi"/>
                <w:sz w:val="22"/>
                <w:szCs w:val="22"/>
              </w:rPr>
            </w:pPr>
            <w:r w:rsidRPr="00936D28">
              <w:rPr>
                <w:rFonts w:asciiTheme="majorHAnsi" w:hAnsiTheme="majorHAnsi" w:cstheme="majorHAnsi"/>
                <w:sz w:val="22"/>
                <w:szCs w:val="22"/>
              </w:rPr>
              <w:t>one year age-standardised relative survival rate (%), 15-99 years, 3-year average, Female</w:t>
            </w:r>
          </w:p>
          <w:p w14:paraId="182404D8" w14:textId="77777777" w:rsidR="00460B4E" w:rsidRPr="00936D28" w:rsidRDefault="00460B4E" w:rsidP="00460B4E">
            <w:pPr>
              <w:contextualSpacing/>
              <w:rPr>
                <w:rFonts w:asciiTheme="majorHAnsi" w:hAnsiTheme="majorHAnsi" w:cstheme="majorHAnsi"/>
                <w:sz w:val="22"/>
                <w:szCs w:val="22"/>
              </w:rPr>
            </w:pPr>
          </w:p>
          <w:p w14:paraId="38DA8E6A" w14:textId="77777777" w:rsidR="00460B4E" w:rsidRPr="00936D28" w:rsidRDefault="00460B4E" w:rsidP="00460B4E">
            <w:pPr>
              <w:contextualSpacing/>
              <w:rPr>
                <w:rFonts w:asciiTheme="majorHAnsi" w:hAnsiTheme="majorHAnsi" w:cstheme="majorHAnsi"/>
                <w:sz w:val="22"/>
                <w:szCs w:val="22"/>
              </w:rPr>
            </w:pPr>
            <w:r w:rsidRPr="00936D28">
              <w:rPr>
                <w:rFonts w:asciiTheme="majorHAnsi" w:hAnsiTheme="majorHAnsi" w:cstheme="majorHAnsi"/>
                <w:sz w:val="22"/>
                <w:szCs w:val="22"/>
              </w:rPr>
              <w:t>These indicators are reported at National, Trust and SHA level.</w:t>
            </w:r>
          </w:p>
          <w:p w14:paraId="3396437A" w14:textId="77777777" w:rsidR="00460B4E" w:rsidRPr="00936D28" w:rsidRDefault="00460B4E" w:rsidP="00460B4E">
            <w:pPr>
              <w:contextualSpacing/>
              <w:rPr>
                <w:rFonts w:asciiTheme="majorHAnsi" w:hAnsiTheme="majorHAnsi" w:cstheme="majorHAnsi"/>
                <w:sz w:val="22"/>
                <w:szCs w:val="22"/>
              </w:rPr>
            </w:pPr>
            <w:r w:rsidRPr="00936D28">
              <w:rPr>
                <w:rFonts w:asciiTheme="majorHAnsi" w:hAnsiTheme="majorHAnsi" w:cstheme="majorHAnsi"/>
                <w:sz w:val="22"/>
                <w:szCs w:val="22"/>
              </w:rPr>
              <w:t>The proposed indicator is the only indicator measuring at CCG level</w:t>
            </w:r>
          </w:p>
          <w:p w14:paraId="26A75BB7" w14:textId="77777777" w:rsidR="00460B4E" w:rsidRPr="00936D28" w:rsidRDefault="00460B4E" w:rsidP="00460B4E">
            <w:pPr>
              <w:contextualSpacing/>
              <w:rPr>
                <w:rFonts w:asciiTheme="majorHAnsi" w:hAnsiTheme="majorHAnsi" w:cstheme="majorHAnsi"/>
                <w:sz w:val="22"/>
                <w:szCs w:val="22"/>
              </w:rPr>
            </w:pPr>
          </w:p>
          <w:p w14:paraId="7D763E63" w14:textId="4EBDB497" w:rsidR="00460B4E" w:rsidRPr="00936D28" w:rsidRDefault="00460B4E" w:rsidP="00460B4E">
            <w:pPr>
              <w:contextualSpacing/>
              <w:rPr>
                <w:rFonts w:asciiTheme="majorHAnsi" w:hAnsiTheme="majorHAnsi" w:cstheme="majorHAnsi"/>
                <w:sz w:val="22"/>
                <w:szCs w:val="22"/>
              </w:rPr>
            </w:pPr>
            <w:r w:rsidRPr="00936D28">
              <w:rPr>
                <w:rFonts w:asciiTheme="majorHAnsi" w:hAnsiTheme="majorHAnsi" w:cstheme="majorHAnsi"/>
                <w:sz w:val="22"/>
                <w:szCs w:val="22"/>
              </w:rPr>
              <w:t xml:space="preserve">A general question was raised during the appraisal as to whether HSCIC (or NHS England) should be looking to commission something producing “an Attribution Dataset (ADS)” which can be used at CCG </w:t>
            </w:r>
            <w:r w:rsidR="00936D28" w:rsidRPr="00936D28">
              <w:rPr>
                <w:rFonts w:asciiTheme="majorHAnsi" w:hAnsiTheme="majorHAnsi" w:cstheme="majorHAnsi"/>
                <w:sz w:val="22"/>
                <w:szCs w:val="22"/>
              </w:rPr>
              <w:t>level and</w:t>
            </w:r>
            <w:r w:rsidRPr="00936D28">
              <w:rPr>
                <w:rFonts w:asciiTheme="majorHAnsi" w:hAnsiTheme="majorHAnsi" w:cstheme="majorHAnsi"/>
                <w:sz w:val="22"/>
                <w:szCs w:val="22"/>
              </w:rPr>
              <w:t xml:space="preserve"> would serve to increase consistency with the ONS populations.</w:t>
            </w:r>
          </w:p>
          <w:p w14:paraId="3C446409" w14:textId="77777777" w:rsidR="00460B4E" w:rsidRPr="00936D28" w:rsidRDefault="00460B4E" w:rsidP="00460B4E">
            <w:pPr>
              <w:contextualSpacing/>
              <w:rPr>
                <w:rFonts w:asciiTheme="majorHAnsi" w:hAnsiTheme="majorHAnsi" w:cstheme="majorHAnsi"/>
                <w:sz w:val="22"/>
                <w:szCs w:val="22"/>
              </w:rPr>
            </w:pPr>
          </w:p>
        </w:tc>
      </w:tr>
      <w:tr w:rsidR="00460B4E" w:rsidRPr="00936D28" w14:paraId="58DEFE7F" w14:textId="77777777" w:rsidTr="002F05F5">
        <w:tc>
          <w:tcPr>
            <w:tcW w:w="2119" w:type="dxa"/>
          </w:tcPr>
          <w:p w14:paraId="75831827"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Implementation Method</w:t>
            </w:r>
          </w:p>
          <w:p w14:paraId="414285BB" w14:textId="77777777" w:rsidR="00460B4E" w:rsidRPr="00936D28" w:rsidRDefault="00460B4E" w:rsidP="00460B4E">
            <w:pPr>
              <w:rPr>
                <w:rFonts w:asciiTheme="majorHAnsi" w:hAnsiTheme="majorHAnsi" w:cstheme="majorHAnsi"/>
                <w:i/>
                <w:sz w:val="22"/>
                <w:szCs w:val="22"/>
              </w:rPr>
            </w:pPr>
            <w:r w:rsidRPr="00936D28">
              <w:rPr>
                <w:rFonts w:asciiTheme="majorHAnsi" w:hAnsiTheme="majorHAnsi" w:cstheme="majorHAnsi"/>
                <w:sz w:val="22"/>
                <w:szCs w:val="22"/>
              </w:rPr>
              <w:t>[inc production funding]</w:t>
            </w:r>
          </w:p>
        </w:tc>
        <w:tc>
          <w:tcPr>
            <w:tcW w:w="7804" w:type="dxa"/>
          </w:tcPr>
          <w:p w14:paraId="301130A0" w14:textId="77777777" w:rsidR="00460B4E" w:rsidRPr="00936D28" w:rsidRDefault="00460B4E" w:rsidP="00936D28">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NHS England has commissioned HSCIC to produce and disseminate the CCG OIS indicators; this is funded via the Grant in Aid funding to HSCIC.</w:t>
            </w:r>
          </w:p>
          <w:p w14:paraId="1E832DDD" w14:textId="77777777" w:rsidR="00460B4E" w:rsidRPr="00936D28" w:rsidRDefault="00460B4E" w:rsidP="00936D28">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Dissemination and presentation of the CCG OIS will be via a number of routes:</w:t>
            </w:r>
          </w:p>
          <w:p w14:paraId="2983328E" w14:textId="6AC04485" w:rsidR="00460B4E" w:rsidRPr="00936D28" w:rsidRDefault="00460B4E" w:rsidP="00936D28">
            <w:pPr>
              <w:pStyle w:val="ListParagraph"/>
              <w:numPr>
                <w:ilvl w:val="1"/>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 xml:space="preserve">The indicators and their underlying data will be made </w:t>
            </w:r>
            <w:r w:rsidR="00936D28" w:rsidRPr="00936D28">
              <w:rPr>
                <w:rFonts w:asciiTheme="majorHAnsi" w:hAnsiTheme="majorHAnsi" w:cstheme="majorHAnsi"/>
                <w:sz w:val="22"/>
                <w:szCs w:val="22"/>
              </w:rPr>
              <w:t>publicly</w:t>
            </w:r>
            <w:r w:rsidRPr="00936D28">
              <w:rPr>
                <w:rFonts w:asciiTheme="majorHAnsi" w:hAnsiTheme="majorHAnsi" w:cstheme="majorHAnsi"/>
                <w:sz w:val="22"/>
                <w:szCs w:val="22"/>
              </w:rPr>
              <w:t xml:space="preserve"> available via the HSCIC website and the Indicator Portal. </w:t>
            </w:r>
          </w:p>
          <w:p w14:paraId="29373F10" w14:textId="77777777" w:rsidR="00460B4E" w:rsidRPr="00936D28" w:rsidRDefault="00460B4E" w:rsidP="00936D28">
            <w:pPr>
              <w:pStyle w:val="ListParagraph"/>
              <w:numPr>
                <w:ilvl w:val="1"/>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The data will also be provided to NHS England for use in their internal Intelligence Tool.</w:t>
            </w:r>
          </w:p>
          <w:p w14:paraId="477B1B9C" w14:textId="77777777" w:rsidR="00460B4E" w:rsidRPr="00936D28" w:rsidRDefault="00460B4E" w:rsidP="00936D28">
            <w:pPr>
              <w:pStyle w:val="ListParagraph"/>
              <w:numPr>
                <w:ilvl w:val="1"/>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Subject to confirmation by NHS England, the calculated indicator, numerator and denominator for CCGs will be supplied by messaging to the Calculating Quality Reporting Service (CQRS) for use by CCGs as part of their management information.</w:t>
            </w:r>
          </w:p>
        </w:tc>
      </w:tr>
    </w:tbl>
    <w:p w14:paraId="7DD62B45" w14:textId="77777777" w:rsidR="00460B4E" w:rsidRPr="00936D28" w:rsidRDefault="00460B4E" w:rsidP="00460B4E">
      <w:pPr>
        <w:rPr>
          <w:rFonts w:asciiTheme="majorHAnsi" w:hAnsiTheme="majorHAnsi" w:cstheme="majorHAnsi"/>
          <w:sz w:val="22"/>
          <w:szCs w:val="22"/>
        </w:rPr>
      </w:pPr>
    </w:p>
    <w:p w14:paraId="1C46EDCE" w14:textId="4B4CE5D3" w:rsidR="00460B4E" w:rsidRPr="00936D28" w:rsidRDefault="004F07F3" w:rsidP="00460B4E">
      <w:pPr>
        <w:rPr>
          <w:rFonts w:asciiTheme="majorHAnsi" w:hAnsiTheme="majorHAnsi" w:cstheme="majorHAnsi"/>
          <w:sz w:val="22"/>
          <w:szCs w:val="22"/>
        </w:rPr>
      </w:pPr>
      <w:r w:rsidRPr="00936D28">
        <w:rPr>
          <w:rFonts w:asciiTheme="majorHAnsi" w:hAnsiTheme="majorHAnsi" w:cstheme="majorHAnsi"/>
          <w:b/>
          <w:sz w:val="22"/>
          <w:szCs w:val="22"/>
        </w:rPr>
        <w:t>Development Advice / Peer Review (undertaken as part of assurance process)</w:t>
      </w:r>
    </w:p>
    <w:tbl>
      <w:tblPr>
        <w:tblStyle w:val="TableGrid"/>
        <w:tblW w:w="9923" w:type="dxa"/>
        <w:tblLayout w:type="fixed"/>
        <w:tblLook w:val="01E0" w:firstRow="1" w:lastRow="1" w:firstColumn="1" w:lastColumn="1" w:noHBand="0" w:noVBand="0"/>
      </w:tblPr>
      <w:tblGrid>
        <w:gridCol w:w="2119"/>
        <w:gridCol w:w="7804"/>
      </w:tblGrid>
      <w:tr w:rsidR="00460B4E" w:rsidRPr="00936D28" w14:paraId="27ECC532" w14:textId="77777777" w:rsidTr="002F05F5">
        <w:trPr>
          <w:trHeight w:val="404"/>
        </w:trPr>
        <w:tc>
          <w:tcPr>
            <w:tcW w:w="2119" w:type="dxa"/>
          </w:tcPr>
          <w:p w14:paraId="72B25FD0"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Range of input during development</w:t>
            </w:r>
          </w:p>
        </w:tc>
        <w:tc>
          <w:tcPr>
            <w:tcW w:w="7804" w:type="dxa"/>
          </w:tcPr>
          <w:p w14:paraId="4012AFBD"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w:t>
            </w:r>
          </w:p>
        </w:tc>
      </w:tr>
      <w:tr w:rsidR="00460B4E" w:rsidRPr="00936D28" w14:paraId="2169163E" w14:textId="77777777" w:rsidTr="002F05F5">
        <w:trPr>
          <w:trHeight w:val="413"/>
        </w:trPr>
        <w:tc>
          <w:tcPr>
            <w:tcW w:w="2119" w:type="dxa"/>
          </w:tcPr>
          <w:p w14:paraId="4155D958"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Assurance Service</w:t>
            </w:r>
          </w:p>
          <w:p w14:paraId="157FD811" w14:textId="77777777" w:rsidR="00460B4E" w:rsidRPr="00936D28" w:rsidRDefault="00460B4E" w:rsidP="00460B4E">
            <w:pPr>
              <w:rPr>
                <w:rFonts w:asciiTheme="majorHAnsi" w:hAnsiTheme="majorHAnsi" w:cstheme="majorHAnsi"/>
                <w:i/>
                <w:sz w:val="22"/>
                <w:szCs w:val="22"/>
              </w:rPr>
            </w:pPr>
            <w:r w:rsidRPr="00936D28">
              <w:rPr>
                <w:rFonts w:asciiTheme="majorHAnsi" w:hAnsiTheme="majorHAnsi" w:cstheme="majorHAnsi"/>
                <w:sz w:val="22"/>
                <w:szCs w:val="22"/>
              </w:rPr>
              <w:t>Peer Reviewers:</w:t>
            </w:r>
          </w:p>
        </w:tc>
        <w:tc>
          <w:tcPr>
            <w:tcW w:w="7804" w:type="dxa"/>
          </w:tcPr>
          <w:p w14:paraId="6490C882"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Paul Jennings – HSCIC Clinical Indicators Team</w:t>
            </w:r>
          </w:p>
        </w:tc>
      </w:tr>
      <w:tr w:rsidR="00460B4E" w:rsidRPr="00936D28" w14:paraId="1A976C90" w14:textId="77777777" w:rsidTr="002F05F5">
        <w:trPr>
          <w:trHeight w:val="413"/>
        </w:trPr>
        <w:tc>
          <w:tcPr>
            <w:tcW w:w="2119" w:type="dxa"/>
          </w:tcPr>
          <w:p w14:paraId="57871B65"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lastRenderedPageBreak/>
              <w:t>Peer Review summary:</w:t>
            </w:r>
          </w:p>
        </w:tc>
        <w:tc>
          <w:tcPr>
            <w:tcW w:w="7804" w:type="dxa"/>
          </w:tcPr>
          <w:p w14:paraId="7532C77B" w14:textId="77777777" w:rsidR="00460B4E" w:rsidRPr="00936D28" w:rsidRDefault="00460B4E" w:rsidP="00936D28">
            <w:pPr>
              <w:pStyle w:val="ListParagraph"/>
              <w:numPr>
                <w:ilvl w:val="0"/>
                <w:numId w:val="5"/>
              </w:numPr>
              <w:spacing w:after="0"/>
              <w:ind w:left="318" w:hanging="318"/>
              <w:textboxTightWrap w:val="none"/>
              <w:rPr>
                <w:rFonts w:asciiTheme="majorHAnsi" w:hAnsiTheme="majorHAnsi" w:cstheme="majorHAnsi"/>
                <w:sz w:val="22"/>
                <w:szCs w:val="22"/>
              </w:rPr>
            </w:pPr>
            <w:r w:rsidRPr="00936D28">
              <w:rPr>
                <w:rFonts w:asciiTheme="majorHAnsi" w:hAnsiTheme="majorHAnsi" w:cstheme="majorHAnsi"/>
                <w:sz w:val="22"/>
                <w:szCs w:val="22"/>
              </w:rPr>
              <w:t>(Original )Title may need some elaboration in order to differentiate it from a number of existing indicators.</w:t>
            </w:r>
          </w:p>
          <w:p w14:paraId="381BB910" w14:textId="77777777" w:rsidR="00460B4E" w:rsidRPr="00936D28" w:rsidRDefault="00460B4E" w:rsidP="00936D28">
            <w:pPr>
              <w:pStyle w:val="ListParagraph"/>
              <w:numPr>
                <w:ilvl w:val="0"/>
                <w:numId w:val="5"/>
              </w:numPr>
              <w:spacing w:after="120"/>
              <w:ind w:left="318" w:hanging="318"/>
              <w:textboxTightWrap w:val="none"/>
              <w:rPr>
                <w:rFonts w:asciiTheme="majorHAnsi" w:hAnsiTheme="majorHAnsi" w:cstheme="majorHAnsi"/>
                <w:sz w:val="22"/>
                <w:szCs w:val="22"/>
              </w:rPr>
            </w:pPr>
            <w:r w:rsidRPr="00936D28">
              <w:rPr>
                <w:rFonts w:asciiTheme="majorHAnsi" w:hAnsiTheme="majorHAnsi" w:cstheme="majorHAnsi"/>
                <w:sz w:val="22"/>
                <w:szCs w:val="22"/>
              </w:rPr>
              <w:t>As there is understood to be an overall downward trend in breast cancer mortality, changes as the result of organisational actions may take several years to become apparent.</w:t>
            </w:r>
          </w:p>
        </w:tc>
      </w:tr>
    </w:tbl>
    <w:p w14:paraId="3E2C8A4F" w14:textId="08CBB477" w:rsidR="00460B4E" w:rsidRPr="00936D28" w:rsidRDefault="004F07F3" w:rsidP="00460B4E">
      <w:pPr>
        <w:rPr>
          <w:rFonts w:asciiTheme="majorHAnsi" w:hAnsiTheme="majorHAnsi" w:cstheme="majorHAnsi"/>
          <w:sz w:val="22"/>
          <w:szCs w:val="22"/>
        </w:rPr>
      </w:pPr>
      <w:r w:rsidRPr="00936D28">
        <w:rPr>
          <w:rFonts w:asciiTheme="majorHAnsi" w:hAnsiTheme="majorHAnsi" w:cstheme="majorHAnsi"/>
          <w:b/>
          <w:sz w:val="22"/>
          <w:szCs w:val="22"/>
        </w:rPr>
        <w:t>Record of MRG Discussion</w:t>
      </w:r>
    </w:p>
    <w:tbl>
      <w:tblPr>
        <w:tblStyle w:val="TableGrid"/>
        <w:tblW w:w="3242" w:type="dxa"/>
        <w:tblLook w:val="01E0" w:firstRow="1" w:lastRow="1" w:firstColumn="1" w:lastColumn="1" w:noHBand="0" w:noVBand="0"/>
      </w:tblPr>
      <w:tblGrid>
        <w:gridCol w:w="2108"/>
        <w:gridCol w:w="1134"/>
      </w:tblGrid>
      <w:tr w:rsidR="004F07F3" w:rsidRPr="00936D28" w14:paraId="7D46FC0A" w14:textId="77777777" w:rsidTr="004F07F3">
        <w:tc>
          <w:tcPr>
            <w:tcW w:w="2108" w:type="dxa"/>
          </w:tcPr>
          <w:p w14:paraId="0A6EE031" w14:textId="77777777" w:rsidR="004F07F3" w:rsidRPr="00936D28" w:rsidRDefault="004F07F3" w:rsidP="00460B4E">
            <w:pPr>
              <w:rPr>
                <w:rFonts w:asciiTheme="majorHAnsi" w:hAnsiTheme="majorHAnsi" w:cstheme="majorHAnsi"/>
                <w:sz w:val="22"/>
                <w:szCs w:val="22"/>
              </w:rPr>
            </w:pPr>
            <w:r w:rsidRPr="00936D28">
              <w:rPr>
                <w:rFonts w:asciiTheme="majorHAnsi" w:hAnsiTheme="majorHAnsi" w:cstheme="majorHAnsi"/>
                <w:sz w:val="22"/>
                <w:szCs w:val="22"/>
              </w:rPr>
              <w:t xml:space="preserve">Discussion dates: </w:t>
            </w:r>
          </w:p>
        </w:tc>
        <w:tc>
          <w:tcPr>
            <w:tcW w:w="1134" w:type="dxa"/>
          </w:tcPr>
          <w:p w14:paraId="5A9B5DB7" w14:textId="77777777" w:rsidR="004F07F3" w:rsidRPr="00936D28" w:rsidRDefault="004F07F3" w:rsidP="00460B4E">
            <w:pPr>
              <w:rPr>
                <w:rFonts w:asciiTheme="majorHAnsi" w:hAnsiTheme="majorHAnsi" w:cstheme="majorHAnsi"/>
                <w:sz w:val="22"/>
                <w:szCs w:val="22"/>
              </w:rPr>
            </w:pPr>
            <w:r w:rsidRPr="00936D28">
              <w:rPr>
                <w:rFonts w:asciiTheme="majorHAnsi" w:hAnsiTheme="majorHAnsi" w:cstheme="majorHAnsi"/>
                <w:sz w:val="22"/>
                <w:szCs w:val="22"/>
              </w:rPr>
              <w:t>07/10/13, 09/01/14,</w:t>
            </w:r>
          </w:p>
          <w:p w14:paraId="15670BE0" w14:textId="77777777" w:rsidR="004F07F3" w:rsidRPr="00936D28" w:rsidRDefault="004F07F3" w:rsidP="00460B4E">
            <w:pPr>
              <w:rPr>
                <w:rFonts w:asciiTheme="majorHAnsi" w:hAnsiTheme="majorHAnsi" w:cstheme="majorHAnsi"/>
                <w:sz w:val="22"/>
                <w:szCs w:val="22"/>
              </w:rPr>
            </w:pPr>
            <w:r w:rsidRPr="00936D28">
              <w:rPr>
                <w:rFonts w:asciiTheme="majorHAnsi" w:hAnsiTheme="majorHAnsi" w:cstheme="majorHAnsi"/>
                <w:sz w:val="22"/>
                <w:szCs w:val="22"/>
              </w:rPr>
              <w:t>05/06/14</w:t>
            </w:r>
          </w:p>
        </w:tc>
      </w:tr>
    </w:tbl>
    <w:p w14:paraId="2BC20329" w14:textId="4B472BD9" w:rsidR="004F07F3" w:rsidRDefault="004F07F3">
      <w:r>
        <w:t>By:</w:t>
      </w:r>
    </w:p>
    <w:tbl>
      <w:tblPr>
        <w:tblStyle w:val="TableGrid"/>
        <w:tblW w:w="5000" w:type="pct"/>
        <w:tblLook w:val="04A0" w:firstRow="1" w:lastRow="0" w:firstColumn="1" w:lastColumn="0" w:noHBand="0" w:noVBand="1"/>
      </w:tblPr>
      <w:tblGrid>
        <w:gridCol w:w="2976"/>
        <w:gridCol w:w="1066"/>
        <w:gridCol w:w="5812"/>
      </w:tblGrid>
      <w:tr w:rsidR="004F07F3" w:rsidRPr="00936D28" w14:paraId="3F96F151" w14:textId="77777777" w:rsidTr="000D2587">
        <w:tc>
          <w:tcPr>
            <w:tcW w:w="1510" w:type="pct"/>
          </w:tcPr>
          <w:p w14:paraId="20897A79" w14:textId="77777777" w:rsidR="004F07F3" w:rsidRPr="00936D28" w:rsidRDefault="004F07F3" w:rsidP="000D2587">
            <w:pPr>
              <w:rPr>
                <w:rFonts w:asciiTheme="majorHAnsi" w:hAnsiTheme="majorHAnsi" w:cstheme="majorHAnsi"/>
                <w:sz w:val="22"/>
                <w:szCs w:val="22"/>
                <w:highlight w:val="yellow"/>
              </w:rPr>
            </w:pPr>
            <w:r w:rsidRPr="00936D28">
              <w:rPr>
                <w:rFonts w:asciiTheme="majorHAnsi" w:hAnsiTheme="majorHAnsi" w:cstheme="majorHAnsi"/>
                <w:sz w:val="22"/>
                <w:szCs w:val="22"/>
              </w:rPr>
              <w:t>Julie Stroud (chair)</w:t>
            </w:r>
          </w:p>
        </w:tc>
        <w:tc>
          <w:tcPr>
            <w:tcW w:w="541" w:type="pct"/>
          </w:tcPr>
          <w:p w14:paraId="552C385E" w14:textId="77777777" w:rsidR="004F07F3" w:rsidRPr="00936D28" w:rsidRDefault="004F07F3" w:rsidP="000D2587">
            <w:pPr>
              <w:rPr>
                <w:rFonts w:asciiTheme="majorHAnsi" w:hAnsiTheme="majorHAnsi" w:cstheme="majorHAnsi"/>
                <w:sz w:val="22"/>
                <w:szCs w:val="22"/>
                <w:highlight w:val="yellow"/>
              </w:rPr>
            </w:pPr>
            <w:r w:rsidRPr="00936D28">
              <w:rPr>
                <w:rFonts w:asciiTheme="majorHAnsi" w:hAnsiTheme="majorHAnsi" w:cstheme="majorHAnsi"/>
                <w:sz w:val="22"/>
                <w:szCs w:val="22"/>
              </w:rPr>
              <w:t>HSCIC</w:t>
            </w:r>
          </w:p>
        </w:tc>
        <w:tc>
          <w:tcPr>
            <w:tcW w:w="2949" w:type="pct"/>
          </w:tcPr>
          <w:p w14:paraId="1C7B41C5" w14:textId="77777777" w:rsidR="004F07F3" w:rsidRPr="00936D28" w:rsidRDefault="004F07F3" w:rsidP="000D2587">
            <w:pPr>
              <w:rPr>
                <w:rFonts w:asciiTheme="majorHAnsi" w:hAnsiTheme="majorHAnsi" w:cstheme="majorHAnsi"/>
                <w:sz w:val="22"/>
                <w:szCs w:val="22"/>
                <w:highlight w:val="yellow"/>
              </w:rPr>
            </w:pPr>
            <w:r w:rsidRPr="00936D28">
              <w:rPr>
                <w:rFonts w:asciiTheme="majorHAnsi" w:hAnsiTheme="majorHAnsi" w:cstheme="majorHAnsi"/>
                <w:sz w:val="22"/>
                <w:szCs w:val="22"/>
              </w:rPr>
              <w:t>Head of Population Health and Social Care</w:t>
            </w:r>
          </w:p>
        </w:tc>
      </w:tr>
      <w:tr w:rsidR="004F07F3" w:rsidRPr="00936D28" w14:paraId="7629B4FD" w14:textId="77777777" w:rsidTr="000D2587">
        <w:tc>
          <w:tcPr>
            <w:tcW w:w="1510" w:type="pct"/>
          </w:tcPr>
          <w:p w14:paraId="1CB48699"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Chris Dew (vice-chair)</w:t>
            </w:r>
          </w:p>
        </w:tc>
        <w:tc>
          <w:tcPr>
            <w:tcW w:w="541" w:type="pct"/>
          </w:tcPr>
          <w:p w14:paraId="549C4AB6"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HSCIC</w:t>
            </w:r>
          </w:p>
        </w:tc>
        <w:tc>
          <w:tcPr>
            <w:tcW w:w="2949" w:type="pct"/>
          </w:tcPr>
          <w:p w14:paraId="0AEB0BA0"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Section Head, Clinical Indicators</w:t>
            </w:r>
          </w:p>
        </w:tc>
      </w:tr>
      <w:tr w:rsidR="004F07F3" w:rsidRPr="00936D28" w14:paraId="6FF73B88" w14:textId="77777777" w:rsidTr="000D2587">
        <w:tc>
          <w:tcPr>
            <w:tcW w:w="1510" w:type="pct"/>
          </w:tcPr>
          <w:p w14:paraId="39115322"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 xml:space="preserve">Irena </w:t>
            </w:r>
            <w:proofErr w:type="spellStart"/>
            <w:r w:rsidRPr="00936D28">
              <w:rPr>
                <w:rFonts w:asciiTheme="majorHAnsi" w:hAnsiTheme="majorHAnsi" w:cstheme="majorHAnsi"/>
                <w:sz w:val="22"/>
                <w:szCs w:val="22"/>
              </w:rPr>
              <w:t>Begaj</w:t>
            </w:r>
            <w:proofErr w:type="spellEnd"/>
            <w:r w:rsidRPr="00936D28">
              <w:rPr>
                <w:rFonts w:asciiTheme="majorHAnsi" w:hAnsiTheme="majorHAnsi" w:cstheme="majorHAnsi"/>
                <w:sz w:val="22"/>
                <w:szCs w:val="22"/>
              </w:rPr>
              <w:tab/>
            </w:r>
          </w:p>
        </w:tc>
        <w:tc>
          <w:tcPr>
            <w:tcW w:w="541" w:type="pct"/>
          </w:tcPr>
          <w:p w14:paraId="68AF17B1"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UHB</w:t>
            </w:r>
          </w:p>
        </w:tc>
        <w:tc>
          <w:tcPr>
            <w:tcW w:w="2949" w:type="pct"/>
          </w:tcPr>
          <w:p w14:paraId="202CC110"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Statistical Intelligence Analyst</w:t>
            </w:r>
          </w:p>
        </w:tc>
      </w:tr>
      <w:tr w:rsidR="004F07F3" w:rsidRPr="00936D28" w14:paraId="2E3D2AD0" w14:textId="77777777" w:rsidTr="000D2587">
        <w:tc>
          <w:tcPr>
            <w:tcW w:w="1510" w:type="pct"/>
          </w:tcPr>
          <w:p w14:paraId="7AB3BD80"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Paul Fryers</w:t>
            </w:r>
          </w:p>
        </w:tc>
        <w:tc>
          <w:tcPr>
            <w:tcW w:w="541" w:type="pct"/>
          </w:tcPr>
          <w:p w14:paraId="5C79C352"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PHE</w:t>
            </w:r>
          </w:p>
        </w:tc>
        <w:tc>
          <w:tcPr>
            <w:tcW w:w="2949" w:type="pct"/>
          </w:tcPr>
          <w:p w14:paraId="46470950"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Deputy Director, East Midlands Knowledge and Intelligence Team</w:t>
            </w:r>
          </w:p>
        </w:tc>
      </w:tr>
      <w:tr w:rsidR="004F07F3" w:rsidRPr="00936D28" w14:paraId="35D971B8" w14:textId="77777777" w:rsidTr="000D2587">
        <w:tc>
          <w:tcPr>
            <w:tcW w:w="1510" w:type="pct"/>
          </w:tcPr>
          <w:p w14:paraId="7BA044DA"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Jonathon Hope</w:t>
            </w:r>
          </w:p>
        </w:tc>
        <w:tc>
          <w:tcPr>
            <w:tcW w:w="541" w:type="pct"/>
          </w:tcPr>
          <w:p w14:paraId="4E7E507D"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HSCIC</w:t>
            </w:r>
          </w:p>
        </w:tc>
        <w:tc>
          <w:tcPr>
            <w:tcW w:w="2949" w:type="pct"/>
          </w:tcPr>
          <w:p w14:paraId="5EE29776"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Principal Information Analyst, Clinical Audit</w:t>
            </w:r>
          </w:p>
        </w:tc>
      </w:tr>
      <w:tr w:rsidR="004F07F3" w:rsidRPr="00936D28" w14:paraId="2E89DA79" w14:textId="77777777" w:rsidTr="000D2587">
        <w:tc>
          <w:tcPr>
            <w:tcW w:w="1510" w:type="pct"/>
          </w:tcPr>
          <w:p w14:paraId="71EC703D"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 xml:space="preserve">Paul </w:t>
            </w:r>
            <w:proofErr w:type="spellStart"/>
            <w:r w:rsidRPr="00936D28">
              <w:rPr>
                <w:rFonts w:asciiTheme="majorHAnsi" w:hAnsiTheme="majorHAnsi" w:cstheme="majorHAnsi"/>
                <w:sz w:val="22"/>
                <w:szCs w:val="22"/>
              </w:rPr>
              <w:t>Iggulden</w:t>
            </w:r>
            <w:proofErr w:type="spellEnd"/>
            <w:r w:rsidRPr="00936D28">
              <w:rPr>
                <w:rFonts w:asciiTheme="majorHAnsi" w:hAnsiTheme="majorHAnsi" w:cstheme="majorHAnsi"/>
                <w:sz w:val="22"/>
                <w:szCs w:val="22"/>
              </w:rPr>
              <w:t xml:space="preserve"> </w:t>
            </w:r>
          </w:p>
        </w:tc>
        <w:tc>
          <w:tcPr>
            <w:tcW w:w="541" w:type="pct"/>
          </w:tcPr>
          <w:p w14:paraId="169AD08B"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HSCIC</w:t>
            </w:r>
          </w:p>
        </w:tc>
        <w:tc>
          <w:tcPr>
            <w:tcW w:w="2949" w:type="pct"/>
          </w:tcPr>
          <w:p w14:paraId="4C3F2C0D"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Interim Head of Clinical Analysis, Research &amp; Development</w:t>
            </w:r>
          </w:p>
        </w:tc>
      </w:tr>
      <w:tr w:rsidR="004F07F3" w:rsidRPr="00936D28" w14:paraId="18AC0D74" w14:textId="77777777" w:rsidTr="000D2587">
        <w:tc>
          <w:tcPr>
            <w:tcW w:w="1510" w:type="pct"/>
          </w:tcPr>
          <w:p w14:paraId="798F0F13"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John Sharp</w:t>
            </w:r>
          </w:p>
        </w:tc>
        <w:tc>
          <w:tcPr>
            <w:tcW w:w="541" w:type="pct"/>
          </w:tcPr>
          <w:p w14:paraId="004231CF"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HSCIC</w:t>
            </w:r>
          </w:p>
        </w:tc>
        <w:tc>
          <w:tcPr>
            <w:tcW w:w="2949" w:type="pct"/>
          </w:tcPr>
          <w:p w14:paraId="067D86E1"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Head of Data Quality</w:t>
            </w:r>
          </w:p>
        </w:tc>
      </w:tr>
      <w:tr w:rsidR="004F07F3" w:rsidRPr="00936D28" w14:paraId="166F61F2" w14:textId="77777777" w:rsidTr="000D2587">
        <w:tc>
          <w:tcPr>
            <w:tcW w:w="1510" w:type="pct"/>
          </w:tcPr>
          <w:p w14:paraId="1B8CE755"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Andy Sutherland</w:t>
            </w:r>
          </w:p>
        </w:tc>
        <w:tc>
          <w:tcPr>
            <w:tcW w:w="541" w:type="pct"/>
          </w:tcPr>
          <w:p w14:paraId="0793606B"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HSCIC</w:t>
            </w:r>
          </w:p>
        </w:tc>
        <w:tc>
          <w:tcPr>
            <w:tcW w:w="2949" w:type="pct"/>
          </w:tcPr>
          <w:p w14:paraId="3BE68B00"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Statistics Head of Profession</w:t>
            </w:r>
          </w:p>
        </w:tc>
      </w:tr>
      <w:tr w:rsidR="004F07F3" w:rsidRPr="00936D28" w14:paraId="5356B6A9" w14:textId="77777777" w:rsidTr="000D2587">
        <w:tc>
          <w:tcPr>
            <w:tcW w:w="1510" w:type="pct"/>
          </w:tcPr>
          <w:p w14:paraId="4A0D421A"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Alyson Whitmarsh</w:t>
            </w:r>
          </w:p>
        </w:tc>
        <w:tc>
          <w:tcPr>
            <w:tcW w:w="541" w:type="pct"/>
          </w:tcPr>
          <w:p w14:paraId="79ADBA55"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HSCIC</w:t>
            </w:r>
          </w:p>
        </w:tc>
        <w:tc>
          <w:tcPr>
            <w:tcW w:w="2949" w:type="pct"/>
          </w:tcPr>
          <w:p w14:paraId="18D23562"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Programme Manager, Clinical Audit</w:t>
            </w:r>
          </w:p>
        </w:tc>
      </w:tr>
    </w:tbl>
    <w:p w14:paraId="0469FD3A" w14:textId="712441EE" w:rsidR="004F07F3" w:rsidRDefault="004F07F3"/>
    <w:p w14:paraId="17023994" w14:textId="4B67AED1" w:rsidR="004F07F3" w:rsidRDefault="004F07F3"/>
    <w:p w14:paraId="63AA6FC6" w14:textId="1C8EF5B2" w:rsidR="004F07F3" w:rsidRDefault="004F07F3"/>
    <w:p w14:paraId="33745D52" w14:textId="77777777" w:rsidR="004F07F3" w:rsidRDefault="004F07F3"/>
    <w:tbl>
      <w:tblPr>
        <w:tblStyle w:val="TableGrid"/>
        <w:tblW w:w="9923" w:type="dxa"/>
        <w:tblLook w:val="01E0" w:firstRow="1" w:lastRow="1" w:firstColumn="1" w:lastColumn="1" w:noHBand="0" w:noVBand="0"/>
      </w:tblPr>
      <w:tblGrid>
        <w:gridCol w:w="2108"/>
        <w:gridCol w:w="7815"/>
      </w:tblGrid>
      <w:tr w:rsidR="004F07F3" w:rsidRPr="00936D28" w14:paraId="7A89CC90" w14:textId="77777777" w:rsidTr="004F07F3">
        <w:tc>
          <w:tcPr>
            <w:tcW w:w="2108" w:type="dxa"/>
          </w:tcPr>
          <w:p w14:paraId="02EB72DE" w14:textId="46B6F523" w:rsidR="004F07F3" w:rsidRPr="00936D28" w:rsidRDefault="004F07F3" w:rsidP="00460B4E">
            <w:pPr>
              <w:rPr>
                <w:rFonts w:asciiTheme="majorHAnsi" w:hAnsiTheme="majorHAnsi" w:cstheme="majorHAnsi"/>
                <w:sz w:val="22"/>
                <w:szCs w:val="22"/>
              </w:rPr>
            </w:pPr>
            <w:r w:rsidRPr="00936D28">
              <w:rPr>
                <w:rFonts w:asciiTheme="majorHAnsi" w:hAnsiTheme="majorHAnsi" w:cstheme="majorHAnsi"/>
                <w:sz w:val="22"/>
                <w:szCs w:val="22"/>
              </w:rPr>
              <w:t>Summary of MRG discussions:</w:t>
            </w:r>
          </w:p>
        </w:tc>
        <w:tc>
          <w:tcPr>
            <w:tcW w:w="7815" w:type="dxa"/>
          </w:tcPr>
          <w:p w14:paraId="03070E49" w14:textId="77777777" w:rsidR="004F07F3" w:rsidRPr="00936D28" w:rsidRDefault="004F07F3" w:rsidP="004F07F3">
            <w:pPr>
              <w:contextualSpacing/>
              <w:rPr>
                <w:rFonts w:asciiTheme="majorHAnsi" w:hAnsiTheme="majorHAnsi" w:cstheme="majorHAnsi"/>
                <w:sz w:val="22"/>
                <w:szCs w:val="22"/>
              </w:rPr>
            </w:pPr>
            <w:r w:rsidRPr="00936D28">
              <w:rPr>
                <w:rFonts w:asciiTheme="majorHAnsi" w:hAnsiTheme="majorHAnsi" w:cstheme="majorHAnsi"/>
                <w:sz w:val="22"/>
                <w:szCs w:val="22"/>
              </w:rPr>
              <w:t>MRG Appraisal against Criteria:</w:t>
            </w:r>
          </w:p>
          <w:p w14:paraId="40BBC41C" w14:textId="77777777" w:rsidR="004F07F3" w:rsidRPr="00936D28" w:rsidRDefault="004F07F3" w:rsidP="004F07F3">
            <w:pPr>
              <w:contextualSpacing/>
              <w:rPr>
                <w:rFonts w:asciiTheme="majorHAnsi" w:hAnsiTheme="majorHAnsi" w:cstheme="majorHAnsi"/>
                <w:b/>
                <w:sz w:val="22"/>
                <w:szCs w:val="22"/>
              </w:rPr>
            </w:pPr>
          </w:p>
          <w:p w14:paraId="7E5F4BD9" w14:textId="77777777" w:rsidR="004F07F3" w:rsidRPr="00936D28" w:rsidRDefault="004F07F3" w:rsidP="004F07F3">
            <w:pPr>
              <w:contextualSpacing/>
              <w:rPr>
                <w:rFonts w:asciiTheme="majorHAnsi" w:hAnsiTheme="majorHAnsi" w:cstheme="majorHAnsi"/>
                <w:b/>
                <w:sz w:val="22"/>
                <w:szCs w:val="22"/>
              </w:rPr>
            </w:pPr>
            <w:r w:rsidRPr="00936D28">
              <w:rPr>
                <w:rFonts w:asciiTheme="majorHAnsi" w:hAnsiTheme="majorHAnsi" w:cstheme="majorHAnsi"/>
                <w:b/>
                <w:sz w:val="22"/>
                <w:szCs w:val="22"/>
              </w:rPr>
              <w:t>Clarity</w:t>
            </w:r>
          </w:p>
          <w:p w14:paraId="28EDC755" w14:textId="77777777" w:rsidR="004F07F3" w:rsidRPr="00936D28" w:rsidRDefault="004F07F3" w:rsidP="004F07F3">
            <w:pPr>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Based on further analysis following the MRG meeting (5/6/14), the indicator will contain all ages and the title updated to – “Mortality from breast cancer in females”.</w:t>
            </w:r>
          </w:p>
          <w:p w14:paraId="4504D953" w14:textId="77777777" w:rsidR="004F07F3" w:rsidRPr="00936D28" w:rsidRDefault="004F07F3" w:rsidP="004F07F3">
            <w:pPr>
              <w:pStyle w:val="ListParagraph"/>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 xml:space="preserve">In the view of the applicant the indicator title and the location of publication are consistent with other CCG OIS mortality indicators and as such they would like to keep it the same.  The differentiation suggested by the peer review would be achieved through publication in the CCGOIS section of the indicator portal.  </w:t>
            </w:r>
          </w:p>
          <w:p w14:paraId="55A641EE" w14:textId="77777777" w:rsidR="004F07F3" w:rsidRPr="00936D28" w:rsidRDefault="004F07F3" w:rsidP="004F07F3">
            <w:pPr>
              <w:contextualSpacing/>
              <w:rPr>
                <w:rFonts w:asciiTheme="majorHAnsi" w:hAnsiTheme="majorHAnsi" w:cstheme="majorHAnsi"/>
                <w:b/>
                <w:sz w:val="22"/>
                <w:szCs w:val="22"/>
              </w:rPr>
            </w:pPr>
            <w:r w:rsidRPr="00936D28">
              <w:rPr>
                <w:rFonts w:asciiTheme="majorHAnsi" w:hAnsiTheme="majorHAnsi" w:cstheme="majorHAnsi"/>
                <w:b/>
                <w:sz w:val="22"/>
                <w:szCs w:val="22"/>
              </w:rPr>
              <w:t>Rationale / Purpose</w:t>
            </w:r>
          </w:p>
          <w:p w14:paraId="663C33BB" w14:textId="77777777" w:rsidR="004F07F3" w:rsidRPr="00936D28" w:rsidRDefault="004F07F3" w:rsidP="004F07F3">
            <w:pPr>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lastRenderedPageBreak/>
              <w:t xml:space="preserve">It is noted that there are a number of indicators measuring the subject area, however MRG acknowledged this is the only indicator measuring at CCG level. </w:t>
            </w:r>
          </w:p>
          <w:p w14:paraId="2E9978D5" w14:textId="77777777" w:rsidR="004F07F3" w:rsidRPr="00936D28" w:rsidRDefault="004F07F3" w:rsidP="004F07F3">
            <w:pPr>
              <w:ind w:left="360"/>
              <w:contextualSpacing/>
              <w:rPr>
                <w:rFonts w:asciiTheme="majorHAnsi" w:hAnsiTheme="majorHAnsi" w:cstheme="majorHAnsi"/>
                <w:sz w:val="22"/>
                <w:szCs w:val="22"/>
              </w:rPr>
            </w:pPr>
          </w:p>
          <w:p w14:paraId="50BD4C6F" w14:textId="77777777" w:rsidR="004F07F3" w:rsidRPr="00936D28" w:rsidRDefault="004F07F3" w:rsidP="004F07F3">
            <w:pPr>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 xml:space="preserve">MRG questioned as to whether NICE Quality Standard 12 excludes men, and what the justification was to exclude men from the indicator. </w:t>
            </w:r>
          </w:p>
          <w:p w14:paraId="092A1BFD" w14:textId="77777777" w:rsidR="004F07F3" w:rsidRPr="00936D28" w:rsidRDefault="004F07F3" w:rsidP="004F07F3">
            <w:pPr>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NCIN provided the following advice on the exclusion of men from the indicator: Due to the anatomical differences in males and females leading to the differences in presentation of disease, male breast cancer is routinely separated from analysis of breast cancer as a whole.  In addition, with 211 CCGs, there are insufficient cases to robustly measure breast cancer mortality for men.  To remain in line with the Office of National Statistics, male breast cancer deaths are not included in the indicator.</w:t>
            </w:r>
          </w:p>
          <w:p w14:paraId="2C4EF697" w14:textId="77777777" w:rsidR="004F07F3" w:rsidRPr="00936D28" w:rsidRDefault="004F07F3" w:rsidP="004F07F3">
            <w:pPr>
              <w:rPr>
                <w:rFonts w:asciiTheme="majorHAnsi" w:hAnsiTheme="majorHAnsi" w:cstheme="majorHAnsi"/>
                <w:b/>
                <w:sz w:val="22"/>
                <w:szCs w:val="22"/>
              </w:rPr>
            </w:pPr>
            <w:proofErr w:type="gramStart"/>
            <w:r w:rsidRPr="00936D28">
              <w:rPr>
                <w:rFonts w:asciiTheme="majorHAnsi" w:hAnsiTheme="majorHAnsi" w:cstheme="majorHAnsi"/>
                <w:b/>
                <w:sz w:val="22"/>
                <w:szCs w:val="22"/>
              </w:rPr>
              <w:t>Data :</w:t>
            </w:r>
            <w:proofErr w:type="gramEnd"/>
          </w:p>
          <w:p w14:paraId="6C56CF7A" w14:textId="77777777" w:rsidR="004F07F3" w:rsidRPr="00936D28" w:rsidRDefault="004F07F3" w:rsidP="004F07F3">
            <w:pPr>
              <w:pStyle w:val="ListParagraph"/>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Justification provided regarding the choice of data source(s)</w:t>
            </w:r>
          </w:p>
          <w:p w14:paraId="5962663E" w14:textId="77777777" w:rsidR="004F07F3" w:rsidRPr="00936D28" w:rsidRDefault="004F07F3" w:rsidP="004F07F3">
            <w:pPr>
              <w:pStyle w:val="ListParagraph"/>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 xml:space="preserve">Use of the Primary Care Mortality Database (PCMD) as the data source is consistent with other CCG OIS mortality indicators.  </w:t>
            </w:r>
          </w:p>
          <w:p w14:paraId="2EF93A28" w14:textId="77777777" w:rsidR="004F07F3" w:rsidRPr="00936D28" w:rsidRDefault="004F07F3" w:rsidP="004F07F3">
            <w:pPr>
              <w:pStyle w:val="ListParagraph"/>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 xml:space="preserve">In order to record CCG, data from the PCMD is used. The numerator is derived from data in the ONS mortality database, which does not contain the GP practice code required to report these data at CCG level.  The PCMD contains the ONS mortality data with the addition of the GP practice code.  </w:t>
            </w:r>
          </w:p>
          <w:p w14:paraId="2A38DE02" w14:textId="77777777" w:rsidR="004F07F3" w:rsidRPr="00936D28" w:rsidRDefault="004F07F3" w:rsidP="004F07F3">
            <w:pPr>
              <w:pStyle w:val="ListParagraph"/>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The reasoning for the selection of the data source is included in the metadata.</w:t>
            </w:r>
          </w:p>
          <w:p w14:paraId="62A9C585" w14:textId="77777777" w:rsidR="004F07F3" w:rsidRPr="00936D28" w:rsidRDefault="004F07F3" w:rsidP="004F07F3">
            <w:pPr>
              <w:contextualSpacing/>
              <w:rPr>
                <w:rFonts w:asciiTheme="majorHAnsi" w:hAnsiTheme="majorHAnsi" w:cstheme="majorHAnsi"/>
                <w:sz w:val="22"/>
                <w:szCs w:val="22"/>
              </w:rPr>
            </w:pPr>
          </w:p>
          <w:p w14:paraId="260B7482" w14:textId="77777777" w:rsidR="004F07F3" w:rsidRPr="00936D28" w:rsidRDefault="004F07F3" w:rsidP="004F07F3">
            <w:pPr>
              <w:pStyle w:val="ListParagraph"/>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With regards to the denominator, it was noted that there are issues with using GP registered population as there are more patients on GP practice registers than counted in the Census by the ONS.</w:t>
            </w:r>
          </w:p>
          <w:p w14:paraId="20815600" w14:textId="77777777" w:rsidR="004F07F3" w:rsidRPr="00936D28" w:rsidRDefault="004F07F3" w:rsidP="004F07F3">
            <w:pPr>
              <w:pStyle w:val="ListParagraph"/>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It was suggested that Attribution Dataset (ADS) be looked into to see if it could be adapted for use as a possible denominator.</w:t>
            </w:r>
          </w:p>
          <w:p w14:paraId="1CCD0F60" w14:textId="77777777" w:rsidR="004F07F3" w:rsidRPr="00936D28" w:rsidRDefault="004F07F3" w:rsidP="004F07F3">
            <w:pPr>
              <w:pStyle w:val="ListParagraph"/>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 xml:space="preserve">However, having consulted with the HSCIC Population Geography team, the applicant was advised that the ADS would be unable to provide the necessary data for the indicator denominator. The latest ADS was produced for 2011 data at SHA and PCO levels but there are no plans to commission the service for CCG populations. The ADS was commissioned by Connecting for Health and carried out by an external contractor. </w:t>
            </w:r>
          </w:p>
          <w:p w14:paraId="01D39365" w14:textId="77777777" w:rsidR="004F07F3" w:rsidRPr="00936D28" w:rsidRDefault="004F07F3" w:rsidP="004F07F3">
            <w:pPr>
              <w:rPr>
                <w:rFonts w:asciiTheme="majorHAnsi" w:hAnsiTheme="majorHAnsi" w:cstheme="majorHAnsi"/>
                <w:sz w:val="22"/>
                <w:szCs w:val="22"/>
              </w:rPr>
            </w:pPr>
          </w:p>
          <w:p w14:paraId="2CCA420A" w14:textId="77777777" w:rsidR="004F07F3" w:rsidRPr="00936D28" w:rsidRDefault="004F07F3" w:rsidP="004F07F3">
            <w:pPr>
              <w:pStyle w:val="ListParagraph"/>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The applicant confirmed that the proposed population being used from NHAIS has been used before and are the same as the populations being generally used at CCG level.</w:t>
            </w:r>
          </w:p>
          <w:p w14:paraId="7B5A0B73" w14:textId="77777777" w:rsidR="004F07F3" w:rsidRPr="00936D28" w:rsidRDefault="004F07F3" w:rsidP="004F07F3">
            <w:pPr>
              <w:pStyle w:val="ListParagraph"/>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 xml:space="preserve">Further clarification was sought detailing the on-going discussions between the HSCIC, ONS and General Register Office (GRO) around PCMD access, and the implications for accessing data.  </w:t>
            </w:r>
          </w:p>
          <w:p w14:paraId="48763BE1" w14:textId="77777777" w:rsidR="004F07F3" w:rsidRPr="00936D28" w:rsidRDefault="004F07F3" w:rsidP="004F07F3">
            <w:pPr>
              <w:pStyle w:val="ListParagraph"/>
              <w:numPr>
                <w:ilvl w:val="1"/>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A review of all of the mortality feeds into the HSCIC from ONS is being initialised.</w:t>
            </w:r>
          </w:p>
          <w:p w14:paraId="7AE3FF60" w14:textId="77777777" w:rsidR="004F07F3" w:rsidRPr="00936D28" w:rsidRDefault="004F07F3" w:rsidP="004F07F3">
            <w:pPr>
              <w:pStyle w:val="ListParagraph"/>
              <w:numPr>
                <w:ilvl w:val="1"/>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lastRenderedPageBreak/>
              <w:t>HSCIC Population and Geography team are not aware of any planned changes to PCMD which would affect the CCG OIS indicators.</w:t>
            </w:r>
          </w:p>
          <w:p w14:paraId="17C90182" w14:textId="77777777" w:rsidR="004F07F3" w:rsidRPr="00936D28" w:rsidRDefault="004F07F3" w:rsidP="004F07F3">
            <w:pPr>
              <w:pStyle w:val="ListParagraph"/>
              <w:numPr>
                <w:ilvl w:val="1"/>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 xml:space="preserve">It is confirmed that HSCIC has the legal gateway approval to use the PCMD to produce the CCG OIS indicators and there are no changes to this anticipated at present. </w:t>
            </w:r>
          </w:p>
          <w:p w14:paraId="154BA6FB" w14:textId="77777777" w:rsidR="004F07F3" w:rsidRPr="00936D28" w:rsidRDefault="004F07F3" w:rsidP="004F07F3">
            <w:pPr>
              <w:pStyle w:val="ListParagraph"/>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 xml:space="preserve">The Chair suggested that the response be accepted for the moment, with it being re-assessed if there is an issue.  </w:t>
            </w:r>
          </w:p>
          <w:p w14:paraId="6FC216DF" w14:textId="77777777" w:rsidR="004F07F3" w:rsidRPr="00936D28" w:rsidRDefault="004F07F3" w:rsidP="004F07F3">
            <w:pPr>
              <w:contextualSpacing/>
              <w:rPr>
                <w:rFonts w:asciiTheme="majorHAnsi" w:hAnsiTheme="majorHAnsi" w:cstheme="majorHAnsi"/>
                <w:b/>
                <w:sz w:val="22"/>
                <w:szCs w:val="22"/>
              </w:rPr>
            </w:pPr>
            <w:r w:rsidRPr="00936D28">
              <w:rPr>
                <w:rFonts w:asciiTheme="majorHAnsi" w:hAnsiTheme="majorHAnsi" w:cstheme="majorHAnsi"/>
                <w:b/>
                <w:sz w:val="22"/>
                <w:szCs w:val="22"/>
              </w:rPr>
              <w:t>Construction:</w:t>
            </w:r>
          </w:p>
          <w:p w14:paraId="03F44D7F" w14:textId="77777777" w:rsidR="004F07F3" w:rsidRPr="00936D28" w:rsidRDefault="004F07F3" w:rsidP="004F07F3">
            <w:pPr>
              <w:pStyle w:val="ListParagraph"/>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 xml:space="preserve">Analysis presented based on 1 year data showed 40 CCGs (19%) had a count in the numerator of less than 25, which is considered significant (in Public Health Outcomes Framework directly standardised rates that are based on numerators of less than 25 are supressed). </w:t>
            </w:r>
          </w:p>
          <w:p w14:paraId="4E4DA494" w14:textId="77777777" w:rsidR="004F07F3" w:rsidRPr="00936D28" w:rsidRDefault="004F07F3" w:rsidP="004F07F3">
            <w:pPr>
              <w:pStyle w:val="ListParagraph"/>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The applicant suggested the indicator could be re-presented using indirect age standardisation in order to deal with the small numbers at CCG level, however MRG put forward that options around suppression or widening the 1 year data to 3 years in order to have more in the numerator be considered before indirectly standardising.</w:t>
            </w:r>
          </w:p>
          <w:p w14:paraId="0FC42453" w14:textId="77777777" w:rsidR="004F07F3" w:rsidRPr="00936D28" w:rsidRDefault="004F07F3" w:rsidP="004F07F3">
            <w:pPr>
              <w:rPr>
                <w:rFonts w:asciiTheme="majorHAnsi" w:hAnsiTheme="majorHAnsi" w:cstheme="majorHAnsi"/>
                <w:sz w:val="22"/>
                <w:szCs w:val="22"/>
              </w:rPr>
            </w:pPr>
            <w:r w:rsidRPr="00936D28">
              <w:rPr>
                <w:rFonts w:asciiTheme="majorHAnsi" w:hAnsiTheme="majorHAnsi" w:cstheme="majorHAnsi"/>
                <w:sz w:val="22"/>
                <w:szCs w:val="22"/>
              </w:rPr>
              <w:t xml:space="preserve">Following further analysis, the final proposal presented is as follows: </w:t>
            </w:r>
          </w:p>
          <w:p w14:paraId="72B24197" w14:textId="77777777" w:rsidR="004F07F3" w:rsidRPr="00936D28" w:rsidRDefault="004F07F3" w:rsidP="004F07F3">
            <w:pPr>
              <w:pStyle w:val="ListParagraph"/>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It is recommended that data is presented for the period 2011-13 using five-year age bands in the standardisation calculation with the Mid-2011 Registered Population Estimates used as the denominator for this data. This will allow for a balance between the focus of the reference period and factors that could influence the standardisation calculation.</w:t>
            </w:r>
          </w:p>
          <w:p w14:paraId="3B8B3BF6" w14:textId="77777777" w:rsidR="004F07F3" w:rsidRPr="00936D28" w:rsidRDefault="004F07F3" w:rsidP="004F07F3">
            <w:pPr>
              <w:pStyle w:val="ListParagraph"/>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 xml:space="preserve">Initially, those aged under 35 were to be excluded from the indicator. However following advice from MRG on the impact that zero cells will have on the standardisation, this age group was re-included. </w:t>
            </w:r>
          </w:p>
          <w:p w14:paraId="67881AD1" w14:textId="77777777" w:rsidR="004F07F3" w:rsidRPr="00936D28" w:rsidRDefault="004F07F3" w:rsidP="004F07F3">
            <w:pPr>
              <w:pStyle w:val="ListParagraph"/>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In order to align to other indicators, this indicator will now use 5 year age bands up to 89, those aged 90 and above will be counted in a single group.</w:t>
            </w:r>
          </w:p>
          <w:p w14:paraId="6B79A495" w14:textId="77777777" w:rsidR="004F07F3" w:rsidRPr="00936D28" w:rsidRDefault="004F07F3" w:rsidP="004F07F3">
            <w:pPr>
              <w:rPr>
                <w:rFonts w:asciiTheme="majorHAnsi" w:hAnsiTheme="majorHAnsi" w:cstheme="majorHAnsi"/>
                <w:sz w:val="22"/>
                <w:szCs w:val="22"/>
              </w:rPr>
            </w:pPr>
          </w:p>
          <w:p w14:paraId="34ABCE1B" w14:textId="77777777" w:rsidR="004F07F3" w:rsidRPr="00936D28" w:rsidRDefault="004F07F3" w:rsidP="004F07F3">
            <w:pPr>
              <w:pStyle w:val="ListParagraph"/>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MRG members indicated they were content with the proposed change.</w:t>
            </w:r>
          </w:p>
          <w:p w14:paraId="4DE7959B" w14:textId="77777777" w:rsidR="004F07F3" w:rsidRPr="00936D28" w:rsidRDefault="004F07F3" w:rsidP="004F07F3">
            <w:pPr>
              <w:contextualSpacing/>
              <w:rPr>
                <w:rFonts w:asciiTheme="majorHAnsi" w:hAnsiTheme="majorHAnsi" w:cstheme="majorHAnsi"/>
                <w:b/>
                <w:sz w:val="22"/>
                <w:szCs w:val="22"/>
              </w:rPr>
            </w:pPr>
            <w:r w:rsidRPr="00936D28">
              <w:rPr>
                <w:rFonts w:asciiTheme="majorHAnsi" w:hAnsiTheme="majorHAnsi" w:cstheme="majorHAnsi"/>
                <w:b/>
                <w:sz w:val="22"/>
                <w:szCs w:val="22"/>
              </w:rPr>
              <w:t>Interpretation:</w:t>
            </w:r>
          </w:p>
          <w:p w14:paraId="48632CAE" w14:textId="77777777" w:rsidR="004F07F3" w:rsidRPr="00936D28" w:rsidRDefault="004F07F3" w:rsidP="004F07F3">
            <w:pPr>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No further comments raised by MRG</w:t>
            </w:r>
          </w:p>
          <w:p w14:paraId="1FB5F318" w14:textId="77777777" w:rsidR="004F07F3" w:rsidRPr="00936D28" w:rsidRDefault="004F07F3" w:rsidP="004F07F3">
            <w:pPr>
              <w:contextualSpacing/>
              <w:rPr>
                <w:rFonts w:asciiTheme="majorHAnsi" w:hAnsiTheme="majorHAnsi" w:cstheme="majorHAnsi"/>
                <w:b/>
                <w:sz w:val="22"/>
                <w:szCs w:val="22"/>
              </w:rPr>
            </w:pPr>
          </w:p>
          <w:p w14:paraId="223B9811" w14:textId="77777777" w:rsidR="004F07F3" w:rsidRPr="00936D28" w:rsidRDefault="004F07F3" w:rsidP="004F07F3">
            <w:pPr>
              <w:contextualSpacing/>
              <w:rPr>
                <w:rFonts w:asciiTheme="majorHAnsi" w:hAnsiTheme="majorHAnsi" w:cstheme="majorHAnsi"/>
                <w:b/>
                <w:sz w:val="22"/>
                <w:szCs w:val="22"/>
              </w:rPr>
            </w:pPr>
            <w:r w:rsidRPr="00936D28">
              <w:rPr>
                <w:rFonts w:asciiTheme="majorHAnsi" w:hAnsiTheme="majorHAnsi" w:cstheme="majorHAnsi"/>
                <w:b/>
                <w:sz w:val="22"/>
                <w:szCs w:val="22"/>
              </w:rPr>
              <w:t xml:space="preserve">Risks and Usefulness: </w:t>
            </w:r>
          </w:p>
          <w:p w14:paraId="63458E6E" w14:textId="77777777" w:rsidR="004F07F3" w:rsidRPr="00936D28" w:rsidRDefault="004F07F3" w:rsidP="004F07F3">
            <w:pPr>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No further comments raised by MRG</w:t>
            </w:r>
          </w:p>
          <w:p w14:paraId="1DA26858" w14:textId="77777777" w:rsidR="004F07F3" w:rsidRPr="00936D28" w:rsidRDefault="004F07F3" w:rsidP="00460B4E">
            <w:pPr>
              <w:contextualSpacing/>
              <w:rPr>
                <w:rFonts w:asciiTheme="majorHAnsi" w:hAnsiTheme="majorHAnsi" w:cstheme="majorHAnsi"/>
                <w:sz w:val="22"/>
                <w:szCs w:val="22"/>
              </w:rPr>
            </w:pPr>
          </w:p>
        </w:tc>
      </w:tr>
    </w:tbl>
    <w:p w14:paraId="61B95C51" w14:textId="77777777" w:rsidR="004F07F3" w:rsidRDefault="004F07F3"/>
    <w:tbl>
      <w:tblPr>
        <w:tblStyle w:val="TableGrid"/>
        <w:tblW w:w="9923" w:type="dxa"/>
        <w:tblLook w:val="01E0" w:firstRow="1" w:lastRow="1" w:firstColumn="1" w:lastColumn="1" w:noHBand="0" w:noVBand="0"/>
      </w:tblPr>
      <w:tblGrid>
        <w:gridCol w:w="2108"/>
        <w:gridCol w:w="6524"/>
        <w:gridCol w:w="710"/>
        <w:gridCol w:w="581"/>
      </w:tblGrid>
      <w:tr w:rsidR="004F07F3" w:rsidRPr="00936D28" w14:paraId="4F87197E" w14:textId="77777777" w:rsidTr="004F07F3">
        <w:trPr>
          <w:trHeight w:val="228"/>
        </w:trPr>
        <w:tc>
          <w:tcPr>
            <w:tcW w:w="2108" w:type="dxa"/>
          </w:tcPr>
          <w:p w14:paraId="3886E6CA" w14:textId="71A5A1EB" w:rsidR="004F07F3" w:rsidRPr="00936D28" w:rsidRDefault="004F07F3" w:rsidP="004F07F3">
            <w:pPr>
              <w:rPr>
                <w:rFonts w:asciiTheme="majorHAnsi" w:hAnsiTheme="majorHAnsi" w:cstheme="majorHAnsi"/>
                <w:sz w:val="22"/>
                <w:szCs w:val="22"/>
              </w:rPr>
            </w:pPr>
            <w:r w:rsidRPr="00936D28">
              <w:rPr>
                <w:rFonts w:asciiTheme="majorHAnsi" w:hAnsiTheme="majorHAnsi" w:cstheme="majorHAnsi"/>
                <w:i/>
                <w:sz w:val="22"/>
                <w:szCs w:val="22"/>
              </w:rPr>
              <w:t>Outcome of MRG consideration:</w:t>
            </w:r>
          </w:p>
        </w:tc>
        <w:tc>
          <w:tcPr>
            <w:tcW w:w="6524" w:type="dxa"/>
          </w:tcPr>
          <w:p w14:paraId="2A5096F8" w14:textId="1175FCC2" w:rsidR="004F07F3" w:rsidRPr="00936D28" w:rsidRDefault="004F07F3" w:rsidP="004F07F3">
            <w:pPr>
              <w:pStyle w:val="ListParagraph"/>
              <w:numPr>
                <w:ilvl w:val="0"/>
                <w:numId w:val="10"/>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No significant issues identified</w:t>
            </w:r>
          </w:p>
        </w:tc>
        <w:sdt>
          <w:sdtPr>
            <w:rPr>
              <w:rFonts w:asciiTheme="majorHAnsi" w:hAnsiTheme="majorHAnsi" w:cstheme="majorHAnsi"/>
              <w:sz w:val="22"/>
              <w:szCs w:val="22"/>
            </w:rPr>
            <w:id w:val="-1557849081"/>
            <w14:checkbox>
              <w14:checked w14:val="1"/>
              <w14:checkedState w14:val="2612" w14:font="MS Gothic"/>
              <w14:uncheckedState w14:val="2610" w14:font="MS Gothic"/>
            </w14:checkbox>
          </w:sdtPr>
          <w:sdtContent>
            <w:tc>
              <w:tcPr>
                <w:tcW w:w="710" w:type="dxa"/>
              </w:tcPr>
              <w:p w14:paraId="70BC7BC9" w14:textId="766E5206" w:rsidR="004F07F3" w:rsidRDefault="004F07F3" w:rsidP="004F07F3">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81" w:type="dxa"/>
          </w:tcPr>
          <w:p w14:paraId="09E5CA1B" w14:textId="77777777" w:rsidR="004F07F3" w:rsidRPr="00936D28" w:rsidRDefault="004F07F3" w:rsidP="004F07F3">
            <w:pPr>
              <w:rPr>
                <w:rFonts w:asciiTheme="majorHAnsi" w:hAnsiTheme="majorHAnsi" w:cstheme="majorHAnsi"/>
                <w:b/>
                <w:sz w:val="22"/>
                <w:szCs w:val="22"/>
              </w:rPr>
            </w:pPr>
          </w:p>
        </w:tc>
      </w:tr>
      <w:tr w:rsidR="004F07F3" w:rsidRPr="00936D28" w14:paraId="2F440DE0" w14:textId="77777777" w:rsidTr="004F07F3">
        <w:trPr>
          <w:trHeight w:val="228"/>
        </w:trPr>
        <w:tc>
          <w:tcPr>
            <w:tcW w:w="2108" w:type="dxa"/>
          </w:tcPr>
          <w:p w14:paraId="78FA41C6" w14:textId="77777777" w:rsidR="004F07F3" w:rsidRPr="00936D28" w:rsidRDefault="004F07F3" w:rsidP="004F07F3">
            <w:pPr>
              <w:rPr>
                <w:rFonts w:asciiTheme="majorHAnsi" w:hAnsiTheme="majorHAnsi" w:cstheme="majorHAnsi"/>
                <w:sz w:val="22"/>
                <w:szCs w:val="22"/>
              </w:rPr>
            </w:pPr>
          </w:p>
        </w:tc>
        <w:tc>
          <w:tcPr>
            <w:tcW w:w="6524" w:type="dxa"/>
          </w:tcPr>
          <w:p w14:paraId="33BA4F5A" w14:textId="014DAF30" w:rsidR="004F07F3" w:rsidRPr="00936D28" w:rsidRDefault="004F07F3" w:rsidP="004F07F3">
            <w:pPr>
              <w:pStyle w:val="ListParagraph"/>
              <w:numPr>
                <w:ilvl w:val="0"/>
                <w:numId w:val="10"/>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No significant issues on basis of completion of outstanding actions</w:t>
            </w:r>
          </w:p>
        </w:tc>
        <w:sdt>
          <w:sdtPr>
            <w:rPr>
              <w:rFonts w:asciiTheme="majorHAnsi" w:hAnsiTheme="majorHAnsi" w:cstheme="majorHAnsi"/>
              <w:sz w:val="22"/>
              <w:szCs w:val="22"/>
            </w:rPr>
            <w:id w:val="-2007736343"/>
            <w14:checkbox>
              <w14:checked w14:val="0"/>
              <w14:checkedState w14:val="2612" w14:font="MS Gothic"/>
              <w14:uncheckedState w14:val="2610" w14:font="MS Gothic"/>
            </w14:checkbox>
          </w:sdtPr>
          <w:sdtContent>
            <w:tc>
              <w:tcPr>
                <w:tcW w:w="710" w:type="dxa"/>
              </w:tcPr>
              <w:p w14:paraId="0D830471" w14:textId="1C46736C" w:rsidR="004F07F3" w:rsidRDefault="004F07F3" w:rsidP="004F07F3">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81" w:type="dxa"/>
          </w:tcPr>
          <w:p w14:paraId="764E273C" w14:textId="77777777" w:rsidR="004F07F3" w:rsidRPr="00936D28" w:rsidRDefault="004F07F3" w:rsidP="004F07F3">
            <w:pPr>
              <w:rPr>
                <w:rFonts w:asciiTheme="majorHAnsi" w:hAnsiTheme="majorHAnsi" w:cstheme="majorHAnsi"/>
                <w:b/>
                <w:sz w:val="22"/>
                <w:szCs w:val="22"/>
              </w:rPr>
            </w:pPr>
          </w:p>
        </w:tc>
      </w:tr>
      <w:tr w:rsidR="004F07F3" w:rsidRPr="00936D28" w14:paraId="69B25E47" w14:textId="77777777" w:rsidTr="004F07F3">
        <w:trPr>
          <w:trHeight w:val="228"/>
        </w:trPr>
        <w:tc>
          <w:tcPr>
            <w:tcW w:w="2108" w:type="dxa"/>
          </w:tcPr>
          <w:p w14:paraId="319B051D" w14:textId="77777777" w:rsidR="004F07F3" w:rsidRPr="00936D28" w:rsidRDefault="004F07F3" w:rsidP="004F07F3">
            <w:pPr>
              <w:rPr>
                <w:rFonts w:asciiTheme="majorHAnsi" w:hAnsiTheme="majorHAnsi" w:cstheme="majorHAnsi"/>
                <w:sz w:val="22"/>
                <w:szCs w:val="22"/>
              </w:rPr>
            </w:pPr>
          </w:p>
        </w:tc>
        <w:tc>
          <w:tcPr>
            <w:tcW w:w="6524" w:type="dxa"/>
          </w:tcPr>
          <w:p w14:paraId="231FFE22" w14:textId="55C6A570" w:rsidR="004F07F3" w:rsidRPr="00936D28" w:rsidRDefault="004F07F3" w:rsidP="004F07F3">
            <w:pPr>
              <w:pStyle w:val="ListParagraph"/>
              <w:numPr>
                <w:ilvl w:val="0"/>
                <w:numId w:val="10"/>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Some concerns expressed as caveats or limitations</w:t>
            </w:r>
          </w:p>
        </w:tc>
        <w:sdt>
          <w:sdtPr>
            <w:rPr>
              <w:rFonts w:asciiTheme="majorHAnsi" w:hAnsiTheme="majorHAnsi" w:cstheme="majorHAnsi"/>
              <w:sz w:val="22"/>
              <w:szCs w:val="22"/>
            </w:rPr>
            <w:id w:val="-834297655"/>
            <w14:checkbox>
              <w14:checked w14:val="0"/>
              <w14:checkedState w14:val="2612" w14:font="MS Gothic"/>
              <w14:uncheckedState w14:val="2610" w14:font="MS Gothic"/>
            </w14:checkbox>
          </w:sdtPr>
          <w:sdtContent>
            <w:tc>
              <w:tcPr>
                <w:tcW w:w="710" w:type="dxa"/>
              </w:tcPr>
              <w:p w14:paraId="1D65149A" w14:textId="40C5AFAA" w:rsidR="004F07F3" w:rsidRDefault="004F07F3" w:rsidP="004F07F3">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81" w:type="dxa"/>
          </w:tcPr>
          <w:p w14:paraId="49D41EE7" w14:textId="77777777" w:rsidR="004F07F3" w:rsidRPr="00936D28" w:rsidRDefault="004F07F3" w:rsidP="004F07F3">
            <w:pPr>
              <w:rPr>
                <w:rFonts w:asciiTheme="majorHAnsi" w:hAnsiTheme="majorHAnsi" w:cstheme="majorHAnsi"/>
                <w:b/>
                <w:sz w:val="22"/>
                <w:szCs w:val="22"/>
              </w:rPr>
            </w:pPr>
          </w:p>
        </w:tc>
      </w:tr>
      <w:tr w:rsidR="004F07F3" w:rsidRPr="00936D28" w14:paraId="37B9E3BB" w14:textId="77777777" w:rsidTr="004F07F3">
        <w:trPr>
          <w:trHeight w:val="228"/>
        </w:trPr>
        <w:tc>
          <w:tcPr>
            <w:tcW w:w="2108" w:type="dxa"/>
          </w:tcPr>
          <w:p w14:paraId="2AFF0DF4" w14:textId="77777777" w:rsidR="004F07F3" w:rsidRPr="00936D28" w:rsidRDefault="004F07F3" w:rsidP="004F07F3">
            <w:pPr>
              <w:rPr>
                <w:rFonts w:asciiTheme="majorHAnsi" w:hAnsiTheme="majorHAnsi" w:cstheme="majorHAnsi"/>
                <w:sz w:val="22"/>
                <w:szCs w:val="22"/>
              </w:rPr>
            </w:pPr>
          </w:p>
        </w:tc>
        <w:tc>
          <w:tcPr>
            <w:tcW w:w="6524" w:type="dxa"/>
          </w:tcPr>
          <w:p w14:paraId="15C71146" w14:textId="7AF0D330" w:rsidR="004F07F3" w:rsidRPr="00936D28" w:rsidRDefault="004F07F3" w:rsidP="004F07F3">
            <w:pPr>
              <w:pStyle w:val="ListParagraph"/>
              <w:numPr>
                <w:ilvl w:val="0"/>
                <w:numId w:val="10"/>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Significant reservations</w:t>
            </w:r>
          </w:p>
        </w:tc>
        <w:sdt>
          <w:sdtPr>
            <w:rPr>
              <w:rFonts w:asciiTheme="majorHAnsi" w:hAnsiTheme="majorHAnsi" w:cstheme="majorHAnsi"/>
              <w:sz w:val="22"/>
              <w:szCs w:val="22"/>
            </w:rPr>
            <w:id w:val="-1674564802"/>
            <w14:checkbox>
              <w14:checked w14:val="0"/>
              <w14:checkedState w14:val="2612" w14:font="MS Gothic"/>
              <w14:uncheckedState w14:val="2610" w14:font="MS Gothic"/>
            </w14:checkbox>
          </w:sdtPr>
          <w:sdtContent>
            <w:tc>
              <w:tcPr>
                <w:tcW w:w="710" w:type="dxa"/>
              </w:tcPr>
              <w:p w14:paraId="10EE76C9" w14:textId="03E2CEC1" w:rsidR="004F07F3" w:rsidRDefault="004F07F3" w:rsidP="004F07F3">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81" w:type="dxa"/>
          </w:tcPr>
          <w:p w14:paraId="274FB405" w14:textId="77777777" w:rsidR="004F07F3" w:rsidRPr="00936D28" w:rsidRDefault="004F07F3" w:rsidP="004F07F3">
            <w:pPr>
              <w:rPr>
                <w:rFonts w:asciiTheme="majorHAnsi" w:hAnsiTheme="majorHAnsi" w:cstheme="majorHAnsi"/>
                <w:b/>
                <w:sz w:val="22"/>
                <w:szCs w:val="22"/>
              </w:rPr>
            </w:pPr>
          </w:p>
        </w:tc>
      </w:tr>
      <w:tr w:rsidR="004F07F3" w:rsidRPr="00936D28" w14:paraId="62C5535E" w14:textId="77777777" w:rsidTr="004F07F3">
        <w:trPr>
          <w:trHeight w:val="228"/>
        </w:trPr>
        <w:tc>
          <w:tcPr>
            <w:tcW w:w="2108" w:type="dxa"/>
          </w:tcPr>
          <w:p w14:paraId="2F1325CD" w14:textId="77777777" w:rsidR="004F07F3" w:rsidRPr="00936D28" w:rsidRDefault="004F07F3" w:rsidP="004F07F3">
            <w:pPr>
              <w:rPr>
                <w:rFonts w:asciiTheme="majorHAnsi" w:hAnsiTheme="majorHAnsi" w:cstheme="majorHAnsi"/>
                <w:sz w:val="22"/>
                <w:szCs w:val="22"/>
              </w:rPr>
            </w:pPr>
          </w:p>
        </w:tc>
        <w:tc>
          <w:tcPr>
            <w:tcW w:w="6524" w:type="dxa"/>
          </w:tcPr>
          <w:p w14:paraId="0C9DE86A" w14:textId="2F226E66" w:rsidR="004F07F3" w:rsidRPr="00936D28" w:rsidRDefault="004F07F3" w:rsidP="004F07F3">
            <w:pPr>
              <w:pStyle w:val="ListParagraph"/>
              <w:numPr>
                <w:ilvl w:val="0"/>
                <w:numId w:val="10"/>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Unresolved issues</w:t>
            </w:r>
          </w:p>
        </w:tc>
        <w:sdt>
          <w:sdtPr>
            <w:rPr>
              <w:rFonts w:asciiTheme="majorHAnsi" w:hAnsiTheme="majorHAnsi" w:cstheme="majorHAnsi"/>
              <w:sz w:val="22"/>
              <w:szCs w:val="22"/>
            </w:rPr>
            <w:id w:val="1000468681"/>
            <w14:checkbox>
              <w14:checked w14:val="0"/>
              <w14:checkedState w14:val="2612" w14:font="MS Gothic"/>
              <w14:uncheckedState w14:val="2610" w14:font="MS Gothic"/>
            </w14:checkbox>
          </w:sdtPr>
          <w:sdtContent>
            <w:tc>
              <w:tcPr>
                <w:tcW w:w="710" w:type="dxa"/>
              </w:tcPr>
              <w:p w14:paraId="20E9F42A" w14:textId="56F1FFF1" w:rsidR="004F07F3" w:rsidRDefault="004F07F3" w:rsidP="004F07F3">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81" w:type="dxa"/>
          </w:tcPr>
          <w:p w14:paraId="4A48B7F0" w14:textId="77777777" w:rsidR="004F07F3" w:rsidRPr="00936D28" w:rsidRDefault="004F07F3" w:rsidP="004F07F3">
            <w:pPr>
              <w:rPr>
                <w:rFonts w:asciiTheme="majorHAnsi" w:hAnsiTheme="majorHAnsi" w:cstheme="majorHAnsi"/>
                <w:b/>
                <w:sz w:val="22"/>
                <w:szCs w:val="22"/>
              </w:rPr>
            </w:pPr>
          </w:p>
        </w:tc>
      </w:tr>
    </w:tbl>
    <w:p w14:paraId="7E75EC05" w14:textId="77777777" w:rsidR="004F07F3" w:rsidRDefault="004F07F3"/>
    <w:tbl>
      <w:tblPr>
        <w:tblStyle w:val="TableGrid"/>
        <w:tblW w:w="9923" w:type="dxa"/>
        <w:tblLook w:val="01E0" w:firstRow="1" w:lastRow="1" w:firstColumn="1" w:lastColumn="1" w:noHBand="0" w:noVBand="0"/>
      </w:tblPr>
      <w:tblGrid>
        <w:gridCol w:w="2108"/>
        <w:gridCol w:w="7815"/>
      </w:tblGrid>
      <w:tr w:rsidR="004F07F3" w:rsidRPr="00936D28" w14:paraId="76FEA8C5" w14:textId="77777777" w:rsidTr="004F07F3">
        <w:trPr>
          <w:trHeight w:val="805"/>
        </w:trPr>
        <w:tc>
          <w:tcPr>
            <w:tcW w:w="2108" w:type="dxa"/>
          </w:tcPr>
          <w:p w14:paraId="24340F1A" w14:textId="4B5702F6" w:rsidR="004F07F3" w:rsidRPr="00936D28" w:rsidRDefault="004F07F3" w:rsidP="004F07F3">
            <w:pPr>
              <w:rPr>
                <w:rFonts w:asciiTheme="majorHAnsi" w:hAnsiTheme="majorHAnsi" w:cstheme="majorHAnsi"/>
                <w:sz w:val="22"/>
                <w:szCs w:val="22"/>
              </w:rPr>
            </w:pPr>
            <w:r w:rsidRPr="00936D28">
              <w:rPr>
                <w:rFonts w:asciiTheme="majorHAnsi" w:hAnsiTheme="majorHAnsi" w:cstheme="majorHAnsi"/>
                <w:sz w:val="22"/>
                <w:szCs w:val="22"/>
              </w:rPr>
              <w:t>MRG statement of recommendation:</w:t>
            </w:r>
          </w:p>
        </w:tc>
        <w:tc>
          <w:tcPr>
            <w:tcW w:w="7815" w:type="dxa"/>
          </w:tcPr>
          <w:p w14:paraId="641973C0" w14:textId="77777777" w:rsidR="004F07F3" w:rsidRPr="00936D28" w:rsidRDefault="004F07F3" w:rsidP="004F07F3">
            <w:pPr>
              <w:pStyle w:val="ListParagraph"/>
              <w:numPr>
                <w:ilvl w:val="0"/>
                <w:numId w:val="12"/>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sz w:val="22"/>
                <w:szCs w:val="22"/>
              </w:rPr>
              <w:t>Based on the response to questions raised and follow up analysis regarding standardisation presented by the applicant, MRG members indicated they were content with the evidence presented.</w:t>
            </w:r>
          </w:p>
          <w:p w14:paraId="7C3421B9" w14:textId="77777777" w:rsidR="004F07F3" w:rsidRPr="00936D28" w:rsidRDefault="004F07F3" w:rsidP="004F07F3">
            <w:pPr>
              <w:pStyle w:val="ListParagraph"/>
              <w:numPr>
                <w:ilvl w:val="0"/>
                <w:numId w:val="12"/>
              </w:numPr>
              <w:spacing w:after="0"/>
              <w:contextualSpacing/>
              <w:textboxTightWrap w:val="none"/>
              <w:rPr>
                <w:rFonts w:asciiTheme="majorHAnsi" w:hAnsiTheme="majorHAnsi" w:cstheme="majorHAnsi"/>
                <w:sz w:val="22"/>
                <w:szCs w:val="22"/>
              </w:rPr>
            </w:pPr>
          </w:p>
        </w:tc>
      </w:tr>
    </w:tbl>
    <w:p w14:paraId="6BA91815" w14:textId="77777777" w:rsidR="00460B4E" w:rsidRPr="00936D28" w:rsidRDefault="00460B4E" w:rsidP="00460B4E">
      <w:pPr>
        <w:ind w:left="-851"/>
        <w:rPr>
          <w:rFonts w:asciiTheme="majorHAnsi" w:hAnsiTheme="majorHAnsi" w:cstheme="majorHAnsi"/>
          <w:sz w:val="22"/>
          <w:szCs w:val="22"/>
        </w:rPr>
      </w:pPr>
    </w:p>
    <w:p w14:paraId="510DC3FB" w14:textId="77777777" w:rsidR="00460B4E" w:rsidRPr="00936D28" w:rsidRDefault="00460B4E" w:rsidP="00460B4E">
      <w:pPr>
        <w:ind w:left="-851"/>
        <w:rPr>
          <w:rFonts w:asciiTheme="majorHAnsi" w:hAnsiTheme="majorHAnsi" w:cstheme="majorHAnsi"/>
          <w:sz w:val="22"/>
          <w:szCs w:val="22"/>
        </w:rPr>
      </w:pPr>
      <w:r w:rsidRPr="00936D28">
        <w:rPr>
          <w:rFonts w:asciiTheme="majorHAnsi" w:hAnsiTheme="majorHAnsi" w:cstheme="majorHAnsi"/>
          <w:sz w:val="22"/>
          <w:szCs w:val="22"/>
        </w:rPr>
        <w:t>Review:</w:t>
      </w:r>
    </w:p>
    <w:p w14:paraId="182452D2" w14:textId="745A95CA" w:rsidR="00460B4E" w:rsidRPr="00936D28" w:rsidRDefault="004F07F3" w:rsidP="00460B4E">
      <w:pPr>
        <w:ind w:left="-851"/>
        <w:rPr>
          <w:rFonts w:asciiTheme="majorHAnsi" w:hAnsiTheme="majorHAnsi" w:cstheme="majorHAnsi"/>
          <w:sz w:val="22"/>
          <w:szCs w:val="22"/>
        </w:rPr>
      </w:pPr>
      <w:r w:rsidRPr="00936D28">
        <w:rPr>
          <w:rFonts w:asciiTheme="majorHAnsi" w:hAnsiTheme="majorHAnsi" w:cstheme="majorHAnsi"/>
          <w:b/>
          <w:sz w:val="22"/>
          <w:szCs w:val="22"/>
        </w:rPr>
        <w:t>Review</w:t>
      </w:r>
    </w:p>
    <w:tbl>
      <w:tblPr>
        <w:tblStyle w:val="TableGrid"/>
        <w:tblW w:w="2127" w:type="dxa"/>
        <w:tblLayout w:type="fixed"/>
        <w:tblLook w:val="01E0" w:firstRow="1" w:lastRow="1" w:firstColumn="1" w:lastColumn="1" w:noHBand="0" w:noVBand="0"/>
      </w:tblPr>
      <w:tblGrid>
        <w:gridCol w:w="1418"/>
        <w:gridCol w:w="709"/>
      </w:tblGrid>
      <w:tr w:rsidR="004F07F3" w:rsidRPr="00936D28" w14:paraId="1DB6A769" w14:textId="77777777" w:rsidTr="004F07F3">
        <w:trPr>
          <w:trHeight w:val="285"/>
        </w:trPr>
        <w:tc>
          <w:tcPr>
            <w:tcW w:w="1418" w:type="dxa"/>
          </w:tcPr>
          <w:p w14:paraId="12DC2447" w14:textId="7A03B6D6" w:rsidR="004F07F3" w:rsidRPr="00936D28" w:rsidRDefault="004F07F3" w:rsidP="00460B4E">
            <w:pPr>
              <w:rPr>
                <w:rFonts w:asciiTheme="majorHAnsi" w:hAnsiTheme="majorHAnsi" w:cstheme="majorHAnsi"/>
                <w:b/>
                <w:sz w:val="22"/>
                <w:szCs w:val="22"/>
              </w:rPr>
            </w:pPr>
            <w:r w:rsidRPr="00936D28">
              <w:rPr>
                <w:rFonts w:asciiTheme="majorHAnsi" w:hAnsiTheme="majorHAnsi" w:cstheme="majorHAnsi"/>
                <w:sz w:val="22"/>
                <w:szCs w:val="22"/>
              </w:rPr>
              <w:t>Review Timescale</w:t>
            </w:r>
          </w:p>
        </w:tc>
        <w:tc>
          <w:tcPr>
            <w:tcW w:w="709" w:type="dxa"/>
          </w:tcPr>
          <w:p w14:paraId="22687E01" w14:textId="77777777" w:rsidR="004F07F3" w:rsidRDefault="004F07F3" w:rsidP="00460B4E">
            <w:pPr>
              <w:jc w:val="center"/>
              <w:rPr>
                <w:rFonts w:asciiTheme="majorHAnsi" w:hAnsiTheme="majorHAnsi" w:cstheme="majorHAnsi"/>
                <w:sz w:val="22"/>
                <w:szCs w:val="22"/>
              </w:rPr>
            </w:pPr>
          </w:p>
        </w:tc>
      </w:tr>
      <w:tr w:rsidR="004F07F3" w:rsidRPr="00936D28" w14:paraId="313EEC6E" w14:textId="77777777" w:rsidTr="004F07F3">
        <w:trPr>
          <w:trHeight w:val="285"/>
        </w:trPr>
        <w:tc>
          <w:tcPr>
            <w:tcW w:w="1418" w:type="dxa"/>
          </w:tcPr>
          <w:p w14:paraId="45EF68B8" w14:textId="77777777" w:rsidR="004F07F3" w:rsidRPr="00936D28" w:rsidRDefault="004F07F3" w:rsidP="00460B4E">
            <w:pPr>
              <w:rPr>
                <w:rFonts w:asciiTheme="majorHAnsi" w:hAnsiTheme="majorHAnsi" w:cstheme="majorHAnsi"/>
                <w:sz w:val="22"/>
                <w:szCs w:val="22"/>
              </w:rPr>
            </w:pPr>
            <w:r w:rsidRPr="00936D28">
              <w:rPr>
                <w:rFonts w:asciiTheme="majorHAnsi" w:hAnsiTheme="majorHAnsi" w:cstheme="majorHAnsi"/>
                <w:b/>
                <w:sz w:val="22"/>
                <w:szCs w:val="22"/>
              </w:rPr>
              <w:t>1 year</w:t>
            </w:r>
          </w:p>
        </w:tc>
        <w:sdt>
          <w:sdtPr>
            <w:rPr>
              <w:rFonts w:asciiTheme="majorHAnsi" w:hAnsiTheme="majorHAnsi" w:cstheme="majorHAnsi"/>
              <w:sz w:val="22"/>
              <w:szCs w:val="22"/>
            </w:rPr>
            <w:id w:val="-259916547"/>
            <w14:checkbox>
              <w14:checked w14:val="0"/>
              <w14:checkedState w14:val="2612" w14:font="MS Gothic"/>
              <w14:uncheckedState w14:val="2610" w14:font="MS Gothic"/>
            </w14:checkbox>
          </w:sdtPr>
          <w:sdtContent>
            <w:tc>
              <w:tcPr>
                <w:tcW w:w="709" w:type="dxa"/>
              </w:tcPr>
              <w:p w14:paraId="0C912D0B" w14:textId="77777777" w:rsidR="004F07F3" w:rsidRPr="00936D28" w:rsidRDefault="004F07F3" w:rsidP="00460B4E">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r>
      <w:tr w:rsidR="004F07F3" w:rsidRPr="00936D28" w14:paraId="2975CD95" w14:textId="77777777" w:rsidTr="004F07F3">
        <w:trPr>
          <w:trHeight w:val="285"/>
        </w:trPr>
        <w:tc>
          <w:tcPr>
            <w:tcW w:w="1418" w:type="dxa"/>
          </w:tcPr>
          <w:p w14:paraId="56010656" w14:textId="77777777" w:rsidR="004F07F3" w:rsidRPr="00936D28" w:rsidRDefault="004F07F3" w:rsidP="00460B4E">
            <w:pPr>
              <w:rPr>
                <w:rFonts w:asciiTheme="majorHAnsi" w:hAnsiTheme="majorHAnsi" w:cstheme="majorHAnsi"/>
                <w:sz w:val="22"/>
                <w:szCs w:val="22"/>
              </w:rPr>
            </w:pPr>
            <w:r w:rsidRPr="00936D28">
              <w:rPr>
                <w:rFonts w:asciiTheme="majorHAnsi" w:hAnsiTheme="majorHAnsi" w:cstheme="majorHAnsi"/>
                <w:b/>
                <w:sz w:val="22"/>
                <w:szCs w:val="22"/>
              </w:rPr>
              <w:t>3 years</w:t>
            </w:r>
          </w:p>
        </w:tc>
        <w:sdt>
          <w:sdtPr>
            <w:rPr>
              <w:rFonts w:asciiTheme="majorHAnsi" w:hAnsiTheme="majorHAnsi" w:cstheme="majorHAnsi"/>
              <w:sz w:val="22"/>
              <w:szCs w:val="22"/>
            </w:rPr>
            <w:id w:val="-634099778"/>
            <w14:checkbox>
              <w14:checked w14:val="1"/>
              <w14:checkedState w14:val="2612" w14:font="MS Gothic"/>
              <w14:uncheckedState w14:val="2610" w14:font="MS Gothic"/>
            </w14:checkbox>
          </w:sdtPr>
          <w:sdtContent>
            <w:tc>
              <w:tcPr>
                <w:tcW w:w="709" w:type="dxa"/>
              </w:tcPr>
              <w:p w14:paraId="005CEAF0" w14:textId="77777777" w:rsidR="004F07F3" w:rsidRPr="00936D28" w:rsidRDefault="004F07F3" w:rsidP="00460B4E">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r>
      <w:tr w:rsidR="004F07F3" w:rsidRPr="00936D28" w14:paraId="5241F721" w14:textId="77777777" w:rsidTr="004F07F3">
        <w:trPr>
          <w:trHeight w:val="285"/>
        </w:trPr>
        <w:tc>
          <w:tcPr>
            <w:tcW w:w="1418" w:type="dxa"/>
          </w:tcPr>
          <w:p w14:paraId="275CA8FC" w14:textId="77777777" w:rsidR="004F07F3" w:rsidRPr="00936D28" w:rsidRDefault="004F07F3" w:rsidP="00460B4E">
            <w:pPr>
              <w:rPr>
                <w:rFonts w:asciiTheme="majorHAnsi" w:hAnsiTheme="majorHAnsi" w:cstheme="majorHAnsi"/>
                <w:sz w:val="22"/>
                <w:szCs w:val="22"/>
              </w:rPr>
            </w:pPr>
            <w:r w:rsidRPr="00936D28">
              <w:rPr>
                <w:rFonts w:asciiTheme="majorHAnsi" w:hAnsiTheme="majorHAnsi" w:cstheme="majorHAnsi"/>
                <w:b/>
                <w:sz w:val="22"/>
                <w:szCs w:val="22"/>
              </w:rPr>
              <w:t>Other:</w:t>
            </w:r>
          </w:p>
        </w:tc>
        <w:sdt>
          <w:sdtPr>
            <w:rPr>
              <w:rFonts w:asciiTheme="majorHAnsi" w:hAnsiTheme="majorHAnsi" w:cstheme="majorHAnsi"/>
              <w:sz w:val="22"/>
              <w:szCs w:val="22"/>
            </w:rPr>
            <w:id w:val="1055120544"/>
            <w14:checkbox>
              <w14:checked w14:val="0"/>
              <w14:checkedState w14:val="2612" w14:font="MS Gothic"/>
              <w14:uncheckedState w14:val="2610" w14:font="MS Gothic"/>
            </w14:checkbox>
          </w:sdtPr>
          <w:sdtContent>
            <w:tc>
              <w:tcPr>
                <w:tcW w:w="709" w:type="dxa"/>
              </w:tcPr>
              <w:p w14:paraId="28CB8A4D" w14:textId="77777777" w:rsidR="004F07F3" w:rsidRPr="00936D28" w:rsidRDefault="004F07F3" w:rsidP="00460B4E">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r>
    </w:tbl>
    <w:p w14:paraId="47B28D3C" w14:textId="3643F19F" w:rsidR="00000D88" w:rsidRPr="00936D28" w:rsidRDefault="00000D88" w:rsidP="00460B4E">
      <w:pPr>
        <w:rPr>
          <w:rFonts w:asciiTheme="majorHAnsi" w:hAnsiTheme="majorHAnsi" w:cstheme="majorHAnsi"/>
          <w:sz w:val="22"/>
          <w:szCs w:val="22"/>
        </w:rPr>
      </w:pPr>
    </w:p>
    <w:p w14:paraId="11071D38" w14:textId="77777777" w:rsidR="004F07F3" w:rsidRPr="00936D28" w:rsidRDefault="004F07F3" w:rsidP="004F07F3">
      <w:pPr>
        <w:rPr>
          <w:rFonts w:asciiTheme="majorHAnsi" w:hAnsiTheme="majorHAnsi" w:cstheme="majorHAnsi"/>
          <w:sz w:val="22"/>
          <w:szCs w:val="22"/>
        </w:rPr>
      </w:pPr>
      <w:r w:rsidRPr="00936D28">
        <w:rPr>
          <w:rFonts w:asciiTheme="majorHAnsi" w:hAnsiTheme="majorHAnsi" w:cstheme="majorHAnsi"/>
          <w:sz w:val="22"/>
          <w:szCs w:val="22"/>
        </w:rPr>
        <w:t xml:space="preserve">Rationale      </w:t>
      </w:r>
      <w:proofErr w:type="gramStart"/>
      <w:r w:rsidRPr="00936D28">
        <w:rPr>
          <w:rFonts w:asciiTheme="majorHAnsi" w:hAnsiTheme="majorHAnsi" w:cstheme="majorHAnsi"/>
          <w:sz w:val="22"/>
          <w:szCs w:val="22"/>
        </w:rPr>
        <w:t xml:space="preserve">   [</w:t>
      </w:r>
      <w:proofErr w:type="gramEnd"/>
      <w:r w:rsidRPr="00936D28">
        <w:rPr>
          <w:rFonts w:asciiTheme="majorHAnsi" w:hAnsiTheme="majorHAnsi" w:cstheme="majorHAnsi"/>
          <w:sz w:val="22"/>
          <w:szCs w:val="22"/>
        </w:rPr>
        <w:t>Issues to consider  – Changes to process, policy data source, coding definitions HES definitions ]</w:t>
      </w:r>
    </w:p>
    <w:p w14:paraId="679926F8" w14:textId="58F8AF48" w:rsidR="00000D88" w:rsidRPr="00936D28" w:rsidRDefault="004F07F3" w:rsidP="004F07F3">
      <w:p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t>The indicator is recommended for review in three years on the rationale that no changes to methodology are anticipated.</w:t>
      </w:r>
      <w:r w:rsidR="00000D88" w:rsidRPr="00936D28">
        <w:rPr>
          <w:rFonts w:asciiTheme="majorHAnsi" w:hAnsiTheme="majorHAnsi" w:cstheme="majorHAnsi"/>
          <w:sz w:val="22"/>
          <w:szCs w:val="22"/>
        </w:rPr>
        <w:br w:type="page"/>
      </w:r>
    </w:p>
    <w:p w14:paraId="55F86B94" w14:textId="77777777" w:rsidR="00460B4E" w:rsidRPr="00936D28" w:rsidRDefault="00460B4E" w:rsidP="00460B4E">
      <w:pPr>
        <w:rPr>
          <w:rFonts w:asciiTheme="majorHAnsi" w:hAnsiTheme="majorHAnsi" w:cstheme="majorHAnsi"/>
          <w:sz w:val="22"/>
          <w:szCs w:val="22"/>
        </w:rPr>
      </w:pPr>
    </w:p>
    <w:p w14:paraId="27E109AB" w14:textId="77777777" w:rsidR="00460B4E" w:rsidRPr="00936D28" w:rsidRDefault="00460B4E" w:rsidP="00460B4E">
      <w:pPr>
        <w:tabs>
          <w:tab w:val="left" w:pos="2830"/>
        </w:tabs>
        <w:ind w:left="-851"/>
        <w:rPr>
          <w:rFonts w:asciiTheme="majorHAnsi" w:hAnsiTheme="majorHAnsi" w:cstheme="majorHAnsi"/>
          <w:sz w:val="22"/>
          <w:szCs w:val="22"/>
        </w:rPr>
      </w:pPr>
      <w:r w:rsidRPr="00936D28">
        <w:rPr>
          <w:rFonts w:asciiTheme="majorHAnsi" w:hAnsiTheme="majorHAnsi" w:cstheme="majorHAnsi"/>
          <w:sz w:val="22"/>
          <w:szCs w:val="22"/>
        </w:rPr>
        <w:t xml:space="preserve">IGB Sign-off: </w:t>
      </w:r>
    </w:p>
    <w:p w14:paraId="7F3CBAE9" w14:textId="2235BB4C" w:rsidR="00460B4E" w:rsidRPr="00936D28" w:rsidRDefault="004F07F3" w:rsidP="00460B4E">
      <w:pPr>
        <w:rPr>
          <w:rFonts w:asciiTheme="majorHAnsi" w:hAnsiTheme="majorHAnsi" w:cstheme="majorHAnsi"/>
          <w:sz w:val="22"/>
          <w:szCs w:val="22"/>
        </w:rPr>
      </w:pPr>
      <w:r w:rsidRPr="00936D28">
        <w:rPr>
          <w:rFonts w:asciiTheme="majorHAnsi" w:hAnsiTheme="majorHAnsi" w:cstheme="majorHAnsi"/>
          <w:b/>
          <w:sz w:val="22"/>
          <w:szCs w:val="22"/>
        </w:rPr>
        <w:t>Indicator Assurance Process Output</w:t>
      </w:r>
    </w:p>
    <w:tbl>
      <w:tblPr>
        <w:tblStyle w:val="TableGrid"/>
        <w:tblW w:w="9923" w:type="dxa"/>
        <w:tblLayout w:type="fixed"/>
        <w:tblLook w:val="01E0" w:firstRow="1" w:lastRow="1" w:firstColumn="1" w:lastColumn="1" w:noHBand="0" w:noVBand="0"/>
      </w:tblPr>
      <w:tblGrid>
        <w:gridCol w:w="2124"/>
        <w:gridCol w:w="6509"/>
        <w:gridCol w:w="713"/>
        <w:gridCol w:w="577"/>
      </w:tblGrid>
      <w:tr w:rsidR="004F07F3" w:rsidRPr="00936D28" w14:paraId="00923A62" w14:textId="77777777" w:rsidTr="002F05F5">
        <w:trPr>
          <w:trHeight w:val="228"/>
        </w:trPr>
        <w:tc>
          <w:tcPr>
            <w:tcW w:w="2124" w:type="dxa"/>
          </w:tcPr>
          <w:p w14:paraId="1667FBDE" w14:textId="537B9193" w:rsidR="004F07F3" w:rsidRPr="00936D28" w:rsidRDefault="004F07F3" w:rsidP="004F07F3">
            <w:pPr>
              <w:rPr>
                <w:rFonts w:asciiTheme="majorHAnsi" w:hAnsiTheme="majorHAnsi" w:cstheme="majorHAnsi"/>
                <w:sz w:val="22"/>
                <w:szCs w:val="22"/>
              </w:rPr>
            </w:pPr>
            <w:r w:rsidRPr="00936D28">
              <w:rPr>
                <w:rFonts w:asciiTheme="majorHAnsi" w:hAnsiTheme="majorHAnsi" w:cstheme="majorHAnsi"/>
                <w:i/>
                <w:sz w:val="22"/>
                <w:szCs w:val="22"/>
              </w:rPr>
              <w:t>Final Appraisal Status</w:t>
            </w:r>
          </w:p>
        </w:tc>
        <w:tc>
          <w:tcPr>
            <w:tcW w:w="6509" w:type="dxa"/>
          </w:tcPr>
          <w:p w14:paraId="2E362B3F" w14:textId="66F5DE01" w:rsidR="004F07F3" w:rsidRPr="00936D28" w:rsidRDefault="004F07F3" w:rsidP="004F07F3">
            <w:pPr>
              <w:pStyle w:val="ListParagraph"/>
              <w:numPr>
                <w:ilvl w:val="0"/>
                <w:numId w:val="11"/>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Assured</w:t>
            </w:r>
          </w:p>
        </w:tc>
        <w:sdt>
          <w:sdtPr>
            <w:rPr>
              <w:rFonts w:asciiTheme="majorHAnsi" w:hAnsiTheme="majorHAnsi" w:cstheme="majorHAnsi"/>
              <w:sz w:val="22"/>
              <w:szCs w:val="22"/>
            </w:rPr>
            <w:id w:val="1516966324"/>
            <w14:checkbox>
              <w14:checked w14:val="0"/>
              <w14:checkedState w14:val="2612" w14:font="MS Gothic"/>
              <w14:uncheckedState w14:val="2610" w14:font="MS Gothic"/>
            </w14:checkbox>
          </w:sdtPr>
          <w:sdtContent>
            <w:tc>
              <w:tcPr>
                <w:tcW w:w="713" w:type="dxa"/>
              </w:tcPr>
              <w:p w14:paraId="6F25E12E" w14:textId="0152C5FA" w:rsidR="004F07F3" w:rsidRDefault="004F07F3" w:rsidP="004F07F3">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77" w:type="dxa"/>
          </w:tcPr>
          <w:p w14:paraId="1B3CA4FD" w14:textId="77777777" w:rsidR="004F07F3" w:rsidRPr="00936D28" w:rsidRDefault="004F07F3" w:rsidP="004F07F3">
            <w:pPr>
              <w:rPr>
                <w:rFonts w:asciiTheme="majorHAnsi" w:hAnsiTheme="majorHAnsi" w:cstheme="majorHAnsi"/>
                <w:b/>
                <w:sz w:val="22"/>
                <w:szCs w:val="22"/>
              </w:rPr>
            </w:pPr>
          </w:p>
        </w:tc>
      </w:tr>
      <w:tr w:rsidR="004F07F3" w:rsidRPr="00936D28" w14:paraId="5489C900" w14:textId="77777777" w:rsidTr="002F05F5">
        <w:trPr>
          <w:trHeight w:val="228"/>
        </w:trPr>
        <w:tc>
          <w:tcPr>
            <w:tcW w:w="2124" w:type="dxa"/>
          </w:tcPr>
          <w:p w14:paraId="7D854C29" w14:textId="77777777" w:rsidR="004F07F3" w:rsidRPr="00936D28" w:rsidRDefault="004F07F3" w:rsidP="004F07F3">
            <w:pPr>
              <w:rPr>
                <w:rFonts w:asciiTheme="majorHAnsi" w:hAnsiTheme="majorHAnsi" w:cstheme="majorHAnsi"/>
                <w:sz w:val="22"/>
                <w:szCs w:val="22"/>
              </w:rPr>
            </w:pPr>
          </w:p>
        </w:tc>
        <w:tc>
          <w:tcPr>
            <w:tcW w:w="6509" w:type="dxa"/>
          </w:tcPr>
          <w:p w14:paraId="7DC7CB82" w14:textId="5F81B3BA" w:rsidR="004F07F3" w:rsidRPr="00936D28" w:rsidRDefault="004F07F3" w:rsidP="004F07F3">
            <w:pPr>
              <w:pStyle w:val="ListParagraph"/>
              <w:numPr>
                <w:ilvl w:val="0"/>
                <w:numId w:val="11"/>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Assured with Comments</w:t>
            </w:r>
          </w:p>
        </w:tc>
        <w:sdt>
          <w:sdtPr>
            <w:rPr>
              <w:rFonts w:asciiTheme="majorHAnsi" w:hAnsiTheme="majorHAnsi" w:cstheme="majorHAnsi"/>
              <w:sz w:val="22"/>
              <w:szCs w:val="22"/>
            </w:rPr>
            <w:id w:val="1990827644"/>
            <w14:checkbox>
              <w14:checked w14:val="0"/>
              <w14:checkedState w14:val="2612" w14:font="MS Gothic"/>
              <w14:uncheckedState w14:val="2610" w14:font="MS Gothic"/>
            </w14:checkbox>
          </w:sdtPr>
          <w:sdtContent>
            <w:tc>
              <w:tcPr>
                <w:tcW w:w="713" w:type="dxa"/>
              </w:tcPr>
              <w:p w14:paraId="74D73BED" w14:textId="0DD8D159" w:rsidR="004F07F3" w:rsidRDefault="004F07F3" w:rsidP="004F07F3">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77" w:type="dxa"/>
          </w:tcPr>
          <w:p w14:paraId="0022DD20" w14:textId="77777777" w:rsidR="004F07F3" w:rsidRPr="00936D28" w:rsidRDefault="004F07F3" w:rsidP="004F07F3">
            <w:pPr>
              <w:rPr>
                <w:rFonts w:asciiTheme="majorHAnsi" w:hAnsiTheme="majorHAnsi" w:cstheme="majorHAnsi"/>
                <w:b/>
                <w:sz w:val="22"/>
                <w:szCs w:val="22"/>
              </w:rPr>
            </w:pPr>
          </w:p>
        </w:tc>
      </w:tr>
      <w:tr w:rsidR="004F07F3" w:rsidRPr="00936D28" w14:paraId="3B8297AE" w14:textId="77777777" w:rsidTr="002F05F5">
        <w:trPr>
          <w:trHeight w:val="228"/>
        </w:trPr>
        <w:tc>
          <w:tcPr>
            <w:tcW w:w="2124" w:type="dxa"/>
          </w:tcPr>
          <w:p w14:paraId="499096F5" w14:textId="77777777" w:rsidR="004F07F3" w:rsidRPr="00936D28" w:rsidRDefault="004F07F3" w:rsidP="004F07F3">
            <w:pPr>
              <w:rPr>
                <w:rFonts w:asciiTheme="majorHAnsi" w:hAnsiTheme="majorHAnsi" w:cstheme="majorHAnsi"/>
                <w:sz w:val="22"/>
                <w:szCs w:val="22"/>
              </w:rPr>
            </w:pPr>
          </w:p>
        </w:tc>
        <w:tc>
          <w:tcPr>
            <w:tcW w:w="6509" w:type="dxa"/>
          </w:tcPr>
          <w:p w14:paraId="4AFC1B5B" w14:textId="51E3FC0D" w:rsidR="004F07F3" w:rsidRPr="00936D28" w:rsidRDefault="004F07F3" w:rsidP="004F07F3">
            <w:pPr>
              <w:pStyle w:val="ListParagraph"/>
              <w:numPr>
                <w:ilvl w:val="0"/>
                <w:numId w:val="11"/>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Failed Assurance</w:t>
            </w:r>
          </w:p>
        </w:tc>
        <w:sdt>
          <w:sdtPr>
            <w:rPr>
              <w:rFonts w:asciiTheme="majorHAnsi" w:hAnsiTheme="majorHAnsi" w:cstheme="majorHAnsi"/>
              <w:sz w:val="22"/>
              <w:szCs w:val="22"/>
            </w:rPr>
            <w:id w:val="1506167957"/>
            <w14:checkbox>
              <w14:checked w14:val="0"/>
              <w14:checkedState w14:val="2612" w14:font="MS Gothic"/>
              <w14:uncheckedState w14:val="2610" w14:font="MS Gothic"/>
            </w14:checkbox>
          </w:sdtPr>
          <w:sdtContent>
            <w:tc>
              <w:tcPr>
                <w:tcW w:w="713" w:type="dxa"/>
              </w:tcPr>
              <w:p w14:paraId="44B2508B" w14:textId="32496BD2" w:rsidR="004F07F3" w:rsidRDefault="004F07F3" w:rsidP="004F07F3">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77" w:type="dxa"/>
          </w:tcPr>
          <w:p w14:paraId="07C8C036" w14:textId="77777777" w:rsidR="004F07F3" w:rsidRPr="00936D28" w:rsidRDefault="004F07F3" w:rsidP="004F07F3">
            <w:pPr>
              <w:rPr>
                <w:rFonts w:asciiTheme="majorHAnsi" w:hAnsiTheme="majorHAnsi" w:cstheme="majorHAnsi"/>
                <w:b/>
                <w:sz w:val="22"/>
                <w:szCs w:val="22"/>
              </w:rPr>
            </w:pPr>
          </w:p>
        </w:tc>
      </w:tr>
    </w:tbl>
    <w:p w14:paraId="025F0471" w14:textId="77777777" w:rsidR="004F07F3" w:rsidRDefault="004F07F3"/>
    <w:tbl>
      <w:tblPr>
        <w:tblStyle w:val="TableGrid"/>
        <w:tblW w:w="9923" w:type="dxa"/>
        <w:tblLayout w:type="fixed"/>
        <w:tblLook w:val="01E0" w:firstRow="1" w:lastRow="1" w:firstColumn="1" w:lastColumn="1" w:noHBand="0" w:noVBand="0"/>
      </w:tblPr>
      <w:tblGrid>
        <w:gridCol w:w="2124"/>
        <w:gridCol w:w="7799"/>
      </w:tblGrid>
      <w:tr w:rsidR="004F07F3" w:rsidRPr="00936D28" w14:paraId="03D42DB5" w14:textId="77777777" w:rsidTr="002F05F5">
        <w:tc>
          <w:tcPr>
            <w:tcW w:w="2124" w:type="dxa"/>
          </w:tcPr>
          <w:p w14:paraId="25239FC0" w14:textId="77777777" w:rsidR="004F07F3" w:rsidRPr="00936D28" w:rsidRDefault="004F07F3" w:rsidP="004F07F3">
            <w:pPr>
              <w:rPr>
                <w:rFonts w:asciiTheme="majorHAnsi" w:hAnsiTheme="majorHAnsi" w:cstheme="majorHAnsi"/>
                <w:sz w:val="22"/>
                <w:szCs w:val="22"/>
              </w:rPr>
            </w:pPr>
            <w:r w:rsidRPr="00936D28">
              <w:rPr>
                <w:rFonts w:asciiTheme="majorHAnsi" w:hAnsiTheme="majorHAnsi" w:cstheme="majorHAnsi"/>
                <w:sz w:val="22"/>
                <w:szCs w:val="22"/>
              </w:rPr>
              <w:t>Basis of Sign-off</w:t>
            </w:r>
          </w:p>
          <w:p w14:paraId="5EBA3BA8" w14:textId="62B43E3F" w:rsidR="004F07F3" w:rsidRPr="00936D28" w:rsidRDefault="004F07F3" w:rsidP="004F07F3">
            <w:pPr>
              <w:rPr>
                <w:rFonts w:asciiTheme="majorHAnsi" w:hAnsiTheme="majorHAnsi" w:cstheme="majorHAnsi"/>
                <w:sz w:val="22"/>
                <w:szCs w:val="22"/>
              </w:rPr>
            </w:pPr>
            <w:r w:rsidRPr="00936D28">
              <w:rPr>
                <w:rFonts w:asciiTheme="majorHAnsi" w:hAnsiTheme="majorHAnsi" w:cstheme="majorHAnsi"/>
                <w:sz w:val="22"/>
                <w:szCs w:val="22"/>
              </w:rPr>
              <w:t xml:space="preserve">[Detail caveats and </w:t>
            </w:r>
            <w:proofErr w:type="gramStart"/>
            <w:r w:rsidRPr="00936D28">
              <w:rPr>
                <w:rFonts w:asciiTheme="majorHAnsi" w:hAnsiTheme="majorHAnsi" w:cstheme="majorHAnsi"/>
                <w:sz w:val="22"/>
                <w:szCs w:val="22"/>
              </w:rPr>
              <w:t>limitations ]</w:t>
            </w:r>
            <w:proofErr w:type="gramEnd"/>
          </w:p>
        </w:tc>
        <w:tc>
          <w:tcPr>
            <w:tcW w:w="7799" w:type="dxa"/>
          </w:tcPr>
          <w:p w14:paraId="298F91AC" w14:textId="77777777" w:rsidR="004F07F3" w:rsidRPr="00936D28" w:rsidRDefault="004F07F3" w:rsidP="00460B4E">
            <w:pPr>
              <w:rPr>
                <w:rFonts w:asciiTheme="majorHAnsi" w:hAnsiTheme="majorHAnsi" w:cstheme="majorHAnsi"/>
                <w:sz w:val="22"/>
                <w:szCs w:val="22"/>
              </w:rPr>
            </w:pPr>
          </w:p>
        </w:tc>
      </w:tr>
      <w:tr w:rsidR="00460B4E" w:rsidRPr="00936D28" w14:paraId="05D0BD60" w14:textId="77777777" w:rsidTr="002F05F5">
        <w:tc>
          <w:tcPr>
            <w:tcW w:w="2124" w:type="dxa"/>
          </w:tcPr>
          <w:p w14:paraId="39E9E2DB"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Sign-off Date</w:t>
            </w:r>
          </w:p>
        </w:tc>
        <w:tc>
          <w:tcPr>
            <w:tcW w:w="7799" w:type="dxa"/>
          </w:tcPr>
          <w:p w14:paraId="5CB0CDB7" w14:textId="77777777" w:rsidR="00460B4E" w:rsidRPr="00936D28" w:rsidRDefault="00460B4E" w:rsidP="00460B4E">
            <w:pPr>
              <w:rPr>
                <w:rFonts w:asciiTheme="majorHAnsi" w:hAnsiTheme="majorHAnsi" w:cstheme="majorHAnsi"/>
                <w:sz w:val="22"/>
                <w:szCs w:val="22"/>
              </w:rPr>
            </w:pPr>
          </w:p>
        </w:tc>
      </w:tr>
    </w:tbl>
    <w:p w14:paraId="33FDC1D3" w14:textId="77777777" w:rsidR="00460B4E" w:rsidRPr="00936D28" w:rsidRDefault="00460B4E" w:rsidP="00460B4E">
      <w:pPr>
        <w:rPr>
          <w:rFonts w:asciiTheme="majorHAnsi" w:hAnsiTheme="majorHAnsi" w:cstheme="majorHAnsi"/>
          <w:sz w:val="22"/>
          <w:szCs w:val="22"/>
        </w:rPr>
      </w:pPr>
    </w:p>
    <w:p w14:paraId="29018D1A" w14:textId="77777777" w:rsidR="00460B4E" w:rsidRPr="00936D28" w:rsidRDefault="00460B4E">
      <w:pPr>
        <w:rPr>
          <w:rFonts w:asciiTheme="majorHAnsi" w:hAnsiTheme="majorHAnsi" w:cstheme="majorHAnsi"/>
          <w:sz w:val="22"/>
          <w:szCs w:val="22"/>
        </w:rPr>
      </w:pPr>
      <w:r w:rsidRPr="00936D28">
        <w:rPr>
          <w:rFonts w:asciiTheme="majorHAnsi" w:hAnsiTheme="majorHAnsi" w:cstheme="majorHAnsi"/>
          <w:sz w:val="22"/>
          <w:szCs w:val="22"/>
        </w:rPr>
        <w:br w:type="page"/>
      </w:r>
    </w:p>
    <w:p w14:paraId="3B8EE2EE" w14:textId="77777777" w:rsidR="00460B4E" w:rsidRPr="00936D28" w:rsidRDefault="00460B4E" w:rsidP="00460B4E">
      <w:pPr>
        <w:ind w:left="-851"/>
        <w:rPr>
          <w:rFonts w:asciiTheme="majorHAnsi" w:hAnsiTheme="majorHAnsi" w:cstheme="majorHAnsi"/>
          <w:sz w:val="22"/>
          <w:szCs w:val="22"/>
        </w:rPr>
      </w:pPr>
      <w:r w:rsidRPr="00936D28">
        <w:rPr>
          <w:rFonts w:asciiTheme="majorHAnsi" w:hAnsiTheme="majorHAnsi" w:cstheme="majorHAnsi"/>
          <w:sz w:val="22"/>
          <w:szCs w:val="22"/>
        </w:rPr>
        <w:lastRenderedPageBreak/>
        <w:t xml:space="preserve">Record of Assurance provided by </w:t>
      </w:r>
      <w:r w:rsidRPr="00936D28">
        <w:rPr>
          <w:rFonts w:asciiTheme="majorHAnsi" w:hAnsiTheme="majorHAnsi" w:cstheme="majorHAnsi"/>
          <w:b/>
          <w:sz w:val="22"/>
          <w:szCs w:val="22"/>
        </w:rPr>
        <w:t>Indicator Governance Board</w:t>
      </w:r>
    </w:p>
    <w:p w14:paraId="73A49F0C" w14:textId="77777777" w:rsidR="00460B4E" w:rsidRPr="00936D28" w:rsidRDefault="00460B4E" w:rsidP="00460B4E">
      <w:pPr>
        <w:rPr>
          <w:rFonts w:asciiTheme="majorHAnsi" w:hAnsiTheme="majorHAnsi" w:cstheme="majorHAnsi"/>
          <w:sz w:val="22"/>
          <w:szCs w:val="22"/>
        </w:rPr>
      </w:pPr>
    </w:p>
    <w:tbl>
      <w:tblPr>
        <w:tblStyle w:val="TableGrid"/>
        <w:tblW w:w="9923" w:type="dxa"/>
        <w:tblLayout w:type="fixed"/>
        <w:tblLook w:val="01E0" w:firstRow="1" w:lastRow="1" w:firstColumn="1" w:lastColumn="1" w:noHBand="0" w:noVBand="0"/>
      </w:tblPr>
      <w:tblGrid>
        <w:gridCol w:w="2122"/>
        <w:gridCol w:w="5379"/>
        <w:gridCol w:w="997"/>
        <w:gridCol w:w="1425"/>
      </w:tblGrid>
      <w:tr w:rsidR="00460B4E" w:rsidRPr="00936D28" w14:paraId="4A57AB5B" w14:textId="77777777" w:rsidTr="004F07F3">
        <w:tc>
          <w:tcPr>
            <w:tcW w:w="2122" w:type="dxa"/>
          </w:tcPr>
          <w:p w14:paraId="0D76805B" w14:textId="77777777" w:rsidR="00460B4E" w:rsidRPr="00936D28" w:rsidRDefault="00460B4E" w:rsidP="00460B4E">
            <w:pPr>
              <w:rPr>
                <w:rFonts w:asciiTheme="majorHAnsi" w:hAnsiTheme="majorHAnsi" w:cstheme="majorHAnsi"/>
                <w:b/>
                <w:sz w:val="22"/>
                <w:szCs w:val="22"/>
              </w:rPr>
            </w:pPr>
            <w:r w:rsidRPr="00936D28">
              <w:rPr>
                <w:rFonts w:asciiTheme="majorHAnsi" w:hAnsiTheme="majorHAnsi" w:cstheme="majorHAnsi"/>
                <w:b/>
                <w:sz w:val="22"/>
                <w:szCs w:val="22"/>
              </w:rPr>
              <w:t>Indicator Title</w:t>
            </w:r>
          </w:p>
        </w:tc>
        <w:tc>
          <w:tcPr>
            <w:tcW w:w="5379" w:type="dxa"/>
          </w:tcPr>
          <w:p w14:paraId="1626D33E" w14:textId="77777777" w:rsidR="00460B4E" w:rsidRPr="00936D28" w:rsidRDefault="00460B4E" w:rsidP="00460B4E">
            <w:pPr>
              <w:rPr>
                <w:rFonts w:asciiTheme="majorHAnsi" w:hAnsiTheme="majorHAnsi" w:cstheme="majorHAnsi"/>
                <w:b/>
                <w:sz w:val="22"/>
                <w:szCs w:val="22"/>
              </w:rPr>
            </w:pPr>
            <w:r w:rsidRPr="00936D28">
              <w:rPr>
                <w:rFonts w:asciiTheme="majorHAnsi" w:hAnsiTheme="majorHAnsi" w:cstheme="majorHAnsi"/>
                <w:b/>
                <w:sz w:val="22"/>
                <w:szCs w:val="22"/>
              </w:rPr>
              <w:t xml:space="preserve">Percentage of cancers diagnosed via emergency routes </w:t>
            </w:r>
          </w:p>
        </w:tc>
        <w:tc>
          <w:tcPr>
            <w:tcW w:w="997" w:type="dxa"/>
          </w:tcPr>
          <w:p w14:paraId="6A829D21"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IAS Ref Code:</w:t>
            </w:r>
          </w:p>
        </w:tc>
        <w:tc>
          <w:tcPr>
            <w:tcW w:w="1425" w:type="dxa"/>
          </w:tcPr>
          <w:p w14:paraId="2FD2F041"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IAP00346</w:t>
            </w:r>
          </w:p>
        </w:tc>
      </w:tr>
      <w:tr w:rsidR="00460B4E" w:rsidRPr="00936D28" w14:paraId="1E24C97B" w14:textId="77777777" w:rsidTr="004F07F3">
        <w:tc>
          <w:tcPr>
            <w:tcW w:w="2122" w:type="dxa"/>
          </w:tcPr>
          <w:p w14:paraId="20558F50"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Indicator Set</w:t>
            </w:r>
          </w:p>
        </w:tc>
        <w:tc>
          <w:tcPr>
            <w:tcW w:w="5379" w:type="dxa"/>
          </w:tcPr>
          <w:p w14:paraId="0D67ADF5" w14:textId="77777777" w:rsidR="00460B4E" w:rsidRPr="00936D28" w:rsidRDefault="00460B4E" w:rsidP="00460B4E">
            <w:pPr>
              <w:spacing w:after="240"/>
              <w:rPr>
                <w:rFonts w:asciiTheme="majorHAnsi" w:hAnsiTheme="majorHAnsi" w:cstheme="majorHAnsi"/>
                <w:sz w:val="22"/>
                <w:szCs w:val="22"/>
              </w:rPr>
            </w:pPr>
            <w:r w:rsidRPr="00936D28">
              <w:rPr>
                <w:rFonts w:asciiTheme="majorHAnsi" w:hAnsiTheme="majorHAnsi" w:cstheme="majorHAnsi"/>
                <w:sz w:val="22"/>
                <w:szCs w:val="22"/>
              </w:rPr>
              <w:t>CCG Outcomes Indicator Set</w:t>
            </w:r>
          </w:p>
        </w:tc>
        <w:tc>
          <w:tcPr>
            <w:tcW w:w="997" w:type="dxa"/>
          </w:tcPr>
          <w:p w14:paraId="5D8944D4" w14:textId="77777777" w:rsidR="00460B4E" w:rsidRPr="00936D28" w:rsidRDefault="00460B4E" w:rsidP="00460B4E">
            <w:pPr>
              <w:rPr>
                <w:rFonts w:asciiTheme="majorHAnsi" w:hAnsiTheme="majorHAnsi" w:cstheme="majorHAnsi"/>
                <w:sz w:val="22"/>
                <w:szCs w:val="22"/>
              </w:rPr>
            </w:pPr>
          </w:p>
        </w:tc>
        <w:tc>
          <w:tcPr>
            <w:tcW w:w="1425" w:type="dxa"/>
          </w:tcPr>
          <w:p w14:paraId="76225506" w14:textId="77777777" w:rsidR="00460B4E" w:rsidRPr="00936D28" w:rsidRDefault="00460B4E" w:rsidP="00460B4E">
            <w:pPr>
              <w:rPr>
                <w:rFonts w:asciiTheme="majorHAnsi" w:hAnsiTheme="majorHAnsi" w:cstheme="majorHAnsi"/>
                <w:sz w:val="22"/>
                <w:szCs w:val="22"/>
              </w:rPr>
            </w:pPr>
          </w:p>
        </w:tc>
      </w:tr>
    </w:tbl>
    <w:p w14:paraId="37C4EB40" w14:textId="77777777" w:rsidR="004F07F3" w:rsidRDefault="004F07F3"/>
    <w:tbl>
      <w:tblPr>
        <w:tblStyle w:val="TableGrid"/>
        <w:tblW w:w="9923" w:type="dxa"/>
        <w:tblLayout w:type="fixed"/>
        <w:tblLook w:val="01E0" w:firstRow="1" w:lastRow="1" w:firstColumn="1" w:lastColumn="1" w:noHBand="0" w:noVBand="0"/>
      </w:tblPr>
      <w:tblGrid>
        <w:gridCol w:w="2122"/>
        <w:gridCol w:w="7801"/>
      </w:tblGrid>
      <w:tr w:rsidR="00460B4E" w:rsidRPr="00936D28" w14:paraId="12B7623E" w14:textId="77777777" w:rsidTr="004F07F3">
        <w:tc>
          <w:tcPr>
            <w:tcW w:w="2122" w:type="dxa"/>
          </w:tcPr>
          <w:p w14:paraId="045248BB"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 xml:space="preserve">Description </w:t>
            </w:r>
          </w:p>
        </w:tc>
        <w:tc>
          <w:tcPr>
            <w:tcW w:w="7801" w:type="dxa"/>
          </w:tcPr>
          <w:p w14:paraId="63BCE7A0"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This indicator shows the percentage of cases of cancer diagnosed during the respective year where the first presentation to secondary care is traced back to an emergency route, given by CCG.  Secondary care is specialist care, usually provided in hospital, after a referral from a GP or health professional.</w:t>
            </w:r>
          </w:p>
          <w:p w14:paraId="610EE015" w14:textId="77777777" w:rsidR="00460B4E" w:rsidRPr="00936D28" w:rsidRDefault="00460B4E" w:rsidP="00460B4E">
            <w:pPr>
              <w:rPr>
                <w:rFonts w:asciiTheme="majorHAnsi" w:hAnsiTheme="majorHAnsi" w:cstheme="majorHAnsi"/>
                <w:sz w:val="22"/>
                <w:szCs w:val="22"/>
              </w:rPr>
            </w:pPr>
          </w:p>
        </w:tc>
      </w:tr>
    </w:tbl>
    <w:p w14:paraId="2040AB7C" w14:textId="77777777" w:rsidR="00460B4E" w:rsidRPr="00936D28" w:rsidRDefault="00460B4E" w:rsidP="00460B4E">
      <w:pPr>
        <w:rPr>
          <w:rFonts w:asciiTheme="majorHAnsi" w:hAnsiTheme="majorHAnsi" w:cstheme="majorHAnsi"/>
          <w:sz w:val="22"/>
          <w:szCs w:val="22"/>
        </w:rPr>
      </w:pPr>
    </w:p>
    <w:tbl>
      <w:tblPr>
        <w:tblStyle w:val="TableGrid"/>
        <w:tblW w:w="9923" w:type="dxa"/>
        <w:tblLook w:val="01E0" w:firstRow="1" w:lastRow="1" w:firstColumn="1" w:lastColumn="1" w:noHBand="0" w:noVBand="0"/>
      </w:tblPr>
      <w:tblGrid>
        <w:gridCol w:w="2127"/>
        <w:gridCol w:w="1418"/>
        <w:gridCol w:w="1842"/>
        <w:gridCol w:w="4536"/>
      </w:tblGrid>
      <w:tr w:rsidR="00460B4E" w:rsidRPr="00936D28" w14:paraId="6EEB0A91" w14:textId="77777777" w:rsidTr="002F05F5">
        <w:trPr>
          <w:trHeight w:val="229"/>
        </w:trPr>
        <w:tc>
          <w:tcPr>
            <w:tcW w:w="2127" w:type="dxa"/>
          </w:tcPr>
          <w:p w14:paraId="6BFF680B"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 xml:space="preserve">Initial IGB discussion </w:t>
            </w:r>
          </w:p>
        </w:tc>
        <w:tc>
          <w:tcPr>
            <w:tcW w:w="1418" w:type="dxa"/>
          </w:tcPr>
          <w:p w14:paraId="40477072"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22/07/14</w:t>
            </w:r>
          </w:p>
        </w:tc>
        <w:tc>
          <w:tcPr>
            <w:tcW w:w="1842" w:type="dxa"/>
          </w:tcPr>
          <w:p w14:paraId="0FB1A866" w14:textId="77777777" w:rsidR="00460B4E" w:rsidRPr="00936D28" w:rsidRDefault="00460B4E" w:rsidP="00460B4E">
            <w:pPr>
              <w:rPr>
                <w:rFonts w:asciiTheme="majorHAnsi" w:hAnsiTheme="majorHAnsi" w:cstheme="majorHAnsi"/>
                <w:b/>
                <w:sz w:val="22"/>
                <w:szCs w:val="22"/>
              </w:rPr>
            </w:pPr>
            <w:r w:rsidRPr="00936D28">
              <w:rPr>
                <w:rFonts w:asciiTheme="majorHAnsi" w:hAnsiTheme="majorHAnsi" w:cstheme="majorHAnsi"/>
                <w:sz w:val="22"/>
                <w:szCs w:val="22"/>
              </w:rPr>
              <w:t>Further discussed</w:t>
            </w:r>
          </w:p>
        </w:tc>
        <w:tc>
          <w:tcPr>
            <w:tcW w:w="4536" w:type="dxa"/>
          </w:tcPr>
          <w:p w14:paraId="2D960282" w14:textId="77777777" w:rsidR="00460B4E" w:rsidRPr="00936D28" w:rsidRDefault="00460B4E" w:rsidP="00460B4E">
            <w:pPr>
              <w:rPr>
                <w:rFonts w:asciiTheme="majorHAnsi" w:hAnsiTheme="majorHAnsi" w:cstheme="majorHAnsi"/>
                <w:b/>
                <w:sz w:val="22"/>
                <w:szCs w:val="22"/>
              </w:rPr>
            </w:pPr>
          </w:p>
        </w:tc>
      </w:tr>
    </w:tbl>
    <w:p w14:paraId="4A01589B" w14:textId="4289E8CF" w:rsidR="00460B4E" w:rsidRPr="00936D28" w:rsidRDefault="004F07F3" w:rsidP="00460B4E">
      <w:pPr>
        <w:rPr>
          <w:rFonts w:asciiTheme="majorHAnsi" w:hAnsiTheme="majorHAnsi" w:cstheme="majorHAnsi"/>
          <w:sz w:val="22"/>
          <w:szCs w:val="22"/>
        </w:rPr>
      </w:pPr>
      <w:r w:rsidRPr="00936D28">
        <w:rPr>
          <w:rFonts w:asciiTheme="majorHAnsi" w:hAnsiTheme="majorHAnsi" w:cstheme="majorHAnsi"/>
          <w:b/>
          <w:sz w:val="22"/>
          <w:szCs w:val="22"/>
        </w:rPr>
        <w:t>Strategic Considerations &amp; Implications</w:t>
      </w:r>
    </w:p>
    <w:tbl>
      <w:tblPr>
        <w:tblStyle w:val="TableGrid"/>
        <w:tblW w:w="9923" w:type="dxa"/>
        <w:tblLayout w:type="fixed"/>
        <w:tblLook w:val="01E0" w:firstRow="1" w:lastRow="1" w:firstColumn="1" w:lastColumn="1" w:noHBand="0" w:noVBand="0"/>
      </w:tblPr>
      <w:tblGrid>
        <w:gridCol w:w="2119"/>
        <w:gridCol w:w="4402"/>
        <w:gridCol w:w="1696"/>
        <w:gridCol w:w="1423"/>
        <w:gridCol w:w="283"/>
      </w:tblGrid>
      <w:tr w:rsidR="004F07F3" w:rsidRPr="00936D28" w14:paraId="0C3CBDBA" w14:textId="77777777" w:rsidTr="000D2587">
        <w:trPr>
          <w:trHeight w:val="1661"/>
        </w:trPr>
        <w:tc>
          <w:tcPr>
            <w:tcW w:w="2119" w:type="dxa"/>
          </w:tcPr>
          <w:p w14:paraId="12C5CC39" w14:textId="77777777" w:rsidR="004F07F3" w:rsidRPr="00936D28" w:rsidRDefault="004F07F3" w:rsidP="00460B4E">
            <w:pPr>
              <w:rPr>
                <w:rFonts w:asciiTheme="majorHAnsi" w:hAnsiTheme="majorHAnsi" w:cstheme="majorHAnsi"/>
                <w:sz w:val="22"/>
                <w:szCs w:val="22"/>
              </w:rPr>
            </w:pPr>
            <w:r w:rsidRPr="00936D28">
              <w:rPr>
                <w:rFonts w:asciiTheme="majorHAnsi" w:hAnsiTheme="majorHAnsi" w:cstheme="majorHAnsi"/>
                <w:sz w:val="22"/>
                <w:szCs w:val="22"/>
              </w:rPr>
              <w:t>Applicant / Sponsor Organisation</w:t>
            </w:r>
          </w:p>
        </w:tc>
        <w:tc>
          <w:tcPr>
            <w:tcW w:w="4402" w:type="dxa"/>
          </w:tcPr>
          <w:p w14:paraId="493855C3" w14:textId="77777777" w:rsidR="004F07F3" w:rsidRPr="00936D28" w:rsidRDefault="004F07F3" w:rsidP="00460B4E">
            <w:pPr>
              <w:rPr>
                <w:rFonts w:asciiTheme="majorHAnsi" w:hAnsiTheme="majorHAnsi" w:cstheme="majorHAnsi"/>
                <w:sz w:val="22"/>
                <w:szCs w:val="22"/>
              </w:rPr>
            </w:pPr>
            <w:r w:rsidRPr="00936D28">
              <w:rPr>
                <w:rFonts w:asciiTheme="majorHAnsi" w:hAnsiTheme="majorHAnsi" w:cstheme="majorHAnsi"/>
                <w:sz w:val="22"/>
                <w:szCs w:val="22"/>
              </w:rPr>
              <w:t>NHS England</w:t>
            </w:r>
          </w:p>
          <w:p w14:paraId="113EF661" w14:textId="77777777" w:rsidR="004F07F3" w:rsidRPr="00936D28" w:rsidRDefault="004F07F3" w:rsidP="00460B4E">
            <w:pPr>
              <w:rPr>
                <w:rFonts w:asciiTheme="majorHAnsi" w:hAnsiTheme="majorHAnsi" w:cstheme="majorHAnsi"/>
                <w:sz w:val="22"/>
                <w:szCs w:val="22"/>
              </w:rPr>
            </w:pPr>
            <w:r w:rsidRPr="00936D28">
              <w:rPr>
                <w:rFonts w:asciiTheme="majorHAnsi" w:hAnsiTheme="majorHAnsi" w:cstheme="majorHAnsi"/>
                <w:sz w:val="22"/>
                <w:szCs w:val="22"/>
              </w:rPr>
              <w:t>*Costing for assurance appraisal included in development cost</w:t>
            </w:r>
          </w:p>
        </w:tc>
        <w:tc>
          <w:tcPr>
            <w:tcW w:w="1696" w:type="dxa"/>
          </w:tcPr>
          <w:p w14:paraId="377EA73A" w14:textId="77777777" w:rsidR="004F07F3" w:rsidRPr="00936D28" w:rsidRDefault="004F07F3" w:rsidP="00460B4E">
            <w:pPr>
              <w:rPr>
                <w:rFonts w:asciiTheme="majorHAnsi" w:hAnsiTheme="majorHAnsi" w:cstheme="majorHAnsi"/>
                <w:sz w:val="22"/>
                <w:szCs w:val="22"/>
              </w:rPr>
            </w:pPr>
            <w:r w:rsidRPr="00936D28">
              <w:rPr>
                <w:rFonts w:asciiTheme="majorHAnsi" w:hAnsiTheme="majorHAnsi" w:cstheme="majorHAnsi"/>
                <w:sz w:val="22"/>
                <w:szCs w:val="22"/>
              </w:rPr>
              <w:t>Assurance process funded?</w:t>
            </w:r>
          </w:p>
        </w:tc>
        <w:tc>
          <w:tcPr>
            <w:tcW w:w="1423" w:type="dxa"/>
          </w:tcPr>
          <w:p w14:paraId="5F20980A" w14:textId="77777777" w:rsidR="004F07F3" w:rsidRPr="00936D28" w:rsidRDefault="004F07F3" w:rsidP="00460B4E">
            <w:pPr>
              <w:rPr>
                <w:rFonts w:asciiTheme="majorHAnsi" w:hAnsiTheme="majorHAnsi" w:cstheme="majorHAnsi"/>
                <w:b/>
                <w:sz w:val="22"/>
                <w:szCs w:val="22"/>
              </w:rPr>
            </w:pPr>
            <w:r w:rsidRPr="00936D28">
              <w:rPr>
                <w:rFonts w:asciiTheme="majorHAnsi" w:hAnsiTheme="majorHAnsi" w:cstheme="majorHAnsi"/>
                <w:b/>
                <w:sz w:val="22"/>
                <w:szCs w:val="22"/>
              </w:rPr>
              <w:t>Yes*</w:t>
            </w:r>
          </w:p>
          <w:sdt>
            <w:sdtPr>
              <w:rPr>
                <w:rFonts w:asciiTheme="majorHAnsi" w:hAnsiTheme="majorHAnsi" w:cstheme="majorHAnsi"/>
                <w:sz w:val="22"/>
                <w:szCs w:val="22"/>
              </w:rPr>
              <w:id w:val="525838400"/>
              <w14:checkbox>
                <w14:checked w14:val="1"/>
                <w14:checkedState w14:val="2612" w14:font="MS Gothic"/>
                <w14:uncheckedState w14:val="2610" w14:font="MS Gothic"/>
              </w14:checkbox>
            </w:sdtPr>
            <w:sdtContent>
              <w:p w14:paraId="6CD4885B" w14:textId="77777777" w:rsidR="004F07F3" w:rsidRPr="00936D28" w:rsidRDefault="004F07F3" w:rsidP="00460B4E">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sdtContent>
          </w:sdt>
          <w:p w14:paraId="307FFDED" w14:textId="77777777" w:rsidR="004F07F3" w:rsidRPr="00936D28" w:rsidRDefault="004F07F3" w:rsidP="00460B4E">
            <w:pPr>
              <w:rPr>
                <w:rFonts w:asciiTheme="majorHAnsi" w:hAnsiTheme="majorHAnsi" w:cstheme="majorHAnsi"/>
                <w:b/>
                <w:sz w:val="22"/>
                <w:szCs w:val="22"/>
              </w:rPr>
            </w:pPr>
            <w:r w:rsidRPr="00936D28">
              <w:rPr>
                <w:rFonts w:asciiTheme="majorHAnsi" w:hAnsiTheme="majorHAnsi" w:cstheme="majorHAnsi"/>
                <w:b/>
                <w:sz w:val="22"/>
                <w:szCs w:val="22"/>
              </w:rPr>
              <w:t>No</w:t>
            </w:r>
          </w:p>
          <w:sdt>
            <w:sdtPr>
              <w:rPr>
                <w:rFonts w:asciiTheme="majorHAnsi" w:hAnsiTheme="majorHAnsi" w:cstheme="majorHAnsi"/>
                <w:sz w:val="22"/>
                <w:szCs w:val="22"/>
              </w:rPr>
              <w:id w:val="-46154827"/>
              <w14:checkbox>
                <w14:checked w14:val="0"/>
                <w14:checkedState w14:val="2612" w14:font="MS Gothic"/>
                <w14:uncheckedState w14:val="2610" w14:font="MS Gothic"/>
              </w14:checkbox>
            </w:sdtPr>
            <w:sdtContent>
              <w:p w14:paraId="51ED354C" w14:textId="393D321B" w:rsidR="004F07F3" w:rsidRPr="00936D28" w:rsidRDefault="004F07F3" w:rsidP="00460B4E">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sdtContent>
          </w:sdt>
        </w:tc>
        <w:tc>
          <w:tcPr>
            <w:tcW w:w="283" w:type="dxa"/>
          </w:tcPr>
          <w:p w14:paraId="14228B0A" w14:textId="77777777" w:rsidR="004F07F3" w:rsidRPr="00936D28" w:rsidRDefault="004F07F3" w:rsidP="00460B4E">
            <w:pPr>
              <w:rPr>
                <w:rFonts w:asciiTheme="majorHAnsi" w:hAnsiTheme="majorHAnsi" w:cstheme="majorHAnsi"/>
                <w:sz w:val="22"/>
                <w:szCs w:val="22"/>
              </w:rPr>
            </w:pPr>
          </w:p>
        </w:tc>
      </w:tr>
    </w:tbl>
    <w:p w14:paraId="3FB53679" w14:textId="77777777" w:rsidR="004F07F3" w:rsidRDefault="004F07F3"/>
    <w:tbl>
      <w:tblPr>
        <w:tblStyle w:val="TableGrid"/>
        <w:tblW w:w="9923" w:type="dxa"/>
        <w:tblLayout w:type="fixed"/>
        <w:tblLook w:val="01E0" w:firstRow="1" w:lastRow="1" w:firstColumn="1" w:lastColumn="1" w:noHBand="0" w:noVBand="0"/>
      </w:tblPr>
      <w:tblGrid>
        <w:gridCol w:w="2119"/>
        <w:gridCol w:w="7804"/>
      </w:tblGrid>
      <w:tr w:rsidR="004F07F3" w:rsidRPr="00936D28" w14:paraId="7D273699" w14:textId="77777777" w:rsidTr="002F05F5">
        <w:tc>
          <w:tcPr>
            <w:tcW w:w="2119" w:type="dxa"/>
          </w:tcPr>
          <w:p w14:paraId="34FC38E1" w14:textId="5D06B0FE" w:rsidR="004F07F3" w:rsidRPr="00936D28" w:rsidRDefault="004F07F3" w:rsidP="00460B4E">
            <w:pPr>
              <w:rPr>
                <w:rFonts w:asciiTheme="majorHAnsi" w:hAnsiTheme="majorHAnsi" w:cstheme="majorHAnsi"/>
                <w:sz w:val="22"/>
                <w:szCs w:val="22"/>
              </w:rPr>
            </w:pPr>
            <w:r w:rsidRPr="00936D28">
              <w:rPr>
                <w:rFonts w:asciiTheme="majorHAnsi" w:hAnsiTheme="majorHAnsi" w:cstheme="majorHAnsi"/>
                <w:sz w:val="22"/>
                <w:szCs w:val="22"/>
              </w:rPr>
              <w:t>Indicator rationale</w:t>
            </w:r>
          </w:p>
        </w:tc>
        <w:tc>
          <w:tcPr>
            <w:tcW w:w="7804" w:type="dxa"/>
          </w:tcPr>
          <w:p w14:paraId="46362DBB" w14:textId="77777777" w:rsidR="004F07F3" w:rsidRPr="00936D28" w:rsidRDefault="004F07F3" w:rsidP="004F07F3">
            <w:pPr>
              <w:rPr>
                <w:rFonts w:asciiTheme="majorHAnsi" w:hAnsiTheme="majorHAnsi" w:cstheme="majorHAnsi"/>
                <w:sz w:val="22"/>
                <w:szCs w:val="22"/>
              </w:rPr>
            </w:pPr>
            <w:r w:rsidRPr="00936D28">
              <w:rPr>
                <w:rFonts w:asciiTheme="majorHAnsi" w:hAnsiTheme="majorHAnsi" w:cstheme="majorHAnsi"/>
                <w:sz w:val="22"/>
                <w:szCs w:val="22"/>
              </w:rPr>
              <w:t>Research into the way in which patients are first diagnosed with cancer shows that about a quarter of cancer patients are diagnosed via emergency routes and that the survival rates for those diagnosed via emergency routes are considerably lower than for other cancer patients.</w:t>
            </w:r>
          </w:p>
          <w:p w14:paraId="278538D9" w14:textId="77777777" w:rsidR="004F07F3" w:rsidRPr="00936D28" w:rsidRDefault="004F07F3" w:rsidP="004F07F3">
            <w:pPr>
              <w:rPr>
                <w:rFonts w:asciiTheme="majorHAnsi" w:hAnsiTheme="majorHAnsi" w:cstheme="majorHAnsi"/>
                <w:sz w:val="22"/>
                <w:szCs w:val="22"/>
              </w:rPr>
            </w:pPr>
          </w:p>
          <w:p w14:paraId="3CE2B579" w14:textId="77777777" w:rsidR="004F07F3" w:rsidRPr="00936D28" w:rsidRDefault="004F07F3" w:rsidP="004F07F3">
            <w:pPr>
              <w:rPr>
                <w:rFonts w:asciiTheme="majorHAnsi" w:hAnsiTheme="majorHAnsi" w:cstheme="majorHAnsi"/>
                <w:sz w:val="22"/>
                <w:szCs w:val="22"/>
              </w:rPr>
            </w:pPr>
            <w:r w:rsidRPr="00936D28">
              <w:rPr>
                <w:rFonts w:asciiTheme="majorHAnsi" w:hAnsiTheme="majorHAnsi" w:cstheme="majorHAnsi"/>
                <w:sz w:val="22"/>
                <w:szCs w:val="22"/>
              </w:rPr>
              <w:t>The National Cancer Intelligence Network (NCIN)  has produced the first study to look at how patients first enter secondary care on their way to being diagnosed with cancer.  The methodology has been peer-reviewed in the British Journal of Cancer and the results include detailed comparison by type of cancer and results by equality groups.  Also included is an analysis of incidence by broad route for breast, colorectal, lung and prostate cancer at PCT level.</w:t>
            </w:r>
          </w:p>
          <w:p w14:paraId="5C159E9E" w14:textId="77777777" w:rsidR="004F07F3" w:rsidRPr="00936D28" w:rsidRDefault="004F07F3" w:rsidP="004F07F3">
            <w:pPr>
              <w:rPr>
                <w:rFonts w:asciiTheme="majorHAnsi" w:hAnsiTheme="majorHAnsi" w:cstheme="majorHAnsi"/>
                <w:sz w:val="22"/>
                <w:szCs w:val="22"/>
              </w:rPr>
            </w:pPr>
            <w:r w:rsidRPr="00936D28">
              <w:rPr>
                <w:rFonts w:asciiTheme="majorHAnsi" w:hAnsiTheme="majorHAnsi" w:cstheme="majorHAnsi"/>
                <w:sz w:val="22"/>
                <w:szCs w:val="22"/>
              </w:rPr>
              <w:t xml:space="preserve">The study showed that those patients diagnosed following an initial emergency presentation to secondary care had worse outcomes across all cancer types.  By identifying the proportion of patients who first present as an emergency, it’s possible to investigate why these patients present as emergencies and how some patients could present earlier through a different route.  An increase in the proportion of patients who present through a more managed process will correspond with improved outcomes.  An indicator on </w:t>
            </w:r>
            <w:r w:rsidRPr="00936D28">
              <w:rPr>
                <w:rFonts w:asciiTheme="majorHAnsi" w:hAnsiTheme="majorHAnsi" w:cstheme="majorHAnsi"/>
                <w:sz w:val="22"/>
                <w:szCs w:val="22"/>
              </w:rPr>
              <w:lastRenderedPageBreak/>
              <w:t>the proportion of cancers diagnosed via an emergency route is, therefore, a useful proxy for assessing improvements in early diagnosis.</w:t>
            </w:r>
          </w:p>
          <w:p w14:paraId="4B1EF198" w14:textId="16CA0BF8" w:rsidR="004F07F3" w:rsidRPr="00936D28" w:rsidRDefault="004F07F3" w:rsidP="00460B4E">
            <w:pPr>
              <w:rPr>
                <w:rFonts w:asciiTheme="majorHAnsi" w:hAnsiTheme="majorHAnsi" w:cstheme="majorHAnsi"/>
                <w:sz w:val="22"/>
                <w:szCs w:val="22"/>
              </w:rPr>
            </w:pPr>
            <w:r w:rsidRPr="00936D28">
              <w:rPr>
                <w:rFonts w:asciiTheme="majorHAnsi" w:hAnsiTheme="majorHAnsi" w:cstheme="majorHAnsi"/>
                <w:sz w:val="22"/>
                <w:szCs w:val="22"/>
              </w:rPr>
              <w:t>CCGs could impact on cancer diagnosis routes in a number of ways, including encouraging compliance with screening programmes among their patients and encouraging people to see their GP with potential symptoms of cancer when these first become noticeable, even if the symptoms do not represent an immediate major health issue.  However, it could be several years before any effect is noticed and it may be difficult to isolate the effect of local interventions over national awareness programmes.</w:t>
            </w:r>
          </w:p>
        </w:tc>
      </w:tr>
      <w:tr w:rsidR="00460B4E" w:rsidRPr="00936D28" w14:paraId="48C98922" w14:textId="77777777" w:rsidTr="002F05F5">
        <w:tc>
          <w:tcPr>
            <w:tcW w:w="2119" w:type="dxa"/>
          </w:tcPr>
          <w:p w14:paraId="24D514D1"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lastRenderedPageBreak/>
              <w:t xml:space="preserve">Basis for rationale </w:t>
            </w:r>
          </w:p>
          <w:p w14:paraId="1D8C5AF0"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[Details of quality statement, policy etc.]</w:t>
            </w:r>
            <w:r w:rsidRPr="00936D28">
              <w:rPr>
                <w:rFonts w:asciiTheme="majorHAnsi" w:hAnsiTheme="majorHAnsi" w:cstheme="majorHAnsi"/>
                <w:i/>
                <w:sz w:val="22"/>
                <w:szCs w:val="22"/>
              </w:rPr>
              <w:t xml:space="preserve"> </w:t>
            </w:r>
          </w:p>
        </w:tc>
        <w:tc>
          <w:tcPr>
            <w:tcW w:w="7804" w:type="dxa"/>
          </w:tcPr>
          <w:p w14:paraId="2C8967D4"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In January 2011 the Government published Improving Outcomes – a Strategy for Cancer.  This document sets out how the Government plans to improve cancer outcomes, including improving survival rates through tackling late diagnosis of cancer.</w:t>
            </w:r>
          </w:p>
          <w:p w14:paraId="2E610429" w14:textId="77777777" w:rsidR="00460B4E" w:rsidRPr="00936D28" w:rsidRDefault="00460B4E" w:rsidP="00460B4E">
            <w:pPr>
              <w:spacing w:after="120"/>
              <w:rPr>
                <w:rFonts w:asciiTheme="majorHAnsi" w:hAnsiTheme="majorHAnsi" w:cstheme="majorHAnsi"/>
                <w:sz w:val="22"/>
                <w:szCs w:val="22"/>
              </w:rPr>
            </w:pPr>
          </w:p>
          <w:p w14:paraId="5AE9720F" w14:textId="77777777" w:rsidR="00460B4E" w:rsidRPr="00936D28" w:rsidRDefault="00460B4E" w:rsidP="00460B4E">
            <w:pPr>
              <w:spacing w:after="120"/>
              <w:rPr>
                <w:rFonts w:asciiTheme="majorHAnsi" w:hAnsiTheme="majorHAnsi" w:cstheme="majorHAnsi"/>
                <w:sz w:val="22"/>
                <w:szCs w:val="22"/>
              </w:rPr>
            </w:pPr>
          </w:p>
        </w:tc>
      </w:tr>
      <w:tr w:rsidR="00460B4E" w:rsidRPr="00936D28" w14:paraId="271DB89F" w14:textId="77777777" w:rsidTr="002F05F5">
        <w:tc>
          <w:tcPr>
            <w:tcW w:w="2119" w:type="dxa"/>
          </w:tcPr>
          <w:p w14:paraId="769EB577"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Calculation Summary</w:t>
            </w:r>
          </w:p>
        </w:tc>
        <w:tc>
          <w:tcPr>
            <w:tcW w:w="7804" w:type="dxa"/>
          </w:tcPr>
          <w:p w14:paraId="41A48773" w14:textId="77777777" w:rsidR="00460B4E" w:rsidRPr="00936D28" w:rsidRDefault="00460B4E" w:rsidP="00460B4E">
            <w:pPr>
              <w:rPr>
                <w:rFonts w:asciiTheme="majorHAnsi" w:hAnsiTheme="majorHAnsi" w:cstheme="majorHAnsi"/>
                <w:b/>
                <w:i/>
                <w:sz w:val="22"/>
                <w:szCs w:val="22"/>
              </w:rPr>
            </w:pPr>
            <w:r w:rsidRPr="00936D28">
              <w:rPr>
                <w:rFonts w:asciiTheme="majorHAnsi" w:hAnsiTheme="majorHAnsi" w:cstheme="majorHAnsi"/>
                <w:b/>
                <w:i/>
                <w:sz w:val="22"/>
                <w:szCs w:val="22"/>
              </w:rPr>
              <w:t>Denominator:</w:t>
            </w:r>
          </w:p>
          <w:p w14:paraId="5FED0BEF"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The number of invasive cases of cancer, excluding non-melanoma skin cancer, diagnosed during the respective year.  This is for both males and females, all age groups.</w:t>
            </w:r>
          </w:p>
          <w:p w14:paraId="23EFC2C4" w14:textId="77777777" w:rsidR="00460B4E" w:rsidRPr="00936D28" w:rsidRDefault="00460B4E" w:rsidP="00460B4E">
            <w:pPr>
              <w:rPr>
                <w:rFonts w:asciiTheme="majorHAnsi" w:hAnsiTheme="majorHAnsi" w:cstheme="majorHAnsi"/>
                <w:sz w:val="22"/>
                <w:szCs w:val="22"/>
              </w:rPr>
            </w:pPr>
          </w:p>
          <w:p w14:paraId="400FA51B" w14:textId="77777777" w:rsidR="00460B4E" w:rsidRPr="00936D28" w:rsidRDefault="00460B4E" w:rsidP="00460B4E">
            <w:pPr>
              <w:rPr>
                <w:rFonts w:asciiTheme="majorHAnsi" w:hAnsiTheme="majorHAnsi" w:cstheme="majorHAnsi"/>
                <w:i/>
                <w:sz w:val="22"/>
                <w:szCs w:val="22"/>
              </w:rPr>
            </w:pPr>
            <w:r w:rsidRPr="00936D28">
              <w:rPr>
                <w:rFonts w:asciiTheme="majorHAnsi" w:hAnsiTheme="majorHAnsi" w:cstheme="majorHAnsi"/>
                <w:i/>
                <w:sz w:val="22"/>
                <w:szCs w:val="22"/>
              </w:rPr>
              <w:t>Note: non-melanoma skin cancer is a non-basal cell carcinoma which is regularly excluded from cancer indicators as its impact on health is much less than other cancers and there are comparatively large numbers of cases which could significantly impact any statistic that includes it.</w:t>
            </w:r>
          </w:p>
          <w:p w14:paraId="333DD6B9" w14:textId="77777777" w:rsidR="00460B4E" w:rsidRPr="00936D28" w:rsidRDefault="00460B4E" w:rsidP="00460B4E">
            <w:pPr>
              <w:rPr>
                <w:rFonts w:asciiTheme="majorHAnsi" w:hAnsiTheme="majorHAnsi" w:cstheme="majorHAnsi"/>
                <w:i/>
                <w:sz w:val="22"/>
                <w:szCs w:val="22"/>
              </w:rPr>
            </w:pPr>
            <w:r w:rsidRPr="00936D28">
              <w:rPr>
                <w:rFonts w:asciiTheme="majorHAnsi" w:hAnsiTheme="majorHAnsi" w:cstheme="majorHAnsi"/>
                <w:i/>
                <w:sz w:val="22"/>
                <w:szCs w:val="22"/>
              </w:rPr>
              <w:t>ICD-10 diagnosis codes are C00-C97, excluding C44.</w:t>
            </w:r>
          </w:p>
          <w:p w14:paraId="66634FD8" w14:textId="77777777" w:rsidR="00460B4E" w:rsidRPr="00936D28" w:rsidRDefault="00460B4E" w:rsidP="00460B4E">
            <w:pPr>
              <w:rPr>
                <w:rFonts w:asciiTheme="majorHAnsi" w:hAnsiTheme="majorHAnsi" w:cstheme="majorHAnsi"/>
                <w:sz w:val="22"/>
                <w:szCs w:val="22"/>
              </w:rPr>
            </w:pPr>
          </w:p>
          <w:p w14:paraId="0AFB0D1B" w14:textId="77777777" w:rsidR="00460B4E" w:rsidRPr="00936D28" w:rsidRDefault="00460B4E" w:rsidP="00460B4E">
            <w:pPr>
              <w:rPr>
                <w:rFonts w:asciiTheme="majorHAnsi" w:hAnsiTheme="majorHAnsi" w:cstheme="majorHAnsi"/>
                <w:b/>
                <w:i/>
                <w:sz w:val="22"/>
                <w:szCs w:val="22"/>
              </w:rPr>
            </w:pPr>
            <w:r w:rsidRPr="00936D28">
              <w:rPr>
                <w:rFonts w:asciiTheme="majorHAnsi" w:hAnsiTheme="majorHAnsi" w:cstheme="majorHAnsi"/>
                <w:b/>
                <w:i/>
                <w:sz w:val="22"/>
                <w:szCs w:val="22"/>
              </w:rPr>
              <w:t>Numerator:</w:t>
            </w:r>
          </w:p>
          <w:p w14:paraId="5C326D0B"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Of cases of cancer in the denominator, the number with a route to diagnosis of “Emergency Presentation”.</w:t>
            </w:r>
          </w:p>
          <w:p w14:paraId="158E2D98" w14:textId="77777777" w:rsidR="00460B4E" w:rsidRPr="00936D28" w:rsidRDefault="00460B4E" w:rsidP="00460B4E">
            <w:pPr>
              <w:rPr>
                <w:rFonts w:asciiTheme="majorHAnsi" w:hAnsiTheme="majorHAnsi" w:cstheme="majorHAnsi"/>
                <w:b/>
                <w:sz w:val="22"/>
                <w:szCs w:val="22"/>
              </w:rPr>
            </w:pPr>
          </w:p>
          <w:p w14:paraId="0A77D798" w14:textId="77777777" w:rsidR="00460B4E" w:rsidRPr="00936D28" w:rsidRDefault="00460B4E" w:rsidP="00460B4E">
            <w:pPr>
              <w:rPr>
                <w:rFonts w:asciiTheme="majorHAnsi" w:hAnsiTheme="majorHAnsi" w:cstheme="majorHAnsi"/>
                <w:i/>
                <w:sz w:val="22"/>
                <w:szCs w:val="22"/>
              </w:rPr>
            </w:pPr>
            <w:r w:rsidRPr="00936D28">
              <w:rPr>
                <w:rFonts w:asciiTheme="majorHAnsi" w:hAnsiTheme="majorHAnsi" w:cstheme="majorHAnsi"/>
                <w:i/>
                <w:sz w:val="22"/>
                <w:szCs w:val="22"/>
              </w:rPr>
              <w:t xml:space="preserve">A route to diagnosis can be calculated for each tumour using a variety of sources.  The methodology for this has been published in the British Journal of Cancer.  </w:t>
            </w:r>
          </w:p>
          <w:p w14:paraId="32969E9D" w14:textId="77777777" w:rsidR="00460B4E" w:rsidRPr="00936D28" w:rsidRDefault="00460B4E" w:rsidP="00460B4E">
            <w:pPr>
              <w:rPr>
                <w:rFonts w:asciiTheme="majorHAnsi" w:hAnsiTheme="majorHAnsi" w:cstheme="majorHAnsi"/>
                <w:i/>
                <w:sz w:val="22"/>
                <w:szCs w:val="22"/>
              </w:rPr>
            </w:pPr>
            <w:r w:rsidRPr="00936D28">
              <w:rPr>
                <w:rFonts w:asciiTheme="majorHAnsi" w:hAnsiTheme="majorHAnsi" w:cstheme="majorHAnsi"/>
                <w:i/>
                <w:sz w:val="22"/>
                <w:szCs w:val="22"/>
              </w:rPr>
              <w:t>The assignment of a route to diagnosis is based on combining datasets to assign the most likely route.  The route is not captured in any one dataset.</w:t>
            </w:r>
          </w:p>
          <w:p w14:paraId="574FAFF2" w14:textId="77777777" w:rsidR="00460B4E" w:rsidRPr="00936D28" w:rsidRDefault="00460B4E" w:rsidP="00460B4E">
            <w:pPr>
              <w:spacing w:after="120"/>
              <w:rPr>
                <w:rFonts w:asciiTheme="majorHAnsi" w:hAnsiTheme="majorHAnsi" w:cstheme="majorHAnsi"/>
                <w:sz w:val="22"/>
                <w:szCs w:val="22"/>
              </w:rPr>
            </w:pPr>
          </w:p>
        </w:tc>
      </w:tr>
      <w:tr w:rsidR="00460B4E" w:rsidRPr="00936D28" w14:paraId="37C5C4DC" w14:textId="77777777" w:rsidTr="002F05F5">
        <w:tc>
          <w:tcPr>
            <w:tcW w:w="2119" w:type="dxa"/>
          </w:tcPr>
          <w:p w14:paraId="3A408035"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Risks &amp; assumptions</w:t>
            </w:r>
          </w:p>
        </w:tc>
        <w:tc>
          <w:tcPr>
            <w:tcW w:w="7804" w:type="dxa"/>
          </w:tcPr>
          <w:p w14:paraId="57833FED" w14:textId="77777777" w:rsidR="00460B4E" w:rsidRPr="00936D28" w:rsidRDefault="00460B4E" w:rsidP="00936D28">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The methodology for assigning the route to diagnosis as part of the registration system will be developed in early 2014 and may not be ready until late 2014, which means it will correspond with the availability of cancer registration data for 2013.</w:t>
            </w:r>
          </w:p>
          <w:p w14:paraId="61385CA9" w14:textId="77777777" w:rsidR="00460B4E" w:rsidRPr="00936D28" w:rsidRDefault="00460B4E" w:rsidP="00936D28">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lastRenderedPageBreak/>
              <w:t>The assignment of a CCG to a patient will be based on GP or practice code where possible and if not, then on the patient’s home postcode.  Where the patient’s practice and postcode are both unavailable, the responsible CCG is the location of the hospital or trust.  As the numerator is a subset of the denominator, the same method will be used for any particular patient.</w:t>
            </w:r>
          </w:p>
          <w:p w14:paraId="22A7919F" w14:textId="77777777" w:rsidR="00460B4E" w:rsidRPr="00936D28" w:rsidRDefault="00460B4E" w:rsidP="00460B4E">
            <w:pPr>
              <w:rPr>
                <w:rFonts w:asciiTheme="majorHAnsi" w:hAnsiTheme="majorHAnsi" w:cstheme="majorHAnsi"/>
                <w:sz w:val="22"/>
                <w:szCs w:val="22"/>
              </w:rPr>
            </w:pPr>
          </w:p>
          <w:p w14:paraId="4A479902" w14:textId="36C79B8F" w:rsidR="00000D88" w:rsidRPr="00936D28" w:rsidRDefault="00000D88" w:rsidP="00460B4E">
            <w:pPr>
              <w:rPr>
                <w:rFonts w:asciiTheme="majorHAnsi" w:hAnsiTheme="majorHAnsi" w:cstheme="majorHAnsi"/>
                <w:sz w:val="22"/>
                <w:szCs w:val="22"/>
              </w:rPr>
            </w:pPr>
          </w:p>
        </w:tc>
      </w:tr>
      <w:tr w:rsidR="004F07F3" w:rsidRPr="00936D28" w14:paraId="650D0693" w14:textId="77777777" w:rsidTr="000D2587">
        <w:trPr>
          <w:trHeight w:val="2329"/>
        </w:trPr>
        <w:tc>
          <w:tcPr>
            <w:tcW w:w="2119" w:type="dxa"/>
          </w:tcPr>
          <w:p w14:paraId="391DEB50" w14:textId="77777777" w:rsidR="004F07F3" w:rsidRPr="00936D28" w:rsidRDefault="004F07F3" w:rsidP="00460B4E">
            <w:pPr>
              <w:rPr>
                <w:rFonts w:asciiTheme="majorHAnsi" w:hAnsiTheme="majorHAnsi" w:cstheme="majorHAnsi"/>
                <w:sz w:val="22"/>
                <w:szCs w:val="22"/>
              </w:rPr>
            </w:pPr>
            <w:r w:rsidRPr="00936D28">
              <w:rPr>
                <w:rFonts w:asciiTheme="majorHAnsi" w:hAnsiTheme="majorHAnsi" w:cstheme="majorHAnsi"/>
                <w:sz w:val="22"/>
                <w:szCs w:val="22"/>
              </w:rPr>
              <w:lastRenderedPageBreak/>
              <w:t xml:space="preserve">IG </w:t>
            </w:r>
            <w:proofErr w:type="gramStart"/>
            <w:r w:rsidRPr="00936D28">
              <w:rPr>
                <w:rFonts w:asciiTheme="majorHAnsi" w:hAnsiTheme="majorHAnsi" w:cstheme="majorHAnsi"/>
                <w:sz w:val="22"/>
                <w:szCs w:val="22"/>
              </w:rPr>
              <w:t>Considerations  [</w:t>
            </w:r>
            <w:proofErr w:type="gramEnd"/>
            <w:r w:rsidRPr="00936D28">
              <w:rPr>
                <w:rFonts w:asciiTheme="majorHAnsi" w:hAnsiTheme="majorHAnsi" w:cstheme="majorHAnsi"/>
                <w:sz w:val="22"/>
                <w:szCs w:val="22"/>
              </w:rPr>
              <w:t>e.g. release of under-lying data, intermediaries access to data, data ownership impact on production]</w:t>
            </w:r>
          </w:p>
        </w:tc>
        <w:tc>
          <w:tcPr>
            <w:tcW w:w="7804" w:type="dxa"/>
          </w:tcPr>
          <w:p w14:paraId="6E532D2F" w14:textId="77777777" w:rsidR="004F07F3" w:rsidRPr="00936D28" w:rsidRDefault="004F07F3" w:rsidP="00460B4E">
            <w:pPr>
              <w:rPr>
                <w:rFonts w:asciiTheme="majorHAnsi" w:hAnsiTheme="majorHAnsi" w:cstheme="majorHAnsi"/>
                <w:sz w:val="22"/>
                <w:szCs w:val="22"/>
              </w:rPr>
            </w:pPr>
            <w:r w:rsidRPr="00936D28">
              <w:rPr>
                <w:rFonts w:asciiTheme="majorHAnsi" w:hAnsiTheme="majorHAnsi" w:cstheme="majorHAnsi"/>
                <w:i/>
                <w:sz w:val="22"/>
                <w:szCs w:val="22"/>
              </w:rPr>
              <w:t xml:space="preserve">Data Source:  </w:t>
            </w:r>
            <w:r w:rsidRPr="00936D28">
              <w:rPr>
                <w:rFonts w:asciiTheme="majorHAnsi" w:hAnsiTheme="majorHAnsi" w:cstheme="majorHAnsi"/>
                <w:sz w:val="22"/>
                <w:szCs w:val="22"/>
              </w:rPr>
              <w:t xml:space="preserve">National Cancer Intelligence Network (NCIN) from the Cancer Analysis System (CAS).  </w:t>
            </w:r>
          </w:p>
          <w:p w14:paraId="07F950A7" w14:textId="77777777" w:rsidR="004F07F3" w:rsidRPr="00936D28" w:rsidRDefault="004F07F3" w:rsidP="00936D28">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Data for this indicator will be extracted from the NCIN’s CAS.  The CAS contains an extract of cancer registration data for analytical purposes once data have been signed off as complete by the cancer registries.  Currently, the most recent year’s data available are for 2011.  Data for 2013 will not be available until October or November 2014.</w:t>
            </w:r>
          </w:p>
          <w:p w14:paraId="4BD9292A" w14:textId="77777777" w:rsidR="004F07F3" w:rsidRPr="00936D28" w:rsidRDefault="004F07F3" w:rsidP="00460B4E">
            <w:pPr>
              <w:rPr>
                <w:rFonts w:asciiTheme="majorHAnsi" w:hAnsiTheme="majorHAnsi" w:cstheme="majorHAnsi"/>
                <w:sz w:val="22"/>
                <w:szCs w:val="22"/>
              </w:rPr>
            </w:pPr>
          </w:p>
        </w:tc>
      </w:tr>
      <w:tr w:rsidR="00460B4E" w:rsidRPr="00936D28" w14:paraId="40F3908A" w14:textId="77777777" w:rsidTr="002F05F5">
        <w:tc>
          <w:tcPr>
            <w:tcW w:w="2119" w:type="dxa"/>
          </w:tcPr>
          <w:p w14:paraId="6910618B"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Potential impacts on other business areas [inc outstanding generic issues]</w:t>
            </w:r>
          </w:p>
        </w:tc>
        <w:tc>
          <w:tcPr>
            <w:tcW w:w="7804" w:type="dxa"/>
          </w:tcPr>
          <w:p w14:paraId="347B0D6E" w14:textId="77777777" w:rsidR="00460B4E" w:rsidRPr="00936D28" w:rsidRDefault="00460B4E" w:rsidP="00936D28">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There are no regularly produced indicators which look at the route to diagnosis of people diagnosed with cancer.</w:t>
            </w:r>
          </w:p>
          <w:p w14:paraId="6FBEF911" w14:textId="77777777" w:rsidR="00460B4E" w:rsidRPr="00936D28" w:rsidRDefault="00460B4E" w:rsidP="00936D28">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The National Cancer Intelligence Network (NCIN) produced similar indicators at a national level and for breast, colorectal, lung and prostate cancers at PCT level.  These are part of the work for “Routes to Diagnosis”</w:t>
            </w:r>
          </w:p>
          <w:p w14:paraId="0C6605A7" w14:textId="77777777" w:rsidR="00460B4E" w:rsidRPr="00936D28" w:rsidRDefault="00460B4E" w:rsidP="00460B4E">
            <w:pPr>
              <w:rPr>
                <w:rFonts w:asciiTheme="majorHAnsi" w:hAnsiTheme="majorHAnsi" w:cstheme="majorHAnsi"/>
                <w:sz w:val="22"/>
                <w:szCs w:val="22"/>
              </w:rPr>
            </w:pPr>
          </w:p>
        </w:tc>
      </w:tr>
      <w:tr w:rsidR="00460B4E" w:rsidRPr="00936D28" w14:paraId="2F686074" w14:textId="77777777" w:rsidTr="002F05F5">
        <w:tc>
          <w:tcPr>
            <w:tcW w:w="2119" w:type="dxa"/>
          </w:tcPr>
          <w:p w14:paraId="5AFCD2CD"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Implementation Method</w:t>
            </w:r>
          </w:p>
          <w:p w14:paraId="302FE60E" w14:textId="77777777" w:rsidR="00460B4E" w:rsidRPr="00936D28" w:rsidRDefault="00460B4E" w:rsidP="00460B4E">
            <w:pPr>
              <w:rPr>
                <w:rFonts w:asciiTheme="majorHAnsi" w:hAnsiTheme="majorHAnsi" w:cstheme="majorHAnsi"/>
                <w:i/>
                <w:sz w:val="22"/>
                <w:szCs w:val="22"/>
              </w:rPr>
            </w:pPr>
            <w:r w:rsidRPr="00936D28">
              <w:rPr>
                <w:rFonts w:asciiTheme="majorHAnsi" w:hAnsiTheme="majorHAnsi" w:cstheme="majorHAnsi"/>
                <w:sz w:val="22"/>
                <w:szCs w:val="22"/>
              </w:rPr>
              <w:t>[inc production funding]</w:t>
            </w:r>
          </w:p>
        </w:tc>
        <w:tc>
          <w:tcPr>
            <w:tcW w:w="7804" w:type="dxa"/>
          </w:tcPr>
          <w:p w14:paraId="389969EC" w14:textId="77777777" w:rsidR="00460B4E" w:rsidRPr="00936D28" w:rsidRDefault="00460B4E" w:rsidP="00936D28">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NHS England has commissioned HSCIC to produce and disseminate the CCG OIS indicators; this is funded via the Grant in Aid funding to HSCIC.</w:t>
            </w:r>
          </w:p>
          <w:p w14:paraId="70815D78" w14:textId="77777777" w:rsidR="00460B4E" w:rsidRPr="00936D28" w:rsidRDefault="00460B4E" w:rsidP="00936D28">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Collection of the data required for the CCG OIS is via existing data collections, in this case by the NCIN from the Cancer Analysis System (CAS).  Testing and specification of this indicator was carried out by the Specification Development Service in conjunction with the NCIN.  The construction of the indicators will be carried out by the NCIN.</w:t>
            </w:r>
          </w:p>
          <w:p w14:paraId="2DEBC386" w14:textId="77777777" w:rsidR="00460B4E" w:rsidRPr="00936D28" w:rsidRDefault="00460B4E" w:rsidP="00936D28">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Dissemination and presentation of the CCG OIS will be via a number of routes:</w:t>
            </w:r>
          </w:p>
          <w:p w14:paraId="48B8BA21" w14:textId="0B5BE286" w:rsidR="00460B4E" w:rsidRPr="00936D28" w:rsidRDefault="00460B4E" w:rsidP="00936D28">
            <w:pPr>
              <w:pStyle w:val="ListParagraph"/>
              <w:numPr>
                <w:ilvl w:val="1"/>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 xml:space="preserve">The indicators and their underlying data will be made </w:t>
            </w:r>
            <w:r w:rsidR="00936D28" w:rsidRPr="00936D28">
              <w:rPr>
                <w:rFonts w:asciiTheme="majorHAnsi" w:hAnsiTheme="majorHAnsi" w:cstheme="majorHAnsi"/>
                <w:sz w:val="22"/>
                <w:szCs w:val="22"/>
              </w:rPr>
              <w:t>publicly</w:t>
            </w:r>
            <w:r w:rsidRPr="00936D28">
              <w:rPr>
                <w:rFonts w:asciiTheme="majorHAnsi" w:hAnsiTheme="majorHAnsi" w:cstheme="majorHAnsi"/>
                <w:sz w:val="22"/>
                <w:szCs w:val="22"/>
              </w:rPr>
              <w:t xml:space="preserve"> available via the HSCIC website and the Indicator Portal. </w:t>
            </w:r>
          </w:p>
          <w:p w14:paraId="71C964A5" w14:textId="77777777" w:rsidR="00460B4E" w:rsidRPr="00936D28" w:rsidRDefault="00460B4E" w:rsidP="00936D28">
            <w:pPr>
              <w:pStyle w:val="ListParagraph"/>
              <w:numPr>
                <w:ilvl w:val="1"/>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The data will also be provided to NHS England for use in their internal Intelligence Tool.</w:t>
            </w:r>
          </w:p>
          <w:p w14:paraId="5626F3EB" w14:textId="77777777" w:rsidR="00460B4E" w:rsidRPr="00936D28" w:rsidRDefault="00460B4E" w:rsidP="00936D28">
            <w:pPr>
              <w:pStyle w:val="ListParagraph"/>
              <w:numPr>
                <w:ilvl w:val="1"/>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Subject to confirmation by NHS England, the calculated indicator, numerator and denominator for CCGs will be supplied by messaging to the Calculating Quality Reporting Service (CQRS) for use by CCGs as part of their management information.</w:t>
            </w:r>
          </w:p>
        </w:tc>
      </w:tr>
    </w:tbl>
    <w:p w14:paraId="52491310" w14:textId="77777777" w:rsidR="00460B4E" w:rsidRPr="00936D28" w:rsidRDefault="00460B4E" w:rsidP="00460B4E">
      <w:pPr>
        <w:rPr>
          <w:rFonts w:asciiTheme="majorHAnsi" w:hAnsiTheme="majorHAnsi" w:cstheme="majorHAnsi"/>
          <w:sz w:val="22"/>
          <w:szCs w:val="22"/>
        </w:rPr>
      </w:pPr>
    </w:p>
    <w:p w14:paraId="586D2D3E" w14:textId="5625F4A2" w:rsidR="00460B4E" w:rsidRPr="00936D28" w:rsidRDefault="004F07F3" w:rsidP="00460B4E">
      <w:pPr>
        <w:rPr>
          <w:rFonts w:asciiTheme="majorHAnsi" w:hAnsiTheme="majorHAnsi" w:cstheme="majorHAnsi"/>
          <w:sz w:val="22"/>
          <w:szCs w:val="22"/>
        </w:rPr>
      </w:pPr>
      <w:r w:rsidRPr="00936D28">
        <w:rPr>
          <w:rFonts w:asciiTheme="majorHAnsi" w:hAnsiTheme="majorHAnsi" w:cstheme="majorHAnsi"/>
          <w:b/>
          <w:sz w:val="22"/>
          <w:szCs w:val="22"/>
        </w:rPr>
        <w:t>Development Advice / Peer Review (undertaken as part of assurance process)</w:t>
      </w:r>
    </w:p>
    <w:tbl>
      <w:tblPr>
        <w:tblStyle w:val="TableGrid"/>
        <w:tblW w:w="9923" w:type="dxa"/>
        <w:tblLayout w:type="fixed"/>
        <w:tblLook w:val="01E0" w:firstRow="1" w:lastRow="1" w:firstColumn="1" w:lastColumn="1" w:noHBand="0" w:noVBand="0"/>
      </w:tblPr>
      <w:tblGrid>
        <w:gridCol w:w="2119"/>
        <w:gridCol w:w="7804"/>
      </w:tblGrid>
      <w:tr w:rsidR="00460B4E" w:rsidRPr="00936D28" w14:paraId="60BACB44" w14:textId="77777777" w:rsidTr="002F05F5">
        <w:trPr>
          <w:trHeight w:val="404"/>
        </w:trPr>
        <w:tc>
          <w:tcPr>
            <w:tcW w:w="2119" w:type="dxa"/>
          </w:tcPr>
          <w:p w14:paraId="286206C8"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Range of input during development</w:t>
            </w:r>
          </w:p>
        </w:tc>
        <w:tc>
          <w:tcPr>
            <w:tcW w:w="7804" w:type="dxa"/>
          </w:tcPr>
          <w:p w14:paraId="53AAF661"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Advice and input was received on indicator definitions from Dr Mick Peake, National Clinical Lead for NHS Cancer Improvement and Clinical Lead for the NCIN.</w:t>
            </w:r>
          </w:p>
        </w:tc>
      </w:tr>
      <w:tr w:rsidR="00460B4E" w:rsidRPr="00936D28" w14:paraId="4E704614" w14:textId="77777777" w:rsidTr="002F05F5">
        <w:trPr>
          <w:trHeight w:val="413"/>
        </w:trPr>
        <w:tc>
          <w:tcPr>
            <w:tcW w:w="2119" w:type="dxa"/>
          </w:tcPr>
          <w:p w14:paraId="7914DC59"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lastRenderedPageBreak/>
              <w:t>Assurance Service</w:t>
            </w:r>
          </w:p>
          <w:p w14:paraId="30562AB5" w14:textId="77777777" w:rsidR="00460B4E" w:rsidRPr="00936D28" w:rsidRDefault="00460B4E" w:rsidP="00460B4E">
            <w:pPr>
              <w:rPr>
                <w:rFonts w:asciiTheme="majorHAnsi" w:hAnsiTheme="majorHAnsi" w:cstheme="majorHAnsi"/>
                <w:i/>
                <w:sz w:val="22"/>
                <w:szCs w:val="22"/>
              </w:rPr>
            </w:pPr>
            <w:r w:rsidRPr="00936D28">
              <w:rPr>
                <w:rFonts w:asciiTheme="majorHAnsi" w:hAnsiTheme="majorHAnsi" w:cstheme="majorHAnsi"/>
                <w:sz w:val="22"/>
                <w:szCs w:val="22"/>
              </w:rPr>
              <w:t>Peer Reviewers:</w:t>
            </w:r>
          </w:p>
        </w:tc>
        <w:tc>
          <w:tcPr>
            <w:tcW w:w="7804" w:type="dxa"/>
          </w:tcPr>
          <w:p w14:paraId="74B13CA4"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Andrea Johnson – Clinical Indicator HSCIC</w:t>
            </w:r>
          </w:p>
        </w:tc>
      </w:tr>
      <w:tr w:rsidR="00460B4E" w:rsidRPr="00936D28" w14:paraId="2C4700AC" w14:textId="77777777" w:rsidTr="002F05F5">
        <w:trPr>
          <w:trHeight w:val="413"/>
        </w:trPr>
        <w:tc>
          <w:tcPr>
            <w:tcW w:w="2119" w:type="dxa"/>
          </w:tcPr>
          <w:p w14:paraId="443D59B0"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Peer Review summary:</w:t>
            </w:r>
          </w:p>
        </w:tc>
        <w:tc>
          <w:tcPr>
            <w:tcW w:w="7804" w:type="dxa"/>
          </w:tcPr>
          <w:p w14:paraId="00A68869" w14:textId="77777777" w:rsidR="00460B4E" w:rsidRPr="00936D28" w:rsidRDefault="00460B4E" w:rsidP="00936D28">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Perhaps change title to ‘Percentage of cancers diagnosed via emergency routes’.</w:t>
            </w:r>
          </w:p>
          <w:p w14:paraId="0FCBE4F6" w14:textId="77777777" w:rsidR="00460B4E" w:rsidRPr="00936D28" w:rsidRDefault="00460B4E" w:rsidP="00936D28">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Include definition of secondary care.</w:t>
            </w:r>
          </w:p>
          <w:p w14:paraId="1C1B696B" w14:textId="77777777" w:rsidR="00460B4E" w:rsidRPr="00936D28" w:rsidRDefault="00460B4E" w:rsidP="00936D28">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ICD 10 codes included, along with the exclusion of C44 and that it covers all ages and genders need to be explicitly stated in the indicator definition.</w:t>
            </w:r>
          </w:p>
          <w:p w14:paraId="62A7E7C0" w14:textId="77777777" w:rsidR="00460B4E" w:rsidRPr="00936D28" w:rsidRDefault="00460B4E" w:rsidP="00936D28">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 xml:space="preserve">Further explanation of how a patient comes to be registered on the NCIN CAS database would be useful. </w:t>
            </w:r>
          </w:p>
          <w:p w14:paraId="5E72A9F2" w14:textId="77777777" w:rsidR="00460B4E" w:rsidRPr="00936D28" w:rsidRDefault="00460B4E" w:rsidP="00936D28">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 xml:space="preserve">The indicator as it stands offers an overall figure to CCGs on performance. However, due to the typical later presentation of males into services, a breakdown by gender, age or deprivation may be beneficial to highlight inequalities and allow CCGs the ability to more efficiently targets resources if required. </w:t>
            </w:r>
          </w:p>
          <w:p w14:paraId="6FEE8E5D" w14:textId="77777777" w:rsidR="00460B4E" w:rsidRPr="00936D28" w:rsidRDefault="00460B4E" w:rsidP="00936D28">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 xml:space="preserve">Contextual indicators into the main types of cancer, particularly those covered by screening programmes would help CCGs assess where work may need to be targeted. </w:t>
            </w:r>
          </w:p>
          <w:p w14:paraId="2DD883BE" w14:textId="77777777" w:rsidR="00460B4E" w:rsidRPr="00936D28" w:rsidRDefault="00460B4E" w:rsidP="00936D28">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The completeness of the NCIN CAS system is not detailed, only that ‘England is widely recognised as having one of the most comprehensive cancer registration systems in the world.’</w:t>
            </w:r>
          </w:p>
          <w:p w14:paraId="6642D089" w14:textId="77777777" w:rsidR="00460B4E" w:rsidRPr="00936D28" w:rsidRDefault="00460B4E" w:rsidP="00460B4E">
            <w:pPr>
              <w:rPr>
                <w:rFonts w:asciiTheme="majorHAnsi" w:hAnsiTheme="majorHAnsi" w:cstheme="majorHAnsi"/>
                <w:sz w:val="22"/>
                <w:szCs w:val="22"/>
              </w:rPr>
            </w:pPr>
          </w:p>
        </w:tc>
      </w:tr>
    </w:tbl>
    <w:p w14:paraId="3AF1855A" w14:textId="77777777" w:rsidR="00460B4E" w:rsidRPr="00936D28" w:rsidRDefault="00460B4E" w:rsidP="00460B4E">
      <w:pPr>
        <w:rPr>
          <w:rFonts w:asciiTheme="majorHAnsi" w:hAnsiTheme="majorHAnsi" w:cstheme="majorHAnsi"/>
          <w:sz w:val="22"/>
          <w:szCs w:val="22"/>
        </w:rPr>
      </w:pPr>
    </w:p>
    <w:p w14:paraId="5E959061" w14:textId="27A08ED9" w:rsidR="00460B4E" w:rsidRPr="00936D28" w:rsidRDefault="004F07F3" w:rsidP="00460B4E">
      <w:pPr>
        <w:rPr>
          <w:rFonts w:asciiTheme="majorHAnsi" w:hAnsiTheme="majorHAnsi" w:cstheme="majorHAnsi"/>
          <w:sz w:val="22"/>
          <w:szCs w:val="22"/>
        </w:rPr>
      </w:pPr>
      <w:r w:rsidRPr="00936D28">
        <w:rPr>
          <w:rFonts w:asciiTheme="majorHAnsi" w:hAnsiTheme="majorHAnsi" w:cstheme="majorHAnsi"/>
          <w:b/>
          <w:sz w:val="22"/>
          <w:szCs w:val="22"/>
        </w:rPr>
        <w:t>Record of MRG Discussion</w:t>
      </w:r>
    </w:p>
    <w:tbl>
      <w:tblPr>
        <w:tblStyle w:val="TableGrid"/>
        <w:tblW w:w="3242" w:type="dxa"/>
        <w:tblLook w:val="01E0" w:firstRow="1" w:lastRow="1" w:firstColumn="1" w:lastColumn="1" w:noHBand="0" w:noVBand="0"/>
      </w:tblPr>
      <w:tblGrid>
        <w:gridCol w:w="2108"/>
        <w:gridCol w:w="1134"/>
      </w:tblGrid>
      <w:tr w:rsidR="004F07F3" w:rsidRPr="00936D28" w14:paraId="08A53EAB" w14:textId="77777777" w:rsidTr="004F07F3">
        <w:tc>
          <w:tcPr>
            <w:tcW w:w="2108" w:type="dxa"/>
          </w:tcPr>
          <w:p w14:paraId="20CABAA0" w14:textId="77777777" w:rsidR="004F07F3" w:rsidRPr="00936D28" w:rsidRDefault="004F07F3" w:rsidP="00460B4E">
            <w:pPr>
              <w:rPr>
                <w:rFonts w:asciiTheme="majorHAnsi" w:hAnsiTheme="majorHAnsi" w:cstheme="majorHAnsi"/>
                <w:sz w:val="22"/>
                <w:szCs w:val="22"/>
              </w:rPr>
            </w:pPr>
            <w:r w:rsidRPr="00936D28">
              <w:rPr>
                <w:rFonts w:asciiTheme="majorHAnsi" w:hAnsiTheme="majorHAnsi" w:cstheme="majorHAnsi"/>
                <w:sz w:val="22"/>
                <w:szCs w:val="22"/>
              </w:rPr>
              <w:t xml:space="preserve">Discussion dates: </w:t>
            </w:r>
          </w:p>
        </w:tc>
        <w:tc>
          <w:tcPr>
            <w:tcW w:w="1134" w:type="dxa"/>
          </w:tcPr>
          <w:p w14:paraId="1C663F87" w14:textId="77777777" w:rsidR="004F07F3" w:rsidRPr="00936D28" w:rsidRDefault="004F07F3" w:rsidP="00460B4E">
            <w:pPr>
              <w:rPr>
                <w:rFonts w:asciiTheme="majorHAnsi" w:hAnsiTheme="majorHAnsi" w:cstheme="majorHAnsi"/>
                <w:sz w:val="22"/>
                <w:szCs w:val="22"/>
              </w:rPr>
            </w:pPr>
            <w:r w:rsidRPr="00936D28">
              <w:rPr>
                <w:rFonts w:asciiTheme="majorHAnsi" w:hAnsiTheme="majorHAnsi" w:cstheme="majorHAnsi"/>
                <w:sz w:val="22"/>
                <w:szCs w:val="22"/>
              </w:rPr>
              <w:t>07/10/13, 09/01/14</w:t>
            </w:r>
          </w:p>
          <w:p w14:paraId="199FE8C0" w14:textId="77777777" w:rsidR="004F07F3" w:rsidRPr="00936D28" w:rsidRDefault="004F07F3" w:rsidP="00460B4E">
            <w:pPr>
              <w:rPr>
                <w:rFonts w:asciiTheme="majorHAnsi" w:hAnsiTheme="majorHAnsi" w:cstheme="majorHAnsi"/>
                <w:sz w:val="22"/>
                <w:szCs w:val="22"/>
              </w:rPr>
            </w:pPr>
          </w:p>
        </w:tc>
      </w:tr>
    </w:tbl>
    <w:p w14:paraId="18ADCD8F" w14:textId="4CC6E4E7" w:rsidR="004F07F3" w:rsidRDefault="004F07F3">
      <w:r>
        <w:t>By:</w:t>
      </w:r>
    </w:p>
    <w:tbl>
      <w:tblPr>
        <w:tblStyle w:val="TableGrid"/>
        <w:tblW w:w="5000" w:type="pct"/>
        <w:tblLook w:val="04A0" w:firstRow="1" w:lastRow="0" w:firstColumn="1" w:lastColumn="0" w:noHBand="0" w:noVBand="1"/>
      </w:tblPr>
      <w:tblGrid>
        <w:gridCol w:w="2976"/>
        <w:gridCol w:w="1066"/>
        <w:gridCol w:w="5812"/>
      </w:tblGrid>
      <w:tr w:rsidR="004F07F3" w:rsidRPr="00936D28" w14:paraId="52C0DD60" w14:textId="77777777" w:rsidTr="000D2587">
        <w:tc>
          <w:tcPr>
            <w:tcW w:w="1510" w:type="pct"/>
          </w:tcPr>
          <w:p w14:paraId="2835EB5A" w14:textId="77777777" w:rsidR="004F07F3" w:rsidRPr="00936D28" w:rsidRDefault="004F07F3" w:rsidP="000D2587">
            <w:pPr>
              <w:rPr>
                <w:rFonts w:asciiTheme="majorHAnsi" w:hAnsiTheme="majorHAnsi" w:cstheme="majorHAnsi"/>
                <w:sz w:val="22"/>
                <w:szCs w:val="22"/>
                <w:highlight w:val="yellow"/>
              </w:rPr>
            </w:pPr>
            <w:r w:rsidRPr="00936D28">
              <w:rPr>
                <w:rFonts w:asciiTheme="majorHAnsi" w:hAnsiTheme="majorHAnsi" w:cstheme="majorHAnsi"/>
                <w:sz w:val="22"/>
                <w:szCs w:val="22"/>
              </w:rPr>
              <w:t>Julie Stroud (chair)</w:t>
            </w:r>
          </w:p>
        </w:tc>
        <w:tc>
          <w:tcPr>
            <w:tcW w:w="541" w:type="pct"/>
          </w:tcPr>
          <w:p w14:paraId="3792AE0B" w14:textId="77777777" w:rsidR="004F07F3" w:rsidRPr="00936D28" w:rsidRDefault="004F07F3" w:rsidP="000D2587">
            <w:pPr>
              <w:rPr>
                <w:rFonts w:asciiTheme="majorHAnsi" w:hAnsiTheme="majorHAnsi" w:cstheme="majorHAnsi"/>
                <w:sz w:val="22"/>
                <w:szCs w:val="22"/>
                <w:highlight w:val="yellow"/>
              </w:rPr>
            </w:pPr>
            <w:r w:rsidRPr="00936D28">
              <w:rPr>
                <w:rFonts w:asciiTheme="majorHAnsi" w:hAnsiTheme="majorHAnsi" w:cstheme="majorHAnsi"/>
                <w:sz w:val="22"/>
                <w:szCs w:val="22"/>
              </w:rPr>
              <w:t>HSCIC</w:t>
            </w:r>
          </w:p>
        </w:tc>
        <w:tc>
          <w:tcPr>
            <w:tcW w:w="2949" w:type="pct"/>
          </w:tcPr>
          <w:p w14:paraId="112BA761" w14:textId="77777777" w:rsidR="004F07F3" w:rsidRPr="00936D28" w:rsidRDefault="004F07F3" w:rsidP="000D2587">
            <w:pPr>
              <w:rPr>
                <w:rFonts w:asciiTheme="majorHAnsi" w:hAnsiTheme="majorHAnsi" w:cstheme="majorHAnsi"/>
                <w:sz w:val="22"/>
                <w:szCs w:val="22"/>
                <w:highlight w:val="yellow"/>
              </w:rPr>
            </w:pPr>
            <w:r w:rsidRPr="00936D28">
              <w:rPr>
                <w:rFonts w:asciiTheme="majorHAnsi" w:hAnsiTheme="majorHAnsi" w:cstheme="majorHAnsi"/>
                <w:sz w:val="22"/>
                <w:szCs w:val="22"/>
              </w:rPr>
              <w:t>Head of Population Health and Social Care</w:t>
            </w:r>
          </w:p>
        </w:tc>
      </w:tr>
      <w:tr w:rsidR="004F07F3" w:rsidRPr="00936D28" w14:paraId="34B8032E" w14:textId="77777777" w:rsidTr="000D2587">
        <w:tc>
          <w:tcPr>
            <w:tcW w:w="1510" w:type="pct"/>
          </w:tcPr>
          <w:p w14:paraId="4BF97B00"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Chris Dew (vice-chair)</w:t>
            </w:r>
          </w:p>
        </w:tc>
        <w:tc>
          <w:tcPr>
            <w:tcW w:w="541" w:type="pct"/>
          </w:tcPr>
          <w:p w14:paraId="3CF081A5"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HSCIC</w:t>
            </w:r>
          </w:p>
        </w:tc>
        <w:tc>
          <w:tcPr>
            <w:tcW w:w="2949" w:type="pct"/>
          </w:tcPr>
          <w:p w14:paraId="71AA7E31"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Section Head, Clinical Indicators</w:t>
            </w:r>
          </w:p>
        </w:tc>
      </w:tr>
      <w:tr w:rsidR="004F07F3" w:rsidRPr="00936D28" w14:paraId="55B6569E" w14:textId="77777777" w:rsidTr="000D2587">
        <w:tc>
          <w:tcPr>
            <w:tcW w:w="1510" w:type="pct"/>
          </w:tcPr>
          <w:p w14:paraId="125ECC69"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 xml:space="preserve">Irena </w:t>
            </w:r>
            <w:proofErr w:type="spellStart"/>
            <w:r w:rsidRPr="00936D28">
              <w:rPr>
                <w:rFonts w:asciiTheme="majorHAnsi" w:hAnsiTheme="majorHAnsi" w:cstheme="majorHAnsi"/>
                <w:sz w:val="22"/>
                <w:szCs w:val="22"/>
              </w:rPr>
              <w:t>Begaj</w:t>
            </w:r>
            <w:proofErr w:type="spellEnd"/>
            <w:r w:rsidRPr="00936D28">
              <w:rPr>
                <w:rFonts w:asciiTheme="majorHAnsi" w:hAnsiTheme="majorHAnsi" w:cstheme="majorHAnsi"/>
                <w:sz w:val="22"/>
                <w:szCs w:val="22"/>
              </w:rPr>
              <w:tab/>
            </w:r>
          </w:p>
        </w:tc>
        <w:tc>
          <w:tcPr>
            <w:tcW w:w="541" w:type="pct"/>
          </w:tcPr>
          <w:p w14:paraId="59D4A3AC"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UHB</w:t>
            </w:r>
          </w:p>
        </w:tc>
        <w:tc>
          <w:tcPr>
            <w:tcW w:w="2949" w:type="pct"/>
          </w:tcPr>
          <w:p w14:paraId="4D97DAEB"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Statistical Intelligence Analyst</w:t>
            </w:r>
          </w:p>
        </w:tc>
      </w:tr>
      <w:tr w:rsidR="004F07F3" w:rsidRPr="00936D28" w14:paraId="35A5CC6E" w14:textId="77777777" w:rsidTr="000D2587">
        <w:tc>
          <w:tcPr>
            <w:tcW w:w="1510" w:type="pct"/>
          </w:tcPr>
          <w:p w14:paraId="4F25BECB"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Paul Fryers</w:t>
            </w:r>
          </w:p>
        </w:tc>
        <w:tc>
          <w:tcPr>
            <w:tcW w:w="541" w:type="pct"/>
          </w:tcPr>
          <w:p w14:paraId="761551F3"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PHE</w:t>
            </w:r>
          </w:p>
        </w:tc>
        <w:tc>
          <w:tcPr>
            <w:tcW w:w="2949" w:type="pct"/>
          </w:tcPr>
          <w:p w14:paraId="2AF5E02C"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Deputy Director, East Midlands Knowledge and Intelligence Team</w:t>
            </w:r>
          </w:p>
        </w:tc>
      </w:tr>
      <w:tr w:rsidR="004F07F3" w:rsidRPr="00936D28" w14:paraId="32C3EE65" w14:textId="77777777" w:rsidTr="000D2587">
        <w:tc>
          <w:tcPr>
            <w:tcW w:w="1510" w:type="pct"/>
          </w:tcPr>
          <w:p w14:paraId="34A066A3"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Julie Henderson</w:t>
            </w:r>
          </w:p>
        </w:tc>
        <w:tc>
          <w:tcPr>
            <w:tcW w:w="541" w:type="pct"/>
          </w:tcPr>
          <w:p w14:paraId="088E4A6B"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HSCIC</w:t>
            </w:r>
          </w:p>
        </w:tc>
        <w:tc>
          <w:tcPr>
            <w:tcW w:w="2949" w:type="pct"/>
          </w:tcPr>
          <w:p w14:paraId="55C99E1F"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 xml:space="preserve">Programme Head, Clinical Analysis </w:t>
            </w:r>
          </w:p>
        </w:tc>
      </w:tr>
      <w:tr w:rsidR="004F07F3" w:rsidRPr="00936D28" w14:paraId="399820AE" w14:textId="77777777" w:rsidTr="000D2587">
        <w:tc>
          <w:tcPr>
            <w:tcW w:w="1510" w:type="pct"/>
          </w:tcPr>
          <w:p w14:paraId="219D5815"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Jonathon Hope</w:t>
            </w:r>
          </w:p>
        </w:tc>
        <w:tc>
          <w:tcPr>
            <w:tcW w:w="541" w:type="pct"/>
          </w:tcPr>
          <w:p w14:paraId="2C48EABB"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HSCIC</w:t>
            </w:r>
          </w:p>
        </w:tc>
        <w:tc>
          <w:tcPr>
            <w:tcW w:w="2949" w:type="pct"/>
          </w:tcPr>
          <w:p w14:paraId="0461DE41"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Principal Information Analyst, Clinical Audit</w:t>
            </w:r>
          </w:p>
        </w:tc>
      </w:tr>
      <w:tr w:rsidR="004F07F3" w:rsidRPr="00936D28" w14:paraId="3D9518B5" w14:textId="77777777" w:rsidTr="000D2587">
        <w:tc>
          <w:tcPr>
            <w:tcW w:w="1510" w:type="pct"/>
          </w:tcPr>
          <w:p w14:paraId="1C2A8E7A"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 xml:space="preserve">Paul </w:t>
            </w:r>
            <w:proofErr w:type="spellStart"/>
            <w:r w:rsidRPr="00936D28">
              <w:rPr>
                <w:rFonts w:asciiTheme="majorHAnsi" w:hAnsiTheme="majorHAnsi" w:cstheme="majorHAnsi"/>
                <w:sz w:val="22"/>
                <w:szCs w:val="22"/>
              </w:rPr>
              <w:t>Iggulden</w:t>
            </w:r>
            <w:proofErr w:type="spellEnd"/>
            <w:r w:rsidRPr="00936D28">
              <w:rPr>
                <w:rFonts w:asciiTheme="majorHAnsi" w:hAnsiTheme="majorHAnsi" w:cstheme="majorHAnsi"/>
                <w:sz w:val="22"/>
                <w:szCs w:val="22"/>
              </w:rPr>
              <w:t xml:space="preserve"> </w:t>
            </w:r>
          </w:p>
        </w:tc>
        <w:tc>
          <w:tcPr>
            <w:tcW w:w="541" w:type="pct"/>
          </w:tcPr>
          <w:p w14:paraId="27A89AF0"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HSCIC</w:t>
            </w:r>
          </w:p>
        </w:tc>
        <w:tc>
          <w:tcPr>
            <w:tcW w:w="2949" w:type="pct"/>
          </w:tcPr>
          <w:p w14:paraId="0A4CC102"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Interim Head of Clinical Analysis, Research &amp; Development</w:t>
            </w:r>
          </w:p>
        </w:tc>
      </w:tr>
      <w:tr w:rsidR="004F07F3" w:rsidRPr="00936D28" w14:paraId="789E9802" w14:textId="77777777" w:rsidTr="000D2587">
        <w:tc>
          <w:tcPr>
            <w:tcW w:w="1510" w:type="pct"/>
          </w:tcPr>
          <w:p w14:paraId="1BE1AD53"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Andy Sutherland</w:t>
            </w:r>
          </w:p>
        </w:tc>
        <w:tc>
          <w:tcPr>
            <w:tcW w:w="541" w:type="pct"/>
          </w:tcPr>
          <w:p w14:paraId="3BC30D43"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HSCIC</w:t>
            </w:r>
          </w:p>
        </w:tc>
        <w:tc>
          <w:tcPr>
            <w:tcW w:w="2949" w:type="pct"/>
          </w:tcPr>
          <w:p w14:paraId="44E0A173"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Statistics Head of Profession</w:t>
            </w:r>
          </w:p>
        </w:tc>
      </w:tr>
      <w:tr w:rsidR="004F07F3" w:rsidRPr="00936D28" w14:paraId="1353D9EA" w14:textId="77777777" w:rsidTr="000D2587">
        <w:tc>
          <w:tcPr>
            <w:tcW w:w="1510" w:type="pct"/>
          </w:tcPr>
          <w:p w14:paraId="773A7FC1"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Alyson Whitmarsh</w:t>
            </w:r>
          </w:p>
        </w:tc>
        <w:tc>
          <w:tcPr>
            <w:tcW w:w="541" w:type="pct"/>
          </w:tcPr>
          <w:p w14:paraId="1A441935"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HSCIC</w:t>
            </w:r>
          </w:p>
        </w:tc>
        <w:tc>
          <w:tcPr>
            <w:tcW w:w="2949" w:type="pct"/>
          </w:tcPr>
          <w:p w14:paraId="4187D71A" w14:textId="77777777" w:rsidR="004F07F3" w:rsidRPr="00936D28" w:rsidRDefault="004F07F3" w:rsidP="000D2587">
            <w:pPr>
              <w:rPr>
                <w:rFonts w:asciiTheme="majorHAnsi" w:hAnsiTheme="majorHAnsi" w:cstheme="majorHAnsi"/>
                <w:sz w:val="22"/>
                <w:szCs w:val="22"/>
              </w:rPr>
            </w:pPr>
            <w:r w:rsidRPr="00936D28">
              <w:rPr>
                <w:rFonts w:asciiTheme="majorHAnsi" w:hAnsiTheme="majorHAnsi" w:cstheme="majorHAnsi"/>
                <w:sz w:val="22"/>
                <w:szCs w:val="22"/>
              </w:rPr>
              <w:t>Programme Manager, Clinical Audit</w:t>
            </w:r>
          </w:p>
        </w:tc>
      </w:tr>
    </w:tbl>
    <w:p w14:paraId="2A8E80E7" w14:textId="37F3DDE8" w:rsidR="004F07F3" w:rsidRDefault="004F07F3"/>
    <w:p w14:paraId="2194EBC5" w14:textId="692599EA" w:rsidR="004F07F3" w:rsidRDefault="004F07F3"/>
    <w:p w14:paraId="628E8C6F" w14:textId="77777777" w:rsidR="004F07F3" w:rsidRDefault="004F07F3"/>
    <w:tbl>
      <w:tblPr>
        <w:tblStyle w:val="TableGrid"/>
        <w:tblW w:w="9923" w:type="dxa"/>
        <w:tblLook w:val="01E0" w:firstRow="1" w:lastRow="1" w:firstColumn="1" w:lastColumn="1" w:noHBand="0" w:noVBand="0"/>
      </w:tblPr>
      <w:tblGrid>
        <w:gridCol w:w="2108"/>
        <w:gridCol w:w="7815"/>
      </w:tblGrid>
      <w:tr w:rsidR="004316C3" w:rsidRPr="00936D28" w14:paraId="21472F4D" w14:textId="77777777" w:rsidTr="004F07F3">
        <w:tc>
          <w:tcPr>
            <w:tcW w:w="2108" w:type="dxa"/>
          </w:tcPr>
          <w:p w14:paraId="2CC5607D" w14:textId="696B2B61" w:rsidR="004316C3" w:rsidRPr="00936D28" w:rsidRDefault="004316C3" w:rsidP="00460B4E">
            <w:pPr>
              <w:rPr>
                <w:rFonts w:asciiTheme="majorHAnsi" w:hAnsiTheme="majorHAnsi" w:cstheme="majorHAnsi"/>
                <w:sz w:val="22"/>
                <w:szCs w:val="22"/>
              </w:rPr>
            </w:pPr>
            <w:r w:rsidRPr="00936D28">
              <w:rPr>
                <w:rFonts w:asciiTheme="majorHAnsi" w:hAnsiTheme="majorHAnsi" w:cstheme="majorHAnsi"/>
                <w:sz w:val="22"/>
                <w:szCs w:val="22"/>
              </w:rPr>
              <w:t>Summary of MRG discussions:</w:t>
            </w:r>
          </w:p>
        </w:tc>
        <w:tc>
          <w:tcPr>
            <w:tcW w:w="7815" w:type="dxa"/>
          </w:tcPr>
          <w:p w14:paraId="45B453B8" w14:textId="77777777" w:rsidR="004316C3" w:rsidRPr="00936D28" w:rsidRDefault="004316C3" w:rsidP="004316C3">
            <w:pPr>
              <w:contextualSpacing/>
              <w:rPr>
                <w:rFonts w:asciiTheme="majorHAnsi" w:hAnsiTheme="majorHAnsi" w:cstheme="majorHAnsi"/>
                <w:sz w:val="22"/>
                <w:szCs w:val="22"/>
              </w:rPr>
            </w:pPr>
            <w:r w:rsidRPr="00936D28">
              <w:rPr>
                <w:rFonts w:asciiTheme="majorHAnsi" w:hAnsiTheme="majorHAnsi" w:cstheme="majorHAnsi"/>
                <w:sz w:val="22"/>
                <w:szCs w:val="22"/>
              </w:rPr>
              <w:t>Appraisal against Criteria:</w:t>
            </w:r>
          </w:p>
          <w:p w14:paraId="31FC9495" w14:textId="77777777" w:rsidR="004316C3" w:rsidRPr="00936D28" w:rsidRDefault="004316C3" w:rsidP="004316C3">
            <w:pPr>
              <w:contextualSpacing/>
              <w:rPr>
                <w:rFonts w:asciiTheme="majorHAnsi" w:hAnsiTheme="majorHAnsi" w:cstheme="majorHAnsi"/>
                <w:b/>
                <w:sz w:val="22"/>
                <w:szCs w:val="22"/>
              </w:rPr>
            </w:pPr>
          </w:p>
          <w:p w14:paraId="41DCF0B2" w14:textId="77777777" w:rsidR="004316C3" w:rsidRPr="00936D28" w:rsidRDefault="004316C3" w:rsidP="004316C3">
            <w:pPr>
              <w:contextualSpacing/>
              <w:rPr>
                <w:rFonts w:asciiTheme="majorHAnsi" w:hAnsiTheme="majorHAnsi" w:cstheme="majorHAnsi"/>
                <w:b/>
                <w:sz w:val="22"/>
                <w:szCs w:val="22"/>
              </w:rPr>
            </w:pPr>
            <w:r w:rsidRPr="00936D28">
              <w:rPr>
                <w:rFonts w:asciiTheme="majorHAnsi" w:hAnsiTheme="majorHAnsi" w:cstheme="majorHAnsi"/>
                <w:b/>
                <w:sz w:val="22"/>
                <w:szCs w:val="22"/>
              </w:rPr>
              <w:t>Clarity</w:t>
            </w:r>
          </w:p>
          <w:p w14:paraId="540AAAF7" w14:textId="77777777" w:rsidR="004316C3" w:rsidRPr="00936D28" w:rsidRDefault="004316C3" w:rsidP="004316C3">
            <w:pPr>
              <w:pStyle w:val="ListParagraph"/>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The recommendation to amend the title to include the “percentage of…” was acted upon.</w:t>
            </w:r>
          </w:p>
          <w:p w14:paraId="384D9874" w14:textId="77777777" w:rsidR="004316C3" w:rsidRPr="00936D28" w:rsidRDefault="004316C3" w:rsidP="004316C3">
            <w:pPr>
              <w:contextualSpacing/>
              <w:rPr>
                <w:rFonts w:asciiTheme="majorHAnsi" w:hAnsiTheme="majorHAnsi" w:cstheme="majorHAnsi"/>
                <w:sz w:val="22"/>
                <w:szCs w:val="22"/>
              </w:rPr>
            </w:pPr>
          </w:p>
          <w:p w14:paraId="13DE6200" w14:textId="77777777" w:rsidR="004316C3" w:rsidRPr="00936D28" w:rsidRDefault="004316C3" w:rsidP="004316C3">
            <w:pPr>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It was suggested that further evidence of the methodology used to determine whether  cases are diagnosed by emergency routes would be useful, e.g. as described in the British Journal of Cancer.</w:t>
            </w:r>
          </w:p>
          <w:p w14:paraId="556254E5" w14:textId="77777777" w:rsidR="004316C3" w:rsidRPr="00936D28" w:rsidRDefault="004316C3" w:rsidP="004316C3">
            <w:pPr>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 xml:space="preserve">The methodology used for this indicator has been peer-reviewed and published in the British Journal of Cancer. </w:t>
            </w:r>
          </w:p>
          <w:p w14:paraId="385FA631" w14:textId="77777777" w:rsidR="004316C3" w:rsidRPr="00936D28" w:rsidRDefault="004316C3" w:rsidP="004316C3">
            <w:pPr>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A link to the BJC study has been provided in the indicator quality statement alongside the table presented in MRG detailing the eight routes, and showing diagnosis groups, descriptions, priority and relevant codes.  This is also included in the specification.</w:t>
            </w:r>
          </w:p>
          <w:p w14:paraId="487766D7" w14:textId="77777777" w:rsidR="004316C3" w:rsidRPr="00936D28" w:rsidRDefault="004316C3" w:rsidP="004316C3">
            <w:pPr>
              <w:contextualSpacing/>
              <w:rPr>
                <w:rFonts w:asciiTheme="majorHAnsi" w:hAnsiTheme="majorHAnsi" w:cstheme="majorHAnsi"/>
                <w:sz w:val="22"/>
                <w:szCs w:val="22"/>
              </w:rPr>
            </w:pPr>
          </w:p>
          <w:p w14:paraId="27B1130F" w14:textId="77777777" w:rsidR="004316C3" w:rsidRPr="00936D28" w:rsidRDefault="004316C3" w:rsidP="004316C3">
            <w:pPr>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It was noted that in within the list of emergency codes for inpatients, the third category code 24 (emergency referral from outpatient to inpatient) is missing. For other emergency admissions it is usually included, therefore it will be inconsistent with the definition of emergency used elsewhere.  Conformation was sought as to whether it was certain it shouldn’t be excluded.</w:t>
            </w:r>
          </w:p>
          <w:p w14:paraId="4F34EED4" w14:textId="77777777" w:rsidR="004316C3" w:rsidRPr="00936D28" w:rsidRDefault="004316C3" w:rsidP="004316C3">
            <w:pPr>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The developer put forward that</w:t>
            </w:r>
          </w:p>
          <w:p w14:paraId="3CBB26B0" w14:textId="77777777" w:rsidR="004316C3" w:rsidRPr="00936D28" w:rsidRDefault="004316C3" w:rsidP="004316C3">
            <w:pPr>
              <w:numPr>
                <w:ilvl w:val="1"/>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the intent with the routes was work back from the end point and in going through this, to find out what the emergency presentation was that got the patient to first present to secondary care.</w:t>
            </w:r>
          </w:p>
          <w:p w14:paraId="72C80873" w14:textId="77777777" w:rsidR="004316C3" w:rsidRPr="00936D28" w:rsidRDefault="004316C3" w:rsidP="004316C3">
            <w:pPr>
              <w:numPr>
                <w:ilvl w:val="1"/>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finding out how people first came into secondary care is of interest. If someone is an emergency transfer for outpatient to inpatient, they have already had an outpatient appointment. The outpatient data would have to be looked at to see if the first presentation was an emergency or not.   This would be slightly different to a patient who had entered into secondary care and then been considered an emergency and transferred to inpatient (as opposed to presenting as an emergency into secondary care in the first place).  This had been discussed at length as part of the development process.</w:t>
            </w:r>
          </w:p>
          <w:p w14:paraId="7EF90DCC" w14:textId="77777777" w:rsidR="004316C3" w:rsidRPr="00936D28" w:rsidRDefault="004316C3" w:rsidP="004316C3">
            <w:pPr>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MRG questioned how this aligned with the inclusion of emergency admissions following A&amp;E attendance.  A&amp;E is the first presentation but the indicator includes the inpatient bit following a presentation at A&amp;E.</w:t>
            </w:r>
          </w:p>
          <w:p w14:paraId="33934C36" w14:textId="77777777" w:rsidR="004316C3" w:rsidRPr="00936D28" w:rsidRDefault="004316C3" w:rsidP="004316C3">
            <w:pPr>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The developer put forward that there was a considerable difference as presenting at A&amp;E is actually their first attendance into secondary care and is an emergency rather than already being in the system and becoming an emergency.</w:t>
            </w:r>
          </w:p>
          <w:p w14:paraId="4E47C37A" w14:textId="77777777" w:rsidR="004316C3" w:rsidRPr="00936D28" w:rsidRDefault="004316C3" w:rsidP="004316C3">
            <w:pPr>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The exclusion of the category code 24 is explained in the Indicator Quality Statement as it represents a different approach for emergency admissions for other indicators.</w:t>
            </w:r>
          </w:p>
          <w:p w14:paraId="3222F544" w14:textId="77777777" w:rsidR="004316C3" w:rsidRPr="00936D28" w:rsidRDefault="004316C3" w:rsidP="004316C3">
            <w:pPr>
              <w:contextualSpacing/>
              <w:rPr>
                <w:rFonts w:asciiTheme="majorHAnsi" w:hAnsiTheme="majorHAnsi" w:cstheme="majorHAnsi"/>
                <w:sz w:val="22"/>
                <w:szCs w:val="22"/>
              </w:rPr>
            </w:pPr>
          </w:p>
          <w:p w14:paraId="0227F24C" w14:textId="77777777" w:rsidR="004316C3" w:rsidRPr="00936D28" w:rsidRDefault="004316C3" w:rsidP="004316C3">
            <w:pPr>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The developer accepted as a good idea the suggestion to look as to whether the outcomes (survival) for those people who present as an outpatient and then get an emergency referral through to an inpatient significantly different to other people who first present as an outpatient,</w:t>
            </w:r>
          </w:p>
          <w:p w14:paraId="5186F0C0" w14:textId="77777777" w:rsidR="004316C3" w:rsidRPr="00936D28" w:rsidRDefault="004316C3" w:rsidP="004316C3">
            <w:pPr>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 xml:space="preserve">However, this wouldn’t be done until late 2014. </w:t>
            </w:r>
          </w:p>
          <w:p w14:paraId="0C41C362" w14:textId="77777777" w:rsidR="004316C3" w:rsidRPr="00936D28" w:rsidRDefault="004316C3" w:rsidP="004316C3">
            <w:pPr>
              <w:contextualSpacing/>
              <w:rPr>
                <w:rFonts w:asciiTheme="majorHAnsi" w:hAnsiTheme="majorHAnsi" w:cstheme="majorHAnsi"/>
                <w:b/>
                <w:sz w:val="22"/>
                <w:szCs w:val="22"/>
              </w:rPr>
            </w:pPr>
            <w:r w:rsidRPr="00936D28">
              <w:rPr>
                <w:rFonts w:asciiTheme="majorHAnsi" w:hAnsiTheme="majorHAnsi" w:cstheme="majorHAnsi"/>
                <w:b/>
                <w:sz w:val="22"/>
                <w:szCs w:val="22"/>
              </w:rPr>
              <w:t>Rationale / Purpose</w:t>
            </w:r>
          </w:p>
          <w:p w14:paraId="51F12EC3" w14:textId="77777777" w:rsidR="004316C3" w:rsidRPr="00936D28" w:rsidRDefault="004316C3" w:rsidP="004316C3">
            <w:pPr>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No further comments were raised by MRG</w:t>
            </w:r>
          </w:p>
          <w:p w14:paraId="2C9BD678" w14:textId="77777777" w:rsidR="004316C3" w:rsidRPr="00936D28" w:rsidRDefault="004316C3" w:rsidP="004316C3">
            <w:pPr>
              <w:ind w:left="360"/>
              <w:contextualSpacing/>
              <w:rPr>
                <w:rFonts w:asciiTheme="majorHAnsi" w:hAnsiTheme="majorHAnsi" w:cstheme="majorHAnsi"/>
                <w:sz w:val="22"/>
                <w:szCs w:val="22"/>
              </w:rPr>
            </w:pPr>
          </w:p>
          <w:p w14:paraId="717F7516" w14:textId="77777777" w:rsidR="004316C3" w:rsidRPr="00936D28" w:rsidRDefault="004316C3" w:rsidP="004316C3">
            <w:pPr>
              <w:rPr>
                <w:rFonts w:asciiTheme="majorHAnsi" w:hAnsiTheme="majorHAnsi" w:cstheme="majorHAnsi"/>
                <w:b/>
                <w:sz w:val="22"/>
                <w:szCs w:val="22"/>
              </w:rPr>
            </w:pPr>
            <w:r w:rsidRPr="00936D28">
              <w:rPr>
                <w:rFonts w:asciiTheme="majorHAnsi" w:hAnsiTheme="majorHAnsi" w:cstheme="majorHAnsi"/>
                <w:b/>
                <w:sz w:val="22"/>
                <w:szCs w:val="22"/>
              </w:rPr>
              <w:t>Data :</w:t>
            </w:r>
          </w:p>
          <w:p w14:paraId="41BBAF60" w14:textId="77777777" w:rsidR="004316C3" w:rsidRPr="00936D28" w:rsidRDefault="004316C3" w:rsidP="004316C3">
            <w:pPr>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 xml:space="preserve">The applicant put forward that cancer registration data has been used for this indicator, as it is the definitive source for cancers diagnosed via emergency routes at a national level. </w:t>
            </w:r>
          </w:p>
          <w:p w14:paraId="5843BC62" w14:textId="77777777" w:rsidR="004316C3" w:rsidRPr="00936D28" w:rsidRDefault="004316C3" w:rsidP="004316C3">
            <w:pPr>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A description identifying that for some cancers better data sources are available (e.g. the NLCA for lung cancer) is included in the metadata.</w:t>
            </w:r>
          </w:p>
          <w:p w14:paraId="74ED9990" w14:textId="77777777" w:rsidR="004316C3" w:rsidRPr="00936D28" w:rsidRDefault="004316C3" w:rsidP="004316C3">
            <w:pPr>
              <w:contextualSpacing/>
              <w:rPr>
                <w:rFonts w:asciiTheme="majorHAnsi" w:hAnsiTheme="majorHAnsi" w:cstheme="majorHAnsi"/>
                <w:b/>
                <w:sz w:val="22"/>
                <w:szCs w:val="22"/>
              </w:rPr>
            </w:pPr>
            <w:r w:rsidRPr="00936D28">
              <w:rPr>
                <w:rFonts w:asciiTheme="majorHAnsi" w:hAnsiTheme="majorHAnsi" w:cstheme="majorHAnsi"/>
                <w:b/>
                <w:sz w:val="22"/>
                <w:szCs w:val="22"/>
              </w:rPr>
              <w:t>Construction:</w:t>
            </w:r>
          </w:p>
          <w:p w14:paraId="5A2921DF" w14:textId="77777777" w:rsidR="004316C3" w:rsidRPr="00936D28" w:rsidRDefault="004316C3" w:rsidP="004316C3">
            <w:pPr>
              <w:numPr>
                <w:ilvl w:val="0"/>
                <w:numId w:val="12"/>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sz w:val="22"/>
                <w:szCs w:val="22"/>
              </w:rPr>
              <w:t>Further clarification as to whether patients diagnosed at death should be included in the numerator and the denominator or excluded from the indicator.</w:t>
            </w:r>
          </w:p>
          <w:p w14:paraId="77054BE3" w14:textId="77777777" w:rsidR="004316C3" w:rsidRPr="00936D28" w:rsidRDefault="004316C3" w:rsidP="004316C3">
            <w:pPr>
              <w:numPr>
                <w:ilvl w:val="0"/>
                <w:numId w:val="12"/>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sz w:val="22"/>
                <w:szCs w:val="22"/>
              </w:rPr>
              <w:t xml:space="preserve">NCIN  provided the following advice on this recommendation: </w:t>
            </w:r>
          </w:p>
          <w:p w14:paraId="213D488A" w14:textId="77777777" w:rsidR="004316C3" w:rsidRPr="00936D28" w:rsidRDefault="004316C3" w:rsidP="004316C3">
            <w:pPr>
              <w:numPr>
                <w:ilvl w:val="1"/>
                <w:numId w:val="12"/>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sz w:val="22"/>
                <w:szCs w:val="22"/>
              </w:rPr>
              <w:t xml:space="preserve">This indicator measures the proportion of all tumours that were diagnosed as an emergency.  The source of this indicator also displays the other seven Routes that tumours can be assigned to.  A Death Certificate Only (DCO) is a Route; indeed, it is important to identify cancer sites with a high proportion of DCOs in order to understand why the person had not presented with symptoms.  This indicator and results should also align with the source of the data and therefore needs to adhere to the same methodology.  </w:t>
            </w:r>
          </w:p>
          <w:p w14:paraId="4714A063" w14:textId="77777777" w:rsidR="004316C3" w:rsidRPr="00936D28" w:rsidRDefault="004316C3" w:rsidP="004316C3">
            <w:pPr>
              <w:numPr>
                <w:ilvl w:val="1"/>
                <w:numId w:val="12"/>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sz w:val="22"/>
                <w:szCs w:val="22"/>
              </w:rPr>
              <w:t>Professor Sir Mike Richards, Clinical Advisor to the Routes to Diagnosis project, supports these results being consistent with the Routes to Diagnosis methodology.</w:t>
            </w:r>
          </w:p>
          <w:p w14:paraId="329FC17F" w14:textId="77777777" w:rsidR="004316C3" w:rsidRPr="00936D28" w:rsidRDefault="004316C3" w:rsidP="004316C3">
            <w:pPr>
              <w:contextualSpacing/>
              <w:rPr>
                <w:rFonts w:asciiTheme="majorHAnsi" w:hAnsiTheme="majorHAnsi" w:cstheme="majorHAnsi"/>
                <w:b/>
                <w:sz w:val="22"/>
                <w:szCs w:val="22"/>
              </w:rPr>
            </w:pPr>
            <w:r w:rsidRPr="00936D28">
              <w:rPr>
                <w:rFonts w:asciiTheme="majorHAnsi" w:hAnsiTheme="majorHAnsi" w:cstheme="majorHAnsi"/>
                <w:b/>
                <w:sz w:val="22"/>
                <w:szCs w:val="22"/>
              </w:rPr>
              <w:t>Interpretation:</w:t>
            </w:r>
          </w:p>
          <w:p w14:paraId="35CEFCE1" w14:textId="77777777" w:rsidR="004316C3" w:rsidRPr="00936D28" w:rsidRDefault="004316C3" w:rsidP="004316C3">
            <w:pPr>
              <w:pStyle w:val="ListParagraph"/>
              <w:numPr>
                <w:ilvl w:val="0"/>
                <w:numId w:val="12"/>
              </w:numPr>
              <w:spacing w:before="120" w:after="120"/>
              <w:rPr>
                <w:rFonts w:asciiTheme="majorHAnsi" w:hAnsiTheme="majorHAnsi" w:cstheme="majorHAnsi"/>
                <w:sz w:val="22"/>
                <w:szCs w:val="22"/>
              </w:rPr>
            </w:pPr>
            <w:r w:rsidRPr="00936D28">
              <w:rPr>
                <w:rFonts w:asciiTheme="majorHAnsi" w:hAnsiTheme="majorHAnsi" w:cstheme="majorHAnsi"/>
                <w:sz w:val="22"/>
                <w:szCs w:val="22"/>
              </w:rPr>
              <w:t>It was confirmed DCOs are included in the denominator but not the numerator, however it was queried as to whether there might be an issue in that DCOs are a bad outcome, but a higher level of DCOs can be interpreted as good on this indicator.  In this case should they be excluded from the denominator.</w:t>
            </w:r>
          </w:p>
          <w:p w14:paraId="60C8121D" w14:textId="77777777" w:rsidR="004316C3" w:rsidRPr="00936D28" w:rsidRDefault="004316C3" w:rsidP="004316C3">
            <w:pPr>
              <w:pStyle w:val="ListParagraph"/>
              <w:numPr>
                <w:ilvl w:val="0"/>
                <w:numId w:val="12"/>
              </w:numPr>
              <w:spacing w:before="120" w:after="120"/>
              <w:rPr>
                <w:rFonts w:asciiTheme="majorHAnsi" w:hAnsiTheme="majorHAnsi" w:cstheme="majorHAnsi"/>
                <w:sz w:val="22"/>
                <w:szCs w:val="22"/>
              </w:rPr>
            </w:pPr>
            <w:r w:rsidRPr="00936D28">
              <w:rPr>
                <w:rFonts w:asciiTheme="majorHAnsi" w:hAnsiTheme="majorHAnsi" w:cstheme="majorHAnsi"/>
                <w:sz w:val="22"/>
                <w:szCs w:val="22"/>
              </w:rPr>
              <w:t>In response the developer put forward excluding DCOs from the denominator would produce a slightly different set of results to anything else that is published using the risk and diagnosis methodology, and  on the basis of a small amount of numbers, is there a benefit of producing this inconsistency.</w:t>
            </w:r>
          </w:p>
          <w:p w14:paraId="766BBC39" w14:textId="77777777" w:rsidR="004316C3" w:rsidRPr="00936D28" w:rsidRDefault="004316C3" w:rsidP="004316C3">
            <w:pPr>
              <w:pStyle w:val="ListParagraph"/>
              <w:numPr>
                <w:ilvl w:val="0"/>
                <w:numId w:val="12"/>
              </w:numPr>
              <w:spacing w:before="120" w:after="120"/>
              <w:rPr>
                <w:rFonts w:asciiTheme="majorHAnsi" w:hAnsiTheme="majorHAnsi" w:cstheme="majorHAnsi"/>
                <w:sz w:val="22"/>
                <w:szCs w:val="22"/>
              </w:rPr>
            </w:pPr>
            <w:r w:rsidRPr="00936D28">
              <w:rPr>
                <w:rFonts w:asciiTheme="majorHAnsi" w:hAnsiTheme="majorHAnsi" w:cstheme="majorHAnsi"/>
                <w:sz w:val="22"/>
                <w:szCs w:val="22"/>
              </w:rPr>
              <w:t xml:space="preserve">A suggestion put forward was the preferable outcome was to include DCOs in the numerator (as if people were diagnosed at death then this represents a failure of the system), however the developer responded that as it was not classified as an emergency it couldn’t be included in the </w:t>
            </w:r>
            <w:r w:rsidRPr="00936D28">
              <w:rPr>
                <w:rFonts w:asciiTheme="majorHAnsi" w:hAnsiTheme="majorHAnsi" w:cstheme="majorHAnsi"/>
                <w:sz w:val="22"/>
                <w:szCs w:val="22"/>
              </w:rPr>
              <w:lastRenderedPageBreak/>
              <w:t>numerator, as there was no information if they presented as an emergency or not.</w:t>
            </w:r>
          </w:p>
          <w:p w14:paraId="1E20C0CF" w14:textId="77777777" w:rsidR="004316C3" w:rsidRPr="00936D28" w:rsidRDefault="004316C3" w:rsidP="004316C3">
            <w:pPr>
              <w:pStyle w:val="ListParagraph"/>
              <w:numPr>
                <w:ilvl w:val="0"/>
                <w:numId w:val="12"/>
              </w:numPr>
              <w:spacing w:before="120" w:after="120"/>
              <w:rPr>
                <w:rFonts w:asciiTheme="majorHAnsi" w:hAnsiTheme="majorHAnsi" w:cstheme="majorHAnsi"/>
                <w:sz w:val="22"/>
                <w:szCs w:val="22"/>
              </w:rPr>
            </w:pPr>
            <w:r w:rsidRPr="00936D28">
              <w:rPr>
                <w:rFonts w:asciiTheme="majorHAnsi" w:hAnsiTheme="majorHAnsi" w:cstheme="majorHAnsi"/>
                <w:sz w:val="22"/>
                <w:szCs w:val="22"/>
              </w:rPr>
              <w:t xml:space="preserve">MRG concluded that the issue of including / excluding DCO’s would impact on the interpretation of the indicator, as mixing of “good and bad things” isn’t generally a good way of defining an indicator.  However, if it is a negligible issue and is the historic way it is done then the group might not want to see it being slightly different from other versions of the indicator elsewhere.  </w:t>
            </w:r>
          </w:p>
          <w:p w14:paraId="34EC47A8" w14:textId="77777777" w:rsidR="004316C3" w:rsidRPr="00936D28" w:rsidRDefault="004316C3" w:rsidP="004316C3">
            <w:pPr>
              <w:pStyle w:val="ListParagraph"/>
              <w:numPr>
                <w:ilvl w:val="0"/>
                <w:numId w:val="12"/>
              </w:numPr>
              <w:spacing w:before="120" w:after="120"/>
              <w:rPr>
                <w:rFonts w:asciiTheme="majorHAnsi" w:hAnsiTheme="majorHAnsi" w:cstheme="majorHAnsi"/>
                <w:sz w:val="22"/>
                <w:szCs w:val="22"/>
              </w:rPr>
            </w:pPr>
            <w:r w:rsidRPr="00936D28">
              <w:rPr>
                <w:rFonts w:asciiTheme="majorHAnsi" w:hAnsiTheme="majorHAnsi" w:cstheme="majorHAnsi"/>
                <w:sz w:val="22"/>
                <w:szCs w:val="22"/>
              </w:rPr>
              <w:t>To ensure that there is not any perverse behaviour happening around DCOs results showing emergency plus DCOs will be provided as contextual information.  This will enable users to see if there were any large changes in the DCOs that would affect the emergency rates.</w:t>
            </w:r>
          </w:p>
          <w:p w14:paraId="6785B552" w14:textId="77777777" w:rsidR="004316C3" w:rsidRPr="00936D28" w:rsidRDefault="004316C3" w:rsidP="004316C3">
            <w:pPr>
              <w:contextualSpacing/>
              <w:rPr>
                <w:rFonts w:asciiTheme="majorHAnsi" w:hAnsiTheme="majorHAnsi" w:cstheme="majorHAnsi"/>
                <w:b/>
                <w:sz w:val="22"/>
                <w:szCs w:val="22"/>
              </w:rPr>
            </w:pPr>
            <w:r w:rsidRPr="00936D28">
              <w:rPr>
                <w:rFonts w:asciiTheme="majorHAnsi" w:hAnsiTheme="majorHAnsi" w:cstheme="majorHAnsi"/>
                <w:b/>
                <w:sz w:val="22"/>
                <w:szCs w:val="22"/>
              </w:rPr>
              <w:t xml:space="preserve">Risks and Usefulness: </w:t>
            </w:r>
          </w:p>
          <w:p w14:paraId="0F89FAF6" w14:textId="77777777" w:rsidR="004316C3" w:rsidRPr="00936D28" w:rsidRDefault="004316C3" w:rsidP="004316C3">
            <w:pPr>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No further comments were raised by MRG</w:t>
            </w:r>
          </w:p>
          <w:p w14:paraId="3B6D5F9F" w14:textId="77777777" w:rsidR="004316C3" w:rsidRPr="00936D28" w:rsidRDefault="004316C3" w:rsidP="004316C3">
            <w:pPr>
              <w:contextualSpacing/>
              <w:rPr>
                <w:rFonts w:asciiTheme="majorHAnsi" w:hAnsiTheme="majorHAnsi" w:cstheme="majorHAnsi"/>
                <w:sz w:val="22"/>
                <w:szCs w:val="22"/>
              </w:rPr>
            </w:pPr>
          </w:p>
          <w:p w14:paraId="6DFA2FB3" w14:textId="77777777" w:rsidR="004316C3" w:rsidRPr="00936D28" w:rsidRDefault="004316C3" w:rsidP="004316C3">
            <w:pPr>
              <w:contextualSpacing/>
              <w:rPr>
                <w:rFonts w:asciiTheme="majorHAnsi" w:hAnsiTheme="majorHAnsi" w:cstheme="majorHAnsi"/>
                <w:b/>
                <w:sz w:val="22"/>
                <w:szCs w:val="22"/>
              </w:rPr>
            </w:pPr>
            <w:r w:rsidRPr="00936D28">
              <w:rPr>
                <w:rFonts w:asciiTheme="majorHAnsi" w:hAnsiTheme="majorHAnsi" w:cstheme="majorHAnsi"/>
                <w:b/>
                <w:sz w:val="22"/>
                <w:szCs w:val="22"/>
              </w:rPr>
              <w:t>Other:</w:t>
            </w:r>
          </w:p>
          <w:p w14:paraId="3204D72C" w14:textId="77777777" w:rsidR="004316C3" w:rsidRPr="00936D28" w:rsidRDefault="004316C3" w:rsidP="004316C3">
            <w:pPr>
              <w:contextualSpacing/>
              <w:rPr>
                <w:rFonts w:asciiTheme="majorHAnsi" w:hAnsiTheme="majorHAnsi" w:cstheme="majorHAnsi"/>
                <w:sz w:val="22"/>
                <w:szCs w:val="22"/>
              </w:rPr>
            </w:pPr>
            <w:r w:rsidRPr="00936D28">
              <w:rPr>
                <w:rFonts w:asciiTheme="majorHAnsi" w:hAnsiTheme="majorHAnsi" w:cstheme="majorHAnsi"/>
                <w:sz w:val="22"/>
                <w:szCs w:val="22"/>
              </w:rPr>
              <w:t>Further clarification was provided as to those patients presenting at secondary services via routes other than A&amp;E and emergency GP referrals.</w:t>
            </w:r>
          </w:p>
          <w:p w14:paraId="2B135F99" w14:textId="77777777" w:rsidR="004316C3" w:rsidRPr="00936D28" w:rsidRDefault="004316C3" w:rsidP="00460B4E">
            <w:pPr>
              <w:contextualSpacing/>
              <w:rPr>
                <w:rFonts w:asciiTheme="majorHAnsi" w:hAnsiTheme="majorHAnsi" w:cstheme="majorHAnsi"/>
                <w:sz w:val="22"/>
                <w:szCs w:val="22"/>
              </w:rPr>
            </w:pPr>
          </w:p>
        </w:tc>
      </w:tr>
    </w:tbl>
    <w:p w14:paraId="52E95834" w14:textId="77777777" w:rsidR="004F07F3" w:rsidRDefault="004F07F3"/>
    <w:tbl>
      <w:tblPr>
        <w:tblStyle w:val="TableGrid"/>
        <w:tblW w:w="9923" w:type="dxa"/>
        <w:tblLook w:val="01E0" w:firstRow="1" w:lastRow="1" w:firstColumn="1" w:lastColumn="1" w:noHBand="0" w:noVBand="0"/>
      </w:tblPr>
      <w:tblGrid>
        <w:gridCol w:w="2108"/>
        <w:gridCol w:w="6524"/>
        <w:gridCol w:w="710"/>
        <w:gridCol w:w="581"/>
      </w:tblGrid>
      <w:tr w:rsidR="004316C3" w:rsidRPr="00936D28" w14:paraId="0E8A506A" w14:textId="77777777" w:rsidTr="004F07F3">
        <w:trPr>
          <w:trHeight w:val="228"/>
        </w:trPr>
        <w:tc>
          <w:tcPr>
            <w:tcW w:w="2108" w:type="dxa"/>
          </w:tcPr>
          <w:p w14:paraId="1E247AEC" w14:textId="46094738"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i/>
                <w:sz w:val="22"/>
                <w:szCs w:val="22"/>
              </w:rPr>
              <w:t>Outcome of MRG consideration:</w:t>
            </w:r>
          </w:p>
        </w:tc>
        <w:tc>
          <w:tcPr>
            <w:tcW w:w="6524" w:type="dxa"/>
          </w:tcPr>
          <w:p w14:paraId="788C8287" w14:textId="0D45AC46" w:rsidR="004316C3" w:rsidRPr="00936D28" w:rsidRDefault="004316C3" w:rsidP="004316C3">
            <w:pPr>
              <w:pStyle w:val="ListParagraph"/>
              <w:numPr>
                <w:ilvl w:val="0"/>
                <w:numId w:val="15"/>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No significant issues identified</w:t>
            </w:r>
          </w:p>
        </w:tc>
        <w:sdt>
          <w:sdtPr>
            <w:rPr>
              <w:rFonts w:asciiTheme="majorHAnsi" w:hAnsiTheme="majorHAnsi" w:cstheme="majorHAnsi"/>
              <w:sz w:val="22"/>
              <w:szCs w:val="22"/>
            </w:rPr>
            <w:id w:val="1907256850"/>
            <w14:checkbox>
              <w14:checked w14:val="0"/>
              <w14:checkedState w14:val="2612" w14:font="MS Gothic"/>
              <w14:uncheckedState w14:val="2610" w14:font="MS Gothic"/>
            </w14:checkbox>
          </w:sdtPr>
          <w:sdtContent>
            <w:tc>
              <w:tcPr>
                <w:tcW w:w="710" w:type="dxa"/>
              </w:tcPr>
              <w:p w14:paraId="41786A3B" w14:textId="44EEA2B7" w:rsidR="004316C3" w:rsidRDefault="004316C3" w:rsidP="004316C3">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81" w:type="dxa"/>
          </w:tcPr>
          <w:p w14:paraId="43903692" w14:textId="77777777" w:rsidR="004316C3" w:rsidRPr="00936D28" w:rsidRDefault="004316C3" w:rsidP="004316C3">
            <w:pPr>
              <w:rPr>
                <w:rFonts w:asciiTheme="majorHAnsi" w:hAnsiTheme="majorHAnsi" w:cstheme="majorHAnsi"/>
                <w:b/>
                <w:sz w:val="22"/>
                <w:szCs w:val="22"/>
              </w:rPr>
            </w:pPr>
          </w:p>
        </w:tc>
      </w:tr>
      <w:tr w:rsidR="004316C3" w:rsidRPr="00936D28" w14:paraId="75F68FDF" w14:textId="77777777" w:rsidTr="004F07F3">
        <w:trPr>
          <w:trHeight w:val="228"/>
        </w:trPr>
        <w:tc>
          <w:tcPr>
            <w:tcW w:w="2108" w:type="dxa"/>
          </w:tcPr>
          <w:p w14:paraId="0182D0C1" w14:textId="77777777" w:rsidR="004316C3" w:rsidRPr="00936D28" w:rsidRDefault="004316C3" w:rsidP="004316C3">
            <w:pPr>
              <w:rPr>
                <w:rFonts w:asciiTheme="majorHAnsi" w:hAnsiTheme="majorHAnsi" w:cstheme="majorHAnsi"/>
                <w:sz w:val="22"/>
                <w:szCs w:val="22"/>
              </w:rPr>
            </w:pPr>
          </w:p>
        </w:tc>
        <w:tc>
          <w:tcPr>
            <w:tcW w:w="6524" w:type="dxa"/>
          </w:tcPr>
          <w:p w14:paraId="128F1EA9" w14:textId="11E5238B" w:rsidR="004316C3" w:rsidRPr="00936D28" w:rsidRDefault="004316C3" w:rsidP="004316C3">
            <w:pPr>
              <w:pStyle w:val="ListParagraph"/>
              <w:numPr>
                <w:ilvl w:val="0"/>
                <w:numId w:val="15"/>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No significant issues on basis of completion of outstanding actions</w:t>
            </w:r>
          </w:p>
        </w:tc>
        <w:sdt>
          <w:sdtPr>
            <w:rPr>
              <w:rFonts w:asciiTheme="majorHAnsi" w:hAnsiTheme="majorHAnsi" w:cstheme="majorHAnsi"/>
              <w:sz w:val="22"/>
              <w:szCs w:val="22"/>
            </w:rPr>
            <w:id w:val="315923727"/>
            <w14:checkbox>
              <w14:checked w14:val="0"/>
              <w14:checkedState w14:val="2612" w14:font="MS Gothic"/>
              <w14:uncheckedState w14:val="2610" w14:font="MS Gothic"/>
            </w14:checkbox>
          </w:sdtPr>
          <w:sdtContent>
            <w:tc>
              <w:tcPr>
                <w:tcW w:w="710" w:type="dxa"/>
              </w:tcPr>
              <w:p w14:paraId="1797E2C2" w14:textId="1E9155E7" w:rsidR="004316C3" w:rsidRDefault="004316C3" w:rsidP="004316C3">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81" w:type="dxa"/>
          </w:tcPr>
          <w:p w14:paraId="38E2F5A5" w14:textId="77777777" w:rsidR="004316C3" w:rsidRPr="00936D28" w:rsidRDefault="004316C3" w:rsidP="004316C3">
            <w:pPr>
              <w:rPr>
                <w:rFonts w:asciiTheme="majorHAnsi" w:hAnsiTheme="majorHAnsi" w:cstheme="majorHAnsi"/>
                <w:b/>
                <w:sz w:val="22"/>
                <w:szCs w:val="22"/>
              </w:rPr>
            </w:pPr>
          </w:p>
        </w:tc>
      </w:tr>
      <w:tr w:rsidR="004316C3" w:rsidRPr="00936D28" w14:paraId="5648A782" w14:textId="77777777" w:rsidTr="004F07F3">
        <w:trPr>
          <w:trHeight w:val="228"/>
        </w:trPr>
        <w:tc>
          <w:tcPr>
            <w:tcW w:w="2108" w:type="dxa"/>
          </w:tcPr>
          <w:p w14:paraId="0CF4A897" w14:textId="77777777" w:rsidR="004316C3" w:rsidRPr="00936D28" w:rsidRDefault="004316C3" w:rsidP="004316C3">
            <w:pPr>
              <w:rPr>
                <w:rFonts w:asciiTheme="majorHAnsi" w:hAnsiTheme="majorHAnsi" w:cstheme="majorHAnsi"/>
                <w:sz w:val="22"/>
                <w:szCs w:val="22"/>
              </w:rPr>
            </w:pPr>
          </w:p>
        </w:tc>
        <w:tc>
          <w:tcPr>
            <w:tcW w:w="6524" w:type="dxa"/>
          </w:tcPr>
          <w:p w14:paraId="20F452D1" w14:textId="4899408E" w:rsidR="004316C3" w:rsidRPr="00936D28" w:rsidRDefault="004316C3" w:rsidP="004316C3">
            <w:pPr>
              <w:pStyle w:val="ListParagraph"/>
              <w:numPr>
                <w:ilvl w:val="0"/>
                <w:numId w:val="15"/>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Some concerns expressed as caveats or limitations</w:t>
            </w:r>
          </w:p>
        </w:tc>
        <w:sdt>
          <w:sdtPr>
            <w:rPr>
              <w:rFonts w:asciiTheme="majorHAnsi" w:hAnsiTheme="majorHAnsi" w:cstheme="majorHAnsi"/>
              <w:sz w:val="22"/>
              <w:szCs w:val="22"/>
            </w:rPr>
            <w:id w:val="-1302304242"/>
            <w14:checkbox>
              <w14:checked w14:val="1"/>
              <w14:checkedState w14:val="2612" w14:font="MS Gothic"/>
              <w14:uncheckedState w14:val="2610" w14:font="MS Gothic"/>
            </w14:checkbox>
          </w:sdtPr>
          <w:sdtContent>
            <w:tc>
              <w:tcPr>
                <w:tcW w:w="710" w:type="dxa"/>
              </w:tcPr>
              <w:p w14:paraId="5819EAF9" w14:textId="3A4E65EC" w:rsidR="004316C3" w:rsidRDefault="004316C3" w:rsidP="004316C3">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81" w:type="dxa"/>
          </w:tcPr>
          <w:p w14:paraId="7558447F" w14:textId="77777777" w:rsidR="004316C3" w:rsidRPr="00936D28" w:rsidRDefault="004316C3" w:rsidP="004316C3">
            <w:pPr>
              <w:rPr>
                <w:rFonts w:asciiTheme="majorHAnsi" w:hAnsiTheme="majorHAnsi" w:cstheme="majorHAnsi"/>
                <w:b/>
                <w:sz w:val="22"/>
                <w:szCs w:val="22"/>
              </w:rPr>
            </w:pPr>
          </w:p>
        </w:tc>
      </w:tr>
      <w:tr w:rsidR="004316C3" w:rsidRPr="00936D28" w14:paraId="11078E22" w14:textId="77777777" w:rsidTr="004F07F3">
        <w:trPr>
          <w:trHeight w:val="228"/>
        </w:trPr>
        <w:tc>
          <w:tcPr>
            <w:tcW w:w="2108" w:type="dxa"/>
          </w:tcPr>
          <w:p w14:paraId="2AB864EE" w14:textId="77777777" w:rsidR="004316C3" w:rsidRPr="00936D28" w:rsidRDefault="004316C3" w:rsidP="004316C3">
            <w:pPr>
              <w:rPr>
                <w:rFonts w:asciiTheme="majorHAnsi" w:hAnsiTheme="majorHAnsi" w:cstheme="majorHAnsi"/>
                <w:sz w:val="22"/>
                <w:szCs w:val="22"/>
              </w:rPr>
            </w:pPr>
          </w:p>
        </w:tc>
        <w:tc>
          <w:tcPr>
            <w:tcW w:w="6524" w:type="dxa"/>
          </w:tcPr>
          <w:p w14:paraId="7F04CBB3" w14:textId="6CA8DC82" w:rsidR="004316C3" w:rsidRPr="00936D28" w:rsidRDefault="004316C3" w:rsidP="004316C3">
            <w:pPr>
              <w:pStyle w:val="ListParagraph"/>
              <w:numPr>
                <w:ilvl w:val="0"/>
                <w:numId w:val="15"/>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Significant reservations</w:t>
            </w:r>
          </w:p>
        </w:tc>
        <w:sdt>
          <w:sdtPr>
            <w:rPr>
              <w:rFonts w:asciiTheme="majorHAnsi" w:hAnsiTheme="majorHAnsi" w:cstheme="majorHAnsi"/>
              <w:sz w:val="22"/>
              <w:szCs w:val="22"/>
            </w:rPr>
            <w:id w:val="-342859690"/>
            <w14:checkbox>
              <w14:checked w14:val="0"/>
              <w14:checkedState w14:val="2612" w14:font="MS Gothic"/>
              <w14:uncheckedState w14:val="2610" w14:font="MS Gothic"/>
            </w14:checkbox>
          </w:sdtPr>
          <w:sdtContent>
            <w:tc>
              <w:tcPr>
                <w:tcW w:w="710" w:type="dxa"/>
              </w:tcPr>
              <w:p w14:paraId="76078D65" w14:textId="252055E6" w:rsidR="004316C3" w:rsidRDefault="004316C3" w:rsidP="004316C3">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81" w:type="dxa"/>
          </w:tcPr>
          <w:p w14:paraId="1AC84B90" w14:textId="77777777" w:rsidR="004316C3" w:rsidRPr="00936D28" w:rsidRDefault="004316C3" w:rsidP="004316C3">
            <w:pPr>
              <w:rPr>
                <w:rFonts w:asciiTheme="majorHAnsi" w:hAnsiTheme="majorHAnsi" w:cstheme="majorHAnsi"/>
                <w:b/>
                <w:sz w:val="22"/>
                <w:szCs w:val="22"/>
              </w:rPr>
            </w:pPr>
          </w:p>
        </w:tc>
      </w:tr>
      <w:tr w:rsidR="004316C3" w:rsidRPr="00936D28" w14:paraId="1DF1E1B7" w14:textId="77777777" w:rsidTr="004F07F3">
        <w:trPr>
          <w:trHeight w:val="228"/>
        </w:trPr>
        <w:tc>
          <w:tcPr>
            <w:tcW w:w="2108" w:type="dxa"/>
          </w:tcPr>
          <w:p w14:paraId="46C77296" w14:textId="77777777" w:rsidR="004316C3" w:rsidRPr="00936D28" w:rsidRDefault="004316C3" w:rsidP="004316C3">
            <w:pPr>
              <w:rPr>
                <w:rFonts w:asciiTheme="majorHAnsi" w:hAnsiTheme="majorHAnsi" w:cstheme="majorHAnsi"/>
                <w:sz w:val="22"/>
                <w:szCs w:val="22"/>
              </w:rPr>
            </w:pPr>
          </w:p>
        </w:tc>
        <w:tc>
          <w:tcPr>
            <w:tcW w:w="6524" w:type="dxa"/>
          </w:tcPr>
          <w:p w14:paraId="6C83B4E3" w14:textId="648C16F8" w:rsidR="004316C3" w:rsidRPr="00936D28" w:rsidRDefault="004316C3" w:rsidP="004316C3">
            <w:pPr>
              <w:pStyle w:val="ListParagraph"/>
              <w:numPr>
                <w:ilvl w:val="0"/>
                <w:numId w:val="15"/>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Unresolved issues</w:t>
            </w:r>
          </w:p>
        </w:tc>
        <w:sdt>
          <w:sdtPr>
            <w:rPr>
              <w:rFonts w:asciiTheme="majorHAnsi" w:hAnsiTheme="majorHAnsi" w:cstheme="majorHAnsi"/>
              <w:sz w:val="22"/>
              <w:szCs w:val="22"/>
            </w:rPr>
            <w:id w:val="747074560"/>
            <w14:checkbox>
              <w14:checked w14:val="0"/>
              <w14:checkedState w14:val="2612" w14:font="MS Gothic"/>
              <w14:uncheckedState w14:val="2610" w14:font="MS Gothic"/>
            </w14:checkbox>
          </w:sdtPr>
          <w:sdtContent>
            <w:tc>
              <w:tcPr>
                <w:tcW w:w="710" w:type="dxa"/>
              </w:tcPr>
              <w:p w14:paraId="13BF64D9" w14:textId="6D5A0DB2" w:rsidR="004316C3" w:rsidRDefault="004316C3" w:rsidP="004316C3">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81" w:type="dxa"/>
          </w:tcPr>
          <w:p w14:paraId="308CA064" w14:textId="77777777" w:rsidR="004316C3" w:rsidRPr="00936D28" w:rsidRDefault="004316C3" w:rsidP="004316C3">
            <w:pPr>
              <w:rPr>
                <w:rFonts w:asciiTheme="majorHAnsi" w:hAnsiTheme="majorHAnsi" w:cstheme="majorHAnsi"/>
                <w:b/>
                <w:sz w:val="22"/>
                <w:szCs w:val="22"/>
              </w:rPr>
            </w:pPr>
          </w:p>
        </w:tc>
      </w:tr>
    </w:tbl>
    <w:p w14:paraId="7EBF713F" w14:textId="77777777" w:rsidR="004316C3" w:rsidRDefault="004316C3"/>
    <w:tbl>
      <w:tblPr>
        <w:tblStyle w:val="TableGrid"/>
        <w:tblW w:w="9923" w:type="dxa"/>
        <w:tblLook w:val="01E0" w:firstRow="1" w:lastRow="1" w:firstColumn="1" w:lastColumn="1" w:noHBand="0" w:noVBand="0"/>
      </w:tblPr>
      <w:tblGrid>
        <w:gridCol w:w="2108"/>
        <w:gridCol w:w="7815"/>
      </w:tblGrid>
      <w:tr w:rsidR="004316C3" w:rsidRPr="00936D28" w14:paraId="2048E7E2" w14:textId="77777777" w:rsidTr="004F07F3">
        <w:trPr>
          <w:trHeight w:val="805"/>
        </w:trPr>
        <w:tc>
          <w:tcPr>
            <w:tcW w:w="2108" w:type="dxa"/>
          </w:tcPr>
          <w:p w14:paraId="1FA83136" w14:textId="3CE5900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MRG statement of recommendation:</w:t>
            </w:r>
          </w:p>
        </w:tc>
        <w:tc>
          <w:tcPr>
            <w:tcW w:w="7815" w:type="dxa"/>
          </w:tcPr>
          <w:p w14:paraId="4DD32287"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The indicator is recommended for appraisal by IGB subject to the issues discussed during the meeting. The pragmatic approach the MRG have adopted to cover the concerns raised around this indicator’s methodology regarding the inclusion of DCOs should be noted.</w:t>
            </w:r>
          </w:p>
          <w:p w14:paraId="1274A775" w14:textId="77777777" w:rsidR="004316C3" w:rsidRPr="00936D28" w:rsidRDefault="004316C3" w:rsidP="004316C3">
            <w:pPr>
              <w:rPr>
                <w:rFonts w:asciiTheme="majorHAnsi" w:hAnsiTheme="majorHAnsi" w:cstheme="majorHAnsi"/>
                <w:sz w:val="22"/>
                <w:szCs w:val="22"/>
              </w:rPr>
            </w:pPr>
          </w:p>
        </w:tc>
      </w:tr>
    </w:tbl>
    <w:p w14:paraId="6A680644" w14:textId="77777777" w:rsidR="00460B4E" w:rsidRPr="00936D28" w:rsidRDefault="00460B4E" w:rsidP="00460B4E">
      <w:pPr>
        <w:ind w:left="-851"/>
        <w:rPr>
          <w:rFonts w:asciiTheme="majorHAnsi" w:hAnsiTheme="majorHAnsi" w:cstheme="majorHAnsi"/>
          <w:sz w:val="22"/>
          <w:szCs w:val="22"/>
        </w:rPr>
      </w:pPr>
    </w:p>
    <w:p w14:paraId="33C54222" w14:textId="77777777" w:rsidR="00460B4E" w:rsidRPr="00936D28" w:rsidRDefault="00460B4E" w:rsidP="00460B4E">
      <w:pPr>
        <w:ind w:left="-851"/>
        <w:rPr>
          <w:rFonts w:asciiTheme="majorHAnsi" w:hAnsiTheme="majorHAnsi" w:cstheme="majorHAnsi"/>
          <w:sz w:val="22"/>
          <w:szCs w:val="22"/>
        </w:rPr>
      </w:pPr>
    </w:p>
    <w:p w14:paraId="3186ED9E" w14:textId="77777777" w:rsidR="00460B4E" w:rsidRPr="00936D28" w:rsidRDefault="00460B4E" w:rsidP="00460B4E">
      <w:pPr>
        <w:ind w:left="-851"/>
        <w:rPr>
          <w:rFonts w:asciiTheme="majorHAnsi" w:hAnsiTheme="majorHAnsi" w:cstheme="majorHAnsi"/>
          <w:sz w:val="22"/>
          <w:szCs w:val="22"/>
        </w:rPr>
      </w:pPr>
      <w:r w:rsidRPr="00936D28">
        <w:rPr>
          <w:rFonts w:asciiTheme="majorHAnsi" w:hAnsiTheme="majorHAnsi" w:cstheme="majorHAnsi"/>
          <w:sz w:val="22"/>
          <w:szCs w:val="22"/>
        </w:rPr>
        <w:t>Review:</w:t>
      </w:r>
    </w:p>
    <w:p w14:paraId="20568305" w14:textId="0AC7789B" w:rsidR="00460B4E" w:rsidRPr="00936D28" w:rsidRDefault="004316C3" w:rsidP="00460B4E">
      <w:pPr>
        <w:ind w:left="-851"/>
        <w:rPr>
          <w:rFonts w:asciiTheme="majorHAnsi" w:hAnsiTheme="majorHAnsi" w:cstheme="majorHAnsi"/>
          <w:sz w:val="22"/>
          <w:szCs w:val="22"/>
        </w:rPr>
      </w:pPr>
      <w:r w:rsidRPr="00936D28">
        <w:rPr>
          <w:rFonts w:asciiTheme="majorHAnsi" w:hAnsiTheme="majorHAnsi" w:cstheme="majorHAnsi"/>
          <w:b/>
          <w:sz w:val="22"/>
          <w:szCs w:val="22"/>
        </w:rPr>
        <w:t>Review</w:t>
      </w:r>
    </w:p>
    <w:tbl>
      <w:tblPr>
        <w:tblStyle w:val="TableGrid"/>
        <w:tblW w:w="2127" w:type="dxa"/>
        <w:tblLayout w:type="fixed"/>
        <w:tblLook w:val="01E0" w:firstRow="1" w:lastRow="1" w:firstColumn="1" w:lastColumn="1" w:noHBand="0" w:noVBand="0"/>
      </w:tblPr>
      <w:tblGrid>
        <w:gridCol w:w="1418"/>
        <w:gridCol w:w="709"/>
      </w:tblGrid>
      <w:tr w:rsidR="004316C3" w:rsidRPr="00936D28" w14:paraId="7CB308FE" w14:textId="77777777" w:rsidTr="004316C3">
        <w:trPr>
          <w:trHeight w:val="285"/>
        </w:trPr>
        <w:tc>
          <w:tcPr>
            <w:tcW w:w="1418" w:type="dxa"/>
          </w:tcPr>
          <w:p w14:paraId="2E904426" w14:textId="661CE89A" w:rsidR="004316C3" w:rsidRPr="00936D28" w:rsidRDefault="004316C3" w:rsidP="00460B4E">
            <w:pPr>
              <w:rPr>
                <w:rFonts w:asciiTheme="majorHAnsi" w:hAnsiTheme="majorHAnsi" w:cstheme="majorHAnsi"/>
                <w:b/>
                <w:sz w:val="22"/>
                <w:szCs w:val="22"/>
              </w:rPr>
            </w:pPr>
            <w:r w:rsidRPr="00936D28">
              <w:rPr>
                <w:rFonts w:asciiTheme="majorHAnsi" w:hAnsiTheme="majorHAnsi" w:cstheme="majorHAnsi"/>
                <w:sz w:val="22"/>
                <w:szCs w:val="22"/>
              </w:rPr>
              <w:t>Review Timescale</w:t>
            </w:r>
          </w:p>
        </w:tc>
        <w:tc>
          <w:tcPr>
            <w:tcW w:w="709" w:type="dxa"/>
          </w:tcPr>
          <w:p w14:paraId="6F93305B" w14:textId="77777777" w:rsidR="004316C3" w:rsidRDefault="004316C3" w:rsidP="00460B4E">
            <w:pPr>
              <w:jc w:val="center"/>
              <w:rPr>
                <w:rFonts w:asciiTheme="majorHAnsi" w:hAnsiTheme="majorHAnsi" w:cstheme="majorHAnsi"/>
                <w:sz w:val="22"/>
                <w:szCs w:val="22"/>
              </w:rPr>
            </w:pPr>
          </w:p>
        </w:tc>
      </w:tr>
      <w:tr w:rsidR="004316C3" w:rsidRPr="00936D28" w14:paraId="04DEAB5C" w14:textId="77777777" w:rsidTr="004316C3">
        <w:trPr>
          <w:trHeight w:val="285"/>
        </w:trPr>
        <w:tc>
          <w:tcPr>
            <w:tcW w:w="1418" w:type="dxa"/>
          </w:tcPr>
          <w:p w14:paraId="63A99C5F" w14:textId="77777777" w:rsidR="004316C3" w:rsidRPr="00936D28" w:rsidRDefault="004316C3" w:rsidP="00460B4E">
            <w:pPr>
              <w:rPr>
                <w:rFonts w:asciiTheme="majorHAnsi" w:hAnsiTheme="majorHAnsi" w:cstheme="majorHAnsi"/>
                <w:sz w:val="22"/>
                <w:szCs w:val="22"/>
              </w:rPr>
            </w:pPr>
            <w:r w:rsidRPr="00936D28">
              <w:rPr>
                <w:rFonts w:asciiTheme="majorHAnsi" w:hAnsiTheme="majorHAnsi" w:cstheme="majorHAnsi"/>
                <w:b/>
                <w:sz w:val="22"/>
                <w:szCs w:val="22"/>
              </w:rPr>
              <w:t>1 year</w:t>
            </w:r>
          </w:p>
        </w:tc>
        <w:sdt>
          <w:sdtPr>
            <w:rPr>
              <w:rFonts w:asciiTheme="majorHAnsi" w:hAnsiTheme="majorHAnsi" w:cstheme="majorHAnsi"/>
              <w:sz w:val="22"/>
              <w:szCs w:val="22"/>
            </w:rPr>
            <w:id w:val="20209903"/>
            <w14:checkbox>
              <w14:checked w14:val="0"/>
              <w14:checkedState w14:val="2612" w14:font="MS Gothic"/>
              <w14:uncheckedState w14:val="2610" w14:font="MS Gothic"/>
            </w14:checkbox>
          </w:sdtPr>
          <w:sdtContent>
            <w:tc>
              <w:tcPr>
                <w:tcW w:w="709" w:type="dxa"/>
              </w:tcPr>
              <w:p w14:paraId="7CE0CEDC" w14:textId="77777777" w:rsidR="004316C3" w:rsidRPr="00936D28" w:rsidRDefault="004316C3" w:rsidP="00460B4E">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r>
      <w:tr w:rsidR="004316C3" w:rsidRPr="00936D28" w14:paraId="7D9E3411" w14:textId="77777777" w:rsidTr="004316C3">
        <w:trPr>
          <w:trHeight w:val="285"/>
        </w:trPr>
        <w:tc>
          <w:tcPr>
            <w:tcW w:w="1418" w:type="dxa"/>
          </w:tcPr>
          <w:p w14:paraId="6D608917" w14:textId="77777777" w:rsidR="004316C3" w:rsidRPr="00936D28" w:rsidRDefault="004316C3" w:rsidP="00460B4E">
            <w:pPr>
              <w:rPr>
                <w:rFonts w:asciiTheme="majorHAnsi" w:hAnsiTheme="majorHAnsi" w:cstheme="majorHAnsi"/>
                <w:sz w:val="22"/>
                <w:szCs w:val="22"/>
              </w:rPr>
            </w:pPr>
            <w:r w:rsidRPr="00936D28">
              <w:rPr>
                <w:rFonts w:asciiTheme="majorHAnsi" w:hAnsiTheme="majorHAnsi" w:cstheme="majorHAnsi"/>
                <w:b/>
                <w:sz w:val="22"/>
                <w:szCs w:val="22"/>
              </w:rPr>
              <w:lastRenderedPageBreak/>
              <w:t>3 years</w:t>
            </w:r>
          </w:p>
        </w:tc>
        <w:sdt>
          <w:sdtPr>
            <w:rPr>
              <w:rFonts w:asciiTheme="majorHAnsi" w:hAnsiTheme="majorHAnsi" w:cstheme="majorHAnsi"/>
              <w:sz w:val="22"/>
              <w:szCs w:val="22"/>
            </w:rPr>
            <w:id w:val="-29035669"/>
            <w14:checkbox>
              <w14:checked w14:val="1"/>
              <w14:checkedState w14:val="2612" w14:font="MS Gothic"/>
              <w14:uncheckedState w14:val="2610" w14:font="MS Gothic"/>
            </w14:checkbox>
          </w:sdtPr>
          <w:sdtContent>
            <w:tc>
              <w:tcPr>
                <w:tcW w:w="709" w:type="dxa"/>
              </w:tcPr>
              <w:p w14:paraId="2B7818B0" w14:textId="77777777" w:rsidR="004316C3" w:rsidRPr="00936D28" w:rsidRDefault="004316C3" w:rsidP="00460B4E">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r>
      <w:tr w:rsidR="004316C3" w:rsidRPr="00936D28" w14:paraId="0A471260" w14:textId="77777777" w:rsidTr="004316C3">
        <w:trPr>
          <w:trHeight w:val="285"/>
        </w:trPr>
        <w:tc>
          <w:tcPr>
            <w:tcW w:w="1418" w:type="dxa"/>
          </w:tcPr>
          <w:p w14:paraId="39405FBF" w14:textId="77777777" w:rsidR="004316C3" w:rsidRPr="00936D28" w:rsidRDefault="004316C3" w:rsidP="00460B4E">
            <w:pPr>
              <w:rPr>
                <w:rFonts w:asciiTheme="majorHAnsi" w:hAnsiTheme="majorHAnsi" w:cstheme="majorHAnsi"/>
                <w:sz w:val="22"/>
                <w:szCs w:val="22"/>
              </w:rPr>
            </w:pPr>
            <w:r w:rsidRPr="00936D28">
              <w:rPr>
                <w:rFonts w:asciiTheme="majorHAnsi" w:hAnsiTheme="majorHAnsi" w:cstheme="majorHAnsi"/>
                <w:b/>
                <w:sz w:val="22"/>
                <w:szCs w:val="22"/>
              </w:rPr>
              <w:t>Other:</w:t>
            </w:r>
          </w:p>
        </w:tc>
        <w:sdt>
          <w:sdtPr>
            <w:rPr>
              <w:rFonts w:asciiTheme="majorHAnsi" w:hAnsiTheme="majorHAnsi" w:cstheme="majorHAnsi"/>
              <w:sz w:val="22"/>
              <w:szCs w:val="22"/>
            </w:rPr>
            <w:id w:val="-1293055230"/>
            <w14:checkbox>
              <w14:checked w14:val="0"/>
              <w14:checkedState w14:val="2612" w14:font="MS Gothic"/>
              <w14:uncheckedState w14:val="2610" w14:font="MS Gothic"/>
            </w14:checkbox>
          </w:sdtPr>
          <w:sdtContent>
            <w:tc>
              <w:tcPr>
                <w:tcW w:w="709" w:type="dxa"/>
              </w:tcPr>
              <w:p w14:paraId="75A5E7B1" w14:textId="77777777" w:rsidR="004316C3" w:rsidRPr="00936D28" w:rsidRDefault="004316C3" w:rsidP="00460B4E">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r>
    </w:tbl>
    <w:p w14:paraId="1930581B"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 xml:space="preserve">Rationale      </w:t>
      </w:r>
      <w:proofErr w:type="gramStart"/>
      <w:r w:rsidRPr="00936D28">
        <w:rPr>
          <w:rFonts w:asciiTheme="majorHAnsi" w:hAnsiTheme="majorHAnsi" w:cstheme="majorHAnsi"/>
          <w:sz w:val="22"/>
          <w:szCs w:val="22"/>
        </w:rPr>
        <w:t xml:space="preserve">   [</w:t>
      </w:r>
      <w:proofErr w:type="gramEnd"/>
      <w:r w:rsidRPr="00936D28">
        <w:rPr>
          <w:rFonts w:asciiTheme="majorHAnsi" w:hAnsiTheme="majorHAnsi" w:cstheme="majorHAnsi"/>
          <w:sz w:val="22"/>
          <w:szCs w:val="22"/>
        </w:rPr>
        <w:t>Issues to consider  – Changes to process, policy data source, coding definitions HES definitions ]</w:t>
      </w:r>
    </w:p>
    <w:p w14:paraId="6EB0B808" w14:textId="77777777" w:rsidR="004316C3" w:rsidRPr="00936D28" w:rsidRDefault="004316C3" w:rsidP="004316C3">
      <w:pPr>
        <w:rPr>
          <w:rFonts w:asciiTheme="majorHAnsi" w:hAnsiTheme="majorHAnsi" w:cstheme="majorHAnsi"/>
          <w:sz w:val="22"/>
          <w:szCs w:val="22"/>
        </w:rPr>
      </w:pPr>
    </w:p>
    <w:p w14:paraId="6398A13F" w14:textId="0C90FBE7" w:rsidR="00460B4E"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The indicator is recommended for review in three years on the rationale that no changes to methodology are anticipated.</w:t>
      </w:r>
    </w:p>
    <w:p w14:paraId="716EECD0" w14:textId="77777777" w:rsidR="00460B4E" w:rsidRPr="00936D28" w:rsidRDefault="00460B4E" w:rsidP="00460B4E">
      <w:pPr>
        <w:rPr>
          <w:rFonts w:asciiTheme="majorHAnsi" w:hAnsiTheme="majorHAnsi" w:cstheme="majorHAnsi"/>
          <w:sz w:val="22"/>
          <w:szCs w:val="22"/>
        </w:rPr>
      </w:pPr>
    </w:p>
    <w:p w14:paraId="477FDC3A" w14:textId="77777777" w:rsidR="00460B4E" w:rsidRPr="00936D28" w:rsidRDefault="00460B4E" w:rsidP="00460B4E">
      <w:pPr>
        <w:tabs>
          <w:tab w:val="left" w:pos="2830"/>
        </w:tabs>
        <w:ind w:left="-851"/>
        <w:rPr>
          <w:rFonts w:asciiTheme="majorHAnsi" w:hAnsiTheme="majorHAnsi" w:cstheme="majorHAnsi"/>
          <w:sz w:val="22"/>
          <w:szCs w:val="22"/>
        </w:rPr>
      </w:pPr>
      <w:r w:rsidRPr="00936D28">
        <w:rPr>
          <w:rFonts w:asciiTheme="majorHAnsi" w:hAnsiTheme="majorHAnsi" w:cstheme="majorHAnsi"/>
          <w:sz w:val="22"/>
          <w:szCs w:val="22"/>
        </w:rPr>
        <w:t xml:space="preserve">IGB Sign-off: </w:t>
      </w:r>
    </w:p>
    <w:p w14:paraId="0F306FDF" w14:textId="3560696F" w:rsidR="00460B4E" w:rsidRPr="00936D28" w:rsidRDefault="004316C3" w:rsidP="00460B4E">
      <w:pPr>
        <w:rPr>
          <w:rFonts w:asciiTheme="majorHAnsi" w:hAnsiTheme="majorHAnsi" w:cstheme="majorHAnsi"/>
          <w:sz w:val="22"/>
          <w:szCs w:val="22"/>
        </w:rPr>
      </w:pPr>
      <w:r w:rsidRPr="00936D28">
        <w:rPr>
          <w:rFonts w:asciiTheme="majorHAnsi" w:hAnsiTheme="majorHAnsi" w:cstheme="majorHAnsi"/>
          <w:b/>
          <w:sz w:val="22"/>
          <w:szCs w:val="22"/>
        </w:rPr>
        <w:t>Indicator Assurance Process Output</w:t>
      </w:r>
    </w:p>
    <w:tbl>
      <w:tblPr>
        <w:tblStyle w:val="TableGrid"/>
        <w:tblW w:w="9923" w:type="dxa"/>
        <w:tblLayout w:type="fixed"/>
        <w:tblLook w:val="01E0" w:firstRow="1" w:lastRow="1" w:firstColumn="1" w:lastColumn="1" w:noHBand="0" w:noVBand="0"/>
      </w:tblPr>
      <w:tblGrid>
        <w:gridCol w:w="2124"/>
        <w:gridCol w:w="6509"/>
        <w:gridCol w:w="713"/>
        <w:gridCol w:w="577"/>
      </w:tblGrid>
      <w:tr w:rsidR="004316C3" w:rsidRPr="00936D28" w14:paraId="27CDC4B2" w14:textId="77777777" w:rsidTr="002F05F5">
        <w:trPr>
          <w:trHeight w:val="228"/>
        </w:trPr>
        <w:tc>
          <w:tcPr>
            <w:tcW w:w="2124" w:type="dxa"/>
          </w:tcPr>
          <w:p w14:paraId="2D006724" w14:textId="17013ECC"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i/>
                <w:sz w:val="22"/>
                <w:szCs w:val="22"/>
              </w:rPr>
              <w:t>Final Appraisal Status</w:t>
            </w:r>
          </w:p>
        </w:tc>
        <w:tc>
          <w:tcPr>
            <w:tcW w:w="6509" w:type="dxa"/>
          </w:tcPr>
          <w:p w14:paraId="03818C2D" w14:textId="06F53018" w:rsidR="004316C3" w:rsidRPr="00936D28" w:rsidRDefault="004316C3" w:rsidP="004316C3">
            <w:pPr>
              <w:pStyle w:val="ListParagraph"/>
              <w:numPr>
                <w:ilvl w:val="0"/>
                <w:numId w:val="16"/>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Assured</w:t>
            </w:r>
          </w:p>
        </w:tc>
        <w:sdt>
          <w:sdtPr>
            <w:rPr>
              <w:rFonts w:asciiTheme="majorHAnsi" w:hAnsiTheme="majorHAnsi" w:cstheme="majorHAnsi"/>
              <w:sz w:val="22"/>
              <w:szCs w:val="22"/>
            </w:rPr>
            <w:id w:val="498008242"/>
            <w14:checkbox>
              <w14:checked w14:val="0"/>
              <w14:checkedState w14:val="2612" w14:font="MS Gothic"/>
              <w14:uncheckedState w14:val="2610" w14:font="MS Gothic"/>
            </w14:checkbox>
          </w:sdtPr>
          <w:sdtContent>
            <w:tc>
              <w:tcPr>
                <w:tcW w:w="713" w:type="dxa"/>
              </w:tcPr>
              <w:p w14:paraId="1BEB4163" w14:textId="0742CA49" w:rsidR="004316C3" w:rsidRDefault="004316C3" w:rsidP="004316C3">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77" w:type="dxa"/>
          </w:tcPr>
          <w:p w14:paraId="2B383ECB" w14:textId="77777777" w:rsidR="004316C3" w:rsidRPr="00936D28" w:rsidRDefault="004316C3" w:rsidP="004316C3">
            <w:pPr>
              <w:rPr>
                <w:rFonts w:asciiTheme="majorHAnsi" w:hAnsiTheme="majorHAnsi" w:cstheme="majorHAnsi"/>
                <w:b/>
                <w:sz w:val="22"/>
                <w:szCs w:val="22"/>
              </w:rPr>
            </w:pPr>
          </w:p>
        </w:tc>
      </w:tr>
      <w:tr w:rsidR="004316C3" w:rsidRPr="00936D28" w14:paraId="41705141" w14:textId="77777777" w:rsidTr="002F05F5">
        <w:trPr>
          <w:trHeight w:val="228"/>
        </w:trPr>
        <w:tc>
          <w:tcPr>
            <w:tcW w:w="2124" w:type="dxa"/>
          </w:tcPr>
          <w:p w14:paraId="49978B7B" w14:textId="77777777" w:rsidR="004316C3" w:rsidRPr="00936D28" w:rsidRDefault="004316C3" w:rsidP="004316C3">
            <w:pPr>
              <w:rPr>
                <w:rFonts w:asciiTheme="majorHAnsi" w:hAnsiTheme="majorHAnsi" w:cstheme="majorHAnsi"/>
                <w:sz w:val="22"/>
                <w:szCs w:val="22"/>
              </w:rPr>
            </w:pPr>
          </w:p>
        </w:tc>
        <w:tc>
          <w:tcPr>
            <w:tcW w:w="6509" w:type="dxa"/>
          </w:tcPr>
          <w:p w14:paraId="55CEBBAF" w14:textId="28570386" w:rsidR="004316C3" w:rsidRPr="00936D28" w:rsidRDefault="004316C3" w:rsidP="004316C3">
            <w:pPr>
              <w:pStyle w:val="ListParagraph"/>
              <w:numPr>
                <w:ilvl w:val="0"/>
                <w:numId w:val="16"/>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Assured with Comments</w:t>
            </w:r>
          </w:p>
        </w:tc>
        <w:sdt>
          <w:sdtPr>
            <w:rPr>
              <w:rFonts w:asciiTheme="majorHAnsi" w:hAnsiTheme="majorHAnsi" w:cstheme="majorHAnsi"/>
              <w:sz w:val="22"/>
              <w:szCs w:val="22"/>
            </w:rPr>
            <w:id w:val="-463270529"/>
            <w14:checkbox>
              <w14:checked w14:val="0"/>
              <w14:checkedState w14:val="2612" w14:font="MS Gothic"/>
              <w14:uncheckedState w14:val="2610" w14:font="MS Gothic"/>
            </w14:checkbox>
          </w:sdtPr>
          <w:sdtContent>
            <w:tc>
              <w:tcPr>
                <w:tcW w:w="713" w:type="dxa"/>
              </w:tcPr>
              <w:p w14:paraId="770305C8" w14:textId="2D2EFD94" w:rsidR="004316C3" w:rsidRDefault="004316C3" w:rsidP="004316C3">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77" w:type="dxa"/>
          </w:tcPr>
          <w:p w14:paraId="4A01C85C" w14:textId="77777777" w:rsidR="004316C3" w:rsidRPr="00936D28" w:rsidRDefault="004316C3" w:rsidP="004316C3">
            <w:pPr>
              <w:rPr>
                <w:rFonts w:asciiTheme="majorHAnsi" w:hAnsiTheme="majorHAnsi" w:cstheme="majorHAnsi"/>
                <w:b/>
                <w:sz w:val="22"/>
                <w:szCs w:val="22"/>
              </w:rPr>
            </w:pPr>
          </w:p>
        </w:tc>
      </w:tr>
      <w:tr w:rsidR="004316C3" w:rsidRPr="00936D28" w14:paraId="1C73C26D" w14:textId="77777777" w:rsidTr="002F05F5">
        <w:trPr>
          <w:trHeight w:val="228"/>
        </w:trPr>
        <w:tc>
          <w:tcPr>
            <w:tcW w:w="2124" w:type="dxa"/>
          </w:tcPr>
          <w:p w14:paraId="3415BE8C" w14:textId="77777777" w:rsidR="004316C3" w:rsidRPr="00936D28" w:rsidRDefault="004316C3" w:rsidP="004316C3">
            <w:pPr>
              <w:rPr>
                <w:rFonts w:asciiTheme="majorHAnsi" w:hAnsiTheme="majorHAnsi" w:cstheme="majorHAnsi"/>
                <w:sz w:val="22"/>
                <w:szCs w:val="22"/>
              </w:rPr>
            </w:pPr>
          </w:p>
        </w:tc>
        <w:tc>
          <w:tcPr>
            <w:tcW w:w="6509" w:type="dxa"/>
          </w:tcPr>
          <w:p w14:paraId="413BDE25" w14:textId="7EC2DEB1" w:rsidR="004316C3" w:rsidRPr="00936D28" w:rsidRDefault="004316C3" w:rsidP="004316C3">
            <w:pPr>
              <w:pStyle w:val="ListParagraph"/>
              <w:numPr>
                <w:ilvl w:val="0"/>
                <w:numId w:val="16"/>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Failed Assurance</w:t>
            </w:r>
          </w:p>
        </w:tc>
        <w:sdt>
          <w:sdtPr>
            <w:rPr>
              <w:rFonts w:asciiTheme="majorHAnsi" w:hAnsiTheme="majorHAnsi" w:cstheme="majorHAnsi"/>
              <w:sz w:val="22"/>
              <w:szCs w:val="22"/>
            </w:rPr>
            <w:id w:val="267286060"/>
            <w14:checkbox>
              <w14:checked w14:val="0"/>
              <w14:checkedState w14:val="2612" w14:font="MS Gothic"/>
              <w14:uncheckedState w14:val="2610" w14:font="MS Gothic"/>
            </w14:checkbox>
          </w:sdtPr>
          <w:sdtContent>
            <w:tc>
              <w:tcPr>
                <w:tcW w:w="713" w:type="dxa"/>
              </w:tcPr>
              <w:p w14:paraId="30C610C0" w14:textId="14E63AE4" w:rsidR="004316C3" w:rsidRDefault="004316C3" w:rsidP="004316C3">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77" w:type="dxa"/>
          </w:tcPr>
          <w:p w14:paraId="397D7163" w14:textId="77777777" w:rsidR="004316C3" w:rsidRPr="00936D28" w:rsidRDefault="004316C3" w:rsidP="004316C3">
            <w:pPr>
              <w:rPr>
                <w:rFonts w:asciiTheme="majorHAnsi" w:hAnsiTheme="majorHAnsi" w:cstheme="majorHAnsi"/>
                <w:b/>
                <w:sz w:val="22"/>
                <w:szCs w:val="22"/>
              </w:rPr>
            </w:pPr>
          </w:p>
        </w:tc>
      </w:tr>
    </w:tbl>
    <w:p w14:paraId="4EB994F3" w14:textId="77777777" w:rsidR="004316C3" w:rsidRDefault="004316C3"/>
    <w:tbl>
      <w:tblPr>
        <w:tblStyle w:val="TableGrid"/>
        <w:tblW w:w="9923" w:type="dxa"/>
        <w:tblLayout w:type="fixed"/>
        <w:tblLook w:val="01E0" w:firstRow="1" w:lastRow="1" w:firstColumn="1" w:lastColumn="1" w:noHBand="0" w:noVBand="0"/>
      </w:tblPr>
      <w:tblGrid>
        <w:gridCol w:w="2124"/>
        <w:gridCol w:w="7799"/>
      </w:tblGrid>
      <w:tr w:rsidR="004316C3" w:rsidRPr="00936D28" w14:paraId="1EC907C7" w14:textId="77777777" w:rsidTr="002F05F5">
        <w:tc>
          <w:tcPr>
            <w:tcW w:w="2124" w:type="dxa"/>
          </w:tcPr>
          <w:p w14:paraId="182E37E8"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Basis of Sign-off</w:t>
            </w:r>
          </w:p>
          <w:p w14:paraId="1A97F635" w14:textId="40236FAF"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 xml:space="preserve">[Detail caveats and </w:t>
            </w:r>
            <w:proofErr w:type="gramStart"/>
            <w:r w:rsidRPr="00936D28">
              <w:rPr>
                <w:rFonts w:asciiTheme="majorHAnsi" w:hAnsiTheme="majorHAnsi" w:cstheme="majorHAnsi"/>
                <w:sz w:val="22"/>
                <w:szCs w:val="22"/>
              </w:rPr>
              <w:t>limitations ]</w:t>
            </w:r>
            <w:proofErr w:type="gramEnd"/>
          </w:p>
        </w:tc>
        <w:tc>
          <w:tcPr>
            <w:tcW w:w="7799" w:type="dxa"/>
          </w:tcPr>
          <w:p w14:paraId="52CD086C" w14:textId="77777777" w:rsidR="004316C3" w:rsidRPr="00936D28" w:rsidRDefault="004316C3" w:rsidP="00460B4E">
            <w:pPr>
              <w:rPr>
                <w:rFonts w:asciiTheme="majorHAnsi" w:hAnsiTheme="majorHAnsi" w:cstheme="majorHAnsi"/>
                <w:sz w:val="22"/>
                <w:szCs w:val="22"/>
              </w:rPr>
            </w:pPr>
          </w:p>
        </w:tc>
      </w:tr>
      <w:tr w:rsidR="00460B4E" w:rsidRPr="00936D28" w14:paraId="000FC37D" w14:textId="77777777" w:rsidTr="002F05F5">
        <w:tc>
          <w:tcPr>
            <w:tcW w:w="2124" w:type="dxa"/>
          </w:tcPr>
          <w:p w14:paraId="2CBA5A67"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Sign-off Date</w:t>
            </w:r>
          </w:p>
        </w:tc>
        <w:tc>
          <w:tcPr>
            <w:tcW w:w="7799" w:type="dxa"/>
          </w:tcPr>
          <w:p w14:paraId="042AFBEF" w14:textId="77777777" w:rsidR="00460B4E" w:rsidRPr="00936D28" w:rsidRDefault="00460B4E" w:rsidP="00460B4E">
            <w:pPr>
              <w:rPr>
                <w:rFonts w:asciiTheme="majorHAnsi" w:hAnsiTheme="majorHAnsi" w:cstheme="majorHAnsi"/>
                <w:sz w:val="22"/>
                <w:szCs w:val="22"/>
              </w:rPr>
            </w:pPr>
          </w:p>
        </w:tc>
      </w:tr>
    </w:tbl>
    <w:p w14:paraId="77CB46B5" w14:textId="77777777" w:rsidR="00460B4E" w:rsidRPr="00936D28" w:rsidRDefault="00460B4E" w:rsidP="00460B4E">
      <w:pPr>
        <w:rPr>
          <w:rFonts w:asciiTheme="majorHAnsi" w:hAnsiTheme="majorHAnsi" w:cstheme="majorHAnsi"/>
          <w:sz w:val="22"/>
          <w:szCs w:val="22"/>
        </w:rPr>
      </w:pPr>
    </w:p>
    <w:p w14:paraId="4C6485B7" w14:textId="77777777" w:rsidR="00460B4E" w:rsidRPr="00936D28" w:rsidRDefault="00460B4E" w:rsidP="00460B4E">
      <w:pPr>
        <w:rPr>
          <w:rFonts w:asciiTheme="majorHAnsi" w:hAnsiTheme="majorHAnsi" w:cstheme="majorHAnsi"/>
          <w:sz w:val="22"/>
          <w:szCs w:val="22"/>
        </w:rPr>
      </w:pPr>
    </w:p>
    <w:p w14:paraId="476A9D9D" w14:textId="77777777" w:rsidR="00460B4E" w:rsidRPr="00936D28" w:rsidRDefault="00460B4E">
      <w:pPr>
        <w:rPr>
          <w:rFonts w:asciiTheme="majorHAnsi" w:hAnsiTheme="majorHAnsi" w:cstheme="majorHAnsi"/>
          <w:sz w:val="22"/>
          <w:szCs w:val="22"/>
        </w:rPr>
      </w:pPr>
      <w:r w:rsidRPr="00936D28">
        <w:rPr>
          <w:rFonts w:asciiTheme="majorHAnsi" w:hAnsiTheme="majorHAnsi" w:cstheme="majorHAnsi"/>
          <w:sz w:val="22"/>
          <w:szCs w:val="22"/>
        </w:rPr>
        <w:br w:type="page"/>
      </w:r>
    </w:p>
    <w:p w14:paraId="602D6B99" w14:textId="77777777" w:rsidR="00460B4E" w:rsidRPr="00936D28" w:rsidRDefault="00460B4E" w:rsidP="00460B4E">
      <w:pPr>
        <w:ind w:left="-851"/>
        <w:rPr>
          <w:rFonts w:asciiTheme="majorHAnsi" w:hAnsiTheme="majorHAnsi" w:cstheme="majorHAnsi"/>
          <w:sz w:val="22"/>
          <w:szCs w:val="22"/>
        </w:rPr>
      </w:pPr>
    </w:p>
    <w:p w14:paraId="4985A512" w14:textId="77777777" w:rsidR="00460B4E" w:rsidRPr="00936D28" w:rsidRDefault="00460B4E" w:rsidP="00460B4E">
      <w:pPr>
        <w:ind w:left="-851"/>
        <w:rPr>
          <w:rFonts w:asciiTheme="majorHAnsi" w:hAnsiTheme="majorHAnsi" w:cstheme="majorHAnsi"/>
          <w:sz w:val="22"/>
          <w:szCs w:val="22"/>
        </w:rPr>
      </w:pPr>
      <w:r w:rsidRPr="00936D28">
        <w:rPr>
          <w:rFonts w:asciiTheme="majorHAnsi" w:hAnsiTheme="majorHAnsi" w:cstheme="majorHAnsi"/>
          <w:sz w:val="22"/>
          <w:szCs w:val="22"/>
        </w:rPr>
        <w:t xml:space="preserve">Record of Assurance provided by </w:t>
      </w:r>
      <w:r w:rsidRPr="00936D28">
        <w:rPr>
          <w:rFonts w:asciiTheme="majorHAnsi" w:hAnsiTheme="majorHAnsi" w:cstheme="majorHAnsi"/>
          <w:b/>
          <w:sz w:val="22"/>
          <w:szCs w:val="22"/>
        </w:rPr>
        <w:t>Indicator Governance Board</w:t>
      </w:r>
    </w:p>
    <w:p w14:paraId="271A913C" w14:textId="77777777" w:rsidR="00460B4E" w:rsidRPr="00936D28" w:rsidRDefault="00460B4E" w:rsidP="00460B4E">
      <w:pPr>
        <w:rPr>
          <w:rFonts w:asciiTheme="majorHAnsi" w:hAnsiTheme="majorHAnsi" w:cstheme="majorHAnsi"/>
          <w:sz w:val="22"/>
          <w:szCs w:val="22"/>
        </w:rPr>
      </w:pPr>
    </w:p>
    <w:tbl>
      <w:tblPr>
        <w:tblStyle w:val="TableGrid"/>
        <w:tblW w:w="9923" w:type="dxa"/>
        <w:tblLayout w:type="fixed"/>
        <w:tblLook w:val="01E0" w:firstRow="1" w:lastRow="1" w:firstColumn="1" w:lastColumn="1" w:noHBand="0" w:noVBand="0"/>
      </w:tblPr>
      <w:tblGrid>
        <w:gridCol w:w="2122"/>
        <w:gridCol w:w="5379"/>
        <w:gridCol w:w="997"/>
        <w:gridCol w:w="1425"/>
      </w:tblGrid>
      <w:tr w:rsidR="00460B4E" w:rsidRPr="00936D28" w14:paraId="4FBE8603" w14:textId="77777777" w:rsidTr="004316C3">
        <w:tc>
          <w:tcPr>
            <w:tcW w:w="2122" w:type="dxa"/>
          </w:tcPr>
          <w:p w14:paraId="414281A4" w14:textId="77777777" w:rsidR="00460B4E" w:rsidRPr="00936D28" w:rsidRDefault="00460B4E" w:rsidP="00460B4E">
            <w:pPr>
              <w:rPr>
                <w:rFonts w:asciiTheme="majorHAnsi" w:hAnsiTheme="majorHAnsi" w:cstheme="majorHAnsi"/>
                <w:b/>
                <w:sz w:val="22"/>
                <w:szCs w:val="22"/>
              </w:rPr>
            </w:pPr>
            <w:r w:rsidRPr="00936D28">
              <w:rPr>
                <w:rFonts w:asciiTheme="majorHAnsi" w:hAnsiTheme="majorHAnsi" w:cstheme="majorHAnsi"/>
                <w:b/>
                <w:sz w:val="22"/>
                <w:szCs w:val="22"/>
              </w:rPr>
              <w:t>Indicator Title</w:t>
            </w:r>
          </w:p>
        </w:tc>
        <w:tc>
          <w:tcPr>
            <w:tcW w:w="5379" w:type="dxa"/>
          </w:tcPr>
          <w:p w14:paraId="2F743810" w14:textId="77777777" w:rsidR="00460B4E" w:rsidRPr="00936D28" w:rsidRDefault="00460B4E" w:rsidP="00460B4E">
            <w:pPr>
              <w:rPr>
                <w:rFonts w:asciiTheme="majorHAnsi" w:hAnsiTheme="majorHAnsi" w:cstheme="majorHAnsi"/>
                <w:b/>
                <w:sz w:val="22"/>
                <w:szCs w:val="22"/>
              </w:rPr>
            </w:pPr>
            <w:r w:rsidRPr="00936D28">
              <w:rPr>
                <w:rFonts w:asciiTheme="majorHAnsi" w:hAnsiTheme="majorHAnsi" w:cstheme="majorHAnsi"/>
                <w:b/>
                <w:sz w:val="22"/>
                <w:szCs w:val="22"/>
              </w:rPr>
              <w:t>Record of cancer stage at diagnosis</w:t>
            </w:r>
          </w:p>
        </w:tc>
        <w:tc>
          <w:tcPr>
            <w:tcW w:w="997" w:type="dxa"/>
          </w:tcPr>
          <w:p w14:paraId="18977C3B"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IAS Ref Code:</w:t>
            </w:r>
          </w:p>
        </w:tc>
        <w:tc>
          <w:tcPr>
            <w:tcW w:w="1425" w:type="dxa"/>
          </w:tcPr>
          <w:p w14:paraId="0685A2AD"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IAP00347</w:t>
            </w:r>
          </w:p>
        </w:tc>
      </w:tr>
      <w:tr w:rsidR="00460B4E" w:rsidRPr="00936D28" w14:paraId="6842ED52" w14:textId="77777777" w:rsidTr="004316C3">
        <w:tc>
          <w:tcPr>
            <w:tcW w:w="2122" w:type="dxa"/>
          </w:tcPr>
          <w:p w14:paraId="5B27FFA6"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Indicator Set</w:t>
            </w:r>
          </w:p>
        </w:tc>
        <w:tc>
          <w:tcPr>
            <w:tcW w:w="5379" w:type="dxa"/>
          </w:tcPr>
          <w:p w14:paraId="288765FD" w14:textId="77777777" w:rsidR="00460B4E" w:rsidRPr="00936D28" w:rsidRDefault="00460B4E" w:rsidP="00460B4E">
            <w:pPr>
              <w:spacing w:after="240"/>
              <w:rPr>
                <w:rFonts w:asciiTheme="majorHAnsi" w:hAnsiTheme="majorHAnsi" w:cstheme="majorHAnsi"/>
                <w:sz w:val="22"/>
                <w:szCs w:val="22"/>
              </w:rPr>
            </w:pPr>
            <w:r w:rsidRPr="00936D28">
              <w:rPr>
                <w:rFonts w:asciiTheme="majorHAnsi" w:hAnsiTheme="majorHAnsi" w:cstheme="majorHAnsi"/>
                <w:sz w:val="22"/>
                <w:szCs w:val="22"/>
              </w:rPr>
              <w:t>CCG Outcomes Indicator Set</w:t>
            </w:r>
          </w:p>
        </w:tc>
        <w:tc>
          <w:tcPr>
            <w:tcW w:w="997" w:type="dxa"/>
          </w:tcPr>
          <w:p w14:paraId="6D6056DA" w14:textId="77777777" w:rsidR="00460B4E" w:rsidRPr="00936D28" w:rsidRDefault="00460B4E" w:rsidP="00460B4E">
            <w:pPr>
              <w:rPr>
                <w:rFonts w:asciiTheme="majorHAnsi" w:hAnsiTheme="majorHAnsi" w:cstheme="majorHAnsi"/>
                <w:sz w:val="22"/>
                <w:szCs w:val="22"/>
              </w:rPr>
            </w:pPr>
          </w:p>
        </w:tc>
        <w:tc>
          <w:tcPr>
            <w:tcW w:w="1425" w:type="dxa"/>
          </w:tcPr>
          <w:p w14:paraId="23F0CF06" w14:textId="77777777" w:rsidR="00460B4E" w:rsidRPr="00936D28" w:rsidRDefault="00460B4E" w:rsidP="00460B4E">
            <w:pPr>
              <w:rPr>
                <w:rFonts w:asciiTheme="majorHAnsi" w:hAnsiTheme="majorHAnsi" w:cstheme="majorHAnsi"/>
                <w:sz w:val="22"/>
                <w:szCs w:val="22"/>
              </w:rPr>
            </w:pPr>
          </w:p>
        </w:tc>
      </w:tr>
    </w:tbl>
    <w:p w14:paraId="2A807374" w14:textId="77777777" w:rsidR="004316C3" w:rsidRDefault="004316C3"/>
    <w:tbl>
      <w:tblPr>
        <w:tblStyle w:val="TableGrid"/>
        <w:tblW w:w="9923" w:type="dxa"/>
        <w:tblLayout w:type="fixed"/>
        <w:tblLook w:val="01E0" w:firstRow="1" w:lastRow="1" w:firstColumn="1" w:lastColumn="1" w:noHBand="0" w:noVBand="0"/>
      </w:tblPr>
      <w:tblGrid>
        <w:gridCol w:w="2122"/>
        <w:gridCol w:w="7801"/>
      </w:tblGrid>
      <w:tr w:rsidR="00460B4E" w:rsidRPr="00936D28" w14:paraId="7340C7FE" w14:textId="77777777" w:rsidTr="004316C3">
        <w:tc>
          <w:tcPr>
            <w:tcW w:w="2122" w:type="dxa"/>
          </w:tcPr>
          <w:p w14:paraId="6A976251"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 xml:space="preserve">Description </w:t>
            </w:r>
          </w:p>
        </w:tc>
        <w:tc>
          <w:tcPr>
            <w:tcW w:w="7801" w:type="dxa"/>
          </w:tcPr>
          <w:p w14:paraId="4CA39D1C"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The percentage of all cases of cancer for which a valid stage is recorded, given by Clinical Commissioning Group (CCG).</w:t>
            </w:r>
          </w:p>
          <w:p w14:paraId="3BCF134A" w14:textId="77777777" w:rsidR="00460B4E" w:rsidRPr="00936D28" w:rsidRDefault="00460B4E" w:rsidP="00460B4E">
            <w:pPr>
              <w:rPr>
                <w:rFonts w:asciiTheme="majorHAnsi" w:hAnsiTheme="majorHAnsi" w:cstheme="majorHAnsi"/>
                <w:sz w:val="22"/>
                <w:szCs w:val="22"/>
              </w:rPr>
            </w:pPr>
          </w:p>
          <w:p w14:paraId="1223C8BD"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‘Validity’ of stage is assessed according to United Kingdom Association of Cancer Registries (UKACR) rules.  As not all cancer types can be validly staged by any staging system, the UKACR adopts a threshold of 70% completeness for this indicator.</w:t>
            </w:r>
          </w:p>
          <w:p w14:paraId="01D8BFC0" w14:textId="77777777" w:rsidR="00460B4E" w:rsidRPr="00936D28" w:rsidRDefault="00460B4E" w:rsidP="00460B4E">
            <w:pPr>
              <w:rPr>
                <w:rFonts w:asciiTheme="majorHAnsi" w:hAnsiTheme="majorHAnsi" w:cstheme="majorHAnsi"/>
                <w:sz w:val="22"/>
                <w:szCs w:val="22"/>
              </w:rPr>
            </w:pPr>
          </w:p>
        </w:tc>
      </w:tr>
    </w:tbl>
    <w:p w14:paraId="174551AA" w14:textId="77777777" w:rsidR="00460B4E" w:rsidRPr="00936D28" w:rsidRDefault="00460B4E" w:rsidP="00460B4E">
      <w:pPr>
        <w:rPr>
          <w:rFonts w:asciiTheme="majorHAnsi" w:hAnsiTheme="majorHAnsi" w:cstheme="majorHAnsi"/>
          <w:sz w:val="22"/>
          <w:szCs w:val="22"/>
        </w:rPr>
      </w:pPr>
    </w:p>
    <w:tbl>
      <w:tblPr>
        <w:tblStyle w:val="TableGrid"/>
        <w:tblW w:w="9923" w:type="dxa"/>
        <w:tblLook w:val="01E0" w:firstRow="1" w:lastRow="1" w:firstColumn="1" w:lastColumn="1" w:noHBand="0" w:noVBand="0"/>
      </w:tblPr>
      <w:tblGrid>
        <w:gridCol w:w="2127"/>
        <w:gridCol w:w="1418"/>
        <w:gridCol w:w="1842"/>
        <w:gridCol w:w="4536"/>
      </w:tblGrid>
      <w:tr w:rsidR="00460B4E" w:rsidRPr="00936D28" w14:paraId="6BDA1DDB" w14:textId="77777777" w:rsidTr="002F05F5">
        <w:trPr>
          <w:trHeight w:val="229"/>
        </w:trPr>
        <w:tc>
          <w:tcPr>
            <w:tcW w:w="2127" w:type="dxa"/>
          </w:tcPr>
          <w:p w14:paraId="595AB103"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 xml:space="preserve">Initial IGB discussion </w:t>
            </w:r>
          </w:p>
        </w:tc>
        <w:tc>
          <w:tcPr>
            <w:tcW w:w="1418" w:type="dxa"/>
          </w:tcPr>
          <w:p w14:paraId="07459A28"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22/07/14</w:t>
            </w:r>
          </w:p>
        </w:tc>
        <w:tc>
          <w:tcPr>
            <w:tcW w:w="1842" w:type="dxa"/>
          </w:tcPr>
          <w:p w14:paraId="1437B0BF" w14:textId="77777777" w:rsidR="00460B4E" w:rsidRPr="00936D28" w:rsidRDefault="00460B4E" w:rsidP="00460B4E">
            <w:pPr>
              <w:rPr>
                <w:rFonts w:asciiTheme="majorHAnsi" w:hAnsiTheme="majorHAnsi" w:cstheme="majorHAnsi"/>
                <w:b/>
                <w:sz w:val="22"/>
                <w:szCs w:val="22"/>
              </w:rPr>
            </w:pPr>
            <w:r w:rsidRPr="00936D28">
              <w:rPr>
                <w:rFonts w:asciiTheme="majorHAnsi" w:hAnsiTheme="majorHAnsi" w:cstheme="majorHAnsi"/>
                <w:sz w:val="22"/>
                <w:szCs w:val="22"/>
              </w:rPr>
              <w:t>Further discussed</w:t>
            </w:r>
          </w:p>
        </w:tc>
        <w:tc>
          <w:tcPr>
            <w:tcW w:w="4536" w:type="dxa"/>
          </w:tcPr>
          <w:p w14:paraId="37845C6A" w14:textId="77777777" w:rsidR="00460B4E" w:rsidRPr="00936D28" w:rsidRDefault="00460B4E" w:rsidP="00460B4E">
            <w:pPr>
              <w:rPr>
                <w:rFonts w:asciiTheme="majorHAnsi" w:hAnsiTheme="majorHAnsi" w:cstheme="majorHAnsi"/>
                <w:b/>
                <w:sz w:val="22"/>
                <w:szCs w:val="22"/>
              </w:rPr>
            </w:pPr>
          </w:p>
        </w:tc>
      </w:tr>
    </w:tbl>
    <w:p w14:paraId="29B8421C" w14:textId="2346D4BC" w:rsidR="00460B4E" w:rsidRPr="00936D28" w:rsidRDefault="004316C3" w:rsidP="00460B4E">
      <w:pPr>
        <w:rPr>
          <w:rFonts w:asciiTheme="majorHAnsi" w:hAnsiTheme="majorHAnsi" w:cstheme="majorHAnsi"/>
          <w:sz w:val="22"/>
          <w:szCs w:val="22"/>
        </w:rPr>
      </w:pPr>
      <w:r w:rsidRPr="00936D28">
        <w:rPr>
          <w:rFonts w:asciiTheme="majorHAnsi" w:hAnsiTheme="majorHAnsi" w:cstheme="majorHAnsi"/>
          <w:b/>
          <w:sz w:val="22"/>
          <w:szCs w:val="22"/>
        </w:rPr>
        <w:t>Strategic Considerations &amp; Implications</w:t>
      </w:r>
    </w:p>
    <w:tbl>
      <w:tblPr>
        <w:tblStyle w:val="TableGrid"/>
        <w:tblW w:w="9923" w:type="dxa"/>
        <w:tblLayout w:type="fixed"/>
        <w:tblLook w:val="01E0" w:firstRow="1" w:lastRow="1" w:firstColumn="1" w:lastColumn="1" w:noHBand="0" w:noVBand="0"/>
      </w:tblPr>
      <w:tblGrid>
        <w:gridCol w:w="2119"/>
        <w:gridCol w:w="4402"/>
        <w:gridCol w:w="1696"/>
        <w:gridCol w:w="1423"/>
        <w:gridCol w:w="283"/>
      </w:tblGrid>
      <w:tr w:rsidR="004316C3" w:rsidRPr="00936D28" w14:paraId="4894A437" w14:textId="77777777" w:rsidTr="000D2587">
        <w:trPr>
          <w:trHeight w:val="1661"/>
        </w:trPr>
        <w:tc>
          <w:tcPr>
            <w:tcW w:w="2119" w:type="dxa"/>
          </w:tcPr>
          <w:p w14:paraId="3FE21A7B" w14:textId="77777777" w:rsidR="004316C3" w:rsidRPr="00936D28" w:rsidRDefault="004316C3" w:rsidP="00460B4E">
            <w:pPr>
              <w:rPr>
                <w:rFonts w:asciiTheme="majorHAnsi" w:hAnsiTheme="majorHAnsi" w:cstheme="majorHAnsi"/>
                <w:sz w:val="22"/>
                <w:szCs w:val="22"/>
              </w:rPr>
            </w:pPr>
            <w:r w:rsidRPr="00936D28">
              <w:rPr>
                <w:rFonts w:asciiTheme="majorHAnsi" w:hAnsiTheme="majorHAnsi" w:cstheme="majorHAnsi"/>
                <w:sz w:val="22"/>
                <w:szCs w:val="22"/>
              </w:rPr>
              <w:t>Applicant / Sponsor Organisation</w:t>
            </w:r>
          </w:p>
        </w:tc>
        <w:tc>
          <w:tcPr>
            <w:tcW w:w="4402" w:type="dxa"/>
          </w:tcPr>
          <w:p w14:paraId="601EB4E7" w14:textId="77777777" w:rsidR="004316C3" w:rsidRPr="00936D28" w:rsidRDefault="004316C3" w:rsidP="00460B4E">
            <w:pPr>
              <w:rPr>
                <w:rFonts w:asciiTheme="majorHAnsi" w:hAnsiTheme="majorHAnsi" w:cstheme="majorHAnsi"/>
                <w:sz w:val="22"/>
                <w:szCs w:val="22"/>
              </w:rPr>
            </w:pPr>
            <w:r w:rsidRPr="00936D28">
              <w:rPr>
                <w:rFonts w:asciiTheme="majorHAnsi" w:hAnsiTheme="majorHAnsi" w:cstheme="majorHAnsi"/>
                <w:sz w:val="22"/>
                <w:szCs w:val="22"/>
              </w:rPr>
              <w:t>NHS England</w:t>
            </w:r>
          </w:p>
          <w:p w14:paraId="150EED85" w14:textId="77777777" w:rsidR="004316C3" w:rsidRPr="00936D28" w:rsidRDefault="004316C3" w:rsidP="00460B4E">
            <w:pPr>
              <w:rPr>
                <w:rFonts w:asciiTheme="majorHAnsi" w:hAnsiTheme="majorHAnsi" w:cstheme="majorHAnsi"/>
                <w:sz w:val="22"/>
                <w:szCs w:val="22"/>
              </w:rPr>
            </w:pPr>
            <w:r w:rsidRPr="00936D28">
              <w:rPr>
                <w:rFonts w:asciiTheme="majorHAnsi" w:hAnsiTheme="majorHAnsi" w:cstheme="majorHAnsi"/>
                <w:sz w:val="22"/>
                <w:szCs w:val="22"/>
              </w:rPr>
              <w:t>*Costing for assurance appraisal included in development cost</w:t>
            </w:r>
          </w:p>
        </w:tc>
        <w:tc>
          <w:tcPr>
            <w:tcW w:w="1696" w:type="dxa"/>
          </w:tcPr>
          <w:p w14:paraId="78BAB47F" w14:textId="77777777" w:rsidR="004316C3" w:rsidRPr="00936D28" w:rsidRDefault="004316C3" w:rsidP="00460B4E">
            <w:pPr>
              <w:rPr>
                <w:rFonts w:asciiTheme="majorHAnsi" w:hAnsiTheme="majorHAnsi" w:cstheme="majorHAnsi"/>
                <w:sz w:val="22"/>
                <w:szCs w:val="22"/>
              </w:rPr>
            </w:pPr>
            <w:r w:rsidRPr="00936D28">
              <w:rPr>
                <w:rFonts w:asciiTheme="majorHAnsi" w:hAnsiTheme="majorHAnsi" w:cstheme="majorHAnsi"/>
                <w:sz w:val="22"/>
                <w:szCs w:val="22"/>
              </w:rPr>
              <w:t>Assurance process funded?</w:t>
            </w:r>
          </w:p>
        </w:tc>
        <w:tc>
          <w:tcPr>
            <w:tcW w:w="1423" w:type="dxa"/>
          </w:tcPr>
          <w:p w14:paraId="7188D5D8" w14:textId="77777777" w:rsidR="004316C3" w:rsidRPr="00936D28" w:rsidRDefault="004316C3" w:rsidP="00460B4E">
            <w:pPr>
              <w:rPr>
                <w:rFonts w:asciiTheme="majorHAnsi" w:hAnsiTheme="majorHAnsi" w:cstheme="majorHAnsi"/>
                <w:b/>
                <w:sz w:val="22"/>
                <w:szCs w:val="22"/>
              </w:rPr>
            </w:pPr>
            <w:r w:rsidRPr="00936D28">
              <w:rPr>
                <w:rFonts w:asciiTheme="majorHAnsi" w:hAnsiTheme="majorHAnsi" w:cstheme="majorHAnsi"/>
                <w:b/>
                <w:sz w:val="22"/>
                <w:szCs w:val="22"/>
              </w:rPr>
              <w:t>Yes*</w:t>
            </w:r>
          </w:p>
          <w:sdt>
            <w:sdtPr>
              <w:rPr>
                <w:rFonts w:asciiTheme="majorHAnsi" w:hAnsiTheme="majorHAnsi" w:cstheme="majorHAnsi"/>
                <w:sz w:val="22"/>
                <w:szCs w:val="22"/>
              </w:rPr>
              <w:id w:val="936482124"/>
              <w14:checkbox>
                <w14:checked w14:val="1"/>
                <w14:checkedState w14:val="2612" w14:font="MS Gothic"/>
                <w14:uncheckedState w14:val="2610" w14:font="MS Gothic"/>
              </w14:checkbox>
            </w:sdtPr>
            <w:sdtContent>
              <w:p w14:paraId="5EB4E2A8" w14:textId="77777777" w:rsidR="004316C3" w:rsidRPr="00936D28" w:rsidRDefault="004316C3" w:rsidP="00460B4E">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sdtContent>
          </w:sdt>
          <w:p w14:paraId="5C682E5B" w14:textId="77777777" w:rsidR="004316C3" w:rsidRPr="00936D28" w:rsidRDefault="004316C3" w:rsidP="00460B4E">
            <w:pPr>
              <w:rPr>
                <w:rFonts w:asciiTheme="majorHAnsi" w:hAnsiTheme="majorHAnsi" w:cstheme="majorHAnsi"/>
                <w:b/>
                <w:sz w:val="22"/>
                <w:szCs w:val="22"/>
              </w:rPr>
            </w:pPr>
            <w:r w:rsidRPr="00936D28">
              <w:rPr>
                <w:rFonts w:asciiTheme="majorHAnsi" w:hAnsiTheme="majorHAnsi" w:cstheme="majorHAnsi"/>
                <w:b/>
                <w:sz w:val="22"/>
                <w:szCs w:val="22"/>
              </w:rPr>
              <w:t>No</w:t>
            </w:r>
          </w:p>
          <w:sdt>
            <w:sdtPr>
              <w:rPr>
                <w:rFonts w:asciiTheme="majorHAnsi" w:hAnsiTheme="majorHAnsi" w:cstheme="majorHAnsi"/>
                <w:sz w:val="22"/>
                <w:szCs w:val="22"/>
              </w:rPr>
              <w:id w:val="-334147021"/>
              <w14:checkbox>
                <w14:checked w14:val="0"/>
                <w14:checkedState w14:val="2612" w14:font="MS Gothic"/>
                <w14:uncheckedState w14:val="2610" w14:font="MS Gothic"/>
              </w14:checkbox>
            </w:sdtPr>
            <w:sdtContent>
              <w:p w14:paraId="21B35699" w14:textId="23C74568" w:rsidR="004316C3" w:rsidRPr="00936D28" w:rsidRDefault="004316C3" w:rsidP="00460B4E">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sdtContent>
          </w:sdt>
        </w:tc>
        <w:tc>
          <w:tcPr>
            <w:tcW w:w="283" w:type="dxa"/>
          </w:tcPr>
          <w:p w14:paraId="780DE845" w14:textId="77777777" w:rsidR="004316C3" w:rsidRPr="00936D28" w:rsidRDefault="004316C3" w:rsidP="00460B4E">
            <w:pPr>
              <w:rPr>
                <w:rFonts w:asciiTheme="majorHAnsi" w:hAnsiTheme="majorHAnsi" w:cstheme="majorHAnsi"/>
                <w:sz w:val="22"/>
                <w:szCs w:val="22"/>
              </w:rPr>
            </w:pPr>
          </w:p>
        </w:tc>
      </w:tr>
    </w:tbl>
    <w:p w14:paraId="6F5BFAB3" w14:textId="77777777" w:rsidR="004316C3" w:rsidRDefault="004316C3"/>
    <w:tbl>
      <w:tblPr>
        <w:tblStyle w:val="TableGrid"/>
        <w:tblW w:w="9923" w:type="dxa"/>
        <w:tblLayout w:type="fixed"/>
        <w:tblLook w:val="01E0" w:firstRow="1" w:lastRow="1" w:firstColumn="1" w:lastColumn="1" w:noHBand="0" w:noVBand="0"/>
      </w:tblPr>
      <w:tblGrid>
        <w:gridCol w:w="2119"/>
        <w:gridCol w:w="7804"/>
      </w:tblGrid>
      <w:tr w:rsidR="004316C3" w:rsidRPr="00936D28" w14:paraId="020BA774" w14:textId="77777777" w:rsidTr="002F05F5">
        <w:tc>
          <w:tcPr>
            <w:tcW w:w="2119" w:type="dxa"/>
          </w:tcPr>
          <w:p w14:paraId="0EDB8F37" w14:textId="7CCD0F0F"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 xml:space="preserve">Indicator rationale </w:t>
            </w:r>
          </w:p>
        </w:tc>
        <w:tc>
          <w:tcPr>
            <w:tcW w:w="7804" w:type="dxa"/>
          </w:tcPr>
          <w:p w14:paraId="61C7B14D"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Cancer is a major cause of death, accounting for around a quarter of deaths in England.  Currently, it is estimated that more than 40% children born today will develop cancer at some stage in their life.  The stage of the tumour at diagnosis is a major determinant of patient outcomes from cancer.  A high proportion of cancers with a valid stage recorded allow much deeper and more actionable analyses of outcomes by treatment type, patient pathway, and case-mix.</w:t>
            </w:r>
          </w:p>
          <w:p w14:paraId="44E9C4BE" w14:textId="77777777" w:rsidR="004316C3" w:rsidRPr="00936D28" w:rsidRDefault="004316C3" w:rsidP="004316C3">
            <w:pPr>
              <w:rPr>
                <w:rFonts w:asciiTheme="majorHAnsi" w:hAnsiTheme="majorHAnsi" w:cstheme="majorHAnsi"/>
                <w:sz w:val="22"/>
                <w:szCs w:val="22"/>
              </w:rPr>
            </w:pPr>
          </w:p>
          <w:p w14:paraId="572D8AD5"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 xml:space="preserve">Diagnosis at an early stage of the cancer's development leads to dramatically improved survival chances.  Specific public health interventions, such as screening programmes and information/education campaigns aim to improve rates of early diagnosis.  An indicator on the proportion of cancers diagnosed at an early stage is therefore a useful proxy for assessing improvements in cancer survival rates.  This indicator on the overall proportion of cancers for </w:t>
            </w:r>
            <w:r w:rsidRPr="00936D28">
              <w:rPr>
                <w:rFonts w:asciiTheme="majorHAnsi" w:hAnsiTheme="majorHAnsi" w:cstheme="majorHAnsi"/>
                <w:sz w:val="22"/>
                <w:szCs w:val="22"/>
              </w:rPr>
              <w:lastRenderedPageBreak/>
              <w:t>which a stage is recorded will allow assessment of the completeness of staging data for these purposes.</w:t>
            </w:r>
          </w:p>
          <w:p w14:paraId="1811E85B" w14:textId="77777777" w:rsidR="004316C3" w:rsidRPr="00936D28" w:rsidRDefault="004316C3" w:rsidP="004316C3">
            <w:pPr>
              <w:rPr>
                <w:rFonts w:asciiTheme="majorHAnsi" w:hAnsiTheme="majorHAnsi" w:cstheme="majorHAnsi"/>
                <w:sz w:val="22"/>
                <w:szCs w:val="22"/>
              </w:rPr>
            </w:pPr>
          </w:p>
        </w:tc>
      </w:tr>
      <w:tr w:rsidR="004316C3" w:rsidRPr="00936D28" w14:paraId="17B92253" w14:textId="77777777" w:rsidTr="002F05F5">
        <w:tc>
          <w:tcPr>
            <w:tcW w:w="2119" w:type="dxa"/>
          </w:tcPr>
          <w:p w14:paraId="1A76F107"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lastRenderedPageBreak/>
              <w:t xml:space="preserve">Basis for rationale </w:t>
            </w:r>
          </w:p>
          <w:p w14:paraId="60095DE0"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[Details of quality statement, policy etc.]</w:t>
            </w:r>
            <w:r w:rsidRPr="00936D28">
              <w:rPr>
                <w:rFonts w:asciiTheme="majorHAnsi" w:hAnsiTheme="majorHAnsi" w:cstheme="majorHAnsi"/>
                <w:i/>
                <w:sz w:val="22"/>
                <w:szCs w:val="22"/>
              </w:rPr>
              <w:t xml:space="preserve"> </w:t>
            </w:r>
          </w:p>
        </w:tc>
        <w:tc>
          <w:tcPr>
            <w:tcW w:w="7804" w:type="dxa"/>
          </w:tcPr>
          <w:p w14:paraId="62634D63"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In January 2011 the Government published Improving Outcomes – a Strategy for Cancer.  This document sets out how the Government plans to improve cancer outcomes, including improving survival rates through tackling late diagnosis of cancer.</w:t>
            </w:r>
          </w:p>
          <w:p w14:paraId="169CC834" w14:textId="77777777" w:rsidR="004316C3" w:rsidRPr="00936D28" w:rsidRDefault="004316C3" w:rsidP="004316C3">
            <w:pPr>
              <w:spacing w:after="120"/>
              <w:rPr>
                <w:rFonts w:asciiTheme="majorHAnsi" w:hAnsiTheme="majorHAnsi" w:cstheme="majorHAnsi"/>
                <w:sz w:val="22"/>
                <w:szCs w:val="22"/>
              </w:rPr>
            </w:pPr>
          </w:p>
        </w:tc>
      </w:tr>
      <w:tr w:rsidR="004316C3" w:rsidRPr="00936D28" w14:paraId="0F46CB44" w14:textId="77777777" w:rsidTr="002F05F5">
        <w:tc>
          <w:tcPr>
            <w:tcW w:w="2119" w:type="dxa"/>
          </w:tcPr>
          <w:p w14:paraId="34667CCE"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Calculation Summary</w:t>
            </w:r>
          </w:p>
        </w:tc>
        <w:tc>
          <w:tcPr>
            <w:tcW w:w="7804" w:type="dxa"/>
          </w:tcPr>
          <w:p w14:paraId="5ACEBC95" w14:textId="77777777" w:rsidR="004316C3" w:rsidRPr="00936D28" w:rsidRDefault="004316C3" w:rsidP="004316C3">
            <w:pPr>
              <w:rPr>
                <w:rFonts w:asciiTheme="majorHAnsi" w:hAnsiTheme="majorHAnsi" w:cstheme="majorHAnsi"/>
                <w:b/>
                <w:i/>
                <w:sz w:val="22"/>
                <w:szCs w:val="22"/>
              </w:rPr>
            </w:pPr>
            <w:r w:rsidRPr="00936D28">
              <w:rPr>
                <w:rFonts w:asciiTheme="majorHAnsi" w:hAnsiTheme="majorHAnsi" w:cstheme="majorHAnsi"/>
                <w:b/>
                <w:i/>
                <w:sz w:val="22"/>
                <w:szCs w:val="22"/>
              </w:rPr>
              <w:t>Denominator:</w:t>
            </w:r>
          </w:p>
          <w:p w14:paraId="4825807D"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The number of new invasive cases of cancer, excluding non-melanoma skin cancer, diagnosed during the respective year.</w:t>
            </w:r>
          </w:p>
          <w:p w14:paraId="61BF0583" w14:textId="77777777" w:rsidR="004316C3" w:rsidRPr="00936D28" w:rsidRDefault="004316C3" w:rsidP="004316C3">
            <w:pPr>
              <w:rPr>
                <w:rFonts w:asciiTheme="majorHAnsi" w:hAnsiTheme="majorHAnsi" w:cstheme="majorHAnsi"/>
                <w:sz w:val="22"/>
                <w:szCs w:val="22"/>
              </w:rPr>
            </w:pPr>
          </w:p>
          <w:p w14:paraId="78436514" w14:textId="77777777" w:rsidR="004316C3" w:rsidRPr="00936D28" w:rsidRDefault="004316C3" w:rsidP="004316C3">
            <w:pPr>
              <w:rPr>
                <w:rFonts w:asciiTheme="majorHAnsi" w:hAnsiTheme="majorHAnsi" w:cstheme="majorHAnsi"/>
                <w:i/>
                <w:sz w:val="22"/>
                <w:szCs w:val="22"/>
              </w:rPr>
            </w:pPr>
            <w:r w:rsidRPr="00936D28">
              <w:rPr>
                <w:rFonts w:asciiTheme="majorHAnsi" w:hAnsiTheme="majorHAnsi" w:cstheme="majorHAnsi"/>
                <w:i/>
                <w:sz w:val="22"/>
                <w:szCs w:val="22"/>
              </w:rPr>
              <w:t>Note: non-melanoma skin cancer is a non-basal cell carcinoma which is regularly excluded from cancer indicators as its impact on health is much less than other cancers and there are comparatively large numbers of cases which could significantly impact any statistic that includes it.</w:t>
            </w:r>
          </w:p>
          <w:p w14:paraId="4C899F16" w14:textId="77777777" w:rsidR="004316C3" w:rsidRPr="00936D28" w:rsidRDefault="004316C3" w:rsidP="004316C3">
            <w:pPr>
              <w:rPr>
                <w:rFonts w:asciiTheme="majorHAnsi" w:hAnsiTheme="majorHAnsi" w:cstheme="majorHAnsi"/>
                <w:sz w:val="22"/>
                <w:szCs w:val="22"/>
              </w:rPr>
            </w:pPr>
          </w:p>
          <w:p w14:paraId="56A8DB58" w14:textId="77777777" w:rsidR="004316C3" w:rsidRPr="00936D28" w:rsidRDefault="004316C3" w:rsidP="004316C3">
            <w:pPr>
              <w:rPr>
                <w:rFonts w:asciiTheme="majorHAnsi" w:hAnsiTheme="majorHAnsi" w:cstheme="majorHAnsi"/>
                <w:b/>
                <w:i/>
                <w:sz w:val="22"/>
                <w:szCs w:val="22"/>
              </w:rPr>
            </w:pPr>
            <w:r w:rsidRPr="00936D28">
              <w:rPr>
                <w:rFonts w:asciiTheme="majorHAnsi" w:hAnsiTheme="majorHAnsi" w:cstheme="majorHAnsi"/>
                <w:b/>
                <w:i/>
                <w:sz w:val="22"/>
                <w:szCs w:val="22"/>
              </w:rPr>
              <w:t>Numerator:</w:t>
            </w:r>
          </w:p>
          <w:p w14:paraId="26F39C55"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Of cases of cancer in the denominator, the number with a valid stage at diagnosis recorded, as defined by the former United Kingdom Association of Cancer Registries (UKACR) registration rules.</w:t>
            </w:r>
          </w:p>
          <w:p w14:paraId="6AC128CA" w14:textId="77777777" w:rsidR="004316C3" w:rsidRPr="00936D28" w:rsidRDefault="004316C3" w:rsidP="004316C3">
            <w:pPr>
              <w:rPr>
                <w:rFonts w:asciiTheme="majorHAnsi" w:hAnsiTheme="majorHAnsi" w:cstheme="majorHAnsi"/>
                <w:sz w:val="22"/>
                <w:szCs w:val="22"/>
              </w:rPr>
            </w:pPr>
          </w:p>
        </w:tc>
      </w:tr>
      <w:tr w:rsidR="004316C3" w:rsidRPr="00936D28" w14:paraId="0E7456C7" w14:textId="77777777" w:rsidTr="002F05F5">
        <w:tc>
          <w:tcPr>
            <w:tcW w:w="2119" w:type="dxa"/>
          </w:tcPr>
          <w:p w14:paraId="29F0A92D"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Risks &amp; assumptions</w:t>
            </w:r>
          </w:p>
        </w:tc>
        <w:tc>
          <w:tcPr>
            <w:tcW w:w="7804" w:type="dxa"/>
          </w:tcPr>
          <w:p w14:paraId="1096E30A" w14:textId="77777777" w:rsidR="004316C3" w:rsidRPr="00936D28" w:rsidRDefault="004316C3" w:rsidP="004316C3">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Data for this indicator will be extracted from the National Cancer Intelligence Network (NCIN)   Cancer Analysis System (CAS).   The CAS contains an extract of cancer registration data for analytical purposes once data have been signed off as complete by the cancer registries.  Currently, the most recent year’s data available are for 2011.  Data for 2013 will not be available until October or November 2014.</w:t>
            </w:r>
          </w:p>
          <w:p w14:paraId="0790B93F" w14:textId="77777777" w:rsidR="004316C3" w:rsidRPr="00936D28" w:rsidRDefault="004316C3" w:rsidP="004316C3">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The assignment of a CCG to a patient will be based on GP or practice code where possible and if not, then on the patient’s home postcode.  Where the patient’s practice and postcode are both unavailable, the responsible CCG is the location of the hospital or trust.  As the numerator is a subset of the denominator, the same method will be used for any particular patient.</w:t>
            </w:r>
          </w:p>
          <w:p w14:paraId="561F6BB8" w14:textId="77777777" w:rsidR="004316C3" w:rsidRPr="00936D28" w:rsidRDefault="004316C3" w:rsidP="004316C3">
            <w:pPr>
              <w:pStyle w:val="ListParagraph"/>
              <w:numPr>
                <w:ilvl w:val="0"/>
                <w:numId w:val="13"/>
              </w:numPr>
              <w:spacing w:after="0"/>
              <w:contextualSpacing/>
              <w:textboxTightWrap w:val="none"/>
              <w:rPr>
                <w:rFonts w:asciiTheme="majorHAnsi" w:hAnsiTheme="majorHAnsi" w:cstheme="majorHAnsi"/>
                <w:sz w:val="22"/>
                <w:szCs w:val="22"/>
              </w:rPr>
            </w:pPr>
          </w:p>
        </w:tc>
      </w:tr>
      <w:tr w:rsidR="004316C3" w:rsidRPr="00936D28" w14:paraId="4216042E" w14:textId="77777777" w:rsidTr="000D2587">
        <w:trPr>
          <w:trHeight w:val="2874"/>
        </w:trPr>
        <w:tc>
          <w:tcPr>
            <w:tcW w:w="2119" w:type="dxa"/>
          </w:tcPr>
          <w:p w14:paraId="2031B71C"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lastRenderedPageBreak/>
              <w:t xml:space="preserve">IG </w:t>
            </w:r>
            <w:proofErr w:type="gramStart"/>
            <w:r w:rsidRPr="00936D28">
              <w:rPr>
                <w:rFonts w:asciiTheme="majorHAnsi" w:hAnsiTheme="majorHAnsi" w:cstheme="majorHAnsi"/>
                <w:sz w:val="22"/>
                <w:szCs w:val="22"/>
              </w:rPr>
              <w:t>Considerations  [</w:t>
            </w:r>
            <w:proofErr w:type="gramEnd"/>
            <w:r w:rsidRPr="00936D28">
              <w:rPr>
                <w:rFonts w:asciiTheme="majorHAnsi" w:hAnsiTheme="majorHAnsi" w:cstheme="majorHAnsi"/>
                <w:sz w:val="22"/>
                <w:szCs w:val="22"/>
              </w:rPr>
              <w:t>e.g. release of under-lying data, intermediaries access to data, data ownership impact on production]</w:t>
            </w:r>
          </w:p>
        </w:tc>
        <w:tc>
          <w:tcPr>
            <w:tcW w:w="7804" w:type="dxa"/>
          </w:tcPr>
          <w:p w14:paraId="2E4A6419" w14:textId="77777777" w:rsidR="004316C3" w:rsidRPr="00936D28" w:rsidRDefault="004316C3" w:rsidP="004316C3">
            <w:pPr>
              <w:rPr>
                <w:rFonts w:asciiTheme="majorHAnsi" w:hAnsiTheme="majorHAnsi" w:cstheme="majorHAnsi"/>
                <w:i/>
                <w:sz w:val="22"/>
                <w:szCs w:val="22"/>
              </w:rPr>
            </w:pPr>
            <w:r w:rsidRPr="00936D28">
              <w:rPr>
                <w:rFonts w:asciiTheme="majorHAnsi" w:hAnsiTheme="majorHAnsi" w:cstheme="majorHAnsi"/>
                <w:i/>
                <w:sz w:val="22"/>
                <w:szCs w:val="22"/>
              </w:rPr>
              <w:t xml:space="preserve">Data Source:  </w:t>
            </w:r>
            <w:r w:rsidRPr="00936D28">
              <w:rPr>
                <w:rFonts w:asciiTheme="majorHAnsi" w:hAnsiTheme="majorHAnsi" w:cstheme="majorHAnsi"/>
                <w:sz w:val="22"/>
                <w:szCs w:val="22"/>
              </w:rPr>
              <w:t>Data will be provided by the NCIN from the CAS</w:t>
            </w:r>
          </w:p>
          <w:p w14:paraId="4ACE0A96"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The CAS contains a fully signed off extract of cancer registrations supplied by the National Cancer Registration Service.</w:t>
            </w:r>
          </w:p>
          <w:p w14:paraId="5D790C0F" w14:textId="77777777" w:rsidR="004316C3" w:rsidRPr="00936D28" w:rsidRDefault="004316C3" w:rsidP="004316C3">
            <w:pPr>
              <w:rPr>
                <w:rFonts w:asciiTheme="majorHAnsi" w:hAnsiTheme="majorHAnsi" w:cstheme="majorHAnsi"/>
                <w:sz w:val="22"/>
                <w:szCs w:val="22"/>
              </w:rPr>
            </w:pPr>
          </w:p>
          <w:p w14:paraId="07D0870D"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 xml:space="preserve">Data for calendar year 2012 is due to be published in September 2014 as a baseline. </w:t>
            </w:r>
          </w:p>
          <w:p w14:paraId="76EECC06" w14:textId="77777777" w:rsidR="004316C3" w:rsidRPr="00936D28" w:rsidRDefault="004316C3" w:rsidP="004316C3">
            <w:pPr>
              <w:rPr>
                <w:rFonts w:asciiTheme="majorHAnsi" w:hAnsiTheme="majorHAnsi" w:cstheme="majorHAnsi"/>
                <w:sz w:val="22"/>
                <w:szCs w:val="22"/>
              </w:rPr>
            </w:pPr>
          </w:p>
        </w:tc>
      </w:tr>
      <w:tr w:rsidR="004316C3" w:rsidRPr="00936D28" w14:paraId="6A0D0AFA" w14:textId="77777777" w:rsidTr="002F05F5">
        <w:tc>
          <w:tcPr>
            <w:tcW w:w="2119" w:type="dxa"/>
          </w:tcPr>
          <w:p w14:paraId="174181E9"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Potential impacts on other business areas [inc outstanding generic issues]</w:t>
            </w:r>
          </w:p>
        </w:tc>
        <w:tc>
          <w:tcPr>
            <w:tcW w:w="7804" w:type="dxa"/>
          </w:tcPr>
          <w:p w14:paraId="47217833" w14:textId="77777777" w:rsidR="004316C3" w:rsidRPr="00936D28" w:rsidRDefault="004316C3" w:rsidP="004316C3">
            <w:pPr>
              <w:spacing w:after="120"/>
              <w:rPr>
                <w:rFonts w:asciiTheme="majorHAnsi" w:hAnsiTheme="majorHAnsi" w:cstheme="majorHAnsi"/>
                <w:sz w:val="22"/>
                <w:szCs w:val="22"/>
              </w:rPr>
            </w:pPr>
            <w:r w:rsidRPr="00936D28">
              <w:rPr>
                <w:rFonts w:asciiTheme="majorHAnsi" w:hAnsiTheme="majorHAnsi" w:cstheme="majorHAnsi"/>
                <w:sz w:val="22"/>
                <w:szCs w:val="22"/>
              </w:rPr>
              <w:t>-</w:t>
            </w:r>
          </w:p>
        </w:tc>
      </w:tr>
      <w:tr w:rsidR="004316C3" w:rsidRPr="00936D28" w14:paraId="1BD2A850" w14:textId="77777777" w:rsidTr="002F05F5">
        <w:tc>
          <w:tcPr>
            <w:tcW w:w="2119" w:type="dxa"/>
          </w:tcPr>
          <w:p w14:paraId="116AF97B"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Implementation Method</w:t>
            </w:r>
          </w:p>
          <w:p w14:paraId="4FF1A34C" w14:textId="77777777" w:rsidR="004316C3" w:rsidRPr="00936D28" w:rsidRDefault="004316C3" w:rsidP="004316C3">
            <w:pPr>
              <w:rPr>
                <w:rFonts w:asciiTheme="majorHAnsi" w:hAnsiTheme="majorHAnsi" w:cstheme="majorHAnsi"/>
                <w:i/>
                <w:sz w:val="22"/>
                <w:szCs w:val="22"/>
              </w:rPr>
            </w:pPr>
            <w:r w:rsidRPr="00936D28">
              <w:rPr>
                <w:rFonts w:asciiTheme="majorHAnsi" w:hAnsiTheme="majorHAnsi" w:cstheme="majorHAnsi"/>
                <w:sz w:val="22"/>
                <w:szCs w:val="22"/>
              </w:rPr>
              <w:t>[inc production funding]</w:t>
            </w:r>
          </w:p>
        </w:tc>
        <w:tc>
          <w:tcPr>
            <w:tcW w:w="7804" w:type="dxa"/>
          </w:tcPr>
          <w:p w14:paraId="04127C9F" w14:textId="77777777" w:rsidR="004316C3" w:rsidRPr="00936D28" w:rsidRDefault="004316C3" w:rsidP="004316C3">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NHS England has commissioned HSCIC to produce and disseminate the CCG OIS indicators; this is funded via the Grant in Aid funding to HSCIC.</w:t>
            </w:r>
          </w:p>
          <w:p w14:paraId="5443835A" w14:textId="77777777" w:rsidR="004316C3" w:rsidRPr="00936D28" w:rsidRDefault="004316C3" w:rsidP="004316C3">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Collection of the data required for the CCG OIS is via existing data collections, in this case by the NCIN from the Cancer Analysis System (CAS).  Testing and specification of this indicator was carried out by the Specification Development Service in conjunction with the NCIN.  The construction of the indicators will be carried out by the NCIN.</w:t>
            </w:r>
          </w:p>
          <w:p w14:paraId="3D12F840" w14:textId="77777777" w:rsidR="004316C3" w:rsidRPr="00936D28" w:rsidRDefault="004316C3" w:rsidP="004316C3">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Dissemination and presentation of the CCG OIS will be via a number of routes:</w:t>
            </w:r>
          </w:p>
          <w:p w14:paraId="1BCA7FF3" w14:textId="77777777" w:rsidR="004316C3" w:rsidRPr="00936D28" w:rsidRDefault="004316C3" w:rsidP="004316C3">
            <w:pPr>
              <w:pStyle w:val="ListParagraph"/>
              <w:numPr>
                <w:ilvl w:val="1"/>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 xml:space="preserve">The indicators and their underlying data will be made publically available via the HSCIC website and the Indicator Portal. </w:t>
            </w:r>
          </w:p>
          <w:p w14:paraId="429B58CE" w14:textId="77777777" w:rsidR="004316C3" w:rsidRPr="00936D28" w:rsidRDefault="004316C3" w:rsidP="004316C3">
            <w:pPr>
              <w:pStyle w:val="ListParagraph"/>
              <w:numPr>
                <w:ilvl w:val="1"/>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The data will also be provided to NHS England for use in their internal Intelligence Tool.</w:t>
            </w:r>
          </w:p>
          <w:p w14:paraId="5CAAB445" w14:textId="77777777" w:rsidR="004316C3" w:rsidRPr="00936D28" w:rsidRDefault="004316C3" w:rsidP="004316C3">
            <w:pPr>
              <w:pStyle w:val="ListParagraph"/>
              <w:numPr>
                <w:ilvl w:val="1"/>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Subject to confirmation by NHS England, the calculated indicator, numerator and denominator for CCGs will be supplied by messaging to the Calculating Quality Reporting Service (CQRS) for use by CCGs as part of their management information.</w:t>
            </w:r>
          </w:p>
        </w:tc>
      </w:tr>
    </w:tbl>
    <w:p w14:paraId="7B8FD874" w14:textId="77777777" w:rsidR="00460B4E" w:rsidRPr="00936D28" w:rsidRDefault="00460B4E" w:rsidP="00460B4E">
      <w:pPr>
        <w:rPr>
          <w:rFonts w:asciiTheme="majorHAnsi" w:hAnsiTheme="majorHAnsi" w:cstheme="majorHAnsi"/>
          <w:sz w:val="22"/>
          <w:szCs w:val="22"/>
        </w:rPr>
      </w:pPr>
    </w:p>
    <w:p w14:paraId="586FE0B6" w14:textId="53CD19D0" w:rsidR="00460B4E" w:rsidRPr="00936D28" w:rsidRDefault="004316C3" w:rsidP="00460B4E">
      <w:pPr>
        <w:rPr>
          <w:rFonts w:asciiTheme="majorHAnsi" w:hAnsiTheme="majorHAnsi" w:cstheme="majorHAnsi"/>
          <w:sz w:val="22"/>
          <w:szCs w:val="22"/>
        </w:rPr>
      </w:pPr>
      <w:r w:rsidRPr="00936D28">
        <w:rPr>
          <w:rFonts w:asciiTheme="majorHAnsi" w:hAnsiTheme="majorHAnsi" w:cstheme="majorHAnsi"/>
          <w:b/>
          <w:sz w:val="22"/>
          <w:szCs w:val="22"/>
        </w:rPr>
        <w:t>Development Advice / Peer Review (undertaken as part of assurance process)</w:t>
      </w:r>
    </w:p>
    <w:tbl>
      <w:tblPr>
        <w:tblStyle w:val="TableGrid"/>
        <w:tblW w:w="9923" w:type="dxa"/>
        <w:tblLayout w:type="fixed"/>
        <w:tblLook w:val="01E0" w:firstRow="1" w:lastRow="1" w:firstColumn="1" w:lastColumn="1" w:noHBand="0" w:noVBand="0"/>
      </w:tblPr>
      <w:tblGrid>
        <w:gridCol w:w="2119"/>
        <w:gridCol w:w="7804"/>
      </w:tblGrid>
      <w:tr w:rsidR="00460B4E" w:rsidRPr="00936D28" w14:paraId="2B05EF86" w14:textId="77777777" w:rsidTr="002F05F5">
        <w:trPr>
          <w:trHeight w:val="404"/>
        </w:trPr>
        <w:tc>
          <w:tcPr>
            <w:tcW w:w="2119" w:type="dxa"/>
          </w:tcPr>
          <w:p w14:paraId="21CFE08E"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Range of input during development</w:t>
            </w:r>
          </w:p>
        </w:tc>
        <w:tc>
          <w:tcPr>
            <w:tcW w:w="7804" w:type="dxa"/>
          </w:tcPr>
          <w:p w14:paraId="3EE67AE8"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Advice and input was received on indicator definitions from Dr Mick Peake, National Clinical Lead for NHS Cancer Improvement and Clinical Lead for the NCIN.</w:t>
            </w:r>
          </w:p>
        </w:tc>
      </w:tr>
      <w:tr w:rsidR="00460B4E" w:rsidRPr="00936D28" w14:paraId="6A23160D" w14:textId="77777777" w:rsidTr="002F05F5">
        <w:trPr>
          <w:trHeight w:val="413"/>
        </w:trPr>
        <w:tc>
          <w:tcPr>
            <w:tcW w:w="2119" w:type="dxa"/>
          </w:tcPr>
          <w:p w14:paraId="1DC2A7F8"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Assurance Service</w:t>
            </w:r>
          </w:p>
          <w:p w14:paraId="4FB2A916" w14:textId="77777777" w:rsidR="00460B4E" w:rsidRPr="00936D28" w:rsidRDefault="00460B4E" w:rsidP="00460B4E">
            <w:pPr>
              <w:rPr>
                <w:rFonts w:asciiTheme="majorHAnsi" w:hAnsiTheme="majorHAnsi" w:cstheme="majorHAnsi"/>
                <w:i/>
                <w:sz w:val="22"/>
                <w:szCs w:val="22"/>
              </w:rPr>
            </w:pPr>
            <w:r w:rsidRPr="00936D28">
              <w:rPr>
                <w:rFonts w:asciiTheme="majorHAnsi" w:hAnsiTheme="majorHAnsi" w:cstheme="majorHAnsi"/>
                <w:sz w:val="22"/>
                <w:szCs w:val="22"/>
              </w:rPr>
              <w:t>Peer Reviewers:</w:t>
            </w:r>
          </w:p>
        </w:tc>
        <w:tc>
          <w:tcPr>
            <w:tcW w:w="7804" w:type="dxa"/>
          </w:tcPr>
          <w:p w14:paraId="140DA296"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Andrea Johnson – Clinical Indicators HSCIC</w:t>
            </w:r>
          </w:p>
        </w:tc>
      </w:tr>
      <w:tr w:rsidR="00460B4E" w:rsidRPr="00936D28" w14:paraId="26CD6CA7" w14:textId="77777777" w:rsidTr="002F05F5">
        <w:trPr>
          <w:trHeight w:val="413"/>
        </w:trPr>
        <w:tc>
          <w:tcPr>
            <w:tcW w:w="2119" w:type="dxa"/>
          </w:tcPr>
          <w:p w14:paraId="5F11EE73"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Peer Review summary:</w:t>
            </w:r>
          </w:p>
        </w:tc>
        <w:tc>
          <w:tcPr>
            <w:tcW w:w="7804" w:type="dxa"/>
          </w:tcPr>
          <w:p w14:paraId="4DF5AA09" w14:textId="77777777" w:rsidR="00460B4E" w:rsidRPr="00936D28" w:rsidRDefault="00460B4E" w:rsidP="00936D28">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Indicator title ‘Cancer stage at diagnosis’ could be changed. It actually measures the percentage of new cases per year with a valid stage recorded. ‘Percentage of new cancer cases with a valid stage recorded’ or similar perhaps?</w:t>
            </w:r>
          </w:p>
          <w:p w14:paraId="64890990" w14:textId="77777777" w:rsidR="00460B4E" w:rsidRPr="00936D28" w:rsidRDefault="00460B4E" w:rsidP="00936D28">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 xml:space="preserve">It isn’t explained how a patient comes to be registered on the NCIN CAS database. Is it at the point of initial cancer diagnosis from whichever </w:t>
            </w:r>
            <w:r w:rsidRPr="00936D28">
              <w:rPr>
                <w:rFonts w:asciiTheme="majorHAnsi" w:hAnsiTheme="majorHAnsi" w:cstheme="majorHAnsi"/>
                <w:sz w:val="22"/>
                <w:szCs w:val="22"/>
              </w:rPr>
              <w:lastRenderedPageBreak/>
              <w:t>location? How long does it take to appear on the NCIN system following diagnosis?</w:t>
            </w:r>
          </w:p>
          <w:p w14:paraId="7840C189" w14:textId="77777777" w:rsidR="00460B4E" w:rsidRPr="00936D28" w:rsidRDefault="00460B4E" w:rsidP="00936D28">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It is noted on the application form that a 70% completeness rate is considered to be a valid completeness level for this indicator by the UKACR as not all cancers can be validly staged by any staging method. A note could be placed on the data to recognise that 100% may not be achievable through no fault of the CCG.</w:t>
            </w:r>
          </w:p>
          <w:p w14:paraId="674D9802" w14:textId="77777777" w:rsidR="00460B4E" w:rsidRPr="00936D28" w:rsidRDefault="00460B4E" w:rsidP="00460B4E">
            <w:pPr>
              <w:rPr>
                <w:rFonts w:asciiTheme="majorHAnsi" w:hAnsiTheme="majorHAnsi" w:cstheme="majorHAnsi"/>
                <w:sz w:val="22"/>
                <w:szCs w:val="22"/>
              </w:rPr>
            </w:pPr>
          </w:p>
        </w:tc>
      </w:tr>
    </w:tbl>
    <w:p w14:paraId="31CE1A09" w14:textId="77777777" w:rsidR="00460B4E" w:rsidRPr="00936D28" w:rsidRDefault="00460B4E" w:rsidP="00460B4E">
      <w:pPr>
        <w:rPr>
          <w:rFonts w:asciiTheme="majorHAnsi" w:hAnsiTheme="majorHAnsi" w:cstheme="majorHAnsi"/>
          <w:sz w:val="22"/>
          <w:szCs w:val="22"/>
        </w:rPr>
      </w:pPr>
    </w:p>
    <w:p w14:paraId="4AC99D2A" w14:textId="02C797B7" w:rsidR="00460B4E" w:rsidRPr="00936D28" w:rsidRDefault="004316C3" w:rsidP="00460B4E">
      <w:pPr>
        <w:rPr>
          <w:rFonts w:asciiTheme="majorHAnsi" w:hAnsiTheme="majorHAnsi" w:cstheme="majorHAnsi"/>
          <w:sz w:val="22"/>
          <w:szCs w:val="22"/>
        </w:rPr>
      </w:pPr>
      <w:r w:rsidRPr="00936D28">
        <w:rPr>
          <w:rFonts w:asciiTheme="majorHAnsi" w:hAnsiTheme="majorHAnsi" w:cstheme="majorHAnsi"/>
          <w:b/>
          <w:sz w:val="22"/>
          <w:szCs w:val="22"/>
        </w:rPr>
        <w:t>Record of MRG Discussion</w:t>
      </w:r>
    </w:p>
    <w:tbl>
      <w:tblPr>
        <w:tblStyle w:val="TableGrid"/>
        <w:tblW w:w="3243" w:type="dxa"/>
        <w:tblLook w:val="01E0" w:firstRow="1" w:lastRow="1" w:firstColumn="1" w:lastColumn="1" w:noHBand="0" w:noVBand="0"/>
      </w:tblPr>
      <w:tblGrid>
        <w:gridCol w:w="2109"/>
        <w:gridCol w:w="1134"/>
      </w:tblGrid>
      <w:tr w:rsidR="004316C3" w:rsidRPr="00936D28" w14:paraId="7CA3A087" w14:textId="77777777" w:rsidTr="004316C3">
        <w:tc>
          <w:tcPr>
            <w:tcW w:w="2109" w:type="dxa"/>
          </w:tcPr>
          <w:p w14:paraId="5D961FA7" w14:textId="77777777" w:rsidR="004316C3" w:rsidRPr="00936D28" w:rsidRDefault="004316C3" w:rsidP="00460B4E">
            <w:pPr>
              <w:rPr>
                <w:rFonts w:asciiTheme="majorHAnsi" w:hAnsiTheme="majorHAnsi" w:cstheme="majorHAnsi"/>
                <w:sz w:val="22"/>
                <w:szCs w:val="22"/>
              </w:rPr>
            </w:pPr>
            <w:r w:rsidRPr="00936D28">
              <w:rPr>
                <w:rFonts w:asciiTheme="majorHAnsi" w:hAnsiTheme="majorHAnsi" w:cstheme="majorHAnsi"/>
                <w:sz w:val="22"/>
                <w:szCs w:val="22"/>
              </w:rPr>
              <w:t xml:space="preserve">Discussion dates: </w:t>
            </w:r>
          </w:p>
        </w:tc>
        <w:tc>
          <w:tcPr>
            <w:tcW w:w="1134" w:type="dxa"/>
          </w:tcPr>
          <w:p w14:paraId="63493197" w14:textId="77777777" w:rsidR="004316C3" w:rsidRPr="00936D28" w:rsidRDefault="004316C3" w:rsidP="00460B4E">
            <w:pPr>
              <w:rPr>
                <w:rFonts w:asciiTheme="majorHAnsi" w:hAnsiTheme="majorHAnsi" w:cstheme="majorHAnsi"/>
                <w:sz w:val="22"/>
                <w:szCs w:val="22"/>
              </w:rPr>
            </w:pPr>
            <w:r w:rsidRPr="00936D28">
              <w:rPr>
                <w:rFonts w:asciiTheme="majorHAnsi" w:hAnsiTheme="majorHAnsi" w:cstheme="majorHAnsi"/>
                <w:sz w:val="22"/>
                <w:szCs w:val="22"/>
              </w:rPr>
              <w:t xml:space="preserve">07/10/13, </w:t>
            </w:r>
          </w:p>
          <w:p w14:paraId="0A006B97" w14:textId="77777777" w:rsidR="004316C3" w:rsidRPr="00936D28" w:rsidRDefault="004316C3" w:rsidP="00460B4E">
            <w:pPr>
              <w:rPr>
                <w:rFonts w:asciiTheme="majorHAnsi" w:hAnsiTheme="majorHAnsi" w:cstheme="majorHAnsi"/>
                <w:sz w:val="22"/>
                <w:szCs w:val="22"/>
              </w:rPr>
            </w:pPr>
          </w:p>
        </w:tc>
      </w:tr>
    </w:tbl>
    <w:p w14:paraId="1F874BC7" w14:textId="1CDBFBE9" w:rsidR="004316C3" w:rsidRDefault="004316C3">
      <w:r>
        <w:t>By:</w:t>
      </w:r>
    </w:p>
    <w:tbl>
      <w:tblPr>
        <w:tblStyle w:val="TableGrid"/>
        <w:tblW w:w="5000" w:type="pct"/>
        <w:tblLook w:val="04A0" w:firstRow="1" w:lastRow="0" w:firstColumn="1" w:lastColumn="0" w:noHBand="0" w:noVBand="1"/>
      </w:tblPr>
      <w:tblGrid>
        <w:gridCol w:w="2976"/>
        <w:gridCol w:w="1066"/>
        <w:gridCol w:w="5812"/>
      </w:tblGrid>
      <w:tr w:rsidR="004316C3" w:rsidRPr="00936D28" w14:paraId="4590DFB2" w14:textId="77777777" w:rsidTr="000D2587">
        <w:tc>
          <w:tcPr>
            <w:tcW w:w="1510" w:type="pct"/>
          </w:tcPr>
          <w:p w14:paraId="52B5A0D9" w14:textId="77777777" w:rsidR="004316C3" w:rsidRPr="00936D28" w:rsidRDefault="004316C3" w:rsidP="000D2587">
            <w:pPr>
              <w:rPr>
                <w:rFonts w:asciiTheme="majorHAnsi" w:hAnsiTheme="majorHAnsi" w:cstheme="majorHAnsi"/>
                <w:sz w:val="22"/>
                <w:szCs w:val="22"/>
              </w:rPr>
            </w:pPr>
            <w:r w:rsidRPr="00936D28">
              <w:rPr>
                <w:rFonts w:asciiTheme="majorHAnsi" w:hAnsiTheme="majorHAnsi" w:cstheme="majorHAnsi"/>
                <w:sz w:val="22"/>
                <w:szCs w:val="22"/>
              </w:rPr>
              <w:t>Heather Dawe (chair)</w:t>
            </w:r>
          </w:p>
        </w:tc>
        <w:tc>
          <w:tcPr>
            <w:tcW w:w="541" w:type="pct"/>
          </w:tcPr>
          <w:p w14:paraId="1CE8753C" w14:textId="77777777" w:rsidR="004316C3" w:rsidRPr="00936D28" w:rsidRDefault="004316C3" w:rsidP="000D2587">
            <w:pPr>
              <w:rPr>
                <w:rFonts w:asciiTheme="majorHAnsi" w:hAnsiTheme="majorHAnsi" w:cstheme="majorHAnsi"/>
                <w:sz w:val="22"/>
                <w:szCs w:val="22"/>
              </w:rPr>
            </w:pPr>
            <w:r w:rsidRPr="00936D28">
              <w:rPr>
                <w:rFonts w:asciiTheme="majorHAnsi" w:hAnsiTheme="majorHAnsi" w:cstheme="majorHAnsi"/>
                <w:sz w:val="22"/>
                <w:szCs w:val="22"/>
              </w:rPr>
              <w:t>HSCIC</w:t>
            </w:r>
          </w:p>
        </w:tc>
        <w:tc>
          <w:tcPr>
            <w:tcW w:w="2949" w:type="pct"/>
          </w:tcPr>
          <w:p w14:paraId="1CE62E74" w14:textId="77777777" w:rsidR="004316C3" w:rsidRPr="00936D28" w:rsidRDefault="004316C3" w:rsidP="000D2587">
            <w:pPr>
              <w:rPr>
                <w:rFonts w:asciiTheme="majorHAnsi" w:hAnsiTheme="majorHAnsi" w:cstheme="majorHAnsi"/>
                <w:sz w:val="22"/>
                <w:szCs w:val="22"/>
              </w:rPr>
            </w:pPr>
            <w:r w:rsidRPr="00936D28">
              <w:rPr>
                <w:rFonts w:asciiTheme="majorHAnsi" w:hAnsiTheme="majorHAnsi" w:cstheme="majorHAnsi"/>
                <w:sz w:val="22"/>
                <w:szCs w:val="22"/>
              </w:rPr>
              <w:t>Programme Manager, Clinical Indicators</w:t>
            </w:r>
          </w:p>
        </w:tc>
      </w:tr>
      <w:tr w:rsidR="004316C3" w:rsidRPr="00936D28" w14:paraId="30989395" w14:textId="77777777" w:rsidTr="000D2587">
        <w:tc>
          <w:tcPr>
            <w:tcW w:w="1510" w:type="pct"/>
          </w:tcPr>
          <w:p w14:paraId="61E29B69" w14:textId="77777777" w:rsidR="004316C3" w:rsidRPr="00936D28" w:rsidRDefault="004316C3" w:rsidP="000D2587">
            <w:pPr>
              <w:rPr>
                <w:rFonts w:asciiTheme="majorHAnsi" w:hAnsiTheme="majorHAnsi" w:cstheme="majorHAnsi"/>
                <w:sz w:val="22"/>
                <w:szCs w:val="22"/>
              </w:rPr>
            </w:pPr>
            <w:r w:rsidRPr="00936D28">
              <w:rPr>
                <w:rFonts w:asciiTheme="majorHAnsi" w:hAnsiTheme="majorHAnsi" w:cstheme="majorHAnsi"/>
                <w:sz w:val="22"/>
                <w:szCs w:val="22"/>
              </w:rPr>
              <w:t>Chris Dew (vice-chair)</w:t>
            </w:r>
          </w:p>
        </w:tc>
        <w:tc>
          <w:tcPr>
            <w:tcW w:w="541" w:type="pct"/>
          </w:tcPr>
          <w:p w14:paraId="4D70ECA0" w14:textId="77777777" w:rsidR="004316C3" w:rsidRPr="00936D28" w:rsidRDefault="004316C3" w:rsidP="000D2587">
            <w:pPr>
              <w:rPr>
                <w:rFonts w:asciiTheme="majorHAnsi" w:hAnsiTheme="majorHAnsi" w:cstheme="majorHAnsi"/>
                <w:sz w:val="22"/>
                <w:szCs w:val="22"/>
              </w:rPr>
            </w:pPr>
            <w:r w:rsidRPr="00936D28">
              <w:rPr>
                <w:rFonts w:asciiTheme="majorHAnsi" w:hAnsiTheme="majorHAnsi" w:cstheme="majorHAnsi"/>
                <w:sz w:val="22"/>
                <w:szCs w:val="22"/>
              </w:rPr>
              <w:t>HSCIC</w:t>
            </w:r>
          </w:p>
        </w:tc>
        <w:tc>
          <w:tcPr>
            <w:tcW w:w="2949" w:type="pct"/>
          </w:tcPr>
          <w:p w14:paraId="00329C08" w14:textId="77777777" w:rsidR="004316C3" w:rsidRPr="00936D28" w:rsidRDefault="004316C3" w:rsidP="000D2587">
            <w:pPr>
              <w:rPr>
                <w:rFonts w:asciiTheme="majorHAnsi" w:hAnsiTheme="majorHAnsi" w:cstheme="majorHAnsi"/>
                <w:sz w:val="22"/>
                <w:szCs w:val="22"/>
              </w:rPr>
            </w:pPr>
            <w:r w:rsidRPr="00936D28">
              <w:rPr>
                <w:rFonts w:asciiTheme="majorHAnsi" w:hAnsiTheme="majorHAnsi" w:cstheme="majorHAnsi"/>
                <w:sz w:val="22"/>
                <w:szCs w:val="22"/>
              </w:rPr>
              <w:t>Section Head, Clinical Indicators</w:t>
            </w:r>
          </w:p>
        </w:tc>
      </w:tr>
      <w:tr w:rsidR="004316C3" w:rsidRPr="00936D28" w14:paraId="7BE61F9D" w14:textId="77777777" w:rsidTr="000D2587">
        <w:tc>
          <w:tcPr>
            <w:tcW w:w="1510" w:type="pct"/>
          </w:tcPr>
          <w:p w14:paraId="68628934" w14:textId="77777777" w:rsidR="004316C3" w:rsidRPr="00936D28" w:rsidRDefault="004316C3" w:rsidP="000D2587">
            <w:pPr>
              <w:rPr>
                <w:rFonts w:asciiTheme="majorHAnsi" w:hAnsiTheme="majorHAnsi" w:cstheme="majorHAnsi"/>
                <w:sz w:val="22"/>
                <w:szCs w:val="22"/>
              </w:rPr>
            </w:pPr>
            <w:r w:rsidRPr="00936D28">
              <w:rPr>
                <w:rFonts w:asciiTheme="majorHAnsi" w:hAnsiTheme="majorHAnsi" w:cstheme="majorHAnsi"/>
                <w:sz w:val="22"/>
                <w:szCs w:val="22"/>
              </w:rPr>
              <w:t>Paul Fryers</w:t>
            </w:r>
          </w:p>
        </w:tc>
        <w:tc>
          <w:tcPr>
            <w:tcW w:w="541" w:type="pct"/>
          </w:tcPr>
          <w:p w14:paraId="27368275" w14:textId="77777777" w:rsidR="004316C3" w:rsidRPr="00936D28" w:rsidRDefault="004316C3" w:rsidP="000D2587">
            <w:pPr>
              <w:rPr>
                <w:rFonts w:asciiTheme="majorHAnsi" w:hAnsiTheme="majorHAnsi" w:cstheme="majorHAnsi"/>
                <w:sz w:val="22"/>
                <w:szCs w:val="22"/>
              </w:rPr>
            </w:pPr>
            <w:r w:rsidRPr="00936D28">
              <w:rPr>
                <w:rFonts w:asciiTheme="majorHAnsi" w:hAnsiTheme="majorHAnsi" w:cstheme="majorHAnsi"/>
                <w:sz w:val="22"/>
                <w:szCs w:val="22"/>
              </w:rPr>
              <w:t>PHE</w:t>
            </w:r>
          </w:p>
        </w:tc>
        <w:tc>
          <w:tcPr>
            <w:tcW w:w="2949" w:type="pct"/>
          </w:tcPr>
          <w:p w14:paraId="713791ED" w14:textId="77777777" w:rsidR="004316C3" w:rsidRPr="00936D28" w:rsidRDefault="004316C3" w:rsidP="000D2587">
            <w:pPr>
              <w:rPr>
                <w:rFonts w:asciiTheme="majorHAnsi" w:hAnsiTheme="majorHAnsi" w:cstheme="majorHAnsi"/>
                <w:sz w:val="22"/>
                <w:szCs w:val="22"/>
              </w:rPr>
            </w:pPr>
            <w:r w:rsidRPr="00936D28">
              <w:rPr>
                <w:rFonts w:asciiTheme="majorHAnsi" w:hAnsiTheme="majorHAnsi" w:cstheme="majorHAnsi"/>
                <w:sz w:val="22"/>
                <w:szCs w:val="22"/>
              </w:rPr>
              <w:t>Deputy Director, East Midlands Knowledge and Intelligence Team</w:t>
            </w:r>
          </w:p>
        </w:tc>
      </w:tr>
      <w:tr w:rsidR="004316C3" w:rsidRPr="00936D28" w14:paraId="4284B892" w14:textId="77777777" w:rsidTr="000D2587">
        <w:tc>
          <w:tcPr>
            <w:tcW w:w="1510" w:type="pct"/>
          </w:tcPr>
          <w:p w14:paraId="4657C73E" w14:textId="77777777" w:rsidR="004316C3" w:rsidRPr="00936D28" w:rsidRDefault="004316C3" w:rsidP="000D2587">
            <w:pPr>
              <w:rPr>
                <w:rFonts w:asciiTheme="majorHAnsi" w:hAnsiTheme="majorHAnsi" w:cstheme="majorHAnsi"/>
                <w:sz w:val="22"/>
                <w:szCs w:val="22"/>
              </w:rPr>
            </w:pPr>
            <w:r w:rsidRPr="00936D28">
              <w:rPr>
                <w:rFonts w:asciiTheme="majorHAnsi" w:hAnsiTheme="majorHAnsi" w:cstheme="majorHAnsi"/>
                <w:sz w:val="22"/>
                <w:szCs w:val="22"/>
              </w:rPr>
              <w:t>Julie Henderson</w:t>
            </w:r>
          </w:p>
        </w:tc>
        <w:tc>
          <w:tcPr>
            <w:tcW w:w="541" w:type="pct"/>
          </w:tcPr>
          <w:p w14:paraId="30835D15" w14:textId="77777777" w:rsidR="004316C3" w:rsidRPr="00936D28" w:rsidRDefault="004316C3" w:rsidP="000D2587">
            <w:pPr>
              <w:rPr>
                <w:rFonts w:asciiTheme="majorHAnsi" w:hAnsiTheme="majorHAnsi" w:cstheme="majorHAnsi"/>
                <w:sz w:val="22"/>
                <w:szCs w:val="22"/>
              </w:rPr>
            </w:pPr>
            <w:r w:rsidRPr="00936D28">
              <w:rPr>
                <w:rFonts w:asciiTheme="majorHAnsi" w:hAnsiTheme="majorHAnsi" w:cstheme="majorHAnsi"/>
                <w:sz w:val="22"/>
                <w:szCs w:val="22"/>
              </w:rPr>
              <w:t>HSCIC</w:t>
            </w:r>
          </w:p>
        </w:tc>
        <w:tc>
          <w:tcPr>
            <w:tcW w:w="2949" w:type="pct"/>
          </w:tcPr>
          <w:p w14:paraId="3A96B403" w14:textId="77777777" w:rsidR="004316C3" w:rsidRPr="00936D28" w:rsidRDefault="004316C3" w:rsidP="000D2587">
            <w:pPr>
              <w:rPr>
                <w:rFonts w:asciiTheme="majorHAnsi" w:hAnsiTheme="majorHAnsi" w:cstheme="majorHAnsi"/>
                <w:sz w:val="22"/>
                <w:szCs w:val="22"/>
              </w:rPr>
            </w:pPr>
            <w:r w:rsidRPr="00936D28">
              <w:rPr>
                <w:rFonts w:asciiTheme="majorHAnsi" w:hAnsiTheme="majorHAnsi" w:cstheme="majorHAnsi"/>
                <w:sz w:val="22"/>
                <w:szCs w:val="22"/>
              </w:rPr>
              <w:t xml:space="preserve">Programme Head, Clinical Analysis </w:t>
            </w:r>
          </w:p>
        </w:tc>
      </w:tr>
      <w:tr w:rsidR="004316C3" w:rsidRPr="00936D28" w14:paraId="5AB13282" w14:textId="77777777" w:rsidTr="000D2587">
        <w:tc>
          <w:tcPr>
            <w:tcW w:w="1510" w:type="pct"/>
          </w:tcPr>
          <w:p w14:paraId="78A99EF0" w14:textId="77777777" w:rsidR="004316C3" w:rsidRPr="00936D28" w:rsidRDefault="004316C3" w:rsidP="000D2587">
            <w:pPr>
              <w:rPr>
                <w:rFonts w:asciiTheme="majorHAnsi" w:hAnsiTheme="majorHAnsi" w:cstheme="majorHAnsi"/>
                <w:sz w:val="22"/>
                <w:szCs w:val="22"/>
              </w:rPr>
            </w:pPr>
            <w:r w:rsidRPr="00936D28">
              <w:rPr>
                <w:rFonts w:asciiTheme="majorHAnsi" w:hAnsiTheme="majorHAnsi" w:cstheme="majorHAnsi"/>
                <w:sz w:val="22"/>
                <w:szCs w:val="22"/>
              </w:rPr>
              <w:t>Andy Sutherland</w:t>
            </w:r>
          </w:p>
        </w:tc>
        <w:tc>
          <w:tcPr>
            <w:tcW w:w="541" w:type="pct"/>
          </w:tcPr>
          <w:p w14:paraId="1E435E97" w14:textId="77777777" w:rsidR="004316C3" w:rsidRPr="00936D28" w:rsidRDefault="004316C3" w:rsidP="000D2587">
            <w:pPr>
              <w:rPr>
                <w:rFonts w:asciiTheme="majorHAnsi" w:hAnsiTheme="majorHAnsi" w:cstheme="majorHAnsi"/>
                <w:sz w:val="22"/>
                <w:szCs w:val="22"/>
              </w:rPr>
            </w:pPr>
            <w:r w:rsidRPr="00936D28">
              <w:rPr>
                <w:rFonts w:asciiTheme="majorHAnsi" w:hAnsiTheme="majorHAnsi" w:cstheme="majorHAnsi"/>
                <w:sz w:val="22"/>
                <w:szCs w:val="22"/>
              </w:rPr>
              <w:t>HSCIC</w:t>
            </w:r>
          </w:p>
        </w:tc>
        <w:tc>
          <w:tcPr>
            <w:tcW w:w="2949" w:type="pct"/>
          </w:tcPr>
          <w:p w14:paraId="19909502" w14:textId="77777777" w:rsidR="004316C3" w:rsidRPr="00936D28" w:rsidRDefault="004316C3" w:rsidP="000D2587">
            <w:pPr>
              <w:rPr>
                <w:rFonts w:asciiTheme="majorHAnsi" w:hAnsiTheme="majorHAnsi" w:cstheme="majorHAnsi"/>
                <w:sz w:val="22"/>
                <w:szCs w:val="22"/>
              </w:rPr>
            </w:pPr>
            <w:r w:rsidRPr="00936D28">
              <w:rPr>
                <w:rFonts w:asciiTheme="majorHAnsi" w:hAnsiTheme="majorHAnsi" w:cstheme="majorHAnsi"/>
                <w:sz w:val="22"/>
                <w:szCs w:val="22"/>
              </w:rPr>
              <w:t>Statistics Head of Profession</w:t>
            </w:r>
          </w:p>
        </w:tc>
      </w:tr>
      <w:tr w:rsidR="004316C3" w:rsidRPr="00936D28" w14:paraId="0AEEAC64" w14:textId="77777777" w:rsidTr="000D2587">
        <w:tc>
          <w:tcPr>
            <w:tcW w:w="1510" w:type="pct"/>
          </w:tcPr>
          <w:p w14:paraId="5AEB9BB0" w14:textId="77777777" w:rsidR="004316C3" w:rsidRPr="00936D28" w:rsidRDefault="004316C3" w:rsidP="000D2587">
            <w:pPr>
              <w:rPr>
                <w:rFonts w:asciiTheme="majorHAnsi" w:hAnsiTheme="majorHAnsi" w:cstheme="majorHAnsi"/>
                <w:sz w:val="22"/>
                <w:szCs w:val="22"/>
              </w:rPr>
            </w:pPr>
            <w:r w:rsidRPr="00936D28">
              <w:rPr>
                <w:rFonts w:asciiTheme="majorHAnsi" w:hAnsiTheme="majorHAnsi" w:cstheme="majorHAnsi"/>
                <w:sz w:val="22"/>
                <w:szCs w:val="22"/>
              </w:rPr>
              <w:t>Alyson Whitmarsh</w:t>
            </w:r>
          </w:p>
        </w:tc>
        <w:tc>
          <w:tcPr>
            <w:tcW w:w="541" w:type="pct"/>
          </w:tcPr>
          <w:p w14:paraId="1BC08F73" w14:textId="77777777" w:rsidR="004316C3" w:rsidRPr="00936D28" w:rsidRDefault="004316C3" w:rsidP="000D2587">
            <w:pPr>
              <w:rPr>
                <w:rFonts w:asciiTheme="majorHAnsi" w:hAnsiTheme="majorHAnsi" w:cstheme="majorHAnsi"/>
                <w:sz w:val="22"/>
                <w:szCs w:val="22"/>
              </w:rPr>
            </w:pPr>
            <w:r w:rsidRPr="00936D28">
              <w:rPr>
                <w:rFonts w:asciiTheme="majorHAnsi" w:hAnsiTheme="majorHAnsi" w:cstheme="majorHAnsi"/>
                <w:sz w:val="22"/>
                <w:szCs w:val="22"/>
              </w:rPr>
              <w:t>HSCIC</w:t>
            </w:r>
          </w:p>
        </w:tc>
        <w:tc>
          <w:tcPr>
            <w:tcW w:w="2949" w:type="pct"/>
          </w:tcPr>
          <w:p w14:paraId="454BE074" w14:textId="77777777" w:rsidR="004316C3" w:rsidRPr="00936D28" w:rsidRDefault="004316C3" w:rsidP="000D2587">
            <w:pPr>
              <w:rPr>
                <w:rFonts w:asciiTheme="majorHAnsi" w:hAnsiTheme="majorHAnsi" w:cstheme="majorHAnsi"/>
                <w:sz w:val="22"/>
                <w:szCs w:val="22"/>
              </w:rPr>
            </w:pPr>
            <w:r w:rsidRPr="00936D28">
              <w:rPr>
                <w:rFonts w:asciiTheme="majorHAnsi" w:hAnsiTheme="majorHAnsi" w:cstheme="majorHAnsi"/>
                <w:sz w:val="22"/>
                <w:szCs w:val="22"/>
              </w:rPr>
              <w:t>Programme Manager, Clinical Audit</w:t>
            </w:r>
          </w:p>
        </w:tc>
      </w:tr>
    </w:tbl>
    <w:p w14:paraId="6B38878B" w14:textId="72B4C5B2" w:rsidR="004316C3" w:rsidRDefault="004316C3"/>
    <w:p w14:paraId="1C113494" w14:textId="77777777" w:rsidR="004316C3" w:rsidRDefault="004316C3"/>
    <w:tbl>
      <w:tblPr>
        <w:tblStyle w:val="TableGrid"/>
        <w:tblW w:w="9923" w:type="dxa"/>
        <w:tblLook w:val="01E0" w:firstRow="1" w:lastRow="1" w:firstColumn="1" w:lastColumn="1" w:noHBand="0" w:noVBand="0"/>
      </w:tblPr>
      <w:tblGrid>
        <w:gridCol w:w="2109"/>
        <w:gridCol w:w="7814"/>
      </w:tblGrid>
      <w:tr w:rsidR="004316C3" w:rsidRPr="00936D28" w14:paraId="41557956" w14:textId="77777777" w:rsidTr="004316C3">
        <w:tc>
          <w:tcPr>
            <w:tcW w:w="2109" w:type="dxa"/>
          </w:tcPr>
          <w:p w14:paraId="3168698F" w14:textId="77CF5B3F" w:rsidR="004316C3" w:rsidRPr="00936D28" w:rsidRDefault="004316C3" w:rsidP="00460B4E">
            <w:pPr>
              <w:rPr>
                <w:rFonts w:asciiTheme="majorHAnsi" w:hAnsiTheme="majorHAnsi" w:cstheme="majorHAnsi"/>
                <w:sz w:val="22"/>
                <w:szCs w:val="22"/>
              </w:rPr>
            </w:pPr>
            <w:r w:rsidRPr="00936D28">
              <w:rPr>
                <w:rFonts w:asciiTheme="majorHAnsi" w:hAnsiTheme="majorHAnsi" w:cstheme="majorHAnsi"/>
                <w:sz w:val="22"/>
                <w:szCs w:val="22"/>
              </w:rPr>
              <w:t>Summary of MRG discussions:</w:t>
            </w:r>
          </w:p>
        </w:tc>
        <w:tc>
          <w:tcPr>
            <w:tcW w:w="7814" w:type="dxa"/>
          </w:tcPr>
          <w:p w14:paraId="42E89253" w14:textId="77777777" w:rsidR="004316C3" w:rsidRPr="00936D28" w:rsidRDefault="004316C3" w:rsidP="004316C3">
            <w:pPr>
              <w:contextualSpacing/>
              <w:rPr>
                <w:rFonts w:asciiTheme="majorHAnsi" w:hAnsiTheme="majorHAnsi" w:cstheme="majorHAnsi"/>
                <w:sz w:val="22"/>
                <w:szCs w:val="22"/>
              </w:rPr>
            </w:pPr>
            <w:r w:rsidRPr="00936D28">
              <w:rPr>
                <w:rFonts w:asciiTheme="majorHAnsi" w:hAnsiTheme="majorHAnsi" w:cstheme="majorHAnsi"/>
                <w:sz w:val="22"/>
                <w:szCs w:val="22"/>
              </w:rPr>
              <w:t>Appraisal against Criteria:</w:t>
            </w:r>
          </w:p>
          <w:p w14:paraId="6F425DCE" w14:textId="77777777" w:rsidR="004316C3" w:rsidRPr="00936D28" w:rsidRDefault="004316C3" w:rsidP="004316C3">
            <w:pPr>
              <w:contextualSpacing/>
              <w:rPr>
                <w:rFonts w:asciiTheme="majorHAnsi" w:hAnsiTheme="majorHAnsi" w:cstheme="majorHAnsi"/>
                <w:b/>
                <w:sz w:val="22"/>
                <w:szCs w:val="22"/>
              </w:rPr>
            </w:pPr>
          </w:p>
          <w:p w14:paraId="60159801" w14:textId="77777777" w:rsidR="004316C3" w:rsidRPr="00936D28" w:rsidRDefault="004316C3" w:rsidP="004316C3">
            <w:pPr>
              <w:contextualSpacing/>
              <w:rPr>
                <w:rFonts w:asciiTheme="majorHAnsi" w:hAnsiTheme="majorHAnsi" w:cstheme="majorHAnsi"/>
                <w:b/>
                <w:sz w:val="22"/>
                <w:szCs w:val="22"/>
              </w:rPr>
            </w:pPr>
            <w:r w:rsidRPr="00936D28">
              <w:rPr>
                <w:rFonts w:asciiTheme="majorHAnsi" w:hAnsiTheme="majorHAnsi" w:cstheme="majorHAnsi"/>
                <w:b/>
                <w:sz w:val="22"/>
                <w:szCs w:val="22"/>
              </w:rPr>
              <w:t>Clarity</w:t>
            </w:r>
          </w:p>
          <w:p w14:paraId="3775350E" w14:textId="77777777" w:rsidR="004316C3" w:rsidRPr="00936D28" w:rsidRDefault="004316C3" w:rsidP="004316C3">
            <w:pPr>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The indicator title has been updated to “Record of cancer stage at diagnosis’ in order to clarify that it is measuring record completeness, as opposed to the average cancer stage at diagnosis.</w:t>
            </w:r>
          </w:p>
          <w:p w14:paraId="511CACD8" w14:textId="77777777" w:rsidR="004316C3" w:rsidRPr="00936D28" w:rsidRDefault="004316C3" w:rsidP="004316C3">
            <w:pPr>
              <w:contextualSpacing/>
              <w:rPr>
                <w:rFonts w:asciiTheme="majorHAnsi" w:hAnsiTheme="majorHAnsi" w:cstheme="majorHAnsi"/>
                <w:sz w:val="22"/>
                <w:szCs w:val="22"/>
              </w:rPr>
            </w:pPr>
          </w:p>
          <w:p w14:paraId="541FC4DE" w14:textId="77777777" w:rsidR="004316C3" w:rsidRPr="00936D28" w:rsidRDefault="004316C3" w:rsidP="004316C3">
            <w:pPr>
              <w:contextualSpacing/>
              <w:rPr>
                <w:rFonts w:asciiTheme="majorHAnsi" w:hAnsiTheme="majorHAnsi" w:cstheme="majorHAnsi"/>
                <w:b/>
                <w:sz w:val="22"/>
                <w:szCs w:val="22"/>
              </w:rPr>
            </w:pPr>
            <w:r w:rsidRPr="00936D28">
              <w:rPr>
                <w:rFonts w:asciiTheme="majorHAnsi" w:hAnsiTheme="majorHAnsi" w:cstheme="majorHAnsi"/>
                <w:b/>
                <w:sz w:val="22"/>
                <w:szCs w:val="22"/>
              </w:rPr>
              <w:t>Rationale / Purpose</w:t>
            </w:r>
          </w:p>
          <w:p w14:paraId="61D05B41" w14:textId="77777777" w:rsidR="004316C3" w:rsidRPr="00936D28" w:rsidRDefault="004316C3" w:rsidP="004316C3">
            <w:pPr>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It was suggested by MRG that if old age is a common cause for staging not to be conducted, that an age cut off could be used (for instance it may be undesirable for clinicians to conduct invasive procedures in order to stage the cancer in an elderly patient with prostate cancer)</w:t>
            </w:r>
          </w:p>
          <w:p w14:paraId="1149A7F4" w14:textId="77777777" w:rsidR="004316C3" w:rsidRPr="00936D28" w:rsidRDefault="004316C3" w:rsidP="004316C3">
            <w:pPr>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In response the applicant felt this would reflect poorly on the indicator and raise concerns about elderly patients not getting the same standard of care due to their age. Furthermore, that the aim of 70% of cancer patients being staged at diagnosis takes into account this population.</w:t>
            </w:r>
          </w:p>
          <w:p w14:paraId="51530EE7" w14:textId="77777777" w:rsidR="004316C3" w:rsidRPr="00936D28" w:rsidRDefault="004316C3" w:rsidP="004316C3">
            <w:pPr>
              <w:rPr>
                <w:rFonts w:asciiTheme="majorHAnsi" w:hAnsiTheme="majorHAnsi" w:cstheme="majorHAnsi"/>
                <w:b/>
                <w:sz w:val="22"/>
                <w:szCs w:val="22"/>
              </w:rPr>
            </w:pPr>
            <w:proofErr w:type="gramStart"/>
            <w:r w:rsidRPr="00936D28">
              <w:rPr>
                <w:rFonts w:asciiTheme="majorHAnsi" w:hAnsiTheme="majorHAnsi" w:cstheme="majorHAnsi"/>
                <w:b/>
                <w:sz w:val="22"/>
                <w:szCs w:val="22"/>
              </w:rPr>
              <w:t>Data :</w:t>
            </w:r>
            <w:proofErr w:type="gramEnd"/>
          </w:p>
          <w:p w14:paraId="7A6F81B1" w14:textId="77777777" w:rsidR="004316C3" w:rsidRPr="00936D28" w:rsidRDefault="004316C3" w:rsidP="004316C3">
            <w:pPr>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No further comments were raised by MRG</w:t>
            </w:r>
          </w:p>
          <w:p w14:paraId="78711648" w14:textId="77777777" w:rsidR="004316C3" w:rsidRPr="00936D28" w:rsidRDefault="004316C3" w:rsidP="004316C3">
            <w:pPr>
              <w:contextualSpacing/>
              <w:rPr>
                <w:rFonts w:asciiTheme="majorHAnsi" w:hAnsiTheme="majorHAnsi" w:cstheme="majorHAnsi"/>
                <w:b/>
                <w:sz w:val="22"/>
                <w:szCs w:val="22"/>
              </w:rPr>
            </w:pPr>
            <w:r w:rsidRPr="00936D28">
              <w:rPr>
                <w:rFonts w:asciiTheme="majorHAnsi" w:hAnsiTheme="majorHAnsi" w:cstheme="majorHAnsi"/>
                <w:b/>
                <w:sz w:val="22"/>
                <w:szCs w:val="22"/>
              </w:rPr>
              <w:t>Construction:</w:t>
            </w:r>
          </w:p>
          <w:p w14:paraId="2570BF25" w14:textId="77777777" w:rsidR="004316C3" w:rsidRPr="00936D28" w:rsidRDefault="004316C3" w:rsidP="004316C3">
            <w:pPr>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lastRenderedPageBreak/>
              <w:t xml:space="preserve">The extent to which staging is appropriate differs with different cancers, therefore when CCGs are being compared, it was queried as to whether any standardisation would account for this. </w:t>
            </w:r>
          </w:p>
          <w:p w14:paraId="7161B300" w14:textId="77777777" w:rsidR="004316C3" w:rsidRPr="00936D28" w:rsidRDefault="004316C3" w:rsidP="004316C3">
            <w:pPr>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The applicant felt that one purpose of the indicator was to drive better staging at diagnosis, therefore it is hoped that records would be more complete as a result. However, in terms of standardisation, the applicant felt there was no way of doing this.</w:t>
            </w:r>
          </w:p>
          <w:p w14:paraId="5C7577F0" w14:textId="77777777" w:rsidR="004316C3" w:rsidRPr="00936D28" w:rsidRDefault="004316C3" w:rsidP="004316C3">
            <w:pPr>
              <w:contextualSpacing/>
              <w:rPr>
                <w:rFonts w:asciiTheme="majorHAnsi" w:hAnsiTheme="majorHAnsi" w:cstheme="majorHAnsi"/>
                <w:b/>
                <w:sz w:val="22"/>
                <w:szCs w:val="22"/>
              </w:rPr>
            </w:pPr>
            <w:r w:rsidRPr="00936D28">
              <w:rPr>
                <w:rFonts w:asciiTheme="majorHAnsi" w:hAnsiTheme="majorHAnsi" w:cstheme="majorHAnsi"/>
                <w:b/>
                <w:sz w:val="22"/>
                <w:szCs w:val="22"/>
              </w:rPr>
              <w:t>Interpretation:</w:t>
            </w:r>
          </w:p>
          <w:p w14:paraId="2187183E" w14:textId="77777777" w:rsidR="004316C3" w:rsidRPr="00936D28" w:rsidRDefault="004316C3" w:rsidP="004316C3">
            <w:pPr>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 xml:space="preserve">Although it is understood by MRG that one of the main purposes of this indicator is support the push to increase staging of cancer when possible at diagnosis, the group queried how a CCG with a low rate of staging should be compared to others which perhaps have many cases of cancer which either cannot be staged or it is deemed undesirable to do so, and thus how this fits into the purpose of CCG OIS. </w:t>
            </w:r>
          </w:p>
          <w:p w14:paraId="56B9C522" w14:textId="77777777" w:rsidR="004316C3" w:rsidRPr="00936D28" w:rsidRDefault="004316C3" w:rsidP="004316C3">
            <w:pPr>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Another concern raised is that CCGs may be able to claim a variable not taken into consideration by the indicator is the reason behind the results, for example deprivation or population age. It was felt by MRG that in the future, contextual indicators should be published with the outcomes of this indicator.</w:t>
            </w:r>
          </w:p>
          <w:p w14:paraId="2FCC958D" w14:textId="77777777" w:rsidR="004316C3" w:rsidRPr="00936D28" w:rsidRDefault="004316C3" w:rsidP="004316C3">
            <w:pPr>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In the interim the indicator quality statement associated with the indicator directs users to contextual information:</w:t>
            </w:r>
          </w:p>
          <w:p w14:paraId="569200C9" w14:textId="77777777" w:rsidR="004316C3" w:rsidRPr="00936D28" w:rsidRDefault="004316C3" w:rsidP="004316C3">
            <w:pPr>
              <w:pStyle w:val="ListParagraph"/>
              <w:numPr>
                <w:ilvl w:val="1"/>
                <w:numId w:val="12"/>
              </w:numPr>
              <w:spacing w:after="0"/>
              <w:contextualSpacing/>
              <w:textboxTightWrap w:val="none"/>
              <w:rPr>
                <w:rFonts w:asciiTheme="majorHAnsi" w:hAnsiTheme="majorHAnsi" w:cstheme="majorHAnsi"/>
                <w:i/>
                <w:sz w:val="22"/>
                <w:szCs w:val="22"/>
              </w:rPr>
            </w:pPr>
            <w:r w:rsidRPr="00936D28">
              <w:rPr>
                <w:rFonts w:asciiTheme="majorHAnsi" w:hAnsiTheme="majorHAnsi" w:cstheme="majorHAnsi"/>
                <w:i/>
                <w:sz w:val="22"/>
                <w:szCs w:val="22"/>
              </w:rPr>
              <w:t>“This indicator requires careful interpretation and should not be viewed in isolation, but instead be considered alongside information from other indicators and alternative sources.  The NCIN’s service profiles provide information on other indicators and are available from https://www.cancertoolkit.co.uk/.  When evaluated together, these will help to provide a holistic view of CCG outcomes and provide a more complete overview of the impact of the CCGs’ processes on outcomes.”</w:t>
            </w:r>
          </w:p>
          <w:p w14:paraId="3A35128F" w14:textId="77777777" w:rsidR="004316C3" w:rsidRPr="00936D28" w:rsidRDefault="004316C3" w:rsidP="004316C3">
            <w:pPr>
              <w:ind w:left="720"/>
              <w:rPr>
                <w:rFonts w:asciiTheme="majorHAnsi" w:hAnsiTheme="majorHAnsi" w:cstheme="majorHAnsi"/>
                <w:i/>
                <w:sz w:val="22"/>
                <w:szCs w:val="22"/>
              </w:rPr>
            </w:pPr>
          </w:p>
          <w:p w14:paraId="2115D53D" w14:textId="77777777" w:rsidR="004316C3" w:rsidRPr="00936D28" w:rsidRDefault="004316C3" w:rsidP="004316C3">
            <w:pPr>
              <w:contextualSpacing/>
              <w:rPr>
                <w:rFonts w:asciiTheme="majorHAnsi" w:hAnsiTheme="majorHAnsi" w:cstheme="majorHAnsi"/>
                <w:b/>
                <w:sz w:val="22"/>
                <w:szCs w:val="22"/>
              </w:rPr>
            </w:pPr>
            <w:r w:rsidRPr="00936D28">
              <w:rPr>
                <w:rFonts w:asciiTheme="majorHAnsi" w:hAnsiTheme="majorHAnsi" w:cstheme="majorHAnsi"/>
                <w:b/>
                <w:sz w:val="22"/>
                <w:szCs w:val="22"/>
              </w:rPr>
              <w:t xml:space="preserve">Risks and Usefulness: </w:t>
            </w:r>
          </w:p>
          <w:p w14:paraId="5DA23E1B" w14:textId="77777777" w:rsidR="004316C3" w:rsidRPr="00936D28" w:rsidRDefault="004316C3" w:rsidP="004316C3">
            <w:pPr>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No further comments were raised by MRG</w:t>
            </w:r>
          </w:p>
          <w:p w14:paraId="0DA6569D" w14:textId="77777777" w:rsidR="004316C3" w:rsidRPr="00936D28" w:rsidRDefault="004316C3" w:rsidP="00460B4E">
            <w:pPr>
              <w:contextualSpacing/>
              <w:rPr>
                <w:rFonts w:asciiTheme="majorHAnsi" w:hAnsiTheme="majorHAnsi" w:cstheme="majorHAnsi"/>
                <w:sz w:val="22"/>
                <w:szCs w:val="22"/>
              </w:rPr>
            </w:pPr>
          </w:p>
        </w:tc>
      </w:tr>
    </w:tbl>
    <w:p w14:paraId="49069317" w14:textId="77777777" w:rsidR="004316C3" w:rsidRDefault="004316C3"/>
    <w:tbl>
      <w:tblPr>
        <w:tblStyle w:val="TableGrid"/>
        <w:tblW w:w="9923" w:type="dxa"/>
        <w:tblLook w:val="01E0" w:firstRow="1" w:lastRow="1" w:firstColumn="1" w:lastColumn="1" w:noHBand="0" w:noVBand="0"/>
      </w:tblPr>
      <w:tblGrid>
        <w:gridCol w:w="2109"/>
        <w:gridCol w:w="6523"/>
        <w:gridCol w:w="710"/>
        <w:gridCol w:w="581"/>
      </w:tblGrid>
      <w:tr w:rsidR="004316C3" w:rsidRPr="00936D28" w14:paraId="7FFD29F6" w14:textId="77777777" w:rsidTr="004316C3">
        <w:trPr>
          <w:trHeight w:val="228"/>
        </w:trPr>
        <w:tc>
          <w:tcPr>
            <w:tcW w:w="2109" w:type="dxa"/>
          </w:tcPr>
          <w:p w14:paraId="0A0207A1" w14:textId="674C9D9D"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i/>
                <w:sz w:val="22"/>
                <w:szCs w:val="22"/>
              </w:rPr>
              <w:t>Outcome of MRG consideration:</w:t>
            </w:r>
          </w:p>
        </w:tc>
        <w:tc>
          <w:tcPr>
            <w:tcW w:w="6523" w:type="dxa"/>
          </w:tcPr>
          <w:p w14:paraId="0AEB5D52" w14:textId="53DF8B8C" w:rsidR="004316C3" w:rsidRPr="00936D28" w:rsidRDefault="004316C3" w:rsidP="004316C3">
            <w:pPr>
              <w:pStyle w:val="ListParagraph"/>
              <w:numPr>
                <w:ilvl w:val="0"/>
                <w:numId w:val="17"/>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No significant issues identified</w:t>
            </w:r>
          </w:p>
        </w:tc>
        <w:sdt>
          <w:sdtPr>
            <w:rPr>
              <w:rFonts w:asciiTheme="majorHAnsi" w:hAnsiTheme="majorHAnsi" w:cstheme="majorHAnsi"/>
              <w:sz w:val="22"/>
              <w:szCs w:val="22"/>
            </w:rPr>
            <w:id w:val="-895659585"/>
            <w14:checkbox>
              <w14:checked w14:val="0"/>
              <w14:checkedState w14:val="2612" w14:font="MS Gothic"/>
              <w14:uncheckedState w14:val="2610" w14:font="MS Gothic"/>
            </w14:checkbox>
          </w:sdtPr>
          <w:sdtContent>
            <w:tc>
              <w:tcPr>
                <w:tcW w:w="710" w:type="dxa"/>
              </w:tcPr>
              <w:p w14:paraId="0267BE40" w14:textId="41F95067" w:rsidR="004316C3" w:rsidRDefault="004316C3" w:rsidP="004316C3">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81" w:type="dxa"/>
          </w:tcPr>
          <w:p w14:paraId="60FA5E36" w14:textId="77777777" w:rsidR="004316C3" w:rsidRPr="00936D28" w:rsidRDefault="004316C3" w:rsidP="004316C3">
            <w:pPr>
              <w:rPr>
                <w:rFonts w:asciiTheme="majorHAnsi" w:hAnsiTheme="majorHAnsi" w:cstheme="majorHAnsi"/>
                <w:b/>
                <w:sz w:val="22"/>
                <w:szCs w:val="22"/>
              </w:rPr>
            </w:pPr>
          </w:p>
        </w:tc>
      </w:tr>
      <w:tr w:rsidR="004316C3" w:rsidRPr="00936D28" w14:paraId="69E11E3D" w14:textId="77777777" w:rsidTr="004316C3">
        <w:trPr>
          <w:trHeight w:val="228"/>
        </w:trPr>
        <w:tc>
          <w:tcPr>
            <w:tcW w:w="2109" w:type="dxa"/>
          </w:tcPr>
          <w:p w14:paraId="2BF76C7F" w14:textId="77777777" w:rsidR="004316C3" w:rsidRPr="00936D28" w:rsidRDefault="004316C3" w:rsidP="004316C3">
            <w:pPr>
              <w:rPr>
                <w:rFonts w:asciiTheme="majorHAnsi" w:hAnsiTheme="majorHAnsi" w:cstheme="majorHAnsi"/>
                <w:sz w:val="22"/>
                <w:szCs w:val="22"/>
              </w:rPr>
            </w:pPr>
          </w:p>
        </w:tc>
        <w:tc>
          <w:tcPr>
            <w:tcW w:w="6523" w:type="dxa"/>
          </w:tcPr>
          <w:p w14:paraId="4E0A0519" w14:textId="148E5164" w:rsidR="004316C3" w:rsidRPr="00936D28" w:rsidRDefault="004316C3" w:rsidP="004316C3">
            <w:pPr>
              <w:pStyle w:val="ListParagraph"/>
              <w:numPr>
                <w:ilvl w:val="0"/>
                <w:numId w:val="17"/>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No significant issues on basis of completion of outstanding actions</w:t>
            </w:r>
          </w:p>
        </w:tc>
        <w:sdt>
          <w:sdtPr>
            <w:rPr>
              <w:rFonts w:asciiTheme="majorHAnsi" w:hAnsiTheme="majorHAnsi" w:cstheme="majorHAnsi"/>
              <w:sz w:val="22"/>
              <w:szCs w:val="22"/>
            </w:rPr>
            <w:id w:val="1675602551"/>
            <w14:checkbox>
              <w14:checked w14:val="0"/>
              <w14:checkedState w14:val="2612" w14:font="MS Gothic"/>
              <w14:uncheckedState w14:val="2610" w14:font="MS Gothic"/>
            </w14:checkbox>
          </w:sdtPr>
          <w:sdtContent>
            <w:tc>
              <w:tcPr>
                <w:tcW w:w="710" w:type="dxa"/>
              </w:tcPr>
              <w:p w14:paraId="71727C6D" w14:textId="32D5383B" w:rsidR="004316C3" w:rsidRDefault="004316C3" w:rsidP="004316C3">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81" w:type="dxa"/>
          </w:tcPr>
          <w:p w14:paraId="501C5476" w14:textId="77777777" w:rsidR="004316C3" w:rsidRPr="00936D28" w:rsidRDefault="004316C3" w:rsidP="004316C3">
            <w:pPr>
              <w:rPr>
                <w:rFonts w:asciiTheme="majorHAnsi" w:hAnsiTheme="majorHAnsi" w:cstheme="majorHAnsi"/>
                <w:b/>
                <w:sz w:val="22"/>
                <w:szCs w:val="22"/>
              </w:rPr>
            </w:pPr>
          </w:p>
        </w:tc>
      </w:tr>
      <w:tr w:rsidR="004316C3" w:rsidRPr="00936D28" w14:paraId="6B77EB6F" w14:textId="77777777" w:rsidTr="004316C3">
        <w:trPr>
          <w:trHeight w:val="228"/>
        </w:trPr>
        <w:tc>
          <w:tcPr>
            <w:tcW w:w="2109" w:type="dxa"/>
          </w:tcPr>
          <w:p w14:paraId="5BD21670" w14:textId="77777777" w:rsidR="004316C3" w:rsidRPr="00936D28" w:rsidRDefault="004316C3" w:rsidP="004316C3">
            <w:pPr>
              <w:rPr>
                <w:rFonts w:asciiTheme="majorHAnsi" w:hAnsiTheme="majorHAnsi" w:cstheme="majorHAnsi"/>
                <w:sz w:val="22"/>
                <w:szCs w:val="22"/>
              </w:rPr>
            </w:pPr>
          </w:p>
        </w:tc>
        <w:tc>
          <w:tcPr>
            <w:tcW w:w="6523" w:type="dxa"/>
          </w:tcPr>
          <w:p w14:paraId="25B3B429" w14:textId="38DAED2D" w:rsidR="004316C3" w:rsidRPr="00936D28" w:rsidRDefault="004316C3" w:rsidP="004316C3">
            <w:pPr>
              <w:pStyle w:val="ListParagraph"/>
              <w:numPr>
                <w:ilvl w:val="0"/>
                <w:numId w:val="17"/>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Some concerns expressed as caveats or limitations</w:t>
            </w:r>
          </w:p>
        </w:tc>
        <w:sdt>
          <w:sdtPr>
            <w:rPr>
              <w:rFonts w:asciiTheme="majorHAnsi" w:hAnsiTheme="majorHAnsi" w:cstheme="majorHAnsi"/>
              <w:sz w:val="22"/>
              <w:szCs w:val="22"/>
            </w:rPr>
            <w:id w:val="-178199373"/>
            <w14:checkbox>
              <w14:checked w14:val="1"/>
              <w14:checkedState w14:val="2612" w14:font="MS Gothic"/>
              <w14:uncheckedState w14:val="2610" w14:font="MS Gothic"/>
            </w14:checkbox>
          </w:sdtPr>
          <w:sdtContent>
            <w:tc>
              <w:tcPr>
                <w:tcW w:w="710" w:type="dxa"/>
              </w:tcPr>
              <w:p w14:paraId="7A134AD4" w14:textId="41C9A499" w:rsidR="004316C3" w:rsidRDefault="004316C3" w:rsidP="004316C3">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81" w:type="dxa"/>
          </w:tcPr>
          <w:p w14:paraId="512AA139" w14:textId="77777777" w:rsidR="004316C3" w:rsidRPr="00936D28" w:rsidRDefault="004316C3" w:rsidP="004316C3">
            <w:pPr>
              <w:rPr>
                <w:rFonts w:asciiTheme="majorHAnsi" w:hAnsiTheme="majorHAnsi" w:cstheme="majorHAnsi"/>
                <w:b/>
                <w:sz w:val="22"/>
                <w:szCs w:val="22"/>
              </w:rPr>
            </w:pPr>
          </w:p>
        </w:tc>
      </w:tr>
      <w:tr w:rsidR="004316C3" w:rsidRPr="00936D28" w14:paraId="6D6C6EFE" w14:textId="77777777" w:rsidTr="004316C3">
        <w:trPr>
          <w:trHeight w:val="228"/>
        </w:trPr>
        <w:tc>
          <w:tcPr>
            <w:tcW w:w="2109" w:type="dxa"/>
          </w:tcPr>
          <w:p w14:paraId="07BC1D90" w14:textId="77777777" w:rsidR="004316C3" w:rsidRPr="00936D28" w:rsidRDefault="004316C3" w:rsidP="004316C3">
            <w:pPr>
              <w:rPr>
                <w:rFonts w:asciiTheme="majorHAnsi" w:hAnsiTheme="majorHAnsi" w:cstheme="majorHAnsi"/>
                <w:sz w:val="22"/>
                <w:szCs w:val="22"/>
              </w:rPr>
            </w:pPr>
          </w:p>
        </w:tc>
        <w:tc>
          <w:tcPr>
            <w:tcW w:w="6523" w:type="dxa"/>
          </w:tcPr>
          <w:p w14:paraId="56C6E252" w14:textId="6FBC65D5" w:rsidR="004316C3" w:rsidRPr="00936D28" w:rsidRDefault="004316C3" w:rsidP="004316C3">
            <w:pPr>
              <w:pStyle w:val="ListParagraph"/>
              <w:numPr>
                <w:ilvl w:val="0"/>
                <w:numId w:val="17"/>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Significant reservations</w:t>
            </w:r>
          </w:p>
        </w:tc>
        <w:sdt>
          <w:sdtPr>
            <w:rPr>
              <w:rFonts w:asciiTheme="majorHAnsi" w:hAnsiTheme="majorHAnsi" w:cstheme="majorHAnsi"/>
              <w:sz w:val="22"/>
              <w:szCs w:val="22"/>
            </w:rPr>
            <w:id w:val="178164605"/>
            <w14:checkbox>
              <w14:checked w14:val="0"/>
              <w14:checkedState w14:val="2612" w14:font="MS Gothic"/>
              <w14:uncheckedState w14:val="2610" w14:font="MS Gothic"/>
            </w14:checkbox>
          </w:sdtPr>
          <w:sdtContent>
            <w:tc>
              <w:tcPr>
                <w:tcW w:w="710" w:type="dxa"/>
              </w:tcPr>
              <w:p w14:paraId="26E548CB" w14:textId="299B9DEE" w:rsidR="004316C3" w:rsidRDefault="004316C3" w:rsidP="004316C3">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81" w:type="dxa"/>
          </w:tcPr>
          <w:p w14:paraId="452667E4" w14:textId="77777777" w:rsidR="004316C3" w:rsidRPr="00936D28" w:rsidRDefault="004316C3" w:rsidP="004316C3">
            <w:pPr>
              <w:rPr>
                <w:rFonts w:asciiTheme="majorHAnsi" w:hAnsiTheme="majorHAnsi" w:cstheme="majorHAnsi"/>
                <w:b/>
                <w:sz w:val="22"/>
                <w:szCs w:val="22"/>
              </w:rPr>
            </w:pPr>
          </w:p>
        </w:tc>
      </w:tr>
      <w:tr w:rsidR="004316C3" w:rsidRPr="00936D28" w14:paraId="21647FD8" w14:textId="77777777" w:rsidTr="004316C3">
        <w:trPr>
          <w:trHeight w:val="228"/>
        </w:trPr>
        <w:tc>
          <w:tcPr>
            <w:tcW w:w="2109" w:type="dxa"/>
          </w:tcPr>
          <w:p w14:paraId="03F54A41" w14:textId="77777777" w:rsidR="004316C3" w:rsidRPr="00936D28" w:rsidRDefault="004316C3" w:rsidP="004316C3">
            <w:pPr>
              <w:rPr>
                <w:rFonts w:asciiTheme="majorHAnsi" w:hAnsiTheme="majorHAnsi" w:cstheme="majorHAnsi"/>
                <w:sz w:val="22"/>
                <w:szCs w:val="22"/>
              </w:rPr>
            </w:pPr>
          </w:p>
        </w:tc>
        <w:tc>
          <w:tcPr>
            <w:tcW w:w="6523" w:type="dxa"/>
          </w:tcPr>
          <w:p w14:paraId="742E4620" w14:textId="52068F8C" w:rsidR="004316C3" w:rsidRPr="00936D28" w:rsidRDefault="004316C3" w:rsidP="004316C3">
            <w:pPr>
              <w:pStyle w:val="ListParagraph"/>
              <w:numPr>
                <w:ilvl w:val="0"/>
                <w:numId w:val="17"/>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Unresolved issues</w:t>
            </w:r>
          </w:p>
        </w:tc>
        <w:sdt>
          <w:sdtPr>
            <w:rPr>
              <w:rFonts w:asciiTheme="majorHAnsi" w:hAnsiTheme="majorHAnsi" w:cstheme="majorHAnsi"/>
              <w:sz w:val="22"/>
              <w:szCs w:val="22"/>
            </w:rPr>
            <w:id w:val="-1920940552"/>
            <w14:checkbox>
              <w14:checked w14:val="0"/>
              <w14:checkedState w14:val="2612" w14:font="MS Gothic"/>
              <w14:uncheckedState w14:val="2610" w14:font="MS Gothic"/>
            </w14:checkbox>
          </w:sdtPr>
          <w:sdtContent>
            <w:tc>
              <w:tcPr>
                <w:tcW w:w="710" w:type="dxa"/>
              </w:tcPr>
              <w:p w14:paraId="2E452167" w14:textId="60BDD0C3" w:rsidR="004316C3" w:rsidRDefault="004316C3" w:rsidP="004316C3">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81" w:type="dxa"/>
          </w:tcPr>
          <w:p w14:paraId="2D1F35ED" w14:textId="77777777" w:rsidR="004316C3" w:rsidRPr="00936D28" w:rsidRDefault="004316C3" w:rsidP="004316C3">
            <w:pPr>
              <w:rPr>
                <w:rFonts w:asciiTheme="majorHAnsi" w:hAnsiTheme="majorHAnsi" w:cstheme="majorHAnsi"/>
                <w:b/>
                <w:sz w:val="22"/>
                <w:szCs w:val="22"/>
              </w:rPr>
            </w:pPr>
          </w:p>
        </w:tc>
      </w:tr>
    </w:tbl>
    <w:p w14:paraId="34356D72" w14:textId="77777777" w:rsidR="004316C3" w:rsidRDefault="004316C3"/>
    <w:tbl>
      <w:tblPr>
        <w:tblStyle w:val="TableGrid"/>
        <w:tblW w:w="9923" w:type="dxa"/>
        <w:tblLook w:val="01E0" w:firstRow="1" w:lastRow="1" w:firstColumn="1" w:lastColumn="1" w:noHBand="0" w:noVBand="0"/>
      </w:tblPr>
      <w:tblGrid>
        <w:gridCol w:w="2109"/>
        <w:gridCol w:w="7814"/>
      </w:tblGrid>
      <w:tr w:rsidR="004316C3" w:rsidRPr="00936D28" w14:paraId="3B8AB9C0" w14:textId="77777777" w:rsidTr="004316C3">
        <w:trPr>
          <w:trHeight w:val="805"/>
        </w:trPr>
        <w:tc>
          <w:tcPr>
            <w:tcW w:w="2109" w:type="dxa"/>
          </w:tcPr>
          <w:p w14:paraId="2AF96056" w14:textId="76C4E23B"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MRG statement of recommendation:</w:t>
            </w:r>
          </w:p>
        </w:tc>
        <w:tc>
          <w:tcPr>
            <w:tcW w:w="7814" w:type="dxa"/>
          </w:tcPr>
          <w:p w14:paraId="7A27F0BC"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 xml:space="preserve">This indicator was recommended for discussion by IGB on the basis that the indicator quality statement reflects that the indicator should not be used in </w:t>
            </w:r>
            <w:r w:rsidRPr="00936D28">
              <w:rPr>
                <w:rFonts w:asciiTheme="majorHAnsi" w:hAnsiTheme="majorHAnsi" w:cstheme="majorHAnsi"/>
                <w:sz w:val="22"/>
                <w:szCs w:val="22"/>
              </w:rPr>
              <w:lastRenderedPageBreak/>
              <w:t>isolation, and that as part of the future development of this indicator, contextual indicators should be produced  e.g. around deprivation, age etc.</w:t>
            </w:r>
          </w:p>
          <w:p w14:paraId="3BF18511" w14:textId="77777777" w:rsidR="004316C3" w:rsidRPr="00936D28" w:rsidRDefault="004316C3" w:rsidP="004316C3">
            <w:pPr>
              <w:rPr>
                <w:rFonts w:asciiTheme="majorHAnsi" w:hAnsiTheme="majorHAnsi" w:cstheme="majorHAnsi"/>
                <w:sz w:val="22"/>
                <w:szCs w:val="22"/>
              </w:rPr>
            </w:pPr>
          </w:p>
        </w:tc>
      </w:tr>
    </w:tbl>
    <w:p w14:paraId="0CAD9966" w14:textId="77777777" w:rsidR="00460B4E" w:rsidRPr="00936D28" w:rsidRDefault="00460B4E" w:rsidP="00460B4E">
      <w:pPr>
        <w:ind w:left="-851"/>
        <w:rPr>
          <w:rFonts w:asciiTheme="majorHAnsi" w:hAnsiTheme="majorHAnsi" w:cstheme="majorHAnsi"/>
          <w:sz w:val="22"/>
          <w:szCs w:val="22"/>
        </w:rPr>
      </w:pPr>
    </w:p>
    <w:p w14:paraId="7AE2A3BC" w14:textId="77777777" w:rsidR="00460B4E" w:rsidRPr="00936D28" w:rsidRDefault="00460B4E" w:rsidP="00460B4E">
      <w:pPr>
        <w:ind w:left="-851"/>
        <w:rPr>
          <w:rFonts w:asciiTheme="majorHAnsi" w:hAnsiTheme="majorHAnsi" w:cstheme="majorHAnsi"/>
          <w:sz w:val="22"/>
          <w:szCs w:val="22"/>
        </w:rPr>
      </w:pPr>
      <w:r w:rsidRPr="00936D28">
        <w:rPr>
          <w:rFonts w:asciiTheme="majorHAnsi" w:hAnsiTheme="majorHAnsi" w:cstheme="majorHAnsi"/>
          <w:sz w:val="22"/>
          <w:szCs w:val="22"/>
        </w:rPr>
        <w:t>Review:</w:t>
      </w:r>
    </w:p>
    <w:p w14:paraId="63B060A6" w14:textId="1E70F2D3" w:rsidR="00460B4E" w:rsidRPr="00936D28" w:rsidRDefault="004316C3" w:rsidP="00460B4E">
      <w:pPr>
        <w:ind w:left="-851"/>
        <w:rPr>
          <w:rFonts w:asciiTheme="majorHAnsi" w:hAnsiTheme="majorHAnsi" w:cstheme="majorHAnsi"/>
          <w:sz w:val="22"/>
          <w:szCs w:val="22"/>
        </w:rPr>
      </w:pPr>
      <w:r w:rsidRPr="00936D28">
        <w:rPr>
          <w:rFonts w:asciiTheme="majorHAnsi" w:hAnsiTheme="majorHAnsi" w:cstheme="majorHAnsi"/>
          <w:b/>
          <w:sz w:val="22"/>
          <w:szCs w:val="22"/>
        </w:rPr>
        <w:t>Review</w:t>
      </w:r>
    </w:p>
    <w:tbl>
      <w:tblPr>
        <w:tblStyle w:val="TableGrid"/>
        <w:tblW w:w="2127" w:type="dxa"/>
        <w:tblLayout w:type="fixed"/>
        <w:tblLook w:val="01E0" w:firstRow="1" w:lastRow="1" w:firstColumn="1" w:lastColumn="1" w:noHBand="0" w:noVBand="0"/>
      </w:tblPr>
      <w:tblGrid>
        <w:gridCol w:w="1418"/>
        <w:gridCol w:w="709"/>
      </w:tblGrid>
      <w:tr w:rsidR="004316C3" w:rsidRPr="00936D28" w14:paraId="188D6928" w14:textId="77777777" w:rsidTr="004316C3">
        <w:trPr>
          <w:trHeight w:val="285"/>
        </w:trPr>
        <w:tc>
          <w:tcPr>
            <w:tcW w:w="1418" w:type="dxa"/>
          </w:tcPr>
          <w:p w14:paraId="47F1361A" w14:textId="105F09BF" w:rsidR="004316C3" w:rsidRPr="00936D28" w:rsidRDefault="004316C3" w:rsidP="00460B4E">
            <w:pPr>
              <w:rPr>
                <w:rFonts w:asciiTheme="majorHAnsi" w:hAnsiTheme="majorHAnsi" w:cstheme="majorHAnsi"/>
                <w:b/>
                <w:sz w:val="22"/>
                <w:szCs w:val="22"/>
              </w:rPr>
            </w:pPr>
            <w:r w:rsidRPr="00936D28">
              <w:rPr>
                <w:rFonts w:asciiTheme="majorHAnsi" w:hAnsiTheme="majorHAnsi" w:cstheme="majorHAnsi"/>
                <w:sz w:val="22"/>
                <w:szCs w:val="22"/>
              </w:rPr>
              <w:t>Review Timescale</w:t>
            </w:r>
          </w:p>
        </w:tc>
        <w:tc>
          <w:tcPr>
            <w:tcW w:w="709" w:type="dxa"/>
          </w:tcPr>
          <w:p w14:paraId="0BB56E72" w14:textId="77777777" w:rsidR="004316C3" w:rsidRDefault="004316C3" w:rsidP="00460B4E">
            <w:pPr>
              <w:jc w:val="center"/>
              <w:rPr>
                <w:rFonts w:asciiTheme="majorHAnsi" w:hAnsiTheme="majorHAnsi" w:cstheme="majorHAnsi"/>
                <w:sz w:val="22"/>
                <w:szCs w:val="22"/>
              </w:rPr>
            </w:pPr>
          </w:p>
        </w:tc>
      </w:tr>
      <w:tr w:rsidR="004316C3" w:rsidRPr="00936D28" w14:paraId="716EE19A" w14:textId="77777777" w:rsidTr="004316C3">
        <w:trPr>
          <w:trHeight w:val="285"/>
        </w:trPr>
        <w:tc>
          <w:tcPr>
            <w:tcW w:w="1418" w:type="dxa"/>
          </w:tcPr>
          <w:p w14:paraId="2BE09403" w14:textId="77777777" w:rsidR="004316C3" w:rsidRPr="00936D28" w:rsidRDefault="004316C3" w:rsidP="00460B4E">
            <w:pPr>
              <w:rPr>
                <w:rFonts w:asciiTheme="majorHAnsi" w:hAnsiTheme="majorHAnsi" w:cstheme="majorHAnsi"/>
                <w:sz w:val="22"/>
                <w:szCs w:val="22"/>
              </w:rPr>
            </w:pPr>
            <w:r w:rsidRPr="00936D28">
              <w:rPr>
                <w:rFonts w:asciiTheme="majorHAnsi" w:hAnsiTheme="majorHAnsi" w:cstheme="majorHAnsi"/>
                <w:b/>
                <w:sz w:val="22"/>
                <w:szCs w:val="22"/>
              </w:rPr>
              <w:t>1 year</w:t>
            </w:r>
          </w:p>
        </w:tc>
        <w:sdt>
          <w:sdtPr>
            <w:rPr>
              <w:rFonts w:asciiTheme="majorHAnsi" w:hAnsiTheme="majorHAnsi" w:cstheme="majorHAnsi"/>
              <w:sz w:val="22"/>
              <w:szCs w:val="22"/>
            </w:rPr>
            <w:id w:val="730580381"/>
            <w14:checkbox>
              <w14:checked w14:val="0"/>
              <w14:checkedState w14:val="2612" w14:font="MS Gothic"/>
              <w14:uncheckedState w14:val="2610" w14:font="MS Gothic"/>
            </w14:checkbox>
          </w:sdtPr>
          <w:sdtContent>
            <w:tc>
              <w:tcPr>
                <w:tcW w:w="709" w:type="dxa"/>
              </w:tcPr>
              <w:p w14:paraId="619AF85A" w14:textId="77777777" w:rsidR="004316C3" w:rsidRPr="00936D28" w:rsidRDefault="004316C3" w:rsidP="00460B4E">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r>
      <w:tr w:rsidR="004316C3" w:rsidRPr="00936D28" w14:paraId="72C8DCD3" w14:textId="77777777" w:rsidTr="004316C3">
        <w:trPr>
          <w:trHeight w:val="285"/>
        </w:trPr>
        <w:tc>
          <w:tcPr>
            <w:tcW w:w="1418" w:type="dxa"/>
          </w:tcPr>
          <w:p w14:paraId="45D1BDBE" w14:textId="77777777" w:rsidR="004316C3" w:rsidRPr="00936D28" w:rsidRDefault="004316C3" w:rsidP="00460B4E">
            <w:pPr>
              <w:rPr>
                <w:rFonts w:asciiTheme="majorHAnsi" w:hAnsiTheme="majorHAnsi" w:cstheme="majorHAnsi"/>
                <w:sz w:val="22"/>
                <w:szCs w:val="22"/>
              </w:rPr>
            </w:pPr>
            <w:r w:rsidRPr="00936D28">
              <w:rPr>
                <w:rFonts w:asciiTheme="majorHAnsi" w:hAnsiTheme="majorHAnsi" w:cstheme="majorHAnsi"/>
                <w:b/>
                <w:sz w:val="22"/>
                <w:szCs w:val="22"/>
              </w:rPr>
              <w:t>3 years</w:t>
            </w:r>
          </w:p>
        </w:tc>
        <w:sdt>
          <w:sdtPr>
            <w:rPr>
              <w:rFonts w:asciiTheme="majorHAnsi" w:hAnsiTheme="majorHAnsi" w:cstheme="majorHAnsi"/>
              <w:sz w:val="22"/>
              <w:szCs w:val="22"/>
            </w:rPr>
            <w:id w:val="-1928422007"/>
            <w14:checkbox>
              <w14:checked w14:val="1"/>
              <w14:checkedState w14:val="2612" w14:font="MS Gothic"/>
              <w14:uncheckedState w14:val="2610" w14:font="MS Gothic"/>
            </w14:checkbox>
          </w:sdtPr>
          <w:sdtContent>
            <w:tc>
              <w:tcPr>
                <w:tcW w:w="709" w:type="dxa"/>
              </w:tcPr>
              <w:p w14:paraId="1A68F1F9" w14:textId="77777777" w:rsidR="004316C3" w:rsidRPr="00936D28" w:rsidRDefault="004316C3" w:rsidP="00460B4E">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r>
      <w:tr w:rsidR="004316C3" w:rsidRPr="00936D28" w14:paraId="0BD51C71" w14:textId="77777777" w:rsidTr="004316C3">
        <w:trPr>
          <w:trHeight w:val="285"/>
        </w:trPr>
        <w:tc>
          <w:tcPr>
            <w:tcW w:w="1418" w:type="dxa"/>
          </w:tcPr>
          <w:p w14:paraId="1ECC7427" w14:textId="77777777" w:rsidR="004316C3" w:rsidRPr="00936D28" w:rsidRDefault="004316C3" w:rsidP="00460B4E">
            <w:pPr>
              <w:rPr>
                <w:rFonts w:asciiTheme="majorHAnsi" w:hAnsiTheme="majorHAnsi" w:cstheme="majorHAnsi"/>
                <w:sz w:val="22"/>
                <w:szCs w:val="22"/>
              </w:rPr>
            </w:pPr>
            <w:r w:rsidRPr="00936D28">
              <w:rPr>
                <w:rFonts w:asciiTheme="majorHAnsi" w:hAnsiTheme="majorHAnsi" w:cstheme="majorHAnsi"/>
                <w:b/>
                <w:sz w:val="22"/>
                <w:szCs w:val="22"/>
              </w:rPr>
              <w:t>Other:</w:t>
            </w:r>
          </w:p>
        </w:tc>
        <w:sdt>
          <w:sdtPr>
            <w:rPr>
              <w:rFonts w:asciiTheme="majorHAnsi" w:hAnsiTheme="majorHAnsi" w:cstheme="majorHAnsi"/>
              <w:sz w:val="22"/>
              <w:szCs w:val="22"/>
            </w:rPr>
            <w:id w:val="-373698196"/>
            <w14:checkbox>
              <w14:checked w14:val="0"/>
              <w14:checkedState w14:val="2612" w14:font="MS Gothic"/>
              <w14:uncheckedState w14:val="2610" w14:font="MS Gothic"/>
            </w14:checkbox>
          </w:sdtPr>
          <w:sdtContent>
            <w:tc>
              <w:tcPr>
                <w:tcW w:w="709" w:type="dxa"/>
              </w:tcPr>
              <w:p w14:paraId="2490CC6B" w14:textId="77777777" w:rsidR="004316C3" w:rsidRPr="00936D28" w:rsidRDefault="004316C3" w:rsidP="00460B4E">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r>
    </w:tbl>
    <w:p w14:paraId="355A0633"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 xml:space="preserve">Rationale      </w:t>
      </w:r>
      <w:proofErr w:type="gramStart"/>
      <w:r w:rsidRPr="00936D28">
        <w:rPr>
          <w:rFonts w:asciiTheme="majorHAnsi" w:hAnsiTheme="majorHAnsi" w:cstheme="majorHAnsi"/>
          <w:sz w:val="22"/>
          <w:szCs w:val="22"/>
        </w:rPr>
        <w:t xml:space="preserve">   [</w:t>
      </w:r>
      <w:proofErr w:type="gramEnd"/>
      <w:r w:rsidRPr="00936D28">
        <w:rPr>
          <w:rFonts w:asciiTheme="majorHAnsi" w:hAnsiTheme="majorHAnsi" w:cstheme="majorHAnsi"/>
          <w:sz w:val="22"/>
          <w:szCs w:val="22"/>
        </w:rPr>
        <w:t>Issues to consider  – Changes to process, policy data source, coding definitions HES definitions ]</w:t>
      </w:r>
    </w:p>
    <w:p w14:paraId="59ACA519" w14:textId="77777777" w:rsidR="004316C3" w:rsidRPr="00936D28" w:rsidRDefault="004316C3" w:rsidP="004316C3">
      <w:pPr>
        <w:rPr>
          <w:rFonts w:asciiTheme="majorHAnsi" w:hAnsiTheme="majorHAnsi" w:cstheme="majorHAnsi"/>
          <w:sz w:val="22"/>
          <w:szCs w:val="22"/>
        </w:rPr>
      </w:pPr>
    </w:p>
    <w:p w14:paraId="4F46905D"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The indicator is recommended for review in three years on the rationale that no changes to methodology are anticipated.</w:t>
      </w:r>
    </w:p>
    <w:p w14:paraId="09B0DFB0" w14:textId="77777777" w:rsidR="00460B4E" w:rsidRPr="00936D28" w:rsidRDefault="00460B4E" w:rsidP="00460B4E">
      <w:pPr>
        <w:rPr>
          <w:rFonts w:asciiTheme="majorHAnsi" w:hAnsiTheme="majorHAnsi" w:cstheme="majorHAnsi"/>
          <w:sz w:val="22"/>
          <w:szCs w:val="22"/>
        </w:rPr>
      </w:pPr>
    </w:p>
    <w:p w14:paraId="61822519" w14:textId="77777777" w:rsidR="00460B4E" w:rsidRPr="00936D28" w:rsidRDefault="00460B4E" w:rsidP="00460B4E">
      <w:pPr>
        <w:tabs>
          <w:tab w:val="left" w:pos="2830"/>
        </w:tabs>
        <w:ind w:left="-851"/>
        <w:rPr>
          <w:rFonts w:asciiTheme="majorHAnsi" w:hAnsiTheme="majorHAnsi" w:cstheme="majorHAnsi"/>
          <w:sz w:val="22"/>
          <w:szCs w:val="22"/>
        </w:rPr>
      </w:pPr>
      <w:r w:rsidRPr="00936D28">
        <w:rPr>
          <w:rFonts w:asciiTheme="majorHAnsi" w:hAnsiTheme="majorHAnsi" w:cstheme="majorHAnsi"/>
          <w:sz w:val="22"/>
          <w:szCs w:val="22"/>
        </w:rPr>
        <w:t xml:space="preserve">IGB Sign-off: </w:t>
      </w:r>
    </w:p>
    <w:p w14:paraId="58D618D5" w14:textId="1F518841" w:rsidR="00460B4E" w:rsidRPr="00936D28" w:rsidRDefault="004316C3" w:rsidP="00460B4E">
      <w:pPr>
        <w:rPr>
          <w:rFonts w:asciiTheme="majorHAnsi" w:hAnsiTheme="majorHAnsi" w:cstheme="majorHAnsi"/>
          <w:sz w:val="22"/>
          <w:szCs w:val="22"/>
        </w:rPr>
      </w:pPr>
      <w:r w:rsidRPr="00936D28">
        <w:rPr>
          <w:rFonts w:asciiTheme="majorHAnsi" w:hAnsiTheme="majorHAnsi" w:cstheme="majorHAnsi"/>
          <w:b/>
          <w:sz w:val="22"/>
          <w:szCs w:val="22"/>
        </w:rPr>
        <w:t>Indicator Assurance Process Output</w:t>
      </w:r>
    </w:p>
    <w:tbl>
      <w:tblPr>
        <w:tblStyle w:val="TableGrid"/>
        <w:tblW w:w="9923" w:type="dxa"/>
        <w:tblLayout w:type="fixed"/>
        <w:tblLook w:val="01E0" w:firstRow="1" w:lastRow="1" w:firstColumn="1" w:lastColumn="1" w:noHBand="0" w:noVBand="0"/>
      </w:tblPr>
      <w:tblGrid>
        <w:gridCol w:w="2124"/>
        <w:gridCol w:w="6509"/>
        <w:gridCol w:w="713"/>
        <w:gridCol w:w="577"/>
      </w:tblGrid>
      <w:tr w:rsidR="004316C3" w:rsidRPr="00936D28" w14:paraId="233B25D2" w14:textId="77777777" w:rsidTr="002F05F5">
        <w:trPr>
          <w:trHeight w:val="228"/>
        </w:trPr>
        <w:tc>
          <w:tcPr>
            <w:tcW w:w="2124" w:type="dxa"/>
          </w:tcPr>
          <w:p w14:paraId="5EF5D89A" w14:textId="413DF06C"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i/>
                <w:sz w:val="22"/>
                <w:szCs w:val="22"/>
              </w:rPr>
              <w:t>Final Appraisal Status</w:t>
            </w:r>
          </w:p>
        </w:tc>
        <w:tc>
          <w:tcPr>
            <w:tcW w:w="6509" w:type="dxa"/>
          </w:tcPr>
          <w:p w14:paraId="18836DA8" w14:textId="36C3FB03" w:rsidR="004316C3" w:rsidRPr="00936D28" w:rsidRDefault="004316C3" w:rsidP="004316C3">
            <w:pPr>
              <w:pStyle w:val="ListParagraph"/>
              <w:numPr>
                <w:ilvl w:val="0"/>
                <w:numId w:val="18"/>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Assured</w:t>
            </w:r>
          </w:p>
        </w:tc>
        <w:sdt>
          <w:sdtPr>
            <w:rPr>
              <w:rFonts w:asciiTheme="majorHAnsi" w:hAnsiTheme="majorHAnsi" w:cstheme="majorHAnsi"/>
              <w:sz w:val="22"/>
              <w:szCs w:val="22"/>
            </w:rPr>
            <w:id w:val="1957979656"/>
            <w14:checkbox>
              <w14:checked w14:val="0"/>
              <w14:checkedState w14:val="2612" w14:font="MS Gothic"/>
              <w14:uncheckedState w14:val="2610" w14:font="MS Gothic"/>
            </w14:checkbox>
          </w:sdtPr>
          <w:sdtContent>
            <w:tc>
              <w:tcPr>
                <w:tcW w:w="713" w:type="dxa"/>
              </w:tcPr>
              <w:p w14:paraId="0512741E" w14:textId="1781793C" w:rsidR="004316C3" w:rsidRDefault="004316C3" w:rsidP="004316C3">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77" w:type="dxa"/>
          </w:tcPr>
          <w:p w14:paraId="2FFD4B36" w14:textId="77777777" w:rsidR="004316C3" w:rsidRPr="00936D28" w:rsidRDefault="004316C3" w:rsidP="004316C3">
            <w:pPr>
              <w:rPr>
                <w:rFonts w:asciiTheme="majorHAnsi" w:hAnsiTheme="majorHAnsi" w:cstheme="majorHAnsi"/>
                <w:b/>
                <w:sz w:val="22"/>
                <w:szCs w:val="22"/>
              </w:rPr>
            </w:pPr>
          </w:p>
        </w:tc>
      </w:tr>
      <w:tr w:rsidR="004316C3" w:rsidRPr="00936D28" w14:paraId="1BB8FA01" w14:textId="77777777" w:rsidTr="002F05F5">
        <w:trPr>
          <w:trHeight w:val="228"/>
        </w:trPr>
        <w:tc>
          <w:tcPr>
            <w:tcW w:w="2124" w:type="dxa"/>
          </w:tcPr>
          <w:p w14:paraId="6E906058" w14:textId="77777777" w:rsidR="004316C3" w:rsidRPr="00936D28" w:rsidRDefault="004316C3" w:rsidP="004316C3">
            <w:pPr>
              <w:rPr>
                <w:rFonts w:asciiTheme="majorHAnsi" w:hAnsiTheme="majorHAnsi" w:cstheme="majorHAnsi"/>
                <w:sz w:val="22"/>
                <w:szCs w:val="22"/>
              </w:rPr>
            </w:pPr>
          </w:p>
        </w:tc>
        <w:tc>
          <w:tcPr>
            <w:tcW w:w="6509" w:type="dxa"/>
          </w:tcPr>
          <w:p w14:paraId="33CD1185" w14:textId="5D14AFC9" w:rsidR="004316C3" w:rsidRPr="00936D28" w:rsidRDefault="004316C3" w:rsidP="004316C3">
            <w:pPr>
              <w:pStyle w:val="ListParagraph"/>
              <w:numPr>
                <w:ilvl w:val="0"/>
                <w:numId w:val="18"/>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Assured with Comments</w:t>
            </w:r>
          </w:p>
        </w:tc>
        <w:sdt>
          <w:sdtPr>
            <w:rPr>
              <w:rFonts w:asciiTheme="majorHAnsi" w:hAnsiTheme="majorHAnsi" w:cstheme="majorHAnsi"/>
              <w:sz w:val="22"/>
              <w:szCs w:val="22"/>
            </w:rPr>
            <w:id w:val="-1600247039"/>
            <w14:checkbox>
              <w14:checked w14:val="0"/>
              <w14:checkedState w14:val="2612" w14:font="MS Gothic"/>
              <w14:uncheckedState w14:val="2610" w14:font="MS Gothic"/>
            </w14:checkbox>
          </w:sdtPr>
          <w:sdtContent>
            <w:tc>
              <w:tcPr>
                <w:tcW w:w="713" w:type="dxa"/>
              </w:tcPr>
              <w:p w14:paraId="5D25F767" w14:textId="7DA8ACAC" w:rsidR="004316C3" w:rsidRDefault="004316C3" w:rsidP="004316C3">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77" w:type="dxa"/>
          </w:tcPr>
          <w:p w14:paraId="14910D54" w14:textId="77777777" w:rsidR="004316C3" w:rsidRPr="00936D28" w:rsidRDefault="004316C3" w:rsidP="004316C3">
            <w:pPr>
              <w:rPr>
                <w:rFonts w:asciiTheme="majorHAnsi" w:hAnsiTheme="majorHAnsi" w:cstheme="majorHAnsi"/>
                <w:b/>
                <w:sz w:val="22"/>
                <w:szCs w:val="22"/>
              </w:rPr>
            </w:pPr>
          </w:p>
        </w:tc>
      </w:tr>
      <w:tr w:rsidR="004316C3" w:rsidRPr="00936D28" w14:paraId="1DE70B6A" w14:textId="77777777" w:rsidTr="002F05F5">
        <w:trPr>
          <w:trHeight w:val="228"/>
        </w:trPr>
        <w:tc>
          <w:tcPr>
            <w:tcW w:w="2124" w:type="dxa"/>
          </w:tcPr>
          <w:p w14:paraId="7C8AE560" w14:textId="77777777" w:rsidR="004316C3" w:rsidRPr="00936D28" w:rsidRDefault="004316C3" w:rsidP="004316C3">
            <w:pPr>
              <w:rPr>
                <w:rFonts w:asciiTheme="majorHAnsi" w:hAnsiTheme="majorHAnsi" w:cstheme="majorHAnsi"/>
                <w:sz w:val="22"/>
                <w:szCs w:val="22"/>
              </w:rPr>
            </w:pPr>
          </w:p>
        </w:tc>
        <w:tc>
          <w:tcPr>
            <w:tcW w:w="6509" w:type="dxa"/>
          </w:tcPr>
          <w:p w14:paraId="778EA083" w14:textId="4AF54FF3" w:rsidR="004316C3" w:rsidRPr="00936D28" w:rsidRDefault="004316C3" w:rsidP="004316C3">
            <w:pPr>
              <w:pStyle w:val="ListParagraph"/>
              <w:numPr>
                <w:ilvl w:val="0"/>
                <w:numId w:val="18"/>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Failed Assurance</w:t>
            </w:r>
          </w:p>
        </w:tc>
        <w:sdt>
          <w:sdtPr>
            <w:rPr>
              <w:rFonts w:asciiTheme="majorHAnsi" w:hAnsiTheme="majorHAnsi" w:cstheme="majorHAnsi"/>
              <w:sz w:val="22"/>
              <w:szCs w:val="22"/>
            </w:rPr>
            <w:id w:val="339826964"/>
            <w14:checkbox>
              <w14:checked w14:val="0"/>
              <w14:checkedState w14:val="2612" w14:font="MS Gothic"/>
              <w14:uncheckedState w14:val="2610" w14:font="MS Gothic"/>
            </w14:checkbox>
          </w:sdtPr>
          <w:sdtContent>
            <w:tc>
              <w:tcPr>
                <w:tcW w:w="713" w:type="dxa"/>
              </w:tcPr>
              <w:p w14:paraId="35B0BF8C" w14:textId="4008F4B8" w:rsidR="004316C3" w:rsidRDefault="004316C3" w:rsidP="004316C3">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77" w:type="dxa"/>
          </w:tcPr>
          <w:p w14:paraId="58B11E5F" w14:textId="77777777" w:rsidR="004316C3" w:rsidRPr="00936D28" w:rsidRDefault="004316C3" w:rsidP="004316C3">
            <w:pPr>
              <w:rPr>
                <w:rFonts w:asciiTheme="majorHAnsi" w:hAnsiTheme="majorHAnsi" w:cstheme="majorHAnsi"/>
                <w:b/>
                <w:sz w:val="22"/>
                <w:szCs w:val="22"/>
              </w:rPr>
            </w:pPr>
          </w:p>
        </w:tc>
      </w:tr>
    </w:tbl>
    <w:p w14:paraId="15E4E9BA" w14:textId="77777777" w:rsidR="004316C3" w:rsidRDefault="004316C3"/>
    <w:tbl>
      <w:tblPr>
        <w:tblStyle w:val="TableGrid"/>
        <w:tblW w:w="9923" w:type="dxa"/>
        <w:tblLayout w:type="fixed"/>
        <w:tblLook w:val="01E0" w:firstRow="1" w:lastRow="1" w:firstColumn="1" w:lastColumn="1" w:noHBand="0" w:noVBand="0"/>
      </w:tblPr>
      <w:tblGrid>
        <w:gridCol w:w="2124"/>
        <w:gridCol w:w="7799"/>
      </w:tblGrid>
      <w:tr w:rsidR="004316C3" w:rsidRPr="00936D28" w14:paraId="3A962D97" w14:textId="77777777" w:rsidTr="002F05F5">
        <w:tc>
          <w:tcPr>
            <w:tcW w:w="2124" w:type="dxa"/>
          </w:tcPr>
          <w:p w14:paraId="1D63152A"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Basis of Sign-off</w:t>
            </w:r>
          </w:p>
          <w:p w14:paraId="356D8596" w14:textId="7D2FAA12"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 xml:space="preserve">[Detail caveats and </w:t>
            </w:r>
            <w:proofErr w:type="gramStart"/>
            <w:r w:rsidRPr="00936D28">
              <w:rPr>
                <w:rFonts w:asciiTheme="majorHAnsi" w:hAnsiTheme="majorHAnsi" w:cstheme="majorHAnsi"/>
                <w:sz w:val="22"/>
                <w:szCs w:val="22"/>
              </w:rPr>
              <w:t>limitations ]</w:t>
            </w:r>
            <w:proofErr w:type="gramEnd"/>
          </w:p>
        </w:tc>
        <w:tc>
          <w:tcPr>
            <w:tcW w:w="7799" w:type="dxa"/>
          </w:tcPr>
          <w:p w14:paraId="45AA8AA8" w14:textId="77777777" w:rsidR="004316C3" w:rsidRPr="00936D28" w:rsidRDefault="004316C3" w:rsidP="00460B4E">
            <w:pPr>
              <w:rPr>
                <w:rFonts w:asciiTheme="majorHAnsi" w:hAnsiTheme="majorHAnsi" w:cstheme="majorHAnsi"/>
                <w:sz w:val="22"/>
                <w:szCs w:val="22"/>
              </w:rPr>
            </w:pPr>
          </w:p>
        </w:tc>
      </w:tr>
      <w:tr w:rsidR="00460B4E" w:rsidRPr="00936D28" w14:paraId="43347B66" w14:textId="77777777" w:rsidTr="002F05F5">
        <w:tc>
          <w:tcPr>
            <w:tcW w:w="2124" w:type="dxa"/>
          </w:tcPr>
          <w:p w14:paraId="5A9E9701"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Sign-off Date</w:t>
            </w:r>
          </w:p>
        </w:tc>
        <w:tc>
          <w:tcPr>
            <w:tcW w:w="7799" w:type="dxa"/>
          </w:tcPr>
          <w:p w14:paraId="1113E492" w14:textId="77777777" w:rsidR="00460B4E" w:rsidRPr="00936D28" w:rsidRDefault="00460B4E" w:rsidP="00460B4E">
            <w:pPr>
              <w:rPr>
                <w:rFonts w:asciiTheme="majorHAnsi" w:hAnsiTheme="majorHAnsi" w:cstheme="majorHAnsi"/>
                <w:sz w:val="22"/>
                <w:szCs w:val="22"/>
              </w:rPr>
            </w:pPr>
          </w:p>
        </w:tc>
      </w:tr>
    </w:tbl>
    <w:p w14:paraId="4F6EC109" w14:textId="77777777" w:rsidR="00460B4E" w:rsidRPr="00936D28" w:rsidRDefault="00460B4E" w:rsidP="00460B4E">
      <w:pPr>
        <w:rPr>
          <w:rFonts w:asciiTheme="majorHAnsi" w:hAnsiTheme="majorHAnsi" w:cstheme="majorHAnsi"/>
          <w:sz w:val="22"/>
          <w:szCs w:val="22"/>
        </w:rPr>
      </w:pPr>
    </w:p>
    <w:p w14:paraId="66F04CF6" w14:textId="77777777" w:rsidR="00460B4E" w:rsidRPr="00936D28" w:rsidRDefault="00460B4E">
      <w:pPr>
        <w:rPr>
          <w:rFonts w:asciiTheme="majorHAnsi" w:hAnsiTheme="majorHAnsi" w:cstheme="majorHAnsi"/>
          <w:sz w:val="22"/>
          <w:szCs w:val="22"/>
        </w:rPr>
      </w:pPr>
    </w:p>
    <w:p w14:paraId="640383A1" w14:textId="77777777" w:rsidR="00460B4E" w:rsidRPr="00936D28" w:rsidRDefault="00460B4E" w:rsidP="00460B4E">
      <w:pPr>
        <w:ind w:left="-851"/>
        <w:rPr>
          <w:rFonts w:asciiTheme="majorHAnsi" w:hAnsiTheme="majorHAnsi" w:cstheme="majorHAnsi"/>
          <w:sz w:val="22"/>
          <w:szCs w:val="22"/>
        </w:rPr>
      </w:pPr>
      <w:r w:rsidRPr="00936D28">
        <w:rPr>
          <w:rFonts w:asciiTheme="majorHAnsi" w:hAnsiTheme="majorHAnsi" w:cstheme="majorHAnsi"/>
          <w:sz w:val="22"/>
          <w:szCs w:val="22"/>
        </w:rPr>
        <w:t xml:space="preserve">Record of Assurance provided by </w:t>
      </w:r>
      <w:r w:rsidRPr="00936D28">
        <w:rPr>
          <w:rFonts w:asciiTheme="majorHAnsi" w:hAnsiTheme="majorHAnsi" w:cstheme="majorHAnsi"/>
          <w:b/>
          <w:sz w:val="22"/>
          <w:szCs w:val="22"/>
        </w:rPr>
        <w:t>Indicator Governance Board</w:t>
      </w:r>
    </w:p>
    <w:p w14:paraId="75DDA40E" w14:textId="0E99BEC8" w:rsidR="00460B4E" w:rsidRDefault="00460B4E" w:rsidP="00460B4E">
      <w:pPr>
        <w:rPr>
          <w:rFonts w:asciiTheme="majorHAnsi" w:hAnsiTheme="majorHAnsi" w:cstheme="majorHAnsi"/>
          <w:sz w:val="22"/>
          <w:szCs w:val="22"/>
        </w:rPr>
      </w:pPr>
    </w:p>
    <w:p w14:paraId="3B38C4DD" w14:textId="77777777" w:rsidR="004316C3" w:rsidRPr="00936D28" w:rsidRDefault="004316C3" w:rsidP="00460B4E">
      <w:pPr>
        <w:rPr>
          <w:rFonts w:asciiTheme="majorHAnsi" w:hAnsiTheme="majorHAnsi" w:cstheme="majorHAnsi"/>
          <w:sz w:val="22"/>
          <w:szCs w:val="22"/>
        </w:rPr>
      </w:pPr>
    </w:p>
    <w:p w14:paraId="319A8B50" w14:textId="77777777" w:rsidR="004316C3" w:rsidRDefault="004316C3"/>
    <w:tbl>
      <w:tblPr>
        <w:tblStyle w:val="TableGrid"/>
        <w:tblW w:w="9923" w:type="dxa"/>
        <w:tblLayout w:type="fixed"/>
        <w:tblLook w:val="01E0" w:firstRow="1" w:lastRow="1" w:firstColumn="1" w:lastColumn="1" w:noHBand="0" w:noVBand="0"/>
      </w:tblPr>
      <w:tblGrid>
        <w:gridCol w:w="2122"/>
        <w:gridCol w:w="5379"/>
        <w:gridCol w:w="997"/>
        <w:gridCol w:w="1425"/>
      </w:tblGrid>
      <w:tr w:rsidR="00460B4E" w:rsidRPr="00936D28" w14:paraId="012A8662" w14:textId="77777777" w:rsidTr="004316C3">
        <w:tc>
          <w:tcPr>
            <w:tcW w:w="2122" w:type="dxa"/>
          </w:tcPr>
          <w:p w14:paraId="52EBB4DB" w14:textId="77777777" w:rsidR="00460B4E" w:rsidRPr="00936D28" w:rsidRDefault="00460B4E" w:rsidP="00460B4E">
            <w:pPr>
              <w:rPr>
                <w:rFonts w:asciiTheme="majorHAnsi" w:hAnsiTheme="majorHAnsi" w:cstheme="majorHAnsi"/>
                <w:b/>
                <w:sz w:val="22"/>
                <w:szCs w:val="22"/>
              </w:rPr>
            </w:pPr>
            <w:r w:rsidRPr="00936D28">
              <w:rPr>
                <w:rFonts w:asciiTheme="majorHAnsi" w:hAnsiTheme="majorHAnsi" w:cstheme="majorHAnsi"/>
                <w:b/>
                <w:sz w:val="22"/>
                <w:szCs w:val="22"/>
              </w:rPr>
              <w:lastRenderedPageBreak/>
              <w:t>Indicator Title</w:t>
            </w:r>
          </w:p>
        </w:tc>
        <w:tc>
          <w:tcPr>
            <w:tcW w:w="5379" w:type="dxa"/>
          </w:tcPr>
          <w:p w14:paraId="3786147E" w14:textId="77777777" w:rsidR="00460B4E" w:rsidRPr="00936D28" w:rsidRDefault="00460B4E" w:rsidP="00460B4E">
            <w:pPr>
              <w:rPr>
                <w:rFonts w:asciiTheme="majorHAnsi" w:hAnsiTheme="majorHAnsi" w:cstheme="majorHAnsi"/>
                <w:b/>
                <w:sz w:val="22"/>
                <w:szCs w:val="22"/>
              </w:rPr>
            </w:pPr>
            <w:r w:rsidRPr="00936D28">
              <w:rPr>
                <w:rFonts w:asciiTheme="majorHAnsi" w:hAnsiTheme="majorHAnsi" w:cstheme="majorHAnsi"/>
                <w:b/>
                <w:sz w:val="22"/>
                <w:szCs w:val="22"/>
              </w:rPr>
              <w:t>Cancers detected at stage 1 or 2</w:t>
            </w:r>
          </w:p>
        </w:tc>
        <w:tc>
          <w:tcPr>
            <w:tcW w:w="997" w:type="dxa"/>
          </w:tcPr>
          <w:p w14:paraId="2DCD04EF"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IAS Ref Code:</w:t>
            </w:r>
          </w:p>
        </w:tc>
        <w:tc>
          <w:tcPr>
            <w:tcW w:w="1425" w:type="dxa"/>
          </w:tcPr>
          <w:p w14:paraId="2D431287"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IAP00350</w:t>
            </w:r>
          </w:p>
        </w:tc>
      </w:tr>
      <w:tr w:rsidR="00460B4E" w:rsidRPr="00936D28" w14:paraId="0B90D72D" w14:textId="77777777" w:rsidTr="004316C3">
        <w:tc>
          <w:tcPr>
            <w:tcW w:w="2122" w:type="dxa"/>
          </w:tcPr>
          <w:p w14:paraId="57722010"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Indicator Set</w:t>
            </w:r>
          </w:p>
        </w:tc>
        <w:tc>
          <w:tcPr>
            <w:tcW w:w="5379" w:type="dxa"/>
          </w:tcPr>
          <w:p w14:paraId="5044E413" w14:textId="77777777" w:rsidR="00460B4E" w:rsidRPr="00936D28" w:rsidRDefault="00460B4E" w:rsidP="00460B4E">
            <w:pPr>
              <w:spacing w:after="240"/>
              <w:rPr>
                <w:rFonts w:asciiTheme="majorHAnsi" w:hAnsiTheme="majorHAnsi" w:cstheme="majorHAnsi"/>
                <w:sz w:val="22"/>
                <w:szCs w:val="22"/>
              </w:rPr>
            </w:pPr>
            <w:r w:rsidRPr="00936D28">
              <w:rPr>
                <w:rFonts w:asciiTheme="majorHAnsi" w:hAnsiTheme="majorHAnsi" w:cstheme="majorHAnsi"/>
                <w:sz w:val="22"/>
                <w:szCs w:val="22"/>
              </w:rPr>
              <w:t>CCG Outcomes Indicator Set</w:t>
            </w:r>
          </w:p>
        </w:tc>
        <w:tc>
          <w:tcPr>
            <w:tcW w:w="997" w:type="dxa"/>
          </w:tcPr>
          <w:p w14:paraId="7DEE7F2C" w14:textId="77777777" w:rsidR="00460B4E" w:rsidRPr="00936D28" w:rsidRDefault="00460B4E" w:rsidP="00460B4E">
            <w:pPr>
              <w:rPr>
                <w:rFonts w:asciiTheme="majorHAnsi" w:hAnsiTheme="majorHAnsi" w:cstheme="majorHAnsi"/>
                <w:sz w:val="22"/>
                <w:szCs w:val="22"/>
              </w:rPr>
            </w:pPr>
          </w:p>
        </w:tc>
        <w:tc>
          <w:tcPr>
            <w:tcW w:w="1425" w:type="dxa"/>
          </w:tcPr>
          <w:p w14:paraId="4191A5C2" w14:textId="77777777" w:rsidR="00460B4E" w:rsidRPr="00936D28" w:rsidRDefault="00460B4E" w:rsidP="00460B4E">
            <w:pPr>
              <w:rPr>
                <w:rFonts w:asciiTheme="majorHAnsi" w:hAnsiTheme="majorHAnsi" w:cstheme="majorHAnsi"/>
                <w:sz w:val="22"/>
                <w:szCs w:val="22"/>
              </w:rPr>
            </w:pPr>
          </w:p>
        </w:tc>
      </w:tr>
    </w:tbl>
    <w:p w14:paraId="403965D1" w14:textId="77777777" w:rsidR="004316C3" w:rsidRDefault="004316C3"/>
    <w:tbl>
      <w:tblPr>
        <w:tblStyle w:val="TableGrid"/>
        <w:tblW w:w="9923" w:type="dxa"/>
        <w:tblLayout w:type="fixed"/>
        <w:tblLook w:val="01E0" w:firstRow="1" w:lastRow="1" w:firstColumn="1" w:lastColumn="1" w:noHBand="0" w:noVBand="0"/>
      </w:tblPr>
      <w:tblGrid>
        <w:gridCol w:w="2122"/>
        <w:gridCol w:w="7801"/>
      </w:tblGrid>
      <w:tr w:rsidR="004316C3" w:rsidRPr="00936D28" w14:paraId="62766647" w14:textId="77777777" w:rsidTr="004316C3">
        <w:tc>
          <w:tcPr>
            <w:tcW w:w="2122" w:type="dxa"/>
          </w:tcPr>
          <w:p w14:paraId="6F4514A7" w14:textId="5FAC8C90"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 xml:space="preserve">Description </w:t>
            </w:r>
          </w:p>
        </w:tc>
        <w:tc>
          <w:tcPr>
            <w:tcW w:w="7801" w:type="dxa"/>
          </w:tcPr>
          <w:p w14:paraId="79995C81"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This indicator calculates the percentage of new cases of cancer which were diagnosed at stage 1 or 2 for the specific cancer sites, morphologies and behaviour: invasive malignancies of breast, prostate, colorectal, lung, bladder, kidney, ovary, uterus, non-Hodgkin lymphoma and invasive melanomas of skin, given by CCG.</w:t>
            </w:r>
          </w:p>
          <w:p w14:paraId="0B7ECC29" w14:textId="77777777" w:rsidR="004316C3" w:rsidRPr="00936D28" w:rsidRDefault="004316C3" w:rsidP="004316C3">
            <w:pPr>
              <w:rPr>
                <w:rFonts w:asciiTheme="majorHAnsi" w:hAnsiTheme="majorHAnsi" w:cstheme="majorHAnsi"/>
                <w:sz w:val="22"/>
                <w:szCs w:val="22"/>
              </w:rPr>
            </w:pPr>
          </w:p>
          <w:p w14:paraId="1A6AE7C9"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This indicator relates to a subset of the cancers covered by CCG indicator 1.16 Percentage of cancers diagnosed via emergency routes, and 1.17 Record of stage of cancer at diagnosis.</w:t>
            </w:r>
          </w:p>
          <w:p w14:paraId="48363404" w14:textId="77777777" w:rsidR="004316C3" w:rsidRPr="00936D28" w:rsidRDefault="004316C3" w:rsidP="004316C3">
            <w:pPr>
              <w:rPr>
                <w:rFonts w:asciiTheme="majorHAnsi" w:hAnsiTheme="majorHAnsi" w:cstheme="majorHAnsi"/>
                <w:sz w:val="22"/>
                <w:szCs w:val="22"/>
              </w:rPr>
            </w:pPr>
          </w:p>
        </w:tc>
      </w:tr>
    </w:tbl>
    <w:p w14:paraId="1798F05C" w14:textId="77777777" w:rsidR="00460B4E" w:rsidRPr="00936D28" w:rsidRDefault="00460B4E" w:rsidP="00460B4E">
      <w:pPr>
        <w:rPr>
          <w:rFonts w:asciiTheme="majorHAnsi" w:hAnsiTheme="majorHAnsi" w:cstheme="majorHAnsi"/>
          <w:sz w:val="22"/>
          <w:szCs w:val="22"/>
        </w:rPr>
      </w:pPr>
    </w:p>
    <w:tbl>
      <w:tblPr>
        <w:tblStyle w:val="TableGrid"/>
        <w:tblW w:w="9923" w:type="dxa"/>
        <w:tblLook w:val="01E0" w:firstRow="1" w:lastRow="1" w:firstColumn="1" w:lastColumn="1" w:noHBand="0" w:noVBand="0"/>
      </w:tblPr>
      <w:tblGrid>
        <w:gridCol w:w="2127"/>
        <w:gridCol w:w="1418"/>
        <w:gridCol w:w="1842"/>
        <w:gridCol w:w="4536"/>
      </w:tblGrid>
      <w:tr w:rsidR="00460B4E" w:rsidRPr="00936D28" w14:paraId="37B86E66" w14:textId="77777777" w:rsidTr="002F05F5">
        <w:trPr>
          <w:trHeight w:val="229"/>
        </w:trPr>
        <w:tc>
          <w:tcPr>
            <w:tcW w:w="2127" w:type="dxa"/>
          </w:tcPr>
          <w:p w14:paraId="6149B0F1"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 xml:space="preserve">Initial IGB discussion </w:t>
            </w:r>
          </w:p>
        </w:tc>
        <w:tc>
          <w:tcPr>
            <w:tcW w:w="1418" w:type="dxa"/>
          </w:tcPr>
          <w:p w14:paraId="6315FE3E"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22/07/14</w:t>
            </w:r>
          </w:p>
        </w:tc>
        <w:tc>
          <w:tcPr>
            <w:tcW w:w="1842" w:type="dxa"/>
          </w:tcPr>
          <w:p w14:paraId="5DC7718E" w14:textId="77777777" w:rsidR="00460B4E" w:rsidRPr="00936D28" w:rsidRDefault="00460B4E" w:rsidP="00460B4E">
            <w:pPr>
              <w:rPr>
                <w:rFonts w:asciiTheme="majorHAnsi" w:hAnsiTheme="majorHAnsi" w:cstheme="majorHAnsi"/>
                <w:b/>
                <w:sz w:val="22"/>
                <w:szCs w:val="22"/>
              </w:rPr>
            </w:pPr>
            <w:r w:rsidRPr="00936D28">
              <w:rPr>
                <w:rFonts w:asciiTheme="majorHAnsi" w:hAnsiTheme="majorHAnsi" w:cstheme="majorHAnsi"/>
                <w:sz w:val="22"/>
                <w:szCs w:val="22"/>
              </w:rPr>
              <w:t>Further discussed</w:t>
            </w:r>
          </w:p>
        </w:tc>
        <w:tc>
          <w:tcPr>
            <w:tcW w:w="4536" w:type="dxa"/>
          </w:tcPr>
          <w:p w14:paraId="475C370B" w14:textId="77777777" w:rsidR="00460B4E" w:rsidRPr="00936D28" w:rsidRDefault="00460B4E" w:rsidP="00460B4E">
            <w:pPr>
              <w:rPr>
                <w:rFonts w:asciiTheme="majorHAnsi" w:hAnsiTheme="majorHAnsi" w:cstheme="majorHAnsi"/>
                <w:b/>
                <w:sz w:val="22"/>
                <w:szCs w:val="22"/>
              </w:rPr>
            </w:pPr>
          </w:p>
        </w:tc>
      </w:tr>
    </w:tbl>
    <w:p w14:paraId="39700AE2" w14:textId="4D1F7AAE" w:rsidR="00460B4E" w:rsidRPr="00936D28" w:rsidRDefault="004316C3" w:rsidP="00460B4E">
      <w:pPr>
        <w:rPr>
          <w:rFonts w:asciiTheme="majorHAnsi" w:hAnsiTheme="majorHAnsi" w:cstheme="majorHAnsi"/>
          <w:sz w:val="22"/>
          <w:szCs w:val="22"/>
        </w:rPr>
      </w:pPr>
      <w:r w:rsidRPr="00936D28">
        <w:rPr>
          <w:rFonts w:asciiTheme="majorHAnsi" w:hAnsiTheme="majorHAnsi" w:cstheme="majorHAnsi"/>
          <w:b/>
          <w:sz w:val="22"/>
          <w:szCs w:val="22"/>
        </w:rPr>
        <w:t>Strategic Considerations &amp; Implications</w:t>
      </w:r>
    </w:p>
    <w:tbl>
      <w:tblPr>
        <w:tblStyle w:val="TableGrid"/>
        <w:tblW w:w="9923" w:type="dxa"/>
        <w:tblLayout w:type="fixed"/>
        <w:tblLook w:val="01E0" w:firstRow="1" w:lastRow="1" w:firstColumn="1" w:lastColumn="1" w:noHBand="0" w:noVBand="0"/>
      </w:tblPr>
      <w:tblGrid>
        <w:gridCol w:w="2119"/>
        <w:gridCol w:w="4402"/>
        <w:gridCol w:w="1696"/>
        <w:gridCol w:w="1423"/>
        <w:gridCol w:w="283"/>
      </w:tblGrid>
      <w:tr w:rsidR="004316C3" w:rsidRPr="00936D28" w14:paraId="2BB4DB9E" w14:textId="77777777" w:rsidTr="000D2587">
        <w:trPr>
          <w:trHeight w:val="1661"/>
        </w:trPr>
        <w:tc>
          <w:tcPr>
            <w:tcW w:w="2119" w:type="dxa"/>
          </w:tcPr>
          <w:p w14:paraId="60D10A27" w14:textId="77777777" w:rsidR="004316C3" w:rsidRPr="00936D28" w:rsidRDefault="004316C3" w:rsidP="00460B4E">
            <w:pPr>
              <w:rPr>
                <w:rFonts w:asciiTheme="majorHAnsi" w:hAnsiTheme="majorHAnsi" w:cstheme="majorHAnsi"/>
                <w:sz w:val="22"/>
                <w:szCs w:val="22"/>
              </w:rPr>
            </w:pPr>
            <w:r w:rsidRPr="00936D28">
              <w:rPr>
                <w:rFonts w:asciiTheme="majorHAnsi" w:hAnsiTheme="majorHAnsi" w:cstheme="majorHAnsi"/>
                <w:sz w:val="22"/>
                <w:szCs w:val="22"/>
              </w:rPr>
              <w:t>Applicant / Sponsor Organisation</w:t>
            </w:r>
          </w:p>
        </w:tc>
        <w:tc>
          <w:tcPr>
            <w:tcW w:w="4402" w:type="dxa"/>
          </w:tcPr>
          <w:p w14:paraId="4E7F72A7" w14:textId="77777777" w:rsidR="004316C3" w:rsidRPr="00936D28" w:rsidRDefault="004316C3" w:rsidP="00460B4E">
            <w:pPr>
              <w:rPr>
                <w:rFonts w:asciiTheme="majorHAnsi" w:hAnsiTheme="majorHAnsi" w:cstheme="majorHAnsi"/>
                <w:sz w:val="22"/>
                <w:szCs w:val="22"/>
              </w:rPr>
            </w:pPr>
            <w:r w:rsidRPr="00936D28">
              <w:rPr>
                <w:rFonts w:asciiTheme="majorHAnsi" w:hAnsiTheme="majorHAnsi" w:cstheme="majorHAnsi"/>
                <w:sz w:val="22"/>
                <w:szCs w:val="22"/>
              </w:rPr>
              <w:t>NHS England</w:t>
            </w:r>
          </w:p>
          <w:p w14:paraId="0A5E4D82" w14:textId="77777777" w:rsidR="004316C3" w:rsidRPr="00936D28" w:rsidRDefault="004316C3" w:rsidP="00460B4E">
            <w:pPr>
              <w:rPr>
                <w:rFonts w:asciiTheme="majorHAnsi" w:hAnsiTheme="majorHAnsi" w:cstheme="majorHAnsi"/>
                <w:sz w:val="22"/>
                <w:szCs w:val="22"/>
              </w:rPr>
            </w:pPr>
            <w:r w:rsidRPr="00936D28">
              <w:rPr>
                <w:rFonts w:asciiTheme="majorHAnsi" w:hAnsiTheme="majorHAnsi" w:cstheme="majorHAnsi"/>
                <w:sz w:val="22"/>
                <w:szCs w:val="22"/>
              </w:rPr>
              <w:t>*Costing for assurance appraisal included in development cost</w:t>
            </w:r>
          </w:p>
        </w:tc>
        <w:tc>
          <w:tcPr>
            <w:tcW w:w="1696" w:type="dxa"/>
          </w:tcPr>
          <w:p w14:paraId="5ED029B9" w14:textId="77777777" w:rsidR="004316C3" w:rsidRPr="00936D28" w:rsidRDefault="004316C3" w:rsidP="00460B4E">
            <w:pPr>
              <w:rPr>
                <w:rFonts w:asciiTheme="majorHAnsi" w:hAnsiTheme="majorHAnsi" w:cstheme="majorHAnsi"/>
                <w:sz w:val="22"/>
                <w:szCs w:val="22"/>
              </w:rPr>
            </w:pPr>
            <w:r w:rsidRPr="00936D28">
              <w:rPr>
                <w:rFonts w:asciiTheme="majorHAnsi" w:hAnsiTheme="majorHAnsi" w:cstheme="majorHAnsi"/>
                <w:sz w:val="22"/>
                <w:szCs w:val="22"/>
              </w:rPr>
              <w:t>Assurance process funded?</w:t>
            </w:r>
          </w:p>
        </w:tc>
        <w:tc>
          <w:tcPr>
            <w:tcW w:w="1423" w:type="dxa"/>
          </w:tcPr>
          <w:p w14:paraId="458AAA46" w14:textId="77777777" w:rsidR="004316C3" w:rsidRPr="00936D28" w:rsidRDefault="004316C3" w:rsidP="00460B4E">
            <w:pPr>
              <w:rPr>
                <w:rFonts w:asciiTheme="majorHAnsi" w:hAnsiTheme="majorHAnsi" w:cstheme="majorHAnsi"/>
                <w:b/>
                <w:sz w:val="22"/>
                <w:szCs w:val="22"/>
              </w:rPr>
            </w:pPr>
            <w:r w:rsidRPr="00936D28">
              <w:rPr>
                <w:rFonts w:asciiTheme="majorHAnsi" w:hAnsiTheme="majorHAnsi" w:cstheme="majorHAnsi"/>
                <w:b/>
                <w:sz w:val="22"/>
                <w:szCs w:val="22"/>
              </w:rPr>
              <w:t>Yes*</w:t>
            </w:r>
          </w:p>
          <w:sdt>
            <w:sdtPr>
              <w:rPr>
                <w:rFonts w:asciiTheme="majorHAnsi" w:hAnsiTheme="majorHAnsi" w:cstheme="majorHAnsi"/>
                <w:sz w:val="22"/>
                <w:szCs w:val="22"/>
              </w:rPr>
              <w:id w:val="-1821562539"/>
              <w14:checkbox>
                <w14:checked w14:val="1"/>
                <w14:checkedState w14:val="2612" w14:font="MS Gothic"/>
                <w14:uncheckedState w14:val="2610" w14:font="MS Gothic"/>
              </w14:checkbox>
            </w:sdtPr>
            <w:sdtContent>
              <w:p w14:paraId="4C13D76E" w14:textId="77777777" w:rsidR="004316C3" w:rsidRPr="00936D28" w:rsidRDefault="004316C3" w:rsidP="00460B4E">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sdtContent>
          </w:sdt>
          <w:p w14:paraId="303C687C" w14:textId="77777777" w:rsidR="004316C3" w:rsidRPr="00936D28" w:rsidRDefault="004316C3" w:rsidP="00460B4E">
            <w:pPr>
              <w:rPr>
                <w:rFonts w:asciiTheme="majorHAnsi" w:hAnsiTheme="majorHAnsi" w:cstheme="majorHAnsi"/>
                <w:b/>
                <w:sz w:val="22"/>
                <w:szCs w:val="22"/>
              </w:rPr>
            </w:pPr>
            <w:r w:rsidRPr="00936D28">
              <w:rPr>
                <w:rFonts w:asciiTheme="majorHAnsi" w:hAnsiTheme="majorHAnsi" w:cstheme="majorHAnsi"/>
                <w:b/>
                <w:sz w:val="22"/>
                <w:szCs w:val="22"/>
              </w:rPr>
              <w:t>No</w:t>
            </w:r>
          </w:p>
          <w:sdt>
            <w:sdtPr>
              <w:rPr>
                <w:rFonts w:asciiTheme="majorHAnsi" w:hAnsiTheme="majorHAnsi" w:cstheme="majorHAnsi"/>
                <w:sz w:val="22"/>
                <w:szCs w:val="22"/>
              </w:rPr>
              <w:id w:val="39714434"/>
              <w14:checkbox>
                <w14:checked w14:val="0"/>
                <w14:checkedState w14:val="2612" w14:font="MS Gothic"/>
                <w14:uncheckedState w14:val="2610" w14:font="MS Gothic"/>
              </w14:checkbox>
            </w:sdtPr>
            <w:sdtContent>
              <w:p w14:paraId="394CC840" w14:textId="18812881" w:rsidR="004316C3" w:rsidRPr="00936D28" w:rsidRDefault="004316C3" w:rsidP="00460B4E">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sdtContent>
          </w:sdt>
        </w:tc>
        <w:tc>
          <w:tcPr>
            <w:tcW w:w="283" w:type="dxa"/>
          </w:tcPr>
          <w:p w14:paraId="51AB1797" w14:textId="77777777" w:rsidR="004316C3" w:rsidRPr="00936D28" w:rsidRDefault="004316C3" w:rsidP="00460B4E">
            <w:pPr>
              <w:rPr>
                <w:rFonts w:asciiTheme="majorHAnsi" w:hAnsiTheme="majorHAnsi" w:cstheme="majorHAnsi"/>
                <w:sz w:val="22"/>
                <w:szCs w:val="22"/>
              </w:rPr>
            </w:pPr>
          </w:p>
        </w:tc>
      </w:tr>
    </w:tbl>
    <w:p w14:paraId="4BB23443" w14:textId="77777777" w:rsidR="004316C3" w:rsidRDefault="004316C3"/>
    <w:tbl>
      <w:tblPr>
        <w:tblStyle w:val="TableGrid"/>
        <w:tblW w:w="9923" w:type="dxa"/>
        <w:tblLayout w:type="fixed"/>
        <w:tblLook w:val="01E0" w:firstRow="1" w:lastRow="1" w:firstColumn="1" w:lastColumn="1" w:noHBand="0" w:noVBand="0"/>
      </w:tblPr>
      <w:tblGrid>
        <w:gridCol w:w="2119"/>
        <w:gridCol w:w="7804"/>
      </w:tblGrid>
      <w:tr w:rsidR="004316C3" w:rsidRPr="00936D28" w14:paraId="060185C4" w14:textId="77777777" w:rsidTr="002F05F5">
        <w:tc>
          <w:tcPr>
            <w:tcW w:w="2119" w:type="dxa"/>
          </w:tcPr>
          <w:p w14:paraId="29DC7801" w14:textId="3085D0DB"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 xml:space="preserve">Indicator rationale </w:t>
            </w:r>
          </w:p>
        </w:tc>
        <w:tc>
          <w:tcPr>
            <w:tcW w:w="7804" w:type="dxa"/>
          </w:tcPr>
          <w:p w14:paraId="18AA1EB4"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Cancer is a major cause of death, accounting for around a quarter of deaths in England.  Currently, it is estimated that more than 40% children born today will develop cancer at some stage in their life.  The stage of the tumour at diagnosis is a major determinant of patient outcomes from cancer.</w:t>
            </w:r>
          </w:p>
          <w:p w14:paraId="51689B42" w14:textId="77777777" w:rsidR="004316C3" w:rsidRPr="00936D28" w:rsidRDefault="004316C3" w:rsidP="004316C3">
            <w:pPr>
              <w:rPr>
                <w:rFonts w:asciiTheme="majorHAnsi" w:hAnsiTheme="majorHAnsi" w:cstheme="majorHAnsi"/>
                <w:sz w:val="22"/>
                <w:szCs w:val="22"/>
              </w:rPr>
            </w:pPr>
          </w:p>
          <w:p w14:paraId="351911D6"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Diagnosis at an early stage of the cancer's development leads to dramatically improved survival chances.  Specific public health interventions, such as screening programmes and information/education campaigns aim to improve rates of early diagnosis.  An indicator on the proportion of cancers diagnosed at an early stage is, therefore, a useful proxy for assessing improvements in cancer survival rates.</w:t>
            </w:r>
          </w:p>
          <w:p w14:paraId="1DCE16EF" w14:textId="77777777" w:rsidR="004316C3" w:rsidRPr="00936D28" w:rsidRDefault="004316C3" w:rsidP="004316C3">
            <w:pPr>
              <w:rPr>
                <w:rFonts w:asciiTheme="majorHAnsi" w:hAnsiTheme="majorHAnsi" w:cstheme="majorHAnsi"/>
                <w:sz w:val="22"/>
                <w:szCs w:val="22"/>
              </w:rPr>
            </w:pPr>
          </w:p>
          <w:p w14:paraId="0652A0A6"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 xml:space="preserve">CCGs could impact on cancer staging recording by encouraging hospital trusts to record this information as soon as possible and to make sure it is </w:t>
            </w:r>
            <w:r w:rsidRPr="00936D28">
              <w:rPr>
                <w:rFonts w:asciiTheme="majorHAnsi" w:hAnsiTheme="majorHAnsi" w:cstheme="majorHAnsi"/>
                <w:sz w:val="22"/>
                <w:szCs w:val="22"/>
              </w:rPr>
              <w:lastRenderedPageBreak/>
              <w:t>passed on to the cancer registries.  CCGs could stipulate this as part of the services they commission.</w:t>
            </w:r>
          </w:p>
          <w:p w14:paraId="09F48E3E" w14:textId="77777777" w:rsidR="004316C3" w:rsidRPr="00936D28" w:rsidRDefault="004316C3" w:rsidP="004316C3">
            <w:pPr>
              <w:rPr>
                <w:rFonts w:asciiTheme="majorHAnsi" w:hAnsiTheme="majorHAnsi" w:cstheme="majorHAnsi"/>
                <w:sz w:val="22"/>
                <w:szCs w:val="22"/>
              </w:rPr>
            </w:pPr>
          </w:p>
        </w:tc>
      </w:tr>
      <w:tr w:rsidR="004316C3" w:rsidRPr="00936D28" w14:paraId="7B6100AA" w14:textId="77777777" w:rsidTr="002F05F5">
        <w:tc>
          <w:tcPr>
            <w:tcW w:w="2119" w:type="dxa"/>
          </w:tcPr>
          <w:p w14:paraId="368134AC"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lastRenderedPageBreak/>
              <w:t xml:space="preserve">Basis for rationale </w:t>
            </w:r>
          </w:p>
          <w:p w14:paraId="15CE7557"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[Details of quality statement, policy etc.]</w:t>
            </w:r>
            <w:r w:rsidRPr="00936D28">
              <w:rPr>
                <w:rFonts w:asciiTheme="majorHAnsi" w:hAnsiTheme="majorHAnsi" w:cstheme="majorHAnsi"/>
                <w:i/>
                <w:sz w:val="22"/>
                <w:szCs w:val="22"/>
              </w:rPr>
              <w:t xml:space="preserve"> </w:t>
            </w:r>
          </w:p>
        </w:tc>
        <w:tc>
          <w:tcPr>
            <w:tcW w:w="7804" w:type="dxa"/>
          </w:tcPr>
          <w:p w14:paraId="2C784FB1"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In January 2011 the Government published Improving Outcomes – a Strategy for Cancer.  This document sets out how the Government plans to improve cancer outcomes, including improving survival rates through tackling late diagnosis of cancer.</w:t>
            </w:r>
          </w:p>
          <w:p w14:paraId="1E95FEE9" w14:textId="77777777" w:rsidR="004316C3" w:rsidRPr="00936D28" w:rsidRDefault="004316C3" w:rsidP="004316C3">
            <w:pPr>
              <w:spacing w:after="120"/>
              <w:rPr>
                <w:rFonts w:asciiTheme="majorHAnsi" w:hAnsiTheme="majorHAnsi" w:cstheme="majorHAnsi"/>
                <w:sz w:val="22"/>
                <w:szCs w:val="22"/>
              </w:rPr>
            </w:pPr>
          </w:p>
        </w:tc>
      </w:tr>
      <w:tr w:rsidR="004316C3" w:rsidRPr="00936D28" w14:paraId="7E66F5E3" w14:textId="77777777" w:rsidTr="002F05F5">
        <w:tc>
          <w:tcPr>
            <w:tcW w:w="2119" w:type="dxa"/>
          </w:tcPr>
          <w:p w14:paraId="536379A9"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Calculation Summary</w:t>
            </w:r>
          </w:p>
        </w:tc>
        <w:tc>
          <w:tcPr>
            <w:tcW w:w="7804" w:type="dxa"/>
          </w:tcPr>
          <w:p w14:paraId="2A3F24A2" w14:textId="77777777" w:rsidR="004316C3" w:rsidRPr="00936D28" w:rsidRDefault="004316C3" w:rsidP="004316C3">
            <w:pPr>
              <w:rPr>
                <w:rFonts w:asciiTheme="majorHAnsi" w:hAnsiTheme="majorHAnsi" w:cstheme="majorHAnsi"/>
                <w:b/>
                <w:i/>
                <w:sz w:val="22"/>
                <w:szCs w:val="22"/>
              </w:rPr>
            </w:pPr>
            <w:r w:rsidRPr="00936D28">
              <w:rPr>
                <w:rFonts w:asciiTheme="majorHAnsi" w:hAnsiTheme="majorHAnsi" w:cstheme="majorHAnsi"/>
                <w:b/>
                <w:i/>
                <w:sz w:val="22"/>
                <w:szCs w:val="22"/>
              </w:rPr>
              <w:t>Denominator:</w:t>
            </w:r>
          </w:p>
          <w:p w14:paraId="536D2554"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The number of new cases of cancer diagnosed during the respective year, at any stage or unknown stage, for the specific cancer sites, morphologies and behaviour: invasive malignancies of breast, prostate, colorectal, lung, bladder, kidney, ovary, uterus, non-Hodgkin lymphoma and invasive melanomas of skin.</w:t>
            </w:r>
          </w:p>
          <w:p w14:paraId="1D3DF67D" w14:textId="77777777" w:rsidR="004316C3" w:rsidRPr="00936D28" w:rsidRDefault="004316C3" w:rsidP="004316C3">
            <w:pPr>
              <w:rPr>
                <w:rFonts w:asciiTheme="majorHAnsi" w:hAnsiTheme="majorHAnsi" w:cstheme="majorHAnsi"/>
                <w:sz w:val="22"/>
                <w:szCs w:val="22"/>
              </w:rPr>
            </w:pPr>
          </w:p>
          <w:p w14:paraId="6D25CD42" w14:textId="77777777" w:rsidR="004316C3" w:rsidRPr="00936D28" w:rsidRDefault="004316C3" w:rsidP="004316C3">
            <w:pPr>
              <w:rPr>
                <w:rFonts w:asciiTheme="majorHAnsi" w:hAnsiTheme="majorHAnsi" w:cstheme="majorHAnsi"/>
                <w:i/>
                <w:sz w:val="22"/>
                <w:szCs w:val="22"/>
              </w:rPr>
            </w:pPr>
            <w:r w:rsidRPr="00936D28">
              <w:rPr>
                <w:rFonts w:asciiTheme="majorHAnsi" w:hAnsiTheme="majorHAnsi" w:cstheme="majorHAnsi"/>
                <w:i/>
                <w:sz w:val="22"/>
                <w:szCs w:val="22"/>
              </w:rPr>
              <w:t>The full list of UKACR registration rules is available in a separate document.</w:t>
            </w:r>
          </w:p>
          <w:p w14:paraId="5E40517D" w14:textId="77777777" w:rsidR="004316C3" w:rsidRPr="00936D28" w:rsidRDefault="004316C3" w:rsidP="004316C3">
            <w:pPr>
              <w:rPr>
                <w:rFonts w:asciiTheme="majorHAnsi" w:hAnsiTheme="majorHAnsi" w:cstheme="majorHAnsi"/>
                <w:sz w:val="22"/>
                <w:szCs w:val="22"/>
              </w:rPr>
            </w:pPr>
          </w:p>
          <w:p w14:paraId="648313A1" w14:textId="77777777" w:rsidR="004316C3" w:rsidRPr="00936D28" w:rsidRDefault="004316C3" w:rsidP="004316C3">
            <w:pPr>
              <w:rPr>
                <w:rFonts w:asciiTheme="majorHAnsi" w:hAnsiTheme="majorHAnsi" w:cstheme="majorHAnsi"/>
                <w:b/>
                <w:i/>
                <w:sz w:val="22"/>
                <w:szCs w:val="22"/>
              </w:rPr>
            </w:pPr>
            <w:r w:rsidRPr="00936D28">
              <w:rPr>
                <w:rFonts w:asciiTheme="majorHAnsi" w:hAnsiTheme="majorHAnsi" w:cstheme="majorHAnsi"/>
                <w:b/>
                <w:i/>
                <w:sz w:val="22"/>
                <w:szCs w:val="22"/>
              </w:rPr>
              <w:t>Numerator:</w:t>
            </w:r>
          </w:p>
          <w:p w14:paraId="139504EC"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Of cases of cancer in the denominator, the number diagnosed at stage 1 or 2.</w:t>
            </w:r>
          </w:p>
          <w:p w14:paraId="56EA87C2" w14:textId="77777777" w:rsidR="004316C3" w:rsidRPr="00936D28" w:rsidRDefault="004316C3" w:rsidP="004316C3">
            <w:pPr>
              <w:spacing w:after="120"/>
              <w:rPr>
                <w:rFonts w:asciiTheme="majorHAnsi" w:hAnsiTheme="majorHAnsi" w:cstheme="majorHAnsi"/>
                <w:sz w:val="22"/>
                <w:szCs w:val="22"/>
              </w:rPr>
            </w:pPr>
          </w:p>
        </w:tc>
      </w:tr>
      <w:tr w:rsidR="004316C3" w:rsidRPr="00936D28" w14:paraId="5670E36B" w14:textId="77777777" w:rsidTr="002F05F5">
        <w:tc>
          <w:tcPr>
            <w:tcW w:w="2119" w:type="dxa"/>
          </w:tcPr>
          <w:p w14:paraId="4EF4128E"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Risks &amp; assumptions</w:t>
            </w:r>
          </w:p>
        </w:tc>
        <w:tc>
          <w:tcPr>
            <w:tcW w:w="7804" w:type="dxa"/>
          </w:tcPr>
          <w:p w14:paraId="0478ACA1" w14:textId="77777777" w:rsidR="004316C3" w:rsidRPr="00936D28" w:rsidRDefault="004316C3" w:rsidP="004316C3">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Data for this indicator will be extracted from the National Cancer Intelligence Network (NCIN) Cancer Analysis System (CAS).  The CAS contains an extract of cancer registration data for analytical purposes once data have been signed off as complete by the cancer registries.  Currently, the most recent year’s data available are for 2011.  Data for 2013 will not be available until October or November 2014.</w:t>
            </w:r>
          </w:p>
          <w:p w14:paraId="24834434" w14:textId="77777777" w:rsidR="004316C3" w:rsidRPr="00936D28" w:rsidRDefault="004316C3" w:rsidP="004316C3">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The assignment of a CCG to a patient will be based on GP or practice code where possible and if not, then on the patient’s home postcode.  Where the patient’s practice and postcode are both unavailable, the responsible CCG is the location of the hospital or trust.  As the numerator is a subset of the denominator, the same method will be used for any particular patient.</w:t>
            </w:r>
          </w:p>
          <w:p w14:paraId="5ADC3CB5" w14:textId="77777777" w:rsidR="004316C3" w:rsidRPr="00936D28" w:rsidRDefault="004316C3" w:rsidP="004316C3">
            <w:pPr>
              <w:rPr>
                <w:rFonts w:asciiTheme="majorHAnsi" w:hAnsiTheme="majorHAnsi" w:cstheme="majorHAnsi"/>
                <w:sz w:val="22"/>
                <w:szCs w:val="22"/>
              </w:rPr>
            </w:pPr>
          </w:p>
          <w:p w14:paraId="4E11BFF9" w14:textId="77777777" w:rsidR="004316C3" w:rsidRPr="00936D28" w:rsidRDefault="004316C3" w:rsidP="004316C3">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This indicator shows the percentage of new cases of cancer which were diagnosed at stage 1 or 2 for the specific cancer sites, morphologies and behaviour: invasive malignancies of breast, prostate, colorectal, lung, bladder, kidney, ovary, uterus, non-Hodgkin lymphoma and invasive melanomas of skin.  These cancers are those that can be staged at diagnosis. It might be expected that around 90% of these cancers are staged.  There may be cases where determining a stage is not recommended, for example, where it would be detrimental to the patient’s health to carry out the necessary investigations.</w:t>
            </w:r>
          </w:p>
          <w:p w14:paraId="19FE9398" w14:textId="77777777" w:rsidR="004316C3" w:rsidRPr="00936D28" w:rsidRDefault="004316C3" w:rsidP="004316C3">
            <w:pPr>
              <w:rPr>
                <w:rFonts w:asciiTheme="majorHAnsi" w:hAnsiTheme="majorHAnsi" w:cstheme="majorHAnsi"/>
                <w:sz w:val="22"/>
                <w:szCs w:val="22"/>
              </w:rPr>
            </w:pPr>
          </w:p>
        </w:tc>
      </w:tr>
      <w:tr w:rsidR="004316C3" w:rsidRPr="00936D28" w14:paraId="74FE8881" w14:textId="77777777" w:rsidTr="000D2587">
        <w:trPr>
          <w:trHeight w:val="2230"/>
        </w:trPr>
        <w:tc>
          <w:tcPr>
            <w:tcW w:w="2119" w:type="dxa"/>
          </w:tcPr>
          <w:p w14:paraId="43D1585D"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lastRenderedPageBreak/>
              <w:t xml:space="preserve">IG </w:t>
            </w:r>
            <w:proofErr w:type="gramStart"/>
            <w:r w:rsidRPr="00936D28">
              <w:rPr>
                <w:rFonts w:asciiTheme="majorHAnsi" w:hAnsiTheme="majorHAnsi" w:cstheme="majorHAnsi"/>
                <w:sz w:val="22"/>
                <w:szCs w:val="22"/>
              </w:rPr>
              <w:t>Considerations  [</w:t>
            </w:r>
            <w:proofErr w:type="gramEnd"/>
            <w:r w:rsidRPr="00936D28">
              <w:rPr>
                <w:rFonts w:asciiTheme="majorHAnsi" w:hAnsiTheme="majorHAnsi" w:cstheme="majorHAnsi"/>
                <w:sz w:val="22"/>
                <w:szCs w:val="22"/>
              </w:rPr>
              <w:t>e.g. release of under-lying data, intermediaries access to data, data ownership impact on production]</w:t>
            </w:r>
          </w:p>
        </w:tc>
        <w:tc>
          <w:tcPr>
            <w:tcW w:w="7804" w:type="dxa"/>
          </w:tcPr>
          <w:p w14:paraId="5137AF1E" w14:textId="77777777" w:rsidR="004316C3" w:rsidRPr="00936D28" w:rsidRDefault="004316C3" w:rsidP="004316C3">
            <w:pPr>
              <w:rPr>
                <w:rFonts w:asciiTheme="majorHAnsi" w:hAnsiTheme="majorHAnsi" w:cstheme="majorHAnsi"/>
                <w:i/>
                <w:sz w:val="22"/>
                <w:szCs w:val="22"/>
              </w:rPr>
            </w:pPr>
            <w:r w:rsidRPr="00936D28">
              <w:rPr>
                <w:rFonts w:asciiTheme="majorHAnsi" w:hAnsiTheme="majorHAnsi" w:cstheme="majorHAnsi"/>
                <w:i/>
                <w:sz w:val="22"/>
                <w:szCs w:val="22"/>
              </w:rPr>
              <w:t xml:space="preserve">Data Source:  </w:t>
            </w:r>
            <w:r w:rsidRPr="00936D28">
              <w:rPr>
                <w:rFonts w:asciiTheme="majorHAnsi" w:hAnsiTheme="majorHAnsi" w:cstheme="majorHAnsi"/>
                <w:sz w:val="22"/>
                <w:szCs w:val="22"/>
              </w:rPr>
              <w:t xml:space="preserve">Data will be provided by the NCIN from the CAS.  </w:t>
            </w:r>
          </w:p>
          <w:p w14:paraId="103732BB" w14:textId="77777777" w:rsidR="004316C3" w:rsidRPr="00936D28" w:rsidRDefault="004316C3" w:rsidP="004316C3">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The CAS contains a fully signed off extract of cancer registrations supplied by the National Cancer Registration Service.</w:t>
            </w:r>
          </w:p>
          <w:p w14:paraId="30A1FAB7" w14:textId="77777777" w:rsidR="004316C3" w:rsidRPr="00936D28" w:rsidRDefault="004316C3" w:rsidP="004316C3">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Data for calendar year 2012 is due to be published in September 2014 as a baseline.</w:t>
            </w:r>
          </w:p>
          <w:p w14:paraId="6045E8BD" w14:textId="77777777" w:rsidR="004316C3" w:rsidRPr="00936D28" w:rsidRDefault="004316C3" w:rsidP="004316C3">
            <w:pPr>
              <w:rPr>
                <w:rFonts w:asciiTheme="majorHAnsi" w:hAnsiTheme="majorHAnsi" w:cstheme="majorHAnsi"/>
                <w:sz w:val="22"/>
                <w:szCs w:val="22"/>
              </w:rPr>
            </w:pPr>
          </w:p>
        </w:tc>
      </w:tr>
      <w:tr w:rsidR="004316C3" w:rsidRPr="00936D28" w14:paraId="08814DC7" w14:textId="77777777" w:rsidTr="002F05F5">
        <w:tc>
          <w:tcPr>
            <w:tcW w:w="2119" w:type="dxa"/>
          </w:tcPr>
          <w:p w14:paraId="4319A95B"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Potential impacts on other business areas [inc outstanding generic issues]</w:t>
            </w:r>
          </w:p>
        </w:tc>
        <w:tc>
          <w:tcPr>
            <w:tcW w:w="7804" w:type="dxa"/>
          </w:tcPr>
          <w:p w14:paraId="4A82D948" w14:textId="77777777" w:rsidR="004316C3" w:rsidRPr="00936D28" w:rsidRDefault="004316C3" w:rsidP="004316C3">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A similar indicator exists in the Public Health Outcomes Framework:</w:t>
            </w:r>
          </w:p>
          <w:p w14:paraId="18D6751A" w14:textId="77777777" w:rsidR="004316C3" w:rsidRPr="00936D28" w:rsidRDefault="004316C3" w:rsidP="004316C3">
            <w:pPr>
              <w:ind w:left="360"/>
              <w:rPr>
                <w:rFonts w:asciiTheme="majorHAnsi" w:hAnsiTheme="majorHAnsi" w:cstheme="majorHAnsi"/>
                <w:i/>
                <w:sz w:val="22"/>
                <w:szCs w:val="22"/>
              </w:rPr>
            </w:pPr>
            <w:r w:rsidRPr="00936D28">
              <w:rPr>
                <w:rFonts w:asciiTheme="majorHAnsi" w:hAnsiTheme="majorHAnsi" w:cstheme="majorHAnsi"/>
                <w:i/>
                <w:sz w:val="22"/>
                <w:szCs w:val="22"/>
              </w:rPr>
              <w:t>PHOF 2.19 - The proportion of invasive malignancies of breast, prostate, colorectal, lung, bladder, kidney, ovary and uterus, non-Hodgkin lymphomas, and melanomas of skin, diagnosed at stage 1 or 2</w:t>
            </w:r>
          </w:p>
          <w:p w14:paraId="76572708" w14:textId="77777777" w:rsidR="004316C3" w:rsidRPr="00936D28" w:rsidRDefault="004316C3" w:rsidP="004316C3">
            <w:pPr>
              <w:pStyle w:val="ListParagraph"/>
              <w:ind w:left="360"/>
              <w:rPr>
                <w:rFonts w:asciiTheme="majorHAnsi" w:hAnsiTheme="majorHAnsi" w:cstheme="majorHAnsi"/>
                <w:sz w:val="22"/>
                <w:szCs w:val="22"/>
              </w:rPr>
            </w:pPr>
          </w:p>
        </w:tc>
      </w:tr>
      <w:tr w:rsidR="004316C3" w:rsidRPr="00936D28" w14:paraId="42DED612" w14:textId="77777777" w:rsidTr="002F05F5">
        <w:tc>
          <w:tcPr>
            <w:tcW w:w="2119" w:type="dxa"/>
          </w:tcPr>
          <w:p w14:paraId="6391861C"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Implementation Method</w:t>
            </w:r>
          </w:p>
          <w:p w14:paraId="60D2D090" w14:textId="77777777" w:rsidR="004316C3" w:rsidRPr="00936D28" w:rsidRDefault="004316C3" w:rsidP="004316C3">
            <w:pPr>
              <w:rPr>
                <w:rFonts w:asciiTheme="majorHAnsi" w:hAnsiTheme="majorHAnsi" w:cstheme="majorHAnsi"/>
                <w:i/>
                <w:sz w:val="22"/>
                <w:szCs w:val="22"/>
              </w:rPr>
            </w:pPr>
            <w:r w:rsidRPr="00936D28">
              <w:rPr>
                <w:rFonts w:asciiTheme="majorHAnsi" w:hAnsiTheme="majorHAnsi" w:cstheme="majorHAnsi"/>
                <w:sz w:val="22"/>
                <w:szCs w:val="22"/>
              </w:rPr>
              <w:t>[inc production funding]</w:t>
            </w:r>
          </w:p>
        </w:tc>
        <w:tc>
          <w:tcPr>
            <w:tcW w:w="7804" w:type="dxa"/>
          </w:tcPr>
          <w:p w14:paraId="12980FD6" w14:textId="77777777" w:rsidR="004316C3" w:rsidRPr="00936D28" w:rsidRDefault="004316C3" w:rsidP="004316C3">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NHS England has commissioned HSCIC to produce and disseminate the CCG OIS indicators; this is funded via the Grant In Aid funding to HSCIC.</w:t>
            </w:r>
          </w:p>
          <w:p w14:paraId="6EA45151" w14:textId="77777777" w:rsidR="004316C3" w:rsidRPr="00936D28" w:rsidRDefault="004316C3" w:rsidP="004316C3">
            <w:pPr>
              <w:rPr>
                <w:rFonts w:asciiTheme="majorHAnsi" w:hAnsiTheme="majorHAnsi" w:cstheme="majorHAnsi"/>
                <w:sz w:val="22"/>
                <w:szCs w:val="22"/>
              </w:rPr>
            </w:pPr>
          </w:p>
          <w:p w14:paraId="30D082B1" w14:textId="77777777" w:rsidR="004316C3" w:rsidRPr="00936D28" w:rsidRDefault="004316C3" w:rsidP="004316C3">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Collection of the data required for the CCG OIS is via existing data collections, in this case by the NCIN from the Cancer Analysis System (CAS).  Testing and specification of this indicator was carried out by the Specification Development Service in conjunction with the NCIN.  The construction of the indicators will be carried out by the NCIN.</w:t>
            </w:r>
          </w:p>
          <w:p w14:paraId="4A329A4A" w14:textId="77777777" w:rsidR="004316C3" w:rsidRPr="00936D28" w:rsidRDefault="004316C3" w:rsidP="004316C3">
            <w:pPr>
              <w:rPr>
                <w:rFonts w:asciiTheme="majorHAnsi" w:hAnsiTheme="majorHAnsi" w:cstheme="majorHAnsi"/>
                <w:sz w:val="22"/>
                <w:szCs w:val="22"/>
              </w:rPr>
            </w:pPr>
          </w:p>
          <w:p w14:paraId="1255E87F" w14:textId="77777777" w:rsidR="004316C3" w:rsidRPr="00936D28" w:rsidRDefault="004316C3" w:rsidP="004316C3">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Dissemination and presentation of the CCG OIS will be via a number of routes:</w:t>
            </w:r>
          </w:p>
          <w:p w14:paraId="04C4FAED" w14:textId="77777777" w:rsidR="004316C3" w:rsidRPr="00936D28" w:rsidRDefault="004316C3" w:rsidP="004316C3">
            <w:pPr>
              <w:pStyle w:val="ListParagraph"/>
              <w:numPr>
                <w:ilvl w:val="1"/>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 xml:space="preserve">The indicators and their underlying data will be made publically available via the HSCIC website and the Indicator Portal. </w:t>
            </w:r>
          </w:p>
          <w:p w14:paraId="13DAFEB6" w14:textId="77777777" w:rsidR="004316C3" w:rsidRPr="00936D28" w:rsidRDefault="004316C3" w:rsidP="004316C3">
            <w:pPr>
              <w:pStyle w:val="ListParagraph"/>
              <w:numPr>
                <w:ilvl w:val="1"/>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The data will also be provided to NHS England for use in their internal Intelligence Tool.</w:t>
            </w:r>
          </w:p>
          <w:p w14:paraId="536A50D3" w14:textId="77777777" w:rsidR="004316C3" w:rsidRPr="00936D28" w:rsidRDefault="004316C3" w:rsidP="004316C3">
            <w:pPr>
              <w:pStyle w:val="ListParagraph"/>
              <w:numPr>
                <w:ilvl w:val="1"/>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Subject to confirmation by NHS England, the calculated indicator, numerator and denominator for CCGs will be supplied by messaging to the Calculating Quality Reporting Service (CQRS) for use by CCGs as part of their management information.</w:t>
            </w:r>
          </w:p>
          <w:p w14:paraId="30AB9E26" w14:textId="77777777" w:rsidR="004316C3" w:rsidRPr="00936D28" w:rsidRDefault="004316C3" w:rsidP="004316C3">
            <w:pPr>
              <w:rPr>
                <w:rFonts w:asciiTheme="majorHAnsi" w:hAnsiTheme="majorHAnsi" w:cstheme="majorHAnsi"/>
                <w:sz w:val="22"/>
                <w:szCs w:val="22"/>
              </w:rPr>
            </w:pPr>
          </w:p>
        </w:tc>
      </w:tr>
    </w:tbl>
    <w:p w14:paraId="79C74834" w14:textId="77777777" w:rsidR="00460B4E" w:rsidRPr="00936D28" w:rsidRDefault="00460B4E" w:rsidP="00460B4E">
      <w:pPr>
        <w:rPr>
          <w:rFonts w:asciiTheme="majorHAnsi" w:hAnsiTheme="majorHAnsi" w:cstheme="majorHAnsi"/>
          <w:sz w:val="22"/>
          <w:szCs w:val="22"/>
        </w:rPr>
      </w:pPr>
    </w:p>
    <w:p w14:paraId="6D29E0A8" w14:textId="77777777" w:rsidR="00460B4E" w:rsidRPr="00936D28" w:rsidRDefault="00460B4E" w:rsidP="00460B4E">
      <w:pPr>
        <w:rPr>
          <w:rFonts w:asciiTheme="majorHAnsi" w:hAnsiTheme="majorHAnsi" w:cstheme="majorHAnsi"/>
          <w:sz w:val="22"/>
          <w:szCs w:val="22"/>
        </w:rPr>
      </w:pPr>
    </w:p>
    <w:p w14:paraId="7A9C9147" w14:textId="6B87454E" w:rsidR="00460B4E" w:rsidRPr="00936D28" w:rsidRDefault="004316C3" w:rsidP="00460B4E">
      <w:pPr>
        <w:rPr>
          <w:rFonts w:asciiTheme="majorHAnsi" w:hAnsiTheme="majorHAnsi" w:cstheme="majorHAnsi"/>
          <w:sz w:val="22"/>
          <w:szCs w:val="22"/>
        </w:rPr>
      </w:pPr>
      <w:r w:rsidRPr="00936D28">
        <w:rPr>
          <w:rFonts w:asciiTheme="majorHAnsi" w:hAnsiTheme="majorHAnsi" w:cstheme="majorHAnsi"/>
          <w:b/>
          <w:sz w:val="22"/>
          <w:szCs w:val="22"/>
        </w:rPr>
        <w:t>Development Advice / Peer Review (undertaken as part of assurance process)</w:t>
      </w:r>
    </w:p>
    <w:tbl>
      <w:tblPr>
        <w:tblStyle w:val="TableGrid"/>
        <w:tblW w:w="9923" w:type="dxa"/>
        <w:tblLayout w:type="fixed"/>
        <w:tblLook w:val="01E0" w:firstRow="1" w:lastRow="1" w:firstColumn="1" w:lastColumn="1" w:noHBand="0" w:noVBand="0"/>
      </w:tblPr>
      <w:tblGrid>
        <w:gridCol w:w="2119"/>
        <w:gridCol w:w="7804"/>
      </w:tblGrid>
      <w:tr w:rsidR="00460B4E" w:rsidRPr="00936D28" w14:paraId="624A0A12" w14:textId="77777777" w:rsidTr="002F05F5">
        <w:trPr>
          <w:trHeight w:val="404"/>
        </w:trPr>
        <w:tc>
          <w:tcPr>
            <w:tcW w:w="2119" w:type="dxa"/>
          </w:tcPr>
          <w:p w14:paraId="6269127B"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Range of input during development</w:t>
            </w:r>
          </w:p>
        </w:tc>
        <w:tc>
          <w:tcPr>
            <w:tcW w:w="7804" w:type="dxa"/>
          </w:tcPr>
          <w:p w14:paraId="73F6E8B3"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Advice and input was received on indicator definitions from Dr Mick Peake, National Clinical Lead for NHS Cancer Improvement and Clinical Lead for the NCIN.</w:t>
            </w:r>
          </w:p>
        </w:tc>
      </w:tr>
      <w:tr w:rsidR="00460B4E" w:rsidRPr="00936D28" w14:paraId="0ED853CB" w14:textId="77777777" w:rsidTr="002F05F5">
        <w:trPr>
          <w:trHeight w:val="413"/>
        </w:trPr>
        <w:tc>
          <w:tcPr>
            <w:tcW w:w="2119" w:type="dxa"/>
          </w:tcPr>
          <w:p w14:paraId="4D7135DF"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Assurance Service</w:t>
            </w:r>
          </w:p>
          <w:p w14:paraId="0B2C83FB" w14:textId="77777777" w:rsidR="00460B4E" w:rsidRPr="00936D28" w:rsidRDefault="00460B4E" w:rsidP="00460B4E">
            <w:pPr>
              <w:rPr>
                <w:rFonts w:asciiTheme="majorHAnsi" w:hAnsiTheme="majorHAnsi" w:cstheme="majorHAnsi"/>
                <w:i/>
                <w:sz w:val="22"/>
                <w:szCs w:val="22"/>
              </w:rPr>
            </w:pPr>
            <w:r w:rsidRPr="00936D28">
              <w:rPr>
                <w:rFonts w:asciiTheme="majorHAnsi" w:hAnsiTheme="majorHAnsi" w:cstheme="majorHAnsi"/>
                <w:sz w:val="22"/>
                <w:szCs w:val="22"/>
              </w:rPr>
              <w:t>Peer Reviewers:</w:t>
            </w:r>
          </w:p>
        </w:tc>
        <w:tc>
          <w:tcPr>
            <w:tcW w:w="7804" w:type="dxa"/>
          </w:tcPr>
          <w:p w14:paraId="45CFF11A"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The indicator was sent for peer review in a pack of five cancer indicators.  No comments were received for this indicator.</w:t>
            </w:r>
          </w:p>
          <w:p w14:paraId="55613FC5" w14:textId="77777777" w:rsidR="00460B4E" w:rsidRPr="00936D28" w:rsidRDefault="00460B4E" w:rsidP="00460B4E">
            <w:pPr>
              <w:rPr>
                <w:rFonts w:asciiTheme="majorHAnsi" w:hAnsiTheme="majorHAnsi" w:cstheme="majorHAnsi"/>
                <w:sz w:val="22"/>
                <w:szCs w:val="22"/>
              </w:rPr>
            </w:pPr>
          </w:p>
        </w:tc>
      </w:tr>
      <w:tr w:rsidR="00460B4E" w:rsidRPr="00936D28" w14:paraId="2D2876AD" w14:textId="77777777" w:rsidTr="002F05F5">
        <w:trPr>
          <w:trHeight w:val="413"/>
        </w:trPr>
        <w:tc>
          <w:tcPr>
            <w:tcW w:w="2119" w:type="dxa"/>
          </w:tcPr>
          <w:p w14:paraId="1C134374"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lastRenderedPageBreak/>
              <w:t>Peer Review summary:</w:t>
            </w:r>
          </w:p>
        </w:tc>
        <w:tc>
          <w:tcPr>
            <w:tcW w:w="7804" w:type="dxa"/>
          </w:tcPr>
          <w:p w14:paraId="2A0F6F2A"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n/a</w:t>
            </w:r>
          </w:p>
        </w:tc>
      </w:tr>
    </w:tbl>
    <w:p w14:paraId="045D8B37" w14:textId="31C53974" w:rsidR="00460B4E" w:rsidRPr="00936D28" w:rsidRDefault="004316C3" w:rsidP="00460B4E">
      <w:pPr>
        <w:rPr>
          <w:rFonts w:asciiTheme="majorHAnsi" w:hAnsiTheme="majorHAnsi" w:cstheme="majorHAnsi"/>
          <w:sz w:val="22"/>
          <w:szCs w:val="22"/>
        </w:rPr>
      </w:pPr>
      <w:r w:rsidRPr="00936D28">
        <w:rPr>
          <w:rFonts w:asciiTheme="majorHAnsi" w:hAnsiTheme="majorHAnsi" w:cstheme="majorHAnsi"/>
          <w:b/>
          <w:sz w:val="22"/>
          <w:szCs w:val="22"/>
        </w:rPr>
        <w:t>Record of MRG Discussion</w:t>
      </w:r>
    </w:p>
    <w:tbl>
      <w:tblPr>
        <w:tblStyle w:val="TableGrid"/>
        <w:tblW w:w="3242" w:type="dxa"/>
        <w:tblLook w:val="01E0" w:firstRow="1" w:lastRow="1" w:firstColumn="1" w:lastColumn="1" w:noHBand="0" w:noVBand="0"/>
      </w:tblPr>
      <w:tblGrid>
        <w:gridCol w:w="2108"/>
        <w:gridCol w:w="1134"/>
      </w:tblGrid>
      <w:tr w:rsidR="004316C3" w:rsidRPr="00936D28" w14:paraId="50B1607B" w14:textId="77777777" w:rsidTr="004316C3">
        <w:tc>
          <w:tcPr>
            <w:tcW w:w="2108" w:type="dxa"/>
          </w:tcPr>
          <w:p w14:paraId="30606E19" w14:textId="77777777" w:rsidR="004316C3" w:rsidRPr="00936D28" w:rsidRDefault="004316C3" w:rsidP="00460B4E">
            <w:pPr>
              <w:rPr>
                <w:rFonts w:asciiTheme="majorHAnsi" w:hAnsiTheme="majorHAnsi" w:cstheme="majorHAnsi"/>
                <w:sz w:val="22"/>
                <w:szCs w:val="22"/>
              </w:rPr>
            </w:pPr>
            <w:r w:rsidRPr="00936D28">
              <w:rPr>
                <w:rFonts w:asciiTheme="majorHAnsi" w:hAnsiTheme="majorHAnsi" w:cstheme="majorHAnsi"/>
                <w:sz w:val="22"/>
                <w:szCs w:val="22"/>
              </w:rPr>
              <w:t xml:space="preserve">Discussion dates: </w:t>
            </w:r>
          </w:p>
        </w:tc>
        <w:tc>
          <w:tcPr>
            <w:tcW w:w="1134" w:type="dxa"/>
          </w:tcPr>
          <w:p w14:paraId="7E6C88EC" w14:textId="77777777" w:rsidR="004316C3" w:rsidRPr="00936D28" w:rsidRDefault="004316C3" w:rsidP="00460B4E">
            <w:pPr>
              <w:rPr>
                <w:rFonts w:asciiTheme="majorHAnsi" w:hAnsiTheme="majorHAnsi" w:cstheme="majorHAnsi"/>
                <w:sz w:val="22"/>
                <w:szCs w:val="22"/>
              </w:rPr>
            </w:pPr>
            <w:r w:rsidRPr="00936D28">
              <w:rPr>
                <w:rFonts w:asciiTheme="majorHAnsi" w:hAnsiTheme="majorHAnsi" w:cstheme="majorHAnsi"/>
                <w:sz w:val="22"/>
                <w:szCs w:val="22"/>
              </w:rPr>
              <w:t xml:space="preserve">07/10/13, </w:t>
            </w:r>
          </w:p>
          <w:p w14:paraId="24CDCFC1" w14:textId="77777777" w:rsidR="004316C3" w:rsidRPr="00936D28" w:rsidRDefault="004316C3" w:rsidP="00460B4E">
            <w:pPr>
              <w:rPr>
                <w:rFonts w:asciiTheme="majorHAnsi" w:hAnsiTheme="majorHAnsi" w:cstheme="majorHAnsi"/>
                <w:sz w:val="22"/>
                <w:szCs w:val="22"/>
              </w:rPr>
            </w:pPr>
          </w:p>
        </w:tc>
      </w:tr>
    </w:tbl>
    <w:p w14:paraId="416EB09E" w14:textId="77777777" w:rsidR="004316C3" w:rsidRDefault="004316C3">
      <w:r>
        <w:t xml:space="preserve">By: </w:t>
      </w:r>
    </w:p>
    <w:tbl>
      <w:tblPr>
        <w:tblStyle w:val="TableGrid"/>
        <w:tblW w:w="5000" w:type="pct"/>
        <w:tblLook w:val="04A0" w:firstRow="1" w:lastRow="0" w:firstColumn="1" w:lastColumn="0" w:noHBand="0" w:noVBand="1"/>
      </w:tblPr>
      <w:tblGrid>
        <w:gridCol w:w="2976"/>
        <w:gridCol w:w="1066"/>
        <w:gridCol w:w="5812"/>
      </w:tblGrid>
      <w:tr w:rsidR="004316C3" w:rsidRPr="00936D28" w14:paraId="233A9F76" w14:textId="77777777" w:rsidTr="000D2587">
        <w:tc>
          <w:tcPr>
            <w:tcW w:w="1510" w:type="pct"/>
          </w:tcPr>
          <w:p w14:paraId="4E7A6E3F" w14:textId="77777777" w:rsidR="004316C3" w:rsidRPr="00936D28" w:rsidRDefault="004316C3" w:rsidP="000D2587">
            <w:pPr>
              <w:rPr>
                <w:rFonts w:asciiTheme="majorHAnsi" w:hAnsiTheme="majorHAnsi" w:cstheme="majorHAnsi"/>
                <w:sz w:val="22"/>
                <w:szCs w:val="22"/>
              </w:rPr>
            </w:pPr>
            <w:r w:rsidRPr="00936D28">
              <w:rPr>
                <w:rFonts w:asciiTheme="majorHAnsi" w:hAnsiTheme="majorHAnsi" w:cstheme="majorHAnsi"/>
                <w:sz w:val="22"/>
                <w:szCs w:val="22"/>
              </w:rPr>
              <w:t>Heather Dawe (chair)</w:t>
            </w:r>
          </w:p>
        </w:tc>
        <w:tc>
          <w:tcPr>
            <w:tcW w:w="541" w:type="pct"/>
          </w:tcPr>
          <w:p w14:paraId="49E4405A" w14:textId="77777777" w:rsidR="004316C3" w:rsidRPr="00936D28" w:rsidRDefault="004316C3" w:rsidP="000D2587">
            <w:pPr>
              <w:rPr>
                <w:rFonts w:asciiTheme="majorHAnsi" w:hAnsiTheme="majorHAnsi" w:cstheme="majorHAnsi"/>
                <w:sz w:val="22"/>
                <w:szCs w:val="22"/>
              </w:rPr>
            </w:pPr>
            <w:r w:rsidRPr="00936D28">
              <w:rPr>
                <w:rFonts w:asciiTheme="majorHAnsi" w:hAnsiTheme="majorHAnsi" w:cstheme="majorHAnsi"/>
                <w:sz w:val="22"/>
                <w:szCs w:val="22"/>
              </w:rPr>
              <w:t>HSCIC</w:t>
            </w:r>
          </w:p>
        </w:tc>
        <w:tc>
          <w:tcPr>
            <w:tcW w:w="2949" w:type="pct"/>
          </w:tcPr>
          <w:p w14:paraId="548591E3" w14:textId="77777777" w:rsidR="004316C3" w:rsidRPr="00936D28" w:rsidRDefault="004316C3" w:rsidP="000D2587">
            <w:pPr>
              <w:rPr>
                <w:rFonts w:asciiTheme="majorHAnsi" w:hAnsiTheme="majorHAnsi" w:cstheme="majorHAnsi"/>
                <w:sz w:val="22"/>
                <w:szCs w:val="22"/>
              </w:rPr>
            </w:pPr>
            <w:r w:rsidRPr="00936D28">
              <w:rPr>
                <w:rFonts w:asciiTheme="majorHAnsi" w:hAnsiTheme="majorHAnsi" w:cstheme="majorHAnsi"/>
                <w:sz w:val="22"/>
                <w:szCs w:val="22"/>
              </w:rPr>
              <w:t>Programme Manager, Clinical Indicators</w:t>
            </w:r>
          </w:p>
        </w:tc>
      </w:tr>
      <w:tr w:rsidR="004316C3" w:rsidRPr="00936D28" w14:paraId="48EEB9A3" w14:textId="77777777" w:rsidTr="000D2587">
        <w:tc>
          <w:tcPr>
            <w:tcW w:w="1510" w:type="pct"/>
          </w:tcPr>
          <w:p w14:paraId="1B043E39" w14:textId="77777777" w:rsidR="004316C3" w:rsidRPr="00936D28" w:rsidRDefault="004316C3" w:rsidP="000D2587">
            <w:pPr>
              <w:rPr>
                <w:rFonts w:asciiTheme="majorHAnsi" w:hAnsiTheme="majorHAnsi" w:cstheme="majorHAnsi"/>
                <w:sz w:val="22"/>
                <w:szCs w:val="22"/>
              </w:rPr>
            </w:pPr>
            <w:r w:rsidRPr="00936D28">
              <w:rPr>
                <w:rFonts w:asciiTheme="majorHAnsi" w:hAnsiTheme="majorHAnsi" w:cstheme="majorHAnsi"/>
                <w:sz w:val="22"/>
                <w:szCs w:val="22"/>
              </w:rPr>
              <w:t>Chris Dew (vice-chair)</w:t>
            </w:r>
          </w:p>
        </w:tc>
        <w:tc>
          <w:tcPr>
            <w:tcW w:w="541" w:type="pct"/>
          </w:tcPr>
          <w:p w14:paraId="0CD3C7B5" w14:textId="77777777" w:rsidR="004316C3" w:rsidRPr="00936D28" w:rsidRDefault="004316C3" w:rsidP="000D2587">
            <w:pPr>
              <w:rPr>
                <w:rFonts w:asciiTheme="majorHAnsi" w:hAnsiTheme="majorHAnsi" w:cstheme="majorHAnsi"/>
                <w:sz w:val="22"/>
                <w:szCs w:val="22"/>
              </w:rPr>
            </w:pPr>
            <w:r w:rsidRPr="00936D28">
              <w:rPr>
                <w:rFonts w:asciiTheme="majorHAnsi" w:hAnsiTheme="majorHAnsi" w:cstheme="majorHAnsi"/>
                <w:sz w:val="22"/>
                <w:szCs w:val="22"/>
              </w:rPr>
              <w:t>HSCIC</w:t>
            </w:r>
          </w:p>
        </w:tc>
        <w:tc>
          <w:tcPr>
            <w:tcW w:w="2949" w:type="pct"/>
          </w:tcPr>
          <w:p w14:paraId="33A12AAB" w14:textId="77777777" w:rsidR="004316C3" w:rsidRPr="00936D28" w:rsidRDefault="004316C3" w:rsidP="000D2587">
            <w:pPr>
              <w:rPr>
                <w:rFonts w:asciiTheme="majorHAnsi" w:hAnsiTheme="majorHAnsi" w:cstheme="majorHAnsi"/>
                <w:sz w:val="22"/>
                <w:szCs w:val="22"/>
              </w:rPr>
            </w:pPr>
            <w:r w:rsidRPr="00936D28">
              <w:rPr>
                <w:rFonts w:asciiTheme="majorHAnsi" w:hAnsiTheme="majorHAnsi" w:cstheme="majorHAnsi"/>
                <w:sz w:val="22"/>
                <w:szCs w:val="22"/>
              </w:rPr>
              <w:t>Section Head, Clinical Indicators</w:t>
            </w:r>
          </w:p>
        </w:tc>
      </w:tr>
      <w:tr w:rsidR="004316C3" w:rsidRPr="00936D28" w14:paraId="7521A818" w14:textId="77777777" w:rsidTr="000D2587">
        <w:tc>
          <w:tcPr>
            <w:tcW w:w="1510" w:type="pct"/>
          </w:tcPr>
          <w:p w14:paraId="0954820D" w14:textId="77777777" w:rsidR="004316C3" w:rsidRPr="00936D28" w:rsidRDefault="004316C3" w:rsidP="000D2587">
            <w:pPr>
              <w:rPr>
                <w:rFonts w:asciiTheme="majorHAnsi" w:hAnsiTheme="majorHAnsi" w:cstheme="majorHAnsi"/>
                <w:sz w:val="22"/>
                <w:szCs w:val="22"/>
              </w:rPr>
            </w:pPr>
            <w:r w:rsidRPr="00936D28">
              <w:rPr>
                <w:rFonts w:asciiTheme="majorHAnsi" w:hAnsiTheme="majorHAnsi" w:cstheme="majorHAnsi"/>
                <w:sz w:val="22"/>
                <w:szCs w:val="22"/>
              </w:rPr>
              <w:t>Paul Fryers</w:t>
            </w:r>
          </w:p>
        </w:tc>
        <w:tc>
          <w:tcPr>
            <w:tcW w:w="541" w:type="pct"/>
          </w:tcPr>
          <w:p w14:paraId="0A0DEC6A" w14:textId="77777777" w:rsidR="004316C3" w:rsidRPr="00936D28" w:rsidRDefault="004316C3" w:rsidP="000D2587">
            <w:pPr>
              <w:rPr>
                <w:rFonts w:asciiTheme="majorHAnsi" w:hAnsiTheme="majorHAnsi" w:cstheme="majorHAnsi"/>
                <w:sz w:val="22"/>
                <w:szCs w:val="22"/>
              </w:rPr>
            </w:pPr>
            <w:r w:rsidRPr="00936D28">
              <w:rPr>
                <w:rFonts w:asciiTheme="majorHAnsi" w:hAnsiTheme="majorHAnsi" w:cstheme="majorHAnsi"/>
                <w:sz w:val="22"/>
                <w:szCs w:val="22"/>
              </w:rPr>
              <w:t>PHE</w:t>
            </w:r>
          </w:p>
        </w:tc>
        <w:tc>
          <w:tcPr>
            <w:tcW w:w="2949" w:type="pct"/>
          </w:tcPr>
          <w:p w14:paraId="5333611E" w14:textId="77777777" w:rsidR="004316C3" w:rsidRPr="00936D28" w:rsidRDefault="004316C3" w:rsidP="000D2587">
            <w:pPr>
              <w:rPr>
                <w:rFonts w:asciiTheme="majorHAnsi" w:hAnsiTheme="majorHAnsi" w:cstheme="majorHAnsi"/>
                <w:sz w:val="22"/>
                <w:szCs w:val="22"/>
              </w:rPr>
            </w:pPr>
            <w:r w:rsidRPr="00936D28">
              <w:rPr>
                <w:rFonts w:asciiTheme="majorHAnsi" w:hAnsiTheme="majorHAnsi" w:cstheme="majorHAnsi"/>
                <w:sz w:val="22"/>
                <w:szCs w:val="22"/>
              </w:rPr>
              <w:t>Deputy Director, East Midlands Knowledge and Intelligence Team</w:t>
            </w:r>
          </w:p>
        </w:tc>
      </w:tr>
      <w:tr w:rsidR="004316C3" w:rsidRPr="00936D28" w14:paraId="5853204B" w14:textId="77777777" w:rsidTr="000D2587">
        <w:tc>
          <w:tcPr>
            <w:tcW w:w="1510" w:type="pct"/>
          </w:tcPr>
          <w:p w14:paraId="273A85A6" w14:textId="77777777" w:rsidR="004316C3" w:rsidRPr="00936D28" w:rsidRDefault="004316C3" w:rsidP="000D2587">
            <w:pPr>
              <w:rPr>
                <w:rFonts w:asciiTheme="majorHAnsi" w:hAnsiTheme="majorHAnsi" w:cstheme="majorHAnsi"/>
                <w:sz w:val="22"/>
                <w:szCs w:val="22"/>
              </w:rPr>
            </w:pPr>
            <w:r w:rsidRPr="00936D28">
              <w:rPr>
                <w:rFonts w:asciiTheme="majorHAnsi" w:hAnsiTheme="majorHAnsi" w:cstheme="majorHAnsi"/>
                <w:sz w:val="22"/>
                <w:szCs w:val="22"/>
              </w:rPr>
              <w:t>Julie Henderson</w:t>
            </w:r>
          </w:p>
        </w:tc>
        <w:tc>
          <w:tcPr>
            <w:tcW w:w="541" w:type="pct"/>
          </w:tcPr>
          <w:p w14:paraId="0B25FE8F" w14:textId="77777777" w:rsidR="004316C3" w:rsidRPr="00936D28" w:rsidRDefault="004316C3" w:rsidP="000D2587">
            <w:pPr>
              <w:rPr>
                <w:rFonts w:asciiTheme="majorHAnsi" w:hAnsiTheme="majorHAnsi" w:cstheme="majorHAnsi"/>
                <w:sz w:val="22"/>
                <w:szCs w:val="22"/>
              </w:rPr>
            </w:pPr>
            <w:r w:rsidRPr="00936D28">
              <w:rPr>
                <w:rFonts w:asciiTheme="majorHAnsi" w:hAnsiTheme="majorHAnsi" w:cstheme="majorHAnsi"/>
                <w:sz w:val="22"/>
                <w:szCs w:val="22"/>
              </w:rPr>
              <w:t>HSCIC</w:t>
            </w:r>
          </w:p>
        </w:tc>
        <w:tc>
          <w:tcPr>
            <w:tcW w:w="2949" w:type="pct"/>
          </w:tcPr>
          <w:p w14:paraId="4BA371D7" w14:textId="77777777" w:rsidR="004316C3" w:rsidRPr="00936D28" w:rsidRDefault="004316C3" w:rsidP="000D2587">
            <w:pPr>
              <w:rPr>
                <w:rFonts w:asciiTheme="majorHAnsi" w:hAnsiTheme="majorHAnsi" w:cstheme="majorHAnsi"/>
                <w:sz w:val="22"/>
                <w:szCs w:val="22"/>
              </w:rPr>
            </w:pPr>
            <w:r w:rsidRPr="00936D28">
              <w:rPr>
                <w:rFonts w:asciiTheme="majorHAnsi" w:hAnsiTheme="majorHAnsi" w:cstheme="majorHAnsi"/>
                <w:sz w:val="22"/>
                <w:szCs w:val="22"/>
              </w:rPr>
              <w:t xml:space="preserve">Programme Head, Clinical Analysis </w:t>
            </w:r>
          </w:p>
        </w:tc>
      </w:tr>
      <w:tr w:rsidR="004316C3" w:rsidRPr="00936D28" w14:paraId="2C3314E9" w14:textId="77777777" w:rsidTr="000D2587">
        <w:tc>
          <w:tcPr>
            <w:tcW w:w="1510" w:type="pct"/>
          </w:tcPr>
          <w:p w14:paraId="080AB943" w14:textId="77777777" w:rsidR="004316C3" w:rsidRPr="00936D28" w:rsidRDefault="004316C3" w:rsidP="000D2587">
            <w:pPr>
              <w:rPr>
                <w:rFonts w:asciiTheme="majorHAnsi" w:hAnsiTheme="majorHAnsi" w:cstheme="majorHAnsi"/>
                <w:sz w:val="22"/>
                <w:szCs w:val="22"/>
              </w:rPr>
            </w:pPr>
            <w:r w:rsidRPr="00936D28">
              <w:rPr>
                <w:rFonts w:asciiTheme="majorHAnsi" w:hAnsiTheme="majorHAnsi" w:cstheme="majorHAnsi"/>
                <w:sz w:val="22"/>
                <w:szCs w:val="22"/>
              </w:rPr>
              <w:t>Andy Sutherland</w:t>
            </w:r>
          </w:p>
        </w:tc>
        <w:tc>
          <w:tcPr>
            <w:tcW w:w="541" w:type="pct"/>
          </w:tcPr>
          <w:p w14:paraId="1E71F4EA" w14:textId="77777777" w:rsidR="004316C3" w:rsidRPr="00936D28" w:rsidRDefault="004316C3" w:rsidP="000D2587">
            <w:pPr>
              <w:rPr>
                <w:rFonts w:asciiTheme="majorHAnsi" w:hAnsiTheme="majorHAnsi" w:cstheme="majorHAnsi"/>
                <w:sz w:val="22"/>
                <w:szCs w:val="22"/>
              </w:rPr>
            </w:pPr>
            <w:r w:rsidRPr="00936D28">
              <w:rPr>
                <w:rFonts w:asciiTheme="majorHAnsi" w:hAnsiTheme="majorHAnsi" w:cstheme="majorHAnsi"/>
                <w:sz w:val="22"/>
                <w:szCs w:val="22"/>
              </w:rPr>
              <w:t>HSCIC</w:t>
            </w:r>
          </w:p>
        </w:tc>
        <w:tc>
          <w:tcPr>
            <w:tcW w:w="2949" w:type="pct"/>
          </w:tcPr>
          <w:p w14:paraId="14CD89FB" w14:textId="77777777" w:rsidR="004316C3" w:rsidRPr="00936D28" w:rsidRDefault="004316C3" w:rsidP="000D2587">
            <w:pPr>
              <w:rPr>
                <w:rFonts w:asciiTheme="majorHAnsi" w:hAnsiTheme="majorHAnsi" w:cstheme="majorHAnsi"/>
                <w:sz w:val="22"/>
                <w:szCs w:val="22"/>
              </w:rPr>
            </w:pPr>
            <w:r w:rsidRPr="00936D28">
              <w:rPr>
                <w:rFonts w:asciiTheme="majorHAnsi" w:hAnsiTheme="majorHAnsi" w:cstheme="majorHAnsi"/>
                <w:sz w:val="22"/>
                <w:szCs w:val="22"/>
              </w:rPr>
              <w:t>Statistics Head of Profession</w:t>
            </w:r>
          </w:p>
        </w:tc>
      </w:tr>
      <w:tr w:rsidR="004316C3" w:rsidRPr="00936D28" w14:paraId="631792FB" w14:textId="77777777" w:rsidTr="000D2587">
        <w:tc>
          <w:tcPr>
            <w:tcW w:w="1510" w:type="pct"/>
          </w:tcPr>
          <w:p w14:paraId="3EB6075C" w14:textId="77777777" w:rsidR="004316C3" w:rsidRPr="00936D28" w:rsidRDefault="004316C3" w:rsidP="000D2587">
            <w:pPr>
              <w:rPr>
                <w:rFonts w:asciiTheme="majorHAnsi" w:hAnsiTheme="majorHAnsi" w:cstheme="majorHAnsi"/>
                <w:sz w:val="22"/>
                <w:szCs w:val="22"/>
              </w:rPr>
            </w:pPr>
            <w:r w:rsidRPr="00936D28">
              <w:rPr>
                <w:rFonts w:asciiTheme="majorHAnsi" w:hAnsiTheme="majorHAnsi" w:cstheme="majorHAnsi"/>
                <w:sz w:val="22"/>
                <w:szCs w:val="22"/>
              </w:rPr>
              <w:t>Alyson Whitmarsh</w:t>
            </w:r>
          </w:p>
        </w:tc>
        <w:tc>
          <w:tcPr>
            <w:tcW w:w="541" w:type="pct"/>
          </w:tcPr>
          <w:p w14:paraId="684530A8" w14:textId="77777777" w:rsidR="004316C3" w:rsidRPr="00936D28" w:rsidRDefault="004316C3" w:rsidP="000D2587">
            <w:pPr>
              <w:rPr>
                <w:rFonts w:asciiTheme="majorHAnsi" w:hAnsiTheme="majorHAnsi" w:cstheme="majorHAnsi"/>
                <w:sz w:val="22"/>
                <w:szCs w:val="22"/>
              </w:rPr>
            </w:pPr>
            <w:r w:rsidRPr="00936D28">
              <w:rPr>
                <w:rFonts w:asciiTheme="majorHAnsi" w:hAnsiTheme="majorHAnsi" w:cstheme="majorHAnsi"/>
                <w:sz w:val="22"/>
                <w:szCs w:val="22"/>
              </w:rPr>
              <w:t>HSCIC</w:t>
            </w:r>
          </w:p>
        </w:tc>
        <w:tc>
          <w:tcPr>
            <w:tcW w:w="2949" w:type="pct"/>
          </w:tcPr>
          <w:p w14:paraId="41688DE0" w14:textId="77777777" w:rsidR="004316C3" w:rsidRPr="00936D28" w:rsidRDefault="004316C3" w:rsidP="000D2587">
            <w:pPr>
              <w:rPr>
                <w:rFonts w:asciiTheme="majorHAnsi" w:hAnsiTheme="majorHAnsi" w:cstheme="majorHAnsi"/>
                <w:sz w:val="22"/>
                <w:szCs w:val="22"/>
              </w:rPr>
            </w:pPr>
            <w:r w:rsidRPr="00936D28">
              <w:rPr>
                <w:rFonts w:asciiTheme="majorHAnsi" w:hAnsiTheme="majorHAnsi" w:cstheme="majorHAnsi"/>
                <w:sz w:val="22"/>
                <w:szCs w:val="22"/>
              </w:rPr>
              <w:t>Programme Manager, Clinical Audit</w:t>
            </w:r>
          </w:p>
        </w:tc>
      </w:tr>
    </w:tbl>
    <w:p w14:paraId="6FEA8864" w14:textId="7925FD2D" w:rsidR="004316C3" w:rsidRDefault="004316C3"/>
    <w:p w14:paraId="1DB663F9" w14:textId="77777777" w:rsidR="004316C3" w:rsidRDefault="004316C3"/>
    <w:tbl>
      <w:tblPr>
        <w:tblStyle w:val="TableGrid"/>
        <w:tblW w:w="9923" w:type="dxa"/>
        <w:tblLook w:val="01E0" w:firstRow="1" w:lastRow="1" w:firstColumn="1" w:lastColumn="1" w:noHBand="0" w:noVBand="0"/>
      </w:tblPr>
      <w:tblGrid>
        <w:gridCol w:w="2108"/>
        <w:gridCol w:w="7815"/>
      </w:tblGrid>
      <w:tr w:rsidR="004316C3" w:rsidRPr="00936D28" w14:paraId="0F083330" w14:textId="77777777" w:rsidTr="004316C3">
        <w:tc>
          <w:tcPr>
            <w:tcW w:w="2108" w:type="dxa"/>
          </w:tcPr>
          <w:p w14:paraId="0F22DD63" w14:textId="310611F7" w:rsidR="004316C3" w:rsidRPr="00936D28" w:rsidRDefault="004316C3" w:rsidP="00460B4E">
            <w:pPr>
              <w:rPr>
                <w:rFonts w:asciiTheme="majorHAnsi" w:hAnsiTheme="majorHAnsi" w:cstheme="majorHAnsi"/>
                <w:sz w:val="22"/>
                <w:szCs w:val="22"/>
              </w:rPr>
            </w:pPr>
            <w:r w:rsidRPr="00936D28">
              <w:rPr>
                <w:rFonts w:asciiTheme="majorHAnsi" w:hAnsiTheme="majorHAnsi" w:cstheme="majorHAnsi"/>
                <w:sz w:val="22"/>
                <w:szCs w:val="22"/>
              </w:rPr>
              <w:t>Summary of MRG discussions:</w:t>
            </w:r>
          </w:p>
        </w:tc>
        <w:tc>
          <w:tcPr>
            <w:tcW w:w="7815" w:type="dxa"/>
          </w:tcPr>
          <w:p w14:paraId="218E496C" w14:textId="77777777" w:rsidR="004316C3" w:rsidRPr="00936D28" w:rsidRDefault="004316C3" w:rsidP="004316C3">
            <w:pPr>
              <w:contextualSpacing/>
              <w:rPr>
                <w:rFonts w:asciiTheme="majorHAnsi" w:hAnsiTheme="majorHAnsi" w:cstheme="majorHAnsi"/>
                <w:sz w:val="22"/>
                <w:szCs w:val="22"/>
              </w:rPr>
            </w:pPr>
            <w:r w:rsidRPr="00936D28">
              <w:rPr>
                <w:rFonts w:asciiTheme="majorHAnsi" w:hAnsiTheme="majorHAnsi" w:cstheme="majorHAnsi"/>
                <w:sz w:val="22"/>
                <w:szCs w:val="22"/>
              </w:rPr>
              <w:t>Appraisal against Criteria:</w:t>
            </w:r>
          </w:p>
          <w:p w14:paraId="6AA3841B" w14:textId="77777777" w:rsidR="004316C3" w:rsidRPr="00936D28" w:rsidRDefault="004316C3" w:rsidP="004316C3">
            <w:pPr>
              <w:contextualSpacing/>
              <w:rPr>
                <w:rFonts w:asciiTheme="majorHAnsi" w:hAnsiTheme="majorHAnsi" w:cstheme="majorHAnsi"/>
                <w:b/>
                <w:sz w:val="22"/>
                <w:szCs w:val="22"/>
              </w:rPr>
            </w:pPr>
          </w:p>
          <w:p w14:paraId="1E0FF1C7" w14:textId="77777777" w:rsidR="004316C3" w:rsidRPr="00936D28" w:rsidRDefault="004316C3" w:rsidP="004316C3">
            <w:pPr>
              <w:contextualSpacing/>
              <w:rPr>
                <w:rFonts w:asciiTheme="majorHAnsi" w:hAnsiTheme="majorHAnsi" w:cstheme="majorHAnsi"/>
                <w:b/>
                <w:sz w:val="22"/>
                <w:szCs w:val="22"/>
              </w:rPr>
            </w:pPr>
            <w:r w:rsidRPr="00936D28">
              <w:rPr>
                <w:rFonts w:asciiTheme="majorHAnsi" w:hAnsiTheme="majorHAnsi" w:cstheme="majorHAnsi"/>
                <w:b/>
                <w:sz w:val="22"/>
                <w:szCs w:val="22"/>
              </w:rPr>
              <w:t>Clarity</w:t>
            </w:r>
          </w:p>
          <w:p w14:paraId="64BB1D55" w14:textId="77777777" w:rsidR="004316C3" w:rsidRPr="00936D28" w:rsidRDefault="004316C3" w:rsidP="004316C3">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MRG felt it was not clear from the title that only certain cancers were measured and it was assumed that the list of cancers was the same as the other cancer indicators.</w:t>
            </w:r>
          </w:p>
          <w:p w14:paraId="79612F00" w14:textId="77777777" w:rsidR="004316C3" w:rsidRPr="00936D28" w:rsidRDefault="004316C3" w:rsidP="004316C3">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Clarity of which cancers are included in the indicator is included in the Specification. In the detailed descriptor and the introduction, it also makes reference to the fact that this indicator differs to the other two specific CCG OIS cancer indicators.</w:t>
            </w:r>
          </w:p>
          <w:p w14:paraId="20550D23" w14:textId="77777777" w:rsidR="004316C3" w:rsidRPr="00936D28" w:rsidRDefault="004316C3" w:rsidP="004316C3">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The applicant updated the group that the list of cancers used is the same as those used for the Public Health Outcome Framework indicator, with the same name. A wider issue of whether the PH indicator should be changed too was raised.</w:t>
            </w:r>
          </w:p>
          <w:p w14:paraId="36BA1314" w14:textId="77777777" w:rsidR="004316C3" w:rsidRPr="00936D28" w:rsidRDefault="004316C3" w:rsidP="004316C3">
            <w:pPr>
              <w:contextualSpacing/>
              <w:rPr>
                <w:rFonts w:asciiTheme="majorHAnsi" w:hAnsiTheme="majorHAnsi" w:cstheme="majorHAnsi"/>
                <w:sz w:val="22"/>
                <w:szCs w:val="22"/>
              </w:rPr>
            </w:pPr>
            <w:r w:rsidRPr="00936D28">
              <w:rPr>
                <w:rFonts w:asciiTheme="majorHAnsi" w:hAnsiTheme="majorHAnsi" w:cstheme="majorHAnsi"/>
                <w:b/>
                <w:sz w:val="22"/>
                <w:szCs w:val="22"/>
              </w:rPr>
              <w:t xml:space="preserve">Rationale / Purpose:   </w:t>
            </w:r>
            <w:r w:rsidRPr="00936D28">
              <w:rPr>
                <w:rFonts w:asciiTheme="majorHAnsi" w:hAnsiTheme="majorHAnsi" w:cstheme="majorHAnsi"/>
                <w:sz w:val="22"/>
                <w:szCs w:val="22"/>
              </w:rPr>
              <w:t>No further comments were raised by MRG</w:t>
            </w:r>
          </w:p>
          <w:p w14:paraId="1B7AC667" w14:textId="77777777" w:rsidR="004316C3" w:rsidRPr="00936D28" w:rsidRDefault="004316C3" w:rsidP="004316C3">
            <w:pPr>
              <w:rPr>
                <w:rFonts w:asciiTheme="majorHAnsi" w:hAnsiTheme="majorHAnsi" w:cstheme="majorHAnsi"/>
                <w:sz w:val="22"/>
                <w:szCs w:val="22"/>
              </w:rPr>
            </w:pPr>
          </w:p>
          <w:p w14:paraId="501A129E"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b/>
                <w:sz w:val="22"/>
                <w:szCs w:val="22"/>
              </w:rPr>
              <w:t xml:space="preserve">Data :  </w:t>
            </w:r>
            <w:r w:rsidRPr="00936D28">
              <w:rPr>
                <w:rFonts w:asciiTheme="majorHAnsi" w:hAnsiTheme="majorHAnsi" w:cstheme="majorHAnsi"/>
                <w:sz w:val="22"/>
                <w:szCs w:val="22"/>
              </w:rPr>
              <w:t>No further comments were raised by MRG</w:t>
            </w:r>
          </w:p>
          <w:p w14:paraId="13490FE4" w14:textId="77777777" w:rsidR="004316C3" w:rsidRPr="00936D28" w:rsidRDefault="004316C3" w:rsidP="004316C3">
            <w:pPr>
              <w:contextualSpacing/>
              <w:rPr>
                <w:rFonts w:asciiTheme="majorHAnsi" w:hAnsiTheme="majorHAnsi" w:cstheme="majorHAnsi"/>
                <w:sz w:val="22"/>
                <w:szCs w:val="22"/>
              </w:rPr>
            </w:pPr>
          </w:p>
          <w:p w14:paraId="74F36528" w14:textId="77777777" w:rsidR="004316C3" w:rsidRPr="00936D28" w:rsidRDefault="004316C3" w:rsidP="004316C3">
            <w:pPr>
              <w:contextualSpacing/>
              <w:rPr>
                <w:rFonts w:asciiTheme="majorHAnsi" w:hAnsiTheme="majorHAnsi" w:cstheme="majorHAnsi"/>
                <w:b/>
                <w:sz w:val="22"/>
                <w:szCs w:val="22"/>
              </w:rPr>
            </w:pPr>
            <w:r w:rsidRPr="00936D28">
              <w:rPr>
                <w:rFonts w:asciiTheme="majorHAnsi" w:hAnsiTheme="majorHAnsi" w:cstheme="majorHAnsi"/>
                <w:b/>
                <w:sz w:val="22"/>
                <w:szCs w:val="22"/>
              </w:rPr>
              <w:t>Construction:</w:t>
            </w:r>
          </w:p>
          <w:p w14:paraId="387CACBD" w14:textId="77777777" w:rsidR="004316C3" w:rsidRPr="00936D28" w:rsidRDefault="004316C3" w:rsidP="004316C3">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It was questioned whether it was planned to aggregate all cancers on the list at CCG level, and the applicant confirmed this was the case.</w:t>
            </w:r>
          </w:p>
          <w:p w14:paraId="21FB9638" w14:textId="77777777" w:rsidR="004316C3" w:rsidRPr="00936D28" w:rsidRDefault="004316C3" w:rsidP="004316C3">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 xml:space="preserve">It was clarified by the applicant that the numerator is measuring the cases that are both diagnosed and recorded; therefore, there will be patients </w:t>
            </w:r>
            <w:r w:rsidRPr="00936D28">
              <w:rPr>
                <w:rFonts w:asciiTheme="majorHAnsi" w:hAnsiTheme="majorHAnsi" w:cstheme="majorHAnsi"/>
                <w:sz w:val="22"/>
                <w:szCs w:val="22"/>
              </w:rPr>
              <w:lastRenderedPageBreak/>
              <w:t>who did not have a stage recorded which will be in the denominator but not in the numerator. However, all cancers in the denominator have the potential to be recorded.</w:t>
            </w:r>
          </w:p>
          <w:p w14:paraId="78211F60" w14:textId="77777777" w:rsidR="004316C3" w:rsidRPr="00936D28" w:rsidRDefault="004316C3" w:rsidP="004316C3">
            <w:pPr>
              <w:contextualSpacing/>
              <w:rPr>
                <w:rFonts w:asciiTheme="majorHAnsi" w:hAnsiTheme="majorHAnsi" w:cstheme="majorHAnsi"/>
                <w:sz w:val="22"/>
                <w:szCs w:val="22"/>
              </w:rPr>
            </w:pPr>
            <w:r w:rsidRPr="00936D28">
              <w:rPr>
                <w:rFonts w:asciiTheme="majorHAnsi" w:hAnsiTheme="majorHAnsi" w:cstheme="majorHAnsi"/>
                <w:b/>
                <w:sz w:val="22"/>
                <w:szCs w:val="22"/>
              </w:rPr>
              <w:t xml:space="preserve">Interpretation:   </w:t>
            </w:r>
            <w:r w:rsidRPr="00936D28">
              <w:rPr>
                <w:rFonts w:asciiTheme="majorHAnsi" w:hAnsiTheme="majorHAnsi" w:cstheme="majorHAnsi"/>
                <w:sz w:val="22"/>
                <w:szCs w:val="22"/>
              </w:rPr>
              <w:t>No further comments were raised by MRG</w:t>
            </w:r>
          </w:p>
          <w:p w14:paraId="29BD9765" w14:textId="77777777" w:rsidR="004316C3" w:rsidRPr="00936D28" w:rsidRDefault="004316C3" w:rsidP="004316C3">
            <w:pPr>
              <w:contextualSpacing/>
              <w:rPr>
                <w:rFonts w:asciiTheme="majorHAnsi" w:hAnsiTheme="majorHAnsi" w:cstheme="majorHAnsi"/>
                <w:sz w:val="22"/>
                <w:szCs w:val="22"/>
              </w:rPr>
            </w:pPr>
          </w:p>
          <w:p w14:paraId="6965B85C" w14:textId="77777777" w:rsidR="004316C3" w:rsidRPr="00936D28" w:rsidRDefault="004316C3" w:rsidP="004316C3">
            <w:pPr>
              <w:contextualSpacing/>
              <w:rPr>
                <w:rFonts w:asciiTheme="majorHAnsi" w:hAnsiTheme="majorHAnsi" w:cstheme="majorHAnsi"/>
                <w:sz w:val="22"/>
                <w:szCs w:val="22"/>
              </w:rPr>
            </w:pPr>
            <w:r w:rsidRPr="00936D28">
              <w:rPr>
                <w:rFonts w:asciiTheme="majorHAnsi" w:hAnsiTheme="majorHAnsi" w:cstheme="majorHAnsi"/>
                <w:b/>
                <w:sz w:val="22"/>
                <w:szCs w:val="22"/>
              </w:rPr>
              <w:t xml:space="preserve">Risks and Usefulness:   </w:t>
            </w:r>
            <w:r w:rsidRPr="00936D28">
              <w:rPr>
                <w:rFonts w:asciiTheme="majorHAnsi" w:hAnsiTheme="majorHAnsi" w:cstheme="majorHAnsi"/>
                <w:sz w:val="22"/>
                <w:szCs w:val="22"/>
              </w:rPr>
              <w:t>No further comments were raised by MRG</w:t>
            </w:r>
          </w:p>
          <w:p w14:paraId="4793E014" w14:textId="77777777" w:rsidR="004316C3" w:rsidRPr="00936D28" w:rsidRDefault="004316C3" w:rsidP="00460B4E">
            <w:pPr>
              <w:contextualSpacing/>
              <w:rPr>
                <w:rFonts w:asciiTheme="majorHAnsi" w:hAnsiTheme="majorHAnsi" w:cstheme="majorHAnsi"/>
                <w:sz w:val="22"/>
                <w:szCs w:val="22"/>
              </w:rPr>
            </w:pPr>
          </w:p>
        </w:tc>
      </w:tr>
    </w:tbl>
    <w:p w14:paraId="7F594370" w14:textId="77777777" w:rsidR="004316C3" w:rsidRDefault="004316C3"/>
    <w:tbl>
      <w:tblPr>
        <w:tblStyle w:val="TableGrid"/>
        <w:tblW w:w="9923" w:type="dxa"/>
        <w:tblLook w:val="01E0" w:firstRow="1" w:lastRow="1" w:firstColumn="1" w:lastColumn="1" w:noHBand="0" w:noVBand="0"/>
      </w:tblPr>
      <w:tblGrid>
        <w:gridCol w:w="2108"/>
        <w:gridCol w:w="6523"/>
        <w:gridCol w:w="711"/>
        <w:gridCol w:w="581"/>
      </w:tblGrid>
      <w:tr w:rsidR="004316C3" w:rsidRPr="00936D28" w14:paraId="32D92426" w14:textId="77777777" w:rsidTr="004316C3">
        <w:trPr>
          <w:trHeight w:val="228"/>
        </w:trPr>
        <w:tc>
          <w:tcPr>
            <w:tcW w:w="2108" w:type="dxa"/>
          </w:tcPr>
          <w:p w14:paraId="0C6E38D8" w14:textId="408FE945"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i/>
                <w:sz w:val="22"/>
                <w:szCs w:val="22"/>
              </w:rPr>
              <w:t>Outcome of MRG consideration:</w:t>
            </w:r>
          </w:p>
        </w:tc>
        <w:tc>
          <w:tcPr>
            <w:tcW w:w="6523" w:type="dxa"/>
          </w:tcPr>
          <w:p w14:paraId="7B877E3F" w14:textId="09F9F646" w:rsidR="004316C3" w:rsidRPr="00936D28" w:rsidRDefault="004316C3" w:rsidP="004316C3">
            <w:pPr>
              <w:pStyle w:val="ListParagraph"/>
              <w:numPr>
                <w:ilvl w:val="0"/>
                <w:numId w:val="19"/>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No significant issues identified</w:t>
            </w:r>
          </w:p>
        </w:tc>
        <w:sdt>
          <w:sdtPr>
            <w:rPr>
              <w:rFonts w:asciiTheme="majorHAnsi" w:hAnsiTheme="majorHAnsi" w:cstheme="majorHAnsi"/>
              <w:sz w:val="22"/>
              <w:szCs w:val="22"/>
            </w:rPr>
            <w:id w:val="690415130"/>
            <w14:checkbox>
              <w14:checked w14:val="1"/>
              <w14:checkedState w14:val="2612" w14:font="MS Gothic"/>
              <w14:uncheckedState w14:val="2610" w14:font="MS Gothic"/>
            </w14:checkbox>
          </w:sdtPr>
          <w:sdtContent>
            <w:tc>
              <w:tcPr>
                <w:tcW w:w="711" w:type="dxa"/>
              </w:tcPr>
              <w:p w14:paraId="1803378B" w14:textId="55697EF2" w:rsidR="004316C3" w:rsidRDefault="004316C3" w:rsidP="004316C3">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81" w:type="dxa"/>
          </w:tcPr>
          <w:p w14:paraId="4E767E53" w14:textId="77777777" w:rsidR="004316C3" w:rsidRPr="00936D28" w:rsidRDefault="004316C3" w:rsidP="004316C3">
            <w:pPr>
              <w:rPr>
                <w:rFonts w:asciiTheme="majorHAnsi" w:hAnsiTheme="majorHAnsi" w:cstheme="majorHAnsi"/>
                <w:b/>
                <w:sz w:val="22"/>
                <w:szCs w:val="22"/>
              </w:rPr>
            </w:pPr>
          </w:p>
        </w:tc>
      </w:tr>
      <w:tr w:rsidR="004316C3" w:rsidRPr="00936D28" w14:paraId="4DF9CF96" w14:textId="77777777" w:rsidTr="004316C3">
        <w:trPr>
          <w:trHeight w:val="228"/>
        </w:trPr>
        <w:tc>
          <w:tcPr>
            <w:tcW w:w="2108" w:type="dxa"/>
          </w:tcPr>
          <w:p w14:paraId="482698FC" w14:textId="77777777" w:rsidR="004316C3" w:rsidRPr="00936D28" w:rsidRDefault="004316C3" w:rsidP="004316C3">
            <w:pPr>
              <w:rPr>
                <w:rFonts w:asciiTheme="majorHAnsi" w:hAnsiTheme="majorHAnsi" w:cstheme="majorHAnsi"/>
                <w:sz w:val="22"/>
                <w:szCs w:val="22"/>
              </w:rPr>
            </w:pPr>
          </w:p>
        </w:tc>
        <w:tc>
          <w:tcPr>
            <w:tcW w:w="6523" w:type="dxa"/>
          </w:tcPr>
          <w:p w14:paraId="0BC7E19A" w14:textId="4B37E780" w:rsidR="004316C3" w:rsidRPr="00936D28" w:rsidRDefault="004316C3" w:rsidP="004316C3">
            <w:pPr>
              <w:pStyle w:val="ListParagraph"/>
              <w:numPr>
                <w:ilvl w:val="0"/>
                <w:numId w:val="19"/>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No significant issues on basis of completion of outstanding actions</w:t>
            </w:r>
          </w:p>
        </w:tc>
        <w:sdt>
          <w:sdtPr>
            <w:rPr>
              <w:rFonts w:asciiTheme="majorHAnsi" w:hAnsiTheme="majorHAnsi" w:cstheme="majorHAnsi"/>
              <w:sz w:val="22"/>
              <w:szCs w:val="22"/>
            </w:rPr>
            <w:id w:val="-267306365"/>
            <w14:checkbox>
              <w14:checked w14:val="0"/>
              <w14:checkedState w14:val="2612" w14:font="MS Gothic"/>
              <w14:uncheckedState w14:val="2610" w14:font="MS Gothic"/>
            </w14:checkbox>
          </w:sdtPr>
          <w:sdtContent>
            <w:tc>
              <w:tcPr>
                <w:tcW w:w="711" w:type="dxa"/>
              </w:tcPr>
              <w:p w14:paraId="0E26938F" w14:textId="3AB8EE52" w:rsidR="004316C3" w:rsidRDefault="004316C3" w:rsidP="004316C3">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81" w:type="dxa"/>
          </w:tcPr>
          <w:p w14:paraId="78F79AC7" w14:textId="77777777" w:rsidR="004316C3" w:rsidRPr="00936D28" w:rsidRDefault="004316C3" w:rsidP="004316C3">
            <w:pPr>
              <w:rPr>
                <w:rFonts w:asciiTheme="majorHAnsi" w:hAnsiTheme="majorHAnsi" w:cstheme="majorHAnsi"/>
                <w:b/>
                <w:sz w:val="22"/>
                <w:szCs w:val="22"/>
              </w:rPr>
            </w:pPr>
          </w:p>
        </w:tc>
      </w:tr>
      <w:tr w:rsidR="004316C3" w:rsidRPr="00936D28" w14:paraId="78E5AAB7" w14:textId="77777777" w:rsidTr="004316C3">
        <w:trPr>
          <w:trHeight w:val="228"/>
        </w:trPr>
        <w:tc>
          <w:tcPr>
            <w:tcW w:w="2108" w:type="dxa"/>
          </w:tcPr>
          <w:p w14:paraId="28F5A81A" w14:textId="77777777" w:rsidR="004316C3" w:rsidRPr="00936D28" w:rsidRDefault="004316C3" w:rsidP="004316C3">
            <w:pPr>
              <w:rPr>
                <w:rFonts w:asciiTheme="majorHAnsi" w:hAnsiTheme="majorHAnsi" w:cstheme="majorHAnsi"/>
                <w:sz w:val="22"/>
                <w:szCs w:val="22"/>
              </w:rPr>
            </w:pPr>
          </w:p>
        </w:tc>
        <w:tc>
          <w:tcPr>
            <w:tcW w:w="6523" w:type="dxa"/>
          </w:tcPr>
          <w:p w14:paraId="733EC269" w14:textId="639B8AF1" w:rsidR="004316C3" w:rsidRPr="00936D28" w:rsidRDefault="004316C3" w:rsidP="004316C3">
            <w:pPr>
              <w:pStyle w:val="ListParagraph"/>
              <w:numPr>
                <w:ilvl w:val="0"/>
                <w:numId w:val="19"/>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Some concerns expressed as caveats or limitations</w:t>
            </w:r>
          </w:p>
        </w:tc>
        <w:sdt>
          <w:sdtPr>
            <w:rPr>
              <w:rFonts w:asciiTheme="majorHAnsi" w:hAnsiTheme="majorHAnsi" w:cstheme="majorHAnsi"/>
              <w:sz w:val="22"/>
              <w:szCs w:val="22"/>
            </w:rPr>
            <w:id w:val="-160393179"/>
            <w14:checkbox>
              <w14:checked w14:val="0"/>
              <w14:checkedState w14:val="2612" w14:font="MS Gothic"/>
              <w14:uncheckedState w14:val="2610" w14:font="MS Gothic"/>
            </w14:checkbox>
          </w:sdtPr>
          <w:sdtContent>
            <w:tc>
              <w:tcPr>
                <w:tcW w:w="711" w:type="dxa"/>
              </w:tcPr>
              <w:p w14:paraId="49B53599" w14:textId="612E2082" w:rsidR="004316C3" w:rsidRDefault="004316C3" w:rsidP="004316C3">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81" w:type="dxa"/>
          </w:tcPr>
          <w:p w14:paraId="47D6075F" w14:textId="77777777" w:rsidR="004316C3" w:rsidRPr="00936D28" w:rsidRDefault="004316C3" w:rsidP="004316C3">
            <w:pPr>
              <w:rPr>
                <w:rFonts w:asciiTheme="majorHAnsi" w:hAnsiTheme="majorHAnsi" w:cstheme="majorHAnsi"/>
                <w:b/>
                <w:sz w:val="22"/>
                <w:szCs w:val="22"/>
              </w:rPr>
            </w:pPr>
          </w:p>
        </w:tc>
      </w:tr>
      <w:tr w:rsidR="004316C3" w:rsidRPr="00936D28" w14:paraId="57CC11F8" w14:textId="77777777" w:rsidTr="004316C3">
        <w:trPr>
          <w:trHeight w:val="228"/>
        </w:trPr>
        <w:tc>
          <w:tcPr>
            <w:tcW w:w="2108" w:type="dxa"/>
          </w:tcPr>
          <w:p w14:paraId="4ED768D5" w14:textId="77777777" w:rsidR="004316C3" w:rsidRPr="00936D28" w:rsidRDefault="004316C3" w:rsidP="004316C3">
            <w:pPr>
              <w:rPr>
                <w:rFonts w:asciiTheme="majorHAnsi" w:hAnsiTheme="majorHAnsi" w:cstheme="majorHAnsi"/>
                <w:sz w:val="22"/>
                <w:szCs w:val="22"/>
              </w:rPr>
            </w:pPr>
          </w:p>
        </w:tc>
        <w:tc>
          <w:tcPr>
            <w:tcW w:w="6523" w:type="dxa"/>
          </w:tcPr>
          <w:p w14:paraId="38DD94B6" w14:textId="41A1F6B7" w:rsidR="004316C3" w:rsidRPr="00936D28" w:rsidRDefault="004316C3" w:rsidP="004316C3">
            <w:pPr>
              <w:pStyle w:val="ListParagraph"/>
              <w:numPr>
                <w:ilvl w:val="0"/>
                <w:numId w:val="19"/>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Significant reservations</w:t>
            </w:r>
          </w:p>
        </w:tc>
        <w:sdt>
          <w:sdtPr>
            <w:rPr>
              <w:rFonts w:asciiTheme="majorHAnsi" w:hAnsiTheme="majorHAnsi" w:cstheme="majorHAnsi"/>
              <w:sz w:val="22"/>
              <w:szCs w:val="22"/>
            </w:rPr>
            <w:id w:val="298738673"/>
            <w14:checkbox>
              <w14:checked w14:val="0"/>
              <w14:checkedState w14:val="2612" w14:font="MS Gothic"/>
              <w14:uncheckedState w14:val="2610" w14:font="MS Gothic"/>
            </w14:checkbox>
          </w:sdtPr>
          <w:sdtContent>
            <w:tc>
              <w:tcPr>
                <w:tcW w:w="711" w:type="dxa"/>
              </w:tcPr>
              <w:p w14:paraId="279EE216" w14:textId="7D829C00" w:rsidR="004316C3" w:rsidRDefault="004316C3" w:rsidP="004316C3">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81" w:type="dxa"/>
          </w:tcPr>
          <w:p w14:paraId="155422E9" w14:textId="77777777" w:rsidR="004316C3" w:rsidRPr="00936D28" w:rsidRDefault="004316C3" w:rsidP="004316C3">
            <w:pPr>
              <w:rPr>
                <w:rFonts w:asciiTheme="majorHAnsi" w:hAnsiTheme="majorHAnsi" w:cstheme="majorHAnsi"/>
                <w:b/>
                <w:sz w:val="22"/>
                <w:szCs w:val="22"/>
              </w:rPr>
            </w:pPr>
          </w:p>
        </w:tc>
      </w:tr>
      <w:tr w:rsidR="004316C3" w:rsidRPr="00936D28" w14:paraId="22D753B4" w14:textId="77777777" w:rsidTr="004316C3">
        <w:trPr>
          <w:trHeight w:val="228"/>
        </w:trPr>
        <w:tc>
          <w:tcPr>
            <w:tcW w:w="2108" w:type="dxa"/>
          </w:tcPr>
          <w:p w14:paraId="0549986E" w14:textId="77777777" w:rsidR="004316C3" w:rsidRPr="00936D28" w:rsidRDefault="004316C3" w:rsidP="004316C3">
            <w:pPr>
              <w:rPr>
                <w:rFonts w:asciiTheme="majorHAnsi" w:hAnsiTheme="majorHAnsi" w:cstheme="majorHAnsi"/>
                <w:sz w:val="22"/>
                <w:szCs w:val="22"/>
              </w:rPr>
            </w:pPr>
          </w:p>
        </w:tc>
        <w:tc>
          <w:tcPr>
            <w:tcW w:w="6523" w:type="dxa"/>
          </w:tcPr>
          <w:p w14:paraId="7369688F" w14:textId="16A79DD2" w:rsidR="004316C3" w:rsidRPr="00936D28" w:rsidRDefault="004316C3" w:rsidP="004316C3">
            <w:pPr>
              <w:pStyle w:val="ListParagraph"/>
              <w:numPr>
                <w:ilvl w:val="0"/>
                <w:numId w:val="19"/>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Unresolved issues</w:t>
            </w:r>
          </w:p>
        </w:tc>
        <w:sdt>
          <w:sdtPr>
            <w:rPr>
              <w:rFonts w:asciiTheme="majorHAnsi" w:hAnsiTheme="majorHAnsi" w:cstheme="majorHAnsi"/>
              <w:sz w:val="22"/>
              <w:szCs w:val="22"/>
            </w:rPr>
            <w:id w:val="1599292997"/>
            <w14:checkbox>
              <w14:checked w14:val="0"/>
              <w14:checkedState w14:val="2612" w14:font="MS Gothic"/>
              <w14:uncheckedState w14:val="2610" w14:font="MS Gothic"/>
            </w14:checkbox>
          </w:sdtPr>
          <w:sdtContent>
            <w:tc>
              <w:tcPr>
                <w:tcW w:w="711" w:type="dxa"/>
              </w:tcPr>
              <w:p w14:paraId="2DDD236C" w14:textId="375E3178" w:rsidR="004316C3" w:rsidRDefault="004316C3" w:rsidP="004316C3">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81" w:type="dxa"/>
          </w:tcPr>
          <w:p w14:paraId="17A4A840" w14:textId="77777777" w:rsidR="004316C3" w:rsidRPr="00936D28" w:rsidRDefault="004316C3" w:rsidP="004316C3">
            <w:pPr>
              <w:rPr>
                <w:rFonts w:asciiTheme="majorHAnsi" w:hAnsiTheme="majorHAnsi" w:cstheme="majorHAnsi"/>
                <w:b/>
                <w:sz w:val="22"/>
                <w:szCs w:val="22"/>
              </w:rPr>
            </w:pPr>
          </w:p>
        </w:tc>
      </w:tr>
    </w:tbl>
    <w:p w14:paraId="50EC113D" w14:textId="77777777" w:rsidR="004316C3" w:rsidRDefault="004316C3"/>
    <w:tbl>
      <w:tblPr>
        <w:tblStyle w:val="TableGrid"/>
        <w:tblW w:w="9923" w:type="dxa"/>
        <w:tblLook w:val="01E0" w:firstRow="1" w:lastRow="1" w:firstColumn="1" w:lastColumn="1" w:noHBand="0" w:noVBand="0"/>
      </w:tblPr>
      <w:tblGrid>
        <w:gridCol w:w="2108"/>
        <w:gridCol w:w="7815"/>
      </w:tblGrid>
      <w:tr w:rsidR="004316C3" w:rsidRPr="00936D28" w14:paraId="5CEBCB21" w14:textId="77777777" w:rsidTr="004316C3">
        <w:trPr>
          <w:trHeight w:val="805"/>
        </w:trPr>
        <w:tc>
          <w:tcPr>
            <w:tcW w:w="2108" w:type="dxa"/>
          </w:tcPr>
          <w:p w14:paraId="10F97DBE" w14:textId="2DDAE578"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MRG statement of recommendation:</w:t>
            </w:r>
          </w:p>
        </w:tc>
        <w:tc>
          <w:tcPr>
            <w:tcW w:w="7815" w:type="dxa"/>
          </w:tcPr>
          <w:p w14:paraId="4E598FBB" w14:textId="41A1E7F0" w:rsidR="004316C3" w:rsidRPr="00936D28" w:rsidRDefault="004316C3" w:rsidP="004316C3">
            <w:pPr>
              <w:contextualSpacing/>
              <w:rPr>
                <w:rFonts w:asciiTheme="majorHAnsi" w:hAnsiTheme="majorHAnsi" w:cstheme="majorHAnsi"/>
                <w:sz w:val="22"/>
                <w:szCs w:val="22"/>
              </w:rPr>
            </w:pPr>
            <w:r w:rsidRPr="00936D28">
              <w:rPr>
                <w:rFonts w:asciiTheme="majorHAnsi" w:hAnsiTheme="majorHAnsi" w:cstheme="majorHAnsi"/>
                <w:sz w:val="22"/>
                <w:szCs w:val="22"/>
              </w:rPr>
              <w:t>This indicator was recommended for discussion by IGB on completion of the above recommendations.</w:t>
            </w:r>
          </w:p>
        </w:tc>
      </w:tr>
    </w:tbl>
    <w:p w14:paraId="7B712CBE" w14:textId="46B656EB" w:rsidR="00460B4E" w:rsidRPr="00936D28" w:rsidRDefault="00460B4E" w:rsidP="00460B4E">
      <w:pPr>
        <w:ind w:left="-851"/>
        <w:rPr>
          <w:rFonts w:asciiTheme="majorHAnsi" w:hAnsiTheme="majorHAnsi" w:cstheme="majorHAnsi"/>
          <w:sz w:val="22"/>
          <w:szCs w:val="22"/>
        </w:rPr>
      </w:pPr>
    </w:p>
    <w:p w14:paraId="5C3156ED" w14:textId="6BE0AEF7" w:rsidR="00000D88" w:rsidRPr="00936D28" w:rsidRDefault="00000D88" w:rsidP="00460B4E">
      <w:pPr>
        <w:ind w:left="-851"/>
        <w:rPr>
          <w:rFonts w:asciiTheme="majorHAnsi" w:hAnsiTheme="majorHAnsi" w:cstheme="majorHAnsi"/>
          <w:sz w:val="22"/>
          <w:szCs w:val="22"/>
        </w:rPr>
      </w:pPr>
    </w:p>
    <w:p w14:paraId="25A53703" w14:textId="4E3C3C8A" w:rsidR="00000D88" w:rsidRPr="00936D28" w:rsidRDefault="00000D88" w:rsidP="00460B4E">
      <w:pPr>
        <w:ind w:left="-851"/>
        <w:rPr>
          <w:rFonts w:asciiTheme="majorHAnsi" w:hAnsiTheme="majorHAnsi" w:cstheme="majorHAnsi"/>
          <w:sz w:val="22"/>
          <w:szCs w:val="22"/>
        </w:rPr>
      </w:pPr>
    </w:p>
    <w:p w14:paraId="77EB5ACA" w14:textId="1B06DD5D" w:rsidR="00000D88" w:rsidRPr="00936D28" w:rsidRDefault="00000D88" w:rsidP="00460B4E">
      <w:pPr>
        <w:ind w:left="-851"/>
        <w:rPr>
          <w:rFonts w:asciiTheme="majorHAnsi" w:hAnsiTheme="majorHAnsi" w:cstheme="majorHAnsi"/>
          <w:sz w:val="22"/>
          <w:szCs w:val="22"/>
        </w:rPr>
      </w:pPr>
    </w:p>
    <w:p w14:paraId="7166F480" w14:textId="15BEC9CA" w:rsidR="00000D88" w:rsidRPr="00936D28" w:rsidRDefault="00000D88" w:rsidP="00460B4E">
      <w:pPr>
        <w:ind w:left="-851"/>
        <w:rPr>
          <w:rFonts w:asciiTheme="majorHAnsi" w:hAnsiTheme="majorHAnsi" w:cstheme="majorHAnsi"/>
          <w:sz w:val="22"/>
          <w:szCs w:val="22"/>
        </w:rPr>
      </w:pPr>
    </w:p>
    <w:p w14:paraId="53500474" w14:textId="77777777" w:rsidR="00000D88" w:rsidRPr="00936D28" w:rsidRDefault="00000D88" w:rsidP="00460B4E">
      <w:pPr>
        <w:ind w:left="-851"/>
        <w:rPr>
          <w:rFonts w:asciiTheme="majorHAnsi" w:hAnsiTheme="majorHAnsi" w:cstheme="majorHAnsi"/>
          <w:sz w:val="22"/>
          <w:szCs w:val="22"/>
        </w:rPr>
      </w:pPr>
    </w:p>
    <w:p w14:paraId="3FCE6A49" w14:textId="77777777" w:rsidR="00460B4E" w:rsidRPr="00936D28" w:rsidRDefault="00460B4E" w:rsidP="00460B4E">
      <w:pPr>
        <w:ind w:left="-851"/>
        <w:rPr>
          <w:rFonts w:asciiTheme="majorHAnsi" w:hAnsiTheme="majorHAnsi" w:cstheme="majorHAnsi"/>
          <w:sz w:val="22"/>
          <w:szCs w:val="22"/>
        </w:rPr>
      </w:pPr>
      <w:r w:rsidRPr="00936D28">
        <w:rPr>
          <w:rFonts w:asciiTheme="majorHAnsi" w:hAnsiTheme="majorHAnsi" w:cstheme="majorHAnsi"/>
          <w:sz w:val="22"/>
          <w:szCs w:val="22"/>
        </w:rPr>
        <w:t>Review:</w:t>
      </w:r>
    </w:p>
    <w:p w14:paraId="6CD056B2" w14:textId="7A181904" w:rsidR="00460B4E" w:rsidRPr="00936D28" w:rsidRDefault="004316C3" w:rsidP="00460B4E">
      <w:pPr>
        <w:ind w:left="-851"/>
        <w:rPr>
          <w:rFonts w:asciiTheme="majorHAnsi" w:hAnsiTheme="majorHAnsi" w:cstheme="majorHAnsi"/>
          <w:sz w:val="22"/>
          <w:szCs w:val="22"/>
        </w:rPr>
      </w:pPr>
      <w:r w:rsidRPr="00936D28">
        <w:rPr>
          <w:rFonts w:asciiTheme="majorHAnsi" w:hAnsiTheme="majorHAnsi" w:cstheme="majorHAnsi"/>
          <w:b/>
          <w:sz w:val="22"/>
          <w:szCs w:val="22"/>
        </w:rPr>
        <w:t>Review</w:t>
      </w:r>
    </w:p>
    <w:tbl>
      <w:tblPr>
        <w:tblStyle w:val="TableGrid"/>
        <w:tblW w:w="2127" w:type="dxa"/>
        <w:tblLayout w:type="fixed"/>
        <w:tblLook w:val="01E0" w:firstRow="1" w:lastRow="1" w:firstColumn="1" w:lastColumn="1" w:noHBand="0" w:noVBand="0"/>
      </w:tblPr>
      <w:tblGrid>
        <w:gridCol w:w="1418"/>
        <w:gridCol w:w="709"/>
      </w:tblGrid>
      <w:tr w:rsidR="004316C3" w:rsidRPr="00936D28" w14:paraId="6AA7A45A" w14:textId="77777777" w:rsidTr="004316C3">
        <w:trPr>
          <w:trHeight w:val="285"/>
        </w:trPr>
        <w:tc>
          <w:tcPr>
            <w:tcW w:w="1418" w:type="dxa"/>
          </w:tcPr>
          <w:p w14:paraId="2CB92E47" w14:textId="29926236" w:rsidR="004316C3" w:rsidRPr="00936D28" w:rsidRDefault="004316C3" w:rsidP="00460B4E">
            <w:pPr>
              <w:rPr>
                <w:rFonts w:asciiTheme="majorHAnsi" w:hAnsiTheme="majorHAnsi" w:cstheme="majorHAnsi"/>
                <w:b/>
                <w:sz w:val="22"/>
                <w:szCs w:val="22"/>
              </w:rPr>
            </w:pPr>
            <w:r w:rsidRPr="00936D28">
              <w:rPr>
                <w:rFonts w:asciiTheme="majorHAnsi" w:hAnsiTheme="majorHAnsi" w:cstheme="majorHAnsi"/>
                <w:sz w:val="22"/>
                <w:szCs w:val="22"/>
              </w:rPr>
              <w:t>Review Timescale</w:t>
            </w:r>
          </w:p>
        </w:tc>
        <w:tc>
          <w:tcPr>
            <w:tcW w:w="709" w:type="dxa"/>
          </w:tcPr>
          <w:p w14:paraId="57311A15" w14:textId="77777777" w:rsidR="004316C3" w:rsidRDefault="004316C3" w:rsidP="00460B4E">
            <w:pPr>
              <w:jc w:val="center"/>
              <w:rPr>
                <w:rFonts w:asciiTheme="majorHAnsi" w:hAnsiTheme="majorHAnsi" w:cstheme="majorHAnsi"/>
                <w:sz w:val="22"/>
                <w:szCs w:val="22"/>
              </w:rPr>
            </w:pPr>
          </w:p>
        </w:tc>
      </w:tr>
      <w:tr w:rsidR="004316C3" w:rsidRPr="00936D28" w14:paraId="10A486BD" w14:textId="77777777" w:rsidTr="004316C3">
        <w:trPr>
          <w:trHeight w:val="285"/>
        </w:trPr>
        <w:tc>
          <w:tcPr>
            <w:tcW w:w="1418" w:type="dxa"/>
          </w:tcPr>
          <w:p w14:paraId="5A9A7747" w14:textId="77777777" w:rsidR="004316C3" w:rsidRPr="00936D28" w:rsidRDefault="004316C3" w:rsidP="00460B4E">
            <w:pPr>
              <w:rPr>
                <w:rFonts w:asciiTheme="majorHAnsi" w:hAnsiTheme="majorHAnsi" w:cstheme="majorHAnsi"/>
                <w:sz w:val="22"/>
                <w:szCs w:val="22"/>
              </w:rPr>
            </w:pPr>
            <w:r w:rsidRPr="00936D28">
              <w:rPr>
                <w:rFonts w:asciiTheme="majorHAnsi" w:hAnsiTheme="majorHAnsi" w:cstheme="majorHAnsi"/>
                <w:b/>
                <w:sz w:val="22"/>
                <w:szCs w:val="22"/>
              </w:rPr>
              <w:t>1 year</w:t>
            </w:r>
          </w:p>
        </w:tc>
        <w:sdt>
          <w:sdtPr>
            <w:rPr>
              <w:rFonts w:asciiTheme="majorHAnsi" w:hAnsiTheme="majorHAnsi" w:cstheme="majorHAnsi"/>
              <w:sz w:val="22"/>
              <w:szCs w:val="22"/>
            </w:rPr>
            <w:id w:val="660434807"/>
            <w14:checkbox>
              <w14:checked w14:val="0"/>
              <w14:checkedState w14:val="2612" w14:font="MS Gothic"/>
              <w14:uncheckedState w14:val="2610" w14:font="MS Gothic"/>
            </w14:checkbox>
          </w:sdtPr>
          <w:sdtContent>
            <w:tc>
              <w:tcPr>
                <w:tcW w:w="709" w:type="dxa"/>
              </w:tcPr>
              <w:p w14:paraId="72DECB5C" w14:textId="77777777" w:rsidR="004316C3" w:rsidRPr="00936D28" w:rsidRDefault="004316C3" w:rsidP="00460B4E">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r>
      <w:tr w:rsidR="004316C3" w:rsidRPr="00936D28" w14:paraId="100456AF" w14:textId="77777777" w:rsidTr="004316C3">
        <w:trPr>
          <w:trHeight w:val="285"/>
        </w:trPr>
        <w:tc>
          <w:tcPr>
            <w:tcW w:w="1418" w:type="dxa"/>
          </w:tcPr>
          <w:p w14:paraId="12D1B975" w14:textId="77777777" w:rsidR="004316C3" w:rsidRPr="00936D28" w:rsidRDefault="004316C3" w:rsidP="00460B4E">
            <w:pPr>
              <w:rPr>
                <w:rFonts w:asciiTheme="majorHAnsi" w:hAnsiTheme="majorHAnsi" w:cstheme="majorHAnsi"/>
                <w:sz w:val="22"/>
                <w:szCs w:val="22"/>
              </w:rPr>
            </w:pPr>
            <w:r w:rsidRPr="00936D28">
              <w:rPr>
                <w:rFonts w:asciiTheme="majorHAnsi" w:hAnsiTheme="majorHAnsi" w:cstheme="majorHAnsi"/>
                <w:b/>
                <w:sz w:val="22"/>
                <w:szCs w:val="22"/>
              </w:rPr>
              <w:t>3 years</w:t>
            </w:r>
          </w:p>
        </w:tc>
        <w:sdt>
          <w:sdtPr>
            <w:rPr>
              <w:rFonts w:asciiTheme="majorHAnsi" w:hAnsiTheme="majorHAnsi" w:cstheme="majorHAnsi"/>
              <w:sz w:val="22"/>
              <w:szCs w:val="22"/>
            </w:rPr>
            <w:id w:val="2085177142"/>
            <w14:checkbox>
              <w14:checked w14:val="1"/>
              <w14:checkedState w14:val="2612" w14:font="MS Gothic"/>
              <w14:uncheckedState w14:val="2610" w14:font="MS Gothic"/>
            </w14:checkbox>
          </w:sdtPr>
          <w:sdtContent>
            <w:tc>
              <w:tcPr>
                <w:tcW w:w="709" w:type="dxa"/>
              </w:tcPr>
              <w:p w14:paraId="12C48B35" w14:textId="77777777" w:rsidR="004316C3" w:rsidRPr="00936D28" w:rsidRDefault="004316C3" w:rsidP="00460B4E">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r>
      <w:tr w:rsidR="004316C3" w:rsidRPr="00936D28" w14:paraId="1993B6D2" w14:textId="77777777" w:rsidTr="004316C3">
        <w:trPr>
          <w:trHeight w:val="285"/>
        </w:trPr>
        <w:tc>
          <w:tcPr>
            <w:tcW w:w="1418" w:type="dxa"/>
          </w:tcPr>
          <w:p w14:paraId="117E2F79" w14:textId="77777777" w:rsidR="004316C3" w:rsidRPr="00936D28" w:rsidRDefault="004316C3" w:rsidP="00460B4E">
            <w:pPr>
              <w:rPr>
                <w:rFonts w:asciiTheme="majorHAnsi" w:hAnsiTheme="majorHAnsi" w:cstheme="majorHAnsi"/>
                <w:sz w:val="22"/>
                <w:szCs w:val="22"/>
              </w:rPr>
            </w:pPr>
            <w:r w:rsidRPr="00936D28">
              <w:rPr>
                <w:rFonts w:asciiTheme="majorHAnsi" w:hAnsiTheme="majorHAnsi" w:cstheme="majorHAnsi"/>
                <w:b/>
                <w:sz w:val="22"/>
                <w:szCs w:val="22"/>
              </w:rPr>
              <w:t>Other:</w:t>
            </w:r>
          </w:p>
        </w:tc>
        <w:sdt>
          <w:sdtPr>
            <w:rPr>
              <w:rFonts w:asciiTheme="majorHAnsi" w:hAnsiTheme="majorHAnsi" w:cstheme="majorHAnsi"/>
              <w:sz w:val="22"/>
              <w:szCs w:val="22"/>
            </w:rPr>
            <w:id w:val="651038188"/>
            <w14:checkbox>
              <w14:checked w14:val="0"/>
              <w14:checkedState w14:val="2612" w14:font="MS Gothic"/>
              <w14:uncheckedState w14:val="2610" w14:font="MS Gothic"/>
            </w14:checkbox>
          </w:sdtPr>
          <w:sdtContent>
            <w:tc>
              <w:tcPr>
                <w:tcW w:w="709" w:type="dxa"/>
              </w:tcPr>
              <w:p w14:paraId="30EFFBC4" w14:textId="77777777" w:rsidR="004316C3" w:rsidRPr="00936D28" w:rsidRDefault="004316C3" w:rsidP="00460B4E">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r>
    </w:tbl>
    <w:p w14:paraId="19555806"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 xml:space="preserve">Rationale      </w:t>
      </w:r>
      <w:proofErr w:type="gramStart"/>
      <w:r w:rsidRPr="00936D28">
        <w:rPr>
          <w:rFonts w:asciiTheme="majorHAnsi" w:hAnsiTheme="majorHAnsi" w:cstheme="majorHAnsi"/>
          <w:sz w:val="22"/>
          <w:szCs w:val="22"/>
        </w:rPr>
        <w:t xml:space="preserve">   [</w:t>
      </w:r>
      <w:proofErr w:type="gramEnd"/>
      <w:r w:rsidRPr="00936D28">
        <w:rPr>
          <w:rFonts w:asciiTheme="majorHAnsi" w:hAnsiTheme="majorHAnsi" w:cstheme="majorHAnsi"/>
          <w:sz w:val="22"/>
          <w:szCs w:val="22"/>
        </w:rPr>
        <w:t>Issues to consider  – Changes to process, policy data source, coding definitions HES definitions ]</w:t>
      </w:r>
    </w:p>
    <w:p w14:paraId="7A1EABA7" w14:textId="77777777" w:rsidR="004316C3" w:rsidRPr="00936D28" w:rsidRDefault="004316C3" w:rsidP="004316C3">
      <w:pPr>
        <w:rPr>
          <w:rFonts w:asciiTheme="majorHAnsi" w:hAnsiTheme="majorHAnsi" w:cstheme="majorHAnsi"/>
          <w:sz w:val="22"/>
          <w:szCs w:val="22"/>
        </w:rPr>
      </w:pPr>
    </w:p>
    <w:p w14:paraId="05AC1ED5" w14:textId="77777777" w:rsidR="004316C3" w:rsidRPr="00936D28" w:rsidRDefault="004316C3" w:rsidP="004316C3">
      <w:pPr>
        <w:rPr>
          <w:rFonts w:asciiTheme="majorHAnsi" w:hAnsiTheme="majorHAnsi" w:cstheme="majorHAnsi"/>
          <w:sz w:val="22"/>
          <w:szCs w:val="22"/>
        </w:rPr>
      </w:pPr>
      <w:r w:rsidRPr="00936D28">
        <w:rPr>
          <w:rFonts w:asciiTheme="majorHAnsi" w:hAnsiTheme="majorHAnsi" w:cstheme="majorHAnsi"/>
          <w:sz w:val="22"/>
          <w:szCs w:val="22"/>
        </w:rPr>
        <w:t>The indicator is recommended for review in three years on the rationale that no changes to methodology are anticipated.</w:t>
      </w:r>
    </w:p>
    <w:p w14:paraId="52D95215" w14:textId="77777777" w:rsidR="00460B4E" w:rsidRPr="00936D28" w:rsidRDefault="00460B4E" w:rsidP="00460B4E">
      <w:pPr>
        <w:rPr>
          <w:rFonts w:asciiTheme="majorHAnsi" w:hAnsiTheme="majorHAnsi" w:cstheme="majorHAnsi"/>
          <w:sz w:val="22"/>
          <w:szCs w:val="22"/>
        </w:rPr>
      </w:pPr>
    </w:p>
    <w:p w14:paraId="762ED305" w14:textId="77777777" w:rsidR="00460B4E" w:rsidRPr="00936D28" w:rsidRDefault="00460B4E" w:rsidP="00460B4E">
      <w:pPr>
        <w:rPr>
          <w:rFonts w:asciiTheme="majorHAnsi" w:hAnsiTheme="majorHAnsi" w:cstheme="majorHAnsi"/>
          <w:sz w:val="22"/>
          <w:szCs w:val="22"/>
        </w:rPr>
      </w:pPr>
    </w:p>
    <w:p w14:paraId="7D6251D0" w14:textId="77777777" w:rsidR="00460B4E" w:rsidRPr="00936D28" w:rsidRDefault="00460B4E" w:rsidP="00460B4E">
      <w:pPr>
        <w:tabs>
          <w:tab w:val="left" w:pos="2830"/>
        </w:tabs>
        <w:ind w:left="-851"/>
        <w:rPr>
          <w:rFonts w:asciiTheme="majorHAnsi" w:hAnsiTheme="majorHAnsi" w:cstheme="majorHAnsi"/>
          <w:sz w:val="22"/>
          <w:szCs w:val="22"/>
        </w:rPr>
      </w:pPr>
      <w:r w:rsidRPr="00936D28">
        <w:rPr>
          <w:rFonts w:asciiTheme="majorHAnsi" w:hAnsiTheme="majorHAnsi" w:cstheme="majorHAnsi"/>
          <w:sz w:val="22"/>
          <w:szCs w:val="22"/>
        </w:rPr>
        <w:t xml:space="preserve">IGB Sign-off: </w:t>
      </w:r>
    </w:p>
    <w:p w14:paraId="3FE98116" w14:textId="2FF41EDE" w:rsidR="00460B4E" w:rsidRPr="00936D28" w:rsidRDefault="004316C3" w:rsidP="00460B4E">
      <w:pPr>
        <w:rPr>
          <w:rFonts w:asciiTheme="majorHAnsi" w:hAnsiTheme="majorHAnsi" w:cstheme="majorHAnsi"/>
          <w:sz w:val="22"/>
          <w:szCs w:val="22"/>
        </w:rPr>
      </w:pPr>
      <w:r w:rsidRPr="00936D28">
        <w:rPr>
          <w:rFonts w:asciiTheme="majorHAnsi" w:hAnsiTheme="majorHAnsi" w:cstheme="majorHAnsi"/>
          <w:b/>
          <w:sz w:val="22"/>
          <w:szCs w:val="22"/>
        </w:rPr>
        <w:t>Indicator Assurance Process Output</w:t>
      </w:r>
    </w:p>
    <w:tbl>
      <w:tblPr>
        <w:tblStyle w:val="TableGrid"/>
        <w:tblW w:w="9923" w:type="dxa"/>
        <w:tblLayout w:type="fixed"/>
        <w:tblLook w:val="01E0" w:firstRow="1" w:lastRow="1" w:firstColumn="1" w:lastColumn="1" w:noHBand="0" w:noVBand="0"/>
      </w:tblPr>
      <w:tblGrid>
        <w:gridCol w:w="2124"/>
        <w:gridCol w:w="6509"/>
        <w:gridCol w:w="713"/>
        <w:gridCol w:w="577"/>
      </w:tblGrid>
      <w:tr w:rsidR="000D2587" w:rsidRPr="00936D28" w14:paraId="0BB29B6A" w14:textId="77777777" w:rsidTr="002F05F5">
        <w:trPr>
          <w:trHeight w:val="228"/>
        </w:trPr>
        <w:tc>
          <w:tcPr>
            <w:tcW w:w="2124" w:type="dxa"/>
          </w:tcPr>
          <w:p w14:paraId="27E8A8E3" w14:textId="2C67A8CD"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i/>
                <w:sz w:val="22"/>
                <w:szCs w:val="22"/>
              </w:rPr>
              <w:t>Final Appraisal Status</w:t>
            </w:r>
          </w:p>
        </w:tc>
        <w:tc>
          <w:tcPr>
            <w:tcW w:w="6509" w:type="dxa"/>
          </w:tcPr>
          <w:p w14:paraId="23A3E7BB" w14:textId="577504A6" w:rsidR="000D2587" w:rsidRPr="00936D28" w:rsidRDefault="000D2587" w:rsidP="000D2587">
            <w:pPr>
              <w:pStyle w:val="ListParagraph"/>
              <w:numPr>
                <w:ilvl w:val="0"/>
                <w:numId w:val="23"/>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Assured</w:t>
            </w:r>
          </w:p>
        </w:tc>
        <w:sdt>
          <w:sdtPr>
            <w:rPr>
              <w:rFonts w:asciiTheme="majorHAnsi" w:hAnsiTheme="majorHAnsi" w:cstheme="majorHAnsi"/>
              <w:sz w:val="22"/>
              <w:szCs w:val="22"/>
            </w:rPr>
            <w:id w:val="1837874328"/>
            <w14:checkbox>
              <w14:checked w14:val="0"/>
              <w14:checkedState w14:val="2612" w14:font="MS Gothic"/>
              <w14:uncheckedState w14:val="2610" w14:font="MS Gothic"/>
            </w14:checkbox>
          </w:sdtPr>
          <w:sdtContent>
            <w:tc>
              <w:tcPr>
                <w:tcW w:w="713" w:type="dxa"/>
              </w:tcPr>
              <w:p w14:paraId="61FDC48D" w14:textId="3F402860" w:rsidR="000D2587" w:rsidRDefault="000D2587" w:rsidP="000D2587">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77" w:type="dxa"/>
          </w:tcPr>
          <w:p w14:paraId="5F6A4A55" w14:textId="77777777" w:rsidR="000D2587" w:rsidRPr="00936D28" w:rsidRDefault="000D2587" w:rsidP="000D2587">
            <w:pPr>
              <w:rPr>
                <w:rFonts w:asciiTheme="majorHAnsi" w:hAnsiTheme="majorHAnsi" w:cstheme="majorHAnsi"/>
                <w:b/>
                <w:sz w:val="22"/>
                <w:szCs w:val="22"/>
              </w:rPr>
            </w:pPr>
          </w:p>
        </w:tc>
      </w:tr>
      <w:tr w:rsidR="000D2587" w:rsidRPr="00936D28" w14:paraId="685F56C8" w14:textId="77777777" w:rsidTr="002F05F5">
        <w:trPr>
          <w:trHeight w:val="228"/>
        </w:trPr>
        <w:tc>
          <w:tcPr>
            <w:tcW w:w="2124" w:type="dxa"/>
          </w:tcPr>
          <w:p w14:paraId="783FD907" w14:textId="77777777" w:rsidR="000D2587" w:rsidRPr="00936D28" w:rsidRDefault="000D2587" w:rsidP="000D2587">
            <w:pPr>
              <w:rPr>
                <w:rFonts w:asciiTheme="majorHAnsi" w:hAnsiTheme="majorHAnsi" w:cstheme="majorHAnsi"/>
                <w:sz w:val="22"/>
                <w:szCs w:val="22"/>
              </w:rPr>
            </w:pPr>
          </w:p>
        </w:tc>
        <w:tc>
          <w:tcPr>
            <w:tcW w:w="6509" w:type="dxa"/>
          </w:tcPr>
          <w:p w14:paraId="4475D9BA" w14:textId="1B59BD13" w:rsidR="000D2587" w:rsidRPr="00936D28" w:rsidRDefault="000D2587" w:rsidP="000D2587">
            <w:pPr>
              <w:pStyle w:val="ListParagraph"/>
              <w:numPr>
                <w:ilvl w:val="0"/>
                <w:numId w:val="23"/>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Assured with Comments</w:t>
            </w:r>
          </w:p>
        </w:tc>
        <w:sdt>
          <w:sdtPr>
            <w:rPr>
              <w:rFonts w:asciiTheme="majorHAnsi" w:hAnsiTheme="majorHAnsi" w:cstheme="majorHAnsi"/>
              <w:sz w:val="22"/>
              <w:szCs w:val="22"/>
            </w:rPr>
            <w:id w:val="2093964048"/>
            <w14:checkbox>
              <w14:checked w14:val="0"/>
              <w14:checkedState w14:val="2612" w14:font="MS Gothic"/>
              <w14:uncheckedState w14:val="2610" w14:font="MS Gothic"/>
            </w14:checkbox>
          </w:sdtPr>
          <w:sdtContent>
            <w:tc>
              <w:tcPr>
                <w:tcW w:w="713" w:type="dxa"/>
              </w:tcPr>
              <w:p w14:paraId="782E9BE5" w14:textId="5CB73F58" w:rsidR="000D2587" w:rsidRDefault="000D2587" w:rsidP="000D2587">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77" w:type="dxa"/>
          </w:tcPr>
          <w:p w14:paraId="2F1F8C8A" w14:textId="77777777" w:rsidR="000D2587" w:rsidRPr="00936D28" w:rsidRDefault="000D2587" w:rsidP="000D2587">
            <w:pPr>
              <w:rPr>
                <w:rFonts w:asciiTheme="majorHAnsi" w:hAnsiTheme="majorHAnsi" w:cstheme="majorHAnsi"/>
                <w:b/>
                <w:sz w:val="22"/>
                <w:szCs w:val="22"/>
              </w:rPr>
            </w:pPr>
          </w:p>
        </w:tc>
      </w:tr>
      <w:tr w:rsidR="000D2587" w:rsidRPr="00936D28" w14:paraId="4D4373E2" w14:textId="77777777" w:rsidTr="002F05F5">
        <w:trPr>
          <w:trHeight w:val="228"/>
        </w:trPr>
        <w:tc>
          <w:tcPr>
            <w:tcW w:w="2124" w:type="dxa"/>
          </w:tcPr>
          <w:p w14:paraId="71065EFD" w14:textId="77777777" w:rsidR="000D2587" w:rsidRPr="00936D28" w:rsidRDefault="000D2587" w:rsidP="000D2587">
            <w:pPr>
              <w:rPr>
                <w:rFonts w:asciiTheme="majorHAnsi" w:hAnsiTheme="majorHAnsi" w:cstheme="majorHAnsi"/>
                <w:sz w:val="22"/>
                <w:szCs w:val="22"/>
              </w:rPr>
            </w:pPr>
          </w:p>
        </w:tc>
        <w:tc>
          <w:tcPr>
            <w:tcW w:w="6509" w:type="dxa"/>
          </w:tcPr>
          <w:p w14:paraId="1C770088" w14:textId="7D05EAB5" w:rsidR="000D2587" w:rsidRPr="00936D28" w:rsidRDefault="000D2587" w:rsidP="000D2587">
            <w:pPr>
              <w:pStyle w:val="ListParagraph"/>
              <w:numPr>
                <w:ilvl w:val="0"/>
                <w:numId w:val="23"/>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Failed Assurance</w:t>
            </w:r>
          </w:p>
        </w:tc>
        <w:sdt>
          <w:sdtPr>
            <w:rPr>
              <w:rFonts w:asciiTheme="majorHAnsi" w:hAnsiTheme="majorHAnsi" w:cstheme="majorHAnsi"/>
              <w:sz w:val="22"/>
              <w:szCs w:val="22"/>
            </w:rPr>
            <w:id w:val="-1110662226"/>
            <w14:checkbox>
              <w14:checked w14:val="0"/>
              <w14:checkedState w14:val="2612" w14:font="MS Gothic"/>
              <w14:uncheckedState w14:val="2610" w14:font="MS Gothic"/>
            </w14:checkbox>
          </w:sdtPr>
          <w:sdtContent>
            <w:tc>
              <w:tcPr>
                <w:tcW w:w="713" w:type="dxa"/>
              </w:tcPr>
              <w:p w14:paraId="1C5C152F" w14:textId="670A167D" w:rsidR="000D2587" w:rsidRDefault="000D2587" w:rsidP="000D2587">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77" w:type="dxa"/>
          </w:tcPr>
          <w:p w14:paraId="13A57342" w14:textId="77777777" w:rsidR="000D2587" w:rsidRPr="00936D28" w:rsidRDefault="000D2587" w:rsidP="000D2587">
            <w:pPr>
              <w:rPr>
                <w:rFonts w:asciiTheme="majorHAnsi" w:hAnsiTheme="majorHAnsi" w:cstheme="majorHAnsi"/>
                <w:b/>
                <w:sz w:val="22"/>
                <w:szCs w:val="22"/>
              </w:rPr>
            </w:pPr>
          </w:p>
        </w:tc>
      </w:tr>
    </w:tbl>
    <w:p w14:paraId="4350F859" w14:textId="77777777" w:rsidR="004316C3" w:rsidRDefault="004316C3"/>
    <w:tbl>
      <w:tblPr>
        <w:tblStyle w:val="TableGrid"/>
        <w:tblW w:w="9923" w:type="dxa"/>
        <w:tblLayout w:type="fixed"/>
        <w:tblLook w:val="01E0" w:firstRow="1" w:lastRow="1" w:firstColumn="1" w:lastColumn="1" w:noHBand="0" w:noVBand="0"/>
      </w:tblPr>
      <w:tblGrid>
        <w:gridCol w:w="2124"/>
        <w:gridCol w:w="7799"/>
      </w:tblGrid>
      <w:tr w:rsidR="000D2587" w:rsidRPr="00936D28" w14:paraId="37CAB696" w14:textId="77777777" w:rsidTr="002F05F5">
        <w:tc>
          <w:tcPr>
            <w:tcW w:w="2124" w:type="dxa"/>
          </w:tcPr>
          <w:p w14:paraId="513EDBA4"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Basis of Sign-off</w:t>
            </w:r>
          </w:p>
          <w:p w14:paraId="069E1030" w14:textId="737D0A0D"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 xml:space="preserve">[Detail caveats and </w:t>
            </w:r>
            <w:proofErr w:type="gramStart"/>
            <w:r w:rsidRPr="00936D28">
              <w:rPr>
                <w:rFonts w:asciiTheme="majorHAnsi" w:hAnsiTheme="majorHAnsi" w:cstheme="majorHAnsi"/>
                <w:sz w:val="22"/>
                <w:szCs w:val="22"/>
              </w:rPr>
              <w:t>limitations ]</w:t>
            </w:r>
            <w:proofErr w:type="gramEnd"/>
          </w:p>
        </w:tc>
        <w:tc>
          <w:tcPr>
            <w:tcW w:w="7799" w:type="dxa"/>
          </w:tcPr>
          <w:p w14:paraId="78DFABB2" w14:textId="77777777" w:rsidR="000D2587" w:rsidRPr="00936D28" w:rsidRDefault="000D2587" w:rsidP="00460B4E">
            <w:pPr>
              <w:rPr>
                <w:rFonts w:asciiTheme="majorHAnsi" w:hAnsiTheme="majorHAnsi" w:cstheme="majorHAnsi"/>
                <w:sz w:val="22"/>
                <w:szCs w:val="22"/>
              </w:rPr>
            </w:pPr>
          </w:p>
        </w:tc>
      </w:tr>
      <w:tr w:rsidR="00460B4E" w:rsidRPr="00936D28" w14:paraId="7ECE3F7C" w14:textId="77777777" w:rsidTr="002F05F5">
        <w:tc>
          <w:tcPr>
            <w:tcW w:w="2124" w:type="dxa"/>
          </w:tcPr>
          <w:p w14:paraId="5B678790"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Sign-off Date</w:t>
            </w:r>
          </w:p>
        </w:tc>
        <w:tc>
          <w:tcPr>
            <w:tcW w:w="7799" w:type="dxa"/>
          </w:tcPr>
          <w:p w14:paraId="2DC878C7" w14:textId="77777777" w:rsidR="00460B4E" w:rsidRPr="00936D28" w:rsidRDefault="00460B4E" w:rsidP="00460B4E">
            <w:pPr>
              <w:rPr>
                <w:rFonts w:asciiTheme="majorHAnsi" w:hAnsiTheme="majorHAnsi" w:cstheme="majorHAnsi"/>
                <w:sz w:val="22"/>
                <w:szCs w:val="22"/>
              </w:rPr>
            </w:pPr>
          </w:p>
        </w:tc>
      </w:tr>
    </w:tbl>
    <w:p w14:paraId="4966660B" w14:textId="77777777" w:rsidR="00460B4E" w:rsidRPr="00936D28" w:rsidRDefault="00460B4E" w:rsidP="00460B4E">
      <w:pPr>
        <w:rPr>
          <w:rFonts w:asciiTheme="majorHAnsi" w:hAnsiTheme="majorHAnsi" w:cstheme="majorHAnsi"/>
          <w:sz w:val="22"/>
          <w:szCs w:val="22"/>
        </w:rPr>
      </w:pPr>
    </w:p>
    <w:p w14:paraId="78658058" w14:textId="77777777" w:rsidR="00460B4E" w:rsidRPr="00936D28" w:rsidRDefault="00460B4E">
      <w:pPr>
        <w:rPr>
          <w:rFonts w:asciiTheme="majorHAnsi" w:hAnsiTheme="majorHAnsi" w:cstheme="majorHAnsi"/>
          <w:sz w:val="22"/>
          <w:szCs w:val="22"/>
        </w:rPr>
      </w:pPr>
      <w:r w:rsidRPr="00936D28">
        <w:rPr>
          <w:rFonts w:asciiTheme="majorHAnsi" w:hAnsiTheme="majorHAnsi" w:cstheme="majorHAnsi"/>
          <w:sz w:val="22"/>
          <w:szCs w:val="22"/>
        </w:rPr>
        <w:br w:type="page"/>
      </w:r>
    </w:p>
    <w:p w14:paraId="68F9B3B1" w14:textId="77777777" w:rsidR="00460B4E" w:rsidRPr="00936D28" w:rsidRDefault="00460B4E" w:rsidP="00460B4E">
      <w:pPr>
        <w:ind w:left="-851"/>
        <w:rPr>
          <w:rFonts w:asciiTheme="majorHAnsi" w:hAnsiTheme="majorHAnsi" w:cstheme="majorHAnsi"/>
          <w:sz w:val="22"/>
          <w:szCs w:val="22"/>
        </w:rPr>
      </w:pPr>
      <w:r w:rsidRPr="00936D28">
        <w:rPr>
          <w:rFonts w:asciiTheme="majorHAnsi" w:hAnsiTheme="majorHAnsi" w:cstheme="majorHAnsi"/>
          <w:sz w:val="22"/>
          <w:szCs w:val="22"/>
        </w:rPr>
        <w:lastRenderedPageBreak/>
        <w:t xml:space="preserve">Record of Assurance provided by </w:t>
      </w:r>
      <w:r w:rsidRPr="00936D28">
        <w:rPr>
          <w:rFonts w:asciiTheme="majorHAnsi" w:hAnsiTheme="majorHAnsi" w:cstheme="majorHAnsi"/>
          <w:b/>
          <w:sz w:val="22"/>
          <w:szCs w:val="22"/>
        </w:rPr>
        <w:t>Indicator Governance Board</w:t>
      </w:r>
    </w:p>
    <w:p w14:paraId="4E6F73BA" w14:textId="77777777" w:rsidR="00460B4E" w:rsidRPr="00936D28" w:rsidRDefault="00460B4E" w:rsidP="00460B4E">
      <w:pPr>
        <w:rPr>
          <w:rFonts w:asciiTheme="majorHAnsi" w:hAnsiTheme="majorHAnsi" w:cstheme="majorHAnsi"/>
          <w:sz w:val="22"/>
          <w:szCs w:val="22"/>
        </w:rPr>
      </w:pPr>
    </w:p>
    <w:tbl>
      <w:tblPr>
        <w:tblStyle w:val="TableGrid"/>
        <w:tblW w:w="9923" w:type="dxa"/>
        <w:tblLayout w:type="fixed"/>
        <w:tblLook w:val="01E0" w:firstRow="1" w:lastRow="1" w:firstColumn="1" w:lastColumn="1" w:noHBand="0" w:noVBand="0"/>
      </w:tblPr>
      <w:tblGrid>
        <w:gridCol w:w="2122"/>
        <w:gridCol w:w="5379"/>
        <w:gridCol w:w="997"/>
        <w:gridCol w:w="1425"/>
      </w:tblGrid>
      <w:tr w:rsidR="00460B4E" w:rsidRPr="00936D28" w14:paraId="0BD0C99E" w14:textId="77777777" w:rsidTr="000D2587">
        <w:tc>
          <w:tcPr>
            <w:tcW w:w="2122" w:type="dxa"/>
          </w:tcPr>
          <w:p w14:paraId="24B78C06" w14:textId="77777777" w:rsidR="00460B4E" w:rsidRPr="00936D28" w:rsidRDefault="00460B4E" w:rsidP="00460B4E">
            <w:pPr>
              <w:rPr>
                <w:rFonts w:asciiTheme="majorHAnsi" w:hAnsiTheme="majorHAnsi" w:cstheme="majorHAnsi"/>
                <w:b/>
                <w:sz w:val="22"/>
                <w:szCs w:val="22"/>
              </w:rPr>
            </w:pPr>
            <w:r w:rsidRPr="00936D28">
              <w:rPr>
                <w:rFonts w:asciiTheme="majorHAnsi" w:hAnsiTheme="majorHAnsi" w:cstheme="majorHAnsi"/>
                <w:b/>
                <w:sz w:val="22"/>
                <w:szCs w:val="22"/>
              </w:rPr>
              <w:t>Indicator Title</w:t>
            </w:r>
          </w:p>
        </w:tc>
        <w:tc>
          <w:tcPr>
            <w:tcW w:w="5379" w:type="dxa"/>
          </w:tcPr>
          <w:p w14:paraId="308399C6" w14:textId="77777777" w:rsidR="00460B4E" w:rsidRPr="00936D28" w:rsidRDefault="00460B4E" w:rsidP="00460B4E">
            <w:pPr>
              <w:rPr>
                <w:rFonts w:asciiTheme="majorHAnsi" w:hAnsiTheme="majorHAnsi" w:cstheme="majorHAnsi"/>
                <w:b/>
                <w:sz w:val="22"/>
                <w:szCs w:val="22"/>
              </w:rPr>
            </w:pPr>
            <w:r w:rsidRPr="00936D28">
              <w:rPr>
                <w:rFonts w:asciiTheme="majorHAnsi" w:hAnsiTheme="majorHAnsi" w:cstheme="majorHAnsi"/>
                <w:b/>
                <w:sz w:val="22"/>
                <w:szCs w:val="22"/>
              </w:rPr>
              <w:t>Record of lung cancer stage at decision to treat</w:t>
            </w:r>
          </w:p>
        </w:tc>
        <w:tc>
          <w:tcPr>
            <w:tcW w:w="997" w:type="dxa"/>
          </w:tcPr>
          <w:p w14:paraId="43AF015E"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IAS Ref Code:</w:t>
            </w:r>
          </w:p>
        </w:tc>
        <w:tc>
          <w:tcPr>
            <w:tcW w:w="1425" w:type="dxa"/>
          </w:tcPr>
          <w:p w14:paraId="2BD45515"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IAP00351</w:t>
            </w:r>
          </w:p>
        </w:tc>
      </w:tr>
      <w:tr w:rsidR="00460B4E" w:rsidRPr="00936D28" w14:paraId="7A4E2DC8" w14:textId="77777777" w:rsidTr="000D2587">
        <w:tc>
          <w:tcPr>
            <w:tcW w:w="2122" w:type="dxa"/>
          </w:tcPr>
          <w:p w14:paraId="63D374B5"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Indicator Set</w:t>
            </w:r>
          </w:p>
        </w:tc>
        <w:tc>
          <w:tcPr>
            <w:tcW w:w="5379" w:type="dxa"/>
          </w:tcPr>
          <w:p w14:paraId="42313A71" w14:textId="77777777" w:rsidR="00460B4E" w:rsidRPr="00936D28" w:rsidRDefault="00460B4E" w:rsidP="00460B4E">
            <w:pPr>
              <w:spacing w:after="240"/>
              <w:rPr>
                <w:rFonts w:asciiTheme="majorHAnsi" w:hAnsiTheme="majorHAnsi" w:cstheme="majorHAnsi"/>
                <w:sz w:val="22"/>
                <w:szCs w:val="22"/>
              </w:rPr>
            </w:pPr>
            <w:r w:rsidRPr="00936D28">
              <w:rPr>
                <w:rFonts w:asciiTheme="majorHAnsi" w:hAnsiTheme="majorHAnsi" w:cstheme="majorHAnsi"/>
                <w:sz w:val="22"/>
                <w:szCs w:val="22"/>
              </w:rPr>
              <w:t>CCG Outcomes Indicator Set</w:t>
            </w:r>
          </w:p>
        </w:tc>
        <w:tc>
          <w:tcPr>
            <w:tcW w:w="997" w:type="dxa"/>
          </w:tcPr>
          <w:p w14:paraId="759BD019" w14:textId="77777777" w:rsidR="00460B4E" w:rsidRPr="00936D28" w:rsidRDefault="00460B4E" w:rsidP="00460B4E">
            <w:pPr>
              <w:rPr>
                <w:rFonts w:asciiTheme="majorHAnsi" w:hAnsiTheme="majorHAnsi" w:cstheme="majorHAnsi"/>
                <w:sz w:val="22"/>
                <w:szCs w:val="22"/>
              </w:rPr>
            </w:pPr>
          </w:p>
        </w:tc>
        <w:tc>
          <w:tcPr>
            <w:tcW w:w="1425" w:type="dxa"/>
          </w:tcPr>
          <w:p w14:paraId="758B411F" w14:textId="77777777" w:rsidR="00460B4E" w:rsidRPr="00936D28" w:rsidRDefault="00460B4E" w:rsidP="00460B4E">
            <w:pPr>
              <w:rPr>
                <w:rFonts w:asciiTheme="majorHAnsi" w:hAnsiTheme="majorHAnsi" w:cstheme="majorHAnsi"/>
                <w:sz w:val="22"/>
                <w:szCs w:val="22"/>
              </w:rPr>
            </w:pPr>
          </w:p>
        </w:tc>
      </w:tr>
    </w:tbl>
    <w:p w14:paraId="1EF78F02" w14:textId="77777777" w:rsidR="000D2587" w:rsidRDefault="000D2587"/>
    <w:tbl>
      <w:tblPr>
        <w:tblStyle w:val="TableGrid"/>
        <w:tblW w:w="9923" w:type="dxa"/>
        <w:tblLayout w:type="fixed"/>
        <w:tblLook w:val="01E0" w:firstRow="1" w:lastRow="1" w:firstColumn="1" w:lastColumn="1" w:noHBand="0" w:noVBand="0"/>
      </w:tblPr>
      <w:tblGrid>
        <w:gridCol w:w="2122"/>
        <w:gridCol w:w="7801"/>
      </w:tblGrid>
      <w:tr w:rsidR="00460B4E" w:rsidRPr="00936D28" w14:paraId="19B951BA" w14:textId="77777777" w:rsidTr="000D2587">
        <w:tc>
          <w:tcPr>
            <w:tcW w:w="2122" w:type="dxa"/>
          </w:tcPr>
          <w:p w14:paraId="243F44AC"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 xml:space="preserve">Description </w:t>
            </w:r>
          </w:p>
        </w:tc>
        <w:tc>
          <w:tcPr>
            <w:tcW w:w="7801" w:type="dxa"/>
          </w:tcPr>
          <w:p w14:paraId="2A3A4D6F"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The percentage of cases of lung cancer for which a valid stage field is recorded, given by Clinical Commissioning Group.</w:t>
            </w:r>
          </w:p>
        </w:tc>
      </w:tr>
    </w:tbl>
    <w:p w14:paraId="7580FB19" w14:textId="77777777" w:rsidR="00460B4E" w:rsidRPr="00936D28" w:rsidRDefault="00460B4E" w:rsidP="00460B4E">
      <w:pPr>
        <w:rPr>
          <w:rFonts w:asciiTheme="majorHAnsi" w:hAnsiTheme="majorHAnsi" w:cstheme="majorHAnsi"/>
          <w:sz w:val="22"/>
          <w:szCs w:val="22"/>
        </w:rPr>
      </w:pPr>
    </w:p>
    <w:tbl>
      <w:tblPr>
        <w:tblStyle w:val="TableGrid"/>
        <w:tblW w:w="9923" w:type="dxa"/>
        <w:tblLook w:val="01E0" w:firstRow="1" w:lastRow="1" w:firstColumn="1" w:lastColumn="1" w:noHBand="0" w:noVBand="0"/>
      </w:tblPr>
      <w:tblGrid>
        <w:gridCol w:w="2127"/>
        <w:gridCol w:w="1418"/>
        <w:gridCol w:w="1842"/>
        <w:gridCol w:w="4536"/>
      </w:tblGrid>
      <w:tr w:rsidR="00460B4E" w:rsidRPr="00936D28" w14:paraId="39E2FA2E" w14:textId="77777777" w:rsidTr="002F05F5">
        <w:trPr>
          <w:trHeight w:val="229"/>
        </w:trPr>
        <w:tc>
          <w:tcPr>
            <w:tcW w:w="2127" w:type="dxa"/>
          </w:tcPr>
          <w:p w14:paraId="702DE690"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 xml:space="preserve">Initial IGB discussion </w:t>
            </w:r>
          </w:p>
        </w:tc>
        <w:tc>
          <w:tcPr>
            <w:tcW w:w="1418" w:type="dxa"/>
          </w:tcPr>
          <w:p w14:paraId="2BF32583"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22/07/14</w:t>
            </w:r>
          </w:p>
        </w:tc>
        <w:tc>
          <w:tcPr>
            <w:tcW w:w="1842" w:type="dxa"/>
          </w:tcPr>
          <w:p w14:paraId="29F2EE87" w14:textId="77777777" w:rsidR="00460B4E" w:rsidRPr="00936D28" w:rsidRDefault="00460B4E" w:rsidP="00460B4E">
            <w:pPr>
              <w:rPr>
                <w:rFonts w:asciiTheme="majorHAnsi" w:hAnsiTheme="majorHAnsi" w:cstheme="majorHAnsi"/>
                <w:b/>
                <w:sz w:val="22"/>
                <w:szCs w:val="22"/>
              </w:rPr>
            </w:pPr>
            <w:r w:rsidRPr="00936D28">
              <w:rPr>
                <w:rFonts w:asciiTheme="majorHAnsi" w:hAnsiTheme="majorHAnsi" w:cstheme="majorHAnsi"/>
                <w:sz w:val="22"/>
                <w:szCs w:val="22"/>
              </w:rPr>
              <w:t>Further discussed</w:t>
            </w:r>
          </w:p>
        </w:tc>
        <w:tc>
          <w:tcPr>
            <w:tcW w:w="4536" w:type="dxa"/>
          </w:tcPr>
          <w:p w14:paraId="67B58602" w14:textId="77777777" w:rsidR="00460B4E" w:rsidRPr="00936D28" w:rsidRDefault="00460B4E" w:rsidP="00460B4E">
            <w:pPr>
              <w:rPr>
                <w:rFonts w:asciiTheme="majorHAnsi" w:hAnsiTheme="majorHAnsi" w:cstheme="majorHAnsi"/>
                <w:b/>
                <w:sz w:val="22"/>
                <w:szCs w:val="22"/>
              </w:rPr>
            </w:pPr>
          </w:p>
        </w:tc>
      </w:tr>
    </w:tbl>
    <w:p w14:paraId="53A48F6D" w14:textId="7F27BCEE" w:rsidR="00460B4E" w:rsidRPr="00936D28" w:rsidRDefault="000D2587" w:rsidP="00460B4E">
      <w:pPr>
        <w:rPr>
          <w:rFonts w:asciiTheme="majorHAnsi" w:hAnsiTheme="majorHAnsi" w:cstheme="majorHAnsi"/>
          <w:sz w:val="22"/>
          <w:szCs w:val="22"/>
        </w:rPr>
      </w:pPr>
      <w:r w:rsidRPr="00936D28">
        <w:rPr>
          <w:rFonts w:asciiTheme="majorHAnsi" w:hAnsiTheme="majorHAnsi" w:cstheme="majorHAnsi"/>
          <w:b/>
          <w:sz w:val="22"/>
          <w:szCs w:val="22"/>
        </w:rPr>
        <w:t>Strategic Considerations &amp; Implications</w:t>
      </w:r>
    </w:p>
    <w:tbl>
      <w:tblPr>
        <w:tblStyle w:val="TableGrid"/>
        <w:tblW w:w="9923" w:type="dxa"/>
        <w:tblLayout w:type="fixed"/>
        <w:tblLook w:val="01E0" w:firstRow="1" w:lastRow="1" w:firstColumn="1" w:lastColumn="1" w:noHBand="0" w:noVBand="0"/>
      </w:tblPr>
      <w:tblGrid>
        <w:gridCol w:w="2119"/>
        <w:gridCol w:w="4402"/>
        <w:gridCol w:w="1696"/>
        <w:gridCol w:w="1423"/>
        <w:gridCol w:w="283"/>
      </w:tblGrid>
      <w:tr w:rsidR="000D2587" w:rsidRPr="00936D28" w14:paraId="492DA56D" w14:textId="77777777" w:rsidTr="000D2587">
        <w:trPr>
          <w:trHeight w:val="1661"/>
        </w:trPr>
        <w:tc>
          <w:tcPr>
            <w:tcW w:w="2119" w:type="dxa"/>
          </w:tcPr>
          <w:p w14:paraId="18108377" w14:textId="77777777" w:rsidR="000D2587" w:rsidRPr="00936D28" w:rsidRDefault="000D2587" w:rsidP="00460B4E">
            <w:pPr>
              <w:rPr>
                <w:rFonts w:asciiTheme="majorHAnsi" w:hAnsiTheme="majorHAnsi" w:cstheme="majorHAnsi"/>
                <w:sz w:val="22"/>
                <w:szCs w:val="22"/>
              </w:rPr>
            </w:pPr>
            <w:r w:rsidRPr="00936D28">
              <w:rPr>
                <w:rFonts w:asciiTheme="majorHAnsi" w:hAnsiTheme="majorHAnsi" w:cstheme="majorHAnsi"/>
                <w:sz w:val="22"/>
                <w:szCs w:val="22"/>
              </w:rPr>
              <w:t>Applicant / Sponsor Organisation</w:t>
            </w:r>
          </w:p>
        </w:tc>
        <w:tc>
          <w:tcPr>
            <w:tcW w:w="4402" w:type="dxa"/>
          </w:tcPr>
          <w:p w14:paraId="4C902E04" w14:textId="77777777" w:rsidR="000D2587" w:rsidRPr="00936D28" w:rsidRDefault="000D2587" w:rsidP="00460B4E">
            <w:pPr>
              <w:rPr>
                <w:rFonts w:asciiTheme="majorHAnsi" w:hAnsiTheme="majorHAnsi" w:cstheme="majorHAnsi"/>
                <w:sz w:val="22"/>
                <w:szCs w:val="22"/>
              </w:rPr>
            </w:pPr>
            <w:r w:rsidRPr="00936D28">
              <w:rPr>
                <w:rFonts w:asciiTheme="majorHAnsi" w:hAnsiTheme="majorHAnsi" w:cstheme="majorHAnsi"/>
                <w:sz w:val="22"/>
                <w:szCs w:val="22"/>
              </w:rPr>
              <w:t>NHS England</w:t>
            </w:r>
          </w:p>
          <w:p w14:paraId="52423BB9" w14:textId="77777777" w:rsidR="000D2587" w:rsidRPr="00936D28" w:rsidRDefault="000D2587" w:rsidP="00460B4E">
            <w:pPr>
              <w:rPr>
                <w:rFonts w:asciiTheme="majorHAnsi" w:hAnsiTheme="majorHAnsi" w:cstheme="majorHAnsi"/>
                <w:sz w:val="22"/>
                <w:szCs w:val="22"/>
              </w:rPr>
            </w:pPr>
            <w:r w:rsidRPr="00936D28">
              <w:rPr>
                <w:rFonts w:asciiTheme="majorHAnsi" w:hAnsiTheme="majorHAnsi" w:cstheme="majorHAnsi"/>
                <w:sz w:val="22"/>
                <w:szCs w:val="22"/>
              </w:rPr>
              <w:t>*Costing for assurance appraisal included in development cost</w:t>
            </w:r>
          </w:p>
        </w:tc>
        <w:tc>
          <w:tcPr>
            <w:tcW w:w="1696" w:type="dxa"/>
          </w:tcPr>
          <w:p w14:paraId="51FA141A" w14:textId="77777777" w:rsidR="000D2587" w:rsidRPr="00936D28" w:rsidRDefault="000D2587" w:rsidP="00460B4E">
            <w:pPr>
              <w:rPr>
                <w:rFonts w:asciiTheme="majorHAnsi" w:hAnsiTheme="majorHAnsi" w:cstheme="majorHAnsi"/>
                <w:sz w:val="22"/>
                <w:szCs w:val="22"/>
              </w:rPr>
            </w:pPr>
            <w:r w:rsidRPr="00936D28">
              <w:rPr>
                <w:rFonts w:asciiTheme="majorHAnsi" w:hAnsiTheme="majorHAnsi" w:cstheme="majorHAnsi"/>
                <w:sz w:val="22"/>
                <w:szCs w:val="22"/>
              </w:rPr>
              <w:t>Assurance process funded?</w:t>
            </w:r>
          </w:p>
        </w:tc>
        <w:tc>
          <w:tcPr>
            <w:tcW w:w="1423" w:type="dxa"/>
          </w:tcPr>
          <w:p w14:paraId="66FD9282" w14:textId="77777777" w:rsidR="000D2587" w:rsidRPr="00936D28" w:rsidRDefault="000D2587" w:rsidP="00460B4E">
            <w:pPr>
              <w:rPr>
                <w:rFonts w:asciiTheme="majorHAnsi" w:hAnsiTheme="majorHAnsi" w:cstheme="majorHAnsi"/>
                <w:b/>
                <w:sz w:val="22"/>
                <w:szCs w:val="22"/>
              </w:rPr>
            </w:pPr>
            <w:r w:rsidRPr="00936D28">
              <w:rPr>
                <w:rFonts w:asciiTheme="majorHAnsi" w:hAnsiTheme="majorHAnsi" w:cstheme="majorHAnsi"/>
                <w:b/>
                <w:sz w:val="22"/>
                <w:szCs w:val="22"/>
              </w:rPr>
              <w:t>Yes*</w:t>
            </w:r>
          </w:p>
          <w:sdt>
            <w:sdtPr>
              <w:rPr>
                <w:rFonts w:asciiTheme="majorHAnsi" w:hAnsiTheme="majorHAnsi" w:cstheme="majorHAnsi"/>
                <w:sz w:val="22"/>
                <w:szCs w:val="22"/>
              </w:rPr>
              <w:id w:val="805518511"/>
              <w14:checkbox>
                <w14:checked w14:val="1"/>
                <w14:checkedState w14:val="2612" w14:font="MS Gothic"/>
                <w14:uncheckedState w14:val="2610" w14:font="MS Gothic"/>
              </w14:checkbox>
            </w:sdtPr>
            <w:sdtContent>
              <w:p w14:paraId="64450DAD" w14:textId="77777777" w:rsidR="000D2587" w:rsidRPr="00936D28" w:rsidRDefault="000D2587" w:rsidP="00460B4E">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sdtContent>
          </w:sdt>
          <w:p w14:paraId="482AA00E" w14:textId="77777777" w:rsidR="000D2587" w:rsidRPr="00936D28" w:rsidRDefault="000D2587" w:rsidP="00460B4E">
            <w:pPr>
              <w:rPr>
                <w:rFonts w:asciiTheme="majorHAnsi" w:hAnsiTheme="majorHAnsi" w:cstheme="majorHAnsi"/>
                <w:b/>
                <w:sz w:val="22"/>
                <w:szCs w:val="22"/>
              </w:rPr>
            </w:pPr>
            <w:r w:rsidRPr="00936D28">
              <w:rPr>
                <w:rFonts w:asciiTheme="majorHAnsi" w:hAnsiTheme="majorHAnsi" w:cstheme="majorHAnsi"/>
                <w:b/>
                <w:sz w:val="22"/>
                <w:szCs w:val="22"/>
              </w:rPr>
              <w:t>No</w:t>
            </w:r>
          </w:p>
          <w:sdt>
            <w:sdtPr>
              <w:rPr>
                <w:rFonts w:asciiTheme="majorHAnsi" w:hAnsiTheme="majorHAnsi" w:cstheme="majorHAnsi"/>
                <w:sz w:val="22"/>
                <w:szCs w:val="22"/>
              </w:rPr>
              <w:id w:val="1303813216"/>
              <w14:checkbox>
                <w14:checked w14:val="0"/>
                <w14:checkedState w14:val="2612" w14:font="MS Gothic"/>
                <w14:uncheckedState w14:val="2610" w14:font="MS Gothic"/>
              </w14:checkbox>
            </w:sdtPr>
            <w:sdtContent>
              <w:p w14:paraId="59E0B3F2" w14:textId="264B1CBE" w:rsidR="000D2587" w:rsidRPr="00936D28" w:rsidRDefault="000D2587" w:rsidP="00460B4E">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sdtContent>
          </w:sdt>
        </w:tc>
        <w:tc>
          <w:tcPr>
            <w:tcW w:w="283" w:type="dxa"/>
          </w:tcPr>
          <w:p w14:paraId="1C6426B5" w14:textId="77777777" w:rsidR="000D2587" w:rsidRPr="00936D28" w:rsidRDefault="000D2587" w:rsidP="00460B4E">
            <w:pPr>
              <w:rPr>
                <w:rFonts w:asciiTheme="majorHAnsi" w:hAnsiTheme="majorHAnsi" w:cstheme="majorHAnsi"/>
                <w:sz w:val="22"/>
                <w:szCs w:val="22"/>
              </w:rPr>
            </w:pPr>
          </w:p>
        </w:tc>
      </w:tr>
    </w:tbl>
    <w:p w14:paraId="3287FEC2" w14:textId="77777777" w:rsidR="000D2587" w:rsidRDefault="000D2587"/>
    <w:tbl>
      <w:tblPr>
        <w:tblStyle w:val="TableGrid"/>
        <w:tblW w:w="9923" w:type="dxa"/>
        <w:tblLayout w:type="fixed"/>
        <w:tblLook w:val="01E0" w:firstRow="1" w:lastRow="1" w:firstColumn="1" w:lastColumn="1" w:noHBand="0" w:noVBand="0"/>
      </w:tblPr>
      <w:tblGrid>
        <w:gridCol w:w="2119"/>
        <w:gridCol w:w="7804"/>
      </w:tblGrid>
      <w:tr w:rsidR="000D2587" w:rsidRPr="00936D28" w14:paraId="74B4AF05" w14:textId="77777777" w:rsidTr="002F05F5">
        <w:tc>
          <w:tcPr>
            <w:tcW w:w="2119" w:type="dxa"/>
          </w:tcPr>
          <w:p w14:paraId="546A521D" w14:textId="114E22BF"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 xml:space="preserve">Indicator rationale </w:t>
            </w:r>
          </w:p>
        </w:tc>
        <w:tc>
          <w:tcPr>
            <w:tcW w:w="7804" w:type="dxa"/>
          </w:tcPr>
          <w:p w14:paraId="7D97BB65"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Lung cancer has one of the lowest survival outcomes of any cancer because over two-thirds of patients are diagnosed at a late stage when curative treatment is not possible. Earlier diagnosis and referral to specialist teams would make a significant difference to survival rates.</w:t>
            </w:r>
          </w:p>
          <w:p w14:paraId="0DDD0FD2" w14:textId="77777777" w:rsidR="000D2587" w:rsidRPr="00936D28" w:rsidRDefault="000D2587" w:rsidP="000D2587">
            <w:pPr>
              <w:rPr>
                <w:rFonts w:asciiTheme="majorHAnsi" w:hAnsiTheme="majorHAnsi" w:cstheme="majorHAnsi"/>
                <w:sz w:val="22"/>
                <w:szCs w:val="22"/>
              </w:rPr>
            </w:pPr>
          </w:p>
        </w:tc>
      </w:tr>
      <w:tr w:rsidR="000D2587" w:rsidRPr="00936D28" w14:paraId="044DA7DC" w14:textId="77777777" w:rsidTr="002F05F5">
        <w:tc>
          <w:tcPr>
            <w:tcW w:w="2119" w:type="dxa"/>
          </w:tcPr>
          <w:p w14:paraId="477357D2"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 xml:space="preserve">Basis for rationale </w:t>
            </w:r>
          </w:p>
          <w:p w14:paraId="2EFCDBD2"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[Details of quality statement, policy etc.]</w:t>
            </w:r>
            <w:r w:rsidRPr="00936D28">
              <w:rPr>
                <w:rFonts w:asciiTheme="majorHAnsi" w:hAnsiTheme="majorHAnsi" w:cstheme="majorHAnsi"/>
                <w:i/>
                <w:sz w:val="22"/>
                <w:szCs w:val="22"/>
              </w:rPr>
              <w:t xml:space="preserve"> </w:t>
            </w:r>
          </w:p>
        </w:tc>
        <w:tc>
          <w:tcPr>
            <w:tcW w:w="7804" w:type="dxa"/>
          </w:tcPr>
          <w:p w14:paraId="3589DA89"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 xml:space="preserve">This indicator is based on the NICE Quality Standard 17: Lung cancer for adults, issued March 2012 </w:t>
            </w:r>
          </w:p>
          <w:p w14:paraId="04918C0B"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http://guidance.nice.org.uk/QS17.</w:t>
            </w:r>
          </w:p>
          <w:p w14:paraId="5EB64667" w14:textId="77777777" w:rsidR="000D2587" w:rsidRPr="00936D28" w:rsidRDefault="000D2587" w:rsidP="000D2587">
            <w:pPr>
              <w:rPr>
                <w:rFonts w:asciiTheme="majorHAnsi" w:hAnsiTheme="majorHAnsi" w:cstheme="majorHAnsi"/>
                <w:sz w:val="22"/>
                <w:szCs w:val="22"/>
              </w:rPr>
            </w:pPr>
          </w:p>
          <w:p w14:paraId="11B7D768"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 xml:space="preserve">This indicator aims to be consistent with the NICE Clinical Guideline 121: The diagnosis and treatment of lung cancer, issued April 2011 </w:t>
            </w:r>
          </w:p>
          <w:p w14:paraId="54CF592B" w14:textId="77777777" w:rsidR="000D2587" w:rsidRPr="00936D28" w:rsidRDefault="000D2587" w:rsidP="000D2587">
            <w:pPr>
              <w:rPr>
                <w:rFonts w:asciiTheme="majorHAnsi" w:hAnsiTheme="majorHAnsi" w:cstheme="majorHAnsi"/>
                <w:sz w:val="22"/>
                <w:szCs w:val="22"/>
              </w:rPr>
            </w:pPr>
            <w:hyperlink r:id="rId21" w:history="1">
              <w:r w:rsidRPr="00936D28">
                <w:rPr>
                  <w:rStyle w:val="Hyperlink"/>
                  <w:rFonts w:asciiTheme="majorHAnsi" w:eastAsia="MS Mincho" w:hAnsiTheme="majorHAnsi" w:cstheme="majorHAnsi"/>
                  <w:color w:val="auto"/>
                  <w:sz w:val="22"/>
                  <w:szCs w:val="22"/>
                </w:rPr>
                <w:t>http://publications.nice.org.uk/lung-cancer-cg121</w:t>
              </w:r>
            </w:hyperlink>
            <w:r w:rsidRPr="00936D28">
              <w:rPr>
                <w:rFonts w:asciiTheme="majorHAnsi" w:hAnsiTheme="majorHAnsi" w:cstheme="majorHAnsi"/>
                <w:sz w:val="22"/>
                <w:szCs w:val="22"/>
              </w:rPr>
              <w:t xml:space="preserve">. </w:t>
            </w:r>
          </w:p>
          <w:p w14:paraId="319C9CCA" w14:textId="77777777" w:rsidR="000D2587" w:rsidRPr="00936D28" w:rsidRDefault="000D2587" w:rsidP="000D2587">
            <w:pPr>
              <w:rPr>
                <w:rFonts w:asciiTheme="majorHAnsi" w:hAnsiTheme="majorHAnsi" w:cstheme="majorHAnsi"/>
                <w:sz w:val="22"/>
                <w:szCs w:val="22"/>
              </w:rPr>
            </w:pPr>
          </w:p>
          <w:p w14:paraId="6037C6E0"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 xml:space="preserve">The following statements are taken from CG121: </w:t>
            </w:r>
          </w:p>
          <w:p w14:paraId="56D562E1" w14:textId="77777777" w:rsidR="000D2587" w:rsidRPr="00936D28" w:rsidRDefault="000D2587" w:rsidP="000D2587">
            <w:pPr>
              <w:rPr>
                <w:rFonts w:asciiTheme="majorHAnsi" w:hAnsiTheme="majorHAnsi" w:cstheme="majorHAnsi"/>
                <w:i/>
                <w:sz w:val="22"/>
                <w:szCs w:val="22"/>
              </w:rPr>
            </w:pPr>
          </w:p>
          <w:p w14:paraId="533F33F8" w14:textId="77777777" w:rsidR="000D2587" w:rsidRPr="00936D28" w:rsidRDefault="000D2587" w:rsidP="000D2587">
            <w:pPr>
              <w:rPr>
                <w:rFonts w:asciiTheme="majorHAnsi" w:hAnsiTheme="majorHAnsi" w:cstheme="majorHAnsi"/>
                <w:i/>
                <w:sz w:val="22"/>
                <w:szCs w:val="22"/>
              </w:rPr>
            </w:pPr>
            <w:r w:rsidRPr="00936D28">
              <w:rPr>
                <w:rFonts w:asciiTheme="majorHAnsi" w:hAnsiTheme="majorHAnsi" w:cstheme="majorHAnsi"/>
                <w:i/>
                <w:sz w:val="22"/>
                <w:szCs w:val="22"/>
              </w:rPr>
              <w:t>1.3.2 Patients with known or suspected lung cancer should be offered a contrast-enhanced chest CT scan to further the diagnosis and stage the disease. The scan should also include the liver and adrenals.</w:t>
            </w:r>
          </w:p>
          <w:p w14:paraId="3AB98FF4" w14:textId="77777777" w:rsidR="000D2587" w:rsidRPr="00936D28" w:rsidRDefault="000D2587" w:rsidP="000D2587">
            <w:pPr>
              <w:rPr>
                <w:rFonts w:asciiTheme="majorHAnsi" w:hAnsiTheme="majorHAnsi" w:cstheme="majorHAnsi"/>
                <w:i/>
                <w:sz w:val="22"/>
                <w:szCs w:val="22"/>
              </w:rPr>
            </w:pPr>
          </w:p>
          <w:p w14:paraId="7BD45BD4" w14:textId="77777777" w:rsidR="000D2587" w:rsidRPr="00936D28" w:rsidRDefault="000D2587" w:rsidP="000D2587">
            <w:pPr>
              <w:rPr>
                <w:rFonts w:asciiTheme="majorHAnsi" w:hAnsiTheme="majorHAnsi" w:cstheme="majorHAnsi"/>
                <w:i/>
                <w:sz w:val="22"/>
                <w:szCs w:val="22"/>
              </w:rPr>
            </w:pPr>
            <w:r w:rsidRPr="00936D28">
              <w:rPr>
                <w:rFonts w:asciiTheme="majorHAnsi" w:hAnsiTheme="majorHAnsi" w:cstheme="majorHAnsi"/>
                <w:i/>
                <w:sz w:val="22"/>
                <w:szCs w:val="22"/>
              </w:rPr>
              <w:t>1.3.12 Choose investigations that give the most information about diagnosis and staging with least risk to the patient. Think carefully before performing a test that gives only diagnostic pathology when information on staging is also needed to guide treatment</w:t>
            </w:r>
          </w:p>
          <w:p w14:paraId="1CD3CC34" w14:textId="77777777" w:rsidR="000D2587" w:rsidRPr="00936D28" w:rsidRDefault="000D2587" w:rsidP="000D2587">
            <w:pPr>
              <w:spacing w:after="120"/>
              <w:rPr>
                <w:rFonts w:asciiTheme="majorHAnsi" w:hAnsiTheme="majorHAnsi" w:cstheme="majorHAnsi"/>
                <w:sz w:val="22"/>
                <w:szCs w:val="22"/>
              </w:rPr>
            </w:pPr>
          </w:p>
        </w:tc>
      </w:tr>
      <w:tr w:rsidR="000D2587" w:rsidRPr="00936D28" w14:paraId="4A40A2B1" w14:textId="77777777" w:rsidTr="002F05F5">
        <w:tc>
          <w:tcPr>
            <w:tcW w:w="2119" w:type="dxa"/>
          </w:tcPr>
          <w:p w14:paraId="322D428B"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lastRenderedPageBreak/>
              <w:t>Calculation Summary</w:t>
            </w:r>
          </w:p>
        </w:tc>
        <w:tc>
          <w:tcPr>
            <w:tcW w:w="7804" w:type="dxa"/>
          </w:tcPr>
          <w:p w14:paraId="0D5E9B00"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b/>
                <w:i/>
                <w:sz w:val="22"/>
                <w:szCs w:val="22"/>
              </w:rPr>
              <w:t>Denominator:</w:t>
            </w:r>
            <w:r w:rsidRPr="00936D28">
              <w:rPr>
                <w:rFonts w:asciiTheme="majorHAnsi" w:hAnsiTheme="majorHAnsi" w:cstheme="majorHAnsi"/>
                <w:i/>
                <w:sz w:val="22"/>
                <w:szCs w:val="22"/>
              </w:rPr>
              <w:t xml:space="preserve"> </w:t>
            </w:r>
            <w:r w:rsidRPr="00936D28">
              <w:rPr>
                <w:rFonts w:asciiTheme="majorHAnsi" w:hAnsiTheme="majorHAnsi" w:cstheme="majorHAnsi"/>
                <w:sz w:val="22"/>
                <w:szCs w:val="22"/>
              </w:rPr>
              <w:t>The number of patients first seen in the respective Lung Cancer Audit year.</w:t>
            </w:r>
          </w:p>
          <w:p w14:paraId="016D13F0" w14:textId="77777777" w:rsidR="000D2587" w:rsidRPr="00936D28" w:rsidRDefault="000D2587" w:rsidP="000D2587">
            <w:pPr>
              <w:rPr>
                <w:rFonts w:asciiTheme="majorHAnsi" w:hAnsiTheme="majorHAnsi" w:cstheme="majorHAnsi"/>
                <w:i/>
                <w:sz w:val="22"/>
                <w:szCs w:val="22"/>
              </w:rPr>
            </w:pPr>
          </w:p>
          <w:p w14:paraId="50A295DC"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b/>
                <w:i/>
                <w:sz w:val="22"/>
                <w:szCs w:val="22"/>
              </w:rPr>
              <w:t>Numerator:</w:t>
            </w:r>
            <w:r w:rsidRPr="00936D28">
              <w:rPr>
                <w:rFonts w:asciiTheme="majorHAnsi" w:hAnsiTheme="majorHAnsi" w:cstheme="majorHAnsi"/>
                <w:sz w:val="22"/>
                <w:szCs w:val="22"/>
              </w:rPr>
              <w:t xml:space="preserve"> Of the denominator, the number of patient records where the stage field at the time of decision to treat is completed (according to staging rules).</w:t>
            </w:r>
          </w:p>
          <w:p w14:paraId="085BF131" w14:textId="77777777" w:rsidR="000D2587" w:rsidRPr="00936D28" w:rsidRDefault="000D2587" w:rsidP="000D2587">
            <w:pPr>
              <w:rPr>
                <w:rFonts w:asciiTheme="majorHAnsi" w:hAnsiTheme="majorHAnsi" w:cstheme="majorHAnsi"/>
                <w:sz w:val="22"/>
                <w:szCs w:val="22"/>
              </w:rPr>
            </w:pPr>
          </w:p>
        </w:tc>
      </w:tr>
      <w:tr w:rsidR="000D2587" w:rsidRPr="00936D28" w14:paraId="61C566BB" w14:textId="77777777" w:rsidTr="002F05F5">
        <w:tc>
          <w:tcPr>
            <w:tcW w:w="2119" w:type="dxa"/>
          </w:tcPr>
          <w:p w14:paraId="2CAE3B7D"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Risks &amp; assumptions</w:t>
            </w:r>
          </w:p>
        </w:tc>
        <w:tc>
          <w:tcPr>
            <w:tcW w:w="7804" w:type="dxa"/>
          </w:tcPr>
          <w:p w14:paraId="332D066C" w14:textId="77777777" w:rsidR="000D2587" w:rsidRPr="00936D28" w:rsidRDefault="000D2587" w:rsidP="000D2587">
            <w:pPr>
              <w:pStyle w:val="ListParagraph"/>
              <w:numPr>
                <w:ilvl w:val="0"/>
                <w:numId w:val="14"/>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 xml:space="preserve">When testing the indicator for the NICE Advisory Committee in May 2013, the data had been mapped to CCG using the ‘latest’ GP Practice code registered for each patient. </w:t>
            </w:r>
          </w:p>
          <w:p w14:paraId="615C392B" w14:textId="77777777" w:rsidR="000D2587" w:rsidRPr="00936D28" w:rsidRDefault="000D2587" w:rsidP="000D2587">
            <w:pPr>
              <w:pStyle w:val="ListParagraph"/>
              <w:numPr>
                <w:ilvl w:val="0"/>
                <w:numId w:val="14"/>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GP Practice code at ‘date first seen’ would be preferable as it is more reflective of the patient’s home location of secondary care. NHAIS (Exeter) have confirmed that they are able to trace GP Practice code at date first seen, however this will involve a cost.</w:t>
            </w:r>
          </w:p>
          <w:p w14:paraId="2A0A21F4" w14:textId="77777777" w:rsidR="000D2587" w:rsidRPr="00936D28" w:rsidRDefault="000D2587" w:rsidP="000D2587">
            <w:pPr>
              <w:rPr>
                <w:rFonts w:asciiTheme="majorHAnsi" w:hAnsiTheme="majorHAnsi" w:cstheme="majorHAnsi"/>
                <w:sz w:val="22"/>
                <w:szCs w:val="22"/>
              </w:rPr>
            </w:pPr>
          </w:p>
        </w:tc>
      </w:tr>
      <w:tr w:rsidR="000D2587" w:rsidRPr="00936D28" w14:paraId="6546370C" w14:textId="77777777" w:rsidTr="000D2587">
        <w:trPr>
          <w:trHeight w:val="3127"/>
        </w:trPr>
        <w:tc>
          <w:tcPr>
            <w:tcW w:w="2119" w:type="dxa"/>
          </w:tcPr>
          <w:p w14:paraId="6D02ECA5"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 xml:space="preserve">IG </w:t>
            </w:r>
            <w:proofErr w:type="gramStart"/>
            <w:r w:rsidRPr="00936D28">
              <w:rPr>
                <w:rFonts w:asciiTheme="majorHAnsi" w:hAnsiTheme="majorHAnsi" w:cstheme="majorHAnsi"/>
                <w:sz w:val="22"/>
                <w:szCs w:val="22"/>
              </w:rPr>
              <w:t>Considerations  [</w:t>
            </w:r>
            <w:proofErr w:type="gramEnd"/>
            <w:r w:rsidRPr="00936D28">
              <w:rPr>
                <w:rFonts w:asciiTheme="majorHAnsi" w:hAnsiTheme="majorHAnsi" w:cstheme="majorHAnsi"/>
                <w:sz w:val="22"/>
                <w:szCs w:val="22"/>
              </w:rPr>
              <w:t>e.g. release of under-lying data, intermediaries access to data, data ownership impact on production]</w:t>
            </w:r>
          </w:p>
        </w:tc>
        <w:tc>
          <w:tcPr>
            <w:tcW w:w="7804" w:type="dxa"/>
          </w:tcPr>
          <w:p w14:paraId="72E752B4"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i/>
                <w:sz w:val="22"/>
                <w:szCs w:val="22"/>
              </w:rPr>
              <w:t>Data Source:</w:t>
            </w:r>
            <w:r w:rsidRPr="00936D28">
              <w:rPr>
                <w:rFonts w:asciiTheme="majorHAnsi" w:hAnsiTheme="majorHAnsi" w:cstheme="majorHAnsi"/>
                <w:sz w:val="22"/>
                <w:szCs w:val="22"/>
              </w:rPr>
              <w:t xml:space="preserve"> The National Lung Cancer Audit.</w:t>
            </w:r>
          </w:p>
          <w:p w14:paraId="2F5CBBE0" w14:textId="77777777" w:rsidR="000D2587" w:rsidRPr="00936D28" w:rsidRDefault="000D2587" w:rsidP="000D2587">
            <w:pPr>
              <w:rPr>
                <w:rFonts w:asciiTheme="majorHAnsi" w:hAnsiTheme="majorHAnsi" w:cstheme="majorHAnsi"/>
                <w:sz w:val="22"/>
                <w:szCs w:val="22"/>
              </w:rPr>
            </w:pPr>
          </w:p>
          <w:p w14:paraId="13A05D37"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The National Lung Cancer Audit Report is published at trust and network level on an annual basis. Use for CCG level indicators will be subject to a Data Sharing Agreement.</w:t>
            </w:r>
          </w:p>
          <w:p w14:paraId="0A24BC7C" w14:textId="77777777" w:rsidR="000D2587" w:rsidRPr="00936D28" w:rsidRDefault="000D2587" w:rsidP="000D2587">
            <w:pPr>
              <w:rPr>
                <w:rFonts w:asciiTheme="majorHAnsi" w:hAnsiTheme="majorHAnsi" w:cstheme="majorHAnsi"/>
                <w:sz w:val="22"/>
                <w:szCs w:val="22"/>
              </w:rPr>
            </w:pPr>
          </w:p>
          <w:p w14:paraId="3E5F88AF"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The National Lung Cancer Audit (the Lung Cancer Data project LUCADA) is approved by ISB ref ISB0064.</w:t>
            </w:r>
          </w:p>
          <w:p w14:paraId="243D788B" w14:textId="77777777" w:rsidR="000D2587" w:rsidRPr="00936D28" w:rsidRDefault="000D2587" w:rsidP="000D2587">
            <w:pPr>
              <w:rPr>
                <w:rFonts w:asciiTheme="majorHAnsi" w:hAnsiTheme="majorHAnsi" w:cstheme="majorHAnsi"/>
                <w:sz w:val="22"/>
                <w:szCs w:val="22"/>
              </w:rPr>
            </w:pPr>
          </w:p>
        </w:tc>
      </w:tr>
      <w:tr w:rsidR="000D2587" w:rsidRPr="00936D28" w14:paraId="1B61B8BB" w14:textId="77777777" w:rsidTr="002F05F5">
        <w:tc>
          <w:tcPr>
            <w:tcW w:w="2119" w:type="dxa"/>
          </w:tcPr>
          <w:p w14:paraId="5E7471C0"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Potential impacts on other business areas [inc outstanding generic issues]</w:t>
            </w:r>
          </w:p>
        </w:tc>
        <w:tc>
          <w:tcPr>
            <w:tcW w:w="7804" w:type="dxa"/>
          </w:tcPr>
          <w:p w14:paraId="343CCBC3" w14:textId="77777777" w:rsidR="000D2587" w:rsidRPr="00936D28" w:rsidRDefault="000D2587" w:rsidP="000D2587">
            <w:pPr>
              <w:spacing w:after="120"/>
              <w:rPr>
                <w:rFonts w:asciiTheme="majorHAnsi" w:hAnsiTheme="majorHAnsi" w:cstheme="majorHAnsi"/>
                <w:sz w:val="22"/>
                <w:szCs w:val="22"/>
              </w:rPr>
            </w:pPr>
            <w:r w:rsidRPr="00936D28">
              <w:rPr>
                <w:rFonts w:asciiTheme="majorHAnsi" w:hAnsiTheme="majorHAnsi" w:cstheme="majorHAnsi"/>
                <w:sz w:val="22"/>
                <w:szCs w:val="22"/>
              </w:rPr>
              <w:t>-</w:t>
            </w:r>
          </w:p>
        </w:tc>
      </w:tr>
      <w:tr w:rsidR="000D2587" w:rsidRPr="00936D28" w14:paraId="56AFE2AB" w14:textId="77777777" w:rsidTr="002F05F5">
        <w:tc>
          <w:tcPr>
            <w:tcW w:w="2119" w:type="dxa"/>
          </w:tcPr>
          <w:p w14:paraId="0EF89CF4"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Implementation Method</w:t>
            </w:r>
          </w:p>
          <w:p w14:paraId="72A9E6E6" w14:textId="77777777" w:rsidR="000D2587" w:rsidRPr="00936D28" w:rsidRDefault="000D2587" w:rsidP="000D2587">
            <w:pPr>
              <w:rPr>
                <w:rFonts w:asciiTheme="majorHAnsi" w:hAnsiTheme="majorHAnsi" w:cstheme="majorHAnsi"/>
                <w:i/>
                <w:sz w:val="22"/>
                <w:szCs w:val="22"/>
              </w:rPr>
            </w:pPr>
            <w:r w:rsidRPr="00936D28">
              <w:rPr>
                <w:rFonts w:asciiTheme="majorHAnsi" w:hAnsiTheme="majorHAnsi" w:cstheme="majorHAnsi"/>
                <w:sz w:val="22"/>
                <w:szCs w:val="22"/>
              </w:rPr>
              <w:t>[inc production funding]</w:t>
            </w:r>
          </w:p>
        </w:tc>
        <w:tc>
          <w:tcPr>
            <w:tcW w:w="7804" w:type="dxa"/>
          </w:tcPr>
          <w:p w14:paraId="7B0BF079" w14:textId="77777777" w:rsidR="000D2587" w:rsidRPr="00936D28" w:rsidRDefault="000D2587" w:rsidP="000D2587">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NHS England has commissioned HSCIC to produce and disseminate the CCG OIS indicators; this is funded via the Grant in Aid funding to HSCIC.</w:t>
            </w:r>
          </w:p>
          <w:p w14:paraId="141559F4" w14:textId="77777777" w:rsidR="000D2587" w:rsidRPr="00936D28" w:rsidRDefault="000D2587" w:rsidP="000D2587">
            <w:pPr>
              <w:rPr>
                <w:rFonts w:asciiTheme="majorHAnsi" w:hAnsiTheme="majorHAnsi" w:cstheme="majorHAnsi"/>
                <w:sz w:val="22"/>
                <w:szCs w:val="22"/>
              </w:rPr>
            </w:pPr>
          </w:p>
          <w:p w14:paraId="1228B332" w14:textId="77777777" w:rsidR="000D2587" w:rsidRPr="00936D28" w:rsidRDefault="000D2587" w:rsidP="000D2587">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 xml:space="preserve">Collection of the data for the CCG OIS is via existing data collections, in this case the National Lung Cancer Audit. Testing and specification of this indicator is carried out by the Specification Development Service in </w:t>
            </w:r>
            <w:r w:rsidRPr="00936D28">
              <w:rPr>
                <w:rFonts w:asciiTheme="majorHAnsi" w:hAnsiTheme="majorHAnsi" w:cstheme="majorHAnsi"/>
                <w:sz w:val="22"/>
                <w:szCs w:val="22"/>
              </w:rPr>
              <w:lastRenderedPageBreak/>
              <w:t>conjunction with the National Lung Cancer Audit. The construction of the indicators will be carried out by Clinical Indicators via the CI Platform at HSCIC.</w:t>
            </w:r>
          </w:p>
          <w:p w14:paraId="3E6F3891" w14:textId="77777777" w:rsidR="000D2587" w:rsidRPr="00936D28" w:rsidRDefault="000D2587" w:rsidP="000D2587">
            <w:pPr>
              <w:rPr>
                <w:rFonts w:asciiTheme="majorHAnsi" w:hAnsiTheme="majorHAnsi" w:cstheme="majorHAnsi"/>
                <w:sz w:val="22"/>
                <w:szCs w:val="22"/>
              </w:rPr>
            </w:pPr>
          </w:p>
          <w:p w14:paraId="4BD9DD61" w14:textId="77777777" w:rsidR="000D2587" w:rsidRPr="00936D28" w:rsidRDefault="000D2587" w:rsidP="000D2587">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Dissemination and presentation of the CCG OIS will be via a number of routes:</w:t>
            </w:r>
          </w:p>
          <w:p w14:paraId="000EAFC1" w14:textId="77777777" w:rsidR="000D2587" w:rsidRPr="00936D28" w:rsidRDefault="000D2587" w:rsidP="000D2587">
            <w:pPr>
              <w:pStyle w:val="ListParagraph"/>
              <w:numPr>
                <w:ilvl w:val="1"/>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 xml:space="preserve">The indicators and their underlying data will be made publically available via the HSCIC website and the Indicator Portal. </w:t>
            </w:r>
          </w:p>
          <w:p w14:paraId="4E79269A" w14:textId="77777777" w:rsidR="000D2587" w:rsidRPr="00936D28" w:rsidRDefault="000D2587" w:rsidP="000D2587">
            <w:pPr>
              <w:pStyle w:val="ListParagraph"/>
              <w:numPr>
                <w:ilvl w:val="1"/>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The indicators will also be provided to NHS England for use in their internal Intelligence Tool.</w:t>
            </w:r>
          </w:p>
          <w:p w14:paraId="18CAB139" w14:textId="77777777" w:rsidR="000D2587" w:rsidRPr="00936D28" w:rsidRDefault="000D2587" w:rsidP="000D2587">
            <w:pPr>
              <w:pStyle w:val="ListParagraph"/>
              <w:numPr>
                <w:ilvl w:val="1"/>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Subject to confirmation by NHS England, the calculated indicator, numerator and denominator for CCGs will be supplied by messaging to the Calculating Quality Reporting Service (CQRS) for use by CCGs as part of their management information.</w:t>
            </w:r>
          </w:p>
          <w:p w14:paraId="32FD9F90" w14:textId="77777777" w:rsidR="000D2587" w:rsidRPr="00936D28" w:rsidRDefault="000D2587" w:rsidP="000D2587">
            <w:pPr>
              <w:rPr>
                <w:rFonts w:asciiTheme="majorHAnsi" w:hAnsiTheme="majorHAnsi" w:cstheme="majorHAnsi"/>
                <w:sz w:val="22"/>
                <w:szCs w:val="22"/>
              </w:rPr>
            </w:pPr>
          </w:p>
          <w:p w14:paraId="46DF3892" w14:textId="10CD45E7" w:rsidR="000D2587" w:rsidRPr="00936D28" w:rsidRDefault="000D2587" w:rsidP="000D2587">
            <w:pPr>
              <w:pStyle w:val="ListParagraph"/>
              <w:numPr>
                <w:ilvl w:val="0"/>
                <w:numId w:val="13"/>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The National Lung Cancer Audit is commissioned by the Healthcare Quality Improvement Partnership (HQIP) and currently funded to December 2013. It is expected to be granted an extension to December 2014; however, this is yet to be approved.</w:t>
            </w:r>
          </w:p>
          <w:p w14:paraId="7C8A0A08" w14:textId="77777777" w:rsidR="000D2587" w:rsidRPr="00936D28" w:rsidRDefault="000D2587" w:rsidP="000D2587">
            <w:pPr>
              <w:rPr>
                <w:rFonts w:asciiTheme="majorHAnsi" w:hAnsiTheme="majorHAnsi" w:cstheme="majorHAnsi"/>
                <w:sz w:val="22"/>
                <w:szCs w:val="22"/>
              </w:rPr>
            </w:pPr>
          </w:p>
        </w:tc>
      </w:tr>
    </w:tbl>
    <w:p w14:paraId="3497AD70" w14:textId="77777777" w:rsidR="00460B4E" w:rsidRPr="00936D28" w:rsidRDefault="00460B4E" w:rsidP="00460B4E">
      <w:pPr>
        <w:rPr>
          <w:rFonts w:asciiTheme="majorHAnsi" w:hAnsiTheme="majorHAnsi" w:cstheme="majorHAnsi"/>
          <w:sz w:val="22"/>
          <w:szCs w:val="22"/>
        </w:rPr>
      </w:pPr>
    </w:p>
    <w:p w14:paraId="39E56A12" w14:textId="20183F6D" w:rsidR="00460B4E" w:rsidRPr="00936D28" w:rsidRDefault="000D2587" w:rsidP="00460B4E">
      <w:pPr>
        <w:rPr>
          <w:rFonts w:asciiTheme="majorHAnsi" w:hAnsiTheme="majorHAnsi" w:cstheme="majorHAnsi"/>
          <w:sz w:val="22"/>
          <w:szCs w:val="22"/>
        </w:rPr>
      </w:pPr>
      <w:r w:rsidRPr="00936D28">
        <w:rPr>
          <w:rFonts w:asciiTheme="majorHAnsi" w:hAnsiTheme="majorHAnsi" w:cstheme="majorHAnsi"/>
          <w:b/>
          <w:sz w:val="22"/>
          <w:szCs w:val="22"/>
        </w:rPr>
        <w:t>Development Advice / Peer Review (undertaken as part of assurance process)</w:t>
      </w:r>
    </w:p>
    <w:tbl>
      <w:tblPr>
        <w:tblStyle w:val="TableGrid"/>
        <w:tblW w:w="9923" w:type="dxa"/>
        <w:tblLayout w:type="fixed"/>
        <w:tblLook w:val="01E0" w:firstRow="1" w:lastRow="1" w:firstColumn="1" w:lastColumn="1" w:noHBand="0" w:noVBand="0"/>
      </w:tblPr>
      <w:tblGrid>
        <w:gridCol w:w="2119"/>
        <w:gridCol w:w="7804"/>
      </w:tblGrid>
      <w:tr w:rsidR="00460B4E" w:rsidRPr="00936D28" w14:paraId="55358FC9" w14:textId="77777777" w:rsidTr="002F05F5">
        <w:trPr>
          <w:trHeight w:val="404"/>
        </w:trPr>
        <w:tc>
          <w:tcPr>
            <w:tcW w:w="2119" w:type="dxa"/>
          </w:tcPr>
          <w:p w14:paraId="63FA1DFE"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Range of input during development</w:t>
            </w:r>
          </w:p>
        </w:tc>
        <w:tc>
          <w:tcPr>
            <w:tcW w:w="7804" w:type="dxa"/>
          </w:tcPr>
          <w:p w14:paraId="0D5D73F1"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w:t>
            </w:r>
          </w:p>
        </w:tc>
      </w:tr>
      <w:tr w:rsidR="00460B4E" w:rsidRPr="00936D28" w14:paraId="1483C9E7" w14:textId="77777777" w:rsidTr="002F05F5">
        <w:trPr>
          <w:trHeight w:val="413"/>
        </w:trPr>
        <w:tc>
          <w:tcPr>
            <w:tcW w:w="2119" w:type="dxa"/>
          </w:tcPr>
          <w:p w14:paraId="02D9E472"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Assurance Service</w:t>
            </w:r>
          </w:p>
          <w:p w14:paraId="7C1D9565" w14:textId="77777777" w:rsidR="00460B4E" w:rsidRPr="00936D28" w:rsidRDefault="00460B4E" w:rsidP="00460B4E">
            <w:pPr>
              <w:rPr>
                <w:rFonts w:asciiTheme="majorHAnsi" w:hAnsiTheme="majorHAnsi" w:cstheme="majorHAnsi"/>
                <w:i/>
                <w:sz w:val="22"/>
                <w:szCs w:val="22"/>
              </w:rPr>
            </w:pPr>
            <w:r w:rsidRPr="00936D28">
              <w:rPr>
                <w:rFonts w:asciiTheme="majorHAnsi" w:hAnsiTheme="majorHAnsi" w:cstheme="majorHAnsi"/>
                <w:sz w:val="22"/>
                <w:szCs w:val="22"/>
              </w:rPr>
              <w:t>Peer Reviewers:</w:t>
            </w:r>
          </w:p>
        </w:tc>
        <w:tc>
          <w:tcPr>
            <w:tcW w:w="7804" w:type="dxa"/>
          </w:tcPr>
          <w:p w14:paraId="15F93570"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The indicator was sent for peer review in a pack of five indicators.  No comments were received for this indicator.</w:t>
            </w:r>
          </w:p>
        </w:tc>
      </w:tr>
      <w:tr w:rsidR="00460B4E" w:rsidRPr="00936D28" w14:paraId="3AD3FFE4" w14:textId="77777777" w:rsidTr="002F05F5">
        <w:trPr>
          <w:trHeight w:val="413"/>
        </w:trPr>
        <w:tc>
          <w:tcPr>
            <w:tcW w:w="2119" w:type="dxa"/>
          </w:tcPr>
          <w:p w14:paraId="1EE56FF2"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Peer Review summary:</w:t>
            </w:r>
          </w:p>
        </w:tc>
        <w:tc>
          <w:tcPr>
            <w:tcW w:w="7804" w:type="dxa"/>
          </w:tcPr>
          <w:p w14:paraId="63046643"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n/a</w:t>
            </w:r>
          </w:p>
        </w:tc>
      </w:tr>
    </w:tbl>
    <w:p w14:paraId="15066B02" w14:textId="65E48A7B" w:rsidR="00000D88" w:rsidRPr="00936D28" w:rsidRDefault="00000D88" w:rsidP="00460B4E">
      <w:pPr>
        <w:rPr>
          <w:rFonts w:asciiTheme="majorHAnsi" w:hAnsiTheme="majorHAnsi" w:cstheme="majorHAnsi"/>
          <w:sz w:val="22"/>
          <w:szCs w:val="22"/>
        </w:rPr>
      </w:pPr>
    </w:p>
    <w:p w14:paraId="0BA179E3" w14:textId="77777777" w:rsidR="00000D88" w:rsidRPr="00936D28" w:rsidRDefault="00000D88">
      <w:pPr>
        <w:spacing w:after="0"/>
        <w:textboxTightWrap w:val="none"/>
        <w:rPr>
          <w:rFonts w:asciiTheme="majorHAnsi" w:hAnsiTheme="majorHAnsi" w:cstheme="majorHAnsi"/>
          <w:sz w:val="22"/>
          <w:szCs w:val="22"/>
        </w:rPr>
      </w:pPr>
      <w:r w:rsidRPr="00936D28">
        <w:rPr>
          <w:rFonts w:asciiTheme="majorHAnsi" w:hAnsiTheme="majorHAnsi" w:cstheme="majorHAnsi"/>
          <w:sz w:val="22"/>
          <w:szCs w:val="22"/>
        </w:rPr>
        <w:br w:type="page"/>
      </w:r>
    </w:p>
    <w:p w14:paraId="617F2613" w14:textId="2C68FFC0" w:rsidR="00460B4E" w:rsidRPr="00936D28" w:rsidRDefault="000D2587" w:rsidP="00460B4E">
      <w:pPr>
        <w:rPr>
          <w:rFonts w:asciiTheme="majorHAnsi" w:hAnsiTheme="majorHAnsi" w:cstheme="majorHAnsi"/>
          <w:sz w:val="22"/>
          <w:szCs w:val="22"/>
        </w:rPr>
      </w:pPr>
      <w:r w:rsidRPr="00936D28">
        <w:rPr>
          <w:rFonts w:asciiTheme="majorHAnsi" w:hAnsiTheme="majorHAnsi" w:cstheme="majorHAnsi"/>
          <w:b/>
          <w:sz w:val="22"/>
          <w:szCs w:val="22"/>
        </w:rPr>
        <w:lastRenderedPageBreak/>
        <w:t>Record of MRG Discussion</w:t>
      </w:r>
    </w:p>
    <w:tbl>
      <w:tblPr>
        <w:tblStyle w:val="TableGrid"/>
        <w:tblW w:w="3242" w:type="dxa"/>
        <w:tblLook w:val="01E0" w:firstRow="1" w:lastRow="1" w:firstColumn="1" w:lastColumn="1" w:noHBand="0" w:noVBand="0"/>
      </w:tblPr>
      <w:tblGrid>
        <w:gridCol w:w="2108"/>
        <w:gridCol w:w="1134"/>
      </w:tblGrid>
      <w:tr w:rsidR="000D2587" w:rsidRPr="00936D28" w14:paraId="34A947DE" w14:textId="77777777" w:rsidTr="000D2587">
        <w:tc>
          <w:tcPr>
            <w:tcW w:w="2108" w:type="dxa"/>
          </w:tcPr>
          <w:p w14:paraId="2A001023" w14:textId="77777777" w:rsidR="000D2587" w:rsidRPr="00936D28" w:rsidRDefault="000D2587" w:rsidP="00460B4E">
            <w:pPr>
              <w:rPr>
                <w:rFonts w:asciiTheme="majorHAnsi" w:hAnsiTheme="majorHAnsi" w:cstheme="majorHAnsi"/>
                <w:sz w:val="22"/>
                <w:szCs w:val="22"/>
              </w:rPr>
            </w:pPr>
            <w:r w:rsidRPr="00936D28">
              <w:rPr>
                <w:rFonts w:asciiTheme="majorHAnsi" w:hAnsiTheme="majorHAnsi" w:cstheme="majorHAnsi"/>
                <w:sz w:val="22"/>
                <w:szCs w:val="22"/>
              </w:rPr>
              <w:t xml:space="preserve">Discussion dates: </w:t>
            </w:r>
          </w:p>
        </w:tc>
        <w:tc>
          <w:tcPr>
            <w:tcW w:w="1134" w:type="dxa"/>
          </w:tcPr>
          <w:p w14:paraId="5F77E9E7" w14:textId="77777777" w:rsidR="000D2587" w:rsidRPr="00936D28" w:rsidRDefault="000D2587" w:rsidP="00460B4E">
            <w:pPr>
              <w:rPr>
                <w:rFonts w:asciiTheme="majorHAnsi" w:hAnsiTheme="majorHAnsi" w:cstheme="majorHAnsi"/>
                <w:sz w:val="22"/>
                <w:szCs w:val="22"/>
              </w:rPr>
            </w:pPr>
            <w:r w:rsidRPr="00936D28">
              <w:rPr>
                <w:rFonts w:asciiTheme="majorHAnsi" w:hAnsiTheme="majorHAnsi" w:cstheme="majorHAnsi"/>
                <w:sz w:val="22"/>
                <w:szCs w:val="22"/>
              </w:rPr>
              <w:t xml:space="preserve">07/10/13, </w:t>
            </w:r>
          </w:p>
          <w:p w14:paraId="16551EEF" w14:textId="77777777" w:rsidR="000D2587" w:rsidRPr="00936D28" w:rsidRDefault="000D2587" w:rsidP="00460B4E">
            <w:pPr>
              <w:rPr>
                <w:rFonts w:asciiTheme="majorHAnsi" w:hAnsiTheme="majorHAnsi" w:cstheme="majorHAnsi"/>
                <w:sz w:val="22"/>
                <w:szCs w:val="22"/>
              </w:rPr>
            </w:pPr>
          </w:p>
        </w:tc>
      </w:tr>
    </w:tbl>
    <w:p w14:paraId="08AEED5B" w14:textId="0D9C5B74" w:rsidR="000D2587" w:rsidRDefault="000D2587">
      <w:r>
        <w:t>By:</w:t>
      </w:r>
    </w:p>
    <w:tbl>
      <w:tblPr>
        <w:tblStyle w:val="TableGrid"/>
        <w:tblW w:w="5000" w:type="pct"/>
        <w:tblLook w:val="04A0" w:firstRow="1" w:lastRow="0" w:firstColumn="1" w:lastColumn="0" w:noHBand="0" w:noVBand="1"/>
      </w:tblPr>
      <w:tblGrid>
        <w:gridCol w:w="2976"/>
        <w:gridCol w:w="1066"/>
        <w:gridCol w:w="5812"/>
      </w:tblGrid>
      <w:tr w:rsidR="000D2587" w:rsidRPr="00936D28" w14:paraId="1ADA614F" w14:textId="77777777" w:rsidTr="000D2587">
        <w:tc>
          <w:tcPr>
            <w:tcW w:w="1510" w:type="pct"/>
          </w:tcPr>
          <w:p w14:paraId="53A2CDEB"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Heather Dawe (chair)</w:t>
            </w:r>
          </w:p>
        </w:tc>
        <w:tc>
          <w:tcPr>
            <w:tcW w:w="541" w:type="pct"/>
          </w:tcPr>
          <w:p w14:paraId="27C28B90"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HSCIC</w:t>
            </w:r>
          </w:p>
        </w:tc>
        <w:tc>
          <w:tcPr>
            <w:tcW w:w="2949" w:type="pct"/>
          </w:tcPr>
          <w:p w14:paraId="6D70C8F5"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Programme Manager, Clinical Indicators</w:t>
            </w:r>
          </w:p>
        </w:tc>
      </w:tr>
      <w:tr w:rsidR="000D2587" w:rsidRPr="00936D28" w14:paraId="1EEE3A81" w14:textId="77777777" w:rsidTr="000D2587">
        <w:tc>
          <w:tcPr>
            <w:tcW w:w="1510" w:type="pct"/>
          </w:tcPr>
          <w:p w14:paraId="46D3C261"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Chris Dew (vice-chair)</w:t>
            </w:r>
          </w:p>
        </w:tc>
        <w:tc>
          <w:tcPr>
            <w:tcW w:w="541" w:type="pct"/>
          </w:tcPr>
          <w:p w14:paraId="44D4E34C"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HSCIC</w:t>
            </w:r>
          </w:p>
        </w:tc>
        <w:tc>
          <w:tcPr>
            <w:tcW w:w="2949" w:type="pct"/>
          </w:tcPr>
          <w:p w14:paraId="3620AF34"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Section Head, Clinical Indicators</w:t>
            </w:r>
          </w:p>
        </w:tc>
      </w:tr>
      <w:tr w:rsidR="000D2587" w:rsidRPr="00936D28" w14:paraId="0B5B2C06" w14:textId="77777777" w:rsidTr="000D2587">
        <w:tc>
          <w:tcPr>
            <w:tcW w:w="1510" w:type="pct"/>
          </w:tcPr>
          <w:p w14:paraId="34472DD2"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Paul Fryers</w:t>
            </w:r>
          </w:p>
        </w:tc>
        <w:tc>
          <w:tcPr>
            <w:tcW w:w="541" w:type="pct"/>
          </w:tcPr>
          <w:p w14:paraId="29B5ABA7"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PHE</w:t>
            </w:r>
          </w:p>
        </w:tc>
        <w:tc>
          <w:tcPr>
            <w:tcW w:w="2949" w:type="pct"/>
          </w:tcPr>
          <w:p w14:paraId="398701C1"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Deputy Director, East Midlands Knowledge and Intelligence Team</w:t>
            </w:r>
          </w:p>
        </w:tc>
      </w:tr>
      <w:tr w:rsidR="000D2587" w:rsidRPr="00936D28" w14:paraId="6B51CF8C" w14:textId="77777777" w:rsidTr="000D2587">
        <w:tc>
          <w:tcPr>
            <w:tcW w:w="1510" w:type="pct"/>
          </w:tcPr>
          <w:p w14:paraId="43B48CAA"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Julie Henderson</w:t>
            </w:r>
          </w:p>
        </w:tc>
        <w:tc>
          <w:tcPr>
            <w:tcW w:w="541" w:type="pct"/>
          </w:tcPr>
          <w:p w14:paraId="00852F3A"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HSCIC</w:t>
            </w:r>
          </w:p>
        </w:tc>
        <w:tc>
          <w:tcPr>
            <w:tcW w:w="2949" w:type="pct"/>
          </w:tcPr>
          <w:p w14:paraId="107172E7"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 xml:space="preserve">Programme Head, Clinical Analysis </w:t>
            </w:r>
          </w:p>
        </w:tc>
      </w:tr>
      <w:tr w:rsidR="000D2587" w:rsidRPr="00936D28" w14:paraId="0E41F361" w14:textId="77777777" w:rsidTr="000D2587">
        <w:tc>
          <w:tcPr>
            <w:tcW w:w="1510" w:type="pct"/>
          </w:tcPr>
          <w:p w14:paraId="3C942C14"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Andy Sutherland</w:t>
            </w:r>
          </w:p>
        </w:tc>
        <w:tc>
          <w:tcPr>
            <w:tcW w:w="541" w:type="pct"/>
          </w:tcPr>
          <w:p w14:paraId="1B6BC107"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HSCIC</w:t>
            </w:r>
          </w:p>
        </w:tc>
        <w:tc>
          <w:tcPr>
            <w:tcW w:w="2949" w:type="pct"/>
          </w:tcPr>
          <w:p w14:paraId="0FD8E125"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Statistics Head of Profession</w:t>
            </w:r>
          </w:p>
        </w:tc>
      </w:tr>
      <w:tr w:rsidR="000D2587" w:rsidRPr="00936D28" w14:paraId="57CE9E7D" w14:textId="77777777" w:rsidTr="000D2587">
        <w:tc>
          <w:tcPr>
            <w:tcW w:w="1510" w:type="pct"/>
          </w:tcPr>
          <w:p w14:paraId="132286CA"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Alyson Whitmarsh</w:t>
            </w:r>
          </w:p>
        </w:tc>
        <w:tc>
          <w:tcPr>
            <w:tcW w:w="541" w:type="pct"/>
          </w:tcPr>
          <w:p w14:paraId="2E99AFDA"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HSCIC</w:t>
            </w:r>
          </w:p>
        </w:tc>
        <w:tc>
          <w:tcPr>
            <w:tcW w:w="2949" w:type="pct"/>
          </w:tcPr>
          <w:p w14:paraId="58FC0813"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Programme Manager, Clinical Audit</w:t>
            </w:r>
          </w:p>
        </w:tc>
      </w:tr>
    </w:tbl>
    <w:p w14:paraId="253AD2C8" w14:textId="5CB4FFCC" w:rsidR="000D2587" w:rsidRDefault="000D2587"/>
    <w:p w14:paraId="26C61758" w14:textId="77777777" w:rsidR="000D2587" w:rsidRDefault="000D2587"/>
    <w:tbl>
      <w:tblPr>
        <w:tblStyle w:val="TableGrid"/>
        <w:tblW w:w="9923" w:type="dxa"/>
        <w:tblLook w:val="01E0" w:firstRow="1" w:lastRow="1" w:firstColumn="1" w:lastColumn="1" w:noHBand="0" w:noVBand="0"/>
      </w:tblPr>
      <w:tblGrid>
        <w:gridCol w:w="2108"/>
        <w:gridCol w:w="7815"/>
      </w:tblGrid>
      <w:tr w:rsidR="000D2587" w:rsidRPr="00936D28" w14:paraId="33E48FD7" w14:textId="77777777" w:rsidTr="000D2587">
        <w:tc>
          <w:tcPr>
            <w:tcW w:w="2108" w:type="dxa"/>
          </w:tcPr>
          <w:p w14:paraId="35FFFAC7" w14:textId="232D6BC5"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 xml:space="preserve">Summary of MRG discussions: </w:t>
            </w:r>
          </w:p>
        </w:tc>
        <w:tc>
          <w:tcPr>
            <w:tcW w:w="7815" w:type="dxa"/>
          </w:tcPr>
          <w:p w14:paraId="208C25C2" w14:textId="77777777" w:rsidR="000D2587" w:rsidRPr="00936D28" w:rsidRDefault="000D2587" w:rsidP="000D2587">
            <w:pPr>
              <w:contextualSpacing/>
              <w:rPr>
                <w:rFonts w:asciiTheme="majorHAnsi" w:hAnsiTheme="majorHAnsi" w:cstheme="majorHAnsi"/>
                <w:sz w:val="22"/>
                <w:szCs w:val="22"/>
              </w:rPr>
            </w:pPr>
            <w:r w:rsidRPr="00936D28">
              <w:rPr>
                <w:rFonts w:asciiTheme="majorHAnsi" w:hAnsiTheme="majorHAnsi" w:cstheme="majorHAnsi"/>
                <w:sz w:val="22"/>
                <w:szCs w:val="22"/>
              </w:rPr>
              <w:t>Appraisal against Criteria:</w:t>
            </w:r>
          </w:p>
          <w:p w14:paraId="3B913800" w14:textId="77777777" w:rsidR="000D2587" w:rsidRPr="00936D28" w:rsidRDefault="000D2587" w:rsidP="000D2587">
            <w:pPr>
              <w:contextualSpacing/>
              <w:rPr>
                <w:rFonts w:asciiTheme="majorHAnsi" w:hAnsiTheme="majorHAnsi" w:cstheme="majorHAnsi"/>
                <w:b/>
                <w:sz w:val="22"/>
                <w:szCs w:val="22"/>
              </w:rPr>
            </w:pPr>
          </w:p>
          <w:p w14:paraId="4D1E3E80" w14:textId="77777777" w:rsidR="000D2587" w:rsidRPr="00936D28" w:rsidRDefault="000D2587" w:rsidP="000D2587">
            <w:pPr>
              <w:contextualSpacing/>
              <w:rPr>
                <w:rFonts w:asciiTheme="majorHAnsi" w:hAnsiTheme="majorHAnsi" w:cstheme="majorHAnsi"/>
                <w:b/>
                <w:sz w:val="22"/>
                <w:szCs w:val="22"/>
              </w:rPr>
            </w:pPr>
            <w:r w:rsidRPr="00936D28">
              <w:rPr>
                <w:rFonts w:asciiTheme="majorHAnsi" w:hAnsiTheme="majorHAnsi" w:cstheme="majorHAnsi"/>
                <w:b/>
                <w:sz w:val="22"/>
                <w:szCs w:val="22"/>
              </w:rPr>
              <w:t>Clarity</w:t>
            </w:r>
          </w:p>
          <w:p w14:paraId="1C50A0EC" w14:textId="77777777" w:rsidR="000D2587" w:rsidRPr="00936D28" w:rsidRDefault="000D2587" w:rsidP="000D2587">
            <w:pPr>
              <w:pStyle w:val="ListParagraph"/>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The applicant highlighted an issue with the current title, that the lung cancer stage is recorded at decision to treat rather than at diagnosis, therefore the title has been updated to ‘Record of lung cancer stage at decision to treat’</w:t>
            </w:r>
          </w:p>
          <w:p w14:paraId="5C3A5134" w14:textId="77777777" w:rsidR="000D2587" w:rsidRPr="00936D28" w:rsidRDefault="000D2587" w:rsidP="000D2587">
            <w:pPr>
              <w:rPr>
                <w:rFonts w:asciiTheme="majorHAnsi" w:hAnsiTheme="majorHAnsi" w:cstheme="majorHAnsi"/>
                <w:sz w:val="22"/>
                <w:szCs w:val="22"/>
              </w:rPr>
            </w:pPr>
          </w:p>
          <w:p w14:paraId="444A1F11"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b/>
                <w:sz w:val="22"/>
                <w:szCs w:val="22"/>
              </w:rPr>
              <w:t xml:space="preserve">Rationale / Purpose:  </w:t>
            </w:r>
            <w:r w:rsidRPr="00936D28">
              <w:rPr>
                <w:rFonts w:asciiTheme="majorHAnsi" w:hAnsiTheme="majorHAnsi" w:cstheme="majorHAnsi"/>
                <w:sz w:val="22"/>
                <w:szCs w:val="22"/>
              </w:rPr>
              <w:t>No further comments were raised by MRG</w:t>
            </w:r>
          </w:p>
          <w:p w14:paraId="6A96AD95" w14:textId="77777777" w:rsidR="000D2587" w:rsidRPr="00936D28" w:rsidRDefault="000D2587" w:rsidP="000D2587">
            <w:pPr>
              <w:rPr>
                <w:rFonts w:asciiTheme="majorHAnsi" w:hAnsiTheme="majorHAnsi" w:cstheme="majorHAnsi"/>
                <w:sz w:val="22"/>
                <w:szCs w:val="22"/>
              </w:rPr>
            </w:pPr>
          </w:p>
          <w:p w14:paraId="318E283D" w14:textId="77777777" w:rsidR="000D2587" w:rsidRPr="00936D28" w:rsidRDefault="000D2587" w:rsidP="000D2587">
            <w:pPr>
              <w:rPr>
                <w:rFonts w:asciiTheme="majorHAnsi" w:hAnsiTheme="majorHAnsi" w:cstheme="majorHAnsi"/>
                <w:b/>
                <w:sz w:val="22"/>
                <w:szCs w:val="22"/>
              </w:rPr>
            </w:pPr>
            <w:r w:rsidRPr="00936D28">
              <w:rPr>
                <w:rFonts w:asciiTheme="majorHAnsi" w:hAnsiTheme="majorHAnsi" w:cstheme="majorHAnsi"/>
                <w:b/>
                <w:sz w:val="22"/>
                <w:szCs w:val="22"/>
              </w:rPr>
              <w:t>Data :</w:t>
            </w:r>
          </w:p>
          <w:p w14:paraId="35AA7059" w14:textId="77777777" w:rsidR="000D2587" w:rsidRPr="00936D28" w:rsidRDefault="000D2587" w:rsidP="000D2587">
            <w:pPr>
              <w:numPr>
                <w:ilvl w:val="0"/>
                <w:numId w:val="12"/>
              </w:numPr>
              <w:spacing w:after="0"/>
              <w:contextualSpacing/>
              <w:textboxTightWrap w:val="none"/>
              <w:rPr>
                <w:rFonts w:asciiTheme="majorHAnsi" w:hAnsiTheme="majorHAnsi" w:cstheme="majorHAnsi"/>
                <w:sz w:val="22"/>
                <w:szCs w:val="22"/>
              </w:rPr>
            </w:pPr>
            <w:r w:rsidRPr="00936D28">
              <w:rPr>
                <w:rFonts w:asciiTheme="majorHAnsi" w:hAnsiTheme="majorHAnsi" w:cstheme="majorHAnsi"/>
                <w:sz w:val="22"/>
                <w:szCs w:val="22"/>
              </w:rPr>
              <w:t>It was questioned as to why the NLCA was used as a data source for this indicator, when NCIN includes lung cancer. The applicant explained that this data was of a higher quality, and if data of this standard was available for all cancer types, it would be used as opposed to the NCIN.</w:t>
            </w:r>
          </w:p>
          <w:p w14:paraId="66A4C50C" w14:textId="77777777" w:rsidR="000D2587" w:rsidRPr="00936D28" w:rsidRDefault="000D2587" w:rsidP="000D2587">
            <w:pPr>
              <w:rPr>
                <w:rFonts w:asciiTheme="majorHAnsi" w:hAnsiTheme="majorHAnsi" w:cstheme="majorHAnsi"/>
                <w:sz w:val="22"/>
                <w:szCs w:val="22"/>
              </w:rPr>
            </w:pPr>
          </w:p>
          <w:p w14:paraId="5A283879" w14:textId="77777777" w:rsidR="000D2587" w:rsidRPr="00936D28" w:rsidRDefault="000D2587" w:rsidP="000D2587">
            <w:pPr>
              <w:contextualSpacing/>
              <w:rPr>
                <w:rFonts w:asciiTheme="majorHAnsi" w:hAnsiTheme="majorHAnsi" w:cstheme="majorHAnsi"/>
                <w:sz w:val="22"/>
                <w:szCs w:val="22"/>
              </w:rPr>
            </w:pPr>
            <w:r w:rsidRPr="00936D28">
              <w:rPr>
                <w:rFonts w:asciiTheme="majorHAnsi" w:hAnsiTheme="majorHAnsi" w:cstheme="majorHAnsi"/>
                <w:b/>
                <w:sz w:val="22"/>
                <w:szCs w:val="22"/>
              </w:rPr>
              <w:t xml:space="preserve">Construction:  </w:t>
            </w:r>
            <w:r w:rsidRPr="00936D28">
              <w:rPr>
                <w:rFonts w:asciiTheme="majorHAnsi" w:hAnsiTheme="majorHAnsi" w:cstheme="majorHAnsi"/>
                <w:sz w:val="22"/>
                <w:szCs w:val="22"/>
              </w:rPr>
              <w:t>No further comments were raised by MRG</w:t>
            </w:r>
          </w:p>
          <w:p w14:paraId="540B4F00" w14:textId="77777777" w:rsidR="000D2587" w:rsidRPr="00936D28" w:rsidRDefault="000D2587" w:rsidP="000D2587">
            <w:pPr>
              <w:spacing w:after="120"/>
              <w:contextualSpacing/>
              <w:rPr>
                <w:rFonts w:asciiTheme="majorHAnsi" w:hAnsiTheme="majorHAnsi" w:cstheme="majorHAnsi"/>
                <w:sz w:val="22"/>
                <w:szCs w:val="22"/>
              </w:rPr>
            </w:pPr>
          </w:p>
          <w:p w14:paraId="50E2930F" w14:textId="77777777" w:rsidR="000D2587" w:rsidRPr="00936D28" w:rsidRDefault="000D2587" w:rsidP="000D2587">
            <w:pPr>
              <w:contextualSpacing/>
              <w:rPr>
                <w:rFonts w:asciiTheme="majorHAnsi" w:hAnsiTheme="majorHAnsi" w:cstheme="majorHAnsi"/>
                <w:sz w:val="22"/>
                <w:szCs w:val="22"/>
              </w:rPr>
            </w:pPr>
            <w:r w:rsidRPr="00936D28">
              <w:rPr>
                <w:rFonts w:asciiTheme="majorHAnsi" w:hAnsiTheme="majorHAnsi" w:cstheme="majorHAnsi"/>
                <w:b/>
                <w:sz w:val="22"/>
                <w:szCs w:val="22"/>
              </w:rPr>
              <w:t xml:space="preserve">Interpretation:  </w:t>
            </w:r>
            <w:r w:rsidRPr="00936D28">
              <w:rPr>
                <w:rFonts w:asciiTheme="majorHAnsi" w:hAnsiTheme="majorHAnsi" w:cstheme="majorHAnsi"/>
                <w:sz w:val="22"/>
                <w:szCs w:val="22"/>
              </w:rPr>
              <w:t>No further comments were raised by MRG</w:t>
            </w:r>
          </w:p>
          <w:p w14:paraId="1F307B0C" w14:textId="77777777" w:rsidR="000D2587" w:rsidRPr="00936D28" w:rsidRDefault="000D2587" w:rsidP="000D2587">
            <w:pPr>
              <w:contextualSpacing/>
              <w:rPr>
                <w:rFonts w:asciiTheme="majorHAnsi" w:hAnsiTheme="majorHAnsi" w:cstheme="majorHAnsi"/>
                <w:sz w:val="22"/>
                <w:szCs w:val="22"/>
              </w:rPr>
            </w:pPr>
          </w:p>
          <w:p w14:paraId="21ED319C" w14:textId="77777777" w:rsidR="000D2587" w:rsidRPr="00936D28" w:rsidRDefault="000D2587" w:rsidP="000D2587">
            <w:pPr>
              <w:contextualSpacing/>
              <w:rPr>
                <w:rFonts w:asciiTheme="majorHAnsi" w:hAnsiTheme="majorHAnsi" w:cstheme="majorHAnsi"/>
                <w:sz w:val="22"/>
                <w:szCs w:val="22"/>
              </w:rPr>
            </w:pPr>
            <w:r w:rsidRPr="00936D28">
              <w:rPr>
                <w:rFonts w:asciiTheme="majorHAnsi" w:hAnsiTheme="majorHAnsi" w:cstheme="majorHAnsi"/>
                <w:b/>
                <w:sz w:val="22"/>
                <w:szCs w:val="22"/>
              </w:rPr>
              <w:t xml:space="preserve">Risks and Usefulness:   </w:t>
            </w:r>
            <w:r w:rsidRPr="00936D28">
              <w:rPr>
                <w:rFonts w:asciiTheme="majorHAnsi" w:hAnsiTheme="majorHAnsi" w:cstheme="majorHAnsi"/>
                <w:sz w:val="22"/>
                <w:szCs w:val="22"/>
              </w:rPr>
              <w:t>No further comments were raised by MRG</w:t>
            </w:r>
          </w:p>
          <w:p w14:paraId="38446BB3" w14:textId="77777777" w:rsidR="000D2587" w:rsidRPr="00936D28" w:rsidRDefault="000D2587" w:rsidP="000D2587">
            <w:pPr>
              <w:contextualSpacing/>
              <w:rPr>
                <w:rFonts w:asciiTheme="majorHAnsi" w:hAnsiTheme="majorHAnsi" w:cstheme="majorHAnsi"/>
                <w:sz w:val="22"/>
                <w:szCs w:val="22"/>
              </w:rPr>
            </w:pPr>
          </w:p>
        </w:tc>
      </w:tr>
    </w:tbl>
    <w:p w14:paraId="7E4735DF" w14:textId="77777777" w:rsidR="000D2587" w:rsidRDefault="000D2587"/>
    <w:tbl>
      <w:tblPr>
        <w:tblStyle w:val="TableGrid"/>
        <w:tblW w:w="9923" w:type="dxa"/>
        <w:tblLook w:val="01E0" w:firstRow="1" w:lastRow="1" w:firstColumn="1" w:lastColumn="1" w:noHBand="0" w:noVBand="0"/>
      </w:tblPr>
      <w:tblGrid>
        <w:gridCol w:w="2108"/>
        <w:gridCol w:w="6523"/>
        <w:gridCol w:w="711"/>
        <w:gridCol w:w="581"/>
      </w:tblGrid>
      <w:tr w:rsidR="000D2587" w:rsidRPr="00936D28" w14:paraId="5DDC7FD6" w14:textId="77777777" w:rsidTr="000D2587">
        <w:trPr>
          <w:trHeight w:val="228"/>
        </w:trPr>
        <w:tc>
          <w:tcPr>
            <w:tcW w:w="2108" w:type="dxa"/>
          </w:tcPr>
          <w:p w14:paraId="593840DC" w14:textId="74B89C33"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i/>
                <w:sz w:val="22"/>
                <w:szCs w:val="22"/>
              </w:rPr>
              <w:t>Outcome of MRG consideration:</w:t>
            </w:r>
          </w:p>
        </w:tc>
        <w:tc>
          <w:tcPr>
            <w:tcW w:w="6523" w:type="dxa"/>
          </w:tcPr>
          <w:p w14:paraId="5E1D0D1D" w14:textId="465C938A" w:rsidR="000D2587" w:rsidRPr="00936D28" w:rsidRDefault="000D2587" w:rsidP="000D2587">
            <w:pPr>
              <w:pStyle w:val="ListParagraph"/>
              <w:numPr>
                <w:ilvl w:val="0"/>
                <w:numId w:val="20"/>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No significant issues identified</w:t>
            </w:r>
          </w:p>
        </w:tc>
        <w:sdt>
          <w:sdtPr>
            <w:rPr>
              <w:rFonts w:asciiTheme="majorHAnsi" w:hAnsiTheme="majorHAnsi" w:cstheme="majorHAnsi"/>
              <w:sz w:val="22"/>
              <w:szCs w:val="22"/>
            </w:rPr>
            <w:id w:val="1667980167"/>
            <w14:checkbox>
              <w14:checked w14:val="0"/>
              <w14:checkedState w14:val="2612" w14:font="MS Gothic"/>
              <w14:uncheckedState w14:val="2610" w14:font="MS Gothic"/>
            </w14:checkbox>
          </w:sdtPr>
          <w:sdtContent>
            <w:tc>
              <w:tcPr>
                <w:tcW w:w="711" w:type="dxa"/>
              </w:tcPr>
              <w:p w14:paraId="1B8CFF88" w14:textId="6894DE8F" w:rsidR="000D2587" w:rsidRDefault="000D2587" w:rsidP="000D2587">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81" w:type="dxa"/>
          </w:tcPr>
          <w:p w14:paraId="0B33D0C3" w14:textId="77777777" w:rsidR="000D2587" w:rsidRPr="00936D28" w:rsidRDefault="000D2587" w:rsidP="000D2587">
            <w:pPr>
              <w:rPr>
                <w:rFonts w:asciiTheme="majorHAnsi" w:hAnsiTheme="majorHAnsi" w:cstheme="majorHAnsi"/>
                <w:b/>
                <w:sz w:val="22"/>
                <w:szCs w:val="22"/>
              </w:rPr>
            </w:pPr>
          </w:p>
        </w:tc>
      </w:tr>
      <w:tr w:rsidR="000D2587" w:rsidRPr="00936D28" w14:paraId="2278FAC7" w14:textId="77777777" w:rsidTr="000D2587">
        <w:trPr>
          <w:trHeight w:val="228"/>
        </w:trPr>
        <w:tc>
          <w:tcPr>
            <w:tcW w:w="2108" w:type="dxa"/>
          </w:tcPr>
          <w:p w14:paraId="089AD099" w14:textId="77777777" w:rsidR="000D2587" w:rsidRPr="00936D28" w:rsidRDefault="000D2587" w:rsidP="000D2587">
            <w:pPr>
              <w:rPr>
                <w:rFonts w:asciiTheme="majorHAnsi" w:hAnsiTheme="majorHAnsi" w:cstheme="majorHAnsi"/>
                <w:sz w:val="22"/>
                <w:szCs w:val="22"/>
              </w:rPr>
            </w:pPr>
          </w:p>
        </w:tc>
        <w:tc>
          <w:tcPr>
            <w:tcW w:w="6523" w:type="dxa"/>
          </w:tcPr>
          <w:p w14:paraId="3641437E" w14:textId="322B1474" w:rsidR="000D2587" w:rsidRPr="00936D28" w:rsidRDefault="000D2587" w:rsidP="000D2587">
            <w:pPr>
              <w:pStyle w:val="ListParagraph"/>
              <w:numPr>
                <w:ilvl w:val="0"/>
                <w:numId w:val="20"/>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No significant issues on basis of completion of outstanding actions</w:t>
            </w:r>
          </w:p>
        </w:tc>
        <w:sdt>
          <w:sdtPr>
            <w:rPr>
              <w:rFonts w:asciiTheme="majorHAnsi" w:hAnsiTheme="majorHAnsi" w:cstheme="majorHAnsi"/>
              <w:sz w:val="22"/>
              <w:szCs w:val="22"/>
            </w:rPr>
            <w:id w:val="-1756035554"/>
            <w14:checkbox>
              <w14:checked w14:val="1"/>
              <w14:checkedState w14:val="2612" w14:font="MS Gothic"/>
              <w14:uncheckedState w14:val="2610" w14:font="MS Gothic"/>
            </w14:checkbox>
          </w:sdtPr>
          <w:sdtContent>
            <w:tc>
              <w:tcPr>
                <w:tcW w:w="711" w:type="dxa"/>
              </w:tcPr>
              <w:p w14:paraId="00C6FE50" w14:textId="39BC6D53" w:rsidR="000D2587" w:rsidRDefault="000D2587" w:rsidP="000D2587">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81" w:type="dxa"/>
          </w:tcPr>
          <w:p w14:paraId="6D16E5C0" w14:textId="77777777" w:rsidR="000D2587" w:rsidRPr="00936D28" w:rsidRDefault="000D2587" w:rsidP="000D2587">
            <w:pPr>
              <w:rPr>
                <w:rFonts w:asciiTheme="majorHAnsi" w:hAnsiTheme="majorHAnsi" w:cstheme="majorHAnsi"/>
                <w:b/>
                <w:sz w:val="22"/>
                <w:szCs w:val="22"/>
              </w:rPr>
            </w:pPr>
          </w:p>
        </w:tc>
      </w:tr>
      <w:tr w:rsidR="000D2587" w:rsidRPr="00936D28" w14:paraId="4D441321" w14:textId="77777777" w:rsidTr="000D2587">
        <w:trPr>
          <w:trHeight w:val="228"/>
        </w:trPr>
        <w:tc>
          <w:tcPr>
            <w:tcW w:w="2108" w:type="dxa"/>
          </w:tcPr>
          <w:p w14:paraId="53ACA7F3" w14:textId="77777777" w:rsidR="000D2587" w:rsidRPr="00936D28" w:rsidRDefault="000D2587" w:rsidP="000D2587">
            <w:pPr>
              <w:rPr>
                <w:rFonts w:asciiTheme="majorHAnsi" w:hAnsiTheme="majorHAnsi" w:cstheme="majorHAnsi"/>
                <w:sz w:val="22"/>
                <w:szCs w:val="22"/>
              </w:rPr>
            </w:pPr>
          </w:p>
        </w:tc>
        <w:tc>
          <w:tcPr>
            <w:tcW w:w="6523" w:type="dxa"/>
          </w:tcPr>
          <w:p w14:paraId="21B3ED9F" w14:textId="0CBAD210" w:rsidR="000D2587" w:rsidRPr="00936D28" w:rsidRDefault="000D2587" w:rsidP="000D2587">
            <w:pPr>
              <w:pStyle w:val="ListParagraph"/>
              <w:numPr>
                <w:ilvl w:val="0"/>
                <w:numId w:val="20"/>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Some concerns expressed as caveats or limitations</w:t>
            </w:r>
          </w:p>
        </w:tc>
        <w:sdt>
          <w:sdtPr>
            <w:rPr>
              <w:rFonts w:asciiTheme="majorHAnsi" w:hAnsiTheme="majorHAnsi" w:cstheme="majorHAnsi"/>
              <w:sz w:val="22"/>
              <w:szCs w:val="22"/>
            </w:rPr>
            <w:id w:val="-202243678"/>
            <w14:checkbox>
              <w14:checked w14:val="0"/>
              <w14:checkedState w14:val="2612" w14:font="MS Gothic"/>
              <w14:uncheckedState w14:val="2610" w14:font="MS Gothic"/>
            </w14:checkbox>
          </w:sdtPr>
          <w:sdtContent>
            <w:tc>
              <w:tcPr>
                <w:tcW w:w="711" w:type="dxa"/>
              </w:tcPr>
              <w:p w14:paraId="0EAFA629" w14:textId="7619592C" w:rsidR="000D2587" w:rsidRDefault="000D2587" w:rsidP="000D2587">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81" w:type="dxa"/>
          </w:tcPr>
          <w:p w14:paraId="03862B9F" w14:textId="77777777" w:rsidR="000D2587" w:rsidRPr="00936D28" w:rsidRDefault="000D2587" w:rsidP="000D2587">
            <w:pPr>
              <w:rPr>
                <w:rFonts w:asciiTheme="majorHAnsi" w:hAnsiTheme="majorHAnsi" w:cstheme="majorHAnsi"/>
                <w:b/>
                <w:sz w:val="22"/>
                <w:szCs w:val="22"/>
              </w:rPr>
            </w:pPr>
          </w:p>
        </w:tc>
      </w:tr>
      <w:tr w:rsidR="000D2587" w:rsidRPr="00936D28" w14:paraId="0E8A6B1B" w14:textId="77777777" w:rsidTr="000D2587">
        <w:trPr>
          <w:trHeight w:val="228"/>
        </w:trPr>
        <w:tc>
          <w:tcPr>
            <w:tcW w:w="2108" w:type="dxa"/>
          </w:tcPr>
          <w:p w14:paraId="4E218256" w14:textId="77777777" w:rsidR="000D2587" w:rsidRPr="00936D28" w:rsidRDefault="000D2587" w:rsidP="000D2587">
            <w:pPr>
              <w:rPr>
                <w:rFonts w:asciiTheme="majorHAnsi" w:hAnsiTheme="majorHAnsi" w:cstheme="majorHAnsi"/>
                <w:sz w:val="22"/>
                <w:szCs w:val="22"/>
              </w:rPr>
            </w:pPr>
          </w:p>
        </w:tc>
        <w:tc>
          <w:tcPr>
            <w:tcW w:w="6523" w:type="dxa"/>
          </w:tcPr>
          <w:p w14:paraId="7691ECD0" w14:textId="457ED103" w:rsidR="000D2587" w:rsidRPr="00936D28" w:rsidRDefault="000D2587" w:rsidP="000D2587">
            <w:pPr>
              <w:pStyle w:val="ListParagraph"/>
              <w:numPr>
                <w:ilvl w:val="0"/>
                <w:numId w:val="20"/>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Significant reservations</w:t>
            </w:r>
          </w:p>
        </w:tc>
        <w:sdt>
          <w:sdtPr>
            <w:rPr>
              <w:rFonts w:asciiTheme="majorHAnsi" w:hAnsiTheme="majorHAnsi" w:cstheme="majorHAnsi"/>
              <w:sz w:val="22"/>
              <w:szCs w:val="22"/>
            </w:rPr>
            <w:id w:val="-187364910"/>
            <w14:checkbox>
              <w14:checked w14:val="0"/>
              <w14:checkedState w14:val="2612" w14:font="MS Gothic"/>
              <w14:uncheckedState w14:val="2610" w14:font="MS Gothic"/>
            </w14:checkbox>
          </w:sdtPr>
          <w:sdtContent>
            <w:tc>
              <w:tcPr>
                <w:tcW w:w="711" w:type="dxa"/>
              </w:tcPr>
              <w:p w14:paraId="5736E404" w14:textId="2D254CD0" w:rsidR="000D2587" w:rsidRDefault="000D2587" w:rsidP="000D2587">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81" w:type="dxa"/>
          </w:tcPr>
          <w:p w14:paraId="6FD6626A" w14:textId="77777777" w:rsidR="000D2587" w:rsidRPr="00936D28" w:rsidRDefault="000D2587" w:rsidP="000D2587">
            <w:pPr>
              <w:rPr>
                <w:rFonts w:asciiTheme="majorHAnsi" w:hAnsiTheme="majorHAnsi" w:cstheme="majorHAnsi"/>
                <w:b/>
                <w:sz w:val="22"/>
                <w:szCs w:val="22"/>
              </w:rPr>
            </w:pPr>
          </w:p>
        </w:tc>
      </w:tr>
      <w:tr w:rsidR="000D2587" w:rsidRPr="00936D28" w14:paraId="7782F613" w14:textId="77777777" w:rsidTr="000D2587">
        <w:trPr>
          <w:trHeight w:val="228"/>
        </w:trPr>
        <w:tc>
          <w:tcPr>
            <w:tcW w:w="2108" w:type="dxa"/>
          </w:tcPr>
          <w:p w14:paraId="67887A43" w14:textId="77777777" w:rsidR="000D2587" w:rsidRPr="00936D28" w:rsidRDefault="000D2587" w:rsidP="000D2587">
            <w:pPr>
              <w:rPr>
                <w:rFonts w:asciiTheme="majorHAnsi" w:hAnsiTheme="majorHAnsi" w:cstheme="majorHAnsi"/>
                <w:sz w:val="22"/>
                <w:szCs w:val="22"/>
              </w:rPr>
            </w:pPr>
          </w:p>
        </w:tc>
        <w:tc>
          <w:tcPr>
            <w:tcW w:w="6523" w:type="dxa"/>
          </w:tcPr>
          <w:p w14:paraId="79C75220" w14:textId="0B00908C" w:rsidR="000D2587" w:rsidRPr="00936D28" w:rsidRDefault="000D2587" w:rsidP="000D2587">
            <w:pPr>
              <w:pStyle w:val="ListParagraph"/>
              <w:numPr>
                <w:ilvl w:val="0"/>
                <w:numId w:val="20"/>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Unresolved issues</w:t>
            </w:r>
          </w:p>
        </w:tc>
        <w:sdt>
          <w:sdtPr>
            <w:rPr>
              <w:rFonts w:asciiTheme="majorHAnsi" w:hAnsiTheme="majorHAnsi" w:cstheme="majorHAnsi"/>
              <w:sz w:val="22"/>
              <w:szCs w:val="22"/>
            </w:rPr>
            <w:id w:val="-161853471"/>
            <w14:checkbox>
              <w14:checked w14:val="0"/>
              <w14:checkedState w14:val="2612" w14:font="MS Gothic"/>
              <w14:uncheckedState w14:val="2610" w14:font="MS Gothic"/>
            </w14:checkbox>
          </w:sdtPr>
          <w:sdtContent>
            <w:tc>
              <w:tcPr>
                <w:tcW w:w="711" w:type="dxa"/>
              </w:tcPr>
              <w:p w14:paraId="6EA68424" w14:textId="2FB5FB30" w:rsidR="000D2587" w:rsidRDefault="000D2587" w:rsidP="000D2587">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81" w:type="dxa"/>
          </w:tcPr>
          <w:p w14:paraId="0528564A" w14:textId="77777777" w:rsidR="000D2587" w:rsidRPr="00936D28" w:rsidRDefault="000D2587" w:rsidP="000D2587">
            <w:pPr>
              <w:rPr>
                <w:rFonts w:asciiTheme="majorHAnsi" w:hAnsiTheme="majorHAnsi" w:cstheme="majorHAnsi"/>
                <w:b/>
                <w:sz w:val="22"/>
                <w:szCs w:val="22"/>
              </w:rPr>
            </w:pPr>
          </w:p>
        </w:tc>
      </w:tr>
    </w:tbl>
    <w:p w14:paraId="2394F4A2" w14:textId="77777777" w:rsidR="000D2587" w:rsidRDefault="000D2587"/>
    <w:tbl>
      <w:tblPr>
        <w:tblStyle w:val="TableGrid"/>
        <w:tblW w:w="9923" w:type="dxa"/>
        <w:tblLook w:val="01E0" w:firstRow="1" w:lastRow="1" w:firstColumn="1" w:lastColumn="1" w:noHBand="0" w:noVBand="0"/>
      </w:tblPr>
      <w:tblGrid>
        <w:gridCol w:w="2108"/>
        <w:gridCol w:w="7815"/>
      </w:tblGrid>
      <w:tr w:rsidR="000D2587" w:rsidRPr="00936D28" w14:paraId="4C2B31AE" w14:textId="77777777" w:rsidTr="000D2587">
        <w:trPr>
          <w:trHeight w:val="805"/>
        </w:trPr>
        <w:tc>
          <w:tcPr>
            <w:tcW w:w="2108" w:type="dxa"/>
          </w:tcPr>
          <w:p w14:paraId="3D68F76E" w14:textId="1D0258CB"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MRG statement of recommendation:</w:t>
            </w:r>
          </w:p>
        </w:tc>
        <w:tc>
          <w:tcPr>
            <w:tcW w:w="7815" w:type="dxa"/>
          </w:tcPr>
          <w:p w14:paraId="7EE90329" w14:textId="7E15309E" w:rsidR="000D2587" w:rsidRPr="00936D28" w:rsidRDefault="000D2587" w:rsidP="000D2587">
            <w:pPr>
              <w:contextualSpacing/>
              <w:rPr>
                <w:rFonts w:asciiTheme="majorHAnsi" w:hAnsiTheme="majorHAnsi" w:cstheme="majorHAnsi"/>
                <w:sz w:val="22"/>
                <w:szCs w:val="22"/>
              </w:rPr>
            </w:pPr>
            <w:r w:rsidRPr="00936D28">
              <w:rPr>
                <w:rFonts w:asciiTheme="majorHAnsi" w:hAnsiTheme="majorHAnsi" w:cstheme="majorHAnsi"/>
                <w:sz w:val="22"/>
                <w:szCs w:val="22"/>
              </w:rPr>
              <w:t>This indicator was recommended for discussion by IGB on completion of the above recommendations</w:t>
            </w:r>
          </w:p>
        </w:tc>
      </w:tr>
    </w:tbl>
    <w:p w14:paraId="7C9624C8" w14:textId="77777777" w:rsidR="00460B4E" w:rsidRPr="00936D28" w:rsidRDefault="00460B4E" w:rsidP="00460B4E">
      <w:pPr>
        <w:ind w:left="-851"/>
        <w:rPr>
          <w:rFonts w:asciiTheme="majorHAnsi" w:hAnsiTheme="majorHAnsi" w:cstheme="majorHAnsi"/>
          <w:sz w:val="22"/>
          <w:szCs w:val="22"/>
        </w:rPr>
      </w:pPr>
    </w:p>
    <w:p w14:paraId="270E02F8" w14:textId="77777777" w:rsidR="00460B4E" w:rsidRPr="00936D28" w:rsidRDefault="00460B4E" w:rsidP="00460B4E">
      <w:pPr>
        <w:ind w:left="-851"/>
        <w:rPr>
          <w:rFonts w:asciiTheme="majorHAnsi" w:hAnsiTheme="majorHAnsi" w:cstheme="majorHAnsi"/>
          <w:sz w:val="22"/>
          <w:szCs w:val="22"/>
        </w:rPr>
      </w:pPr>
      <w:r w:rsidRPr="00936D28">
        <w:rPr>
          <w:rFonts w:asciiTheme="majorHAnsi" w:hAnsiTheme="majorHAnsi" w:cstheme="majorHAnsi"/>
          <w:sz w:val="22"/>
          <w:szCs w:val="22"/>
        </w:rPr>
        <w:t>Review:</w:t>
      </w:r>
    </w:p>
    <w:p w14:paraId="5F94B6BD" w14:textId="45DD83A0" w:rsidR="00460B4E" w:rsidRPr="00936D28" w:rsidRDefault="000D2587" w:rsidP="00460B4E">
      <w:pPr>
        <w:ind w:left="-851"/>
        <w:rPr>
          <w:rFonts w:asciiTheme="majorHAnsi" w:hAnsiTheme="majorHAnsi" w:cstheme="majorHAnsi"/>
          <w:sz w:val="22"/>
          <w:szCs w:val="22"/>
        </w:rPr>
      </w:pPr>
      <w:r w:rsidRPr="00936D28">
        <w:rPr>
          <w:rFonts w:asciiTheme="majorHAnsi" w:hAnsiTheme="majorHAnsi" w:cstheme="majorHAnsi"/>
          <w:b/>
          <w:sz w:val="22"/>
          <w:szCs w:val="22"/>
        </w:rPr>
        <w:t>Review</w:t>
      </w:r>
    </w:p>
    <w:tbl>
      <w:tblPr>
        <w:tblStyle w:val="TableGrid"/>
        <w:tblW w:w="2127" w:type="dxa"/>
        <w:tblLayout w:type="fixed"/>
        <w:tblLook w:val="01E0" w:firstRow="1" w:lastRow="1" w:firstColumn="1" w:lastColumn="1" w:noHBand="0" w:noVBand="0"/>
      </w:tblPr>
      <w:tblGrid>
        <w:gridCol w:w="1418"/>
        <w:gridCol w:w="709"/>
      </w:tblGrid>
      <w:tr w:rsidR="000D2587" w:rsidRPr="00936D28" w14:paraId="0CEA9BA3" w14:textId="77777777" w:rsidTr="000D2587">
        <w:trPr>
          <w:trHeight w:val="285"/>
        </w:trPr>
        <w:tc>
          <w:tcPr>
            <w:tcW w:w="1418" w:type="dxa"/>
          </w:tcPr>
          <w:p w14:paraId="2D626975" w14:textId="28AB39B3" w:rsidR="000D2587" w:rsidRPr="00936D28" w:rsidRDefault="000D2587" w:rsidP="00460B4E">
            <w:pPr>
              <w:rPr>
                <w:rFonts w:asciiTheme="majorHAnsi" w:hAnsiTheme="majorHAnsi" w:cstheme="majorHAnsi"/>
                <w:b/>
                <w:sz w:val="22"/>
                <w:szCs w:val="22"/>
              </w:rPr>
            </w:pPr>
            <w:r w:rsidRPr="00936D28">
              <w:rPr>
                <w:rFonts w:asciiTheme="majorHAnsi" w:hAnsiTheme="majorHAnsi" w:cstheme="majorHAnsi"/>
                <w:sz w:val="22"/>
                <w:szCs w:val="22"/>
              </w:rPr>
              <w:t>Review Timescale</w:t>
            </w:r>
          </w:p>
        </w:tc>
        <w:tc>
          <w:tcPr>
            <w:tcW w:w="709" w:type="dxa"/>
          </w:tcPr>
          <w:p w14:paraId="3374792F" w14:textId="77777777" w:rsidR="000D2587" w:rsidRDefault="000D2587" w:rsidP="00460B4E">
            <w:pPr>
              <w:jc w:val="center"/>
              <w:rPr>
                <w:rFonts w:asciiTheme="majorHAnsi" w:hAnsiTheme="majorHAnsi" w:cstheme="majorHAnsi"/>
                <w:sz w:val="22"/>
                <w:szCs w:val="22"/>
              </w:rPr>
            </w:pPr>
          </w:p>
        </w:tc>
      </w:tr>
      <w:tr w:rsidR="000D2587" w:rsidRPr="00936D28" w14:paraId="0AC060A5" w14:textId="77777777" w:rsidTr="000D2587">
        <w:trPr>
          <w:trHeight w:val="285"/>
        </w:trPr>
        <w:tc>
          <w:tcPr>
            <w:tcW w:w="1418" w:type="dxa"/>
          </w:tcPr>
          <w:p w14:paraId="123E241C" w14:textId="77777777" w:rsidR="000D2587" w:rsidRPr="00936D28" w:rsidRDefault="000D2587" w:rsidP="00460B4E">
            <w:pPr>
              <w:rPr>
                <w:rFonts w:asciiTheme="majorHAnsi" w:hAnsiTheme="majorHAnsi" w:cstheme="majorHAnsi"/>
                <w:sz w:val="22"/>
                <w:szCs w:val="22"/>
              </w:rPr>
            </w:pPr>
            <w:r w:rsidRPr="00936D28">
              <w:rPr>
                <w:rFonts w:asciiTheme="majorHAnsi" w:hAnsiTheme="majorHAnsi" w:cstheme="majorHAnsi"/>
                <w:b/>
                <w:sz w:val="22"/>
                <w:szCs w:val="22"/>
              </w:rPr>
              <w:t>1 year</w:t>
            </w:r>
          </w:p>
        </w:tc>
        <w:sdt>
          <w:sdtPr>
            <w:rPr>
              <w:rFonts w:asciiTheme="majorHAnsi" w:hAnsiTheme="majorHAnsi" w:cstheme="majorHAnsi"/>
              <w:sz w:val="22"/>
              <w:szCs w:val="22"/>
            </w:rPr>
            <w:id w:val="1736504511"/>
            <w14:checkbox>
              <w14:checked w14:val="0"/>
              <w14:checkedState w14:val="2612" w14:font="MS Gothic"/>
              <w14:uncheckedState w14:val="2610" w14:font="MS Gothic"/>
            </w14:checkbox>
          </w:sdtPr>
          <w:sdtContent>
            <w:tc>
              <w:tcPr>
                <w:tcW w:w="709" w:type="dxa"/>
              </w:tcPr>
              <w:p w14:paraId="74FBF12E" w14:textId="77777777" w:rsidR="000D2587" w:rsidRPr="00936D28" w:rsidRDefault="000D2587" w:rsidP="00460B4E">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r>
      <w:tr w:rsidR="000D2587" w:rsidRPr="00936D28" w14:paraId="28024921" w14:textId="77777777" w:rsidTr="000D2587">
        <w:trPr>
          <w:trHeight w:val="285"/>
        </w:trPr>
        <w:tc>
          <w:tcPr>
            <w:tcW w:w="1418" w:type="dxa"/>
          </w:tcPr>
          <w:p w14:paraId="114844CE" w14:textId="77777777" w:rsidR="000D2587" w:rsidRPr="00936D28" w:rsidRDefault="000D2587" w:rsidP="00460B4E">
            <w:pPr>
              <w:rPr>
                <w:rFonts w:asciiTheme="majorHAnsi" w:hAnsiTheme="majorHAnsi" w:cstheme="majorHAnsi"/>
                <w:sz w:val="22"/>
                <w:szCs w:val="22"/>
              </w:rPr>
            </w:pPr>
            <w:r w:rsidRPr="00936D28">
              <w:rPr>
                <w:rFonts w:asciiTheme="majorHAnsi" w:hAnsiTheme="majorHAnsi" w:cstheme="majorHAnsi"/>
                <w:b/>
                <w:sz w:val="22"/>
                <w:szCs w:val="22"/>
              </w:rPr>
              <w:t>3 years</w:t>
            </w:r>
          </w:p>
        </w:tc>
        <w:sdt>
          <w:sdtPr>
            <w:rPr>
              <w:rFonts w:asciiTheme="majorHAnsi" w:hAnsiTheme="majorHAnsi" w:cstheme="majorHAnsi"/>
              <w:sz w:val="22"/>
              <w:szCs w:val="22"/>
            </w:rPr>
            <w:id w:val="-1527630447"/>
            <w14:checkbox>
              <w14:checked w14:val="1"/>
              <w14:checkedState w14:val="2612" w14:font="MS Gothic"/>
              <w14:uncheckedState w14:val="2610" w14:font="MS Gothic"/>
            </w14:checkbox>
          </w:sdtPr>
          <w:sdtContent>
            <w:tc>
              <w:tcPr>
                <w:tcW w:w="709" w:type="dxa"/>
              </w:tcPr>
              <w:p w14:paraId="1C8450CB" w14:textId="77777777" w:rsidR="000D2587" w:rsidRPr="00936D28" w:rsidRDefault="000D2587" w:rsidP="00460B4E">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r>
      <w:tr w:rsidR="000D2587" w:rsidRPr="00936D28" w14:paraId="5E739BF6" w14:textId="77777777" w:rsidTr="000D2587">
        <w:trPr>
          <w:trHeight w:val="285"/>
        </w:trPr>
        <w:tc>
          <w:tcPr>
            <w:tcW w:w="1418" w:type="dxa"/>
          </w:tcPr>
          <w:p w14:paraId="7ABC3AC2" w14:textId="77777777" w:rsidR="000D2587" w:rsidRPr="00936D28" w:rsidRDefault="000D2587" w:rsidP="00460B4E">
            <w:pPr>
              <w:rPr>
                <w:rFonts w:asciiTheme="majorHAnsi" w:hAnsiTheme="majorHAnsi" w:cstheme="majorHAnsi"/>
                <w:sz w:val="22"/>
                <w:szCs w:val="22"/>
              </w:rPr>
            </w:pPr>
            <w:r w:rsidRPr="00936D28">
              <w:rPr>
                <w:rFonts w:asciiTheme="majorHAnsi" w:hAnsiTheme="majorHAnsi" w:cstheme="majorHAnsi"/>
                <w:b/>
                <w:sz w:val="22"/>
                <w:szCs w:val="22"/>
              </w:rPr>
              <w:t>Other:</w:t>
            </w:r>
          </w:p>
        </w:tc>
        <w:sdt>
          <w:sdtPr>
            <w:rPr>
              <w:rFonts w:asciiTheme="majorHAnsi" w:hAnsiTheme="majorHAnsi" w:cstheme="majorHAnsi"/>
              <w:sz w:val="22"/>
              <w:szCs w:val="22"/>
            </w:rPr>
            <w:id w:val="995381857"/>
            <w14:checkbox>
              <w14:checked w14:val="0"/>
              <w14:checkedState w14:val="2612" w14:font="MS Gothic"/>
              <w14:uncheckedState w14:val="2610" w14:font="MS Gothic"/>
            </w14:checkbox>
          </w:sdtPr>
          <w:sdtContent>
            <w:tc>
              <w:tcPr>
                <w:tcW w:w="709" w:type="dxa"/>
              </w:tcPr>
              <w:p w14:paraId="22271CC7" w14:textId="77777777" w:rsidR="000D2587" w:rsidRPr="00936D28" w:rsidRDefault="000D2587" w:rsidP="00460B4E">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r>
    </w:tbl>
    <w:p w14:paraId="67BBED58"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 xml:space="preserve">Rationale      </w:t>
      </w:r>
      <w:proofErr w:type="gramStart"/>
      <w:r w:rsidRPr="00936D28">
        <w:rPr>
          <w:rFonts w:asciiTheme="majorHAnsi" w:hAnsiTheme="majorHAnsi" w:cstheme="majorHAnsi"/>
          <w:sz w:val="22"/>
          <w:szCs w:val="22"/>
        </w:rPr>
        <w:t xml:space="preserve">   [</w:t>
      </w:r>
      <w:proofErr w:type="gramEnd"/>
      <w:r w:rsidRPr="00936D28">
        <w:rPr>
          <w:rFonts w:asciiTheme="majorHAnsi" w:hAnsiTheme="majorHAnsi" w:cstheme="majorHAnsi"/>
          <w:sz w:val="22"/>
          <w:szCs w:val="22"/>
        </w:rPr>
        <w:t>Issues to consider  – Changes to process</w:t>
      </w:r>
      <w:bookmarkStart w:id="8" w:name="_GoBack"/>
      <w:bookmarkEnd w:id="8"/>
      <w:r w:rsidRPr="00936D28">
        <w:rPr>
          <w:rFonts w:asciiTheme="majorHAnsi" w:hAnsiTheme="majorHAnsi" w:cstheme="majorHAnsi"/>
          <w:sz w:val="22"/>
          <w:szCs w:val="22"/>
        </w:rPr>
        <w:t>, policy data source, coding definitions HES definitions ]</w:t>
      </w:r>
    </w:p>
    <w:p w14:paraId="2F8D2FC6" w14:textId="77777777" w:rsidR="000D2587" w:rsidRPr="00936D28" w:rsidRDefault="000D2587" w:rsidP="000D2587">
      <w:pPr>
        <w:rPr>
          <w:rFonts w:asciiTheme="majorHAnsi" w:hAnsiTheme="majorHAnsi" w:cstheme="majorHAnsi"/>
          <w:sz w:val="22"/>
          <w:szCs w:val="22"/>
        </w:rPr>
      </w:pPr>
    </w:p>
    <w:p w14:paraId="566E7A7F"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The indicator is recommended for review in three years on the rationale that no changes to methodology are anticipated.</w:t>
      </w:r>
    </w:p>
    <w:p w14:paraId="14330A8E" w14:textId="77777777" w:rsidR="00460B4E" w:rsidRPr="00936D28" w:rsidRDefault="00460B4E" w:rsidP="00460B4E">
      <w:pPr>
        <w:rPr>
          <w:rFonts w:asciiTheme="majorHAnsi" w:hAnsiTheme="majorHAnsi" w:cstheme="majorHAnsi"/>
          <w:sz w:val="22"/>
          <w:szCs w:val="22"/>
        </w:rPr>
      </w:pPr>
    </w:p>
    <w:p w14:paraId="0528A96E" w14:textId="77777777" w:rsidR="00460B4E" w:rsidRPr="00936D28" w:rsidRDefault="00460B4E" w:rsidP="00460B4E">
      <w:pPr>
        <w:rPr>
          <w:rFonts w:asciiTheme="majorHAnsi" w:hAnsiTheme="majorHAnsi" w:cstheme="majorHAnsi"/>
          <w:sz w:val="22"/>
          <w:szCs w:val="22"/>
        </w:rPr>
      </w:pPr>
    </w:p>
    <w:p w14:paraId="03F88B26" w14:textId="77777777" w:rsidR="00460B4E" w:rsidRPr="00936D28" w:rsidRDefault="00460B4E" w:rsidP="00460B4E">
      <w:pPr>
        <w:rPr>
          <w:rFonts w:asciiTheme="majorHAnsi" w:hAnsiTheme="majorHAnsi" w:cstheme="majorHAnsi"/>
          <w:sz w:val="22"/>
          <w:szCs w:val="22"/>
        </w:rPr>
      </w:pPr>
    </w:p>
    <w:p w14:paraId="70FEEE65" w14:textId="77777777" w:rsidR="00460B4E" w:rsidRPr="00936D28" w:rsidRDefault="00460B4E" w:rsidP="00460B4E">
      <w:pPr>
        <w:rPr>
          <w:rFonts w:asciiTheme="majorHAnsi" w:hAnsiTheme="majorHAnsi" w:cstheme="majorHAnsi"/>
          <w:sz w:val="22"/>
          <w:szCs w:val="22"/>
        </w:rPr>
      </w:pPr>
    </w:p>
    <w:p w14:paraId="7F0C7E5E" w14:textId="77777777" w:rsidR="00460B4E" w:rsidRPr="00936D28" w:rsidRDefault="00460B4E" w:rsidP="00460B4E">
      <w:pPr>
        <w:tabs>
          <w:tab w:val="left" w:pos="2830"/>
        </w:tabs>
        <w:ind w:left="-851"/>
        <w:rPr>
          <w:rFonts w:asciiTheme="majorHAnsi" w:hAnsiTheme="majorHAnsi" w:cstheme="majorHAnsi"/>
          <w:sz w:val="22"/>
          <w:szCs w:val="22"/>
        </w:rPr>
      </w:pPr>
      <w:r w:rsidRPr="00936D28">
        <w:rPr>
          <w:rFonts w:asciiTheme="majorHAnsi" w:hAnsiTheme="majorHAnsi" w:cstheme="majorHAnsi"/>
          <w:sz w:val="22"/>
          <w:szCs w:val="22"/>
        </w:rPr>
        <w:t xml:space="preserve">IGB Sign-off: </w:t>
      </w:r>
    </w:p>
    <w:p w14:paraId="1D58C8B9" w14:textId="3F15B958" w:rsidR="00460B4E" w:rsidRPr="00936D28" w:rsidRDefault="000D2587" w:rsidP="00460B4E">
      <w:pPr>
        <w:rPr>
          <w:rFonts w:asciiTheme="majorHAnsi" w:hAnsiTheme="majorHAnsi" w:cstheme="majorHAnsi"/>
          <w:sz w:val="22"/>
          <w:szCs w:val="22"/>
        </w:rPr>
      </w:pPr>
      <w:r w:rsidRPr="00936D28">
        <w:rPr>
          <w:rFonts w:asciiTheme="majorHAnsi" w:hAnsiTheme="majorHAnsi" w:cstheme="majorHAnsi"/>
          <w:b/>
          <w:sz w:val="22"/>
          <w:szCs w:val="22"/>
        </w:rPr>
        <w:t>Indicator Assurance Process Output</w:t>
      </w:r>
    </w:p>
    <w:tbl>
      <w:tblPr>
        <w:tblStyle w:val="TableGrid"/>
        <w:tblW w:w="9923" w:type="dxa"/>
        <w:tblLayout w:type="fixed"/>
        <w:tblLook w:val="01E0" w:firstRow="1" w:lastRow="1" w:firstColumn="1" w:lastColumn="1" w:noHBand="0" w:noVBand="0"/>
      </w:tblPr>
      <w:tblGrid>
        <w:gridCol w:w="2124"/>
        <w:gridCol w:w="6509"/>
        <w:gridCol w:w="713"/>
        <w:gridCol w:w="577"/>
      </w:tblGrid>
      <w:tr w:rsidR="000D2587" w:rsidRPr="00936D28" w14:paraId="0305D663" w14:textId="77777777" w:rsidTr="002F05F5">
        <w:trPr>
          <w:trHeight w:val="228"/>
        </w:trPr>
        <w:tc>
          <w:tcPr>
            <w:tcW w:w="2124" w:type="dxa"/>
          </w:tcPr>
          <w:p w14:paraId="5040F05F" w14:textId="7BD55A16"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i/>
                <w:sz w:val="22"/>
                <w:szCs w:val="22"/>
              </w:rPr>
              <w:t>Final Appraisal Status</w:t>
            </w:r>
          </w:p>
        </w:tc>
        <w:tc>
          <w:tcPr>
            <w:tcW w:w="6509" w:type="dxa"/>
          </w:tcPr>
          <w:p w14:paraId="66524A65" w14:textId="6E1B85D4" w:rsidR="000D2587" w:rsidRPr="00936D28" w:rsidRDefault="000D2587" w:rsidP="000D2587">
            <w:pPr>
              <w:pStyle w:val="ListParagraph"/>
              <w:numPr>
                <w:ilvl w:val="0"/>
                <w:numId w:val="24"/>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Assured</w:t>
            </w:r>
          </w:p>
        </w:tc>
        <w:sdt>
          <w:sdtPr>
            <w:rPr>
              <w:rFonts w:asciiTheme="majorHAnsi" w:hAnsiTheme="majorHAnsi" w:cstheme="majorHAnsi"/>
              <w:sz w:val="22"/>
              <w:szCs w:val="22"/>
            </w:rPr>
            <w:id w:val="-1416081776"/>
            <w14:checkbox>
              <w14:checked w14:val="0"/>
              <w14:checkedState w14:val="2612" w14:font="MS Gothic"/>
              <w14:uncheckedState w14:val="2610" w14:font="MS Gothic"/>
            </w14:checkbox>
          </w:sdtPr>
          <w:sdtContent>
            <w:tc>
              <w:tcPr>
                <w:tcW w:w="713" w:type="dxa"/>
              </w:tcPr>
              <w:p w14:paraId="7DFCF561" w14:textId="30EA1911" w:rsidR="000D2587" w:rsidRDefault="000D2587" w:rsidP="000D2587">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77" w:type="dxa"/>
          </w:tcPr>
          <w:p w14:paraId="6C5E91A2" w14:textId="77777777" w:rsidR="000D2587" w:rsidRPr="00936D28" w:rsidRDefault="000D2587" w:rsidP="000D2587">
            <w:pPr>
              <w:rPr>
                <w:rFonts w:asciiTheme="majorHAnsi" w:hAnsiTheme="majorHAnsi" w:cstheme="majorHAnsi"/>
                <w:b/>
                <w:sz w:val="22"/>
                <w:szCs w:val="22"/>
              </w:rPr>
            </w:pPr>
          </w:p>
        </w:tc>
      </w:tr>
      <w:tr w:rsidR="000D2587" w:rsidRPr="00936D28" w14:paraId="1047D878" w14:textId="77777777" w:rsidTr="002F05F5">
        <w:trPr>
          <w:trHeight w:val="228"/>
        </w:trPr>
        <w:tc>
          <w:tcPr>
            <w:tcW w:w="2124" w:type="dxa"/>
          </w:tcPr>
          <w:p w14:paraId="3F7F82D1" w14:textId="77777777" w:rsidR="000D2587" w:rsidRPr="00936D28" w:rsidRDefault="000D2587" w:rsidP="000D2587">
            <w:pPr>
              <w:rPr>
                <w:rFonts w:asciiTheme="majorHAnsi" w:hAnsiTheme="majorHAnsi" w:cstheme="majorHAnsi"/>
                <w:sz w:val="22"/>
                <w:szCs w:val="22"/>
              </w:rPr>
            </w:pPr>
          </w:p>
        </w:tc>
        <w:tc>
          <w:tcPr>
            <w:tcW w:w="6509" w:type="dxa"/>
          </w:tcPr>
          <w:p w14:paraId="19CA719B" w14:textId="1FD06F2E" w:rsidR="000D2587" w:rsidRPr="00936D28" w:rsidRDefault="000D2587" w:rsidP="000D2587">
            <w:pPr>
              <w:pStyle w:val="ListParagraph"/>
              <w:numPr>
                <w:ilvl w:val="0"/>
                <w:numId w:val="24"/>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Assured with Comments</w:t>
            </w:r>
          </w:p>
        </w:tc>
        <w:sdt>
          <w:sdtPr>
            <w:rPr>
              <w:rFonts w:asciiTheme="majorHAnsi" w:hAnsiTheme="majorHAnsi" w:cstheme="majorHAnsi"/>
              <w:sz w:val="22"/>
              <w:szCs w:val="22"/>
            </w:rPr>
            <w:id w:val="1163192736"/>
            <w14:checkbox>
              <w14:checked w14:val="0"/>
              <w14:checkedState w14:val="2612" w14:font="MS Gothic"/>
              <w14:uncheckedState w14:val="2610" w14:font="MS Gothic"/>
            </w14:checkbox>
          </w:sdtPr>
          <w:sdtContent>
            <w:tc>
              <w:tcPr>
                <w:tcW w:w="713" w:type="dxa"/>
              </w:tcPr>
              <w:p w14:paraId="06750D72" w14:textId="1A45EE90" w:rsidR="000D2587" w:rsidRDefault="000D2587" w:rsidP="000D2587">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77" w:type="dxa"/>
          </w:tcPr>
          <w:p w14:paraId="5391827D" w14:textId="77777777" w:rsidR="000D2587" w:rsidRPr="00936D28" w:rsidRDefault="000D2587" w:rsidP="000D2587">
            <w:pPr>
              <w:rPr>
                <w:rFonts w:asciiTheme="majorHAnsi" w:hAnsiTheme="majorHAnsi" w:cstheme="majorHAnsi"/>
                <w:b/>
                <w:sz w:val="22"/>
                <w:szCs w:val="22"/>
              </w:rPr>
            </w:pPr>
          </w:p>
        </w:tc>
      </w:tr>
      <w:tr w:rsidR="000D2587" w:rsidRPr="00936D28" w14:paraId="5EFE084E" w14:textId="77777777" w:rsidTr="002F05F5">
        <w:trPr>
          <w:trHeight w:val="228"/>
        </w:trPr>
        <w:tc>
          <w:tcPr>
            <w:tcW w:w="2124" w:type="dxa"/>
          </w:tcPr>
          <w:p w14:paraId="12AED89F" w14:textId="77777777" w:rsidR="000D2587" w:rsidRPr="00936D28" w:rsidRDefault="000D2587" w:rsidP="000D2587">
            <w:pPr>
              <w:rPr>
                <w:rFonts w:asciiTheme="majorHAnsi" w:hAnsiTheme="majorHAnsi" w:cstheme="majorHAnsi"/>
                <w:sz w:val="22"/>
                <w:szCs w:val="22"/>
              </w:rPr>
            </w:pPr>
          </w:p>
        </w:tc>
        <w:tc>
          <w:tcPr>
            <w:tcW w:w="6509" w:type="dxa"/>
          </w:tcPr>
          <w:p w14:paraId="58B90262" w14:textId="07DDBC4B" w:rsidR="000D2587" w:rsidRPr="00936D28" w:rsidRDefault="000D2587" w:rsidP="000D2587">
            <w:pPr>
              <w:pStyle w:val="ListParagraph"/>
              <w:numPr>
                <w:ilvl w:val="0"/>
                <w:numId w:val="24"/>
              </w:numPr>
              <w:spacing w:after="0"/>
              <w:contextualSpacing/>
              <w:textboxTightWrap w:val="none"/>
              <w:rPr>
                <w:rFonts w:asciiTheme="majorHAnsi" w:hAnsiTheme="majorHAnsi" w:cstheme="majorHAnsi"/>
                <w:b/>
                <w:sz w:val="22"/>
                <w:szCs w:val="22"/>
              </w:rPr>
            </w:pPr>
            <w:r w:rsidRPr="00936D28">
              <w:rPr>
                <w:rFonts w:asciiTheme="majorHAnsi" w:hAnsiTheme="majorHAnsi" w:cstheme="majorHAnsi"/>
                <w:b/>
                <w:sz w:val="22"/>
                <w:szCs w:val="22"/>
              </w:rPr>
              <w:t>Failed Assurance</w:t>
            </w:r>
          </w:p>
        </w:tc>
        <w:sdt>
          <w:sdtPr>
            <w:rPr>
              <w:rFonts w:asciiTheme="majorHAnsi" w:hAnsiTheme="majorHAnsi" w:cstheme="majorHAnsi"/>
              <w:sz w:val="22"/>
              <w:szCs w:val="22"/>
            </w:rPr>
            <w:id w:val="427703791"/>
            <w14:checkbox>
              <w14:checked w14:val="0"/>
              <w14:checkedState w14:val="2612" w14:font="MS Gothic"/>
              <w14:uncheckedState w14:val="2610" w14:font="MS Gothic"/>
            </w14:checkbox>
          </w:sdtPr>
          <w:sdtContent>
            <w:tc>
              <w:tcPr>
                <w:tcW w:w="713" w:type="dxa"/>
              </w:tcPr>
              <w:p w14:paraId="4C9D5366" w14:textId="608D42A4" w:rsidR="000D2587" w:rsidRDefault="000D2587" w:rsidP="000D2587">
                <w:pPr>
                  <w:jc w:val="center"/>
                  <w:rPr>
                    <w:rFonts w:asciiTheme="majorHAnsi" w:hAnsiTheme="majorHAnsi" w:cstheme="majorHAnsi"/>
                    <w:sz w:val="22"/>
                    <w:szCs w:val="22"/>
                  </w:rPr>
                </w:pPr>
                <w:r w:rsidRPr="00936D28">
                  <w:rPr>
                    <w:rFonts w:ascii="Segoe UI Symbol" w:eastAsia="MS Gothic" w:hAnsi="Segoe UI Symbol" w:cs="Segoe UI Symbol"/>
                    <w:sz w:val="22"/>
                    <w:szCs w:val="22"/>
                  </w:rPr>
                  <w:t>☐</w:t>
                </w:r>
              </w:p>
            </w:tc>
          </w:sdtContent>
        </w:sdt>
        <w:tc>
          <w:tcPr>
            <w:tcW w:w="577" w:type="dxa"/>
          </w:tcPr>
          <w:p w14:paraId="4A955C2D" w14:textId="77777777" w:rsidR="000D2587" w:rsidRPr="00936D28" w:rsidRDefault="000D2587" w:rsidP="000D2587">
            <w:pPr>
              <w:rPr>
                <w:rFonts w:asciiTheme="majorHAnsi" w:hAnsiTheme="majorHAnsi" w:cstheme="majorHAnsi"/>
                <w:b/>
                <w:sz w:val="22"/>
                <w:szCs w:val="22"/>
              </w:rPr>
            </w:pPr>
          </w:p>
        </w:tc>
      </w:tr>
    </w:tbl>
    <w:p w14:paraId="3F743704" w14:textId="77777777" w:rsidR="000D2587" w:rsidRDefault="000D2587"/>
    <w:tbl>
      <w:tblPr>
        <w:tblStyle w:val="TableGrid"/>
        <w:tblW w:w="9923" w:type="dxa"/>
        <w:tblLayout w:type="fixed"/>
        <w:tblLook w:val="01E0" w:firstRow="1" w:lastRow="1" w:firstColumn="1" w:lastColumn="1" w:noHBand="0" w:noVBand="0"/>
      </w:tblPr>
      <w:tblGrid>
        <w:gridCol w:w="2124"/>
        <w:gridCol w:w="7799"/>
      </w:tblGrid>
      <w:tr w:rsidR="000D2587" w:rsidRPr="00936D28" w14:paraId="2C47EACD" w14:textId="77777777" w:rsidTr="002F05F5">
        <w:tc>
          <w:tcPr>
            <w:tcW w:w="2124" w:type="dxa"/>
          </w:tcPr>
          <w:p w14:paraId="08DACFA5" w14:textId="77777777"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t>Basis of Sign-off</w:t>
            </w:r>
          </w:p>
          <w:p w14:paraId="2D2196A5" w14:textId="4D5C96FA" w:rsidR="000D2587" w:rsidRPr="00936D28" w:rsidRDefault="000D2587" w:rsidP="000D2587">
            <w:pPr>
              <w:rPr>
                <w:rFonts w:asciiTheme="majorHAnsi" w:hAnsiTheme="majorHAnsi" w:cstheme="majorHAnsi"/>
                <w:sz w:val="22"/>
                <w:szCs w:val="22"/>
              </w:rPr>
            </w:pPr>
            <w:r w:rsidRPr="00936D28">
              <w:rPr>
                <w:rFonts w:asciiTheme="majorHAnsi" w:hAnsiTheme="majorHAnsi" w:cstheme="majorHAnsi"/>
                <w:sz w:val="22"/>
                <w:szCs w:val="22"/>
              </w:rPr>
              <w:lastRenderedPageBreak/>
              <w:t xml:space="preserve">[Detail caveats and </w:t>
            </w:r>
            <w:proofErr w:type="gramStart"/>
            <w:r w:rsidRPr="00936D28">
              <w:rPr>
                <w:rFonts w:asciiTheme="majorHAnsi" w:hAnsiTheme="majorHAnsi" w:cstheme="majorHAnsi"/>
                <w:sz w:val="22"/>
                <w:szCs w:val="22"/>
              </w:rPr>
              <w:t>limitations ]</w:t>
            </w:r>
            <w:proofErr w:type="gramEnd"/>
          </w:p>
        </w:tc>
        <w:tc>
          <w:tcPr>
            <w:tcW w:w="7799" w:type="dxa"/>
          </w:tcPr>
          <w:p w14:paraId="7C9CF3F5" w14:textId="77777777" w:rsidR="000D2587" w:rsidRPr="00936D28" w:rsidRDefault="000D2587" w:rsidP="00460B4E">
            <w:pPr>
              <w:rPr>
                <w:rFonts w:asciiTheme="majorHAnsi" w:hAnsiTheme="majorHAnsi" w:cstheme="majorHAnsi"/>
                <w:sz w:val="22"/>
                <w:szCs w:val="22"/>
              </w:rPr>
            </w:pPr>
          </w:p>
        </w:tc>
      </w:tr>
      <w:tr w:rsidR="00460B4E" w:rsidRPr="00936D28" w14:paraId="38A11D92" w14:textId="77777777" w:rsidTr="002F05F5">
        <w:tc>
          <w:tcPr>
            <w:tcW w:w="2124" w:type="dxa"/>
          </w:tcPr>
          <w:p w14:paraId="4199945C" w14:textId="77777777" w:rsidR="00460B4E" w:rsidRPr="00936D28" w:rsidRDefault="00460B4E" w:rsidP="00460B4E">
            <w:pPr>
              <w:rPr>
                <w:rFonts w:asciiTheme="majorHAnsi" w:hAnsiTheme="majorHAnsi" w:cstheme="majorHAnsi"/>
                <w:sz w:val="22"/>
                <w:szCs w:val="22"/>
              </w:rPr>
            </w:pPr>
            <w:r w:rsidRPr="00936D28">
              <w:rPr>
                <w:rFonts w:asciiTheme="majorHAnsi" w:hAnsiTheme="majorHAnsi" w:cstheme="majorHAnsi"/>
                <w:sz w:val="22"/>
                <w:szCs w:val="22"/>
              </w:rPr>
              <w:t>Sign-off Date</w:t>
            </w:r>
          </w:p>
        </w:tc>
        <w:tc>
          <w:tcPr>
            <w:tcW w:w="7799" w:type="dxa"/>
          </w:tcPr>
          <w:p w14:paraId="3BDD6CBB" w14:textId="77777777" w:rsidR="00460B4E" w:rsidRPr="00936D28" w:rsidRDefault="00460B4E" w:rsidP="00460B4E">
            <w:pPr>
              <w:rPr>
                <w:rFonts w:asciiTheme="majorHAnsi" w:hAnsiTheme="majorHAnsi" w:cstheme="majorHAnsi"/>
                <w:sz w:val="22"/>
                <w:szCs w:val="22"/>
              </w:rPr>
            </w:pPr>
          </w:p>
        </w:tc>
      </w:tr>
    </w:tbl>
    <w:p w14:paraId="17F84980" w14:textId="77777777" w:rsidR="00460B4E" w:rsidRPr="00936D28" w:rsidRDefault="00460B4E" w:rsidP="00460B4E">
      <w:pPr>
        <w:rPr>
          <w:rFonts w:asciiTheme="majorHAnsi" w:hAnsiTheme="majorHAnsi" w:cstheme="majorHAnsi"/>
          <w:sz w:val="22"/>
          <w:szCs w:val="22"/>
        </w:rPr>
      </w:pPr>
    </w:p>
    <w:p w14:paraId="2B2876B6" w14:textId="77777777" w:rsidR="00460B4E" w:rsidRPr="00936D28" w:rsidRDefault="00460B4E">
      <w:pPr>
        <w:rPr>
          <w:rFonts w:asciiTheme="majorHAnsi" w:hAnsiTheme="majorHAnsi" w:cstheme="majorHAnsi"/>
          <w:sz w:val="22"/>
          <w:szCs w:val="22"/>
        </w:rPr>
      </w:pPr>
    </w:p>
    <w:p w14:paraId="53D5CA95" w14:textId="3AB9592B" w:rsidR="00C62A77" w:rsidRPr="00936D28" w:rsidRDefault="00CB04A7" w:rsidP="001D243C">
      <w:pPr>
        <w:rPr>
          <w:rFonts w:asciiTheme="majorHAnsi" w:hAnsiTheme="majorHAnsi" w:cstheme="majorHAnsi"/>
          <w:sz w:val="22"/>
          <w:szCs w:val="22"/>
        </w:rPr>
      </w:pPr>
      <w:r w:rsidRPr="00CB04A7">
        <w:t>See our </w:t>
      </w:r>
      <w:hyperlink r:id="rId22" w:anchor="what-to-do" w:history="1">
        <w:r w:rsidRPr="00CB04A7">
          <w:rPr>
            <w:color w:val="0563C1"/>
            <w:u w:val="single"/>
          </w:rPr>
          <w:t>accessibility statement</w:t>
        </w:r>
      </w:hyperlink>
      <w:r w:rsidRPr="00CB04A7">
        <w:t> if you’re having problems with this document.</w:t>
      </w:r>
    </w:p>
    <w:sectPr w:rsidR="00C62A77" w:rsidRPr="00936D28" w:rsidSect="000C24AF">
      <w:headerReference w:type="default" r:id="rId23"/>
      <w:pgSz w:w="11906" w:h="16838"/>
      <w:pgMar w:top="1021" w:right="1021" w:bottom="1021" w:left="1021"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78213" w14:textId="77777777" w:rsidR="000D2587" w:rsidRDefault="000D2587" w:rsidP="000C24AF">
      <w:pPr>
        <w:spacing w:after="0"/>
      </w:pPr>
      <w:r>
        <w:separator/>
      </w:r>
    </w:p>
  </w:endnote>
  <w:endnote w:type="continuationSeparator" w:id="0">
    <w:p w14:paraId="7DBD0DFE" w14:textId="77777777" w:rsidR="000D2587" w:rsidRDefault="000D2587" w:rsidP="000C24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B4C41" w14:textId="77777777" w:rsidR="000D2587" w:rsidRDefault="000D2587" w:rsidP="000C24AF"/>
  <w:p w14:paraId="54F0A6E4" w14:textId="77777777" w:rsidR="000D2587" w:rsidRDefault="000D2587" w:rsidP="00460B4E"/>
  <w:sdt>
    <w:sdtPr>
      <w:rPr>
        <w:rFonts w:eastAsia="Calibri" w:cs="Arial"/>
        <w:sz w:val="18"/>
        <w:szCs w:val="18"/>
      </w:rPr>
      <w:id w:val="-861506761"/>
      <w:docPartObj>
        <w:docPartGallery w:val="Page Numbers (Bottom of Page)"/>
        <w:docPartUnique/>
      </w:docPartObj>
    </w:sdtPr>
    <w:sdtEndPr>
      <w:rPr>
        <w:noProof/>
      </w:rPr>
    </w:sdtEndPr>
    <w:sdtContent>
      <w:p w14:paraId="2F3F6ED7" w14:textId="5CCF1E69" w:rsidR="000D2587" w:rsidRPr="000A7EA0" w:rsidRDefault="000D2587" w:rsidP="00460B4E">
        <w:pPr>
          <w:tabs>
            <w:tab w:val="left" w:pos="426"/>
            <w:tab w:val="center" w:pos="4513"/>
            <w:tab w:val="right" w:pos="9026"/>
          </w:tabs>
          <w:spacing w:after="0"/>
          <w:textboxTightWrap w:val="none"/>
          <w:rPr>
            <w:rFonts w:eastAsia="Calibri" w:cs="Arial"/>
            <w:sz w:val="18"/>
            <w:szCs w:val="18"/>
          </w:rPr>
        </w:pPr>
        <w:r w:rsidRPr="000A7EA0">
          <w:rPr>
            <w:rFonts w:eastAsia="Calibri" w:cs="Arial"/>
            <w:sz w:val="18"/>
            <w:szCs w:val="18"/>
          </w:rPr>
          <w:t>IAP00</w:t>
        </w:r>
        <w:r>
          <w:rPr>
            <w:rFonts w:eastAsia="Calibri" w:cs="Arial"/>
            <w:sz w:val="18"/>
            <w:szCs w:val="18"/>
          </w:rPr>
          <w:t>344</w:t>
        </w:r>
        <w:r w:rsidRPr="000A7EA0">
          <w:rPr>
            <w:rFonts w:eastAsia="Calibri" w:cs="Arial"/>
            <w:sz w:val="18"/>
            <w:szCs w:val="18"/>
          </w:rPr>
          <w:t xml:space="preserve"> Supporting documentation</w:t>
        </w:r>
      </w:p>
      <w:p w14:paraId="2F8C0B2B" w14:textId="77777777" w:rsidR="000D2587" w:rsidRPr="000A7EA0" w:rsidRDefault="000D2587" w:rsidP="00460B4E">
        <w:pPr>
          <w:tabs>
            <w:tab w:val="left" w:pos="426"/>
            <w:tab w:val="center" w:pos="4513"/>
            <w:tab w:val="right" w:pos="9026"/>
          </w:tabs>
          <w:spacing w:after="0"/>
          <w:textboxTightWrap w:val="none"/>
          <w:rPr>
            <w:rFonts w:eastAsia="Calibri" w:cs="Arial"/>
            <w:sz w:val="18"/>
            <w:szCs w:val="18"/>
          </w:rPr>
        </w:pPr>
        <w:r w:rsidRPr="000A7EA0">
          <w:rPr>
            <w:rFonts w:eastAsia="Calibri" w:cs="Arial"/>
            <w:sz w:val="18"/>
            <w:szCs w:val="18"/>
          </w:rPr>
          <w:t>Copyright © 2019 NHS Digital</w:t>
        </w:r>
        <w:r w:rsidRPr="000A7EA0">
          <w:rPr>
            <w:rFonts w:eastAsia="Calibri" w:cs="Arial"/>
            <w:sz w:val="18"/>
            <w:szCs w:val="18"/>
          </w:rPr>
          <w:tab/>
        </w:r>
        <w:r w:rsidRPr="000A7EA0">
          <w:rPr>
            <w:rFonts w:eastAsia="Calibri" w:cs="Arial"/>
            <w:sz w:val="18"/>
            <w:szCs w:val="18"/>
          </w:rPr>
          <w:tab/>
        </w:r>
        <w:r w:rsidRPr="000A7EA0">
          <w:rPr>
            <w:rFonts w:eastAsia="Calibri" w:cs="Arial"/>
            <w:sz w:val="18"/>
            <w:szCs w:val="18"/>
          </w:rPr>
          <w:tab/>
        </w:r>
        <w:r w:rsidRPr="000A7EA0">
          <w:rPr>
            <w:rFonts w:eastAsia="Calibri" w:cs="Arial"/>
            <w:sz w:val="18"/>
            <w:szCs w:val="18"/>
          </w:rPr>
          <w:tab/>
        </w:r>
        <w:r w:rsidRPr="000A7EA0">
          <w:rPr>
            <w:rFonts w:eastAsia="Calibri" w:cs="Arial"/>
            <w:sz w:val="18"/>
            <w:szCs w:val="18"/>
          </w:rPr>
          <w:tab/>
        </w:r>
        <w:r w:rsidRPr="000A7EA0">
          <w:rPr>
            <w:rFonts w:eastAsia="Calibri" w:cs="Arial"/>
            <w:sz w:val="18"/>
            <w:szCs w:val="18"/>
          </w:rPr>
          <w:tab/>
        </w:r>
        <w:r w:rsidRPr="000A7EA0">
          <w:rPr>
            <w:rFonts w:eastAsia="Calibri" w:cs="Arial"/>
            <w:sz w:val="18"/>
            <w:szCs w:val="18"/>
          </w:rPr>
          <w:tab/>
        </w:r>
        <w:r w:rsidRPr="000A7EA0">
          <w:rPr>
            <w:rFonts w:eastAsia="Calibri" w:cs="Arial"/>
            <w:sz w:val="18"/>
            <w:szCs w:val="18"/>
          </w:rPr>
          <w:tab/>
        </w:r>
        <w:r w:rsidRPr="000A7EA0">
          <w:rPr>
            <w:rFonts w:eastAsia="Calibri" w:cs="Arial"/>
            <w:sz w:val="18"/>
            <w:szCs w:val="18"/>
          </w:rPr>
          <w:tab/>
        </w:r>
        <w:r w:rsidRPr="000A7EA0">
          <w:rPr>
            <w:rFonts w:eastAsia="Calibri" w:cs="Arial"/>
            <w:sz w:val="18"/>
            <w:szCs w:val="18"/>
          </w:rPr>
          <w:fldChar w:fldCharType="begin"/>
        </w:r>
        <w:r w:rsidRPr="000A7EA0">
          <w:rPr>
            <w:rFonts w:eastAsia="Calibri" w:cs="Arial"/>
            <w:sz w:val="18"/>
            <w:szCs w:val="18"/>
          </w:rPr>
          <w:instrText xml:space="preserve"> PAGE   \* MERGEFORMAT </w:instrText>
        </w:r>
        <w:r w:rsidRPr="000A7EA0">
          <w:rPr>
            <w:rFonts w:eastAsia="Calibri" w:cs="Arial"/>
            <w:sz w:val="18"/>
            <w:szCs w:val="18"/>
          </w:rPr>
          <w:fldChar w:fldCharType="separate"/>
        </w:r>
        <w:r>
          <w:rPr>
            <w:rFonts w:eastAsia="Calibri" w:cs="Arial"/>
            <w:sz w:val="18"/>
            <w:szCs w:val="18"/>
          </w:rPr>
          <w:t>2</w:t>
        </w:r>
        <w:r w:rsidRPr="000A7EA0">
          <w:rPr>
            <w:rFonts w:eastAsia="Calibri" w:cs="Arial"/>
            <w:noProof/>
            <w:sz w:val="18"/>
            <w:szCs w:val="18"/>
          </w:rPr>
          <w:fldChar w:fldCharType="end"/>
        </w:r>
      </w:p>
    </w:sdtContent>
  </w:sdt>
  <w:p w14:paraId="49292704" w14:textId="79BFFA42" w:rsidR="000D2587" w:rsidRPr="000C24AF" w:rsidRDefault="000D2587" w:rsidP="000C2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E841E" w14:textId="77777777" w:rsidR="000D2587" w:rsidRDefault="000D2587" w:rsidP="000C24AF">
      <w:pPr>
        <w:spacing w:after="0"/>
      </w:pPr>
      <w:r>
        <w:separator/>
      </w:r>
    </w:p>
  </w:footnote>
  <w:footnote w:type="continuationSeparator" w:id="0">
    <w:p w14:paraId="792229F9" w14:textId="77777777" w:rsidR="000D2587" w:rsidRDefault="000D2587" w:rsidP="000C24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2E44E" w14:textId="17DCAEB6" w:rsidR="000D2587" w:rsidRDefault="000D2587" w:rsidP="00460B4E">
    <w:pPr>
      <w:tabs>
        <w:tab w:val="center" w:pos="4513"/>
        <w:tab w:val="right" w:pos="9026"/>
      </w:tabs>
      <w:spacing w:after="0"/>
      <w:jc w:val="center"/>
      <w:textboxTightWrap w:val="none"/>
    </w:pPr>
    <w:r w:rsidRPr="000A7EA0">
      <w:rPr>
        <w:rFonts w:eastAsia="Calibri" w:cs="Arial"/>
        <w:b/>
        <w:bCs/>
      </w:rPr>
      <w:t>NICE inherited this indicator and all its supporting documentation from NHS Digital on 1 April 2020</w:t>
    </w:r>
  </w:p>
  <w:p w14:paraId="376D3F4E" w14:textId="77777777" w:rsidR="000D2587" w:rsidRDefault="000D2587" w:rsidP="00E570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F090C" w14:textId="77777777" w:rsidR="000D2587" w:rsidRDefault="000D2587" w:rsidP="00460B4E">
    <w:pPr>
      <w:tabs>
        <w:tab w:val="center" w:pos="4513"/>
        <w:tab w:val="right" w:pos="9026"/>
      </w:tabs>
      <w:spacing w:after="0"/>
      <w:jc w:val="center"/>
      <w:textboxTightWrap w:val="none"/>
    </w:pPr>
    <w:r w:rsidRPr="000A7EA0">
      <w:rPr>
        <w:rFonts w:eastAsia="Calibri" w:cs="Arial"/>
        <w:b/>
        <w:bCs/>
      </w:rPr>
      <w:t>NICE inherited this indicator and all its supporting documentation from NHS Digital on 1 April 2020</w:t>
    </w:r>
  </w:p>
  <w:p w14:paraId="294DDB35" w14:textId="77777777" w:rsidR="000D2587" w:rsidRPr="001D243C" w:rsidRDefault="000D2587" w:rsidP="001D24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47A"/>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00A09"/>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A83D0D"/>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BE6B26"/>
    <w:multiLevelType w:val="hybridMultilevel"/>
    <w:tmpl w:val="D316A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76A40"/>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8052130"/>
    <w:multiLevelType w:val="hybridMultilevel"/>
    <w:tmpl w:val="C826071E"/>
    <w:lvl w:ilvl="0" w:tplc="8ECEE5B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2373D7"/>
    <w:multiLevelType w:val="hybridMultilevel"/>
    <w:tmpl w:val="A470E9A8"/>
    <w:lvl w:ilvl="0" w:tplc="479A543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CE0346"/>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03823C1"/>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2D97D45"/>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814165E"/>
    <w:multiLevelType w:val="hybridMultilevel"/>
    <w:tmpl w:val="8D4A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CE3FF6"/>
    <w:multiLevelType w:val="hybridMultilevel"/>
    <w:tmpl w:val="E47E3F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9A70DA"/>
    <w:multiLevelType w:val="hybridMultilevel"/>
    <w:tmpl w:val="414C7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106A96"/>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F3F7AF2"/>
    <w:multiLevelType w:val="hybridMultilevel"/>
    <w:tmpl w:val="56CAE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9162FD"/>
    <w:multiLevelType w:val="hybridMultilevel"/>
    <w:tmpl w:val="840E9C8A"/>
    <w:lvl w:ilvl="0" w:tplc="479A543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9E32E9"/>
    <w:multiLevelType w:val="hybridMultilevel"/>
    <w:tmpl w:val="65062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774994"/>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F579AC"/>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1C74E23"/>
    <w:multiLevelType w:val="multilevel"/>
    <w:tmpl w:val="D31439D6"/>
    <w:lvl w:ilvl="0">
      <w:start w:val="1"/>
      <w:numFmt w:val="decimal"/>
      <w:lvlText w:val="%1"/>
      <w:lvlJc w:val="left"/>
      <w:pPr>
        <w:ind w:left="435" w:hanging="43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67543EDD"/>
    <w:multiLevelType w:val="hybridMultilevel"/>
    <w:tmpl w:val="CA70B8D8"/>
    <w:lvl w:ilvl="0" w:tplc="08090001">
      <w:start w:val="1"/>
      <w:numFmt w:val="bullet"/>
      <w:lvlText w:val=""/>
      <w:lvlJc w:val="left"/>
      <w:pPr>
        <w:ind w:left="-131" w:hanging="360"/>
      </w:pPr>
      <w:rPr>
        <w:rFonts w:ascii="Symbol" w:hAnsi="Symbol" w:hint="default"/>
      </w:rPr>
    </w:lvl>
    <w:lvl w:ilvl="1" w:tplc="08090003">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2" w15:restartNumberingAfterBreak="0">
    <w:nsid w:val="695A68F3"/>
    <w:multiLevelType w:val="hybridMultilevel"/>
    <w:tmpl w:val="EDE0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E72F4B"/>
    <w:multiLevelType w:val="multilevel"/>
    <w:tmpl w:val="FA342256"/>
    <w:lvl w:ilvl="0">
      <w:start w:val="1"/>
      <w:numFmt w:val="decimal"/>
      <w:lvlText w:val="%1."/>
      <w:lvlJc w:val="left"/>
      <w:pPr>
        <w:ind w:left="360" w:hanging="360"/>
      </w:pPr>
      <w:rPr>
        <w:rFonts w:hint="default"/>
      </w:rPr>
    </w:lvl>
    <w:lvl w:ilvl="1">
      <w:start w:val="1"/>
      <w:numFmt w:val="decimal"/>
      <w:isLgl/>
      <w:lvlText w:val="%1.%2"/>
      <w:lvlJc w:val="left"/>
      <w:pPr>
        <w:ind w:left="555" w:hanging="55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23"/>
  </w:num>
  <w:num w:numId="3">
    <w:abstractNumId w:val="16"/>
  </w:num>
  <w:num w:numId="4">
    <w:abstractNumId w:val="7"/>
  </w:num>
  <w:num w:numId="5">
    <w:abstractNumId w:val="17"/>
  </w:num>
  <w:num w:numId="6">
    <w:abstractNumId w:val="4"/>
  </w:num>
  <w:num w:numId="7">
    <w:abstractNumId w:val="22"/>
  </w:num>
  <w:num w:numId="8">
    <w:abstractNumId w:val="20"/>
  </w:num>
  <w:num w:numId="9">
    <w:abstractNumId w:val="21"/>
  </w:num>
  <w:num w:numId="10">
    <w:abstractNumId w:val="5"/>
  </w:num>
  <w:num w:numId="11">
    <w:abstractNumId w:val="9"/>
  </w:num>
  <w:num w:numId="12">
    <w:abstractNumId w:val="6"/>
  </w:num>
  <w:num w:numId="13">
    <w:abstractNumId w:val="12"/>
  </w:num>
  <w:num w:numId="14">
    <w:abstractNumId w:val="15"/>
  </w:num>
  <w:num w:numId="15">
    <w:abstractNumId w:val="8"/>
  </w:num>
  <w:num w:numId="16">
    <w:abstractNumId w:val="14"/>
  </w:num>
  <w:num w:numId="17">
    <w:abstractNumId w:val="0"/>
  </w:num>
  <w:num w:numId="18">
    <w:abstractNumId w:val="18"/>
  </w:num>
  <w:num w:numId="19">
    <w:abstractNumId w:val="19"/>
  </w:num>
  <w:num w:numId="20">
    <w:abstractNumId w:val="3"/>
  </w:num>
  <w:num w:numId="21">
    <w:abstractNumId w:val="13"/>
  </w:num>
  <w:num w:numId="22">
    <w:abstractNumId w:val="11"/>
  </w:num>
  <w:num w:numId="23">
    <w:abstractNumId w:val="10"/>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BD5"/>
    <w:rsid w:val="00000197"/>
    <w:rsid w:val="00000D88"/>
    <w:rsid w:val="0007106F"/>
    <w:rsid w:val="00095621"/>
    <w:rsid w:val="000C24AF"/>
    <w:rsid w:val="000D2587"/>
    <w:rsid w:val="000E1578"/>
    <w:rsid w:val="0010192E"/>
    <w:rsid w:val="001C3565"/>
    <w:rsid w:val="001D243C"/>
    <w:rsid w:val="002F05F5"/>
    <w:rsid w:val="0030270D"/>
    <w:rsid w:val="003156D7"/>
    <w:rsid w:val="0033715E"/>
    <w:rsid w:val="00386A2B"/>
    <w:rsid w:val="003A37BA"/>
    <w:rsid w:val="003D3A42"/>
    <w:rsid w:val="00420E7F"/>
    <w:rsid w:val="004316C3"/>
    <w:rsid w:val="00457ADB"/>
    <w:rsid w:val="00460B4E"/>
    <w:rsid w:val="00492A4A"/>
    <w:rsid w:val="004E639D"/>
    <w:rsid w:val="004F07F3"/>
    <w:rsid w:val="005057FD"/>
    <w:rsid w:val="00507D97"/>
    <w:rsid w:val="00534A87"/>
    <w:rsid w:val="005A359D"/>
    <w:rsid w:val="00616632"/>
    <w:rsid w:val="00702B4D"/>
    <w:rsid w:val="0071497F"/>
    <w:rsid w:val="00763FA3"/>
    <w:rsid w:val="007D13A1"/>
    <w:rsid w:val="007E4138"/>
    <w:rsid w:val="008C6515"/>
    <w:rsid w:val="008D5953"/>
    <w:rsid w:val="00936D28"/>
    <w:rsid w:val="00965599"/>
    <w:rsid w:val="00985BD5"/>
    <w:rsid w:val="00A10633"/>
    <w:rsid w:val="00A268E2"/>
    <w:rsid w:val="00A5680D"/>
    <w:rsid w:val="00A7524F"/>
    <w:rsid w:val="00B6479F"/>
    <w:rsid w:val="00B77C41"/>
    <w:rsid w:val="00C569E3"/>
    <w:rsid w:val="00C62A77"/>
    <w:rsid w:val="00CA45C2"/>
    <w:rsid w:val="00CB04A7"/>
    <w:rsid w:val="00CF5D36"/>
    <w:rsid w:val="00D24581"/>
    <w:rsid w:val="00D93D0D"/>
    <w:rsid w:val="00DD7C30"/>
    <w:rsid w:val="00E45C31"/>
    <w:rsid w:val="00E5704B"/>
    <w:rsid w:val="00E736A2"/>
    <w:rsid w:val="00EA2382"/>
    <w:rsid w:val="00EB1195"/>
    <w:rsid w:val="00ED081B"/>
    <w:rsid w:val="00ED3649"/>
    <w:rsid w:val="00F01537"/>
    <w:rsid w:val="00F02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3A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4AF"/>
    <w:pPr>
      <w:spacing w:after="140"/>
      <w:textboxTightWrap w:val="lastLineOnly"/>
    </w:pPr>
    <w:rPr>
      <w:rFonts w:ascii="Arial" w:hAnsi="Arial"/>
      <w:sz w:val="24"/>
      <w:szCs w:val="24"/>
    </w:rPr>
  </w:style>
  <w:style w:type="paragraph" w:styleId="Heading1">
    <w:name w:val="heading 1"/>
    <w:next w:val="Normal"/>
    <w:link w:val="Heading1Char"/>
    <w:uiPriority w:val="9"/>
    <w:qFormat/>
    <w:rsid w:val="000C24AF"/>
    <w:pPr>
      <w:keepNext/>
      <w:spacing w:before="140" w:after="280"/>
      <w:outlineLvl w:val="0"/>
    </w:pPr>
    <w:rPr>
      <w:rFonts w:ascii="Arial" w:hAnsi="Arial" w:cs="Arial"/>
      <w:b/>
      <w:bCs/>
      <w:color w:val="003360" w:themeColor="accent1"/>
      <w:spacing w:val="-14"/>
      <w:kern w:val="28"/>
      <w:sz w:val="42"/>
      <w:szCs w:val="32"/>
      <w14:ligatures w14:val="standardContextual"/>
    </w:rPr>
  </w:style>
  <w:style w:type="paragraph" w:styleId="Heading2">
    <w:name w:val="heading 2"/>
    <w:next w:val="Normal"/>
    <w:link w:val="Heading2Char"/>
    <w:autoRedefine/>
    <w:qFormat/>
    <w:rsid w:val="00985BD5"/>
    <w:pPr>
      <w:keepNext/>
      <w:spacing w:before="70" w:after="140"/>
      <w:outlineLvl w:val="1"/>
    </w:pPr>
    <w:rPr>
      <w:rFonts w:ascii="Arial" w:eastAsia="MS Mincho" w:hAnsi="Arial"/>
      <w:b/>
      <w:color w:val="003360" w:themeColor="accent1"/>
      <w:spacing w:val="-8"/>
      <w:kern w:val="28"/>
      <w:sz w:val="35"/>
      <w:szCs w:val="28"/>
      <w14:ligatures w14:val="standardContextual"/>
    </w:rPr>
  </w:style>
  <w:style w:type="paragraph" w:styleId="Heading3">
    <w:name w:val="heading 3"/>
    <w:basedOn w:val="Heading2"/>
    <w:next w:val="Normal"/>
    <w:link w:val="Heading3Char"/>
    <w:autoRedefine/>
    <w:qFormat/>
    <w:rsid w:val="000C24AF"/>
    <w:pPr>
      <w:outlineLvl w:val="2"/>
    </w:pPr>
    <w:rPr>
      <w:rFonts w:cs="Arial"/>
      <w:bCs/>
      <w:sz w:val="28"/>
      <w:szCs w:val="26"/>
    </w:rPr>
  </w:style>
  <w:style w:type="paragraph" w:styleId="Heading4">
    <w:name w:val="heading 4"/>
    <w:basedOn w:val="Normal"/>
    <w:next w:val="Normal"/>
    <w:link w:val="Heading4Char"/>
    <w:qFormat/>
    <w:rsid w:val="000C24AF"/>
    <w:pPr>
      <w:keepNext/>
      <w:spacing w:before="70" w:after="70"/>
      <w:outlineLvl w:val="3"/>
    </w:pPr>
    <w:rPr>
      <w:b/>
      <w:color w:val="003360"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85BD5"/>
    <w:rPr>
      <w:rFonts w:ascii="Arial" w:eastAsia="MS Mincho" w:hAnsi="Arial"/>
      <w:b/>
      <w:color w:val="003360" w:themeColor="accent1"/>
      <w:spacing w:val="-8"/>
      <w:kern w:val="28"/>
      <w:sz w:val="35"/>
      <w:szCs w:val="28"/>
      <w14:ligatures w14:val="standardContextual"/>
    </w:rPr>
  </w:style>
  <w:style w:type="character" w:customStyle="1" w:styleId="Heading1Char">
    <w:name w:val="Heading 1 Char"/>
    <w:basedOn w:val="DefaultParagraphFont"/>
    <w:link w:val="Heading1"/>
    <w:rsid w:val="000C24AF"/>
    <w:rPr>
      <w:rFonts w:ascii="Arial" w:hAnsi="Arial" w:cs="Arial"/>
      <w:b/>
      <w:bCs/>
      <w:color w:val="003360" w:themeColor="accent1"/>
      <w:spacing w:val="-14"/>
      <w:kern w:val="28"/>
      <w:sz w:val="42"/>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rsid w:val="000C24AF"/>
    <w:rPr>
      <w:rFonts w:ascii="Arial" w:eastAsia="MS Mincho" w:hAnsi="Arial" w:cs="Arial"/>
      <w:b/>
      <w:bCs/>
      <w:color w:val="003360" w:themeColor="accent1"/>
      <w:spacing w:val="-8"/>
      <w:kern w:val="28"/>
      <w:sz w:val="28"/>
      <w:szCs w:val="26"/>
      <w14:ligatures w14:val="standardContextual"/>
    </w:rPr>
  </w:style>
  <w:style w:type="paragraph" w:customStyle="1" w:styleId="Bulletlist">
    <w:name w:val="Bullet list"/>
    <w:basedOn w:val="ListParagraph"/>
    <w:link w:val="BulletlistChar"/>
    <w:autoRedefine/>
    <w:qFormat/>
    <w:rsid w:val="00616632"/>
    <w:pPr>
      <w:numPr>
        <w:numId w:val="1"/>
      </w:numPr>
      <w:autoSpaceDE w:val="0"/>
      <w:autoSpaceDN w:val="0"/>
      <w:adjustRightInd w:val="0"/>
      <w:spacing w:after="140"/>
      <w:ind w:left="510" w:hanging="510"/>
      <w:textboxTightWrap w:val="none"/>
    </w:pPr>
    <w:rPr>
      <w:rFonts w:cs="FrutigerLTStd-Light"/>
      <w:szCs w:val="22"/>
    </w:rPr>
  </w:style>
  <w:style w:type="character" w:customStyle="1" w:styleId="BulletlistChar">
    <w:name w:val="Bullet list Char"/>
    <w:basedOn w:val="DefaultParagraphFont"/>
    <w:link w:val="Bulletlist"/>
    <w:rsid w:val="00616632"/>
    <w:rPr>
      <w:rFonts w:ascii="Arial" w:hAnsi="Arial" w:cs="FrutigerLTStd-Light"/>
      <w:sz w:val="24"/>
      <w:szCs w:val="22"/>
    </w:rPr>
  </w:style>
  <w:style w:type="paragraph" w:customStyle="1" w:styleId="Footnote-hanging">
    <w:name w:val="Footnote - hanging"/>
    <w:basedOn w:val="Bulletlist"/>
    <w:link w:val="Footnote-hangingChar"/>
    <w:qFormat/>
    <w:rsid w:val="008D5953"/>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sid w:val="008D5953"/>
    <w:rPr>
      <w:rFonts w:ascii="Arial" w:hAnsi="Arial" w:cs="FrutigerLTStd-Light"/>
      <w:sz w:val="18"/>
      <w:szCs w:val="18"/>
    </w:rPr>
  </w:style>
  <w:style w:type="character" w:customStyle="1" w:styleId="Heading4Char">
    <w:name w:val="Heading 4 Char"/>
    <w:basedOn w:val="DefaultParagraphFont"/>
    <w:link w:val="Heading4"/>
    <w:rsid w:val="000C24AF"/>
    <w:rPr>
      <w:rFonts w:ascii="Arial" w:hAnsi="Arial"/>
      <w:b/>
      <w:color w:val="003360" w:themeColor="accent1"/>
      <w:sz w:val="24"/>
    </w:rPr>
  </w:style>
  <w:style w:type="character" w:styleId="Hyperlink">
    <w:name w:val="Hyperlink"/>
    <w:basedOn w:val="DefaultParagraphFont"/>
    <w:unhideWhenUsed/>
    <w:qFormat/>
    <w:rsid w:val="000C24AF"/>
    <w:rPr>
      <w:rFonts w:asciiTheme="minorHAnsi" w:hAnsiTheme="minorHAnsi"/>
      <w:color w:val="0051A3" w:themeColor="text1" w:themeTint="BF"/>
      <w:u w:val="none"/>
    </w:rPr>
  </w:style>
  <w:style w:type="paragraph" w:customStyle="1" w:styleId="Standfirst">
    <w:name w:val="Standfirst"/>
    <w:basedOn w:val="Heading4"/>
    <w:link w:val="StandfirstChar"/>
    <w:autoRedefine/>
    <w:qFormat/>
    <w:rsid w:val="000C24AF"/>
    <w:pPr>
      <w:spacing w:before="0" w:after="140" w:line="420" w:lineRule="atLeast"/>
    </w:pPr>
    <w:rPr>
      <w:color w:val="505050"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character" w:customStyle="1" w:styleId="StandfirstChar">
    <w:name w:val="Standfirst Char"/>
    <w:basedOn w:val="Heading4Char"/>
    <w:link w:val="Standfirst"/>
    <w:rsid w:val="000C24AF"/>
    <w:rPr>
      <w:rFonts w:ascii="Arial" w:hAnsi="Arial"/>
      <w:b/>
      <w:color w:val="505050"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paragraph" w:styleId="TOC1">
    <w:name w:val="toc 1"/>
    <w:basedOn w:val="Normal"/>
    <w:next w:val="Normal"/>
    <w:autoRedefine/>
    <w:uiPriority w:val="39"/>
    <w:unhideWhenUsed/>
    <w:qFormat/>
    <w:rsid w:val="00000D88"/>
    <w:pPr>
      <w:pBdr>
        <w:top w:val="single" w:sz="4" w:space="4" w:color="B9B9B9" w:themeColor="accent3" w:themeTint="66"/>
        <w:bottom w:val="single" w:sz="4" w:space="4" w:color="B9B9B9" w:themeColor="accent3" w:themeTint="66"/>
      </w:pBdr>
      <w:tabs>
        <w:tab w:val="left" w:pos="851"/>
        <w:tab w:val="right" w:pos="9854"/>
      </w:tabs>
    </w:pPr>
    <w:rPr>
      <w:b/>
      <w:noProof/>
      <w:color w:val="003360" w:themeColor="accent1"/>
      <w:sz w:val="28"/>
    </w:rPr>
  </w:style>
  <w:style w:type="paragraph" w:styleId="TOCHeading">
    <w:name w:val="TOC Heading"/>
    <w:basedOn w:val="Heading1"/>
    <w:next w:val="Normal"/>
    <w:uiPriority w:val="39"/>
    <w:unhideWhenUsed/>
    <w:qFormat/>
    <w:rsid w:val="000C24AF"/>
    <w:pPr>
      <w:keepLines/>
      <w:spacing w:before="480" w:after="0" w:line="276" w:lineRule="auto"/>
      <w:outlineLvl w:val="9"/>
    </w:pPr>
    <w:rPr>
      <w:rFonts w:asciiTheme="majorHAnsi" w:eastAsiaTheme="majorEastAsia" w:hAnsiTheme="majorHAnsi" w:cstheme="majorBidi"/>
      <w:kern w:val="0"/>
      <w:sz w:val="28"/>
      <w:szCs w:val="28"/>
      <w:lang w:val="en-US" w:eastAsia="ja-JP"/>
    </w:rPr>
  </w:style>
  <w:style w:type="paragraph" w:customStyle="1" w:styleId="FrontpageTitle">
    <w:name w:val="Frontpage_Title"/>
    <w:basedOn w:val="Normal"/>
    <w:link w:val="FrontpageTitleChar"/>
    <w:autoRedefine/>
    <w:qFormat/>
    <w:rsid w:val="00E5704B"/>
    <w:rPr>
      <w:color w:val="003360" w:themeColor="accent1"/>
      <w:sz w:val="70"/>
      <w:szCs w:val="84"/>
    </w:rPr>
  </w:style>
  <w:style w:type="character" w:customStyle="1" w:styleId="FrontpageTitleChar">
    <w:name w:val="Frontpage_Title Char"/>
    <w:basedOn w:val="DefaultParagraphFont"/>
    <w:link w:val="FrontpageTitle"/>
    <w:rsid w:val="00E5704B"/>
    <w:rPr>
      <w:rFonts w:ascii="Arial" w:hAnsi="Arial"/>
      <w:color w:val="003360" w:themeColor="accent1"/>
      <w:sz w:val="70"/>
      <w:szCs w:val="84"/>
    </w:rPr>
  </w:style>
  <w:style w:type="paragraph" w:customStyle="1" w:styleId="Frontpagesubhead">
    <w:name w:val="Frontpage_subhead"/>
    <w:basedOn w:val="Normal"/>
    <w:link w:val="FrontpagesubheadChar"/>
    <w:autoRedefine/>
    <w:qFormat/>
    <w:rsid w:val="00E5704B"/>
    <w:rPr>
      <w:b/>
      <w:color w:val="003360" w:themeColor="accent1"/>
      <w:sz w:val="35"/>
      <w:szCs w:val="42"/>
    </w:rPr>
  </w:style>
  <w:style w:type="character" w:customStyle="1" w:styleId="FrontpagesubheadChar">
    <w:name w:val="Frontpage_subhead Char"/>
    <w:basedOn w:val="DefaultParagraphFont"/>
    <w:link w:val="Frontpagesubhead"/>
    <w:rsid w:val="00E5704B"/>
    <w:rPr>
      <w:rFonts w:ascii="Arial" w:hAnsi="Arial"/>
      <w:b/>
      <w:color w:val="003360" w:themeColor="accent1"/>
      <w:sz w:val="35"/>
      <w:szCs w:val="42"/>
    </w:rPr>
  </w:style>
  <w:style w:type="paragraph" w:customStyle="1" w:styleId="Footnoteseparator">
    <w:name w:val="Footnote_separator"/>
    <w:basedOn w:val="Heading3"/>
    <w:link w:val="FootnoteseparatorChar"/>
    <w:rsid w:val="000C24AF"/>
    <w:rPr>
      <w:noProof/>
      <w:w w:val="200"/>
      <w:sz w:val="16"/>
      <w:szCs w:val="16"/>
    </w:rPr>
  </w:style>
  <w:style w:type="character" w:customStyle="1" w:styleId="FootnoteseparatorChar">
    <w:name w:val="Footnote_separator Char"/>
    <w:basedOn w:val="Heading3Char"/>
    <w:link w:val="Footnoteseparator"/>
    <w:rsid w:val="000C24AF"/>
    <w:rPr>
      <w:rFonts w:ascii="Arial" w:eastAsia="MS Mincho" w:hAnsi="Arial" w:cs="Arial"/>
      <w:b/>
      <w:bCs/>
      <w:noProof/>
      <w:color w:val="003360" w:themeColor="accent1"/>
      <w:spacing w:val="-8"/>
      <w:w w:val="200"/>
      <w:kern w:val="28"/>
      <w:sz w:val="16"/>
      <w:szCs w:val="16"/>
      <w14:ligatures w14:val="standardContextual"/>
    </w:rPr>
  </w:style>
  <w:style w:type="paragraph" w:customStyle="1" w:styleId="Numberedlist">
    <w:name w:val="Numbered list"/>
    <w:basedOn w:val="ListParagraph"/>
    <w:link w:val="NumberedlistChar"/>
    <w:qFormat/>
    <w:rsid w:val="000C24AF"/>
    <w:pPr>
      <w:spacing w:after="140"/>
      <w:ind w:left="510" w:hanging="510"/>
    </w:pPr>
  </w:style>
  <w:style w:type="character" w:customStyle="1" w:styleId="NumberedlistChar">
    <w:name w:val="Numbered list Char"/>
    <w:basedOn w:val="DefaultParagraphFont"/>
    <w:link w:val="Numberedlist"/>
    <w:rsid w:val="000C24AF"/>
    <w:rPr>
      <w:rFonts w:ascii="Arial" w:hAnsi="Arial"/>
      <w:sz w:val="24"/>
      <w:szCs w:val="24"/>
    </w:rPr>
  </w:style>
  <w:style w:type="paragraph" w:styleId="TOC2">
    <w:name w:val="toc 2"/>
    <w:basedOn w:val="Normal"/>
    <w:next w:val="Normal"/>
    <w:autoRedefine/>
    <w:uiPriority w:val="39"/>
    <w:unhideWhenUsed/>
    <w:qFormat/>
    <w:rsid w:val="00D24581"/>
    <w:pPr>
      <w:tabs>
        <w:tab w:val="left" w:pos="880"/>
        <w:tab w:val="right" w:pos="9781"/>
      </w:tabs>
      <w:spacing w:after="100" w:line="360" w:lineRule="auto"/>
      <w:ind w:left="851" w:right="792" w:hanging="631"/>
    </w:pPr>
  </w:style>
  <w:style w:type="paragraph" w:styleId="TOC3">
    <w:name w:val="toc 3"/>
    <w:basedOn w:val="Normal"/>
    <w:next w:val="Normal"/>
    <w:autoRedefine/>
    <w:uiPriority w:val="39"/>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095621"/>
    <w:pPr>
      <w:pBdr>
        <w:bottom w:val="single" w:sz="6" w:space="4" w:color="505050" w:themeColor="accent3"/>
      </w:pBdr>
      <w:tabs>
        <w:tab w:val="left" w:pos="9639"/>
      </w:tabs>
      <w:spacing w:after="0"/>
    </w:pPr>
    <w:rPr>
      <w:b/>
      <w:color w:val="505050" w:themeColor="accent3"/>
      <w:sz w:val="20"/>
    </w:rPr>
  </w:style>
  <w:style w:type="character" w:customStyle="1" w:styleId="HeaderChar">
    <w:name w:val="Header Char"/>
    <w:basedOn w:val="DefaultParagraphFont"/>
    <w:link w:val="Header"/>
    <w:uiPriority w:val="99"/>
    <w:rsid w:val="00095621"/>
    <w:rPr>
      <w:rFonts w:ascii="Arial" w:hAnsi="Arial"/>
      <w:b/>
      <w:color w:val="505050" w:themeColor="accent3"/>
      <w:szCs w:val="24"/>
    </w:rPr>
  </w:style>
  <w:style w:type="paragraph" w:styleId="Footer">
    <w:name w:val="footer"/>
    <w:basedOn w:val="Normal"/>
    <w:link w:val="FooterChar"/>
    <w:autoRedefine/>
    <w:uiPriority w:val="99"/>
    <w:unhideWhenUsed/>
    <w:qFormat/>
    <w:rsid w:val="00095621"/>
    <w:pPr>
      <w:tabs>
        <w:tab w:val="right" w:pos="9866"/>
      </w:tabs>
      <w:spacing w:after="0"/>
    </w:pPr>
    <w:rPr>
      <w:color w:val="505050" w:themeColor="accent3"/>
      <w:sz w:val="17"/>
    </w:rPr>
  </w:style>
  <w:style w:type="character" w:customStyle="1" w:styleId="FooterChar">
    <w:name w:val="Footer Char"/>
    <w:basedOn w:val="DefaultParagraphFont"/>
    <w:link w:val="Footer"/>
    <w:uiPriority w:val="99"/>
    <w:rsid w:val="00095621"/>
    <w:rPr>
      <w:rFonts w:ascii="Arial" w:hAnsi="Arial"/>
      <w:color w:val="505050" w:themeColor="accent3"/>
      <w:sz w:val="17"/>
      <w:szCs w:val="24"/>
    </w:rPr>
  </w:style>
  <w:style w:type="character" w:styleId="Strong">
    <w:name w:val="Strong"/>
    <w:aliases w:val="Bold"/>
    <w:uiPriority w:val="22"/>
    <w:qFormat/>
    <w:rsid w:val="000C24AF"/>
    <w:rPr>
      <w:rFonts w:asciiTheme="minorHAnsi" w:hAnsiTheme="minorHAnsi"/>
      <w:b/>
      <w:bCs/>
    </w:rPr>
  </w:style>
  <w:style w:type="paragraph" w:styleId="Quote">
    <w:name w:val="Quote"/>
    <w:basedOn w:val="Normal"/>
    <w:next w:val="Normal"/>
    <w:link w:val="QuoteChar"/>
    <w:uiPriority w:val="29"/>
    <w:qFormat/>
    <w:rsid w:val="000C24AF"/>
    <w:pPr>
      <w:spacing w:before="70" w:after="70"/>
    </w:pPr>
    <w:rPr>
      <w:rFonts w:ascii="Goudy Old Style" w:hAnsi="Goudy Old Style"/>
      <w:i/>
      <w:iCs/>
      <w:color w:val="003360" w:themeColor="accent1"/>
      <w:sz w:val="35"/>
    </w:rPr>
  </w:style>
  <w:style w:type="character" w:customStyle="1" w:styleId="QuoteChar">
    <w:name w:val="Quote Char"/>
    <w:basedOn w:val="DefaultParagraphFont"/>
    <w:link w:val="Quote"/>
    <w:uiPriority w:val="29"/>
    <w:rsid w:val="000C24AF"/>
    <w:rPr>
      <w:rFonts w:ascii="Goudy Old Style" w:hAnsi="Goudy Old Style"/>
      <w:i/>
      <w:iCs/>
      <w:color w:val="003360" w:themeColor="accent1"/>
      <w:sz w:val="35"/>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rsid w:val="003D3A42"/>
    <w:rPr>
      <w:rFonts w:ascii="Tahoma" w:hAnsi="Tahoma" w:cs="Tahoma"/>
      <w:sz w:val="16"/>
      <w:szCs w:val="16"/>
    </w:rPr>
  </w:style>
  <w:style w:type="table" w:styleId="TableGrid">
    <w:name w:val="Table Grid"/>
    <w:basedOn w:val="TableNormal"/>
    <w:rsid w:val="003A37B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
    <w:name w:val="Char Char Char Char Char Char Char Char Char Char Char"/>
    <w:basedOn w:val="Normal"/>
    <w:rsid w:val="003A37BA"/>
    <w:pPr>
      <w:spacing w:after="120" w:line="240" w:lineRule="exact"/>
      <w:jc w:val="both"/>
      <w:textboxTightWrap w:val="none"/>
    </w:pPr>
    <w:rPr>
      <w:rFonts w:ascii="Verdana" w:hAnsi="Verdana"/>
      <w:sz w:val="20"/>
      <w:szCs w:val="20"/>
      <w:lang w:val="en-US"/>
    </w:rPr>
  </w:style>
  <w:style w:type="paragraph" w:customStyle="1" w:styleId="CharCharChar">
    <w:name w:val="Char Char Char"/>
    <w:basedOn w:val="Normal"/>
    <w:rsid w:val="003A37BA"/>
    <w:pPr>
      <w:spacing w:after="120" w:line="240" w:lineRule="exact"/>
      <w:jc w:val="both"/>
      <w:textboxTightWrap w:val="none"/>
    </w:pPr>
    <w:rPr>
      <w:rFonts w:ascii="Verdana" w:hAnsi="Verdana"/>
      <w:sz w:val="20"/>
      <w:szCs w:val="20"/>
      <w:lang w:val="en-US"/>
    </w:rPr>
  </w:style>
  <w:style w:type="character" w:styleId="PlaceholderText">
    <w:name w:val="Placeholder Text"/>
    <w:basedOn w:val="DefaultParagraphFont"/>
    <w:uiPriority w:val="99"/>
    <w:semiHidden/>
    <w:rsid w:val="003A37BA"/>
    <w:rPr>
      <w:color w:val="808080"/>
    </w:rPr>
  </w:style>
  <w:style w:type="character" w:styleId="CommentReference">
    <w:name w:val="annotation reference"/>
    <w:basedOn w:val="DefaultParagraphFont"/>
    <w:rsid w:val="003A37BA"/>
    <w:rPr>
      <w:sz w:val="16"/>
      <w:szCs w:val="16"/>
    </w:rPr>
  </w:style>
  <w:style w:type="paragraph" w:styleId="CommentText">
    <w:name w:val="annotation text"/>
    <w:basedOn w:val="Normal"/>
    <w:link w:val="CommentTextChar"/>
    <w:rsid w:val="003A37BA"/>
    <w:pPr>
      <w:spacing w:after="0"/>
      <w:textboxTightWrap w:val="none"/>
    </w:pPr>
    <w:rPr>
      <w:rFonts w:ascii="Times New Roman" w:hAnsi="Times New Roman"/>
      <w:sz w:val="20"/>
      <w:szCs w:val="20"/>
      <w:lang w:eastAsia="en-GB"/>
    </w:rPr>
  </w:style>
  <w:style w:type="character" w:customStyle="1" w:styleId="CommentTextChar">
    <w:name w:val="Comment Text Char"/>
    <w:basedOn w:val="DefaultParagraphFont"/>
    <w:link w:val="CommentText"/>
    <w:rsid w:val="003A37BA"/>
    <w:rPr>
      <w:lang w:eastAsia="en-GB"/>
    </w:rPr>
  </w:style>
  <w:style w:type="paragraph" w:styleId="CommentSubject">
    <w:name w:val="annotation subject"/>
    <w:basedOn w:val="CommentText"/>
    <w:next w:val="CommentText"/>
    <w:link w:val="CommentSubjectChar"/>
    <w:rsid w:val="003A37BA"/>
    <w:rPr>
      <w:b/>
      <w:bCs/>
    </w:rPr>
  </w:style>
  <w:style w:type="character" w:customStyle="1" w:styleId="CommentSubjectChar">
    <w:name w:val="Comment Subject Char"/>
    <w:basedOn w:val="CommentTextChar"/>
    <w:link w:val="CommentSubject"/>
    <w:rsid w:val="003A37BA"/>
    <w:rPr>
      <w:b/>
      <w:bCs/>
      <w:lang w:eastAsia="en-GB"/>
    </w:rPr>
  </w:style>
  <w:style w:type="character" w:styleId="FollowedHyperlink">
    <w:name w:val="FollowedHyperlink"/>
    <w:basedOn w:val="DefaultParagraphFont"/>
    <w:rsid w:val="003A37BA"/>
    <w:rPr>
      <w:color w:val="701870" w:themeColor="followedHyperlink"/>
      <w:u w:val="single"/>
    </w:rPr>
  </w:style>
  <w:style w:type="character" w:customStyle="1" w:styleId="l141">
    <w:name w:val="l141"/>
    <w:basedOn w:val="DefaultParagraphFont"/>
    <w:rsid w:val="003A37BA"/>
    <w:rPr>
      <w:rFonts w:ascii="Verdana" w:hAnsi="Verdana" w:hint="default"/>
      <w:color w:val="00528B"/>
      <w:sz w:val="21"/>
      <w:szCs w:val="21"/>
    </w:rPr>
  </w:style>
  <w:style w:type="character" w:customStyle="1" w:styleId="w141">
    <w:name w:val="w141"/>
    <w:basedOn w:val="DefaultParagraphFont"/>
    <w:rsid w:val="003A37BA"/>
    <w:rPr>
      <w:rFonts w:ascii="Verdana" w:hAnsi="Verdana" w:hint="default"/>
      <w:color w:val="FFFFFF"/>
      <w:sz w:val="21"/>
      <w:szCs w:val="21"/>
    </w:rPr>
  </w:style>
  <w:style w:type="paragraph" w:customStyle="1" w:styleId="Default">
    <w:name w:val="Default"/>
    <w:rsid w:val="00460B4E"/>
    <w:pPr>
      <w:autoSpaceDE w:val="0"/>
      <w:autoSpaceDN w:val="0"/>
      <w:adjustRightInd w:val="0"/>
    </w:pPr>
    <w:rPr>
      <w:rFonts w:ascii="Arial" w:hAnsi="Arial" w:cs="Arial"/>
      <w:color w:val="000000"/>
      <w:sz w:val="24"/>
      <w:szCs w:val="24"/>
      <w:lang w:eastAsia="en-GB"/>
    </w:rPr>
  </w:style>
  <w:style w:type="paragraph" w:styleId="NormalWeb">
    <w:name w:val="Normal (Web)"/>
    <w:basedOn w:val="Normal"/>
    <w:uiPriority w:val="99"/>
    <w:unhideWhenUsed/>
    <w:rsid w:val="00460B4E"/>
    <w:pPr>
      <w:spacing w:before="100" w:beforeAutospacing="1" w:after="100" w:afterAutospacing="1"/>
      <w:textboxTightWrap w:val="none"/>
    </w:pPr>
    <w:rPr>
      <w:rFonts w:ascii="Times New Roman" w:hAnsi="Times New Roman"/>
      <w:lang w:eastAsia="en-GB"/>
    </w:rPr>
  </w:style>
  <w:style w:type="paragraph" w:customStyle="1" w:styleId="numbered-paragraph">
    <w:name w:val="numbered-paragraph"/>
    <w:basedOn w:val="Normal"/>
    <w:rsid w:val="00460B4E"/>
    <w:pPr>
      <w:spacing w:before="100" w:beforeAutospacing="1" w:after="100" w:afterAutospacing="1"/>
      <w:textboxTightWrap w:val="none"/>
    </w:pPr>
    <w:rPr>
      <w:rFonts w:ascii="Times New Roman" w:hAnsi="Times New Roman"/>
      <w:lang w:eastAsia="en-GB"/>
    </w:rPr>
  </w:style>
  <w:style w:type="character" w:customStyle="1" w:styleId="Heading1Char1">
    <w:name w:val="Heading 1 Char1"/>
    <w:uiPriority w:val="9"/>
    <w:rsid w:val="00460B4E"/>
    <w:rPr>
      <w:rFonts w:asciiTheme="minorHAnsi" w:hAnsiTheme="minorHAnsi"/>
      <w:b/>
      <w:bCs/>
      <w:color w:val="000000" w:themeColor="text2"/>
      <w:kern w:val="36"/>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080646">
      <w:bodyDiv w:val="1"/>
      <w:marLeft w:val="0"/>
      <w:marRight w:val="0"/>
      <w:marTop w:val="0"/>
      <w:marBottom w:val="0"/>
      <w:divBdr>
        <w:top w:val="none" w:sz="0" w:space="0" w:color="auto"/>
        <w:left w:val="none" w:sz="0" w:space="0" w:color="auto"/>
        <w:bottom w:val="none" w:sz="0" w:space="0" w:color="auto"/>
        <w:right w:val="none" w:sz="0" w:space="0" w:color="auto"/>
      </w:divBdr>
    </w:div>
    <w:div w:id="819467186">
      <w:bodyDiv w:val="1"/>
      <w:marLeft w:val="0"/>
      <w:marRight w:val="0"/>
      <w:marTop w:val="0"/>
      <w:marBottom w:val="0"/>
      <w:divBdr>
        <w:top w:val="none" w:sz="0" w:space="0" w:color="auto"/>
        <w:left w:val="none" w:sz="0" w:space="0" w:color="auto"/>
        <w:bottom w:val="none" w:sz="0" w:space="0" w:color="auto"/>
        <w:right w:val="none" w:sz="0" w:space="0" w:color="auto"/>
      </w:divBdr>
    </w:div>
    <w:div w:id="119558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18" Type="http://schemas.openxmlformats.org/officeDocument/2006/relationships/hyperlink" Target="http://www.gp-patient.co.uk/results/annual/technicalannex/" TargetMode="External"/><Relationship Id="rId3" Type="http://schemas.openxmlformats.org/officeDocument/2006/relationships/styles" Target="styles.xml"/><Relationship Id="rId21" Type="http://schemas.openxmlformats.org/officeDocument/2006/relationships/hyperlink" Target="http://publications.nice.org.uk/lung-cancer-cg121"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york.ac.uk/media/che/documents/papers/discussionpapers/CHE%20Discussion%20Paper%20138.pdf" TargetMode="External"/><Relationship Id="rId20" Type="http://schemas.openxmlformats.org/officeDocument/2006/relationships/hyperlink" Target="http://www.apho.org.uk/resource/view.aspx?RID=1258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uroqol.org" TargetMode="External"/><Relationship Id="rId23"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hyperlink" Target="https://www.gov.uk/government/collections/english-indices-of-depriva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gp-patient.co.uk" TargetMode="External"/><Relationship Id="rId22" Type="http://schemas.openxmlformats.org/officeDocument/2006/relationships/hyperlink" Target="https://www.nice.org.uk/accessibility"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file:///\\IC.Green.Net\IC_User_DFS\PDrive\KForrest\Lean%20Mean%20Standardisation%20Machine.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GB" sz="1000"/>
              <a:t>Breast</a:t>
            </a:r>
            <a:r>
              <a:rPr lang="en-GB" sz="1000" baseline="0"/>
              <a:t> cancer mortality, females by age</a:t>
            </a:r>
            <a:endParaRPr lang="en-GB" sz="1000"/>
          </a:p>
        </c:rich>
      </c:tx>
      <c:layout>
        <c:manualLayout>
          <c:xMode val="edge"/>
          <c:yMode val="edge"/>
          <c:x val="0.27734219269102989"/>
          <c:y val="0"/>
        </c:manualLayout>
      </c:layout>
      <c:overlay val="0"/>
    </c:title>
    <c:autoTitleDeleted val="0"/>
    <c:plotArea>
      <c:layout>
        <c:manualLayout>
          <c:layoutTarget val="inner"/>
          <c:xMode val="edge"/>
          <c:yMode val="edge"/>
          <c:x val="0.1291550656167979"/>
          <c:y val="7.9291883766754681E-2"/>
          <c:w val="0.83055832020997378"/>
          <c:h val="0.8083861620684224"/>
        </c:manualLayout>
      </c:layout>
      <c:barChart>
        <c:barDir val="bar"/>
        <c:grouping val="clustered"/>
        <c:varyColors val="0"/>
        <c:ser>
          <c:idx val="0"/>
          <c:order val="0"/>
          <c:spPr>
            <a:solidFill>
              <a:schemeClr val="tx1"/>
            </a:solidFill>
            <a:ln>
              <a:solidFill>
                <a:schemeClr val="bg1"/>
              </a:solidFill>
            </a:ln>
          </c:spPr>
          <c:invertIfNegative val="0"/>
          <c:cat>
            <c:strRef>
              <c:f>Age!$A$2:$A$20</c:f>
              <c:strCache>
                <c:ptCount val="19"/>
                <c:pt idx="0">
                  <c:v>15-19</c:v>
                </c:pt>
                <c:pt idx="1">
                  <c:v>20-24</c:v>
                </c:pt>
                <c:pt idx="2">
                  <c:v>25-29</c:v>
                </c:pt>
                <c:pt idx="3">
                  <c:v>30-34</c:v>
                </c:pt>
                <c:pt idx="4">
                  <c:v>35-39</c:v>
                </c:pt>
                <c:pt idx="5">
                  <c:v>40-44</c:v>
                </c:pt>
                <c:pt idx="6">
                  <c:v>45-49</c:v>
                </c:pt>
                <c:pt idx="7">
                  <c:v>50-54</c:v>
                </c:pt>
                <c:pt idx="8">
                  <c:v>55-59</c:v>
                </c:pt>
                <c:pt idx="9">
                  <c:v>60-64</c:v>
                </c:pt>
                <c:pt idx="10">
                  <c:v>65-69</c:v>
                </c:pt>
                <c:pt idx="11">
                  <c:v>70-74</c:v>
                </c:pt>
                <c:pt idx="12">
                  <c:v>75-79</c:v>
                </c:pt>
                <c:pt idx="13">
                  <c:v>80-84</c:v>
                </c:pt>
                <c:pt idx="14">
                  <c:v>85-89</c:v>
                </c:pt>
                <c:pt idx="15">
                  <c:v>90-94</c:v>
                </c:pt>
                <c:pt idx="16">
                  <c:v>95-99</c:v>
                </c:pt>
                <c:pt idx="17">
                  <c:v>100-104</c:v>
                </c:pt>
                <c:pt idx="18">
                  <c:v>105-109</c:v>
                </c:pt>
              </c:strCache>
            </c:strRef>
          </c:cat>
          <c:val>
            <c:numRef>
              <c:f>Age!$B$2:$B$20</c:f>
              <c:numCache>
                <c:formatCode>General</c:formatCode>
                <c:ptCount val="19"/>
                <c:pt idx="0">
                  <c:v>1</c:v>
                </c:pt>
                <c:pt idx="1">
                  <c:v>6</c:v>
                </c:pt>
                <c:pt idx="2">
                  <c:v>40</c:v>
                </c:pt>
                <c:pt idx="3">
                  <c:v>157</c:v>
                </c:pt>
                <c:pt idx="4">
                  <c:v>385</c:v>
                </c:pt>
                <c:pt idx="5">
                  <c:v>868</c:v>
                </c:pt>
                <c:pt idx="6">
                  <c:v>1499</c:v>
                </c:pt>
                <c:pt idx="7">
                  <c:v>1875</c:v>
                </c:pt>
                <c:pt idx="8">
                  <c:v>2112</c:v>
                </c:pt>
                <c:pt idx="9">
                  <c:v>2664</c:v>
                </c:pt>
                <c:pt idx="10">
                  <c:v>2906</c:v>
                </c:pt>
                <c:pt idx="11">
                  <c:v>2762</c:v>
                </c:pt>
                <c:pt idx="12">
                  <c:v>3250</c:v>
                </c:pt>
                <c:pt idx="13">
                  <c:v>3572</c:v>
                </c:pt>
                <c:pt idx="14">
                  <c:v>3346</c:v>
                </c:pt>
                <c:pt idx="15">
                  <c:v>2261</c:v>
                </c:pt>
                <c:pt idx="16">
                  <c:v>866</c:v>
                </c:pt>
                <c:pt idx="17">
                  <c:v>161</c:v>
                </c:pt>
                <c:pt idx="18">
                  <c:v>11</c:v>
                </c:pt>
              </c:numCache>
            </c:numRef>
          </c:val>
          <c:extLst>
            <c:ext xmlns:c16="http://schemas.microsoft.com/office/drawing/2014/chart" uri="{C3380CC4-5D6E-409C-BE32-E72D297353CC}">
              <c16:uniqueId val="{00000000-E247-45F2-B9E5-EA544081C98E}"/>
            </c:ext>
          </c:extLst>
        </c:ser>
        <c:dLbls>
          <c:showLegendKey val="0"/>
          <c:showVal val="0"/>
          <c:showCatName val="0"/>
          <c:showSerName val="0"/>
          <c:showPercent val="0"/>
          <c:showBubbleSize val="0"/>
        </c:dLbls>
        <c:gapWidth val="0"/>
        <c:axId val="124085376"/>
        <c:axId val="124087680"/>
      </c:barChart>
      <c:catAx>
        <c:axId val="124085376"/>
        <c:scaling>
          <c:orientation val="minMax"/>
        </c:scaling>
        <c:delete val="0"/>
        <c:axPos val="l"/>
        <c:title>
          <c:tx>
            <c:rich>
              <a:bodyPr rot="-5400000" vert="horz"/>
              <a:lstStyle/>
              <a:p>
                <a:pPr>
                  <a:defRPr sz="900"/>
                </a:pPr>
                <a:r>
                  <a:rPr lang="en-US" sz="900"/>
                  <a:t>Age</a:t>
                </a:r>
              </a:p>
            </c:rich>
          </c:tx>
          <c:overlay val="0"/>
        </c:title>
        <c:numFmt formatCode="General" sourceLinked="0"/>
        <c:majorTickMark val="out"/>
        <c:minorTickMark val="none"/>
        <c:tickLblPos val="nextTo"/>
        <c:txPr>
          <a:bodyPr/>
          <a:lstStyle/>
          <a:p>
            <a:pPr>
              <a:defRPr sz="800"/>
            </a:pPr>
            <a:endParaRPr lang="en-US"/>
          </a:p>
        </c:txPr>
        <c:crossAx val="124087680"/>
        <c:crosses val="autoZero"/>
        <c:auto val="1"/>
        <c:lblAlgn val="ctr"/>
        <c:lblOffset val="100"/>
        <c:noMultiLvlLbl val="0"/>
      </c:catAx>
      <c:valAx>
        <c:axId val="124087680"/>
        <c:scaling>
          <c:orientation val="minMax"/>
        </c:scaling>
        <c:delete val="0"/>
        <c:axPos val="b"/>
        <c:majorGridlines/>
        <c:title>
          <c:tx>
            <c:rich>
              <a:bodyPr/>
              <a:lstStyle/>
              <a:p>
                <a:pPr>
                  <a:defRPr sz="900"/>
                </a:pPr>
                <a:r>
                  <a:rPr lang="en-US" sz="900"/>
                  <a:t>Number of deaths</a:t>
                </a:r>
              </a:p>
            </c:rich>
          </c:tx>
          <c:overlay val="0"/>
        </c:title>
        <c:numFmt formatCode="#,##0" sourceLinked="0"/>
        <c:majorTickMark val="out"/>
        <c:minorTickMark val="none"/>
        <c:tickLblPos val="nextTo"/>
        <c:txPr>
          <a:bodyPr/>
          <a:lstStyle/>
          <a:p>
            <a:pPr>
              <a:defRPr sz="800"/>
            </a:pPr>
            <a:endParaRPr lang="en-US"/>
          </a:p>
        </c:txPr>
        <c:crossAx val="124085376"/>
        <c:crosses val="autoZero"/>
        <c:crossBetween val="between"/>
      </c:valAx>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nchor="ctr" anchorCtr="1"/>
          <a:lstStyle/>
          <a:p>
            <a:pPr algn="ctr">
              <a:defRPr sz="1000"/>
            </a:pPr>
            <a:r>
              <a:rPr lang="en-GB" sz="1000"/>
              <a:t>Breast cancer</a:t>
            </a:r>
            <a:r>
              <a:rPr lang="en-GB" sz="1000" baseline="0"/>
              <a:t> motality, directly standardised rate per 100,000 2011-13</a:t>
            </a:r>
            <a:endParaRPr lang="en-GB" sz="1000"/>
          </a:p>
        </c:rich>
      </c:tx>
      <c:layout>
        <c:manualLayout>
          <c:xMode val="edge"/>
          <c:yMode val="edge"/>
          <c:x val="0.11086932315278772"/>
          <c:y val="2.9768619348113407E-3"/>
        </c:manualLayout>
      </c:layout>
      <c:overlay val="1"/>
    </c:title>
    <c:autoTitleDeleted val="0"/>
    <c:plotArea>
      <c:layout>
        <c:manualLayout>
          <c:layoutTarget val="inner"/>
          <c:xMode val="edge"/>
          <c:yMode val="edge"/>
          <c:x val="0.11302838482088134"/>
          <c:y val="0.10590160272519127"/>
          <c:w val="0.87539667167272539"/>
          <c:h val="0.83048640196571177"/>
        </c:manualLayout>
      </c:layout>
      <c:barChart>
        <c:barDir val="col"/>
        <c:grouping val="clustered"/>
        <c:varyColors val="0"/>
        <c:ser>
          <c:idx val="0"/>
          <c:order val="0"/>
          <c:spPr>
            <a:solidFill>
              <a:srgbClr val="003358"/>
            </a:solidFill>
          </c:spPr>
          <c:invertIfNegative val="0"/>
          <c:dPt>
            <c:idx val="105"/>
            <c:invertIfNegative val="0"/>
            <c:bubble3D val="0"/>
            <c:spPr>
              <a:solidFill>
                <a:srgbClr val="FF0000"/>
              </a:solidFill>
            </c:spPr>
            <c:extLst>
              <c:ext xmlns:c16="http://schemas.microsoft.com/office/drawing/2014/chart" uri="{C3380CC4-5D6E-409C-BE32-E72D297353CC}">
                <c16:uniqueId val="{00000001-AA4F-4412-B882-B0C147C33E93}"/>
              </c:ext>
            </c:extLst>
          </c:dPt>
          <c:dLbls>
            <c:dLbl>
              <c:idx val="105"/>
              <c:spPr/>
              <c:txPr>
                <a:bodyPr rot="-5400000"/>
                <a:lstStyle/>
                <a:p>
                  <a:pPr>
                    <a:defRPr>
                      <a:solidFill>
                        <a:srgbClr val="FF0000"/>
                      </a:solidFill>
                    </a:defRPr>
                  </a:pPr>
                  <a:endParaRPr lang="en-US"/>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A4F-4412-B882-B0C147C33E93}"/>
                </c:ext>
              </c:extLst>
            </c:dLbl>
            <c:spPr>
              <a:noFill/>
              <a:ln>
                <a:noFill/>
              </a:ln>
              <a:effectLst/>
            </c:spPr>
            <c:txPr>
              <a:bodyPr/>
              <a:lstStyle/>
              <a:p>
                <a:pPr>
                  <a:defRPr>
                    <a:solidFill>
                      <a:srgbClr val="FF00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'5yab 2011-13'!$Y$2:$Y$213</c:f>
              <c:strCache>
                <c:ptCount val="212"/>
                <c:pt idx="0">
                  <c:v>CCG1</c:v>
                </c:pt>
                <c:pt idx="1">
                  <c:v>CCG2</c:v>
                </c:pt>
                <c:pt idx="2">
                  <c:v>CCG3</c:v>
                </c:pt>
                <c:pt idx="3">
                  <c:v>CCG4</c:v>
                </c:pt>
                <c:pt idx="4">
                  <c:v>CCG5</c:v>
                </c:pt>
                <c:pt idx="5">
                  <c:v>CCG6</c:v>
                </c:pt>
                <c:pt idx="6">
                  <c:v>CCG7</c:v>
                </c:pt>
                <c:pt idx="7">
                  <c:v>CCG8</c:v>
                </c:pt>
                <c:pt idx="8">
                  <c:v>CCG9</c:v>
                </c:pt>
                <c:pt idx="9">
                  <c:v>CCG10</c:v>
                </c:pt>
                <c:pt idx="10">
                  <c:v>CCG11</c:v>
                </c:pt>
                <c:pt idx="11">
                  <c:v>CCG12</c:v>
                </c:pt>
                <c:pt idx="12">
                  <c:v>CCG13</c:v>
                </c:pt>
                <c:pt idx="13">
                  <c:v>CCG14</c:v>
                </c:pt>
                <c:pt idx="14">
                  <c:v>CCG15</c:v>
                </c:pt>
                <c:pt idx="15">
                  <c:v>CCG16</c:v>
                </c:pt>
                <c:pt idx="16">
                  <c:v>CCG17</c:v>
                </c:pt>
                <c:pt idx="17">
                  <c:v>CCG18</c:v>
                </c:pt>
                <c:pt idx="18">
                  <c:v>CCG19</c:v>
                </c:pt>
                <c:pt idx="19">
                  <c:v>CCG20</c:v>
                </c:pt>
                <c:pt idx="20">
                  <c:v>CCG21</c:v>
                </c:pt>
                <c:pt idx="21">
                  <c:v>CCG22</c:v>
                </c:pt>
                <c:pt idx="22">
                  <c:v>CCG23</c:v>
                </c:pt>
                <c:pt idx="23">
                  <c:v>CCG24</c:v>
                </c:pt>
                <c:pt idx="24">
                  <c:v>CCG25</c:v>
                </c:pt>
                <c:pt idx="25">
                  <c:v>CCG26</c:v>
                </c:pt>
                <c:pt idx="26">
                  <c:v>CCG27</c:v>
                </c:pt>
                <c:pt idx="27">
                  <c:v>CCG28</c:v>
                </c:pt>
                <c:pt idx="28">
                  <c:v>CCG29</c:v>
                </c:pt>
                <c:pt idx="29">
                  <c:v>CCG30</c:v>
                </c:pt>
                <c:pt idx="30">
                  <c:v>CCG31</c:v>
                </c:pt>
                <c:pt idx="31">
                  <c:v>CCG32</c:v>
                </c:pt>
                <c:pt idx="32">
                  <c:v>CCG33</c:v>
                </c:pt>
                <c:pt idx="33">
                  <c:v>CCG34</c:v>
                </c:pt>
                <c:pt idx="34">
                  <c:v>CCG35</c:v>
                </c:pt>
                <c:pt idx="35">
                  <c:v>CCG36</c:v>
                </c:pt>
                <c:pt idx="36">
                  <c:v>CCG37</c:v>
                </c:pt>
                <c:pt idx="37">
                  <c:v>CCG38</c:v>
                </c:pt>
                <c:pt idx="38">
                  <c:v>CCG39</c:v>
                </c:pt>
                <c:pt idx="39">
                  <c:v>CCG40</c:v>
                </c:pt>
                <c:pt idx="40">
                  <c:v>CCG41</c:v>
                </c:pt>
                <c:pt idx="41">
                  <c:v>CCG42</c:v>
                </c:pt>
                <c:pt idx="42">
                  <c:v>CCG43</c:v>
                </c:pt>
                <c:pt idx="43">
                  <c:v>CCG44</c:v>
                </c:pt>
                <c:pt idx="44">
                  <c:v>CCG45</c:v>
                </c:pt>
                <c:pt idx="45">
                  <c:v>CCG46</c:v>
                </c:pt>
                <c:pt idx="46">
                  <c:v>CCG47</c:v>
                </c:pt>
                <c:pt idx="47">
                  <c:v>CCG48</c:v>
                </c:pt>
                <c:pt idx="48">
                  <c:v>CCG49</c:v>
                </c:pt>
                <c:pt idx="49">
                  <c:v>CCG50</c:v>
                </c:pt>
                <c:pt idx="50">
                  <c:v>CCG51</c:v>
                </c:pt>
                <c:pt idx="51">
                  <c:v>CCG52</c:v>
                </c:pt>
                <c:pt idx="52">
                  <c:v>CCG53</c:v>
                </c:pt>
                <c:pt idx="53">
                  <c:v>CCG54</c:v>
                </c:pt>
                <c:pt idx="54">
                  <c:v>CCG55</c:v>
                </c:pt>
                <c:pt idx="55">
                  <c:v>CCG56</c:v>
                </c:pt>
                <c:pt idx="56">
                  <c:v>CCG57</c:v>
                </c:pt>
                <c:pt idx="57">
                  <c:v>CCG58</c:v>
                </c:pt>
                <c:pt idx="58">
                  <c:v>CCG59</c:v>
                </c:pt>
                <c:pt idx="59">
                  <c:v>CCG60</c:v>
                </c:pt>
                <c:pt idx="60">
                  <c:v>CCG61</c:v>
                </c:pt>
                <c:pt idx="61">
                  <c:v>CCG62</c:v>
                </c:pt>
                <c:pt idx="62">
                  <c:v>CCG63</c:v>
                </c:pt>
                <c:pt idx="63">
                  <c:v>CCG64</c:v>
                </c:pt>
                <c:pt idx="64">
                  <c:v>CCG65</c:v>
                </c:pt>
                <c:pt idx="65">
                  <c:v>CCG66</c:v>
                </c:pt>
                <c:pt idx="66">
                  <c:v>CCG67</c:v>
                </c:pt>
                <c:pt idx="67">
                  <c:v>CCG68</c:v>
                </c:pt>
                <c:pt idx="68">
                  <c:v>CCG69</c:v>
                </c:pt>
                <c:pt idx="69">
                  <c:v>CCG70</c:v>
                </c:pt>
                <c:pt idx="70">
                  <c:v>CCG71</c:v>
                </c:pt>
                <c:pt idx="71">
                  <c:v>CCG72</c:v>
                </c:pt>
                <c:pt idx="72">
                  <c:v>CCG73</c:v>
                </c:pt>
                <c:pt idx="73">
                  <c:v>CCG74</c:v>
                </c:pt>
                <c:pt idx="74">
                  <c:v>CCG75</c:v>
                </c:pt>
                <c:pt idx="75">
                  <c:v>CCG76</c:v>
                </c:pt>
                <c:pt idx="76">
                  <c:v>CCG77</c:v>
                </c:pt>
                <c:pt idx="77">
                  <c:v>CCG78</c:v>
                </c:pt>
                <c:pt idx="78">
                  <c:v>CCG79</c:v>
                </c:pt>
                <c:pt idx="79">
                  <c:v>CCG80</c:v>
                </c:pt>
                <c:pt idx="80">
                  <c:v>CCG81</c:v>
                </c:pt>
                <c:pt idx="81">
                  <c:v>CCG82</c:v>
                </c:pt>
                <c:pt idx="82">
                  <c:v>CCG83</c:v>
                </c:pt>
                <c:pt idx="83">
                  <c:v>CCG84</c:v>
                </c:pt>
                <c:pt idx="84">
                  <c:v>CCG85</c:v>
                </c:pt>
                <c:pt idx="85">
                  <c:v>CCG86</c:v>
                </c:pt>
                <c:pt idx="86">
                  <c:v>CCG87</c:v>
                </c:pt>
                <c:pt idx="87">
                  <c:v>CCG88</c:v>
                </c:pt>
                <c:pt idx="88">
                  <c:v>CCG89</c:v>
                </c:pt>
                <c:pt idx="89">
                  <c:v>CCG90</c:v>
                </c:pt>
                <c:pt idx="90">
                  <c:v>CCG91</c:v>
                </c:pt>
                <c:pt idx="91">
                  <c:v>CCG92</c:v>
                </c:pt>
                <c:pt idx="92">
                  <c:v>CCG93</c:v>
                </c:pt>
                <c:pt idx="93">
                  <c:v>CCG94</c:v>
                </c:pt>
                <c:pt idx="94">
                  <c:v>CCG95</c:v>
                </c:pt>
                <c:pt idx="95">
                  <c:v>CCG96</c:v>
                </c:pt>
                <c:pt idx="96">
                  <c:v>CCG97</c:v>
                </c:pt>
                <c:pt idx="97">
                  <c:v>CCG98</c:v>
                </c:pt>
                <c:pt idx="98">
                  <c:v>CCG99</c:v>
                </c:pt>
                <c:pt idx="99">
                  <c:v>CCG100</c:v>
                </c:pt>
                <c:pt idx="100">
                  <c:v>CCG101</c:v>
                </c:pt>
                <c:pt idx="101">
                  <c:v>CCG102</c:v>
                </c:pt>
                <c:pt idx="102">
                  <c:v>CCG103</c:v>
                </c:pt>
                <c:pt idx="103">
                  <c:v>CCG104</c:v>
                </c:pt>
                <c:pt idx="104">
                  <c:v>CCG105</c:v>
                </c:pt>
                <c:pt idx="105">
                  <c:v>ENG</c:v>
                </c:pt>
                <c:pt idx="106">
                  <c:v>CCG106</c:v>
                </c:pt>
                <c:pt idx="107">
                  <c:v>CCG107</c:v>
                </c:pt>
                <c:pt idx="108">
                  <c:v>CCG108</c:v>
                </c:pt>
                <c:pt idx="109">
                  <c:v>CCG109</c:v>
                </c:pt>
                <c:pt idx="110">
                  <c:v>CCG110</c:v>
                </c:pt>
                <c:pt idx="111">
                  <c:v>CCG111</c:v>
                </c:pt>
                <c:pt idx="112">
                  <c:v>CCG112</c:v>
                </c:pt>
                <c:pt idx="113">
                  <c:v>CCG113</c:v>
                </c:pt>
                <c:pt idx="114">
                  <c:v>CCG114</c:v>
                </c:pt>
                <c:pt idx="115">
                  <c:v>CCG115</c:v>
                </c:pt>
                <c:pt idx="116">
                  <c:v>CCG116</c:v>
                </c:pt>
                <c:pt idx="117">
                  <c:v>CCG117</c:v>
                </c:pt>
                <c:pt idx="118">
                  <c:v>CCG118</c:v>
                </c:pt>
                <c:pt idx="119">
                  <c:v>CCG119</c:v>
                </c:pt>
                <c:pt idx="120">
                  <c:v>CCG120</c:v>
                </c:pt>
                <c:pt idx="121">
                  <c:v>CCG121</c:v>
                </c:pt>
                <c:pt idx="122">
                  <c:v>CCG122</c:v>
                </c:pt>
                <c:pt idx="123">
                  <c:v>CCG123</c:v>
                </c:pt>
                <c:pt idx="124">
                  <c:v>CCG124</c:v>
                </c:pt>
                <c:pt idx="125">
                  <c:v>CCG125</c:v>
                </c:pt>
                <c:pt idx="126">
                  <c:v>CCG126</c:v>
                </c:pt>
                <c:pt idx="127">
                  <c:v>CCG127</c:v>
                </c:pt>
                <c:pt idx="128">
                  <c:v>CCG128</c:v>
                </c:pt>
                <c:pt idx="129">
                  <c:v>CCG129</c:v>
                </c:pt>
                <c:pt idx="130">
                  <c:v>CCG130</c:v>
                </c:pt>
                <c:pt idx="131">
                  <c:v>CCG131</c:v>
                </c:pt>
                <c:pt idx="132">
                  <c:v>CCG132</c:v>
                </c:pt>
                <c:pt idx="133">
                  <c:v>CCG133</c:v>
                </c:pt>
                <c:pt idx="134">
                  <c:v>CCG134</c:v>
                </c:pt>
                <c:pt idx="135">
                  <c:v>CCG135</c:v>
                </c:pt>
                <c:pt idx="136">
                  <c:v>CCG136</c:v>
                </c:pt>
                <c:pt idx="137">
                  <c:v>CCG137</c:v>
                </c:pt>
                <c:pt idx="138">
                  <c:v>CCG138</c:v>
                </c:pt>
                <c:pt idx="139">
                  <c:v>CCG139</c:v>
                </c:pt>
                <c:pt idx="140">
                  <c:v>CCG140</c:v>
                </c:pt>
                <c:pt idx="141">
                  <c:v>CCG141</c:v>
                </c:pt>
                <c:pt idx="142">
                  <c:v>CCG142</c:v>
                </c:pt>
                <c:pt idx="143">
                  <c:v>CCG143</c:v>
                </c:pt>
                <c:pt idx="144">
                  <c:v>CCG144</c:v>
                </c:pt>
                <c:pt idx="145">
                  <c:v>CCG145</c:v>
                </c:pt>
                <c:pt idx="146">
                  <c:v>CCG146</c:v>
                </c:pt>
                <c:pt idx="147">
                  <c:v>CCG147</c:v>
                </c:pt>
                <c:pt idx="148">
                  <c:v>CCG148</c:v>
                </c:pt>
                <c:pt idx="149">
                  <c:v>CCG149</c:v>
                </c:pt>
                <c:pt idx="150">
                  <c:v>CCG150</c:v>
                </c:pt>
                <c:pt idx="151">
                  <c:v>CCG151</c:v>
                </c:pt>
                <c:pt idx="152">
                  <c:v>CCG152</c:v>
                </c:pt>
                <c:pt idx="153">
                  <c:v>CCG153</c:v>
                </c:pt>
                <c:pt idx="154">
                  <c:v>CCG154</c:v>
                </c:pt>
                <c:pt idx="155">
                  <c:v>CCG155</c:v>
                </c:pt>
                <c:pt idx="156">
                  <c:v>CCG156</c:v>
                </c:pt>
                <c:pt idx="157">
                  <c:v>CCG157</c:v>
                </c:pt>
                <c:pt idx="158">
                  <c:v>CCG158</c:v>
                </c:pt>
                <c:pt idx="159">
                  <c:v>CCG159</c:v>
                </c:pt>
                <c:pt idx="160">
                  <c:v>CCG160</c:v>
                </c:pt>
                <c:pt idx="161">
                  <c:v>CCG161</c:v>
                </c:pt>
                <c:pt idx="162">
                  <c:v>CCG162</c:v>
                </c:pt>
                <c:pt idx="163">
                  <c:v>CCG163</c:v>
                </c:pt>
                <c:pt idx="164">
                  <c:v>CCG164</c:v>
                </c:pt>
                <c:pt idx="165">
                  <c:v>CCG165</c:v>
                </c:pt>
                <c:pt idx="166">
                  <c:v>CCG166</c:v>
                </c:pt>
                <c:pt idx="167">
                  <c:v>CCG167</c:v>
                </c:pt>
                <c:pt idx="168">
                  <c:v>CCG168</c:v>
                </c:pt>
                <c:pt idx="169">
                  <c:v>CCG169</c:v>
                </c:pt>
                <c:pt idx="170">
                  <c:v>CCG170</c:v>
                </c:pt>
                <c:pt idx="171">
                  <c:v>CCG171</c:v>
                </c:pt>
                <c:pt idx="172">
                  <c:v>CCG172</c:v>
                </c:pt>
                <c:pt idx="173">
                  <c:v>CCG173</c:v>
                </c:pt>
                <c:pt idx="174">
                  <c:v>CCG174</c:v>
                </c:pt>
                <c:pt idx="175">
                  <c:v>CCG175</c:v>
                </c:pt>
                <c:pt idx="176">
                  <c:v>CCG176</c:v>
                </c:pt>
                <c:pt idx="177">
                  <c:v>CCG177</c:v>
                </c:pt>
                <c:pt idx="178">
                  <c:v>CCG178</c:v>
                </c:pt>
                <c:pt idx="179">
                  <c:v>CCG179</c:v>
                </c:pt>
                <c:pt idx="180">
                  <c:v>CCG180</c:v>
                </c:pt>
                <c:pt idx="181">
                  <c:v>CCG181</c:v>
                </c:pt>
                <c:pt idx="182">
                  <c:v>CCG182</c:v>
                </c:pt>
                <c:pt idx="183">
                  <c:v>CCG183</c:v>
                </c:pt>
                <c:pt idx="184">
                  <c:v>CCG184</c:v>
                </c:pt>
                <c:pt idx="185">
                  <c:v>CCG185</c:v>
                </c:pt>
                <c:pt idx="186">
                  <c:v>CCG186</c:v>
                </c:pt>
                <c:pt idx="187">
                  <c:v>CCG187</c:v>
                </c:pt>
                <c:pt idx="188">
                  <c:v>CCG188</c:v>
                </c:pt>
                <c:pt idx="189">
                  <c:v>CCG189</c:v>
                </c:pt>
                <c:pt idx="190">
                  <c:v>CCG190</c:v>
                </c:pt>
                <c:pt idx="191">
                  <c:v>CCG191</c:v>
                </c:pt>
                <c:pt idx="192">
                  <c:v>CCG192</c:v>
                </c:pt>
                <c:pt idx="193">
                  <c:v>CCG193</c:v>
                </c:pt>
                <c:pt idx="194">
                  <c:v>CCG194</c:v>
                </c:pt>
                <c:pt idx="195">
                  <c:v>CCG195</c:v>
                </c:pt>
                <c:pt idx="196">
                  <c:v>CCG196</c:v>
                </c:pt>
                <c:pt idx="197">
                  <c:v>CCG197</c:v>
                </c:pt>
                <c:pt idx="198">
                  <c:v>CCG198</c:v>
                </c:pt>
                <c:pt idx="199">
                  <c:v>CCG199</c:v>
                </c:pt>
                <c:pt idx="200">
                  <c:v>CCG200</c:v>
                </c:pt>
                <c:pt idx="201">
                  <c:v>CCG201</c:v>
                </c:pt>
                <c:pt idx="202">
                  <c:v>CCG202</c:v>
                </c:pt>
                <c:pt idx="203">
                  <c:v>CCG203</c:v>
                </c:pt>
                <c:pt idx="204">
                  <c:v>CCG204</c:v>
                </c:pt>
                <c:pt idx="205">
                  <c:v>CCG205</c:v>
                </c:pt>
                <c:pt idx="206">
                  <c:v>CCG206</c:v>
                </c:pt>
                <c:pt idx="207">
                  <c:v>CCG207</c:v>
                </c:pt>
                <c:pt idx="208">
                  <c:v>CCG208</c:v>
                </c:pt>
                <c:pt idx="209">
                  <c:v>CCG209</c:v>
                </c:pt>
                <c:pt idx="210">
                  <c:v>CCG210</c:v>
                </c:pt>
                <c:pt idx="211">
                  <c:v>CCG211</c:v>
                </c:pt>
              </c:strCache>
            </c:strRef>
          </c:cat>
          <c:val>
            <c:numRef>
              <c:f>'5yab 2011-13'!$Z$2:$Z$213</c:f>
              <c:numCache>
                <c:formatCode>_-* #,##0.0_-;\-* #,##0.0_-;_-* "-"??_-;_-@_-</c:formatCode>
                <c:ptCount val="212"/>
                <c:pt idx="0">
                  <c:v>0</c:v>
                </c:pt>
                <c:pt idx="1">
                  <c:v>124</c:v>
                </c:pt>
                <c:pt idx="2">
                  <c:v>129.80000000000001</c:v>
                </c:pt>
                <c:pt idx="3">
                  <c:v>131.5</c:v>
                </c:pt>
                <c:pt idx="4">
                  <c:v>135.1</c:v>
                </c:pt>
                <c:pt idx="5">
                  <c:v>136.19999999999999</c:v>
                </c:pt>
                <c:pt idx="6">
                  <c:v>136.9</c:v>
                </c:pt>
                <c:pt idx="7">
                  <c:v>139.69999999999999</c:v>
                </c:pt>
                <c:pt idx="8">
                  <c:v>142.1</c:v>
                </c:pt>
                <c:pt idx="9">
                  <c:v>143.69999999999999</c:v>
                </c:pt>
                <c:pt idx="10">
                  <c:v>144.4</c:v>
                </c:pt>
                <c:pt idx="11">
                  <c:v>145.69999999999999</c:v>
                </c:pt>
                <c:pt idx="12">
                  <c:v>146.4</c:v>
                </c:pt>
                <c:pt idx="13">
                  <c:v>147.6</c:v>
                </c:pt>
                <c:pt idx="14">
                  <c:v>148.1</c:v>
                </c:pt>
                <c:pt idx="15">
                  <c:v>148.4</c:v>
                </c:pt>
                <c:pt idx="16">
                  <c:v>150.80000000000001</c:v>
                </c:pt>
                <c:pt idx="17">
                  <c:v>151.30000000000001</c:v>
                </c:pt>
                <c:pt idx="18">
                  <c:v>153.30000000000001</c:v>
                </c:pt>
                <c:pt idx="19">
                  <c:v>153.5</c:v>
                </c:pt>
                <c:pt idx="20">
                  <c:v>153.80000000000001</c:v>
                </c:pt>
                <c:pt idx="21">
                  <c:v>154.6</c:v>
                </c:pt>
                <c:pt idx="22">
                  <c:v>155</c:v>
                </c:pt>
                <c:pt idx="23">
                  <c:v>155.6</c:v>
                </c:pt>
                <c:pt idx="24">
                  <c:v>156.5</c:v>
                </c:pt>
                <c:pt idx="25">
                  <c:v>157.30000000000001</c:v>
                </c:pt>
                <c:pt idx="26">
                  <c:v>158.1</c:v>
                </c:pt>
                <c:pt idx="27">
                  <c:v>158.5</c:v>
                </c:pt>
                <c:pt idx="28">
                  <c:v>158.9</c:v>
                </c:pt>
                <c:pt idx="29">
                  <c:v>160.69999999999999</c:v>
                </c:pt>
                <c:pt idx="30">
                  <c:v>161.9</c:v>
                </c:pt>
                <c:pt idx="31">
                  <c:v>162.9</c:v>
                </c:pt>
                <c:pt idx="32">
                  <c:v>163.1</c:v>
                </c:pt>
                <c:pt idx="33">
                  <c:v>163.5</c:v>
                </c:pt>
                <c:pt idx="34">
                  <c:v>163.69999999999999</c:v>
                </c:pt>
                <c:pt idx="35">
                  <c:v>164</c:v>
                </c:pt>
                <c:pt idx="36">
                  <c:v>164.2</c:v>
                </c:pt>
                <c:pt idx="37">
                  <c:v>164.2</c:v>
                </c:pt>
                <c:pt idx="38">
                  <c:v>164.6</c:v>
                </c:pt>
                <c:pt idx="39">
                  <c:v>164.6</c:v>
                </c:pt>
                <c:pt idx="40">
                  <c:v>164.7</c:v>
                </c:pt>
                <c:pt idx="41">
                  <c:v>164.9</c:v>
                </c:pt>
                <c:pt idx="42">
                  <c:v>165.1</c:v>
                </c:pt>
                <c:pt idx="43">
                  <c:v>165.4</c:v>
                </c:pt>
                <c:pt idx="44">
                  <c:v>165.5</c:v>
                </c:pt>
                <c:pt idx="45">
                  <c:v>166.1</c:v>
                </c:pt>
                <c:pt idx="46">
                  <c:v>167.3</c:v>
                </c:pt>
                <c:pt idx="47">
                  <c:v>167.3</c:v>
                </c:pt>
                <c:pt idx="48">
                  <c:v>168</c:v>
                </c:pt>
                <c:pt idx="49">
                  <c:v>169.2</c:v>
                </c:pt>
                <c:pt idx="50">
                  <c:v>169.2</c:v>
                </c:pt>
                <c:pt idx="51">
                  <c:v>169.4</c:v>
                </c:pt>
                <c:pt idx="52">
                  <c:v>169.5</c:v>
                </c:pt>
                <c:pt idx="53">
                  <c:v>169.5</c:v>
                </c:pt>
                <c:pt idx="54">
                  <c:v>170.4</c:v>
                </c:pt>
                <c:pt idx="55">
                  <c:v>171</c:v>
                </c:pt>
                <c:pt idx="56">
                  <c:v>171.1</c:v>
                </c:pt>
                <c:pt idx="57">
                  <c:v>171.1</c:v>
                </c:pt>
                <c:pt idx="58">
                  <c:v>171.1</c:v>
                </c:pt>
                <c:pt idx="59">
                  <c:v>171.3</c:v>
                </c:pt>
                <c:pt idx="60">
                  <c:v>171.3</c:v>
                </c:pt>
                <c:pt idx="61">
                  <c:v>171.4</c:v>
                </c:pt>
                <c:pt idx="62">
                  <c:v>171.5</c:v>
                </c:pt>
                <c:pt idx="63">
                  <c:v>171.7</c:v>
                </c:pt>
                <c:pt idx="64">
                  <c:v>171.8</c:v>
                </c:pt>
                <c:pt idx="65">
                  <c:v>171.8</c:v>
                </c:pt>
                <c:pt idx="66">
                  <c:v>172.1</c:v>
                </c:pt>
                <c:pt idx="67">
                  <c:v>172.4</c:v>
                </c:pt>
                <c:pt idx="68">
                  <c:v>172.6</c:v>
                </c:pt>
                <c:pt idx="69">
                  <c:v>173</c:v>
                </c:pt>
                <c:pt idx="70">
                  <c:v>173.1</c:v>
                </c:pt>
                <c:pt idx="71">
                  <c:v>173.4</c:v>
                </c:pt>
                <c:pt idx="72">
                  <c:v>173.6</c:v>
                </c:pt>
                <c:pt idx="73">
                  <c:v>174.1</c:v>
                </c:pt>
                <c:pt idx="74">
                  <c:v>174.2</c:v>
                </c:pt>
                <c:pt idx="75">
                  <c:v>174.3</c:v>
                </c:pt>
                <c:pt idx="76">
                  <c:v>174.3</c:v>
                </c:pt>
                <c:pt idx="77">
                  <c:v>174.7</c:v>
                </c:pt>
                <c:pt idx="78">
                  <c:v>174.8</c:v>
                </c:pt>
                <c:pt idx="79">
                  <c:v>175</c:v>
                </c:pt>
                <c:pt idx="80">
                  <c:v>175.2</c:v>
                </c:pt>
                <c:pt idx="81">
                  <c:v>175.2</c:v>
                </c:pt>
                <c:pt idx="82">
                  <c:v>175.6</c:v>
                </c:pt>
                <c:pt idx="83">
                  <c:v>175.7</c:v>
                </c:pt>
                <c:pt idx="84">
                  <c:v>175.8</c:v>
                </c:pt>
                <c:pt idx="85">
                  <c:v>176</c:v>
                </c:pt>
                <c:pt idx="86">
                  <c:v>176.1</c:v>
                </c:pt>
                <c:pt idx="87">
                  <c:v>176.2</c:v>
                </c:pt>
                <c:pt idx="88">
                  <c:v>176.5</c:v>
                </c:pt>
                <c:pt idx="89">
                  <c:v>176.6</c:v>
                </c:pt>
                <c:pt idx="90">
                  <c:v>176.6</c:v>
                </c:pt>
                <c:pt idx="91">
                  <c:v>176.9</c:v>
                </c:pt>
                <c:pt idx="92">
                  <c:v>177</c:v>
                </c:pt>
                <c:pt idx="93">
                  <c:v>177.1</c:v>
                </c:pt>
                <c:pt idx="94">
                  <c:v>177.1</c:v>
                </c:pt>
                <c:pt idx="95">
                  <c:v>177.2</c:v>
                </c:pt>
                <c:pt idx="96">
                  <c:v>177.3</c:v>
                </c:pt>
                <c:pt idx="97">
                  <c:v>178.1</c:v>
                </c:pt>
                <c:pt idx="98">
                  <c:v>178.3</c:v>
                </c:pt>
                <c:pt idx="99">
                  <c:v>178.6</c:v>
                </c:pt>
                <c:pt idx="100">
                  <c:v>178.8</c:v>
                </c:pt>
                <c:pt idx="101">
                  <c:v>179</c:v>
                </c:pt>
                <c:pt idx="102">
                  <c:v>179.8</c:v>
                </c:pt>
                <c:pt idx="103">
                  <c:v>180.2</c:v>
                </c:pt>
                <c:pt idx="104">
                  <c:v>180.4</c:v>
                </c:pt>
                <c:pt idx="105">
                  <c:v>180.5</c:v>
                </c:pt>
                <c:pt idx="106">
                  <c:v>180.7</c:v>
                </c:pt>
                <c:pt idx="107">
                  <c:v>180.7</c:v>
                </c:pt>
                <c:pt idx="108">
                  <c:v>181</c:v>
                </c:pt>
                <c:pt idx="109">
                  <c:v>181</c:v>
                </c:pt>
                <c:pt idx="110">
                  <c:v>181.1</c:v>
                </c:pt>
                <c:pt idx="111">
                  <c:v>181.2</c:v>
                </c:pt>
                <c:pt idx="112">
                  <c:v>181.5</c:v>
                </c:pt>
                <c:pt idx="113">
                  <c:v>181.6</c:v>
                </c:pt>
                <c:pt idx="114">
                  <c:v>182.8</c:v>
                </c:pt>
                <c:pt idx="115">
                  <c:v>183.5</c:v>
                </c:pt>
                <c:pt idx="116">
                  <c:v>183.9</c:v>
                </c:pt>
                <c:pt idx="117">
                  <c:v>184.2</c:v>
                </c:pt>
                <c:pt idx="118">
                  <c:v>184.9</c:v>
                </c:pt>
                <c:pt idx="119">
                  <c:v>185</c:v>
                </c:pt>
                <c:pt idx="120">
                  <c:v>185.1</c:v>
                </c:pt>
                <c:pt idx="121">
                  <c:v>185.6</c:v>
                </c:pt>
                <c:pt idx="122">
                  <c:v>185.8</c:v>
                </c:pt>
                <c:pt idx="123">
                  <c:v>185.8</c:v>
                </c:pt>
                <c:pt idx="124">
                  <c:v>185.8</c:v>
                </c:pt>
                <c:pt idx="125">
                  <c:v>185.9</c:v>
                </c:pt>
                <c:pt idx="126">
                  <c:v>185.9</c:v>
                </c:pt>
                <c:pt idx="127">
                  <c:v>186.1</c:v>
                </c:pt>
                <c:pt idx="128">
                  <c:v>186.5</c:v>
                </c:pt>
                <c:pt idx="129">
                  <c:v>186.8</c:v>
                </c:pt>
                <c:pt idx="130">
                  <c:v>186.8</c:v>
                </c:pt>
                <c:pt idx="131">
                  <c:v>187</c:v>
                </c:pt>
                <c:pt idx="132">
                  <c:v>187.4</c:v>
                </c:pt>
                <c:pt idx="133">
                  <c:v>187.4</c:v>
                </c:pt>
                <c:pt idx="134">
                  <c:v>187.7</c:v>
                </c:pt>
                <c:pt idx="135">
                  <c:v>187.9</c:v>
                </c:pt>
                <c:pt idx="136">
                  <c:v>188</c:v>
                </c:pt>
                <c:pt idx="137">
                  <c:v>188</c:v>
                </c:pt>
                <c:pt idx="138">
                  <c:v>188.3</c:v>
                </c:pt>
                <c:pt idx="139">
                  <c:v>188.4</c:v>
                </c:pt>
                <c:pt idx="140">
                  <c:v>188.6</c:v>
                </c:pt>
                <c:pt idx="141">
                  <c:v>188.8</c:v>
                </c:pt>
                <c:pt idx="142">
                  <c:v>189.3</c:v>
                </c:pt>
                <c:pt idx="143">
                  <c:v>189.6</c:v>
                </c:pt>
                <c:pt idx="144">
                  <c:v>189.6</c:v>
                </c:pt>
                <c:pt idx="145">
                  <c:v>189.7</c:v>
                </c:pt>
                <c:pt idx="146">
                  <c:v>189.8</c:v>
                </c:pt>
                <c:pt idx="147">
                  <c:v>189.9</c:v>
                </c:pt>
                <c:pt idx="148">
                  <c:v>190.1</c:v>
                </c:pt>
                <c:pt idx="149">
                  <c:v>190.5</c:v>
                </c:pt>
                <c:pt idx="150">
                  <c:v>191.1</c:v>
                </c:pt>
                <c:pt idx="151">
                  <c:v>191.6</c:v>
                </c:pt>
                <c:pt idx="152">
                  <c:v>191.6</c:v>
                </c:pt>
                <c:pt idx="153">
                  <c:v>191.6</c:v>
                </c:pt>
                <c:pt idx="154">
                  <c:v>191.9</c:v>
                </c:pt>
                <c:pt idx="155">
                  <c:v>192.3</c:v>
                </c:pt>
                <c:pt idx="156">
                  <c:v>192.3</c:v>
                </c:pt>
                <c:pt idx="157">
                  <c:v>192.6</c:v>
                </c:pt>
                <c:pt idx="158">
                  <c:v>192.7</c:v>
                </c:pt>
                <c:pt idx="159">
                  <c:v>192.8</c:v>
                </c:pt>
                <c:pt idx="160">
                  <c:v>193.1</c:v>
                </c:pt>
                <c:pt idx="161">
                  <c:v>193.9</c:v>
                </c:pt>
                <c:pt idx="162">
                  <c:v>194</c:v>
                </c:pt>
                <c:pt idx="163">
                  <c:v>194.6</c:v>
                </c:pt>
                <c:pt idx="164">
                  <c:v>194.7</c:v>
                </c:pt>
                <c:pt idx="165">
                  <c:v>194.9</c:v>
                </c:pt>
                <c:pt idx="166">
                  <c:v>195.7</c:v>
                </c:pt>
                <c:pt idx="167">
                  <c:v>195.9</c:v>
                </c:pt>
                <c:pt idx="168">
                  <c:v>196.3</c:v>
                </c:pt>
                <c:pt idx="169">
                  <c:v>196.7</c:v>
                </c:pt>
                <c:pt idx="170">
                  <c:v>196.7</c:v>
                </c:pt>
                <c:pt idx="171">
                  <c:v>197</c:v>
                </c:pt>
                <c:pt idx="172">
                  <c:v>197.1</c:v>
                </c:pt>
                <c:pt idx="173">
                  <c:v>197.2</c:v>
                </c:pt>
                <c:pt idx="174">
                  <c:v>198</c:v>
                </c:pt>
                <c:pt idx="175">
                  <c:v>198</c:v>
                </c:pt>
                <c:pt idx="176">
                  <c:v>200</c:v>
                </c:pt>
                <c:pt idx="177">
                  <c:v>200.5</c:v>
                </c:pt>
                <c:pt idx="178">
                  <c:v>201.4</c:v>
                </c:pt>
                <c:pt idx="179">
                  <c:v>201.8</c:v>
                </c:pt>
                <c:pt idx="180">
                  <c:v>201.9</c:v>
                </c:pt>
                <c:pt idx="181">
                  <c:v>202.2</c:v>
                </c:pt>
                <c:pt idx="182">
                  <c:v>202.5</c:v>
                </c:pt>
                <c:pt idx="183">
                  <c:v>202.6</c:v>
                </c:pt>
                <c:pt idx="184">
                  <c:v>203.5</c:v>
                </c:pt>
                <c:pt idx="185">
                  <c:v>203.6</c:v>
                </c:pt>
                <c:pt idx="186">
                  <c:v>206.5</c:v>
                </c:pt>
                <c:pt idx="187">
                  <c:v>206.9</c:v>
                </c:pt>
                <c:pt idx="188">
                  <c:v>207.3</c:v>
                </c:pt>
                <c:pt idx="189">
                  <c:v>207.6</c:v>
                </c:pt>
                <c:pt idx="190">
                  <c:v>208</c:v>
                </c:pt>
                <c:pt idx="191">
                  <c:v>210.1</c:v>
                </c:pt>
                <c:pt idx="192">
                  <c:v>210.1</c:v>
                </c:pt>
                <c:pt idx="193">
                  <c:v>211</c:v>
                </c:pt>
                <c:pt idx="194">
                  <c:v>212</c:v>
                </c:pt>
                <c:pt idx="195">
                  <c:v>212</c:v>
                </c:pt>
                <c:pt idx="196">
                  <c:v>212.9</c:v>
                </c:pt>
                <c:pt idx="197">
                  <c:v>213.2</c:v>
                </c:pt>
                <c:pt idx="198">
                  <c:v>213.9</c:v>
                </c:pt>
                <c:pt idx="199">
                  <c:v>214.4</c:v>
                </c:pt>
                <c:pt idx="200">
                  <c:v>215.1</c:v>
                </c:pt>
                <c:pt idx="201">
                  <c:v>215.1</c:v>
                </c:pt>
                <c:pt idx="202">
                  <c:v>216</c:v>
                </c:pt>
                <c:pt idx="203">
                  <c:v>216.8</c:v>
                </c:pt>
                <c:pt idx="204">
                  <c:v>219.2</c:v>
                </c:pt>
                <c:pt idx="205">
                  <c:v>220.3</c:v>
                </c:pt>
                <c:pt idx="206">
                  <c:v>220.3</c:v>
                </c:pt>
                <c:pt idx="207">
                  <c:v>221.4</c:v>
                </c:pt>
                <c:pt idx="208">
                  <c:v>222.2</c:v>
                </c:pt>
                <c:pt idx="209">
                  <c:v>223.6</c:v>
                </c:pt>
                <c:pt idx="210">
                  <c:v>227.9</c:v>
                </c:pt>
                <c:pt idx="211">
                  <c:v>241.7</c:v>
                </c:pt>
              </c:numCache>
            </c:numRef>
          </c:val>
          <c:extLst>
            <c:ext xmlns:c16="http://schemas.microsoft.com/office/drawing/2014/chart" uri="{C3380CC4-5D6E-409C-BE32-E72D297353CC}">
              <c16:uniqueId val="{00000002-AA4F-4412-B882-B0C147C33E93}"/>
            </c:ext>
          </c:extLst>
        </c:ser>
        <c:dLbls>
          <c:showLegendKey val="0"/>
          <c:showVal val="0"/>
          <c:showCatName val="0"/>
          <c:showSerName val="0"/>
          <c:showPercent val="0"/>
          <c:showBubbleSize val="0"/>
        </c:dLbls>
        <c:gapWidth val="150"/>
        <c:axId val="134941696"/>
        <c:axId val="29336704"/>
      </c:barChart>
      <c:catAx>
        <c:axId val="134941696"/>
        <c:scaling>
          <c:orientation val="minMax"/>
        </c:scaling>
        <c:delete val="1"/>
        <c:axPos val="b"/>
        <c:title>
          <c:tx>
            <c:rich>
              <a:bodyPr/>
              <a:lstStyle/>
              <a:p>
                <a:pPr>
                  <a:defRPr sz="900"/>
                </a:pPr>
                <a:r>
                  <a:rPr lang="en-US" sz="900"/>
                  <a:t>CCG</a:t>
                </a:r>
              </a:p>
            </c:rich>
          </c:tx>
          <c:overlay val="0"/>
        </c:title>
        <c:numFmt formatCode="General" sourceLinked="0"/>
        <c:majorTickMark val="out"/>
        <c:minorTickMark val="none"/>
        <c:tickLblPos val="nextTo"/>
        <c:crossAx val="29336704"/>
        <c:crosses val="autoZero"/>
        <c:auto val="1"/>
        <c:lblAlgn val="ctr"/>
        <c:lblOffset val="100"/>
        <c:noMultiLvlLbl val="0"/>
      </c:catAx>
      <c:valAx>
        <c:axId val="29336704"/>
        <c:scaling>
          <c:orientation val="minMax"/>
        </c:scaling>
        <c:delete val="0"/>
        <c:axPos val="l"/>
        <c:majorGridlines/>
        <c:title>
          <c:tx>
            <c:rich>
              <a:bodyPr rot="-5400000" vert="horz"/>
              <a:lstStyle/>
              <a:p>
                <a:pPr>
                  <a:defRPr sz="900"/>
                </a:pPr>
                <a:r>
                  <a:rPr lang="en-US" sz="900"/>
                  <a:t>Directly</a:t>
                </a:r>
                <a:r>
                  <a:rPr lang="en-US" sz="900" baseline="0"/>
                  <a:t> Standardised Rate, per 100,000</a:t>
                </a:r>
                <a:endParaRPr lang="en-US" sz="900"/>
              </a:p>
            </c:rich>
          </c:tx>
          <c:layout>
            <c:manualLayout>
              <c:xMode val="edge"/>
              <c:yMode val="edge"/>
              <c:x val="1.8029297139996538E-2"/>
              <c:y val="0.1642888255989278"/>
            </c:manualLayout>
          </c:layout>
          <c:overlay val="0"/>
        </c:title>
        <c:numFmt formatCode="#,##0" sourceLinked="0"/>
        <c:majorTickMark val="out"/>
        <c:minorTickMark val="none"/>
        <c:tickLblPos val="nextTo"/>
        <c:crossAx val="134941696"/>
        <c:crosses val="autoZero"/>
        <c:crossBetween val="between"/>
      </c:valAx>
    </c:plotArea>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Output!$AG$1</c:f>
          <c:strCache>
            <c:ptCount val="1"/>
            <c:pt idx="0">
              <c:v>Mental Health Readmissions, Directly Standardised Rate, per 1000</c:v>
            </c:pt>
          </c:strCache>
        </c:strRef>
      </c:tx>
      <c:overlay val="0"/>
      <c:txPr>
        <a:bodyPr/>
        <a:lstStyle/>
        <a:p>
          <a:pPr>
            <a:defRPr sz="1200"/>
          </a:pPr>
          <a:endParaRPr lang="en-US"/>
        </a:p>
      </c:txPr>
    </c:title>
    <c:autoTitleDeleted val="0"/>
    <c:plotArea>
      <c:layout>
        <c:manualLayout>
          <c:layoutTarget val="inner"/>
          <c:xMode val="edge"/>
          <c:yMode val="edge"/>
          <c:x val="0.12245499824332982"/>
          <c:y val="0.10056528648204689"/>
          <c:w val="0.85418459503585675"/>
          <c:h val="0.82246504901173068"/>
        </c:manualLayout>
      </c:layout>
      <c:barChart>
        <c:barDir val="col"/>
        <c:grouping val="clustered"/>
        <c:varyColors val="0"/>
        <c:ser>
          <c:idx val="0"/>
          <c:order val="0"/>
          <c:spPr>
            <a:solidFill>
              <a:srgbClr val="003358"/>
            </a:solidFill>
          </c:spPr>
          <c:invertIfNegative val="0"/>
          <c:dPt>
            <c:idx val="126"/>
            <c:invertIfNegative val="0"/>
            <c:bubble3D val="0"/>
            <c:spPr>
              <a:solidFill>
                <a:srgbClr val="FF0000"/>
              </a:solidFill>
            </c:spPr>
            <c:extLst>
              <c:ext xmlns:c16="http://schemas.microsoft.com/office/drawing/2014/chart" uri="{C3380CC4-5D6E-409C-BE32-E72D297353CC}">
                <c16:uniqueId val="{00000001-E767-4E56-BF4D-5CFC4A570A75}"/>
              </c:ext>
            </c:extLst>
          </c:dPt>
          <c:dLbls>
            <c:dLbl>
              <c:idx val="126"/>
              <c:spPr/>
              <c:txPr>
                <a:bodyPr rot="-5400000"/>
                <a:lstStyle/>
                <a:p>
                  <a:pPr>
                    <a:defRPr>
                      <a:solidFill>
                        <a:srgbClr val="FF0000"/>
                      </a:solidFill>
                    </a:defRPr>
                  </a:pPr>
                  <a:endParaRPr lang="en-US"/>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767-4E56-BF4D-5CFC4A570A7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Output!$AB$2:$AB$213</c:f>
              <c:strCache>
                <c:ptCount val="212"/>
                <c:pt idx="0">
                  <c:v>CCG49</c:v>
                </c:pt>
                <c:pt idx="1">
                  <c:v>CCG49</c:v>
                </c:pt>
                <c:pt idx="2">
                  <c:v>CCG49</c:v>
                </c:pt>
                <c:pt idx="3">
                  <c:v>CCG49</c:v>
                </c:pt>
                <c:pt idx="4">
                  <c:v>CCG49</c:v>
                </c:pt>
                <c:pt idx="5">
                  <c:v>CCG49</c:v>
                </c:pt>
                <c:pt idx="6">
                  <c:v>CCG49</c:v>
                </c:pt>
                <c:pt idx="7">
                  <c:v>CCG49</c:v>
                </c:pt>
                <c:pt idx="8">
                  <c:v>CCG49</c:v>
                </c:pt>
                <c:pt idx="9">
                  <c:v>CCG144</c:v>
                </c:pt>
                <c:pt idx="10">
                  <c:v>CCG122</c:v>
                </c:pt>
                <c:pt idx="11">
                  <c:v>CCG95</c:v>
                </c:pt>
                <c:pt idx="12">
                  <c:v>CCG183</c:v>
                </c:pt>
                <c:pt idx="13">
                  <c:v>CCG97</c:v>
                </c:pt>
                <c:pt idx="14">
                  <c:v>CCG150</c:v>
                </c:pt>
                <c:pt idx="15">
                  <c:v>CCG185</c:v>
                </c:pt>
                <c:pt idx="16">
                  <c:v>CCG113</c:v>
                </c:pt>
                <c:pt idx="17">
                  <c:v>CCG114</c:v>
                </c:pt>
                <c:pt idx="18">
                  <c:v>CCG96</c:v>
                </c:pt>
                <c:pt idx="19">
                  <c:v>CCG137</c:v>
                </c:pt>
                <c:pt idx="20">
                  <c:v>CCG192</c:v>
                </c:pt>
                <c:pt idx="21">
                  <c:v>CCG119</c:v>
                </c:pt>
                <c:pt idx="22">
                  <c:v>CCG63</c:v>
                </c:pt>
                <c:pt idx="23">
                  <c:v>CCG56</c:v>
                </c:pt>
                <c:pt idx="24">
                  <c:v>CCG43</c:v>
                </c:pt>
                <c:pt idx="25">
                  <c:v>CCG147</c:v>
                </c:pt>
                <c:pt idx="26">
                  <c:v>CCG79</c:v>
                </c:pt>
                <c:pt idx="27">
                  <c:v>CCG6</c:v>
                </c:pt>
                <c:pt idx="28">
                  <c:v>CCG44</c:v>
                </c:pt>
                <c:pt idx="29">
                  <c:v>CCG85</c:v>
                </c:pt>
                <c:pt idx="30">
                  <c:v>CCG138</c:v>
                </c:pt>
                <c:pt idx="31">
                  <c:v>CCG152</c:v>
                </c:pt>
                <c:pt idx="32">
                  <c:v>CCG191</c:v>
                </c:pt>
                <c:pt idx="33">
                  <c:v>CCG166</c:v>
                </c:pt>
                <c:pt idx="34">
                  <c:v>CCG61</c:v>
                </c:pt>
                <c:pt idx="35">
                  <c:v>CCG208</c:v>
                </c:pt>
                <c:pt idx="36">
                  <c:v>CCG46</c:v>
                </c:pt>
                <c:pt idx="37">
                  <c:v>CCG123</c:v>
                </c:pt>
                <c:pt idx="38">
                  <c:v>CCG162</c:v>
                </c:pt>
                <c:pt idx="39">
                  <c:v>CCG9</c:v>
                </c:pt>
                <c:pt idx="40">
                  <c:v>CCG70</c:v>
                </c:pt>
                <c:pt idx="41">
                  <c:v>CCG109</c:v>
                </c:pt>
                <c:pt idx="42">
                  <c:v>CCG134</c:v>
                </c:pt>
                <c:pt idx="43">
                  <c:v>CCG121</c:v>
                </c:pt>
                <c:pt idx="44">
                  <c:v>CCG190</c:v>
                </c:pt>
                <c:pt idx="45">
                  <c:v>CCG5</c:v>
                </c:pt>
                <c:pt idx="46">
                  <c:v>CCG200</c:v>
                </c:pt>
                <c:pt idx="47">
                  <c:v>CCG103</c:v>
                </c:pt>
                <c:pt idx="48">
                  <c:v>CCG78</c:v>
                </c:pt>
                <c:pt idx="49">
                  <c:v>CCG141</c:v>
                </c:pt>
                <c:pt idx="50">
                  <c:v>CCG131</c:v>
                </c:pt>
                <c:pt idx="51">
                  <c:v>CCG206</c:v>
                </c:pt>
                <c:pt idx="52">
                  <c:v>CCG83</c:v>
                </c:pt>
                <c:pt idx="53">
                  <c:v>CCG135</c:v>
                </c:pt>
                <c:pt idx="54">
                  <c:v>CCG139</c:v>
                </c:pt>
                <c:pt idx="55">
                  <c:v>CCG181</c:v>
                </c:pt>
                <c:pt idx="56">
                  <c:v>CCG198</c:v>
                </c:pt>
                <c:pt idx="57">
                  <c:v>CCG102</c:v>
                </c:pt>
                <c:pt idx="58">
                  <c:v>CCG153</c:v>
                </c:pt>
                <c:pt idx="59">
                  <c:v>CCG129</c:v>
                </c:pt>
                <c:pt idx="60">
                  <c:v>CCG86</c:v>
                </c:pt>
                <c:pt idx="61">
                  <c:v>CCG1</c:v>
                </c:pt>
                <c:pt idx="62">
                  <c:v>CCG146</c:v>
                </c:pt>
                <c:pt idx="63">
                  <c:v>CCG130</c:v>
                </c:pt>
                <c:pt idx="64">
                  <c:v>CCG173</c:v>
                </c:pt>
                <c:pt idx="65">
                  <c:v>CCG211</c:v>
                </c:pt>
                <c:pt idx="66">
                  <c:v>CCG149</c:v>
                </c:pt>
                <c:pt idx="67">
                  <c:v>CCG142</c:v>
                </c:pt>
                <c:pt idx="68">
                  <c:v>CCG132</c:v>
                </c:pt>
                <c:pt idx="69">
                  <c:v>CCG125</c:v>
                </c:pt>
                <c:pt idx="70">
                  <c:v>CCG4</c:v>
                </c:pt>
                <c:pt idx="71">
                  <c:v>CCG29</c:v>
                </c:pt>
                <c:pt idx="72">
                  <c:v>CCG7</c:v>
                </c:pt>
                <c:pt idx="73">
                  <c:v>CCG193</c:v>
                </c:pt>
                <c:pt idx="74">
                  <c:v>CCG145</c:v>
                </c:pt>
                <c:pt idx="75">
                  <c:v>CCG189</c:v>
                </c:pt>
                <c:pt idx="76">
                  <c:v>CCG8</c:v>
                </c:pt>
                <c:pt idx="77">
                  <c:v>CCG2</c:v>
                </c:pt>
                <c:pt idx="78">
                  <c:v>CCG188</c:v>
                </c:pt>
                <c:pt idx="79">
                  <c:v>CCG87</c:v>
                </c:pt>
                <c:pt idx="80">
                  <c:v>CCG187</c:v>
                </c:pt>
                <c:pt idx="81">
                  <c:v>CCG104</c:v>
                </c:pt>
                <c:pt idx="82">
                  <c:v>CCG117</c:v>
                </c:pt>
                <c:pt idx="83">
                  <c:v>CCG178</c:v>
                </c:pt>
                <c:pt idx="84">
                  <c:v>CCG174</c:v>
                </c:pt>
                <c:pt idx="85">
                  <c:v>CCG170</c:v>
                </c:pt>
                <c:pt idx="86">
                  <c:v>CCG136</c:v>
                </c:pt>
                <c:pt idx="87">
                  <c:v>CCG76</c:v>
                </c:pt>
                <c:pt idx="88">
                  <c:v>CCG59</c:v>
                </c:pt>
                <c:pt idx="89">
                  <c:v>CCG100</c:v>
                </c:pt>
                <c:pt idx="90">
                  <c:v>CCG65</c:v>
                </c:pt>
                <c:pt idx="91">
                  <c:v>CCG45</c:v>
                </c:pt>
                <c:pt idx="92">
                  <c:v>CCG94</c:v>
                </c:pt>
                <c:pt idx="93">
                  <c:v>CCG73</c:v>
                </c:pt>
                <c:pt idx="94">
                  <c:v>CCG16</c:v>
                </c:pt>
                <c:pt idx="95">
                  <c:v>CCG64</c:v>
                </c:pt>
                <c:pt idx="96">
                  <c:v>CCG53</c:v>
                </c:pt>
                <c:pt idx="97">
                  <c:v>CCG196</c:v>
                </c:pt>
                <c:pt idx="98">
                  <c:v>CCG167</c:v>
                </c:pt>
                <c:pt idx="99">
                  <c:v>CCG18</c:v>
                </c:pt>
                <c:pt idx="100">
                  <c:v>CCG74</c:v>
                </c:pt>
                <c:pt idx="101">
                  <c:v>CCG126</c:v>
                </c:pt>
                <c:pt idx="102">
                  <c:v>CCG77</c:v>
                </c:pt>
                <c:pt idx="103">
                  <c:v>CCG186</c:v>
                </c:pt>
                <c:pt idx="104">
                  <c:v>CCG72</c:v>
                </c:pt>
                <c:pt idx="105">
                  <c:v>CCG161</c:v>
                </c:pt>
                <c:pt idx="106">
                  <c:v>CCG62</c:v>
                </c:pt>
                <c:pt idx="107">
                  <c:v>CCG172</c:v>
                </c:pt>
                <c:pt idx="108">
                  <c:v>CCG54</c:v>
                </c:pt>
                <c:pt idx="109">
                  <c:v>CCG108</c:v>
                </c:pt>
                <c:pt idx="110">
                  <c:v>CCG177</c:v>
                </c:pt>
                <c:pt idx="111">
                  <c:v>CCG156</c:v>
                </c:pt>
                <c:pt idx="112">
                  <c:v>CCG36</c:v>
                </c:pt>
                <c:pt idx="113">
                  <c:v>CCG209</c:v>
                </c:pt>
                <c:pt idx="114">
                  <c:v>CCG112</c:v>
                </c:pt>
                <c:pt idx="115">
                  <c:v>CCG37</c:v>
                </c:pt>
                <c:pt idx="116">
                  <c:v>CCG151</c:v>
                </c:pt>
                <c:pt idx="117">
                  <c:v>CCG184</c:v>
                </c:pt>
                <c:pt idx="118">
                  <c:v>CCG105</c:v>
                </c:pt>
                <c:pt idx="119">
                  <c:v>CCG90</c:v>
                </c:pt>
                <c:pt idx="120">
                  <c:v>CCG84</c:v>
                </c:pt>
                <c:pt idx="121">
                  <c:v>CCG31</c:v>
                </c:pt>
                <c:pt idx="122">
                  <c:v>CCG14</c:v>
                </c:pt>
                <c:pt idx="123">
                  <c:v>CCG24</c:v>
                </c:pt>
                <c:pt idx="124">
                  <c:v>CCG210</c:v>
                </c:pt>
                <c:pt idx="125">
                  <c:v>CCG101</c:v>
                </c:pt>
                <c:pt idx="126">
                  <c:v>Eng</c:v>
                </c:pt>
                <c:pt idx="127">
                  <c:v>CCG57</c:v>
                </c:pt>
                <c:pt idx="128">
                  <c:v>CCG148</c:v>
                </c:pt>
                <c:pt idx="129">
                  <c:v>CCG116</c:v>
                </c:pt>
                <c:pt idx="130">
                  <c:v>CCG3</c:v>
                </c:pt>
                <c:pt idx="131">
                  <c:v>CCG30</c:v>
                </c:pt>
                <c:pt idx="132">
                  <c:v>CCG92</c:v>
                </c:pt>
                <c:pt idx="133">
                  <c:v>CCG25</c:v>
                </c:pt>
                <c:pt idx="134">
                  <c:v>CCG28</c:v>
                </c:pt>
                <c:pt idx="135">
                  <c:v>CCG66</c:v>
                </c:pt>
                <c:pt idx="136">
                  <c:v>CCG50</c:v>
                </c:pt>
                <c:pt idx="137">
                  <c:v>CCG21</c:v>
                </c:pt>
                <c:pt idx="138">
                  <c:v>CCG120</c:v>
                </c:pt>
                <c:pt idx="139">
                  <c:v>CCG99</c:v>
                </c:pt>
                <c:pt idx="140">
                  <c:v>CCG42</c:v>
                </c:pt>
                <c:pt idx="141">
                  <c:v>CCG110</c:v>
                </c:pt>
                <c:pt idx="142">
                  <c:v>CCG115</c:v>
                </c:pt>
                <c:pt idx="143">
                  <c:v>CCG71</c:v>
                </c:pt>
                <c:pt idx="144">
                  <c:v>CCG55</c:v>
                </c:pt>
                <c:pt idx="145">
                  <c:v>CCG160</c:v>
                </c:pt>
                <c:pt idx="146">
                  <c:v>CCG128</c:v>
                </c:pt>
                <c:pt idx="147">
                  <c:v>CCG88</c:v>
                </c:pt>
                <c:pt idx="148">
                  <c:v>CCG127</c:v>
                </c:pt>
                <c:pt idx="149">
                  <c:v>CCG48</c:v>
                </c:pt>
                <c:pt idx="150">
                  <c:v>CCG47</c:v>
                </c:pt>
                <c:pt idx="151">
                  <c:v>CCG60</c:v>
                </c:pt>
                <c:pt idx="152">
                  <c:v>CCG164</c:v>
                </c:pt>
                <c:pt idx="153">
                  <c:v>CCG82</c:v>
                </c:pt>
                <c:pt idx="154">
                  <c:v>CCG179</c:v>
                </c:pt>
                <c:pt idx="155">
                  <c:v>CCG23</c:v>
                </c:pt>
                <c:pt idx="156">
                  <c:v>CCG15</c:v>
                </c:pt>
                <c:pt idx="157">
                  <c:v>CCG158</c:v>
                </c:pt>
                <c:pt idx="158">
                  <c:v>CCG169</c:v>
                </c:pt>
                <c:pt idx="159">
                  <c:v>CCG143</c:v>
                </c:pt>
                <c:pt idx="160">
                  <c:v>CCG13</c:v>
                </c:pt>
                <c:pt idx="161">
                  <c:v>CCG194</c:v>
                </c:pt>
                <c:pt idx="162">
                  <c:v>CCG165</c:v>
                </c:pt>
                <c:pt idx="163">
                  <c:v>CCG39</c:v>
                </c:pt>
                <c:pt idx="164">
                  <c:v>CCG68</c:v>
                </c:pt>
                <c:pt idx="165">
                  <c:v>CCG180</c:v>
                </c:pt>
                <c:pt idx="166">
                  <c:v>CCG17</c:v>
                </c:pt>
                <c:pt idx="167">
                  <c:v>CCG205</c:v>
                </c:pt>
                <c:pt idx="168">
                  <c:v>CCG20</c:v>
                </c:pt>
                <c:pt idx="169">
                  <c:v>CCG197</c:v>
                </c:pt>
                <c:pt idx="170">
                  <c:v>CCG52</c:v>
                </c:pt>
                <c:pt idx="171">
                  <c:v>CCG93</c:v>
                </c:pt>
                <c:pt idx="172">
                  <c:v>CCG171</c:v>
                </c:pt>
                <c:pt idx="173">
                  <c:v>CCG140</c:v>
                </c:pt>
                <c:pt idx="174">
                  <c:v>CCG40</c:v>
                </c:pt>
                <c:pt idx="175">
                  <c:v>CCG201</c:v>
                </c:pt>
                <c:pt idx="176">
                  <c:v>CCG58</c:v>
                </c:pt>
                <c:pt idx="177">
                  <c:v>CCG12</c:v>
                </c:pt>
                <c:pt idx="178">
                  <c:v>CCG111</c:v>
                </c:pt>
                <c:pt idx="179">
                  <c:v>CCG34</c:v>
                </c:pt>
                <c:pt idx="180">
                  <c:v>CCG203</c:v>
                </c:pt>
                <c:pt idx="181">
                  <c:v>CCG33</c:v>
                </c:pt>
                <c:pt idx="182">
                  <c:v>CCG176</c:v>
                </c:pt>
                <c:pt idx="183">
                  <c:v>CCG35</c:v>
                </c:pt>
                <c:pt idx="184">
                  <c:v>CCG106</c:v>
                </c:pt>
                <c:pt idx="185">
                  <c:v>CCG38</c:v>
                </c:pt>
                <c:pt idx="186">
                  <c:v>CCG22</c:v>
                </c:pt>
                <c:pt idx="187">
                  <c:v>CCG107</c:v>
                </c:pt>
                <c:pt idx="188">
                  <c:v>CCG182</c:v>
                </c:pt>
                <c:pt idx="189">
                  <c:v>CCG124</c:v>
                </c:pt>
                <c:pt idx="190">
                  <c:v>CCG10</c:v>
                </c:pt>
                <c:pt idx="191">
                  <c:v>CCG11</c:v>
                </c:pt>
                <c:pt idx="192">
                  <c:v>CCG118</c:v>
                </c:pt>
                <c:pt idx="193">
                  <c:v>CCG41</c:v>
                </c:pt>
                <c:pt idx="194">
                  <c:v>CCG202</c:v>
                </c:pt>
                <c:pt idx="195">
                  <c:v>CCG159</c:v>
                </c:pt>
                <c:pt idx="196">
                  <c:v>CCG27</c:v>
                </c:pt>
                <c:pt idx="197">
                  <c:v>CCG207</c:v>
                </c:pt>
                <c:pt idx="198">
                  <c:v>CCG133</c:v>
                </c:pt>
                <c:pt idx="199">
                  <c:v>CCG91</c:v>
                </c:pt>
                <c:pt idx="200">
                  <c:v>CCG98</c:v>
                </c:pt>
                <c:pt idx="201">
                  <c:v>CCG26</c:v>
                </c:pt>
                <c:pt idx="202">
                  <c:v>CCG19</c:v>
                </c:pt>
                <c:pt idx="203">
                  <c:v>CCG204</c:v>
                </c:pt>
                <c:pt idx="204">
                  <c:v>CCG155</c:v>
                </c:pt>
                <c:pt idx="205">
                  <c:v>CCG163</c:v>
                </c:pt>
                <c:pt idx="206">
                  <c:v>CCG32</c:v>
                </c:pt>
                <c:pt idx="207">
                  <c:v>CCG157</c:v>
                </c:pt>
                <c:pt idx="208">
                  <c:v>CCG175</c:v>
                </c:pt>
                <c:pt idx="209">
                  <c:v>CCG199</c:v>
                </c:pt>
                <c:pt idx="210">
                  <c:v>CCG67</c:v>
                </c:pt>
                <c:pt idx="211">
                  <c:v>CCG75</c:v>
                </c:pt>
              </c:strCache>
            </c:strRef>
          </c:cat>
          <c:val>
            <c:numRef>
              <c:f>Output!$AC$2:$AC$213</c:f>
              <c:numCache>
                <c:formatCode>0.0</c:formatCode>
                <c:ptCount val="212"/>
                <c:pt idx="0">
                  <c:v>0</c:v>
                </c:pt>
                <c:pt idx="1">
                  <c:v>0</c:v>
                </c:pt>
                <c:pt idx="2">
                  <c:v>0</c:v>
                </c:pt>
                <c:pt idx="3">
                  <c:v>0</c:v>
                </c:pt>
                <c:pt idx="4">
                  <c:v>0</c:v>
                </c:pt>
                <c:pt idx="5">
                  <c:v>0</c:v>
                </c:pt>
                <c:pt idx="6">
                  <c:v>0</c:v>
                </c:pt>
                <c:pt idx="7">
                  <c:v>0</c:v>
                </c:pt>
                <c:pt idx="8">
                  <c:v>0</c:v>
                </c:pt>
                <c:pt idx="9">
                  <c:v>36.1</c:v>
                </c:pt>
                <c:pt idx="10">
                  <c:v>36.700000000000003</c:v>
                </c:pt>
                <c:pt idx="11">
                  <c:v>36.700000000000003</c:v>
                </c:pt>
                <c:pt idx="12">
                  <c:v>37.5</c:v>
                </c:pt>
                <c:pt idx="13">
                  <c:v>38.200000000000003</c:v>
                </c:pt>
                <c:pt idx="14">
                  <c:v>38.700000000000003</c:v>
                </c:pt>
                <c:pt idx="15">
                  <c:v>38.9</c:v>
                </c:pt>
                <c:pt idx="16">
                  <c:v>41.3</c:v>
                </c:pt>
                <c:pt idx="17">
                  <c:v>41.7</c:v>
                </c:pt>
                <c:pt idx="18">
                  <c:v>41.9</c:v>
                </c:pt>
                <c:pt idx="19">
                  <c:v>41.9</c:v>
                </c:pt>
                <c:pt idx="20">
                  <c:v>42.5</c:v>
                </c:pt>
                <c:pt idx="21">
                  <c:v>43</c:v>
                </c:pt>
                <c:pt idx="22">
                  <c:v>45.7</c:v>
                </c:pt>
                <c:pt idx="23">
                  <c:v>46.4</c:v>
                </c:pt>
                <c:pt idx="24">
                  <c:v>47.1</c:v>
                </c:pt>
                <c:pt idx="25">
                  <c:v>47.3</c:v>
                </c:pt>
                <c:pt idx="26">
                  <c:v>47.5</c:v>
                </c:pt>
                <c:pt idx="27">
                  <c:v>47.7</c:v>
                </c:pt>
                <c:pt idx="28">
                  <c:v>48.2</c:v>
                </c:pt>
                <c:pt idx="29">
                  <c:v>49.3</c:v>
                </c:pt>
                <c:pt idx="30">
                  <c:v>49.3</c:v>
                </c:pt>
                <c:pt idx="31">
                  <c:v>50.3</c:v>
                </c:pt>
                <c:pt idx="32">
                  <c:v>50.5</c:v>
                </c:pt>
                <c:pt idx="33">
                  <c:v>50.9</c:v>
                </c:pt>
                <c:pt idx="34">
                  <c:v>51</c:v>
                </c:pt>
                <c:pt idx="35">
                  <c:v>51.7</c:v>
                </c:pt>
                <c:pt idx="36">
                  <c:v>51.7</c:v>
                </c:pt>
                <c:pt idx="37">
                  <c:v>51.8</c:v>
                </c:pt>
                <c:pt idx="38">
                  <c:v>52</c:v>
                </c:pt>
                <c:pt idx="39">
                  <c:v>52.1</c:v>
                </c:pt>
                <c:pt idx="40">
                  <c:v>52.2</c:v>
                </c:pt>
                <c:pt idx="41">
                  <c:v>52.6</c:v>
                </c:pt>
                <c:pt idx="42">
                  <c:v>53</c:v>
                </c:pt>
                <c:pt idx="43">
                  <c:v>53.7</c:v>
                </c:pt>
                <c:pt idx="44">
                  <c:v>54.1</c:v>
                </c:pt>
                <c:pt idx="45">
                  <c:v>54.2</c:v>
                </c:pt>
                <c:pt idx="46">
                  <c:v>54.3</c:v>
                </c:pt>
                <c:pt idx="47">
                  <c:v>54.6</c:v>
                </c:pt>
                <c:pt idx="48">
                  <c:v>54.6</c:v>
                </c:pt>
                <c:pt idx="49">
                  <c:v>54.7</c:v>
                </c:pt>
                <c:pt idx="50">
                  <c:v>54.9</c:v>
                </c:pt>
                <c:pt idx="51">
                  <c:v>55.1</c:v>
                </c:pt>
                <c:pt idx="52">
                  <c:v>56.3</c:v>
                </c:pt>
                <c:pt idx="53">
                  <c:v>56.8</c:v>
                </c:pt>
                <c:pt idx="54">
                  <c:v>57</c:v>
                </c:pt>
                <c:pt idx="55">
                  <c:v>57.1</c:v>
                </c:pt>
                <c:pt idx="56">
                  <c:v>57.5</c:v>
                </c:pt>
                <c:pt idx="57">
                  <c:v>57.6</c:v>
                </c:pt>
                <c:pt idx="58">
                  <c:v>57.8</c:v>
                </c:pt>
                <c:pt idx="59">
                  <c:v>58.1</c:v>
                </c:pt>
                <c:pt idx="60">
                  <c:v>58.4</c:v>
                </c:pt>
                <c:pt idx="61">
                  <c:v>59</c:v>
                </c:pt>
                <c:pt idx="62">
                  <c:v>59.2</c:v>
                </c:pt>
                <c:pt idx="63">
                  <c:v>59.3</c:v>
                </c:pt>
                <c:pt idx="64">
                  <c:v>59.7</c:v>
                </c:pt>
                <c:pt idx="65">
                  <c:v>60.3</c:v>
                </c:pt>
                <c:pt idx="66">
                  <c:v>61</c:v>
                </c:pt>
                <c:pt idx="67">
                  <c:v>61.2</c:v>
                </c:pt>
                <c:pt idx="68">
                  <c:v>61.4</c:v>
                </c:pt>
                <c:pt idx="69">
                  <c:v>61.6</c:v>
                </c:pt>
                <c:pt idx="70">
                  <c:v>61.6</c:v>
                </c:pt>
                <c:pt idx="71">
                  <c:v>61.9</c:v>
                </c:pt>
                <c:pt idx="72">
                  <c:v>62.2</c:v>
                </c:pt>
                <c:pt idx="73">
                  <c:v>62.5</c:v>
                </c:pt>
                <c:pt idx="74">
                  <c:v>63.5</c:v>
                </c:pt>
                <c:pt idx="75">
                  <c:v>64.5</c:v>
                </c:pt>
                <c:pt idx="76">
                  <c:v>64.7</c:v>
                </c:pt>
                <c:pt idx="77">
                  <c:v>65</c:v>
                </c:pt>
                <c:pt idx="78">
                  <c:v>65.599999999999994</c:v>
                </c:pt>
                <c:pt idx="79">
                  <c:v>66</c:v>
                </c:pt>
                <c:pt idx="80">
                  <c:v>66.099999999999994</c:v>
                </c:pt>
                <c:pt idx="81">
                  <c:v>66.599999999999994</c:v>
                </c:pt>
                <c:pt idx="82">
                  <c:v>67.400000000000006</c:v>
                </c:pt>
                <c:pt idx="83">
                  <c:v>68.5</c:v>
                </c:pt>
                <c:pt idx="84">
                  <c:v>68.8</c:v>
                </c:pt>
                <c:pt idx="85">
                  <c:v>69.400000000000006</c:v>
                </c:pt>
                <c:pt idx="86">
                  <c:v>69.900000000000006</c:v>
                </c:pt>
                <c:pt idx="87">
                  <c:v>69.900000000000006</c:v>
                </c:pt>
                <c:pt idx="88">
                  <c:v>70.2</c:v>
                </c:pt>
                <c:pt idx="89">
                  <c:v>70.900000000000006</c:v>
                </c:pt>
                <c:pt idx="90">
                  <c:v>71.400000000000006</c:v>
                </c:pt>
                <c:pt idx="91">
                  <c:v>71.5</c:v>
                </c:pt>
                <c:pt idx="92">
                  <c:v>72.099999999999994</c:v>
                </c:pt>
                <c:pt idx="93">
                  <c:v>73.5</c:v>
                </c:pt>
                <c:pt idx="94">
                  <c:v>74.400000000000006</c:v>
                </c:pt>
                <c:pt idx="95">
                  <c:v>74.599999999999994</c:v>
                </c:pt>
                <c:pt idx="96">
                  <c:v>74.900000000000006</c:v>
                </c:pt>
                <c:pt idx="97">
                  <c:v>74.900000000000006</c:v>
                </c:pt>
                <c:pt idx="98">
                  <c:v>76</c:v>
                </c:pt>
                <c:pt idx="99">
                  <c:v>76.400000000000006</c:v>
                </c:pt>
                <c:pt idx="100">
                  <c:v>76.400000000000006</c:v>
                </c:pt>
                <c:pt idx="101">
                  <c:v>76.599999999999994</c:v>
                </c:pt>
                <c:pt idx="102">
                  <c:v>76.7</c:v>
                </c:pt>
                <c:pt idx="103">
                  <c:v>77.099999999999994</c:v>
                </c:pt>
                <c:pt idx="104">
                  <c:v>77.900000000000006</c:v>
                </c:pt>
                <c:pt idx="105">
                  <c:v>79</c:v>
                </c:pt>
                <c:pt idx="106">
                  <c:v>79.400000000000006</c:v>
                </c:pt>
                <c:pt idx="107">
                  <c:v>79.5</c:v>
                </c:pt>
                <c:pt idx="108">
                  <c:v>80.900000000000006</c:v>
                </c:pt>
                <c:pt idx="109">
                  <c:v>81</c:v>
                </c:pt>
                <c:pt idx="110">
                  <c:v>81.599999999999994</c:v>
                </c:pt>
                <c:pt idx="111">
                  <c:v>82</c:v>
                </c:pt>
                <c:pt idx="112">
                  <c:v>82.1</c:v>
                </c:pt>
                <c:pt idx="113">
                  <c:v>82.2</c:v>
                </c:pt>
                <c:pt idx="114">
                  <c:v>83.4</c:v>
                </c:pt>
                <c:pt idx="115">
                  <c:v>84</c:v>
                </c:pt>
                <c:pt idx="116">
                  <c:v>84.3</c:v>
                </c:pt>
                <c:pt idx="117">
                  <c:v>84.6</c:v>
                </c:pt>
                <c:pt idx="118">
                  <c:v>84.6</c:v>
                </c:pt>
                <c:pt idx="119">
                  <c:v>84.8</c:v>
                </c:pt>
                <c:pt idx="120">
                  <c:v>85.2</c:v>
                </c:pt>
                <c:pt idx="121">
                  <c:v>86</c:v>
                </c:pt>
                <c:pt idx="122">
                  <c:v>86.7</c:v>
                </c:pt>
                <c:pt idx="123">
                  <c:v>87.2</c:v>
                </c:pt>
                <c:pt idx="124">
                  <c:v>87.6</c:v>
                </c:pt>
                <c:pt idx="125">
                  <c:v>87.7</c:v>
                </c:pt>
                <c:pt idx="126">
                  <c:v>87.8</c:v>
                </c:pt>
                <c:pt idx="127">
                  <c:v>87.9</c:v>
                </c:pt>
                <c:pt idx="128">
                  <c:v>88</c:v>
                </c:pt>
                <c:pt idx="129">
                  <c:v>88.3</c:v>
                </c:pt>
                <c:pt idx="130">
                  <c:v>88.4</c:v>
                </c:pt>
                <c:pt idx="131">
                  <c:v>89.1</c:v>
                </c:pt>
                <c:pt idx="132">
                  <c:v>89.1</c:v>
                </c:pt>
                <c:pt idx="133">
                  <c:v>89.1</c:v>
                </c:pt>
                <c:pt idx="134">
                  <c:v>89.2</c:v>
                </c:pt>
                <c:pt idx="135">
                  <c:v>90.1</c:v>
                </c:pt>
                <c:pt idx="136">
                  <c:v>90.7</c:v>
                </c:pt>
                <c:pt idx="137">
                  <c:v>91.1</c:v>
                </c:pt>
                <c:pt idx="138">
                  <c:v>91.3</c:v>
                </c:pt>
                <c:pt idx="139">
                  <c:v>91.3</c:v>
                </c:pt>
                <c:pt idx="140">
                  <c:v>91.3</c:v>
                </c:pt>
                <c:pt idx="141">
                  <c:v>91.6</c:v>
                </c:pt>
                <c:pt idx="142">
                  <c:v>91.9</c:v>
                </c:pt>
                <c:pt idx="143">
                  <c:v>91.9</c:v>
                </c:pt>
                <c:pt idx="144">
                  <c:v>92</c:v>
                </c:pt>
                <c:pt idx="145">
                  <c:v>92.1</c:v>
                </c:pt>
                <c:pt idx="146">
                  <c:v>92.3</c:v>
                </c:pt>
                <c:pt idx="147">
                  <c:v>92.6</c:v>
                </c:pt>
                <c:pt idx="148">
                  <c:v>93.1</c:v>
                </c:pt>
                <c:pt idx="149">
                  <c:v>93.3</c:v>
                </c:pt>
                <c:pt idx="150">
                  <c:v>93.5</c:v>
                </c:pt>
                <c:pt idx="151">
                  <c:v>93.7</c:v>
                </c:pt>
                <c:pt idx="152">
                  <c:v>93.7</c:v>
                </c:pt>
                <c:pt idx="153">
                  <c:v>94.5</c:v>
                </c:pt>
                <c:pt idx="154">
                  <c:v>94.9</c:v>
                </c:pt>
                <c:pt idx="155">
                  <c:v>95.2</c:v>
                </c:pt>
                <c:pt idx="156">
                  <c:v>95.4</c:v>
                </c:pt>
                <c:pt idx="157">
                  <c:v>95.6</c:v>
                </c:pt>
                <c:pt idx="158">
                  <c:v>96.3</c:v>
                </c:pt>
                <c:pt idx="159">
                  <c:v>97.1</c:v>
                </c:pt>
                <c:pt idx="160">
                  <c:v>97.3</c:v>
                </c:pt>
                <c:pt idx="161">
                  <c:v>99.1</c:v>
                </c:pt>
                <c:pt idx="162">
                  <c:v>99.9</c:v>
                </c:pt>
                <c:pt idx="163">
                  <c:v>100</c:v>
                </c:pt>
                <c:pt idx="164">
                  <c:v>100.3</c:v>
                </c:pt>
                <c:pt idx="165">
                  <c:v>100.5</c:v>
                </c:pt>
                <c:pt idx="166">
                  <c:v>101.6</c:v>
                </c:pt>
                <c:pt idx="167">
                  <c:v>102.4</c:v>
                </c:pt>
                <c:pt idx="168">
                  <c:v>102.4</c:v>
                </c:pt>
                <c:pt idx="169">
                  <c:v>102.6</c:v>
                </c:pt>
                <c:pt idx="170">
                  <c:v>102.8</c:v>
                </c:pt>
                <c:pt idx="171">
                  <c:v>103.3</c:v>
                </c:pt>
                <c:pt idx="172">
                  <c:v>103.8</c:v>
                </c:pt>
                <c:pt idx="173">
                  <c:v>105.2</c:v>
                </c:pt>
                <c:pt idx="174">
                  <c:v>105.5</c:v>
                </c:pt>
                <c:pt idx="175">
                  <c:v>106.9</c:v>
                </c:pt>
                <c:pt idx="176">
                  <c:v>107</c:v>
                </c:pt>
                <c:pt idx="177">
                  <c:v>107.3</c:v>
                </c:pt>
                <c:pt idx="178">
                  <c:v>108.1</c:v>
                </c:pt>
                <c:pt idx="179">
                  <c:v>108.2</c:v>
                </c:pt>
                <c:pt idx="180">
                  <c:v>108.4</c:v>
                </c:pt>
                <c:pt idx="181">
                  <c:v>108.4</c:v>
                </c:pt>
                <c:pt idx="182">
                  <c:v>108.5</c:v>
                </c:pt>
                <c:pt idx="183">
                  <c:v>108.7</c:v>
                </c:pt>
                <c:pt idx="184">
                  <c:v>109.5</c:v>
                </c:pt>
                <c:pt idx="185">
                  <c:v>111.3</c:v>
                </c:pt>
                <c:pt idx="186">
                  <c:v>112.1</c:v>
                </c:pt>
                <c:pt idx="187">
                  <c:v>113.8</c:v>
                </c:pt>
                <c:pt idx="188">
                  <c:v>113.9</c:v>
                </c:pt>
                <c:pt idx="189">
                  <c:v>114.8</c:v>
                </c:pt>
                <c:pt idx="190">
                  <c:v>115.3</c:v>
                </c:pt>
                <c:pt idx="191">
                  <c:v>115.7</c:v>
                </c:pt>
                <c:pt idx="192">
                  <c:v>115.7</c:v>
                </c:pt>
                <c:pt idx="193">
                  <c:v>116.6</c:v>
                </c:pt>
                <c:pt idx="194">
                  <c:v>116.7</c:v>
                </c:pt>
                <c:pt idx="195">
                  <c:v>117.1</c:v>
                </c:pt>
                <c:pt idx="196">
                  <c:v>117.6</c:v>
                </c:pt>
                <c:pt idx="197">
                  <c:v>117.7</c:v>
                </c:pt>
                <c:pt idx="198">
                  <c:v>117.8</c:v>
                </c:pt>
                <c:pt idx="199">
                  <c:v>118.1</c:v>
                </c:pt>
                <c:pt idx="200">
                  <c:v>118.9</c:v>
                </c:pt>
                <c:pt idx="201">
                  <c:v>120.7</c:v>
                </c:pt>
                <c:pt idx="202">
                  <c:v>122.9</c:v>
                </c:pt>
                <c:pt idx="203">
                  <c:v>124.1</c:v>
                </c:pt>
                <c:pt idx="204">
                  <c:v>126.9</c:v>
                </c:pt>
                <c:pt idx="205">
                  <c:v>137.9</c:v>
                </c:pt>
                <c:pt idx="206">
                  <c:v>141.5</c:v>
                </c:pt>
                <c:pt idx="207">
                  <c:v>145.30000000000001</c:v>
                </c:pt>
                <c:pt idx="208">
                  <c:v>163.19999999999999</c:v>
                </c:pt>
                <c:pt idx="209">
                  <c:v>171.8</c:v>
                </c:pt>
                <c:pt idx="210">
                  <c:v>191.1</c:v>
                </c:pt>
                <c:pt idx="211">
                  <c:v>204.4</c:v>
                </c:pt>
              </c:numCache>
            </c:numRef>
          </c:val>
          <c:extLst>
            <c:ext xmlns:c16="http://schemas.microsoft.com/office/drawing/2014/chart" uri="{C3380CC4-5D6E-409C-BE32-E72D297353CC}">
              <c16:uniqueId val="{00000002-E767-4E56-BF4D-5CFC4A570A75}"/>
            </c:ext>
          </c:extLst>
        </c:ser>
        <c:dLbls>
          <c:showLegendKey val="0"/>
          <c:showVal val="0"/>
          <c:showCatName val="0"/>
          <c:showSerName val="0"/>
          <c:showPercent val="0"/>
          <c:showBubbleSize val="0"/>
        </c:dLbls>
        <c:gapWidth val="150"/>
        <c:axId val="29846144"/>
        <c:axId val="32641792"/>
      </c:barChart>
      <c:catAx>
        <c:axId val="29846144"/>
        <c:scaling>
          <c:orientation val="minMax"/>
        </c:scaling>
        <c:delete val="1"/>
        <c:axPos val="b"/>
        <c:title>
          <c:tx>
            <c:rich>
              <a:bodyPr/>
              <a:lstStyle/>
              <a:p>
                <a:pPr>
                  <a:defRPr/>
                </a:pPr>
                <a:r>
                  <a:rPr lang="en-US"/>
                  <a:t>CCGs</a:t>
                </a:r>
              </a:p>
            </c:rich>
          </c:tx>
          <c:layout>
            <c:manualLayout>
              <c:xMode val="edge"/>
              <c:yMode val="edge"/>
              <c:x val="0.51229774387009919"/>
              <c:y val="0.93678805774278218"/>
            </c:manualLayout>
          </c:layout>
          <c:overlay val="0"/>
        </c:title>
        <c:numFmt formatCode="General" sourceLinked="0"/>
        <c:majorTickMark val="out"/>
        <c:minorTickMark val="none"/>
        <c:tickLblPos val="nextTo"/>
        <c:crossAx val="32641792"/>
        <c:crosses val="autoZero"/>
        <c:auto val="1"/>
        <c:lblAlgn val="ctr"/>
        <c:lblOffset val="100"/>
        <c:noMultiLvlLbl val="0"/>
      </c:catAx>
      <c:valAx>
        <c:axId val="32641792"/>
        <c:scaling>
          <c:orientation val="minMax"/>
        </c:scaling>
        <c:delete val="0"/>
        <c:axPos val="l"/>
        <c:majorGridlines/>
        <c:title>
          <c:tx>
            <c:strRef>
              <c:f>Output!$Q$2</c:f>
              <c:strCache>
                <c:ptCount val="1"/>
                <c:pt idx="0">
                  <c:v>Directly Standardised Rate, per 1000</c:v>
                </c:pt>
              </c:strCache>
            </c:strRef>
          </c:tx>
          <c:layout>
            <c:manualLayout>
              <c:xMode val="edge"/>
              <c:yMode val="edge"/>
              <c:x val="1.0362694300518135E-2"/>
              <c:y val="0.21047298775153106"/>
            </c:manualLayout>
          </c:layout>
          <c:overlay val="0"/>
          <c:txPr>
            <a:bodyPr rot="-5400000" vert="horz"/>
            <a:lstStyle/>
            <a:p>
              <a:pPr>
                <a:defRPr/>
              </a:pPr>
              <a:endParaRPr lang="en-US"/>
            </a:p>
          </c:txPr>
        </c:title>
        <c:numFmt formatCode="#,##0" sourceLinked="0"/>
        <c:majorTickMark val="out"/>
        <c:minorTickMark val="none"/>
        <c:tickLblPos val="nextTo"/>
        <c:crossAx val="2984614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28575" cap="rnd" cmpd="sng" algn="ctr">
              <a:noFill/>
              <a:prstDash val="solid"/>
              <a:round/>
            </a:ln>
            <a:effectLst/>
          </c:spPr>
          <c:marker>
            <c:symbol val="diamond"/>
            <c:size val="7"/>
            <c:spPr>
              <a:solidFill>
                <a:schemeClr val="accent1"/>
              </a:solidFill>
              <a:ln w="9525" cap="flat" cmpd="sng" algn="ctr">
                <a:solidFill>
                  <a:schemeClr val="accent1">
                    <a:shade val="95000"/>
                    <a:satMod val="105000"/>
                  </a:schemeClr>
                </a:solidFill>
                <a:prstDash val="solid"/>
                <a:round/>
              </a:ln>
              <a:effectLst/>
            </c:spPr>
          </c:marker>
          <c:xVal>
            <c:numRef>
              <c:f>'Sample data'!$O$52:$O$262</c:f>
              <c:numCache>
                <c:formatCode>General</c:formatCode>
                <c:ptCount val="211"/>
                <c:pt idx="0">
                  <c:v>52</c:v>
                </c:pt>
                <c:pt idx="1">
                  <c:v>194</c:v>
                </c:pt>
                <c:pt idx="2">
                  <c:v>159</c:v>
                </c:pt>
                <c:pt idx="3">
                  <c:v>87</c:v>
                </c:pt>
                <c:pt idx="4">
                  <c:v>98</c:v>
                </c:pt>
                <c:pt idx="5">
                  <c:v>159</c:v>
                </c:pt>
                <c:pt idx="6">
                  <c:v>184</c:v>
                </c:pt>
                <c:pt idx="7">
                  <c:v>153</c:v>
                </c:pt>
                <c:pt idx="8">
                  <c:v>231</c:v>
                </c:pt>
                <c:pt idx="9">
                  <c:v>133</c:v>
                </c:pt>
                <c:pt idx="10">
                  <c:v>256</c:v>
                </c:pt>
                <c:pt idx="11">
                  <c:v>114</c:v>
                </c:pt>
                <c:pt idx="12">
                  <c:v>134</c:v>
                </c:pt>
                <c:pt idx="13">
                  <c:v>199</c:v>
                </c:pt>
                <c:pt idx="14">
                  <c:v>150</c:v>
                </c:pt>
                <c:pt idx="15">
                  <c:v>185</c:v>
                </c:pt>
                <c:pt idx="16">
                  <c:v>138</c:v>
                </c:pt>
                <c:pt idx="17">
                  <c:v>200</c:v>
                </c:pt>
                <c:pt idx="18">
                  <c:v>235</c:v>
                </c:pt>
                <c:pt idx="19">
                  <c:v>84</c:v>
                </c:pt>
                <c:pt idx="20">
                  <c:v>180</c:v>
                </c:pt>
                <c:pt idx="21">
                  <c:v>138</c:v>
                </c:pt>
                <c:pt idx="22">
                  <c:v>63</c:v>
                </c:pt>
                <c:pt idx="23">
                  <c:v>214</c:v>
                </c:pt>
                <c:pt idx="24">
                  <c:v>282</c:v>
                </c:pt>
                <c:pt idx="25">
                  <c:v>151</c:v>
                </c:pt>
                <c:pt idx="26">
                  <c:v>73</c:v>
                </c:pt>
                <c:pt idx="27">
                  <c:v>191</c:v>
                </c:pt>
                <c:pt idx="28">
                  <c:v>151</c:v>
                </c:pt>
                <c:pt idx="29">
                  <c:v>82</c:v>
                </c:pt>
                <c:pt idx="30">
                  <c:v>156</c:v>
                </c:pt>
                <c:pt idx="31">
                  <c:v>73</c:v>
                </c:pt>
                <c:pt idx="32">
                  <c:v>236</c:v>
                </c:pt>
                <c:pt idx="33">
                  <c:v>204</c:v>
                </c:pt>
                <c:pt idx="34">
                  <c:v>159</c:v>
                </c:pt>
                <c:pt idx="35">
                  <c:v>142</c:v>
                </c:pt>
                <c:pt idx="36">
                  <c:v>52</c:v>
                </c:pt>
                <c:pt idx="37">
                  <c:v>91</c:v>
                </c:pt>
                <c:pt idx="38">
                  <c:v>158</c:v>
                </c:pt>
                <c:pt idx="39">
                  <c:v>94</c:v>
                </c:pt>
                <c:pt idx="40">
                  <c:v>258</c:v>
                </c:pt>
                <c:pt idx="41">
                  <c:v>95</c:v>
                </c:pt>
                <c:pt idx="42">
                  <c:v>63</c:v>
                </c:pt>
                <c:pt idx="43">
                  <c:v>189</c:v>
                </c:pt>
                <c:pt idx="44">
                  <c:v>47</c:v>
                </c:pt>
                <c:pt idx="45">
                  <c:v>190</c:v>
                </c:pt>
                <c:pt idx="46">
                  <c:v>118</c:v>
                </c:pt>
                <c:pt idx="47">
                  <c:v>151</c:v>
                </c:pt>
                <c:pt idx="48">
                  <c:v>69</c:v>
                </c:pt>
                <c:pt idx="49">
                  <c:v>182</c:v>
                </c:pt>
                <c:pt idx="50">
                  <c:v>126</c:v>
                </c:pt>
                <c:pt idx="51">
                  <c:v>156</c:v>
                </c:pt>
                <c:pt idx="52">
                  <c:v>177</c:v>
                </c:pt>
                <c:pt idx="53">
                  <c:v>80</c:v>
                </c:pt>
                <c:pt idx="54">
                  <c:v>59</c:v>
                </c:pt>
                <c:pt idx="55">
                  <c:v>200</c:v>
                </c:pt>
                <c:pt idx="56">
                  <c:v>202</c:v>
                </c:pt>
                <c:pt idx="57">
                  <c:v>129</c:v>
                </c:pt>
                <c:pt idx="58">
                  <c:v>119</c:v>
                </c:pt>
                <c:pt idx="59">
                  <c:v>62</c:v>
                </c:pt>
                <c:pt idx="60">
                  <c:v>163</c:v>
                </c:pt>
                <c:pt idx="61">
                  <c:v>71</c:v>
                </c:pt>
                <c:pt idx="62">
                  <c:v>425</c:v>
                </c:pt>
                <c:pt idx="63">
                  <c:v>140</c:v>
                </c:pt>
                <c:pt idx="64">
                  <c:v>171</c:v>
                </c:pt>
                <c:pt idx="65">
                  <c:v>91</c:v>
                </c:pt>
                <c:pt idx="66">
                  <c:v>23</c:v>
                </c:pt>
                <c:pt idx="67">
                  <c:v>117</c:v>
                </c:pt>
                <c:pt idx="68">
                  <c:v>49</c:v>
                </c:pt>
                <c:pt idx="69">
                  <c:v>71</c:v>
                </c:pt>
                <c:pt idx="70">
                  <c:v>253</c:v>
                </c:pt>
                <c:pt idx="71">
                  <c:v>154</c:v>
                </c:pt>
                <c:pt idx="72">
                  <c:v>115</c:v>
                </c:pt>
                <c:pt idx="73">
                  <c:v>88</c:v>
                </c:pt>
                <c:pt idx="74">
                  <c:v>256</c:v>
                </c:pt>
                <c:pt idx="75">
                  <c:v>50</c:v>
                </c:pt>
                <c:pt idx="76">
                  <c:v>169</c:v>
                </c:pt>
                <c:pt idx="77">
                  <c:v>257</c:v>
                </c:pt>
                <c:pt idx="78">
                  <c:v>77</c:v>
                </c:pt>
                <c:pt idx="79">
                  <c:v>53</c:v>
                </c:pt>
                <c:pt idx="80">
                  <c:v>66</c:v>
                </c:pt>
                <c:pt idx="81">
                  <c:v>54</c:v>
                </c:pt>
                <c:pt idx="82">
                  <c:v>226</c:v>
                </c:pt>
                <c:pt idx="83">
                  <c:v>179</c:v>
                </c:pt>
                <c:pt idx="84">
                  <c:v>188</c:v>
                </c:pt>
                <c:pt idx="85">
                  <c:v>112</c:v>
                </c:pt>
                <c:pt idx="86">
                  <c:v>257</c:v>
                </c:pt>
                <c:pt idx="87">
                  <c:v>204</c:v>
                </c:pt>
                <c:pt idx="88">
                  <c:v>75</c:v>
                </c:pt>
                <c:pt idx="89">
                  <c:v>88</c:v>
                </c:pt>
                <c:pt idx="90">
                  <c:v>121</c:v>
                </c:pt>
                <c:pt idx="91">
                  <c:v>80</c:v>
                </c:pt>
                <c:pt idx="92">
                  <c:v>74</c:v>
                </c:pt>
                <c:pt idx="93">
                  <c:v>352</c:v>
                </c:pt>
                <c:pt idx="94">
                  <c:v>129</c:v>
                </c:pt>
                <c:pt idx="95">
                  <c:v>140</c:v>
                </c:pt>
                <c:pt idx="96">
                  <c:v>121</c:v>
                </c:pt>
                <c:pt idx="97">
                  <c:v>124</c:v>
                </c:pt>
                <c:pt idx="98">
                  <c:v>105</c:v>
                </c:pt>
                <c:pt idx="99">
                  <c:v>50</c:v>
                </c:pt>
                <c:pt idx="100">
                  <c:v>237</c:v>
                </c:pt>
                <c:pt idx="101">
                  <c:v>103</c:v>
                </c:pt>
                <c:pt idx="102">
                  <c:v>220</c:v>
                </c:pt>
                <c:pt idx="103">
                  <c:v>194</c:v>
                </c:pt>
                <c:pt idx="104">
                  <c:v>39</c:v>
                </c:pt>
                <c:pt idx="105">
                  <c:v>179</c:v>
                </c:pt>
                <c:pt idx="106">
                  <c:v>372</c:v>
                </c:pt>
                <c:pt idx="107">
                  <c:v>191</c:v>
                </c:pt>
                <c:pt idx="108">
                  <c:v>162</c:v>
                </c:pt>
                <c:pt idx="109">
                  <c:v>115</c:v>
                </c:pt>
                <c:pt idx="110">
                  <c:v>207</c:v>
                </c:pt>
                <c:pt idx="111">
                  <c:v>84</c:v>
                </c:pt>
                <c:pt idx="112">
                  <c:v>158</c:v>
                </c:pt>
                <c:pt idx="113">
                  <c:v>174</c:v>
                </c:pt>
                <c:pt idx="114">
                  <c:v>80</c:v>
                </c:pt>
                <c:pt idx="115">
                  <c:v>123</c:v>
                </c:pt>
                <c:pt idx="116">
                  <c:v>122</c:v>
                </c:pt>
                <c:pt idx="117">
                  <c:v>107</c:v>
                </c:pt>
                <c:pt idx="118">
                  <c:v>133</c:v>
                </c:pt>
                <c:pt idx="119">
                  <c:v>87</c:v>
                </c:pt>
                <c:pt idx="120">
                  <c:v>98</c:v>
                </c:pt>
                <c:pt idx="121">
                  <c:v>110</c:v>
                </c:pt>
                <c:pt idx="122">
                  <c:v>193</c:v>
                </c:pt>
                <c:pt idx="123">
                  <c:v>87</c:v>
                </c:pt>
                <c:pt idx="124">
                  <c:v>195</c:v>
                </c:pt>
                <c:pt idx="125">
                  <c:v>132</c:v>
                </c:pt>
                <c:pt idx="126">
                  <c:v>161</c:v>
                </c:pt>
                <c:pt idx="127">
                  <c:v>185</c:v>
                </c:pt>
                <c:pt idx="128">
                  <c:v>205</c:v>
                </c:pt>
                <c:pt idx="129">
                  <c:v>235</c:v>
                </c:pt>
                <c:pt idx="130">
                  <c:v>182</c:v>
                </c:pt>
                <c:pt idx="131">
                  <c:v>174</c:v>
                </c:pt>
                <c:pt idx="132">
                  <c:v>134</c:v>
                </c:pt>
                <c:pt idx="133">
                  <c:v>106</c:v>
                </c:pt>
                <c:pt idx="134">
                  <c:v>221</c:v>
                </c:pt>
                <c:pt idx="135">
                  <c:v>94</c:v>
                </c:pt>
                <c:pt idx="136">
                  <c:v>140</c:v>
                </c:pt>
                <c:pt idx="137">
                  <c:v>129</c:v>
                </c:pt>
                <c:pt idx="138">
                  <c:v>186</c:v>
                </c:pt>
                <c:pt idx="139">
                  <c:v>86</c:v>
                </c:pt>
                <c:pt idx="140">
                  <c:v>169</c:v>
                </c:pt>
                <c:pt idx="141">
                  <c:v>144</c:v>
                </c:pt>
                <c:pt idx="142">
                  <c:v>173</c:v>
                </c:pt>
                <c:pt idx="143">
                  <c:v>155</c:v>
                </c:pt>
                <c:pt idx="144">
                  <c:v>92</c:v>
                </c:pt>
                <c:pt idx="145">
                  <c:v>169</c:v>
                </c:pt>
                <c:pt idx="146">
                  <c:v>77</c:v>
                </c:pt>
                <c:pt idx="147">
                  <c:v>108</c:v>
                </c:pt>
                <c:pt idx="148">
                  <c:v>134</c:v>
                </c:pt>
                <c:pt idx="149">
                  <c:v>131</c:v>
                </c:pt>
                <c:pt idx="150">
                  <c:v>119</c:v>
                </c:pt>
                <c:pt idx="151">
                  <c:v>223</c:v>
                </c:pt>
                <c:pt idx="152">
                  <c:v>145</c:v>
                </c:pt>
                <c:pt idx="153">
                  <c:v>45</c:v>
                </c:pt>
                <c:pt idx="154">
                  <c:v>250</c:v>
                </c:pt>
                <c:pt idx="155">
                  <c:v>78</c:v>
                </c:pt>
                <c:pt idx="156">
                  <c:v>89</c:v>
                </c:pt>
                <c:pt idx="157">
                  <c:v>202</c:v>
                </c:pt>
                <c:pt idx="158">
                  <c:v>50</c:v>
                </c:pt>
                <c:pt idx="159">
                  <c:v>106</c:v>
                </c:pt>
                <c:pt idx="160">
                  <c:v>63</c:v>
                </c:pt>
                <c:pt idx="161">
                  <c:v>80</c:v>
                </c:pt>
                <c:pt idx="162">
                  <c:v>142</c:v>
                </c:pt>
                <c:pt idx="163">
                  <c:v>177</c:v>
                </c:pt>
                <c:pt idx="164">
                  <c:v>70</c:v>
                </c:pt>
                <c:pt idx="165">
                  <c:v>121</c:v>
                </c:pt>
                <c:pt idx="166">
                  <c:v>104</c:v>
                </c:pt>
                <c:pt idx="167">
                  <c:v>32</c:v>
                </c:pt>
                <c:pt idx="168">
                  <c:v>60</c:v>
                </c:pt>
                <c:pt idx="169">
                  <c:v>76</c:v>
                </c:pt>
                <c:pt idx="170">
                  <c:v>46</c:v>
                </c:pt>
                <c:pt idx="171">
                  <c:v>105</c:v>
                </c:pt>
                <c:pt idx="172">
                  <c:v>79</c:v>
                </c:pt>
                <c:pt idx="173">
                  <c:v>99</c:v>
                </c:pt>
                <c:pt idx="174">
                  <c:v>76</c:v>
                </c:pt>
                <c:pt idx="175">
                  <c:v>40</c:v>
                </c:pt>
                <c:pt idx="176">
                  <c:v>32</c:v>
                </c:pt>
                <c:pt idx="177">
                  <c:v>316</c:v>
                </c:pt>
                <c:pt idx="178">
                  <c:v>110</c:v>
                </c:pt>
                <c:pt idx="179">
                  <c:v>38</c:v>
                </c:pt>
                <c:pt idx="180">
                  <c:v>126</c:v>
                </c:pt>
                <c:pt idx="181">
                  <c:v>72</c:v>
                </c:pt>
                <c:pt idx="182">
                  <c:v>159</c:v>
                </c:pt>
                <c:pt idx="183">
                  <c:v>49</c:v>
                </c:pt>
                <c:pt idx="184">
                  <c:v>181</c:v>
                </c:pt>
                <c:pt idx="185">
                  <c:v>52</c:v>
                </c:pt>
                <c:pt idx="186">
                  <c:v>37</c:v>
                </c:pt>
                <c:pt idx="187">
                  <c:v>94</c:v>
                </c:pt>
                <c:pt idx="188">
                  <c:v>238</c:v>
                </c:pt>
                <c:pt idx="189">
                  <c:v>379</c:v>
                </c:pt>
                <c:pt idx="190">
                  <c:v>341</c:v>
                </c:pt>
                <c:pt idx="191">
                  <c:v>304</c:v>
                </c:pt>
                <c:pt idx="192">
                  <c:v>101</c:v>
                </c:pt>
                <c:pt idx="193">
                  <c:v>285</c:v>
                </c:pt>
                <c:pt idx="194">
                  <c:v>87</c:v>
                </c:pt>
                <c:pt idx="195">
                  <c:v>92</c:v>
                </c:pt>
                <c:pt idx="196">
                  <c:v>278</c:v>
                </c:pt>
                <c:pt idx="197">
                  <c:v>428</c:v>
                </c:pt>
                <c:pt idx="198">
                  <c:v>474</c:v>
                </c:pt>
                <c:pt idx="199">
                  <c:v>136</c:v>
                </c:pt>
                <c:pt idx="200">
                  <c:v>41</c:v>
                </c:pt>
                <c:pt idx="201">
                  <c:v>158</c:v>
                </c:pt>
                <c:pt idx="202">
                  <c:v>72</c:v>
                </c:pt>
                <c:pt idx="203">
                  <c:v>162</c:v>
                </c:pt>
                <c:pt idx="204">
                  <c:v>95</c:v>
                </c:pt>
                <c:pt idx="205">
                  <c:v>193</c:v>
                </c:pt>
                <c:pt idx="206">
                  <c:v>88</c:v>
                </c:pt>
                <c:pt idx="207">
                  <c:v>83</c:v>
                </c:pt>
                <c:pt idx="208">
                  <c:v>182</c:v>
                </c:pt>
                <c:pt idx="209">
                  <c:v>473</c:v>
                </c:pt>
                <c:pt idx="210">
                  <c:v>126</c:v>
                </c:pt>
              </c:numCache>
            </c:numRef>
          </c:xVal>
          <c:yVal>
            <c:numRef>
              <c:f>'Sample data'!$P$52:$P$262</c:f>
              <c:numCache>
                <c:formatCode>0.00</c:formatCode>
                <c:ptCount val="211"/>
                <c:pt idx="0">
                  <c:v>0.44921132328846652</c:v>
                </c:pt>
                <c:pt idx="1">
                  <c:v>0.33408914546631224</c:v>
                </c:pt>
                <c:pt idx="2">
                  <c:v>0.3474532705484259</c:v>
                </c:pt>
                <c:pt idx="3">
                  <c:v>0.52411476891030406</c:v>
                </c:pt>
                <c:pt idx="4">
                  <c:v>0.38027770256485938</c:v>
                </c:pt>
                <c:pt idx="5">
                  <c:v>0.46003499873060411</c:v>
                </c:pt>
                <c:pt idx="6">
                  <c:v>0.4411599534565821</c:v>
                </c:pt>
                <c:pt idx="7">
                  <c:v>0.49319056794773014</c:v>
                </c:pt>
                <c:pt idx="8">
                  <c:v>0.45110237947864923</c:v>
                </c:pt>
                <c:pt idx="9">
                  <c:v>0.38367033834228093</c:v>
                </c:pt>
                <c:pt idx="10">
                  <c:v>0.36327046826985354</c:v>
                </c:pt>
                <c:pt idx="11">
                  <c:v>0.41626654017491715</c:v>
                </c:pt>
                <c:pt idx="12">
                  <c:v>0.38952403638478916</c:v>
                </c:pt>
                <c:pt idx="13">
                  <c:v>0.43712872994885094</c:v>
                </c:pt>
                <c:pt idx="14">
                  <c:v>0.48229080076038644</c:v>
                </c:pt>
                <c:pt idx="15">
                  <c:v>0.40491819811555535</c:v>
                </c:pt>
                <c:pt idx="16">
                  <c:v>0.48464229356836858</c:v>
                </c:pt>
                <c:pt idx="17">
                  <c:v>0.4571159093815943</c:v>
                </c:pt>
                <c:pt idx="18">
                  <c:v>0.38857722370931275</c:v>
                </c:pt>
                <c:pt idx="19">
                  <c:v>0.62398316212441907</c:v>
                </c:pt>
                <c:pt idx="20">
                  <c:v>0.4512834506921663</c:v>
                </c:pt>
                <c:pt idx="21">
                  <c:v>0.43971068341094471</c:v>
                </c:pt>
                <c:pt idx="22">
                  <c:v>0.39590205293459407</c:v>
                </c:pt>
                <c:pt idx="23">
                  <c:v>0.43298145151161882</c:v>
                </c:pt>
                <c:pt idx="24">
                  <c:v>0.47222440257384307</c:v>
                </c:pt>
                <c:pt idx="25">
                  <c:v>0.22486504987798306</c:v>
                </c:pt>
                <c:pt idx="26">
                  <c:v>0.51207451943416527</c:v>
                </c:pt>
                <c:pt idx="27">
                  <c:v>0.33577021927370071</c:v>
                </c:pt>
                <c:pt idx="28">
                  <c:v>0.48394331530637752</c:v>
                </c:pt>
                <c:pt idx="29">
                  <c:v>0.57219609878538713</c:v>
                </c:pt>
                <c:pt idx="30">
                  <c:v>0.3798170094983695</c:v>
                </c:pt>
                <c:pt idx="31">
                  <c:v>0.49874959843381705</c:v>
                </c:pt>
                <c:pt idx="32">
                  <c:v>0.43379760393196309</c:v>
                </c:pt>
                <c:pt idx="33">
                  <c:v>0.41168838844141481</c:v>
                </c:pt>
                <c:pt idx="34">
                  <c:v>0.42213205068505788</c:v>
                </c:pt>
                <c:pt idx="35">
                  <c:v>0.52725158446918374</c:v>
                </c:pt>
                <c:pt idx="36">
                  <c:v>0.41209069403892412</c:v>
                </c:pt>
                <c:pt idx="37">
                  <c:v>0.54067990924581222</c:v>
                </c:pt>
                <c:pt idx="38">
                  <c:v>0.55645530281792366</c:v>
                </c:pt>
                <c:pt idx="39">
                  <c:v>0.45803153996288493</c:v>
                </c:pt>
                <c:pt idx="40">
                  <c:v>0.42570563176251108</c:v>
                </c:pt>
                <c:pt idx="41">
                  <c:v>0.4242362332170263</c:v>
                </c:pt>
                <c:pt idx="42">
                  <c:v>0.50009205935386858</c:v>
                </c:pt>
                <c:pt idx="43">
                  <c:v>0.39536791609426147</c:v>
                </c:pt>
                <c:pt idx="44">
                  <c:v>0.50195460580661322</c:v>
                </c:pt>
                <c:pt idx="45">
                  <c:v>0.46304312942996284</c:v>
                </c:pt>
                <c:pt idx="46">
                  <c:v>0.5577645724979402</c:v>
                </c:pt>
                <c:pt idx="47">
                  <c:v>0.5942681269152853</c:v>
                </c:pt>
                <c:pt idx="48">
                  <c:v>0.30856929447843967</c:v>
                </c:pt>
                <c:pt idx="49">
                  <c:v>0.43417539449926423</c:v>
                </c:pt>
                <c:pt idx="50">
                  <c:v>0.56658331795558303</c:v>
                </c:pt>
                <c:pt idx="51">
                  <c:v>0.5328146720704019</c:v>
                </c:pt>
                <c:pt idx="52">
                  <c:v>0.54707451994197576</c:v>
                </c:pt>
                <c:pt idx="53">
                  <c:v>0.65318672122276189</c:v>
                </c:pt>
                <c:pt idx="54">
                  <c:v>0.61855775520394152</c:v>
                </c:pt>
                <c:pt idx="55">
                  <c:v>0.45014482743365553</c:v>
                </c:pt>
                <c:pt idx="56">
                  <c:v>0.39795922291189806</c:v>
                </c:pt>
                <c:pt idx="57">
                  <c:v>0.4764128981853693</c:v>
                </c:pt>
                <c:pt idx="58">
                  <c:v>0.48316002030514332</c:v>
                </c:pt>
                <c:pt idx="59">
                  <c:v>0.52520834096488</c:v>
                </c:pt>
                <c:pt idx="60">
                  <c:v>0.45549311034369344</c:v>
                </c:pt>
                <c:pt idx="61">
                  <c:v>0.5683382973847686</c:v>
                </c:pt>
                <c:pt idx="62">
                  <c:v>0.48636765283762301</c:v>
                </c:pt>
                <c:pt idx="63">
                  <c:v>0.60850633966153256</c:v>
                </c:pt>
                <c:pt idx="64">
                  <c:v>0.40449619787802499</c:v>
                </c:pt>
                <c:pt idx="65">
                  <c:v>0.51990879220207886</c:v>
                </c:pt>
                <c:pt idx="66">
                  <c:v>0.39297285053357806</c:v>
                </c:pt>
                <c:pt idx="67">
                  <c:v>0.58239926441811529</c:v>
                </c:pt>
                <c:pt idx="68">
                  <c:v>0.46076654848770721</c:v>
                </c:pt>
                <c:pt idx="69">
                  <c:v>0.43377419201001527</c:v>
                </c:pt>
                <c:pt idx="70">
                  <c:v>0.46933817833614866</c:v>
                </c:pt>
                <c:pt idx="71">
                  <c:v>0.58131030713104492</c:v>
                </c:pt>
                <c:pt idx="72">
                  <c:v>0.44193044150122412</c:v>
                </c:pt>
                <c:pt idx="73">
                  <c:v>0.4231532545591461</c:v>
                </c:pt>
                <c:pt idx="74">
                  <c:v>0.55499969782681624</c:v>
                </c:pt>
                <c:pt idx="75">
                  <c:v>0.5197227719684423</c:v>
                </c:pt>
                <c:pt idx="76">
                  <c:v>0.50104571586135738</c:v>
                </c:pt>
                <c:pt idx="77">
                  <c:v>0.47385677213584143</c:v>
                </c:pt>
                <c:pt idx="78">
                  <c:v>0.52049583012401213</c:v>
                </c:pt>
                <c:pt idx="79">
                  <c:v>0.62619743645180392</c:v>
                </c:pt>
                <c:pt idx="80">
                  <c:v>0.53639977689840579</c:v>
                </c:pt>
                <c:pt idx="81">
                  <c:v>0.55910503800532507</c:v>
                </c:pt>
                <c:pt idx="82">
                  <c:v>0.57125096876150272</c:v>
                </c:pt>
                <c:pt idx="83">
                  <c:v>0.49061568224580238</c:v>
                </c:pt>
                <c:pt idx="84">
                  <c:v>0.52477044997547428</c:v>
                </c:pt>
                <c:pt idx="85">
                  <c:v>0.40186147165493979</c:v>
                </c:pt>
                <c:pt idx="86">
                  <c:v>0.50523703634015626</c:v>
                </c:pt>
                <c:pt idx="87">
                  <c:v>0.41378659681339947</c:v>
                </c:pt>
                <c:pt idx="88">
                  <c:v>0.5307302945118707</c:v>
                </c:pt>
                <c:pt idx="89">
                  <c:v>0.53468055081760724</c:v>
                </c:pt>
                <c:pt idx="90">
                  <c:v>0.49078609580124949</c:v>
                </c:pt>
                <c:pt idx="91">
                  <c:v>0.45045530317900945</c:v>
                </c:pt>
                <c:pt idx="92">
                  <c:v>0.5500199260760813</c:v>
                </c:pt>
                <c:pt idx="93">
                  <c:v>0.42146410136164952</c:v>
                </c:pt>
                <c:pt idx="94">
                  <c:v>0.51377979114832661</c:v>
                </c:pt>
                <c:pt idx="95">
                  <c:v>0.52122294018191972</c:v>
                </c:pt>
                <c:pt idx="96">
                  <c:v>0.48948690072061862</c:v>
                </c:pt>
                <c:pt idx="97">
                  <c:v>0.63915220900420444</c:v>
                </c:pt>
                <c:pt idx="98">
                  <c:v>0.53418617599730778</c:v>
                </c:pt>
                <c:pt idx="99">
                  <c:v>0.48824203360898349</c:v>
                </c:pt>
                <c:pt idx="100">
                  <c:v>0.39055561781219367</c:v>
                </c:pt>
                <c:pt idx="101">
                  <c:v>0.5175016375039061</c:v>
                </c:pt>
                <c:pt idx="102">
                  <c:v>0.38591318260697194</c:v>
                </c:pt>
                <c:pt idx="103">
                  <c:v>0.48962091916929068</c:v>
                </c:pt>
                <c:pt idx="104">
                  <c:v>0.54121987909949365</c:v>
                </c:pt>
                <c:pt idx="105">
                  <c:v>0.53175639564414978</c:v>
                </c:pt>
                <c:pt idx="106">
                  <c:v>0.61590158367764525</c:v>
                </c:pt>
                <c:pt idx="107">
                  <c:v>0.52182126413543606</c:v>
                </c:pt>
                <c:pt idx="108">
                  <c:v>0.54979772054145015</c:v>
                </c:pt>
                <c:pt idx="109">
                  <c:v>0.45883488262604649</c:v>
                </c:pt>
                <c:pt idx="110">
                  <c:v>0.59361163581540055</c:v>
                </c:pt>
                <c:pt idx="111">
                  <c:v>0.29208344511040102</c:v>
                </c:pt>
                <c:pt idx="112">
                  <c:v>0.55872110821300658</c:v>
                </c:pt>
                <c:pt idx="113">
                  <c:v>0.5204547759424083</c:v>
                </c:pt>
                <c:pt idx="114">
                  <c:v>0.45584634339604663</c:v>
                </c:pt>
                <c:pt idx="115">
                  <c:v>0.53257486869955883</c:v>
                </c:pt>
                <c:pt idx="116">
                  <c:v>0.5516089621721364</c:v>
                </c:pt>
                <c:pt idx="117">
                  <c:v>0.56166861579581906</c:v>
                </c:pt>
                <c:pt idx="118">
                  <c:v>0.55184163855633606</c:v>
                </c:pt>
                <c:pt idx="119">
                  <c:v>0.48814074679747843</c:v>
                </c:pt>
                <c:pt idx="120">
                  <c:v>0.57332925151968506</c:v>
                </c:pt>
                <c:pt idx="121">
                  <c:v>0.39749232113698602</c:v>
                </c:pt>
                <c:pt idx="122">
                  <c:v>0.51141206812162654</c:v>
                </c:pt>
                <c:pt idx="123">
                  <c:v>0.47903965278006966</c:v>
                </c:pt>
                <c:pt idx="124">
                  <c:v>0.40090931587151102</c:v>
                </c:pt>
                <c:pt idx="125">
                  <c:v>0.55634501044903328</c:v>
                </c:pt>
                <c:pt idx="126">
                  <c:v>0.44197160914913874</c:v>
                </c:pt>
                <c:pt idx="127">
                  <c:v>0.45832401484013652</c:v>
                </c:pt>
                <c:pt idx="128">
                  <c:v>0.5348585328075447</c:v>
                </c:pt>
                <c:pt idx="129">
                  <c:v>0.46210963065623134</c:v>
                </c:pt>
                <c:pt idx="130">
                  <c:v>0.505447300583722</c:v>
                </c:pt>
                <c:pt idx="131">
                  <c:v>0.44772360731573058</c:v>
                </c:pt>
                <c:pt idx="132">
                  <c:v>0.42955549741323545</c:v>
                </c:pt>
                <c:pt idx="133">
                  <c:v>0.50769578020517347</c:v>
                </c:pt>
                <c:pt idx="134">
                  <c:v>0.4344397429039541</c:v>
                </c:pt>
                <c:pt idx="135">
                  <c:v>0.56438725102560872</c:v>
                </c:pt>
                <c:pt idx="136">
                  <c:v>0.54186319057631049</c:v>
                </c:pt>
                <c:pt idx="137">
                  <c:v>0.47211019953087308</c:v>
                </c:pt>
                <c:pt idx="138">
                  <c:v>0.50422588318236394</c:v>
                </c:pt>
                <c:pt idx="139">
                  <c:v>0.59658967256757534</c:v>
                </c:pt>
                <c:pt idx="140">
                  <c:v>0.47800994431405996</c:v>
                </c:pt>
                <c:pt idx="141">
                  <c:v>0.49794099092016292</c:v>
                </c:pt>
                <c:pt idx="142">
                  <c:v>0.42566747670251215</c:v>
                </c:pt>
                <c:pt idx="143">
                  <c:v>0.45021818141498576</c:v>
                </c:pt>
                <c:pt idx="144">
                  <c:v>0.63308166131799837</c:v>
                </c:pt>
                <c:pt idx="145">
                  <c:v>0.43416178669444594</c:v>
                </c:pt>
                <c:pt idx="146">
                  <c:v>0.53134027102670933</c:v>
                </c:pt>
                <c:pt idx="147">
                  <c:v>0.55012477555100847</c:v>
                </c:pt>
                <c:pt idx="148">
                  <c:v>0.43434154271710756</c:v>
                </c:pt>
                <c:pt idx="149">
                  <c:v>0.53329313314569993</c:v>
                </c:pt>
                <c:pt idx="150">
                  <c:v>0.63219112428475632</c:v>
                </c:pt>
                <c:pt idx="151">
                  <c:v>0.38709146374168424</c:v>
                </c:pt>
                <c:pt idx="152">
                  <c:v>0.42855131541392771</c:v>
                </c:pt>
                <c:pt idx="153">
                  <c:v>0.41007746863634176</c:v>
                </c:pt>
                <c:pt idx="154">
                  <c:v>0.49747975055554378</c:v>
                </c:pt>
                <c:pt idx="155">
                  <c:v>0.55877968615604023</c:v>
                </c:pt>
                <c:pt idx="156">
                  <c:v>0.4737035887552109</c:v>
                </c:pt>
                <c:pt idx="157">
                  <c:v>0.55506844816661272</c:v>
                </c:pt>
                <c:pt idx="158">
                  <c:v>0.45130402777062506</c:v>
                </c:pt>
                <c:pt idx="159">
                  <c:v>0.56490422597630141</c:v>
                </c:pt>
                <c:pt idx="160">
                  <c:v>0.65859461711994804</c:v>
                </c:pt>
                <c:pt idx="161">
                  <c:v>0.66890014527575503</c:v>
                </c:pt>
                <c:pt idx="162">
                  <c:v>0.49052217480209381</c:v>
                </c:pt>
                <c:pt idx="163">
                  <c:v>0.47586245751830186</c:v>
                </c:pt>
                <c:pt idx="164">
                  <c:v>0.53972832466783438</c:v>
                </c:pt>
                <c:pt idx="165">
                  <c:v>0.49378791619712542</c:v>
                </c:pt>
                <c:pt idx="166">
                  <c:v>0.5353325780008541</c:v>
                </c:pt>
                <c:pt idx="167">
                  <c:v>0.51927400561047088</c:v>
                </c:pt>
                <c:pt idx="168">
                  <c:v>0.38408811119717845</c:v>
                </c:pt>
                <c:pt idx="169">
                  <c:v>0.43435669120619147</c:v>
                </c:pt>
                <c:pt idx="170">
                  <c:v>0.66057887020786088</c:v>
                </c:pt>
                <c:pt idx="171">
                  <c:v>0.60084464008222682</c:v>
                </c:pt>
                <c:pt idx="172">
                  <c:v>0.53386671257006824</c:v>
                </c:pt>
                <c:pt idx="173">
                  <c:v>0.57271412553341927</c:v>
                </c:pt>
                <c:pt idx="174">
                  <c:v>0.48678867056970665</c:v>
                </c:pt>
                <c:pt idx="175">
                  <c:v>0.63822678400098776</c:v>
                </c:pt>
                <c:pt idx="176">
                  <c:v>0.64416467659921006</c:v>
                </c:pt>
                <c:pt idx="177">
                  <c:v>0.58576038142310438</c:v>
                </c:pt>
                <c:pt idx="178">
                  <c:v>0.47487166439310902</c:v>
                </c:pt>
                <c:pt idx="179">
                  <c:v>0.3869890252415169</c:v>
                </c:pt>
                <c:pt idx="180">
                  <c:v>0.62579271070483544</c:v>
                </c:pt>
                <c:pt idx="181">
                  <c:v>0.5110786608184944</c:v>
                </c:pt>
                <c:pt idx="182">
                  <c:v>0.54296833738488592</c:v>
                </c:pt>
                <c:pt idx="183">
                  <c:v>0.53685100370878691</c:v>
                </c:pt>
                <c:pt idx="184">
                  <c:v>0.58539654421349008</c:v>
                </c:pt>
                <c:pt idx="185">
                  <c:v>0.65779317786760394</c:v>
                </c:pt>
                <c:pt idx="186">
                  <c:v>0.61499985687095338</c:v>
                </c:pt>
                <c:pt idx="187">
                  <c:v>0.60531600855245216</c:v>
                </c:pt>
                <c:pt idx="188">
                  <c:v>0.49064640947648519</c:v>
                </c:pt>
                <c:pt idx="189">
                  <c:v>0.54590670949827824</c:v>
                </c:pt>
                <c:pt idx="190">
                  <c:v>0.58708358657852255</c:v>
                </c:pt>
                <c:pt idx="191">
                  <c:v>0.48675785061868149</c:v>
                </c:pt>
                <c:pt idx="192">
                  <c:v>0.45445971515101341</c:v>
                </c:pt>
                <c:pt idx="193">
                  <c:v>0.55929819483913124</c:v>
                </c:pt>
                <c:pt idx="194">
                  <c:v>0.60641726843097521</c:v>
                </c:pt>
                <c:pt idx="195">
                  <c:v>0.51047596923384342</c:v>
                </c:pt>
                <c:pt idx="196">
                  <c:v>0.45866234016939794</c:v>
                </c:pt>
                <c:pt idx="197">
                  <c:v>0.51145726653783907</c:v>
                </c:pt>
                <c:pt idx="198">
                  <c:v>0.31381510998169865</c:v>
                </c:pt>
                <c:pt idx="199">
                  <c:v>0.44713624329468016</c:v>
                </c:pt>
                <c:pt idx="200">
                  <c:v>0.51150988126199892</c:v>
                </c:pt>
                <c:pt idx="201">
                  <c:v>0.47391421427153213</c:v>
                </c:pt>
                <c:pt idx="202">
                  <c:v>0.51688439466580482</c:v>
                </c:pt>
                <c:pt idx="203">
                  <c:v>0.48083327317076852</c:v>
                </c:pt>
                <c:pt idx="204">
                  <c:v>0.58130192162283389</c:v>
                </c:pt>
                <c:pt idx="205">
                  <c:v>0.55545513688709436</c:v>
                </c:pt>
                <c:pt idx="206">
                  <c:v>0.55349156979908387</c:v>
                </c:pt>
                <c:pt idx="207">
                  <c:v>0.58338755237442086</c:v>
                </c:pt>
                <c:pt idx="208">
                  <c:v>0.52195526003675419</c:v>
                </c:pt>
                <c:pt idx="209">
                  <c:v>0.54014832305833804</c:v>
                </c:pt>
                <c:pt idx="210">
                  <c:v>0.46705862937662901</c:v>
                </c:pt>
              </c:numCache>
            </c:numRef>
          </c:yVal>
          <c:smooth val="0"/>
          <c:extLst>
            <c:ext xmlns:c16="http://schemas.microsoft.com/office/drawing/2014/chart" uri="{C3380CC4-5D6E-409C-BE32-E72D297353CC}">
              <c16:uniqueId val="{00000000-0C8B-4CCE-8DB0-1766B0F094A3}"/>
            </c:ext>
          </c:extLst>
        </c:ser>
        <c:dLbls>
          <c:showLegendKey val="0"/>
          <c:showVal val="0"/>
          <c:showCatName val="0"/>
          <c:showSerName val="0"/>
          <c:showPercent val="0"/>
          <c:showBubbleSize val="0"/>
        </c:dLbls>
        <c:axId val="32670848"/>
        <c:axId val="45758720"/>
      </c:scatterChart>
      <c:valAx>
        <c:axId val="3267084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sz="1200"/>
                  <a:t>Number of Respondents per CCG</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45758720"/>
        <c:crosses val="autoZero"/>
        <c:crossBetween val="midCat"/>
      </c:valAx>
      <c:valAx>
        <c:axId val="45758720"/>
        <c:scaling>
          <c:orientation val="minMax"/>
          <c:max val="0.8"/>
          <c:min val="0.2"/>
        </c:scaling>
        <c:delete val="0"/>
        <c:axPos val="l"/>
        <c:majorGridlines>
          <c:spPr>
            <a:ln w="9525" cap="flat" cmpd="sng" algn="ctr">
              <a:solidFill>
                <a:schemeClr val="tx1">
                  <a:tint val="75000"/>
                  <a:shade val="95000"/>
                  <a:satMod val="10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sz="1200"/>
                  <a:t>Average health status (EQ-5D) score</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0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32670848"/>
        <c:crosses val="autoZero"/>
        <c:crossBetween val="midCat"/>
      </c:valAx>
      <c:spPr>
        <a:solidFill>
          <a:schemeClr val="bg1"/>
        </a:solidFill>
        <a:ln>
          <a:noFill/>
        </a:ln>
        <a:effectLst/>
      </c:spPr>
    </c:plotArea>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HSCIC_Corporate">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ACCA1-DA41-4CFB-B2E0-4D9D9903F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13651</Words>
  <Characters>77812</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2020-03-19T11:08:00Z</dcterms:created>
  <dcterms:modified xsi:type="dcterms:W3CDTF">2020-03-19T11:10:00Z</dcterms:modified>
</cp:coreProperties>
</file>