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7DC396CD" w14:textId="77777777" w:rsidR="00C32ED9" w:rsidRPr="002921E7" w:rsidRDefault="00C32ED9" w:rsidP="00C32ED9">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537D21EB" w14:textId="77777777" w:rsidR="00C32ED9" w:rsidRPr="00474A51" w:rsidRDefault="00C32ED9" w:rsidP="00C32ED9">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4BFF2BF2"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6100D7">
        <w:rPr>
          <w:lang w:eastAsia="en-GB"/>
        </w:rPr>
        <w:t>3</w:t>
      </w:r>
      <w:r w:rsidR="005F3CD1">
        <w:rPr>
          <w:lang w:eastAsia="en-GB"/>
        </w:rPr>
        <w:t>51</w:t>
      </w:r>
    </w:p>
    <w:p w14:paraId="206C6674" w14:textId="77777777" w:rsidR="00944C93" w:rsidRDefault="00944C93" w:rsidP="009B0E59">
      <w:pPr>
        <w:pStyle w:val="Heading1"/>
        <w:rPr>
          <w:b w:val="0"/>
          <w:bCs w:val="0"/>
          <w:kern w:val="0"/>
          <w:sz w:val="24"/>
          <w:szCs w:val="24"/>
          <w:lang w:eastAsia="en-GB"/>
        </w:rPr>
      </w:pPr>
      <w:r w:rsidRPr="00944C93">
        <w:rPr>
          <w:b w:val="0"/>
          <w:bCs w:val="0"/>
          <w:kern w:val="0"/>
          <w:sz w:val="24"/>
          <w:szCs w:val="24"/>
          <w:lang w:eastAsia="en-GB"/>
        </w:rPr>
        <w:t>Record of lung cancer stage at decision to treat</w:t>
      </w:r>
    </w:p>
    <w:p w14:paraId="7C25BFBC" w14:textId="3767B3E0"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81F36A1"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853218">
              <w:rPr>
                <w:rFonts w:ascii="Arial" w:hAnsi="Arial" w:cs="Arial"/>
                <w:sz w:val="22"/>
                <w:szCs w:val="22"/>
              </w:rPr>
              <w:t>CCG outcomes indicator set</w:t>
            </w:r>
            <w:r w:rsidR="00402BFB">
              <w:rPr>
                <w:rFonts w:ascii="Arial" w:hAnsi="Arial" w:cs="Arial"/>
                <w:sz w:val="22"/>
                <w:szCs w:val="22"/>
              </w:rPr>
              <w:t xml:space="preserve"> </w:t>
            </w:r>
            <w:r w:rsidR="00F75B77">
              <w:rPr>
                <w:rFonts w:ascii="Arial" w:hAnsi="Arial" w:cs="Arial"/>
                <w:sz w:val="22"/>
                <w:szCs w:val="22"/>
              </w:rPr>
              <w:t xml:space="preserve">domain </w:t>
            </w:r>
            <w:r w:rsidR="00944C93">
              <w:rPr>
                <w:rFonts w:ascii="Arial" w:hAnsi="Arial" w:cs="Arial"/>
                <w:sz w:val="22"/>
                <w:szCs w:val="22"/>
              </w:rPr>
              <w:t>1</w:t>
            </w:r>
            <w:r w:rsidR="00F75B77">
              <w:rPr>
                <w:rFonts w:ascii="Arial" w:hAnsi="Arial" w:cs="Arial"/>
                <w:sz w:val="22"/>
                <w:szCs w:val="22"/>
              </w:rPr>
              <w:t xml:space="preserve"> – </w:t>
            </w:r>
            <w:r w:rsidR="00944C93" w:rsidRPr="00944C93">
              <w:rPr>
                <w:rFonts w:ascii="Arial" w:hAnsi="Arial" w:cs="Arial"/>
                <w:sz w:val="22"/>
                <w:szCs w:val="22"/>
              </w:rPr>
              <w:t>Preventing people from dying prematurely</w:t>
            </w:r>
            <w:r w:rsidR="00944C93">
              <w:rPr>
                <w:rFonts w:ascii="Arial" w:hAnsi="Arial" w:cs="Arial"/>
                <w:sz w:val="22"/>
                <w:szCs w:val="22"/>
              </w:rPr>
              <w:t>.</w:t>
            </w:r>
          </w:p>
          <w:p w14:paraId="6A0AAFD7" w14:textId="6858894B" w:rsidR="00645411" w:rsidRPr="006E1387" w:rsidRDefault="006100D7" w:rsidP="00944C93">
            <w:pPr>
              <w:spacing w:before="120" w:after="120"/>
              <w:rPr>
                <w:rFonts w:ascii="Arial" w:hAnsi="Arial" w:cs="Arial"/>
                <w:sz w:val="22"/>
                <w:szCs w:val="22"/>
              </w:rPr>
            </w:pPr>
            <w:r>
              <w:rPr>
                <w:rFonts w:ascii="Arial" w:hAnsi="Arial" w:cs="Arial"/>
                <w:sz w:val="22"/>
                <w:szCs w:val="22"/>
              </w:rPr>
              <w:t xml:space="preserve">At a national level </w:t>
            </w:r>
            <w:r w:rsidR="00944C93">
              <w:rPr>
                <w:rFonts w:ascii="Arial" w:hAnsi="Arial" w:cs="Arial"/>
                <w:sz w:val="22"/>
                <w:szCs w:val="22"/>
              </w:rPr>
              <w:t>the indicator value has risen from 85.5% in 2013 to 93.1% in 2018. Variation exists across CCG’s, ranging between 74.1% and 100% in the most recent data.</w:t>
            </w:r>
          </w:p>
        </w:tc>
        <w:tc>
          <w:tcPr>
            <w:tcW w:w="3047" w:type="dxa"/>
          </w:tcPr>
          <w:p w14:paraId="34B49690" w14:textId="7DD53582"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383115">
              <w:rPr>
                <w:rFonts w:eastAsiaTheme="minorEastAsia" w:cs="Arial"/>
                <w:color w:val="000000" w:themeColor="dark1"/>
                <w:kern w:val="24"/>
                <w:sz w:val="22"/>
                <w:szCs w:val="22"/>
              </w:rPr>
              <w:t xml:space="preserve"> a recognized dataset.</w:t>
            </w:r>
          </w:p>
          <w:p w14:paraId="78280FB7" w14:textId="143D975C" w:rsidR="00E05AB5" w:rsidRPr="006E1387" w:rsidRDefault="00944C93" w:rsidP="006100D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Indicator value has increased over time.</w:t>
            </w:r>
          </w:p>
        </w:tc>
      </w:tr>
      <w:tr w:rsidR="00455B14" w:rsidRPr="006E1387" w14:paraId="77F6A4A2" w14:textId="33EFD485" w:rsidTr="00DD2CD1">
        <w:trPr>
          <w:trHeight w:val="558"/>
        </w:trPr>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4A17F8AA" w14:textId="76F8F8B5" w:rsidR="00944C93" w:rsidRPr="00944C93" w:rsidRDefault="0019550C" w:rsidP="00944C93">
            <w:pPr>
              <w:spacing w:before="120" w:after="120"/>
              <w:rPr>
                <w:rFonts w:ascii="Arial" w:hAnsi="Arial" w:cs="Arial"/>
                <w:sz w:val="22"/>
                <w:szCs w:val="22"/>
              </w:rPr>
            </w:pPr>
            <w:r>
              <w:rPr>
                <w:rFonts w:ascii="Arial" w:hAnsi="Arial" w:cs="Arial"/>
                <w:sz w:val="22"/>
                <w:szCs w:val="22"/>
              </w:rPr>
              <w:t>“</w:t>
            </w:r>
            <w:r w:rsidR="00944C93" w:rsidRPr="00944C93">
              <w:rPr>
                <w:rFonts w:ascii="Arial" w:hAnsi="Arial" w:cs="Arial"/>
                <w:sz w:val="22"/>
                <w:szCs w:val="22"/>
              </w:rPr>
              <w:t>This indicator forms part of Domain 1: Preventing people from dying prematurely. The</w:t>
            </w:r>
            <w:r w:rsidR="00944C93">
              <w:rPr>
                <w:rFonts w:ascii="Arial" w:hAnsi="Arial" w:cs="Arial"/>
                <w:sz w:val="22"/>
                <w:szCs w:val="22"/>
              </w:rPr>
              <w:t xml:space="preserve"> </w:t>
            </w:r>
            <w:r w:rsidR="00944C93" w:rsidRPr="00944C93">
              <w:rPr>
                <w:rFonts w:ascii="Arial" w:hAnsi="Arial" w:cs="Arial"/>
                <w:sz w:val="22"/>
                <w:szCs w:val="22"/>
              </w:rPr>
              <w:t xml:space="preserve">stage of the tumour at decision to treat is a major determinant of patient outcomes from lung cancer. A high proportion of lung cancers with a valid stage recorded allow much deeper and more actionable analyses of outcomes by treatment type, patient pathway and </w:t>
            </w:r>
            <w:proofErr w:type="spellStart"/>
            <w:r w:rsidR="00944C93" w:rsidRPr="00944C93">
              <w:rPr>
                <w:rFonts w:ascii="Arial" w:hAnsi="Arial" w:cs="Arial"/>
                <w:sz w:val="22"/>
                <w:szCs w:val="22"/>
              </w:rPr>
              <w:t>casemix</w:t>
            </w:r>
            <w:proofErr w:type="spellEnd"/>
            <w:r w:rsidR="00944C93" w:rsidRPr="00944C93">
              <w:rPr>
                <w:rFonts w:ascii="Arial" w:hAnsi="Arial" w:cs="Arial"/>
                <w:sz w:val="22"/>
                <w:szCs w:val="22"/>
              </w:rPr>
              <w:t>.</w:t>
            </w:r>
          </w:p>
          <w:p w14:paraId="46FD2163" w14:textId="1FA31DBB" w:rsidR="005F3926" w:rsidRPr="006E1387" w:rsidRDefault="00944C93" w:rsidP="00944C93">
            <w:pPr>
              <w:spacing w:before="120" w:after="120"/>
              <w:rPr>
                <w:rFonts w:ascii="Arial" w:hAnsi="Arial" w:cs="Arial"/>
                <w:sz w:val="22"/>
                <w:szCs w:val="22"/>
              </w:rPr>
            </w:pPr>
            <w:r w:rsidRPr="00944C93">
              <w:rPr>
                <w:rFonts w:ascii="Arial" w:hAnsi="Arial" w:cs="Arial"/>
                <w:sz w:val="22"/>
                <w:szCs w:val="22"/>
              </w:rPr>
              <w:t xml:space="preserve">Diagnosis and decision to treat at an early stage of the lung cancer's development leads to dramatically improved survival chances. Specific public health interventions, such as screening programmes and information/education campaigns aim </w:t>
            </w:r>
            <w:r w:rsidRPr="00944C93">
              <w:rPr>
                <w:rFonts w:ascii="Arial" w:hAnsi="Arial" w:cs="Arial"/>
                <w:sz w:val="22"/>
                <w:szCs w:val="22"/>
              </w:rPr>
              <w:lastRenderedPageBreak/>
              <w:t>to improve rates of early diagnosis and treatment. Appropriate, informed treatment can be provided by ensuring the cancer has been staged at the point of decision to treat</w:t>
            </w:r>
            <w:r w:rsidR="0019550C" w:rsidRPr="0019550C">
              <w:rPr>
                <w:rFonts w:ascii="Arial" w:hAnsi="Arial" w:cs="Arial"/>
                <w:sz w:val="22"/>
                <w:szCs w:val="22"/>
              </w:rPr>
              <w:t xml:space="preserve">”.  </w:t>
            </w:r>
          </w:p>
        </w:tc>
        <w:tc>
          <w:tcPr>
            <w:tcW w:w="3047" w:type="dxa"/>
          </w:tcPr>
          <w:p w14:paraId="12B8C1AB" w14:textId="7EE046CF" w:rsidR="00E05AB5" w:rsidRPr="006E1387" w:rsidRDefault="00E25210" w:rsidP="00944C9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w:t>
            </w:r>
            <w:r w:rsidR="005F3926">
              <w:rPr>
                <w:rFonts w:eastAsiaTheme="minorEastAsia" w:cs="Arial"/>
                <w:color w:val="000000" w:themeColor="dark1"/>
                <w:kern w:val="24"/>
                <w:sz w:val="22"/>
                <w:szCs w:val="22"/>
              </w:rPr>
              <w:t>.</w:t>
            </w:r>
            <w:r w:rsidR="007E7E62">
              <w:rPr>
                <w:rFonts w:eastAsiaTheme="minorEastAsia" w:cs="Arial"/>
                <w:color w:val="000000" w:themeColor="dark1"/>
                <w:kern w:val="24"/>
                <w:sz w:val="22"/>
                <w:szCs w:val="22"/>
              </w:rPr>
              <w:t xml:space="preserve"> </w:t>
            </w:r>
            <w:r w:rsidR="005F3CD1">
              <w:rPr>
                <w:rFonts w:eastAsiaTheme="minorEastAsia" w:cs="Arial"/>
                <w:color w:val="000000" w:themeColor="dark1"/>
                <w:kern w:val="24"/>
                <w:sz w:val="22"/>
                <w:szCs w:val="22"/>
              </w:rPr>
              <w:t>This indicator aligns with NICE guidance (NG122</w:t>
            </w:r>
            <w:r w:rsidR="005F3CD1">
              <w:rPr>
                <w:rStyle w:val="FootnoteReference"/>
                <w:rFonts w:eastAsiaTheme="minorEastAsia" w:cs="Arial"/>
                <w:color w:val="000000" w:themeColor="dark1"/>
                <w:kern w:val="24"/>
                <w:sz w:val="22"/>
                <w:szCs w:val="22"/>
              </w:rPr>
              <w:footnoteReference w:id="2"/>
            </w:r>
            <w:r w:rsidR="005F3CD1">
              <w:rPr>
                <w:rFonts w:eastAsiaTheme="minorEastAsia" w:cs="Arial"/>
                <w:color w:val="000000" w:themeColor="dark1"/>
                <w:kern w:val="24"/>
                <w:sz w:val="22"/>
                <w:szCs w:val="22"/>
              </w:rPr>
              <w:t>, QS17</w:t>
            </w:r>
            <w:r w:rsidR="005F3CD1">
              <w:rPr>
                <w:rStyle w:val="FootnoteReference"/>
                <w:rFonts w:eastAsiaTheme="minorEastAsia" w:cs="Arial"/>
                <w:color w:val="000000" w:themeColor="dark1"/>
                <w:kern w:val="24"/>
                <w:sz w:val="22"/>
                <w:szCs w:val="22"/>
              </w:rPr>
              <w:footnoteReference w:id="3"/>
            </w:r>
            <w:r w:rsidR="005F3CD1">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5BB39B09" w14:textId="5BD83BD0" w:rsidR="00F25E11"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944C93" w:rsidRPr="00944C93">
              <w:rPr>
                <w:rFonts w:ascii="Arial" w:hAnsi="Arial" w:cs="Arial"/>
                <w:color w:val="000000"/>
                <w:kern w:val="24"/>
                <w:sz w:val="22"/>
                <w:szCs w:val="22"/>
                <w:lang w:eastAsia="en-GB"/>
              </w:rPr>
              <w:t>Of the denominator, the number of patient records for which a valid stage at the time of decision to treat is recorded.</w:t>
            </w:r>
          </w:p>
          <w:p w14:paraId="4FC7B690" w14:textId="5D85DA84"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944C93" w:rsidRPr="00944C93">
              <w:rPr>
                <w:rFonts w:ascii="Arial" w:hAnsi="Arial" w:cs="Arial"/>
                <w:color w:val="000000"/>
                <w:kern w:val="24"/>
                <w:sz w:val="22"/>
                <w:szCs w:val="22"/>
                <w:lang w:eastAsia="en-GB"/>
              </w:rPr>
              <w:t>The number of lung tumours (ICD-10 C34) registered in the respective year.</w:t>
            </w:r>
          </w:p>
          <w:p w14:paraId="158FFEDA" w14:textId="16F64460"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9A1FC0">
              <w:rPr>
                <w:rFonts w:ascii="Arial" w:hAnsi="Arial" w:cs="Arial"/>
                <w:color w:val="000000"/>
                <w:kern w:val="24"/>
                <w:sz w:val="22"/>
                <w:szCs w:val="22"/>
                <w:lang w:eastAsia="en-GB"/>
              </w:rPr>
              <w:t>None</w:t>
            </w:r>
          </w:p>
          <w:p w14:paraId="46400236" w14:textId="0103BAEB"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944C93">
              <w:rPr>
                <w:rFonts w:ascii="Arial" w:hAnsi="Arial" w:cs="Arial"/>
                <w:color w:val="000000"/>
                <w:kern w:val="24"/>
                <w:sz w:val="22"/>
                <w:szCs w:val="22"/>
                <w:lang w:eastAsia="en-GB"/>
              </w:rPr>
              <w:t>Percentage</w:t>
            </w:r>
          </w:p>
          <w:p w14:paraId="241B73C2" w14:textId="6376E9D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25E11">
              <w:rPr>
                <w:rFonts w:ascii="Arial" w:hAnsi="Arial" w:cs="Arial"/>
                <w:color w:val="000000"/>
                <w:kern w:val="24"/>
                <w:sz w:val="22"/>
                <w:szCs w:val="22"/>
                <w:lang w:eastAsia="en-GB"/>
              </w:rPr>
              <w:t>England, CCG.</w:t>
            </w:r>
          </w:p>
          <w:p w14:paraId="5B155699" w14:textId="233F2B01"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944C93" w:rsidRPr="00944C93">
              <w:rPr>
                <w:rFonts w:ascii="Arial" w:hAnsi="Arial" w:cs="Arial"/>
                <w:color w:val="000000"/>
                <w:kern w:val="24"/>
                <w:sz w:val="22"/>
                <w:szCs w:val="22"/>
                <w:lang w:eastAsia="en-GB"/>
              </w:rPr>
              <w:t>National Cancer Registration dataset based on a snapshot of Public Health England’s (PHE) National Cancer Registration and Analysis System (NCRAS), which forms part of the National Disease Registration Service (NDRS</w:t>
            </w:r>
            <w:r w:rsidR="005F3CD1">
              <w:rPr>
                <w:rFonts w:ascii="Arial" w:hAnsi="Arial" w:cs="Arial"/>
                <w:color w:val="000000"/>
                <w:kern w:val="24"/>
                <w:sz w:val="22"/>
                <w:szCs w:val="22"/>
                <w:lang w:eastAsia="en-GB"/>
              </w:rPr>
              <w:t>).</w:t>
            </w:r>
          </w:p>
          <w:p w14:paraId="134E4565" w14:textId="2CEBA60F" w:rsidR="00A54F81" w:rsidRPr="006E1387" w:rsidRDefault="00873503" w:rsidP="00944C9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944C93">
              <w:rPr>
                <w:rFonts w:ascii="Arial" w:hAnsi="Arial" w:cs="Arial"/>
                <w:color w:val="000000"/>
                <w:kern w:val="24"/>
                <w:sz w:val="22"/>
                <w:szCs w:val="22"/>
                <w:lang w:eastAsia="en-GB"/>
              </w:rPr>
              <w:t>If</w:t>
            </w:r>
            <w:r w:rsidR="00944C93" w:rsidRPr="00944C93">
              <w:rPr>
                <w:rFonts w:ascii="Arial" w:hAnsi="Arial" w:cs="Arial"/>
                <w:color w:val="000000"/>
                <w:kern w:val="24"/>
                <w:sz w:val="22"/>
                <w:szCs w:val="22"/>
                <w:lang w:eastAsia="en-GB"/>
              </w:rPr>
              <w:t xml:space="preserve"> the indicator is calculated from a numerator of 1 to 5, the value is suppressed to ensure an individual’s identity is not at risk of being disclosed. If there is only one value suppressed in this way, the percentage based upon the next lowest numerator is also suppressed; this reduces the risk of the first suppressed number being identifiable in isolation. Percentages are rounded to one decimal place before publication.</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DD2CD1">
        <w:trPr>
          <w:trHeight w:val="968"/>
        </w:trPr>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23202A2C" w14:textId="10A4F73D" w:rsidR="002B4762" w:rsidRPr="006E1387" w:rsidRDefault="00F52CF4" w:rsidP="002B4762">
            <w:pPr>
              <w:spacing w:before="120" w:after="120"/>
              <w:rPr>
                <w:rFonts w:ascii="Arial" w:hAnsi="Arial" w:cs="Arial"/>
                <w:sz w:val="22"/>
                <w:szCs w:val="22"/>
              </w:rPr>
            </w:pPr>
            <w:r>
              <w:rPr>
                <w:rFonts w:ascii="Arial" w:hAnsi="Arial" w:cs="Arial"/>
                <w:sz w:val="22"/>
                <w:szCs w:val="22"/>
              </w:rPr>
              <w:t>All data from long running data sources.</w:t>
            </w:r>
          </w:p>
        </w:tc>
        <w:tc>
          <w:tcPr>
            <w:tcW w:w="3047" w:type="dxa"/>
          </w:tcPr>
          <w:p w14:paraId="7C614BB1" w14:textId="0668E0D4" w:rsidR="00455B14" w:rsidRPr="006E1387" w:rsidRDefault="00262A3E" w:rsidP="009A1FC0">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9A1FC0">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1CBAC61F" w14:textId="61B99C68" w:rsidR="009A1FC0" w:rsidRDefault="009A1FC0" w:rsidP="000438E0">
            <w:pPr>
              <w:spacing w:before="120" w:after="120"/>
              <w:rPr>
                <w:rFonts w:ascii="Arial" w:hAnsi="Arial" w:cs="Arial"/>
                <w:sz w:val="22"/>
                <w:szCs w:val="22"/>
              </w:rPr>
            </w:pPr>
            <w:r>
              <w:rPr>
                <w:rFonts w:ascii="Arial" w:hAnsi="Arial" w:cs="Arial"/>
                <w:sz w:val="22"/>
                <w:szCs w:val="22"/>
              </w:rPr>
              <w:t xml:space="preserve">Indicator data is from HES and is robust. </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48D04EDE" w:rsidR="00217BF3" w:rsidRPr="006E1387" w:rsidRDefault="00455B14" w:rsidP="009A1FC0">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DD2CD1">
        <w:trPr>
          <w:trHeight w:val="558"/>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2E2E12AA" w:rsidR="00041011" w:rsidRPr="006E1387" w:rsidRDefault="009A1FC0"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p>
        </w:tc>
        <w:tc>
          <w:tcPr>
            <w:tcW w:w="3047" w:type="dxa"/>
          </w:tcPr>
          <w:p w14:paraId="7C2C11AA" w14:textId="092826F4" w:rsidR="00041011" w:rsidRPr="006E1387" w:rsidRDefault="009A1FC0"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None identified.</w:t>
            </w:r>
          </w:p>
        </w:tc>
      </w:tr>
    </w:tbl>
    <w:p w14:paraId="37D9A2F5" w14:textId="084C27AB" w:rsidR="004A517E" w:rsidRDefault="004A517E">
      <w:pPr>
        <w:rPr>
          <w:rFonts w:ascii="Arial" w:hAnsi="Arial"/>
          <w:lang w:val="en-US"/>
        </w:rPr>
      </w:pPr>
    </w:p>
    <w:p w14:paraId="579579A7" w14:textId="77777777" w:rsidR="00DD2CD1" w:rsidRDefault="00DD2CD1" w:rsidP="00937DDA">
      <w:pPr>
        <w:pStyle w:val="Paragraphnonumbers"/>
        <w:rPr>
          <w:b/>
        </w:rPr>
      </w:pPr>
    </w:p>
    <w:p w14:paraId="2989243B" w14:textId="77777777" w:rsidR="00C32ED9" w:rsidRDefault="00C32ED9" w:rsidP="00C32ED9">
      <w:pPr>
        <w:pStyle w:val="Paragraphnonumbers"/>
      </w:pPr>
      <w:r w:rsidRPr="00B12039">
        <w:rPr>
          <w:b/>
        </w:rPr>
        <w:t>Summary:</w:t>
      </w:r>
      <w:r>
        <w:t xml:space="preserve"> </w:t>
      </w:r>
      <w:r w:rsidRPr="00B60A21">
        <w:t>Indicator to be renewed.</w:t>
      </w:r>
    </w:p>
    <w:p w14:paraId="7389AEE0" w14:textId="77777777" w:rsidR="003172A8" w:rsidRDefault="003172A8" w:rsidP="003172A8">
      <w:pPr>
        <w:pStyle w:val="Paragraphnonumbers"/>
        <w:rPr>
          <w:b/>
        </w:rPr>
      </w:pPr>
      <w:r>
        <w:rPr>
          <w:b/>
        </w:rPr>
        <w:t xml:space="preserve">NHS Digital Indicator reference: </w:t>
      </w:r>
    </w:p>
    <w:p w14:paraId="0406BC31" w14:textId="40ADA31A" w:rsidR="003172A8" w:rsidRDefault="003172A8" w:rsidP="003172A8">
      <w:pPr>
        <w:pStyle w:val="Paragraphnonumbers"/>
      </w:pPr>
      <w:r>
        <w:t xml:space="preserve">CCG Outcomes Indicator Set - </w:t>
      </w:r>
      <w:r w:rsidRPr="003172A8">
        <w:t>1.19 Record of lung cancer stage at decision to treat</w:t>
      </w:r>
    </w:p>
    <w:p w14:paraId="123085F8" w14:textId="07200C6F" w:rsidR="00D73835" w:rsidRDefault="00D73835" w:rsidP="003172A8">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35A2DAA" w:rsidR="00BB14CA" w:rsidRPr="008C1C95" w:rsidRDefault="003172A8" w:rsidP="008C1C95">
    <w:pPr>
      <w:pStyle w:val="Footer"/>
      <w:jc w:val="right"/>
    </w:pPr>
    <w:r>
      <w:t xml:space="preserve">IAP00351 </w:t>
    </w:r>
    <w:r w:rsidRPr="003172A8">
      <w:t>Record of lung cancer stage at decision to treat</w:t>
    </w:r>
    <w:r w:rsidR="009B0E59">
      <w:t xml:space="preserve">: Validity assessment </w:t>
    </w:r>
    <w:r>
      <w:t>March 2021</w:t>
    </w:r>
    <w:r w:rsidR="009B0E59">
      <w:tab/>
    </w:r>
    <w:r w:rsidR="009B0E59">
      <w:tab/>
    </w:r>
    <w:r w:rsidR="00BB14CA">
      <w:fldChar w:fldCharType="begin"/>
    </w:r>
    <w:r w:rsidR="00BB14CA">
      <w:instrText xml:space="preserve"> PAGE </w:instrText>
    </w:r>
    <w:r w:rsidR="00BB14CA">
      <w:fldChar w:fldCharType="separate"/>
    </w:r>
    <w:r>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09582A1B" w:rsidR="00521D6D" w:rsidRDefault="00521D6D">
      <w:pPr>
        <w:pStyle w:val="FootnoteText"/>
      </w:pPr>
      <w:r>
        <w:rPr>
          <w:rStyle w:val="FootnoteReference"/>
        </w:rPr>
        <w:footnoteRef/>
      </w:r>
      <w:r>
        <w:t xml:space="preserve"> NHS Digital. </w:t>
      </w:r>
      <w:r w:rsidR="00383115">
        <w:t>CCG Outcomes indicator set</w:t>
      </w:r>
      <w:r>
        <w:t xml:space="preserve">, Indicator Quality Statement, Domain </w:t>
      </w:r>
      <w:r w:rsidR="00944C93">
        <w:t>1</w:t>
      </w:r>
      <w:r>
        <w:t xml:space="preserve">. </w:t>
      </w:r>
      <w:r w:rsidR="00944C93">
        <w:t>1.19</w:t>
      </w:r>
      <w:r w:rsidR="00383115">
        <w:t xml:space="preserve"> </w:t>
      </w:r>
      <w:r w:rsidR="00944C93" w:rsidRPr="00944C93">
        <w:t>Record of lung cancer stage at decision to treat</w:t>
      </w:r>
      <w:r w:rsidR="00383115">
        <w:t>.</w:t>
      </w:r>
      <w:r>
        <w:t xml:space="preserve"> Version </w:t>
      </w:r>
      <w:r w:rsidR="00383115">
        <w:t>1</w:t>
      </w:r>
      <w:r>
        <w:t>.</w:t>
      </w:r>
      <w:r w:rsidR="00944C93">
        <w:t>5</w:t>
      </w:r>
      <w:r>
        <w:t xml:space="preserve">, </w:t>
      </w:r>
      <w:r w:rsidR="00944C93">
        <w:t>June</w:t>
      </w:r>
      <w:r w:rsidR="00383115">
        <w:t xml:space="preserve"> 2020</w:t>
      </w:r>
    </w:p>
  </w:footnote>
  <w:footnote w:id="2">
    <w:p w14:paraId="2C63FB57" w14:textId="7E0E221C" w:rsidR="005F3CD1" w:rsidRDefault="005F3CD1">
      <w:pPr>
        <w:pStyle w:val="FootnoteText"/>
      </w:pPr>
      <w:r>
        <w:rPr>
          <w:rStyle w:val="FootnoteReference"/>
        </w:rPr>
        <w:footnoteRef/>
      </w:r>
      <w:r>
        <w:t xml:space="preserve"> </w:t>
      </w:r>
      <w:r w:rsidRPr="005F3CD1">
        <w:t>Lung cancer: diagnosis and management</w:t>
      </w:r>
      <w:r>
        <w:t xml:space="preserve">, Published 28 March 2019, </w:t>
      </w:r>
      <w:hyperlink r:id="rId1" w:history="1">
        <w:r w:rsidRPr="009A5588">
          <w:rPr>
            <w:rStyle w:val="Hyperlink"/>
          </w:rPr>
          <w:t>https://www.nice.org.uk/guidance/ng122</w:t>
        </w:r>
      </w:hyperlink>
      <w:r>
        <w:t xml:space="preserve"> </w:t>
      </w:r>
    </w:p>
  </w:footnote>
  <w:footnote w:id="3">
    <w:p w14:paraId="7D0979FE" w14:textId="116EB7D4" w:rsidR="005F3CD1" w:rsidRDefault="005F3CD1">
      <w:pPr>
        <w:pStyle w:val="FootnoteText"/>
      </w:pPr>
      <w:r>
        <w:rPr>
          <w:rStyle w:val="FootnoteReference"/>
        </w:rPr>
        <w:footnoteRef/>
      </w:r>
      <w:r>
        <w:t xml:space="preserve"> </w:t>
      </w:r>
      <w:r w:rsidRPr="005F3CD1">
        <w:t>Lung cancer in adults</w:t>
      </w:r>
      <w:r>
        <w:t xml:space="preserve">, Last updated 13 December 2019, </w:t>
      </w:r>
      <w:hyperlink r:id="rId2" w:history="1">
        <w:r w:rsidRPr="009A5588">
          <w:rPr>
            <w:rStyle w:val="Hyperlink"/>
          </w:rPr>
          <w:t>https://www.nice.org.uk/guidance/qs17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E2"/>
    <w:rsid w:val="001134E7"/>
    <w:rsid w:val="0012086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35AE"/>
    <w:rsid w:val="00165770"/>
    <w:rsid w:val="00165B01"/>
    <w:rsid w:val="00166C1A"/>
    <w:rsid w:val="0017169E"/>
    <w:rsid w:val="00173568"/>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1A5B"/>
    <w:rsid w:val="00292B2C"/>
    <w:rsid w:val="0029330E"/>
    <w:rsid w:val="00296E2E"/>
    <w:rsid w:val="002A23A7"/>
    <w:rsid w:val="002A24C9"/>
    <w:rsid w:val="002A5503"/>
    <w:rsid w:val="002A6812"/>
    <w:rsid w:val="002A7339"/>
    <w:rsid w:val="002A7A24"/>
    <w:rsid w:val="002B4762"/>
    <w:rsid w:val="002B565A"/>
    <w:rsid w:val="002B71D2"/>
    <w:rsid w:val="002C08F6"/>
    <w:rsid w:val="002C0DA9"/>
    <w:rsid w:val="002C1A7E"/>
    <w:rsid w:val="002C2893"/>
    <w:rsid w:val="002C292E"/>
    <w:rsid w:val="002C3718"/>
    <w:rsid w:val="002C4126"/>
    <w:rsid w:val="002C5955"/>
    <w:rsid w:val="002C5BFD"/>
    <w:rsid w:val="002C6739"/>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172A8"/>
    <w:rsid w:val="00320EE5"/>
    <w:rsid w:val="003236DA"/>
    <w:rsid w:val="003244E5"/>
    <w:rsid w:val="00324C60"/>
    <w:rsid w:val="00326131"/>
    <w:rsid w:val="00326482"/>
    <w:rsid w:val="00330EED"/>
    <w:rsid w:val="00331B26"/>
    <w:rsid w:val="00331BDD"/>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3115"/>
    <w:rsid w:val="00384141"/>
    <w:rsid w:val="003856AA"/>
    <w:rsid w:val="00386007"/>
    <w:rsid w:val="003861AC"/>
    <w:rsid w:val="003862A5"/>
    <w:rsid w:val="00390249"/>
    <w:rsid w:val="00391F56"/>
    <w:rsid w:val="003953C7"/>
    <w:rsid w:val="00395ED8"/>
    <w:rsid w:val="003A03DC"/>
    <w:rsid w:val="003A1975"/>
    <w:rsid w:val="003A1DE1"/>
    <w:rsid w:val="003A39A0"/>
    <w:rsid w:val="003A3E2A"/>
    <w:rsid w:val="003A4CBB"/>
    <w:rsid w:val="003B0286"/>
    <w:rsid w:val="003B091A"/>
    <w:rsid w:val="003B0C0D"/>
    <w:rsid w:val="003B1C33"/>
    <w:rsid w:val="003B254D"/>
    <w:rsid w:val="003B298F"/>
    <w:rsid w:val="003B69AA"/>
    <w:rsid w:val="003C1C18"/>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3CD1"/>
    <w:rsid w:val="005F5AFD"/>
    <w:rsid w:val="005F6BB8"/>
    <w:rsid w:val="005F6F0A"/>
    <w:rsid w:val="005F7681"/>
    <w:rsid w:val="00601291"/>
    <w:rsid w:val="0060351B"/>
    <w:rsid w:val="00607959"/>
    <w:rsid w:val="006100D7"/>
    <w:rsid w:val="0061221F"/>
    <w:rsid w:val="00614078"/>
    <w:rsid w:val="006150A0"/>
    <w:rsid w:val="0061798B"/>
    <w:rsid w:val="0062228B"/>
    <w:rsid w:val="00624430"/>
    <w:rsid w:val="00625AEE"/>
    <w:rsid w:val="0062642E"/>
    <w:rsid w:val="00627687"/>
    <w:rsid w:val="006276D1"/>
    <w:rsid w:val="006279C2"/>
    <w:rsid w:val="00630A5B"/>
    <w:rsid w:val="00637F2A"/>
    <w:rsid w:val="00642C45"/>
    <w:rsid w:val="0064313B"/>
    <w:rsid w:val="006434DF"/>
    <w:rsid w:val="00645411"/>
    <w:rsid w:val="0064604F"/>
    <w:rsid w:val="00651D20"/>
    <w:rsid w:val="006523CB"/>
    <w:rsid w:val="00653098"/>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3218"/>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87CAD"/>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4C93"/>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1FC0"/>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17F9B"/>
    <w:rsid w:val="00A240EE"/>
    <w:rsid w:val="00A25B7F"/>
    <w:rsid w:val="00A264CE"/>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539E"/>
    <w:rsid w:val="00C278DE"/>
    <w:rsid w:val="00C2796B"/>
    <w:rsid w:val="00C3004B"/>
    <w:rsid w:val="00C31F4C"/>
    <w:rsid w:val="00C3209A"/>
    <w:rsid w:val="00C32ADC"/>
    <w:rsid w:val="00C32ED9"/>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2CD1"/>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25E11"/>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4641"/>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380535">
      <w:bodyDiv w:val="1"/>
      <w:marLeft w:val="0"/>
      <w:marRight w:val="0"/>
      <w:marTop w:val="0"/>
      <w:marBottom w:val="0"/>
      <w:divBdr>
        <w:top w:val="none" w:sz="0" w:space="0" w:color="auto"/>
        <w:left w:val="none" w:sz="0" w:space="0" w:color="auto"/>
        <w:bottom w:val="none" w:sz="0" w:space="0" w:color="auto"/>
        <w:right w:val="none" w:sz="0" w:space="0" w:color="auto"/>
      </w:divBdr>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00603828">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58503675">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qs17" TargetMode="External"/><Relationship Id="rId1" Type="http://schemas.openxmlformats.org/officeDocument/2006/relationships/hyperlink" Target="https://www.nice.org.uk/guidance/ng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1B343-A223-40D9-ABC6-BC85A7C0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2021-09-17T14:03:00Z</dcterms:created>
  <dcterms:modified xsi:type="dcterms:W3CDTF">2021-09-17T14:04:00Z</dcterms:modified>
</cp:coreProperties>
</file>