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389DD" w14:textId="77777777" w:rsidR="00521088" w:rsidRPr="00226744" w:rsidRDefault="00521088" w:rsidP="00521088">
      <w:pPr>
        <w:jc w:val="center"/>
        <w:rPr>
          <w:b/>
          <w:bCs/>
          <w:sz w:val="28"/>
          <w:szCs w:val="28"/>
        </w:rPr>
      </w:pPr>
      <w:bookmarkStart w:id="0" w:name="_Hlk34653293"/>
      <w:r w:rsidRPr="00226744">
        <w:rPr>
          <w:b/>
          <w:bCs/>
          <w:sz w:val="28"/>
          <w:szCs w:val="28"/>
        </w:rPr>
        <w:t>NHS Digital</w:t>
      </w:r>
    </w:p>
    <w:p w14:paraId="7A1C9B7A" w14:textId="77777777" w:rsidR="00521088" w:rsidRPr="00226744" w:rsidRDefault="00521088" w:rsidP="00521088">
      <w:pPr>
        <w:jc w:val="center"/>
        <w:rPr>
          <w:b/>
          <w:bCs/>
          <w:sz w:val="28"/>
          <w:szCs w:val="28"/>
        </w:rPr>
      </w:pPr>
      <w:r w:rsidRPr="00226744">
        <w:rPr>
          <w:b/>
          <w:bCs/>
          <w:sz w:val="28"/>
          <w:szCs w:val="28"/>
        </w:rPr>
        <w:t>Indicator Supporting Documentation</w:t>
      </w:r>
    </w:p>
    <w:p w14:paraId="3685A05D" w14:textId="18617904" w:rsidR="00521088" w:rsidRPr="00226744" w:rsidRDefault="00521088" w:rsidP="00521088">
      <w:pPr>
        <w:jc w:val="center"/>
        <w:rPr>
          <w:b/>
          <w:bCs/>
          <w:sz w:val="28"/>
          <w:szCs w:val="28"/>
        </w:rPr>
      </w:pPr>
      <w:r w:rsidRPr="00226744">
        <w:rPr>
          <w:b/>
          <w:bCs/>
          <w:sz w:val="28"/>
          <w:szCs w:val="28"/>
        </w:rPr>
        <w:t>IAP00</w:t>
      </w:r>
      <w:bookmarkEnd w:id="0"/>
      <w:r w:rsidRPr="00226744">
        <w:rPr>
          <w:b/>
          <w:bCs/>
          <w:sz w:val="28"/>
          <w:szCs w:val="28"/>
        </w:rPr>
        <w:t>361 Unplanned read</w:t>
      </w:r>
      <w:bookmarkStart w:id="1" w:name="_GoBack"/>
      <w:bookmarkEnd w:id="1"/>
      <w:r w:rsidRPr="00226744">
        <w:rPr>
          <w:b/>
          <w:bCs/>
          <w:sz w:val="28"/>
          <w:szCs w:val="28"/>
        </w:rPr>
        <w:t xml:space="preserve">missions to </w:t>
      </w:r>
      <w:r w:rsidR="00B3149B">
        <w:rPr>
          <w:b/>
          <w:bCs/>
          <w:sz w:val="28"/>
          <w:szCs w:val="28"/>
        </w:rPr>
        <w:t>m</w:t>
      </w:r>
      <w:r w:rsidRPr="00226744">
        <w:rPr>
          <w:b/>
          <w:bCs/>
          <w:sz w:val="28"/>
          <w:szCs w:val="28"/>
        </w:rPr>
        <w:t xml:space="preserve">ental </w:t>
      </w:r>
      <w:r w:rsidR="00B3149B">
        <w:rPr>
          <w:b/>
          <w:bCs/>
          <w:sz w:val="28"/>
          <w:szCs w:val="28"/>
        </w:rPr>
        <w:t>h</w:t>
      </w:r>
      <w:r w:rsidRPr="00226744">
        <w:rPr>
          <w:b/>
          <w:bCs/>
          <w:sz w:val="28"/>
          <w:szCs w:val="28"/>
        </w:rPr>
        <w:t xml:space="preserve">ealth Services within 30 days of a </w:t>
      </w:r>
      <w:r w:rsidR="00B3149B">
        <w:rPr>
          <w:b/>
          <w:bCs/>
          <w:sz w:val="28"/>
          <w:szCs w:val="28"/>
        </w:rPr>
        <w:t>m</w:t>
      </w:r>
      <w:r w:rsidRPr="00226744">
        <w:rPr>
          <w:b/>
          <w:bCs/>
          <w:sz w:val="28"/>
          <w:szCs w:val="28"/>
        </w:rPr>
        <w:t xml:space="preserve">ental </w:t>
      </w:r>
      <w:r w:rsidR="00B3149B">
        <w:rPr>
          <w:b/>
          <w:bCs/>
          <w:sz w:val="28"/>
          <w:szCs w:val="28"/>
        </w:rPr>
        <w:t>h</w:t>
      </w:r>
      <w:r w:rsidRPr="00226744">
        <w:rPr>
          <w:b/>
          <w:bCs/>
          <w:sz w:val="28"/>
          <w:szCs w:val="28"/>
        </w:rPr>
        <w:t>ealth inpatient discharge in people aged 17 and over</w:t>
      </w:r>
    </w:p>
    <w:p w14:paraId="2A1370D5" w14:textId="46DC59CB" w:rsidR="00521088" w:rsidRPr="00226744" w:rsidRDefault="00521088"/>
    <w:p w14:paraId="0E6DA65A" w14:textId="77777777" w:rsidR="00521088" w:rsidRPr="00226744" w:rsidRDefault="00521088"/>
    <w:tbl>
      <w:tblPr>
        <w:tblStyle w:val="ListTable3-Accent1"/>
        <w:tblW w:w="0" w:type="auto"/>
        <w:tblLayout w:type="fixed"/>
        <w:tblLook w:val="04A0" w:firstRow="1" w:lastRow="0" w:firstColumn="1" w:lastColumn="0" w:noHBand="0" w:noVBand="1"/>
      </w:tblPr>
      <w:tblGrid>
        <w:gridCol w:w="1838"/>
        <w:gridCol w:w="6804"/>
      </w:tblGrid>
      <w:tr w:rsidR="00BD69FE" w:rsidRPr="00226744" w14:paraId="61E7FAC6" w14:textId="77777777" w:rsidTr="00971E4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38" w:type="dxa"/>
          </w:tcPr>
          <w:p w14:paraId="22A05EAB" w14:textId="62BFCDDA" w:rsidR="00BD69FE" w:rsidRPr="00226744" w:rsidRDefault="00BD69FE" w:rsidP="008F3D71">
            <w:pPr>
              <w:rPr>
                <w:b w:val="0"/>
                <w:color w:val="auto"/>
              </w:rPr>
            </w:pPr>
            <w:r w:rsidRPr="00226744">
              <w:rPr>
                <w:b w:val="0"/>
                <w:color w:val="auto"/>
              </w:rPr>
              <w:t>FIELD</w:t>
            </w:r>
          </w:p>
        </w:tc>
        <w:tc>
          <w:tcPr>
            <w:tcW w:w="6804" w:type="dxa"/>
            <w:tcBorders>
              <w:bottom w:val="single" w:sz="4" w:space="0" w:color="4F81BD" w:themeColor="accent1"/>
            </w:tcBorders>
          </w:tcPr>
          <w:p w14:paraId="7D5C885B" w14:textId="7C99E994" w:rsidR="00BD69FE" w:rsidRPr="00226744" w:rsidRDefault="00BD69FE" w:rsidP="008F3D71">
            <w:pPr>
              <w:cnfStyle w:val="100000000000" w:firstRow="1" w:lastRow="0" w:firstColumn="0" w:lastColumn="0" w:oddVBand="0" w:evenVBand="0" w:oddHBand="0" w:evenHBand="0" w:firstRowFirstColumn="0" w:firstRowLastColumn="0" w:lastRowFirstColumn="0" w:lastRowLastColumn="0"/>
              <w:rPr>
                <w:color w:val="auto"/>
              </w:rPr>
            </w:pPr>
            <w:r w:rsidRPr="00226744">
              <w:rPr>
                <w:color w:val="auto"/>
              </w:rPr>
              <w:t>CONTENTS</w:t>
            </w:r>
          </w:p>
        </w:tc>
      </w:tr>
      <w:tr w:rsidR="00BD69FE" w:rsidRPr="00226744" w14:paraId="5489D00F"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2C6EE05F" w14:textId="3079C9EF" w:rsidR="00BD69FE" w:rsidRPr="00226744" w:rsidRDefault="00BD69FE" w:rsidP="008F3D71">
            <w:pPr>
              <w:rPr>
                <w:b w:val="0"/>
              </w:rPr>
            </w:pPr>
            <w:r w:rsidRPr="00226744">
              <w:t>IAP</w:t>
            </w:r>
            <w:r w:rsidR="004C64BB" w:rsidRPr="00226744">
              <w:t xml:space="preserve"> </w:t>
            </w:r>
            <w:r w:rsidRPr="00226744">
              <w:t>Code</w:t>
            </w:r>
          </w:p>
        </w:tc>
        <w:tc>
          <w:tcPr>
            <w:tcW w:w="6804" w:type="dxa"/>
            <w:tcBorders>
              <w:left w:val="single" w:sz="4" w:space="0" w:color="auto"/>
            </w:tcBorders>
          </w:tcPr>
          <w:p w14:paraId="34A261AC" w14:textId="11413FDF" w:rsidR="00BD69FE" w:rsidRPr="00226744" w:rsidRDefault="00846F20" w:rsidP="008F3D71">
            <w:pPr>
              <w:cnfStyle w:val="000000100000" w:firstRow="0" w:lastRow="0" w:firstColumn="0" w:lastColumn="0" w:oddVBand="0" w:evenVBand="0" w:oddHBand="1" w:evenHBand="0" w:firstRowFirstColumn="0" w:firstRowLastColumn="0" w:lastRowFirstColumn="0" w:lastRowLastColumn="0"/>
            </w:pPr>
            <w:r w:rsidRPr="00226744">
              <w:t>IAP00</w:t>
            </w:r>
            <w:r w:rsidR="005C770F" w:rsidRPr="00226744">
              <w:t>361</w:t>
            </w:r>
          </w:p>
        </w:tc>
      </w:tr>
      <w:tr w:rsidR="00BD69FE" w:rsidRPr="00226744" w14:paraId="6629A3E7"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23997C39" w14:textId="77777777" w:rsidR="00BD69FE" w:rsidRPr="00226744" w:rsidRDefault="00BD69FE" w:rsidP="008F3D71">
            <w:pPr>
              <w:rPr>
                <w:b w:val="0"/>
              </w:rPr>
            </w:pPr>
            <w:r w:rsidRPr="00226744">
              <w:t>Title</w:t>
            </w:r>
          </w:p>
        </w:tc>
        <w:tc>
          <w:tcPr>
            <w:tcW w:w="6804" w:type="dxa"/>
            <w:tcBorders>
              <w:left w:val="single" w:sz="4" w:space="0" w:color="auto"/>
            </w:tcBorders>
          </w:tcPr>
          <w:p w14:paraId="523F6C46" w14:textId="3B729CAC" w:rsidR="000F1843" w:rsidRPr="00226744" w:rsidRDefault="00C05464" w:rsidP="007701E6">
            <w:pPr>
              <w:cnfStyle w:val="000000000000" w:firstRow="0" w:lastRow="0" w:firstColumn="0" w:lastColumn="0" w:oddVBand="0" w:evenVBand="0" w:oddHBand="0" w:evenHBand="0" w:firstRowFirstColumn="0" w:firstRowLastColumn="0" w:lastRowFirstColumn="0" w:lastRowLastColumn="0"/>
            </w:pPr>
            <w:r w:rsidRPr="00226744">
              <w:t>Unplanned readmissions to Mental Health Services within 30 days of a Mental Health inpatient discharge in people aged 17 and over</w:t>
            </w:r>
          </w:p>
        </w:tc>
      </w:tr>
      <w:tr w:rsidR="00BD69FE" w:rsidRPr="00226744" w14:paraId="28621C46"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052110F3" w14:textId="77777777" w:rsidR="00BD69FE" w:rsidRPr="00226744" w:rsidRDefault="00BD69FE" w:rsidP="008F3D71">
            <w:pPr>
              <w:rPr>
                <w:b w:val="0"/>
              </w:rPr>
            </w:pPr>
            <w:r w:rsidRPr="00226744">
              <w:t>Published by</w:t>
            </w:r>
          </w:p>
        </w:tc>
        <w:tc>
          <w:tcPr>
            <w:tcW w:w="6804" w:type="dxa"/>
            <w:tcBorders>
              <w:left w:val="single" w:sz="4" w:space="0" w:color="auto"/>
            </w:tcBorders>
          </w:tcPr>
          <w:p w14:paraId="6093FD1D" w14:textId="6206A1C4" w:rsidR="003F1910" w:rsidRPr="00226744" w:rsidRDefault="00855C13" w:rsidP="004740DE">
            <w:pPr>
              <w:cnfStyle w:val="000000100000" w:firstRow="0" w:lastRow="0" w:firstColumn="0" w:lastColumn="0" w:oddVBand="0" w:evenVBand="0" w:oddHBand="1" w:evenHBand="0" w:firstRowFirstColumn="0" w:firstRowLastColumn="0" w:lastRowFirstColumn="0" w:lastRowLastColumn="0"/>
            </w:pPr>
            <w:r w:rsidRPr="00226744">
              <w:t>Not currentl</w:t>
            </w:r>
            <w:r w:rsidR="00B81985" w:rsidRPr="00226744">
              <w:t>y in publication</w:t>
            </w:r>
          </w:p>
        </w:tc>
      </w:tr>
      <w:tr w:rsidR="00BD69FE" w:rsidRPr="00226744" w14:paraId="5181966B"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7CFA607F" w14:textId="77777777" w:rsidR="00BD69FE" w:rsidRPr="00226744" w:rsidRDefault="00BD69FE" w:rsidP="008F3D71">
            <w:pPr>
              <w:rPr>
                <w:b w:val="0"/>
              </w:rPr>
            </w:pPr>
            <w:r w:rsidRPr="00226744">
              <w:t>Reporting period</w:t>
            </w:r>
          </w:p>
        </w:tc>
        <w:tc>
          <w:tcPr>
            <w:tcW w:w="6804" w:type="dxa"/>
            <w:tcBorders>
              <w:left w:val="single" w:sz="4" w:space="0" w:color="auto"/>
            </w:tcBorders>
          </w:tcPr>
          <w:p w14:paraId="2C54EFD5" w14:textId="7204B6F3" w:rsidR="00BD69FE" w:rsidRPr="00226744" w:rsidRDefault="006C72ED" w:rsidP="008F3D71">
            <w:pPr>
              <w:cnfStyle w:val="000000000000" w:firstRow="0" w:lastRow="0" w:firstColumn="0" w:lastColumn="0" w:oddVBand="0" w:evenVBand="0" w:oddHBand="0" w:evenHBand="0" w:firstRowFirstColumn="0" w:firstRowLastColumn="0" w:lastRowFirstColumn="0" w:lastRowLastColumn="0"/>
            </w:pPr>
            <w:r w:rsidRPr="00226744">
              <w:t>Quarterly</w:t>
            </w:r>
          </w:p>
        </w:tc>
      </w:tr>
      <w:tr w:rsidR="00BD69FE" w:rsidRPr="00226744" w14:paraId="1B9AB236"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134ECB6F" w14:textId="77777777" w:rsidR="00BD69FE" w:rsidRPr="00226744" w:rsidRDefault="00BD69FE" w:rsidP="008F3D71">
            <w:pPr>
              <w:rPr>
                <w:b w:val="0"/>
              </w:rPr>
            </w:pPr>
            <w:r w:rsidRPr="00226744">
              <w:t>Geographical Coverage</w:t>
            </w:r>
          </w:p>
        </w:tc>
        <w:tc>
          <w:tcPr>
            <w:tcW w:w="6804" w:type="dxa"/>
            <w:tcBorders>
              <w:left w:val="single" w:sz="4" w:space="0" w:color="auto"/>
            </w:tcBorders>
          </w:tcPr>
          <w:p w14:paraId="50DF24FC" w14:textId="6BA25B4B" w:rsidR="000A20FA" w:rsidRPr="00226744" w:rsidRDefault="007B195B" w:rsidP="008F3D71">
            <w:pPr>
              <w:cnfStyle w:val="000000100000" w:firstRow="0" w:lastRow="0" w:firstColumn="0" w:lastColumn="0" w:oddVBand="0" w:evenVBand="0" w:oddHBand="1" w:evenHBand="0" w:firstRowFirstColumn="0" w:firstRowLastColumn="0" w:lastRowFirstColumn="0" w:lastRowLastColumn="0"/>
            </w:pPr>
            <w:r w:rsidRPr="00226744">
              <w:t>England</w:t>
            </w:r>
          </w:p>
        </w:tc>
      </w:tr>
      <w:tr w:rsidR="00BD69FE" w:rsidRPr="00226744" w14:paraId="64620C9C"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55C73694" w14:textId="77777777" w:rsidR="00BD69FE" w:rsidRPr="00226744" w:rsidRDefault="00BD69FE" w:rsidP="008F3D71">
            <w:pPr>
              <w:rPr>
                <w:b w:val="0"/>
              </w:rPr>
            </w:pPr>
            <w:r w:rsidRPr="00226744">
              <w:t>Reporting level(s)</w:t>
            </w:r>
          </w:p>
        </w:tc>
        <w:tc>
          <w:tcPr>
            <w:tcW w:w="6804" w:type="dxa"/>
            <w:tcBorders>
              <w:left w:val="single" w:sz="4" w:space="0" w:color="auto"/>
            </w:tcBorders>
          </w:tcPr>
          <w:p w14:paraId="5685C1A0" w14:textId="25DE489C" w:rsidR="00BD69FE" w:rsidRPr="00226744" w:rsidRDefault="00165C57" w:rsidP="008F3D71">
            <w:pPr>
              <w:cnfStyle w:val="000000000000" w:firstRow="0" w:lastRow="0" w:firstColumn="0" w:lastColumn="0" w:oddVBand="0" w:evenVBand="0" w:oddHBand="0" w:evenHBand="0" w:firstRowFirstColumn="0" w:firstRowLastColumn="0" w:lastRowFirstColumn="0" w:lastRowLastColumn="0"/>
            </w:pPr>
            <w:r w:rsidRPr="00226744">
              <w:t>CCG</w:t>
            </w:r>
            <w:r w:rsidR="001F2E50" w:rsidRPr="00226744">
              <w:t xml:space="preserve">, </w:t>
            </w:r>
            <w:r w:rsidR="00963A16" w:rsidRPr="00226744">
              <w:t>National</w:t>
            </w:r>
          </w:p>
        </w:tc>
      </w:tr>
      <w:tr w:rsidR="00BD69FE" w:rsidRPr="00226744" w14:paraId="7A68395C"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4C73D882" w14:textId="77777777" w:rsidR="00BD69FE" w:rsidRPr="00226744" w:rsidRDefault="00BD69FE" w:rsidP="008F3D71">
            <w:pPr>
              <w:rPr>
                <w:b w:val="0"/>
              </w:rPr>
            </w:pPr>
            <w:r w:rsidRPr="00226744">
              <w:t>Based on data from</w:t>
            </w:r>
          </w:p>
        </w:tc>
        <w:tc>
          <w:tcPr>
            <w:tcW w:w="6804" w:type="dxa"/>
            <w:tcBorders>
              <w:left w:val="single" w:sz="4" w:space="0" w:color="auto"/>
            </w:tcBorders>
          </w:tcPr>
          <w:p w14:paraId="1345DE27" w14:textId="04216C29" w:rsidR="00BD69FE" w:rsidRPr="00226744" w:rsidRDefault="001C22FD" w:rsidP="000A20FA">
            <w:pPr>
              <w:cnfStyle w:val="000000100000" w:firstRow="0" w:lastRow="0" w:firstColumn="0" w:lastColumn="0" w:oddVBand="0" w:evenVBand="0" w:oddHBand="1" w:evenHBand="0" w:firstRowFirstColumn="0" w:firstRowLastColumn="0" w:lastRowFirstColumn="0" w:lastRowLastColumn="0"/>
            </w:pPr>
            <w:r w:rsidRPr="00226744">
              <w:t>Mental Health Minimum Data Set</w:t>
            </w:r>
          </w:p>
        </w:tc>
      </w:tr>
      <w:tr w:rsidR="00BD69FE" w:rsidRPr="00226744" w14:paraId="1B0918A4"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137B4A4E" w14:textId="77777777" w:rsidR="00BD69FE" w:rsidRPr="00226744" w:rsidRDefault="00BD69FE" w:rsidP="008F3D71">
            <w:pPr>
              <w:rPr>
                <w:b w:val="0"/>
              </w:rPr>
            </w:pPr>
            <w:r w:rsidRPr="00226744">
              <w:t>Contact Author Name</w:t>
            </w:r>
          </w:p>
        </w:tc>
        <w:tc>
          <w:tcPr>
            <w:tcW w:w="6804" w:type="dxa"/>
            <w:tcBorders>
              <w:left w:val="single" w:sz="4" w:space="0" w:color="auto"/>
            </w:tcBorders>
          </w:tcPr>
          <w:p w14:paraId="7BDE5252" w14:textId="575483F0" w:rsidR="00BD69FE" w:rsidRPr="00226744" w:rsidRDefault="004732C8" w:rsidP="00110F8F">
            <w:pPr>
              <w:cnfStyle w:val="000000000000" w:firstRow="0" w:lastRow="0" w:firstColumn="0" w:lastColumn="0" w:oddVBand="0" w:evenVBand="0" w:oddHBand="0" w:evenHBand="0" w:firstRowFirstColumn="0" w:firstRowLastColumn="0" w:lastRowFirstColumn="0" w:lastRowLastColumn="0"/>
            </w:pPr>
            <w:r w:rsidRPr="00226744">
              <w:t>Alison Roe, Senior Service Delivery Manager, NHS Digital</w:t>
            </w:r>
          </w:p>
        </w:tc>
      </w:tr>
      <w:tr w:rsidR="00BD69FE" w:rsidRPr="00226744" w14:paraId="12572889"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46C94C25" w14:textId="77777777" w:rsidR="00BD69FE" w:rsidRPr="00226744" w:rsidRDefault="00BD69FE" w:rsidP="008F3D71">
            <w:pPr>
              <w:rPr>
                <w:b w:val="0"/>
              </w:rPr>
            </w:pPr>
            <w:r w:rsidRPr="00226744">
              <w:t>Contact Author Email</w:t>
            </w:r>
          </w:p>
        </w:tc>
        <w:tc>
          <w:tcPr>
            <w:tcW w:w="6804" w:type="dxa"/>
            <w:tcBorders>
              <w:left w:val="single" w:sz="4" w:space="0" w:color="auto"/>
            </w:tcBorders>
          </w:tcPr>
          <w:p w14:paraId="337B0AB9" w14:textId="4A048E62" w:rsidR="00BD69FE" w:rsidRPr="00226744" w:rsidRDefault="001C22FD" w:rsidP="008F3D71">
            <w:pPr>
              <w:cnfStyle w:val="000000100000" w:firstRow="0" w:lastRow="0" w:firstColumn="0" w:lastColumn="0" w:oddVBand="0" w:evenVBand="0" w:oddHBand="1" w:evenHBand="0" w:firstRowFirstColumn="0" w:firstRowLastColumn="0" w:lastRowFirstColumn="0" w:lastRowLastColumn="0"/>
            </w:pPr>
            <w:r w:rsidRPr="00226744">
              <w:t>ccgois@hscic.gov.uk</w:t>
            </w:r>
          </w:p>
        </w:tc>
      </w:tr>
      <w:tr w:rsidR="00BD69FE" w:rsidRPr="00226744" w14:paraId="146CE663"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2471F2F3" w14:textId="77777777" w:rsidR="00BD69FE" w:rsidRPr="00226744" w:rsidRDefault="00BD69FE" w:rsidP="008F3D71">
            <w:pPr>
              <w:rPr>
                <w:b w:val="0"/>
              </w:rPr>
            </w:pPr>
            <w:r w:rsidRPr="00226744">
              <w:t>Rating</w:t>
            </w:r>
          </w:p>
        </w:tc>
        <w:tc>
          <w:tcPr>
            <w:tcW w:w="6804" w:type="dxa"/>
            <w:tcBorders>
              <w:left w:val="single" w:sz="4" w:space="0" w:color="auto"/>
            </w:tcBorders>
          </w:tcPr>
          <w:p w14:paraId="42821BAF" w14:textId="45FDE402" w:rsidR="00BD69FE" w:rsidRPr="00226744" w:rsidRDefault="002B6306" w:rsidP="008F3D71">
            <w:pPr>
              <w:cnfStyle w:val="000000000000" w:firstRow="0" w:lastRow="0" w:firstColumn="0" w:lastColumn="0" w:oddVBand="0" w:evenVBand="0" w:oddHBand="0" w:evenHBand="0" w:firstRowFirstColumn="0" w:firstRowLastColumn="0" w:lastRowFirstColumn="0" w:lastRowLastColumn="0"/>
            </w:pPr>
            <w:r w:rsidRPr="00226744">
              <w:t>Assured with comments</w:t>
            </w:r>
          </w:p>
        </w:tc>
      </w:tr>
      <w:tr w:rsidR="00BD69FE" w:rsidRPr="00226744" w14:paraId="36C90CDC"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6DDE63CB" w14:textId="77777777" w:rsidR="00BD69FE" w:rsidRPr="00226744" w:rsidRDefault="00BD69FE" w:rsidP="008F3D71">
            <w:pPr>
              <w:rPr>
                <w:b w:val="0"/>
              </w:rPr>
            </w:pPr>
            <w:r w:rsidRPr="00226744">
              <w:t>Assurance date</w:t>
            </w:r>
          </w:p>
        </w:tc>
        <w:tc>
          <w:tcPr>
            <w:tcW w:w="6804" w:type="dxa"/>
            <w:tcBorders>
              <w:left w:val="single" w:sz="4" w:space="0" w:color="auto"/>
            </w:tcBorders>
          </w:tcPr>
          <w:p w14:paraId="07A7432F" w14:textId="32CEB561" w:rsidR="001017DB" w:rsidRPr="00226744" w:rsidRDefault="003F6A84" w:rsidP="008F3D71">
            <w:pPr>
              <w:cnfStyle w:val="000000100000" w:firstRow="0" w:lastRow="0" w:firstColumn="0" w:lastColumn="0" w:oddVBand="0" w:evenVBand="0" w:oddHBand="1" w:evenHBand="0" w:firstRowFirstColumn="0" w:firstRowLastColumn="0" w:lastRowFirstColumn="0" w:lastRowLastColumn="0"/>
            </w:pPr>
            <w:r w:rsidRPr="00226744">
              <w:t>12.11.14</w:t>
            </w:r>
          </w:p>
        </w:tc>
      </w:tr>
      <w:tr w:rsidR="00BD69FE" w:rsidRPr="00226744" w14:paraId="2FD2A140"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71690B01" w14:textId="77777777" w:rsidR="00BD69FE" w:rsidRPr="00226744" w:rsidRDefault="00BD69FE" w:rsidP="008F3D71">
            <w:pPr>
              <w:rPr>
                <w:b w:val="0"/>
              </w:rPr>
            </w:pPr>
            <w:r w:rsidRPr="00226744">
              <w:t>Review date</w:t>
            </w:r>
          </w:p>
        </w:tc>
        <w:tc>
          <w:tcPr>
            <w:tcW w:w="6804" w:type="dxa"/>
            <w:tcBorders>
              <w:left w:val="single" w:sz="4" w:space="0" w:color="auto"/>
            </w:tcBorders>
          </w:tcPr>
          <w:p w14:paraId="65D82364" w14:textId="7B89E2BC" w:rsidR="00BD69FE" w:rsidRPr="00226744" w:rsidRDefault="003F6A84" w:rsidP="008F3D71">
            <w:pPr>
              <w:cnfStyle w:val="000000000000" w:firstRow="0" w:lastRow="0" w:firstColumn="0" w:lastColumn="0" w:oddVBand="0" w:evenVBand="0" w:oddHBand="0" w:evenHBand="0" w:firstRowFirstColumn="0" w:firstRowLastColumn="0" w:lastRowFirstColumn="0" w:lastRowLastColumn="0"/>
            </w:pPr>
            <w:r w:rsidRPr="00226744">
              <w:t>12.11.17</w:t>
            </w:r>
          </w:p>
        </w:tc>
      </w:tr>
      <w:tr w:rsidR="00BD69FE" w:rsidRPr="00226744" w14:paraId="5F25EAD6"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154752B2" w14:textId="77777777" w:rsidR="00BD69FE" w:rsidRPr="00226744" w:rsidRDefault="00BD69FE" w:rsidP="008F3D71">
            <w:pPr>
              <w:rPr>
                <w:b w:val="0"/>
              </w:rPr>
            </w:pPr>
            <w:r w:rsidRPr="00226744">
              <w:t>Indicator set</w:t>
            </w:r>
          </w:p>
        </w:tc>
        <w:tc>
          <w:tcPr>
            <w:tcW w:w="6804" w:type="dxa"/>
            <w:tcBorders>
              <w:left w:val="single" w:sz="4" w:space="0" w:color="auto"/>
            </w:tcBorders>
          </w:tcPr>
          <w:p w14:paraId="6C3C44BD" w14:textId="6E1CAF50" w:rsidR="00BD69FE" w:rsidRPr="00226744" w:rsidRDefault="003B7CF3" w:rsidP="008F3D71">
            <w:pPr>
              <w:cnfStyle w:val="000000100000" w:firstRow="0" w:lastRow="0" w:firstColumn="0" w:lastColumn="0" w:oddVBand="0" w:evenVBand="0" w:oddHBand="1" w:evenHBand="0" w:firstRowFirstColumn="0" w:firstRowLastColumn="0" w:lastRowFirstColumn="0" w:lastRowLastColumn="0"/>
            </w:pPr>
            <w:r w:rsidRPr="00226744">
              <w:t>CCG OIS</w:t>
            </w:r>
          </w:p>
        </w:tc>
      </w:tr>
      <w:tr w:rsidR="00BD69FE" w:rsidRPr="00226744" w14:paraId="6F4A3701"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42EBDFE1" w14:textId="77777777" w:rsidR="00BD69FE" w:rsidRPr="00226744" w:rsidRDefault="00BD69FE" w:rsidP="008F3D71">
            <w:pPr>
              <w:rPr>
                <w:b w:val="0"/>
              </w:rPr>
            </w:pPr>
            <w:r w:rsidRPr="00226744">
              <w:t xml:space="preserve">Brief Description </w:t>
            </w:r>
          </w:p>
          <w:p w14:paraId="71948065" w14:textId="51BD6874" w:rsidR="00BD69FE" w:rsidRPr="00226744" w:rsidRDefault="00BD69FE" w:rsidP="008F3D71">
            <w:pPr>
              <w:rPr>
                <w:b w:val="0"/>
              </w:rPr>
            </w:pPr>
          </w:p>
        </w:tc>
        <w:tc>
          <w:tcPr>
            <w:tcW w:w="6804" w:type="dxa"/>
            <w:tcBorders>
              <w:left w:val="single" w:sz="4" w:space="0" w:color="auto"/>
            </w:tcBorders>
          </w:tcPr>
          <w:p w14:paraId="690E93D5" w14:textId="63A8C71B" w:rsidR="003D0ABF" w:rsidRPr="00226744" w:rsidRDefault="0072522B" w:rsidP="00F71914">
            <w:pPr>
              <w:cnfStyle w:val="000000000000" w:firstRow="0" w:lastRow="0" w:firstColumn="0" w:lastColumn="0" w:oddVBand="0" w:evenVBand="0" w:oddHBand="0" w:evenHBand="0" w:firstRowFirstColumn="0" w:firstRowLastColumn="0" w:lastRowFirstColumn="0" w:lastRowLastColumn="0"/>
            </w:pPr>
            <w:r w:rsidRPr="00226744">
              <w:t>This indicator measures the number of unplanned readmissions to a mental health service within 30 days of being discharged from a mental health inpatient service in people aged 17 and over, reported at CCG level.</w:t>
            </w:r>
          </w:p>
        </w:tc>
      </w:tr>
      <w:tr w:rsidR="00BD69FE" w:rsidRPr="00226744" w14:paraId="30049EB2"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4DB2E955" w14:textId="77777777" w:rsidR="00BD69FE" w:rsidRPr="00226744" w:rsidRDefault="00BD69FE" w:rsidP="008F3D71">
            <w:pPr>
              <w:rPr>
                <w:b w:val="0"/>
              </w:rPr>
            </w:pPr>
            <w:r w:rsidRPr="00226744">
              <w:t>Purpose</w:t>
            </w:r>
          </w:p>
        </w:tc>
        <w:tc>
          <w:tcPr>
            <w:tcW w:w="6804" w:type="dxa"/>
            <w:tcBorders>
              <w:left w:val="single" w:sz="4" w:space="0" w:color="auto"/>
            </w:tcBorders>
          </w:tcPr>
          <w:p w14:paraId="17535879" w14:textId="77777777" w:rsidR="007A2A71" w:rsidRPr="00226744" w:rsidRDefault="007A2A71" w:rsidP="007A2A71">
            <w:pPr>
              <w:cnfStyle w:val="000000100000" w:firstRow="0" w:lastRow="0" w:firstColumn="0" w:lastColumn="0" w:oddVBand="0" w:evenVBand="0" w:oddHBand="1" w:evenHBand="0" w:firstRowFirstColumn="0" w:firstRowLastColumn="0" w:lastRowFirstColumn="0" w:lastRowLastColumn="0"/>
            </w:pPr>
            <w:r w:rsidRPr="00226744">
              <w:t xml:space="preserve">It is the case that a significant proportion of readmissions are avoidable and that certain interventions can help to avoid readmission. Examples are better discharge planning and post discharge follow up. The readmission rate is widely used as a proxy measure for avoidable adverse outcomes. However, there are different views in the literature on whether it is actually a suitable quality measure for services. Issues relate to the non-identification of which readmissions are avoidable, the impact of case-mix and its relationship to the length of stay. </w:t>
            </w:r>
          </w:p>
          <w:p w14:paraId="7375CDF4" w14:textId="72ACA7F8" w:rsidR="007A2A71" w:rsidRPr="00226744" w:rsidRDefault="007A2A71" w:rsidP="007A2A71">
            <w:pPr>
              <w:cnfStyle w:val="000000100000" w:firstRow="0" w:lastRow="0" w:firstColumn="0" w:lastColumn="0" w:oddVBand="0" w:evenVBand="0" w:oddHBand="1" w:evenHBand="0" w:firstRowFirstColumn="0" w:firstRowLastColumn="0" w:lastRowFirstColumn="0" w:lastRowLastColumn="0"/>
            </w:pPr>
            <w:r w:rsidRPr="00226744">
              <w:t>The issues raised as queries as to whether it is a suitable quality measure are all ones which could also be raised in relation to physical health readmissions. However, readmission rates are nevertheless viewed as an appropriate subject of examination in physical health services. Moreover, the issues raised are ones which one would broadly expect to feature in most general mental health in-patient services in relation to readmissions. Therefore</w:t>
            </w:r>
            <w:r w:rsidR="001A0153" w:rsidRPr="00226744">
              <w:t>,</w:t>
            </w:r>
            <w:r w:rsidRPr="00226744">
              <w:t xml:space="preserve"> this should not preclude significant variation in readmission rates between different localities being a legitimate subject for examination by CCGs.</w:t>
            </w:r>
          </w:p>
          <w:p w14:paraId="63AE47C8" w14:textId="2BF047E0" w:rsidR="008D6588" w:rsidRPr="00226744" w:rsidRDefault="007A2A71" w:rsidP="007A2A71">
            <w:pPr>
              <w:cnfStyle w:val="000000100000" w:firstRow="0" w:lastRow="0" w:firstColumn="0" w:lastColumn="0" w:oddVBand="0" w:evenVBand="0" w:oddHBand="1" w:evenHBand="0" w:firstRowFirstColumn="0" w:firstRowLastColumn="0" w:lastRowFirstColumn="0" w:lastRowLastColumn="0"/>
            </w:pPr>
            <w:r w:rsidRPr="00226744">
              <w:lastRenderedPageBreak/>
              <w:t>Variations in readmissions rates may reflect a number of issues that relate to outcomes of services commissioned by CCGs, including the effectiveness of treatment within the in-patient setting and the effectiveness of post-discharge community services.</w:t>
            </w:r>
          </w:p>
        </w:tc>
      </w:tr>
      <w:tr w:rsidR="00BD69FE" w:rsidRPr="00226744" w14:paraId="54849C45"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70E47248" w14:textId="77777777" w:rsidR="00BD69FE" w:rsidRPr="00226744" w:rsidRDefault="00BD69FE" w:rsidP="008F3D71">
            <w:pPr>
              <w:rPr>
                <w:b w:val="0"/>
              </w:rPr>
            </w:pPr>
            <w:r w:rsidRPr="00226744">
              <w:lastRenderedPageBreak/>
              <w:t>Definition</w:t>
            </w:r>
          </w:p>
        </w:tc>
        <w:tc>
          <w:tcPr>
            <w:tcW w:w="6804" w:type="dxa"/>
            <w:tcBorders>
              <w:left w:val="single" w:sz="4" w:space="0" w:color="auto"/>
            </w:tcBorders>
          </w:tcPr>
          <w:p w14:paraId="07013616" w14:textId="029B4103" w:rsidR="00BD69FE" w:rsidRPr="00226744" w:rsidRDefault="002C57CB" w:rsidP="005C1D3D">
            <w:pPr>
              <w:cnfStyle w:val="000000000000" w:firstRow="0" w:lastRow="0" w:firstColumn="0" w:lastColumn="0" w:oddVBand="0" w:evenVBand="0" w:oddHBand="0" w:evenHBand="0" w:firstRowFirstColumn="0" w:firstRowLastColumn="0" w:lastRowFirstColumn="0" w:lastRowLastColumn="0"/>
            </w:pPr>
            <w:r w:rsidRPr="00226744">
              <w:t>Data from the Mental Health Minimum Data Set (MHMDS) is used to determine the number of discharges in a 12month period and the number of unplanned readmissions to any mental health service in the 30 days following this discharge. This indicator counts the number of discharges and subsequent unplanned readmissions. It is not a count of people.</w:t>
            </w:r>
          </w:p>
        </w:tc>
      </w:tr>
      <w:tr w:rsidR="005C7AAF" w:rsidRPr="00226744" w14:paraId="6E1036B1"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3CE98FA2" w14:textId="77777777" w:rsidR="005C7AAF" w:rsidRPr="00226744" w:rsidRDefault="005C7AAF" w:rsidP="005C7AAF">
            <w:pPr>
              <w:rPr>
                <w:b w:val="0"/>
              </w:rPr>
            </w:pPr>
            <w:r w:rsidRPr="00226744">
              <w:t>Data Source</w:t>
            </w:r>
          </w:p>
        </w:tc>
        <w:tc>
          <w:tcPr>
            <w:tcW w:w="6804" w:type="dxa"/>
            <w:tcBorders>
              <w:left w:val="single" w:sz="4" w:space="0" w:color="auto"/>
            </w:tcBorders>
          </w:tcPr>
          <w:p w14:paraId="6738187C" w14:textId="69F4E829" w:rsidR="00F0611B" w:rsidRPr="00226744" w:rsidRDefault="002E2BAC" w:rsidP="007A2C2A">
            <w:pPr>
              <w:cnfStyle w:val="000000100000" w:firstRow="0" w:lastRow="0" w:firstColumn="0" w:lastColumn="0" w:oddVBand="0" w:evenVBand="0" w:oddHBand="1" w:evenHBand="0" w:firstRowFirstColumn="0" w:firstRowLastColumn="0" w:lastRowFirstColumn="0" w:lastRowLastColumn="0"/>
            </w:pPr>
            <w:r w:rsidRPr="00226744">
              <w:t>Mental Health Minimum Data Set (MHMDS) (http://www.hscic.gov.uk/mhmds</w:t>
            </w:r>
          </w:p>
        </w:tc>
      </w:tr>
      <w:tr w:rsidR="005C7AAF" w:rsidRPr="00226744" w14:paraId="1EF5CCA7"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75E42FA3" w14:textId="77777777" w:rsidR="005C7AAF" w:rsidRPr="00226744" w:rsidRDefault="005C7AAF" w:rsidP="005C7AAF">
            <w:pPr>
              <w:rPr>
                <w:b w:val="0"/>
              </w:rPr>
            </w:pPr>
            <w:r w:rsidRPr="00226744">
              <w:t>Numerator</w:t>
            </w:r>
          </w:p>
        </w:tc>
        <w:tc>
          <w:tcPr>
            <w:tcW w:w="6804" w:type="dxa"/>
            <w:tcBorders>
              <w:left w:val="single" w:sz="4" w:space="0" w:color="auto"/>
            </w:tcBorders>
          </w:tcPr>
          <w:p w14:paraId="6320A5E4" w14:textId="77777777" w:rsidR="00726734" w:rsidRPr="00226744" w:rsidRDefault="00726734" w:rsidP="00726734">
            <w:pPr>
              <w:cnfStyle w:val="000000000000" w:firstRow="0" w:lastRow="0" w:firstColumn="0" w:lastColumn="0" w:oddVBand="0" w:evenVBand="0" w:oddHBand="0" w:evenHBand="0" w:firstRowFirstColumn="0" w:firstRowLastColumn="0" w:lastRowFirstColumn="0" w:lastRowLastColumn="0"/>
            </w:pPr>
            <w:r w:rsidRPr="00226744">
              <w:t>The observed number of unplanned readmissions to a Mental Health inpatient service within 30 days of a discharge from a psychiatric hospital.</w:t>
            </w:r>
          </w:p>
          <w:p w14:paraId="4E048882" w14:textId="7688FCC8" w:rsidR="005C7AAF" w:rsidRPr="00226744" w:rsidRDefault="00726734" w:rsidP="00726734">
            <w:pPr>
              <w:cnfStyle w:val="000000000000" w:firstRow="0" w:lastRow="0" w:firstColumn="0" w:lastColumn="0" w:oddVBand="0" w:evenVBand="0" w:oddHBand="0" w:evenHBand="0" w:firstRowFirstColumn="0" w:firstRowLastColumn="0" w:lastRowFirstColumn="0" w:lastRowLastColumn="0"/>
            </w:pPr>
            <w:r w:rsidRPr="00226744">
              <w:t>The period in which a discharge is included covers April YYYY – March YYYY+1, the period in which a readmission is included covers April YYYY - April YYYY+1.</w:t>
            </w:r>
          </w:p>
        </w:tc>
      </w:tr>
      <w:tr w:rsidR="005C7AAF" w:rsidRPr="00226744" w14:paraId="22216F2F"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6B547D53" w14:textId="77777777" w:rsidR="005C7AAF" w:rsidRPr="00226744" w:rsidRDefault="005C7AAF" w:rsidP="005C7AAF">
            <w:pPr>
              <w:rPr>
                <w:b w:val="0"/>
              </w:rPr>
            </w:pPr>
            <w:r w:rsidRPr="00226744">
              <w:t>Denominator</w:t>
            </w:r>
          </w:p>
        </w:tc>
        <w:tc>
          <w:tcPr>
            <w:tcW w:w="6804" w:type="dxa"/>
            <w:tcBorders>
              <w:left w:val="single" w:sz="4" w:space="0" w:color="auto"/>
            </w:tcBorders>
          </w:tcPr>
          <w:p w14:paraId="0363460F" w14:textId="77777777" w:rsidR="000C77D2" w:rsidRPr="00226744" w:rsidRDefault="000C77D2" w:rsidP="000C77D2">
            <w:pPr>
              <w:cnfStyle w:val="000000100000" w:firstRow="0" w:lastRow="0" w:firstColumn="0" w:lastColumn="0" w:oddVBand="0" w:evenVBand="0" w:oddHBand="1" w:evenHBand="0" w:firstRowFirstColumn="0" w:firstRowLastColumn="0" w:lastRowFirstColumn="0" w:lastRowLastColumn="0"/>
            </w:pPr>
            <w:r w:rsidRPr="00226744">
              <w:t>The number of unplanned readmissions to a Mental Health inpatient service expected to occur within 30 days of a discharge from a psychiatric hospital.</w:t>
            </w:r>
          </w:p>
          <w:p w14:paraId="2358D649" w14:textId="12836BA5" w:rsidR="00FE09CF" w:rsidRPr="00226744" w:rsidRDefault="000C77D2" w:rsidP="000C77D2">
            <w:pPr>
              <w:cnfStyle w:val="000000100000" w:firstRow="0" w:lastRow="0" w:firstColumn="0" w:lastColumn="0" w:oddVBand="0" w:evenVBand="0" w:oddHBand="1" w:evenHBand="0" w:firstRowFirstColumn="0" w:firstRowLastColumn="0" w:lastRowFirstColumn="0" w:lastRowLastColumn="0"/>
            </w:pPr>
            <w:r w:rsidRPr="00226744">
              <w:t>The period in which a discharge is included covers April YYYY – March YYYY+1, the period in which a readmission is included covers April YYYY - April YYYY+1.</w:t>
            </w:r>
          </w:p>
        </w:tc>
      </w:tr>
      <w:tr w:rsidR="005C7AAF" w:rsidRPr="00226744" w14:paraId="5FC03589"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21F9D9B3" w14:textId="77777777" w:rsidR="005C7AAF" w:rsidRPr="00226744" w:rsidRDefault="005C7AAF" w:rsidP="005C7AAF">
            <w:pPr>
              <w:rPr>
                <w:b w:val="0"/>
              </w:rPr>
            </w:pPr>
            <w:r w:rsidRPr="00226744">
              <w:t>Calculation</w:t>
            </w:r>
          </w:p>
        </w:tc>
        <w:tc>
          <w:tcPr>
            <w:tcW w:w="6804" w:type="dxa"/>
            <w:tcBorders>
              <w:left w:val="single" w:sz="4" w:space="0" w:color="auto"/>
            </w:tcBorders>
          </w:tcPr>
          <w:p w14:paraId="7C1B2052" w14:textId="77777777" w:rsidR="006E198D" w:rsidRPr="00226744" w:rsidRDefault="006E198D" w:rsidP="006E198D">
            <w:pPr>
              <w:cnfStyle w:val="000000000000" w:firstRow="0" w:lastRow="0" w:firstColumn="0" w:lastColumn="0" w:oddVBand="0" w:evenVBand="0" w:oddHBand="0" w:evenHBand="0" w:firstRowFirstColumn="0" w:firstRowLastColumn="0" w:lastRowFirstColumn="0" w:lastRowLastColumn="0"/>
            </w:pPr>
            <w:r w:rsidRPr="00226744">
              <w:t>The indicator is reported as an Indirectly Standardised Ratio (ISR) of the number of unplanned readmissions within 30 days of a discharge from a mental health inpatient service.</w:t>
            </w:r>
          </w:p>
          <w:p w14:paraId="37B3E38C" w14:textId="77777777" w:rsidR="006E198D" w:rsidRPr="00226744" w:rsidRDefault="006E198D" w:rsidP="006E198D">
            <w:pPr>
              <w:cnfStyle w:val="000000000000" w:firstRow="0" w:lastRow="0" w:firstColumn="0" w:lastColumn="0" w:oddVBand="0" w:evenVBand="0" w:oddHBand="0" w:evenHBand="0" w:firstRowFirstColumn="0" w:firstRowLastColumn="0" w:lastRowFirstColumn="0" w:lastRowLastColumn="0"/>
            </w:pPr>
            <w:r w:rsidRPr="00226744">
              <w:t>The ISR is given by:</w:t>
            </w:r>
          </w:p>
          <w:p w14:paraId="0B2D5225" w14:textId="634FF91F" w:rsidR="006E198D" w:rsidRPr="00226744" w:rsidRDefault="006E198D" w:rsidP="006E198D">
            <w:pPr>
              <w:cnfStyle w:val="000000000000" w:firstRow="0" w:lastRow="0" w:firstColumn="0" w:lastColumn="0" w:oddVBand="0" w:evenVBand="0" w:oddHBand="0" w:evenHBand="0" w:firstRowFirstColumn="0" w:firstRowLastColumn="0" w:lastRowFirstColumn="0" w:lastRowLastColumn="0"/>
            </w:pPr>
            <w:r w:rsidRPr="00226744">
              <w:t>ISR=O/E × 100</w:t>
            </w:r>
          </w:p>
          <w:p w14:paraId="09215B82" w14:textId="64B51893" w:rsidR="00824327" w:rsidRPr="00226744" w:rsidRDefault="006E198D" w:rsidP="006E198D">
            <w:pPr>
              <w:cnfStyle w:val="000000000000" w:firstRow="0" w:lastRow="0" w:firstColumn="0" w:lastColumn="0" w:oddVBand="0" w:evenVBand="0" w:oddHBand="0" w:evenHBand="0" w:firstRowFirstColumn="0" w:firstRowLastColumn="0" w:lastRowFirstColumn="0" w:lastRowLastColumn="0"/>
            </w:pPr>
            <w:r w:rsidRPr="00226744">
              <w:t>Ratios are presented at one decimal place.</w:t>
            </w:r>
          </w:p>
        </w:tc>
      </w:tr>
      <w:tr w:rsidR="005C7AAF" w:rsidRPr="00226744" w14:paraId="4E697DFD"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431E676E" w14:textId="77777777" w:rsidR="005C7AAF" w:rsidRPr="00226744" w:rsidRDefault="005C7AAF" w:rsidP="005C7AAF">
            <w:pPr>
              <w:rPr>
                <w:b w:val="0"/>
              </w:rPr>
            </w:pPr>
            <w:r w:rsidRPr="00226744">
              <w:t>Interpretation Guidelines</w:t>
            </w:r>
          </w:p>
        </w:tc>
        <w:tc>
          <w:tcPr>
            <w:tcW w:w="6804" w:type="dxa"/>
            <w:tcBorders>
              <w:left w:val="single" w:sz="4" w:space="0" w:color="auto"/>
            </w:tcBorders>
          </w:tcPr>
          <w:p w14:paraId="129F1180" w14:textId="77777777" w:rsidR="00AB32E6" w:rsidRPr="00226744" w:rsidRDefault="00AB32E6" w:rsidP="00AB32E6">
            <w:pPr>
              <w:cnfStyle w:val="000000100000" w:firstRow="0" w:lastRow="0" w:firstColumn="0" w:lastColumn="0" w:oddVBand="0" w:evenVBand="0" w:oddHBand="1" w:evenHBand="0" w:firstRowFirstColumn="0" w:firstRowLastColumn="0" w:lastRowFirstColumn="0" w:lastRowLastColumn="0"/>
            </w:pPr>
            <w:r w:rsidRPr="00226744">
              <w:t xml:space="preserve">This indicator requires careful interpretation and should not be viewed in isolation, but instead be considered alongside information from other indicators and alternative sources. When evaluated together, these will help to provide a holistic view of CCG outcomes and provide a more complete overview of the impact of the CCGs processes on outcomes. </w:t>
            </w:r>
          </w:p>
          <w:p w14:paraId="0072C7D9" w14:textId="7B6F08E7" w:rsidR="00824585" w:rsidRPr="00226744" w:rsidRDefault="00AB32E6" w:rsidP="00AB32E6">
            <w:pPr>
              <w:cnfStyle w:val="000000100000" w:firstRow="0" w:lastRow="0" w:firstColumn="0" w:lastColumn="0" w:oddVBand="0" w:evenVBand="0" w:oddHBand="1" w:evenHBand="0" w:firstRowFirstColumn="0" w:firstRowLastColumn="0" w:lastRowFirstColumn="0" w:lastRowLastColumn="0"/>
            </w:pPr>
            <w:r w:rsidRPr="00226744">
              <w:t>A low ratio of readmissions within 30 days of a discharge from a mental health inpatient service is desirable</w:t>
            </w:r>
          </w:p>
        </w:tc>
      </w:tr>
      <w:tr w:rsidR="005C7AAF" w:rsidRPr="00226744" w14:paraId="0E3B7774"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2326D945" w14:textId="77777777" w:rsidR="005C7AAF" w:rsidRPr="00226744" w:rsidRDefault="005C7AAF" w:rsidP="005C7AAF">
            <w:pPr>
              <w:rPr>
                <w:b w:val="0"/>
              </w:rPr>
            </w:pPr>
            <w:r w:rsidRPr="00226744">
              <w:t>Caveats</w:t>
            </w:r>
          </w:p>
        </w:tc>
        <w:tc>
          <w:tcPr>
            <w:tcW w:w="6804" w:type="dxa"/>
            <w:tcBorders>
              <w:left w:val="single" w:sz="4" w:space="0" w:color="auto"/>
            </w:tcBorders>
          </w:tcPr>
          <w:p w14:paraId="2469E9CF" w14:textId="2A4C1337" w:rsidR="005C7AAF" w:rsidRPr="00226744" w:rsidRDefault="00996C33" w:rsidP="003046B9">
            <w:pPr>
              <w:tabs>
                <w:tab w:val="left" w:pos="39"/>
              </w:tabs>
              <w:ind w:left="39"/>
              <w:cnfStyle w:val="000000000000" w:firstRow="0" w:lastRow="0" w:firstColumn="0" w:lastColumn="0" w:oddVBand="0" w:evenVBand="0" w:oddHBand="0" w:evenHBand="0" w:firstRowFirstColumn="0" w:firstRowLastColumn="0" w:lastRowFirstColumn="0" w:lastRowLastColumn="0"/>
            </w:pPr>
            <w:r w:rsidRPr="00226744">
              <w:t>The indicator methodology is signed off as assured for inclusion in the indicator library on the basis that the accompanying metadata makes the user aware that the use of the indicator is limited due to small numbers at CCG level.</w:t>
            </w:r>
          </w:p>
        </w:tc>
      </w:tr>
    </w:tbl>
    <w:p w14:paraId="0F0CA932" w14:textId="1F9099D8" w:rsidR="00F3337C" w:rsidRPr="00226744" w:rsidRDefault="00F3337C" w:rsidP="00BD69FE">
      <w:pPr>
        <w:rPr>
          <w:b/>
        </w:rPr>
      </w:pPr>
    </w:p>
    <w:p w14:paraId="096AAEBE" w14:textId="77777777" w:rsidR="00F3337C" w:rsidRPr="00226744" w:rsidRDefault="00F3337C">
      <w:pPr>
        <w:rPr>
          <w:b/>
        </w:rPr>
      </w:pPr>
      <w:r w:rsidRPr="00226744">
        <w:rPr>
          <w:b/>
        </w:rPr>
        <w:br w:type="page"/>
      </w:r>
    </w:p>
    <w:p w14:paraId="2F093542" w14:textId="6FC9D38E" w:rsidR="00F3337C" w:rsidRPr="00226744" w:rsidRDefault="00F3337C" w:rsidP="008F3D71">
      <w:pPr>
        <w:pStyle w:val="Frontpagesubhead"/>
        <w:rPr>
          <w:rFonts w:cs="Arial"/>
          <w:color w:val="auto"/>
          <w:sz w:val="22"/>
          <w:szCs w:val="22"/>
        </w:rPr>
      </w:pPr>
      <w:r w:rsidRPr="00226744">
        <w:rPr>
          <w:rFonts w:cs="Arial"/>
          <w:color w:val="auto"/>
          <w:sz w:val="22"/>
          <w:szCs w:val="22"/>
        </w:rPr>
        <w:lastRenderedPageBreak/>
        <w:t>IGB 12/11/14 (Paper 3)</w:t>
      </w:r>
    </w:p>
    <w:p w14:paraId="0F4CFEBE" w14:textId="773A149F" w:rsidR="00F3337C" w:rsidRPr="00226744" w:rsidRDefault="00F3337C" w:rsidP="008F3D71">
      <w:pPr>
        <w:pStyle w:val="Frontpagesubhead"/>
        <w:rPr>
          <w:rFonts w:cs="Arial"/>
          <w:color w:val="auto"/>
          <w:sz w:val="22"/>
          <w:szCs w:val="22"/>
        </w:rPr>
      </w:pPr>
    </w:p>
    <w:p w14:paraId="17D589BB" w14:textId="7C2EAA17" w:rsidR="00F3337C" w:rsidRPr="00226744" w:rsidRDefault="00F3337C" w:rsidP="008F3D71">
      <w:pPr>
        <w:pStyle w:val="Frontpagesubhead"/>
        <w:rPr>
          <w:rFonts w:cs="Arial"/>
          <w:color w:val="auto"/>
          <w:sz w:val="22"/>
          <w:szCs w:val="22"/>
        </w:rPr>
      </w:pPr>
    </w:p>
    <w:p w14:paraId="0A08A876" w14:textId="77777777" w:rsidR="00297DDB" w:rsidRPr="00226744" w:rsidRDefault="00297DDB" w:rsidP="00297DDB">
      <w:pPr>
        <w:pStyle w:val="FrontpageTitle"/>
        <w:rPr>
          <w:color w:val="auto"/>
        </w:rPr>
      </w:pPr>
      <w:r w:rsidRPr="00226744">
        <w:rPr>
          <w:color w:val="auto"/>
        </w:rPr>
        <w:t>Application Form</w:t>
      </w:r>
    </w:p>
    <w:p w14:paraId="245F07C9" w14:textId="04714FA2" w:rsidR="00297DDB" w:rsidRPr="00226744" w:rsidRDefault="00297DDB" w:rsidP="00297DDB">
      <w:pPr>
        <w:pStyle w:val="FrontpageTitle"/>
        <w:rPr>
          <w:color w:val="auto"/>
        </w:rPr>
      </w:pPr>
    </w:p>
    <w:p w14:paraId="6CBA73D2" w14:textId="77777777" w:rsidR="00297DDB" w:rsidRPr="00226744" w:rsidRDefault="00297DDB" w:rsidP="00297DDB"/>
    <w:p w14:paraId="47FA3C45" w14:textId="77777777" w:rsidR="00297DDB" w:rsidRPr="00226744" w:rsidRDefault="00297DDB" w:rsidP="00297DDB">
      <w:pPr>
        <w:pStyle w:val="Frontpagesubhead"/>
        <w:rPr>
          <w:color w:val="auto"/>
        </w:rPr>
      </w:pPr>
      <w:r w:rsidRPr="00226744">
        <w:rPr>
          <w:color w:val="auto"/>
        </w:rPr>
        <w:t>Indicator Assurance Service</w:t>
      </w:r>
    </w:p>
    <w:p w14:paraId="65E6FC01" w14:textId="77777777" w:rsidR="00297DDB" w:rsidRPr="00226744" w:rsidRDefault="00297DDB" w:rsidP="00297DDB">
      <w:pPr>
        <w:pStyle w:val="Frontpagesubhead"/>
        <w:rPr>
          <w:color w:val="auto"/>
        </w:rPr>
      </w:pPr>
    </w:p>
    <w:p w14:paraId="695EA381" w14:textId="77777777" w:rsidR="00297DDB" w:rsidRPr="00226744" w:rsidRDefault="00297DDB" w:rsidP="00297DDB">
      <w:pPr>
        <w:pStyle w:val="Frontpagesubhead"/>
        <w:rPr>
          <w:color w:val="auto"/>
        </w:rPr>
      </w:pPr>
    </w:p>
    <w:tbl>
      <w:tblPr>
        <w:tblStyle w:val="TableGrid"/>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51"/>
        <w:gridCol w:w="7800"/>
      </w:tblGrid>
      <w:tr w:rsidR="00297DDB" w:rsidRPr="00226744" w14:paraId="432007AD" w14:textId="77777777" w:rsidTr="00297DDB">
        <w:trPr>
          <w:trHeight w:val="1387"/>
        </w:trPr>
        <w:tc>
          <w:tcPr>
            <w:tcW w:w="1951" w:type="dxa"/>
          </w:tcPr>
          <w:p w14:paraId="6EB37057" w14:textId="77777777" w:rsidR="00297DDB" w:rsidRPr="00226744" w:rsidRDefault="00297DDB" w:rsidP="00297DDB">
            <w:pPr>
              <w:textboxTightWrap w:val="allLines"/>
              <w:rPr>
                <w:b/>
                <w:sz w:val="36"/>
                <w:szCs w:val="28"/>
              </w:rPr>
            </w:pPr>
            <w:r w:rsidRPr="00226744">
              <w:rPr>
                <w:b/>
                <w:sz w:val="36"/>
                <w:szCs w:val="28"/>
              </w:rPr>
              <w:t>Title:</w:t>
            </w:r>
          </w:p>
        </w:tc>
        <w:tc>
          <w:tcPr>
            <w:tcW w:w="7800" w:type="dxa"/>
          </w:tcPr>
          <w:p w14:paraId="74E9A9B2" w14:textId="77777777" w:rsidR="00297DDB" w:rsidRPr="00226744" w:rsidRDefault="00297DDB" w:rsidP="00297DDB">
            <w:pPr>
              <w:textboxTightWrap w:val="allLines"/>
              <w:rPr>
                <w:b/>
                <w:sz w:val="36"/>
                <w:szCs w:val="28"/>
              </w:rPr>
            </w:pPr>
            <w:r w:rsidRPr="00226744">
              <w:rPr>
                <w:b/>
                <w:sz w:val="36"/>
                <w:szCs w:val="28"/>
              </w:rPr>
              <w:t>Unplanned readmissions to Mental Health Services within 30 days of a Mental Health inpatient discharge in people aged 17 and over.</w:t>
            </w:r>
          </w:p>
        </w:tc>
      </w:tr>
      <w:tr w:rsidR="00297DDB" w:rsidRPr="00226744" w14:paraId="0378D341" w14:textId="77777777" w:rsidTr="00297DDB">
        <w:tc>
          <w:tcPr>
            <w:tcW w:w="1951" w:type="dxa"/>
          </w:tcPr>
          <w:p w14:paraId="3ED354FC" w14:textId="77777777" w:rsidR="00297DDB" w:rsidRPr="00226744" w:rsidRDefault="00297DDB" w:rsidP="00297DDB">
            <w:pPr>
              <w:textboxTightWrap w:val="allLines"/>
              <w:rPr>
                <w:b/>
              </w:rPr>
            </w:pPr>
            <w:r w:rsidRPr="00226744">
              <w:rPr>
                <w:b/>
              </w:rPr>
              <w:t>Set or domain:</w:t>
            </w:r>
          </w:p>
        </w:tc>
        <w:tc>
          <w:tcPr>
            <w:tcW w:w="7800" w:type="dxa"/>
          </w:tcPr>
          <w:p w14:paraId="4C7018EB" w14:textId="77777777" w:rsidR="00297DDB" w:rsidRPr="00226744" w:rsidRDefault="00297DDB" w:rsidP="00297DDB">
            <w:pPr>
              <w:textboxTightWrap w:val="allLines"/>
              <w:rPr>
                <w:b/>
              </w:rPr>
            </w:pPr>
            <w:r w:rsidRPr="00226744">
              <w:rPr>
                <w:b/>
              </w:rPr>
              <w:t>CCG Outcomes Indicator Set</w:t>
            </w:r>
          </w:p>
        </w:tc>
      </w:tr>
      <w:tr w:rsidR="00297DDB" w:rsidRPr="00226744" w14:paraId="5E2F54D3" w14:textId="77777777" w:rsidTr="00297DDB">
        <w:tc>
          <w:tcPr>
            <w:tcW w:w="1951" w:type="dxa"/>
          </w:tcPr>
          <w:p w14:paraId="4D4D1CF5" w14:textId="77777777" w:rsidR="00297DDB" w:rsidRPr="00226744" w:rsidRDefault="00297DDB" w:rsidP="00297DDB">
            <w:pPr>
              <w:textboxTightWrap w:val="allLines"/>
              <w:rPr>
                <w:b/>
                <w:i/>
              </w:rPr>
            </w:pPr>
            <w:r w:rsidRPr="00226744">
              <w:rPr>
                <w:b/>
                <w:i/>
              </w:rPr>
              <w:t>IAS Ref code:</w:t>
            </w:r>
          </w:p>
        </w:tc>
        <w:tc>
          <w:tcPr>
            <w:tcW w:w="7800" w:type="dxa"/>
          </w:tcPr>
          <w:p w14:paraId="225CD3A0" w14:textId="77777777" w:rsidR="00297DDB" w:rsidRPr="00226744" w:rsidRDefault="00297DDB" w:rsidP="00297DDB">
            <w:pPr>
              <w:textboxTightWrap w:val="allLines"/>
              <w:rPr>
                <w:b/>
                <w:i/>
              </w:rPr>
            </w:pPr>
            <w:r w:rsidRPr="00226744">
              <w:rPr>
                <w:b/>
                <w:i/>
              </w:rPr>
              <w:t>IAP00361</w:t>
            </w:r>
          </w:p>
        </w:tc>
      </w:tr>
    </w:tbl>
    <w:tbl>
      <w:tblPr>
        <w:tblStyle w:val="TableGrid"/>
        <w:tblpPr w:leftFromText="180" w:rightFromText="180" w:vertAnchor="text" w:horzAnchor="margin" w:tblpY="469"/>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093"/>
        <w:gridCol w:w="1540"/>
        <w:gridCol w:w="7093"/>
      </w:tblGrid>
      <w:tr w:rsidR="00297DDB" w:rsidRPr="00226744" w14:paraId="52846437" w14:textId="77777777" w:rsidTr="00297DDB">
        <w:tc>
          <w:tcPr>
            <w:tcW w:w="1093" w:type="dxa"/>
            <w:shd w:val="clear" w:color="auto" w:fill="4F81BD" w:themeFill="accent1"/>
          </w:tcPr>
          <w:p w14:paraId="160C8D9E" w14:textId="77777777" w:rsidR="00297DDB" w:rsidRPr="00226744" w:rsidRDefault="00297DDB" w:rsidP="00297DDB">
            <w:pPr>
              <w:textboxTightWrap w:val="allLines"/>
              <w:rPr>
                <w:sz w:val="20"/>
              </w:rPr>
            </w:pPr>
            <w:r w:rsidRPr="00226744">
              <w:rPr>
                <w:sz w:val="20"/>
              </w:rPr>
              <w:t>Version</w:t>
            </w:r>
          </w:p>
        </w:tc>
        <w:tc>
          <w:tcPr>
            <w:tcW w:w="1540" w:type="dxa"/>
            <w:shd w:val="clear" w:color="auto" w:fill="4F81BD" w:themeFill="accent1"/>
          </w:tcPr>
          <w:p w14:paraId="7AA19C58" w14:textId="77777777" w:rsidR="00297DDB" w:rsidRPr="00226744" w:rsidRDefault="00297DDB" w:rsidP="00297DDB">
            <w:pPr>
              <w:textboxTightWrap w:val="allLines"/>
              <w:rPr>
                <w:sz w:val="20"/>
              </w:rPr>
            </w:pPr>
            <w:r w:rsidRPr="00226744">
              <w:rPr>
                <w:sz w:val="20"/>
              </w:rPr>
              <w:t>Changed By</w:t>
            </w:r>
          </w:p>
        </w:tc>
        <w:tc>
          <w:tcPr>
            <w:tcW w:w="7093" w:type="dxa"/>
            <w:shd w:val="clear" w:color="auto" w:fill="4F81BD" w:themeFill="accent1"/>
          </w:tcPr>
          <w:p w14:paraId="24F7D3C8" w14:textId="77777777" w:rsidR="00297DDB" w:rsidRPr="00226744" w:rsidRDefault="00297DDB" w:rsidP="00297DDB">
            <w:pPr>
              <w:textboxTightWrap w:val="allLines"/>
              <w:rPr>
                <w:sz w:val="20"/>
              </w:rPr>
            </w:pPr>
            <w:r w:rsidRPr="00226744">
              <w:rPr>
                <w:sz w:val="20"/>
              </w:rPr>
              <w:t>Details</w:t>
            </w:r>
          </w:p>
        </w:tc>
      </w:tr>
      <w:tr w:rsidR="00297DDB" w:rsidRPr="00226744" w14:paraId="484EAB96" w14:textId="77777777" w:rsidTr="00297DDB">
        <w:tc>
          <w:tcPr>
            <w:tcW w:w="1093" w:type="dxa"/>
            <w:shd w:val="clear" w:color="auto" w:fill="FBD4B4" w:themeFill="accent6" w:themeFillTint="66"/>
            <w:vAlign w:val="center"/>
          </w:tcPr>
          <w:p w14:paraId="3C05738A" w14:textId="77777777" w:rsidR="00297DDB" w:rsidRPr="00226744" w:rsidRDefault="00297DDB" w:rsidP="00297DDB">
            <w:pPr>
              <w:textboxTightWrap w:val="allLines"/>
              <w:rPr>
                <w:sz w:val="20"/>
              </w:rPr>
            </w:pPr>
            <w:r w:rsidRPr="00226744">
              <w:rPr>
                <w:sz w:val="20"/>
              </w:rPr>
              <w:t>V1</w:t>
            </w:r>
          </w:p>
        </w:tc>
        <w:tc>
          <w:tcPr>
            <w:tcW w:w="1540" w:type="dxa"/>
            <w:shd w:val="clear" w:color="auto" w:fill="FBD4B4" w:themeFill="accent6" w:themeFillTint="66"/>
            <w:vAlign w:val="center"/>
          </w:tcPr>
          <w:p w14:paraId="382E3BA4" w14:textId="77777777" w:rsidR="00297DDB" w:rsidRPr="00226744" w:rsidRDefault="00297DDB" w:rsidP="00297DDB">
            <w:pPr>
              <w:textboxTightWrap w:val="allLines"/>
              <w:rPr>
                <w:sz w:val="20"/>
              </w:rPr>
            </w:pPr>
            <w:proofErr w:type="spellStart"/>
            <w:r w:rsidRPr="00226744">
              <w:rPr>
                <w:sz w:val="20"/>
              </w:rPr>
              <w:t>Kye</w:t>
            </w:r>
            <w:proofErr w:type="spellEnd"/>
            <w:r w:rsidRPr="00226744">
              <w:rPr>
                <w:sz w:val="20"/>
              </w:rPr>
              <w:t xml:space="preserve"> Forrester</w:t>
            </w:r>
          </w:p>
        </w:tc>
        <w:tc>
          <w:tcPr>
            <w:tcW w:w="7093" w:type="dxa"/>
            <w:shd w:val="clear" w:color="auto" w:fill="FBD4B4" w:themeFill="accent6" w:themeFillTint="66"/>
            <w:vAlign w:val="center"/>
          </w:tcPr>
          <w:p w14:paraId="60B2D97E" w14:textId="77777777" w:rsidR="00297DDB" w:rsidRPr="00226744" w:rsidRDefault="00297DDB" w:rsidP="00297DDB">
            <w:pPr>
              <w:textboxTightWrap w:val="allLines"/>
              <w:rPr>
                <w:sz w:val="20"/>
              </w:rPr>
            </w:pPr>
            <w:r w:rsidRPr="00226744">
              <w:rPr>
                <w:sz w:val="20"/>
              </w:rPr>
              <w:t>Revised application (in new format) received Sept 2014</w:t>
            </w:r>
          </w:p>
        </w:tc>
      </w:tr>
      <w:tr w:rsidR="00297DDB" w:rsidRPr="00226744" w14:paraId="30F666B7" w14:textId="77777777" w:rsidTr="00297DDB">
        <w:tc>
          <w:tcPr>
            <w:tcW w:w="1093" w:type="dxa"/>
            <w:shd w:val="clear" w:color="auto" w:fill="FBD4B4" w:themeFill="accent6" w:themeFillTint="66"/>
            <w:vAlign w:val="center"/>
          </w:tcPr>
          <w:p w14:paraId="0D197A27" w14:textId="77777777" w:rsidR="00297DDB" w:rsidRPr="00226744" w:rsidRDefault="00297DDB" w:rsidP="00297DDB">
            <w:pPr>
              <w:textboxTightWrap w:val="allLines"/>
              <w:rPr>
                <w:sz w:val="20"/>
              </w:rPr>
            </w:pPr>
            <w:r w:rsidRPr="00226744">
              <w:rPr>
                <w:sz w:val="20"/>
              </w:rPr>
              <w:t>V2</w:t>
            </w:r>
          </w:p>
        </w:tc>
        <w:tc>
          <w:tcPr>
            <w:tcW w:w="1540" w:type="dxa"/>
            <w:shd w:val="clear" w:color="auto" w:fill="FBD4B4" w:themeFill="accent6" w:themeFillTint="66"/>
          </w:tcPr>
          <w:p w14:paraId="256FE9C9" w14:textId="77777777" w:rsidR="00297DDB" w:rsidRPr="00226744" w:rsidRDefault="00297DDB" w:rsidP="00297DDB">
            <w:pPr>
              <w:textboxTightWrap w:val="allLines"/>
              <w:rPr>
                <w:sz w:val="20"/>
              </w:rPr>
            </w:pPr>
            <w:proofErr w:type="spellStart"/>
            <w:r w:rsidRPr="00226744">
              <w:rPr>
                <w:sz w:val="20"/>
              </w:rPr>
              <w:t>Kye</w:t>
            </w:r>
            <w:proofErr w:type="spellEnd"/>
            <w:r w:rsidRPr="00226744">
              <w:rPr>
                <w:sz w:val="20"/>
              </w:rPr>
              <w:t xml:space="preserve"> Forrester</w:t>
            </w:r>
          </w:p>
        </w:tc>
        <w:tc>
          <w:tcPr>
            <w:tcW w:w="7093" w:type="dxa"/>
            <w:shd w:val="clear" w:color="auto" w:fill="FBD4B4" w:themeFill="accent6" w:themeFillTint="66"/>
            <w:vAlign w:val="center"/>
          </w:tcPr>
          <w:p w14:paraId="51687FA9" w14:textId="77777777" w:rsidR="00297DDB" w:rsidRPr="00226744" w:rsidRDefault="00297DDB" w:rsidP="00297DDB">
            <w:pPr>
              <w:textboxTightWrap w:val="allLines"/>
              <w:rPr>
                <w:sz w:val="20"/>
              </w:rPr>
            </w:pPr>
            <w:r w:rsidRPr="00226744">
              <w:rPr>
                <w:sz w:val="20"/>
              </w:rPr>
              <w:t>Form presented to MRG Meeting of 26/09/14</w:t>
            </w:r>
          </w:p>
        </w:tc>
      </w:tr>
      <w:tr w:rsidR="00297DDB" w:rsidRPr="00226744" w14:paraId="3DB33641" w14:textId="77777777" w:rsidTr="00297DDB">
        <w:tc>
          <w:tcPr>
            <w:tcW w:w="1093" w:type="dxa"/>
            <w:shd w:val="clear" w:color="auto" w:fill="FBD4B4" w:themeFill="accent6" w:themeFillTint="66"/>
            <w:vAlign w:val="center"/>
          </w:tcPr>
          <w:p w14:paraId="77CF38AB" w14:textId="77777777" w:rsidR="00297DDB" w:rsidRPr="00226744" w:rsidRDefault="00297DDB" w:rsidP="00297DDB">
            <w:pPr>
              <w:textboxTightWrap w:val="allLines"/>
              <w:rPr>
                <w:sz w:val="20"/>
              </w:rPr>
            </w:pPr>
            <w:r w:rsidRPr="00226744">
              <w:rPr>
                <w:sz w:val="20"/>
              </w:rPr>
              <w:t>V3</w:t>
            </w:r>
          </w:p>
        </w:tc>
        <w:tc>
          <w:tcPr>
            <w:tcW w:w="1540" w:type="dxa"/>
            <w:shd w:val="clear" w:color="auto" w:fill="FBD4B4" w:themeFill="accent6" w:themeFillTint="66"/>
          </w:tcPr>
          <w:p w14:paraId="63BDEF2E" w14:textId="77777777" w:rsidR="00297DDB" w:rsidRPr="00226744" w:rsidRDefault="00297DDB" w:rsidP="00297DDB">
            <w:pPr>
              <w:textboxTightWrap w:val="allLines"/>
              <w:rPr>
                <w:sz w:val="20"/>
              </w:rPr>
            </w:pPr>
            <w:proofErr w:type="spellStart"/>
            <w:r w:rsidRPr="00226744">
              <w:rPr>
                <w:sz w:val="20"/>
              </w:rPr>
              <w:t>Kye</w:t>
            </w:r>
            <w:proofErr w:type="spellEnd"/>
            <w:r w:rsidRPr="00226744">
              <w:rPr>
                <w:sz w:val="20"/>
              </w:rPr>
              <w:t xml:space="preserve"> Forrester</w:t>
            </w:r>
          </w:p>
        </w:tc>
        <w:tc>
          <w:tcPr>
            <w:tcW w:w="7093" w:type="dxa"/>
            <w:shd w:val="clear" w:color="auto" w:fill="FBD4B4" w:themeFill="accent6" w:themeFillTint="66"/>
            <w:vAlign w:val="center"/>
          </w:tcPr>
          <w:p w14:paraId="088DA9AE" w14:textId="77777777" w:rsidR="00297DDB" w:rsidRPr="00226744" w:rsidRDefault="00297DDB" w:rsidP="00297DDB">
            <w:pPr>
              <w:textboxTightWrap w:val="allLines"/>
              <w:rPr>
                <w:sz w:val="20"/>
              </w:rPr>
            </w:pPr>
            <w:r w:rsidRPr="00226744">
              <w:rPr>
                <w:sz w:val="20"/>
              </w:rPr>
              <w:t>Updated in response to MRG recommendations 27/10/14</w:t>
            </w:r>
          </w:p>
        </w:tc>
      </w:tr>
    </w:tbl>
    <w:p w14:paraId="76118214" w14:textId="77777777" w:rsidR="00F3337C" w:rsidRPr="00226744" w:rsidRDefault="00F3337C" w:rsidP="008F3D71">
      <w:pPr>
        <w:pStyle w:val="Frontpagesubhead"/>
        <w:rPr>
          <w:rFonts w:cs="Arial"/>
          <w:color w:val="auto"/>
          <w:sz w:val="22"/>
          <w:szCs w:val="22"/>
        </w:rPr>
        <w:sectPr w:rsidR="00F3337C" w:rsidRPr="00226744" w:rsidSect="008F3D71">
          <w:headerReference w:type="default" r:id="rId7"/>
          <w:footerReference w:type="default" r:id="rId8"/>
          <w:pgSz w:w="11906" w:h="16838"/>
          <w:pgMar w:top="1021" w:right="1021" w:bottom="1021" w:left="1021" w:header="454" w:footer="680" w:gutter="0"/>
          <w:cols w:space="708"/>
          <w:docGrid w:linePitch="360"/>
        </w:sectPr>
      </w:pPr>
    </w:p>
    <w:p w14:paraId="693814C2" w14:textId="77777777" w:rsidR="00DF478A" w:rsidRPr="00226744" w:rsidRDefault="00F3337C" w:rsidP="008F3D71">
      <w:pPr>
        <w:pStyle w:val="Heading1"/>
        <w:rPr>
          <w:b w:val="0"/>
          <w:color w:val="auto"/>
        </w:rPr>
      </w:pPr>
      <w:r w:rsidRPr="00226744">
        <w:rPr>
          <w:rFonts w:eastAsia="MS Mincho"/>
          <w:color w:val="auto"/>
          <w:sz w:val="22"/>
          <w:szCs w:val="22"/>
        </w:rPr>
        <w:lastRenderedPageBreak/>
        <w:t>Application Form</w:t>
      </w:r>
      <w:r w:rsidR="00DF478A" w:rsidRPr="00226744">
        <w:rPr>
          <w:b w:val="0"/>
          <w:color w:val="auto"/>
        </w:rPr>
        <w:t xml:space="preserve"> </w:t>
      </w:r>
    </w:p>
    <w:p w14:paraId="18B82D7B" w14:textId="28B2AA32" w:rsidR="00F3337C" w:rsidRPr="00226744" w:rsidRDefault="00DF478A" w:rsidP="008F3D71">
      <w:pPr>
        <w:pStyle w:val="Heading1"/>
        <w:rPr>
          <w:rFonts w:eastAsia="MS Mincho"/>
          <w:color w:val="auto"/>
          <w:sz w:val="22"/>
          <w:szCs w:val="22"/>
        </w:rPr>
      </w:pPr>
      <w:r w:rsidRPr="00226744">
        <w:rPr>
          <w:b w:val="0"/>
          <w:color w:val="auto"/>
        </w:rPr>
        <w:t>Section 1.   Introduction / Overview</w:t>
      </w:r>
    </w:p>
    <w:tbl>
      <w:tblPr>
        <w:tblStyle w:val="TableGrid1"/>
        <w:tblW w:w="0" w:type="auto"/>
        <w:tblInd w:w="131"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749"/>
        <w:gridCol w:w="5653"/>
      </w:tblGrid>
      <w:tr w:rsidR="00DF478A" w:rsidRPr="00226744" w14:paraId="21E0EFA4" w14:textId="77777777" w:rsidTr="00DF478A">
        <w:tc>
          <w:tcPr>
            <w:tcW w:w="1749" w:type="dxa"/>
            <w:tcBorders>
              <w:top w:val="single" w:sz="4" w:space="0" w:color="4F81BD" w:themeColor="accent1"/>
              <w:left w:val="nil"/>
              <w:bottom w:val="single" w:sz="4" w:space="0" w:color="4F81BD" w:themeColor="accent1"/>
            </w:tcBorders>
          </w:tcPr>
          <w:p w14:paraId="77A5F691" w14:textId="77777777" w:rsidR="00DF478A" w:rsidRPr="00226744" w:rsidRDefault="00DF478A" w:rsidP="008F3D71">
            <w:pPr>
              <w:spacing w:before="240"/>
              <w:rPr>
                <w:b/>
              </w:rPr>
            </w:pPr>
            <w:permStart w:id="665738100" w:edGrp="everyone" w:colFirst="1" w:colLast="1"/>
            <w:r w:rsidRPr="00226744">
              <w:rPr>
                <w:b/>
              </w:rPr>
              <w:t>Title</w:t>
            </w:r>
          </w:p>
        </w:tc>
        <w:tc>
          <w:tcPr>
            <w:tcW w:w="5653" w:type="dxa"/>
          </w:tcPr>
          <w:p w14:paraId="34F12338" w14:textId="77777777" w:rsidR="00DF478A" w:rsidRPr="00226744" w:rsidRDefault="00DF478A" w:rsidP="008F3D71">
            <w:pPr>
              <w:spacing w:before="240"/>
            </w:pPr>
            <w:r w:rsidRPr="00226744">
              <w:t>Unplanned readmissions to Mental Health Services within 30 days of a Mental Health inpatient discharge in people aged 17 and over.</w:t>
            </w:r>
          </w:p>
        </w:tc>
      </w:tr>
      <w:tr w:rsidR="00DF478A" w:rsidRPr="00226744" w14:paraId="068421EB" w14:textId="77777777" w:rsidTr="00DF478A">
        <w:tc>
          <w:tcPr>
            <w:tcW w:w="1749" w:type="dxa"/>
            <w:tcBorders>
              <w:top w:val="single" w:sz="4" w:space="0" w:color="4F81BD" w:themeColor="accent1"/>
              <w:left w:val="nil"/>
              <w:bottom w:val="single" w:sz="4" w:space="0" w:color="4F81BD" w:themeColor="accent1"/>
            </w:tcBorders>
          </w:tcPr>
          <w:p w14:paraId="7D2F25DD" w14:textId="77777777" w:rsidR="00DF478A" w:rsidRPr="00226744" w:rsidRDefault="00DF478A" w:rsidP="008F3D71">
            <w:pPr>
              <w:spacing w:before="240"/>
              <w:rPr>
                <w:b/>
              </w:rPr>
            </w:pPr>
            <w:permStart w:id="2068277127" w:edGrp="everyone" w:colFirst="1" w:colLast="1"/>
            <w:permEnd w:id="665738100"/>
            <w:r w:rsidRPr="00226744">
              <w:rPr>
                <w:b/>
              </w:rPr>
              <w:t>Set or domain</w:t>
            </w:r>
          </w:p>
        </w:tc>
        <w:tc>
          <w:tcPr>
            <w:tcW w:w="5653" w:type="dxa"/>
          </w:tcPr>
          <w:p w14:paraId="14CC8E84" w14:textId="77777777" w:rsidR="00DF478A" w:rsidRPr="00226744" w:rsidRDefault="00DF478A" w:rsidP="008F3D71">
            <w:pPr>
              <w:spacing w:before="240"/>
            </w:pPr>
            <w:r w:rsidRPr="00226744">
              <w:t>Clinical Commissioning Group Outcomes Indicator Set (CCG OIS)</w:t>
            </w:r>
          </w:p>
        </w:tc>
      </w:tr>
      <w:tr w:rsidR="00DF478A" w:rsidRPr="00226744" w14:paraId="7C22E0AE" w14:textId="77777777" w:rsidTr="00DF478A">
        <w:tc>
          <w:tcPr>
            <w:tcW w:w="1749" w:type="dxa"/>
            <w:tcBorders>
              <w:top w:val="single" w:sz="4" w:space="0" w:color="4F81BD" w:themeColor="accent1"/>
              <w:left w:val="nil"/>
              <w:bottom w:val="single" w:sz="4" w:space="0" w:color="4F81BD" w:themeColor="accent1"/>
            </w:tcBorders>
          </w:tcPr>
          <w:p w14:paraId="5FF9722F" w14:textId="77777777" w:rsidR="00DF478A" w:rsidRPr="00226744" w:rsidRDefault="00DF478A" w:rsidP="008F3D71">
            <w:pPr>
              <w:spacing w:before="240"/>
              <w:rPr>
                <w:b/>
              </w:rPr>
            </w:pPr>
            <w:permStart w:id="1690049112" w:edGrp="everyone" w:colFirst="1" w:colLast="1"/>
            <w:permEnd w:id="2068277127"/>
            <w:r w:rsidRPr="00226744">
              <w:rPr>
                <w:b/>
              </w:rPr>
              <w:t>Topic area</w:t>
            </w:r>
          </w:p>
        </w:tc>
        <w:tc>
          <w:tcPr>
            <w:tcW w:w="5653" w:type="dxa"/>
          </w:tcPr>
          <w:p w14:paraId="7F9E6F5B" w14:textId="77777777" w:rsidR="00DF478A" w:rsidRPr="00226744" w:rsidRDefault="00DF478A" w:rsidP="008F3D71">
            <w:pPr>
              <w:spacing w:before="240"/>
            </w:pPr>
            <w:r w:rsidRPr="00226744">
              <w:t>Helping people recover from episodes of ill health or following injury</w:t>
            </w:r>
          </w:p>
        </w:tc>
      </w:tr>
      <w:tr w:rsidR="00DF478A" w:rsidRPr="00226744" w14:paraId="71FF078C" w14:textId="77777777" w:rsidTr="00DF478A">
        <w:tc>
          <w:tcPr>
            <w:tcW w:w="1749" w:type="dxa"/>
            <w:tcBorders>
              <w:top w:val="single" w:sz="4" w:space="0" w:color="4F81BD" w:themeColor="accent1"/>
              <w:left w:val="nil"/>
              <w:bottom w:val="single" w:sz="4" w:space="0" w:color="4F81BD" w:themeColor="accent1"/>
            </w:tcBorders>
          </w:tcPr>
          <w:p w14:paraId="18E01DEB" w14:textId="77777777" w:rsidR="00DF478A" w:rsidRPr="00226744" w:rsidRDefault="00DF478A" w:rsidP="008F3D71">
            <w:pPr>
              <w:spacing w:before="240"/>
              <w:rPr>
                <w:b/>
              </w:rPr>
            </w:pPr>
            <w:permStart w:id="55662163" w:edGrp="everyone" w:colFirst="1" w:colLast="1"/>
            <w:permEnd w:id="1690049112"/>
            <w:r w:rsidRPr="00226744">
              <w:rPr>
                <w:b/>
              </w:rPr>
              <w:t>Definition</w:t>
            </w:r>
          </w:p>
        </w:tc>
        <w:tc>
          <w:tcPr>
            <w:tcW w:w="5653" w:type="dxa"/>
          </w:tcPr>
          <w:p w14:paraId="68E87245" w14:textId="77777777" w:rsidR="00DF478A" w:rsidRPr="00226744" w:rsidRDefault="00DF478A" w:rsidP="008F3D71">
            <w:pPr>
              <w:spacing w:before="240"/>
            </w:pPr>
            <w:r w:rsidRPr="00226744">
              <w:t>This indicator measures the number of unplanned readmissions to a mental health service within 30 days of being discharged from a mental health inpatient service in people aged 17 and over, reported at CCG level.</w:t>
            </w:r>
          </w:p>
          <w:p w14:paraId="3874C038" w14:textId="77777777" w:rsidR="00DF478A" w:rsidRPr="00226744" w:rsidRDefault="00DF478A" w:rsidP="008F3D71">
            <w:pPr>
              <w:spacing w:before="240"/>
            </w:pPr>
            <w:r w:rsidRPr="00226744">
              <w:t xml:space="preserve">Data from the Mental Health Minimum Data Set (MHMDS) is used to determine the number of discharges in a 12 month period and the number of unplanned readmissions to any mental health service in the 30 days following this discharge. This indicator counts the number of discharges and subsequent unplanned readmissions. It is not a count of people. </w:t>
            </w:r>
          </w:p>
        </w:tc>
      </w:tr>
      <w:tr w:rsidR="00DF478A" w:rsidRPr="00226744" w14:paraId="39F64F16" w14:textId="77777777" w:rsidTr="00DF478A">
        <w:tc>
          <w:tcPr>
            <w:tcW w:w="1749" w:type="dxa"/>
            <w:tcBorders>
              <w:top w:val="single" w:sz="4" w:space="0" w:color="4F81BD" w:themeColor="accent1"/>
              <w:left w:val="nil"/>
              <w:bottom w:val="single" w:sz="4" w:space="0" w:color="4F81BD" w:themeColor="accent1"/>
            </w:tcBorders>
          </w:tcPr>
          <w:p w14:paraId="01258730" w14:textId="77777777" w:rsidR="00DF478A" w:rsidRPr="00226744" w:rsidRDefault="00DF478A" w:rsidP="008F3D71">
            <w:pPr>
              <w:spacing w:before="240"/>
              <w:rPr>
                <w:b/>
              </w:rPr>
            </w:pPr>
            <w:permStart w:id="1698914516" w:edGrp="everyone" w:colFirst="1" w:colLast="1"/>
            <w:permEnd w:id="55662163"/>
            <w:r w:rsidRPr="00226744">
              <w:rPr>
                <w:b/>
              </w:rPr>
              <w:t>Indicator owner &amp; contact details</w:t>
            </w:r>
          </w:p>
        </w:tc>
        <w:tc>
          <w:tcPr>
            <w:tcW w:w="5653" w:type="dxa"/>
          </w:tcPr>
          <w:p w14:paraId="17BFF3BD" w14:textId="77777777" w:rsidR="00DF478A" w:rsidRPr="00226744" w:rsidRDefault="00DF478A" w:rsidP="008F3D71">
            <w:pPr>
              <w:spacing w:before="240"/>
            </w:pPr>
            <w:r w:rsidRPr="00226744">
              <w:t xml:space="preserve">Alison Roe, Senior Service Delivery Manager, HSCIC, </w:t>
            </w:r>
            <w:hyperlink r:id="rId9" w:history="1">
              <w:r w:rsidRPr="00226744">
                <w:rPr>
                  <w:rStyle w:val="Hyperlink"/>
                  <w:color w:val="auto"/>
                </w:rPr>
                <w:t>ccgois@hscic.gov.uk</w:t>
              </w:r>
            </w:hyperlink>
          </w:p>
        </w:tc>
      </w:tr>
      <w:tr w:rsidR="00DF478A" w:rsidRPr="00226744" w14:paraId="38C71F0C" w14:textId="77777777" w:rsidTr="00DF478A">
        <w:tc>
          <w:tcPr>
            <w:tcW w:w="1749" w:type="dxa"/>
            <w:tcBorders>
              <w:top w:val="single" w:sz="4" w:space="0" w:color="4F81BD" w:themeColor="accent1"/>
              <w:left w:val="nil"/>
              <w:bottom w:val="single" w:sz="4" w:space="0" w:color="4F81BD" w:themeColor="accent1"/>
            </w:tcBorders>
          </w:tcPr>
          <w:p w14:paraId="2026F1A0" w14:textId="77777777" w:rsidR="00DF478A" w:rsidRPr="00226744" w:rsidRDefault="00DF478A" w:rsidP="008F3D71">
            <w:pPr>
              <w:spacing w:before="240"/>
              <w:rPr>
                <w:b/>
              </w:rPr>
            </w:pPr>
            <w:permStart w:id="1001064729" w:edGrp="everyone" w:colFirst="1" w:colLast="1"/>
            <w:permEnd w:id="1698914516"/>
            <w:r w:rsidRPr="00226744">
              <w:rPr>
                <w:b/>
              </w:rPr>
              <w:t>Publication status</w:t>
            </w:r>
          </w:p>
        </w:tc>
        <w:sdt>
          <w:sdtPr>
            <w:alias w:val="Publication status"/>
            <w:tag w:val="Publication status"/>
            <w:id w:val="-694159432"/>
            <w:placeholder>
              <w:docPart w:val="5741219089064802B33BBBD306689A24"/>
            </w:placeholder>
            <w:comboBox>
              <w:listItem w:value="Choose an item."/>
              <w:listItem w:displayText="Currently in publication" w:value="Currently in publication"/>
              <w:listItem w:displayText="Not currently in publication" w:value="Not currently in publication"/>
            </w:comboBox>
          </w:sdtPr>
          <w:sdtEndPr/>
          <w:sdtContent>
            <w:tc>
              <w:tcPr>
                <w:tcW w:w="5653" w:type="dxa"/>
              </w:tcPr>
              <w:p w14:paraId="111048D7" w14:textId="77777777" w:rsidR="00DF478A" w:rsidRPr="00226744" w:rsidRDefault="00DF478A" w:rsidP="008F3D71">
                <w:pPr>
                  <w:spacing w:before="240"/>
                </w:pPr>
                <w:r w:rsidRPr="00226744">
                  <w:t>Not currently in publication</w:t>
                </w:r>
              </w:p>
            </w:tc>
          </w:sdtContent>
        </w:sdt>
      </w:tr>
      <w:permEnd w:id="1001064729"/>
      <w:tr w:rsidR="00DF478A" w:rsidRPr="00226744" w14:paraId="6BE1736E" w14:textId="77777777" w:rsidTr="00DF478A">
        <w:tc>
          <w:tcPr>
            <w:tcW w:w="1749" w:type="dxa"/>
            <w:tcBorders>
              <w:top w:val="single" w:sz="4" w:space="0" w:color="4F81BD" w:themeColor="accent1"/>
              <w:left w:val="nil"/>
              <w:bottom w:val="single" w:sz="4" w:space="0" w:color="4F81BD" w:themeColor="accent1"/>
            </w:tcBorders>
          </w:tcPr>
          <w:p w14:paraId="1F6456E8" w14:textId="2A382654" w:rsidR="00DF478A" w:rsidRPr="00226744" w:rsidRDefault="00DF478A" w:rsidP="008F3D71">
            <w:pPr>
              <w:spacing w:before="240"/>
              <w:rPr>
                <w:b/>
              </w:rPr>
            </w:pPr>
            <w:r w:rsidRPr="00226744">
              <w:rPr>
                <w:b/>
              </w:rPr>
              <w:t>Rationale</w:t>
            </w:r>
          </w:p>
        </w:tc>
        <w:tc>
          <w:tcPr>
            <w:tcW w:w="5653" w:type="dxa"/>
          </w:tcPr>
          <w:p w14:paraId="6766C005" w14:textId="77777777" w:rsidR="00DF478A" w:rsidRPr="00226744" w:rsidRDefault="00DF478A" w:rsidP="008F3D71">
            <w:pPr>
              <w:spacing w:before="240"/>
            </w:pPr>
          </w:p>
        </w:tc>
      </w:tr>
      <w:tr w:rsidR="00DF478A" w:rsidRPr="00226744" w14:paraId="6EFCD96D" w14:textId="77777777" w:rsidTr="00DF478A">
        <w:tc>
          <w:tcPr>
            <w:tcW w:w="1749" w:type="dxa"/>
            <w:tcBorders>
              <w:top w:val="single" w:sz="4" w:space="0" w:color="4F81BD" w:themeColor="accent1"/>
              <w:left w:val="nil"/>
              <w:bottom w:val="single" w:sz="4" w:space="0" w:color="4F81BD" w:themeColor="accent1"/>
            </w:tcBorders>
          </w:tcPr>
          <w:p w14:paraId="3EFCF5CD" w14:textId="77777777" w:rsidR="00DF478A" w:rsidRPr="00226744" w:rsidRDefault="00DF478A" w:rsidP="008F3D71">
            <w:pPr>
              <w:spacing w:before="240"/>
              <w:rPr>
                <w:b/>
              </w:rPr>
            </w:pPr>
            <w:permStart w:id="1152205926" w:edGrp="everyone" w:colFirst="1" w:colLast="1"/>
            <w:r w:rsidRPr="00226744">
              <w:rPr>
                <w:b/>
              </w:rPr>
              <w:t>Sponsor</w:t>
            </w:r>
          </w:p>
        </w:tc>
        <w:tc>
          <w:tcPr>
            <w:tcW w:w="5653" w:type="dxa"/>
          </w:tcPr>
          <w:p w14:paraId="096E7EA3" w14:textId="77777777" w:rsidR="00DF478A" w:rsidRPr="00226744" w:rsidRDefault="00DF478A" w:rsidP="008F3D71">
            <w:pPr>
              <w:spacing w:before="240"/>
            </w:pPr>
            <w:r w:rsidRPr="00226744">
              <w:t>Jeff Featherstone, Programme Lead; Commissioning Outcomes and Incentives, NHS England.</w:t>
            </w:r>
          </w:p>
        </w:tc>
      </w:tr>
      <w:tr w:rsidR="00DF478A" w:rsidRPr="00226744" w14:paraId="37A7F1D0" w14:textId="77777777" w:rsidTr="00DF478A">
        <w:tc>
          <w:tcPr>
            <w:tcW w:w="1749" w:type="dxa"/>
            <w:tcBorders>
              <w:top w:val="single" w:sz="4" w:space="0" w:color="4F81BD" w:themeColor="accent1"/>
              <w:left w:val="nil"/>
              <w:bottom w:val="single" w:sz="4" w:space="0" w:color="4F81BD" w:themeColor="accent1"/>
            </w:tcBorders>
          </w:tcPr>
          <w:p w14:paraId="05162447" w14:textId="77777777" w:rsidR="00DF478A" w:rsidRPr="00226744" w:rsidRDefault="00DF478A" w:rsidP="008F3D71">
            <w:pPr>
              <w:spacing w:before="240"/>
              <w:rPr>
                <w:b/>
              </w:rPr>
            </w:pPr>
            <w:permStart w:id="626030180" w:edGrp="everyone" w:colFirst="1" w:colLast="1"/>
            <w:permEnd w:id="1152205926"/>
            <w:r w:rsidRPr="00226744">
              <w:rPr>
                <w:b/>
              </w:rPr>
              <w:t>Purpose</w:t>
            </w:r>
          </w:p>
        </w:tc>
        <w:tc>
          <w:tcPr>
            <w:tcW w:w="5653" w:type="dxa"/>
          </w:tcPr>
          <w:p w14:paraId="3D7A711D" w14:textId="77777777" w:rsidR="00DF478A" w:rsidRPr="00226744" w:rsidRDefault="00DF478A" w:rsidP="008F3D71">
            <w:pPr>
              <w:spacing w:before="240"/>
            </w:pPr>
            <w:r w:rsidRPr="00226744">
              <w:t xml:space="preserve">This indicator measures the number of unplanned readmissions to a mental health service within 30 days of a discharge from a mental health inpatient service. </w:t>
            </w:r>
          </w:p>
          <w:p w14:paraId="1D523DA7" w14:textId="77777777" w:rsidR="00DF478A" w:rsidRPr="00226744" w:rsidRDefault="00DF478A" w:rsidP="008F3D71">
            <w:pPr>
              <w:spacing w:before="240"/>
            </w:pPr>
            <w:r w:rsidRPr="00226744">
              <w:t xml:space="preserve">It is the case that a significant proportion of readmissions are avoidable and that certain interventions can help to avoid readmission. Examples are better discharge planning and post discharge follow </w:t>
            </w:r>
            <w:r w:rsidRPr="00226744">
              <w:lastRenderedPageBreak/>
              <w:t xml:space="preserve">up. The readmission rate is widely used as a proxy measure for avoidable adverse outcomes. However, there are different views in the literature on whether it is actually a suitable quality measure for services. Issues relate to the non-identification of which readmissions are avoidable, the impact of case-mix and its relationship to the length of stay. </w:t>
            </w:r>
          </w:p>
          <w:p w14:paraId="7713FA85" w14:textId="593A748D" w:rsidR="00DF478A" w:rsidRPr="00226744" w:rsidRDefault="00DF478A" w:rsidP="008F3D71">
            <w:pPr>
              <w:spacing w:before="240"/>
            </w:pPr>
            <w:r w:rsidRPr="00226744">
              <w:t>The issues raised as queries as to whether it is a suitable quality measure are all ones which could also be raised in relation to physical health readmissions. However, readmission rates are nevertheless viewed as an appropriate subject of examination in physical health services. Moreover, the issues raised are ones which one would broadly expect to feature in most general mental health in-patient services in relation to readmissions. Therefore, this should not preclude significant variation in readmission rates between different localities being a legitimate subject for examination by CCGs.</w:t>
            </w:r>
          </w:p>
          <w:p w14:paraId="547EABC3" w14:textId="77777777" w:rsidR="00DF478A" w:rsidRPr="00226744" w:rsidRDefault="00DF478A" w:rsidP="008F3D71">
            <w:pPr>
              <w:spacing w:before="240"/>
            </w:pPr>
            <w:r w:rsidRPr="00226744">
              <w:t>Variations in readmissions rates may reflect a number of issues that relate to outcomes of services commissioned by CCGs, including the effectiveness of treatment within the in-patient setting and the effectiveness of post-discharge community services.</w:t>
            </w:r>
          </w:p>
          <w:p w14:paraId="1A9043F7" w14:textId="77777777" w:rsidR="00DF478A" w:rsidRPr="00226744" w:rsidRDefault="00DF478A" w:rsidP="008F3D71">
            <w:pPr>
              <w:spacing w:before="240"/>
            </w:pPr>
            <w:r w:rsidRPr="00226744">
              <w:t>The indicator is relevant to CCG commissioning responsibilities as, although cardiac surgery is a NHS England responsibility, wider services such as cardiac rehabilitation and other treatments fall within CCG responsibility. The NICE guidance on treating heart failure at http://www.nice.org.uk/guidance/cg108/chapter/1-guidance#treating-heart-failure sets out a range of treatments and interventions, a number of which fall within CCG responsibilities and so are susceptible to improvement of outcomes via CCG actions.</w:t>
            </w:r>
          </w:p>
          <w:p w14:paraId="2B8C1254" w14:textId="77777777" w:rsidR="00DF478A" w:rsidRPr="00226744" w:rsidRDefault="00DF478A" w:rsidP="008F3D71">
            <w:pPr>
              <w:spacing w:before="240"/>
            </w:pPr>
            <w:r w:rsidRPr="00226744">
              <w:t>There are no indicators in published on the HSCIC Indicator Portal that relate specifically to the readmission rate of mental health cases.</w:t>
            </w:r>
          </w:p>
        </w:tc>
      </w:tr>
      <w:tr w:rsidR="00DF478A" w:rsidRPr="00226744" w14:paraId="337267EE" w14:textId="77777777" w:rsidTr="00DF478A">
        <w:tc>
          <w:tcPr>
            <w:tcW w:w="1749" w:type="dxa"/>
            <w:tcBorders>
              <w:top w:val="single" w:sz="4" w:space="0" w:color="4F81BD" w:themeColor="accent1"/>
              <w:left w:val="nil"/>
              <w:bottom w:val="single" w:sz="4" w:space="0" w:color="4F81BD" w:themeColor="accent1"/>
            </w:tcBorders>
          </w:tcPr>
          <w:p w14:paraId="021725CB" w14:textId="77777777" w:rsidR="00DF478A" w:rsidRPr="00226744" w:rsidRDefault="00DF478A" w:rsidP="008F3D71">
            <w:pPr>
              <w:spacing w:before="240"/>
              <w:rPr>
                <w:b/>
              </w:rPr>
            </w:pPr>
            <w:permStart w:id="1857624204" w:edGrp="everyone" w:colFirst="1" w:colLast="1"/>
            <w:permEnd w:id="626030180"/>
            <w:r w:rsidRPr="00226744">
              <w:rPr>
                <w:b/>
              </w:rPr>
              <w:lastRenderedPageBreak/>
              <w:t>Endorsement</w:t>
            </w:r>
          </w:p>
        </w:tc>
        <w:tc>
          <w:tcPr>
            <w:tcW w:w="5653" w:type="dxa"/>
          </w:tcPr>
          <w:p w14:paraId="4D118043" w14:textId="77777777" w:rsidR="00DF478A" w:rsidRPr="00226744" w:rsidRDefault="00DF478A" w:rsidP="008F3D71">
            <w:pPr>
              <w:spacing w:before="240"/>
            </w:pPr>
            <w:r w:rsidRPr="00226744">
              <w:t>Input around the timeline for readmission was received from David Daniel - Independent advisor to the HSCIC Mental Health team, former Mental Health policy lead</w:t>
            </w:r>
          </w:p>
        </w:tc>
      </w:tr>
      <w:tr w:rsidR="00DF478A" w:rsidRPr="00226744" w14:paraId="1193A40A" w14:textId="77777777" w:rsidTr="00DF478A">
        <w:tc>
          <w:tcPr>
            <w:tcW w:w="1749" w:type="dxa"/>
            <w:tcBorders>
              <w:top w:val="single" w:sz="4" w:space="0" w:color="4F81BD" w:themeColor="accent1"/>
              <w:left w:val="nil"/>
              <w:bottom w:val="single" w:sz="4" w:space="0" w:color="4F81BD" w:themeColor="accent1"/>
            </w:tcBorders>
          </w:tcPr>
          <w:p w14:paraId="602051D2" w14:textId="77777777" w:rsidR="00DF478A" w:rsidRPr="00226744" w:rsidRDefault="00DF478A" w:rsidP="008F3D71">
            <w:pPr>
              <w:spacing w:before="240"/>
              <w:rPr>
                <w:b/>
              </w:rPr>
            </w:pPr>
            <w:permStart w:id="155941222" w:edGrp="everyone" w:colFirst="1" w:colLast="1"/>
            <w:permEnd w:id="1857624204"/>
            <w:r w:rsidRPr="00226744">
              <w:rPr>
                <w:b/>
              </w:rPr>
              <w:t>Evidence base</w:t>
            </w:r>
          </w:p>
        </w:tc>
        <w:tc>
          <w:tcPr>
            <w:tcW w:w="5653" w:type="dxa"/>
          </w:tcPr>
          <w:p w14:paraId="52EFC712" w14:textId="77777777" w:rsidR="00DF478A" w:rsidRPr="00226744" w:rsidRDefault="00DF478A" w:rsidP="008F3D71">
            <w:pPr>
              <w:spacing w:before="240"/>
            </w:pPr>
            <w:r w:rsidRPr="00226744">
              <w:t>The NHS Mandate, section 3.5 states:</w:t>
            </w:r>
          </w:p>
          <w:p w14:paraId="53B4D8F3" w14:textId="7D9B8075" w:rsidR="00DF478A" w:rsidRPr="00226744" w:rsidRDefault="00DF478A" w:rsidP="008F3D71">
            <w:pPr>
              <w:spacing w:before="240"/>
            </w:pPr>
            <w:r w:rsidRPr="00226744">
              <w:t xml:space="preserve">“Treating mental and physical health conditions in a coordinated way, and with equal priority, is essential to </w:t>
            </w:r>
            <w:r w:rsidRPr="00226744">
              <w:lastRenderedPageBreak/>
              <w:t xml:space="preserve">supporting recovery. Yet people with mental health problems have worse outcomes for their physical healthcare, and those with physical conditions often have mental health needs that go unrecognised. NHS England’s objective is to put mental health on a par with physical health and close the health gap between people with mental health problems and the population as a whole.” </w:t>
            </w:r>
            <w:r w:rsidRPr="00226744">
              <w:rPr>
                <w:vertAlign w:val="superscript"/>
              </w:rPr>
              <w:t>1</w:t>
            </w:r>
          </w:p>
          <w:p w14:paraId="5BF3D331" w14:textId="77777777" w:rsidR="00DF478A" w:rsidRPr="00226744" w:rsidRDefault="00DF478A" w:rsidP="008F3D71">
            <w:pPr>
              <w:spacing w:before="240"/>
            </w:pPr>
            <w:r w:rsidRPr="00226744">
              <w:t>The second objective of Improving Outcomes in Mental Health is for more people with a mental health problem to recover</w:t>
            </w:r>
            <w:r w:rsidRPr="00226744">
              <w:rPr>
                <w:vertAlign w:val="superscript"/>
              </w:rPr>
              <w:t xml:space="preserve"> 2</w:t>
            </w:r>
            <w:r w:rsidRPr="00226744">
              <w:t>. Underpinning that objective is one to ensure that all people with severe mental health problems receive high quality care and treatment in the least restrictive environment. Readmissions is relevant here in two ways:</w:t>
            </w:r>
          </w:p>
          <w:p w14:paraId="33F9F4BD" w14:textId="77777777" w:rsidR="00DF478A" w:rsidRPr="00226744" w:rsidRDefault="00DF478A" w:rsidP="008F3D71">
            <w:pPr>
              <w:spacing w:before="240"/>
            </w:pPr>
            <w:proofErr w:type="spellStart"/>
            <w:r w:rsidRPr="00226744">
              <w:t>i</w:t>
            </w:r>
            <w:proofErr w:type="spellEnd"/>
            <w:r w:rsidRPr="00226744">
              <w:t>)</w:t>
            </w:r>
            <w:r w:rsidRPr="00226744">
              <w:tab/>
              <w:t>High rates of readmission may reflect on the quality of either or both of the inpatient  and  the community care.</w:t>
            </w:r>
          </w:p>
          <w:p w14:paraId="172ECCC1" w14:textId="77777777" w:rsidR="00DF478A" w:rsidRPr="00226744" w:rsidRDefault="00DF478A" w:rsidP="008F3D71">
            <w:pPr>
              <w:spacing w:before="240"/>
            </w:pPr>
            <w:r w:rsidRPr="00226744">
              <w:t>ii)</w:t>
            </w:r>
            <w:r w:rsidRPr="00226744">
              <w:tab/>
              <w:t>By definition needing to provide inpatient care post readmission when the intention at discharge  was for community service care equates to a failure to provide care in the least restrictive environment</w:t>
            </w:r>
          </w:p>
          <w:p w14:paraId="7971D6A3" w14:textId="77777777" w:rsidR="00DF478A" w:rsidRPr="00226744" w:rsidRDefault="00DF478A" w:rsidP="00F3337C">
            <w:pPr>
              <w:pStyle w:val="ListParagraph"/>
              <w:numPr>
                <w:ilvl w:val="0"/>
                <w:numId w:val="7"/>
              </w:numPr>
              <w:spacing w:before="240" w:after="180" w:line="240" w:lineRule="auto"/>
              <w:contextualSpacing w:val="0"/>
              <w:textboxTightWrap w:val="lastLineOnly"/>
            </w:pPr>
            <w:r w:rsidRPr="00226744">
              <w:t xml:space="preserve">A mandate from the Government to NHS England: April 2014 to March 2015, Department of Health, 2013, </w:t>
            </w:r>
            <w:hyperlink r:id="rId10" w:history="1">
              <w:r w:rsidRPr="00226744">
                <w:rPr>
                  <w:rStyle w:val="Hyperlink"/>
                  <w:color w:val="auto"/>
                </w:rPr>
                <w:t>https://www.gov.uk/government/publications/nhs-mandate-2014-to-2015</w:t>
              </w:r>
            </w:hyperlink>
            <w:r w:rsidRPr="00226744">
              <w:t xml:space="preserve"> </w:t>
            </w:r>
          </w:p>
          <w:p w14:paraId="1F4412D8" w14:textId="77777777" w:rsidR="00DF478A" w:rsidRPr="00226744" w:rsidRDefault="00DF478A" w:rsidP="00F3337C">
            <w:pPr>
              <w:pStyle w:val="ListParagraph"/>
              <w:numPr>
                <w:ilvl w:val="0"/>
                <w:numId w:val="7"/>
              </w:numPr>
              <w:spacing w:before="240" w:after="180" w:line="240" w:lineRule="auto"/>
              <w:contextualSpacing w:val="0"/>
              <w:textboxTightWrap w:val="lastLineOnly"/>
            </w:pPr>
            <w:r w:rsidRPr="00226744">
              <w:t xml:space="preserve">No health without mental health, Department of Health, 2011, </w:t>
            </w:r>
            <w:hyperlink r:id="rId11" w:history="1">
              <w:r w:rsidRPr="00226744">
                <w:rPr>
                  <w:rStyle w:val="Hyperlink"/>
                  <w:color w:val="auto"/>
                </w:rPr>
                <w:t>https://www.gov.uk/government/publications/the-mental-health-strategy-for-england</w:t>
              </w:r>
            </w:hyperlink>
            <w:r w:rsidRPr="00226744">
              <w:t xml:space="preserve"> </w:t>
            </w:r>
          </w:p>
        </w:tc>
      </w:tr>
      <w:tr w:rsidR="00DF478A" w:rsidRPr="00226744" w14:paraId="1B6CF390" w14:textId="77777777" w:rsidTr="00DF478A">
        <w:tc>
          <w:tcPr>
            <w:tcW w:w="1749" w:type="dxa"/>
            <w:tcBorders>
              <w:top w:val="single" w:sz="4" w:space="0" w:color="4F81BD" w:themeColor="accent1"/>
              <w:left w:val="nil"/>
              <w:bottom w:val="single" w:sz="4" w:space="0" w:color="4F81BD" w:themeColor="accent1"/>
            </w:tcBorders>
          </w:tcPr>
          <w:p w14:paraId="361E5413" w14:textId="77777777" w:rsidR="00DF478A" w:rsidRPr="00226744" w:rsidRDefault="00DF478A" w:rsidP="008F3D71">
            <w:pPr>
              <w:spacing w:before="240"/>
              <w:rPr>
                <w:b/>
              </w:rPr>
            </w:pPr>
            <w:permStart w:id="699673603" w:edGrp="everyone" w:colFirst="1" w:colLast="1"/>
            <w:permEnd w:id="155941222"/>
            <w:r w:rsidRPr="00226744">
              <w:rPr>
                <w:b/>
              </w:rPr>
              <w:lastRenderedPageBreak/>
              <w:t>Policy base (or NICE quality standard), related national incentives or critical business question</w:t>
            </w:r>
          </w:p>
        </w:tc>
        <w:tc>
          <w:tcPr>
            <w:tcW w:w="5653" w:type="dxa"/>
          </w:tcPr>
          <w:p w14:paraId="448C2D3A" w14:textId="77777777" w:rsidR="00DF478A" w:rsidRPr="00226744" w:rsidRDefault="00DF478A" w:rsidP="008F3D71">
            <w:pPr>
              <w:spacing w:before="240"/>
            </w:pPr>
            <w:r w:rsidRPr="00226744">
              <w:t>This indicator is proposed to be included in the third domain of CCGOIS, which, as with the NHS Outcomes Framework, is “Helping people to recover from episodes of ill-health or following injury”.</w:t>
            </w:r>
          </w:p>
          <w:p w14:paraId="50AFD91E" w14:textId="77777777" w:rsidR="00DF478A" w:rsidRPr="00226744" w:rsidRDefault="00DF478A" w:rsidP="008F3D71">
            <w:pPr>
              <w:spacing w:before="240"/>
            </w:pPr>
            <w:r w:rsidRPr="00226744">
              <w:t xml:space="preserve">The aim of indicators in this domain is to “provide a picture of the NHS’s contribution to minimising the adverse impact of ill-health or injury upon the quality and length of life of those affected”. An overarching indicator in this domain is the percentage of emergency readmissions occurring within 30 days of the last previous discharge. This indicator is generic for both mental and physical health conditions. It is described as </w:t>
            </w:r>
            <w:r w:rsidRPr="00226744">
              <w:lastRenderedPageBreak/>
              <w:t>one of those measuring failures in the effectiveness of care in the total care system.</w:t>
            </w:r>
          </w:p>
          <w:p w14:paraId="052945F1" w14:textId="77777777" w:rsidR="00DF478A" w:rsidRPr="00226744" w:rsidRDefault="00DF478A" w:rsidP="008F3D71">
            <w:pPr>
              <w:spacing w:before="240"/>
            </w:pPr>
            <w:r w:rsidRPr="00226744">
              <w:t>The indicator will support local understanding of emergency readmissions following a discharge from a mental health inpatient service and should lead to action that will result in improved outcomes.</w:t>
            </w:r>
          </w:p>
        </w:tc>
      </w:tr>
      <w:tr w:rsidR="00DF478A" w:rsidRPr="00226744" w14:paraId="4C618198" w14:textId="77777777" w:rsidTr="00DF478A">
        <w:tc>
          <w:tcPr>
            <w:tcW w:w="1749" w:type="dxa"/>
            <w:tcBorders>
              <w:top w:val="single" w:sz="4" w:space="0" w:color="4F81BD" w:themeColor="accent1"/>
              <w:left w:val="nil"/>
              <w:bottom w:val="single" w:sz="18" w:space="0" w:color="4F81BD" w:themeColor="accent1"/>
            </w:tcBorders>
          </w:tcPr>
          <w:p w14:paraId="53C6F9C9" w14:textId="77777777" w:rsidR="00DF478A" w:rsidRPr="00226744" w:rsidRDefault="00DF478A" w:rsidP="008F3D71">
            <w:pPr>
              <w:spacing w:before="240"/>
              <w:rPr>
                <w:b/>
              </w:rPr>
            </w:pPr>
            <w:permStart w:id="567415082" w:edGrp="everyone" w:colFirst="1" w:colLast="1"/>
            <w:permEnd w:id="699673603"/>
            <w:r w:rsidRPr="00226744">
              <w:rPr>
                <w:b/>
              </w:rPr>
              <w:lastRenderedPageBreak/>
              <w:t>Set or domain rationale, if appropriate</w:t>
            </w:r>
          </w:p>
        </w:tc>
        <w:tc>
          <w:tcPr>
            <w:tcW w:w="5653" w:type="dxa"/>
          </w:tcPr>
          <w:p w14:paraId="13696D30" w14:textId="77777777" w:rsidR="00DF478A" w:rsidRPr="00226744" w:rsidRDefault="00DF478A" w:rsidP="008F3D71">
            <w:pPr>
              <w:spacing w:before="240"/>
            </w:pPr>
            <w:r w:rsidRPr="00226744">
              <w:t xml:space="preserve">The CCG OIS is an integral part of NHS England’s systematic approach to quality improvement. It is intended to provide clear, comparative information for CCGs, patients and the public about the quality of health services commissioned by CCGs and the associated health outcomes. All of the CCG outcomes indicators have been chosen on the basis that they contribute to the overarching aims of the five domains in the NHS Outcomes Framework and it is intended as a tool for CCGs to drive local improvement and set priorities </w:t>
            </w:r>
            <w:hyperlink r:id="rId12" w:history="1">
              <w:r w:rsidRPr="00226744">
                <w:rPr>
                  <w:rStyle w:val="Hyperlink"/>
                  <w:color w:val="auto"/>
                </w:rPr>
                <w:t>http://www.england.nhs.uk/ccg-ois/</w:t>
              </w:r>
            </w:hyperlink>
            <w:r w:rsidRPr="00226744">
              <w:t xml:space="preserve">  </w:t>
            </w:r>
          </w:p>
          <w:p w14:paraId="4E8E83C2" w14:textId="77777777" w:rsidR="00DF478A" w:rsidRPr="00226744" w:rsidRDefault="00DF478A" w:rsidP="008F3D71">
            <w:pPr>
              <w:spacing w:before="240"/>
            </w:pPr>
            <w:r w:rsidRPr="00226744">
              <w:t>This indicator fits within Domain 3 of the CCG OIS: Helping people to recover from episodes of ill-health or following injury</w:t>
            </w:r>
          </w:p>
        </w:tc>
      </w:tr>
      <w:permEnd w:id="567415082"/>
    </w:tbl>
    <w:p w14:paraId="53B56F12" w14:textId="77777777" w:rsidR="00F3337C" w:rsidRPr="00226744" w:rsidRDefault="00F3337C">
      <w:r w:rsidRPr="00226744">
        <w:br w:type="page"/>
      </w:r>
    </w:p>
    <w:tbl>
      <w:tblPr>
        <w:tblStyle w:val="TableGrid1"/>
        <w:tblW w:w="0" w:type="auto"/>
        <w:tblInd w:w="131"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11"/>
        <w:gridCol w:w="6075"/>
      </w:tblGrid>
      <w:tr w:rsidR="00DF478A" w:rsidRPr="00226744" w14:paraId="1BD9B907" w14:textId="77777777" w:rsidTr="00DF478A">
        <w:tc>
          <w:tcPr>
            <w:tcW w:w="2111" w:type="dxa"/>
            <w:tcBorders>
              <w:top w:val="single" w:sz="4" w:space="0" w:color="4F81BD" w:themeColor="accent1"/>
              <w:left w:val="nil"/>
              <w:bottom w:val="single" w:sz="4" w:space="0" w:color="4F81BD" w:themeColor="accent1"/>
            </w:tcBorders>
          </w:tcPr>
          <w:p w14:paraId="00F2E005" w14:textId="77777777" w:rsidR="00DF478A" w:rsidRPr="00226744" w:rsidRDefault="00DF478A" w:rsidP="008F3D71">
            <w:pPr>
              <w:spacing w:before="240"/>
              <w:ind w:left="34"/>
              <w:rPr>
                <w:b/>
              </w:rPr>
            </w:pPr>
            <w:permStart w:id="1628386900" w:edGrp="everyone" w:colFirst="1" w:colLast="1"/>
            <w:r w:rsidRPr="00226744">
              <w:rPr>
                <w:b/>
              </w:rPr>
              <w:lastRenderedPageBreak/>
              <w:t>Data source</w:t>
            </w:r>
          </w:p>
        </w:tc>
        <w:tc>
          <w:tcPr>
            <w:tcW w:w="6075" w:type="dxa"/>
          </w:tcPr>
          <w:p w14:paraId="0088D180" w14:textId="77777777" w:rsidR="00DF478A" w:rsidRPr="00226744" w:rsidRDefault="00DF478A" w:rsidP="008F3D71">
            <w:pPr>
              <w:spacing w:before="240"/>
            </w:pPr>
            <w:r w:rsidRPr="00226744">
              <w:t>Mental Health Minimum Data Set (MHMDS) (</w:t>
            </w:r>
            <w:hyperlink r:id="rId13" w:history="1">
              <w:r w:rsidRPr="00226744">
                <w:rPr>
                  <w:rStyle w:val="Hyperlink"/>
                  <w:color w:val="auto"/>
                </w:rPr>
                <w:t>http://www.hscic.gov.uk/mhmds</w:t>
              </w:r>
            </w:hyperlink>
            <w:r w:rsidRPr="00226744">
              <w:t>)</w:t>
            </w:r>
          </w:p>
        </w:tc>
      </w:tr>
      <w:tr w:rsidR="00DF478A" w:rsidRPr="00226744" w14:paraId="720B5EE9" w14:textId="77777777" w:rsidTr="00DF478A">
        <w:tc>
          <w:tcPr>
            <w:tcW w:w="2111" w:type="dxa"/>
            <w:tcBorders>
              <w:top w:val="single" w:sz="4" w:space="0" w:color="4F81BD" w:themeColor="accent1"/>
              <w:left w:val="nil"/>
              <w:bottom w:val="single" w:sz="4" w:space="0" w:color="4F81BD" w:themeColor="accent1"/>
            </w:tcBorders>
          </w:tcPr>
          <w:p w14:paraId="1B4E9459" w14:textId="77777777" w:rsidR="00DF478A" w:rsidRPr="00226744" w:rsidRDefault="00DF478A" w:rsidP="008F3D71">
            <w:pPr>
              <w:spacing w:before="240"/>
              <w:ind w:left="34"/>
              <w:rPr>
                <w:b/>
              </w:rPr>
            </w:pPr>
            <w:permStart w:id="300894276" w:edGrp="everyone" w:colFirst="1" w:colLast="1"/>
            <w:permEnd w:id="1628386900"/>
            <w:r w:rsidRPr="00226744">
              <w:rPr>
                <w:b/>
              </w:rPr>
              <w:t>Justification of source and others considered</w:t>
            </w:r>
          </w:p>
        </w:tc>
        <w:tc>
          <w:tcPr>
            <w:tcW w:w="6075" w:type="dxa"/>
          </w:tcPr>
          <w:p w14:paraId="309DD0FE" w14:textId="77777777" w:rsidR="00DF478A" w:rsidRPr="00226744" w:rsidRDefault="00DF478A" w:rsidP="008F3D71">
            <w:pPr>
              <w:spacing w:before="240"/>
            </w:pPr>
            <w:r w:rsidRPr="00226744">
              <w:t>The MHMDS is an approved NHS Information Standard that delivers information on people in contact with specialist secondary mental health services that is: robust; comprehensive; nationally  consistent; comparable.</w:t>
            </w:r>
          </w:p>
          <w:p w14:paraId="31677A60" w14:textId="77777777" w:rsidR="00DF478A" w:rsidRPr="00226744" w:rsidRDefault="00DF478A" w:rsidP="008F3D71">
            <w:pPr>
              <w:spacing w:before="240"/>
            </w:pPr>
            <w:r w:rsidRPr="00226744">
              <w:t>The MHMDS is unique in its coverage, because it covers not only services provided in hospitals, but also in outpatient clinics and in the community, where the majority of people in contact with these services are treated. It brings together key information from the mental health care pathway that has been captured on clinical systems as part of patient care. During processing, this information is compiled into a single patient record.</w:t>
            </w:r>
          </w:p>
          <w:p w14:paraId="69CE8BC1" w14:textId="48BF798D" w:rsidR="00DF478A" w:rsidRPr="00226744" w:rsidRDefault="00DF478A" w:rsidP="008F3D71">
            <w:pPr>
              <w:spacing w:before="240"/>
            </w:pPr>
            <w:r w:rsidRPr="00226744">
              <w:t>Submission of MHMDS data is mandatory for NHS funded care, including independent sector providers. It is mandated for central submission by the Department of Health and has Review of Central Returns (ROCR) approval ROCR/OR/0017/FT6/002MAND.</w:t>
            </w:r>
          </w:p>
          <w:p w14:paraId="33D44943" w14:textId="77777777" w:rsidR="00DF478A" w:rsidRPr="00226744" w:rsidRDefault="00DF478A" w:rsidP="008F3D71">
            <w:pPr>
              <w:spacing w:before="240"/>
            </w:pPr>
            <w:r w:rsidRPr="00226744">
              <w:t>No other data sources have been considered for this indicator, as submission is mandatory to this dataset for NHS funded care.</w:t>
            </w:r>
          </w:p>
        </w:tc>
      </w:tr>
      <w:tr w:rsidR="00DF478A" w:rsidRPr="00226744" w14:paraId="09D1AFF3" w14:textId="77777777" w:rsidTr="00DF478A">
        <w:tc>
          <w:tcPr>
            <w:tcW w:w="2111" w:type="dxa"/>
            <w:tcBorders>
              <w:top w:val="single" w:sz="4" w:space="0" w:color="4F81BD" w:themeColor="accent1"/>
              <w:left w:val="nil"/>
              <w:bottom w:val="single" w:sz="4" w:space="0" w:color="4F81BD" w:themeColor="accent1"/>
            </w:tcBorders>
          </w:tcPr>
          <w:p w14:paraId="29146D0C" w14:textId="77777777" w:rsidR="00DF478A" w:rsidRPr="00226744" w:rsidRDefault="00DF478A" w:rsidP="008F3D71">
            <w:pPr>
              <w:spacing w:before="240"/>
              <w:ind w:left="34"/>
              <w:rPr>
                <w:b/>
              </w:rPr>
            </w:pPr>
            <w:permStart w:id="2064984409" w:edGrp="everyone" w:colFirst="1" w:colLast="1"/>
            <w:permEnd w:id="300894276"/>
            <w:r w:rsidRPr="00226744">
              <w:rPr>
                <w:b/>
              </w:rPr>
              <w:t>Data availability</w:t>
            </w:r>
          </w:p>
        </w:tc>
        <w:tc>
          <w:tcPr>
            <w:tcW w:w="6075" w:type="dxa"/>
          </w:tcPr>
          <w:p w14:paraId="0FA82D98" w14:textId="2B842EDD" w:rsidR="00DF478A" w:rsidRPr="00226744" w:rsidRDefault="00DF478A" w:rsidP="008F3D71">
            <w:pPr>
              <w:spacing w:before="240"/>
            </w:pPr>
            <w:r w:rsidRPr="00226744">
              <w:t xml:space="preserve">The underlying data is not publicly available. </w:t>
            </w:r>
          </w:p>
          <w:p w14:paraId="41E9D797" w14:textId="77777777" w:rsidR="00DF478A" w:rsidRPr="00226744" w:rsidRDefault="00DF478A" w:rsidP="008F3D71">
            <w:pPr>
              <w:spacing w:before="240"/>
            </w:pPr>
            <w:r w:rsidRPr="00226744">
              <w:t>Finalised, aggregate MHMDS data is made available on a monthly basis approximately 3 months following the activity month.</w:t>
            </w:r>
          </w:p>
          <w:p w14:paraId="43009E9C" w14:textId="77777777" w:rsidR="00DF478A" w:rsidRPr="00226744" w:rsidRDefault="00DF478A" w:rsidP="008F3D71">
            <w:pPr>
              <w:spacing w:before="240"/>
            </w:pPr>
            <w:r w:rsidRPr="00226744">
              <w:t xml:space="preserve">Extracts and tabulations are available to order for a charge. This is managed by the HSCIC Data Access Request Service (DARS). </w:t>
            </w:r>
            <w:hyperlink r:id="rId14" w:history="1">
              <w:r w:rsidRPr="00226744">
                <w:rPr>
                  <w:rStyle w:val="Hyperlink"/>
                  <w:color w:val="auto"/>
                </w:rPr>
                <w:t>http://www.hscic.gov.uk/dars</w:t>
              </w:r>
            </w:hyperlink>
            <w:r w:rsidRPr="00226744">
              <w:t>.</w:t>
            </w:r>
          </w:p>
        </w:tc>
      </w:tr>
      <w:tr w:rsidR="00DF478A" w:rsidRPr="00226744" w14:paraId="04A19903" w14:textId="77777777" w:rsidTr="00DF478A">
        <w:tc>
          <w:tcPr>
            <w:tcW w:w="2111" w:type="dxa"/>
            <w:tcBorders>
              <w:top w:val="single" w:sz="4" w:space="0" w:color="4F81BD" w:themeColor="accent1"/>
              <w:left w:val="nil"/>
              <w:bottom w:val="single" w:sz="4" w:space="0" w:color="4F81BD" w:themeColor="accent1"/>
            </w:tcBorders>
          </w:tcPr>
          <w:p w14:paraId="5C528034" w14:textId="77777777" w:rsidR="00DF478A" w:rsidRPr="00226744" w:rsidRDefault="00DF478A" w:rsidP="008F3D71">
            <w:pPr>
              <w:spacing w:before="240"/>
              <w:ind w:left="34"/>
              <w:rPr>
                <w:b/>
              </w:rPr>
            </w:pPr>
            <w:permStart w:id="439562363" w:edGrp="everyone" w:colFirst="1" w:colLast="1"/>
            <w:permEnd w:id="2064984409"/>
            <w:r w:rsidRPr="00226744">
              <w:rPr>
                <w:b/>
              </w:rPr>
              <w:t>Data quality</w:t>
            </w:r>
          </w:p>
        </w:tc>
        <w:tc>
          <w:tcPr>
            <w:tcW w:w="6075" w:type="dxa"/>
          </w:tcPr>
          <w:p w14:paraId="640D3FED" w14:textId="77777777" w:rsidR="00DF478A" w:rsidRPr="00226744" w:rsidRDefault="00DF478A" w:rsidP="008F3D71">
            <w:pPr>
              <w:spacing w:before="240"/>
            </w:pPr>
            <w:r w:rsidRPr="00226744">
              <w:t xml:space="preserve">Each release of MHMDS data is accompanied by a data quality report. The report contains data on the completion of a number of fields, for example in the April 2014 – Final data, NHS Number can be derived for 99.5% of the record, and primary diagnosis contains 99.0% valid values. It should be borne in mind that some of the valid values are more useful than others and vague categories such as “other” are valid for certain fields but not necessarily as useful. </w:t>
            </w:r>
          </w:p>
          <w:p w14:paraId="6B5A5CA8" w14:textId="77777777" w:rsidR="00DF478A" w:rsidRPr="00226744" w:rsidRDefault="00DF478A" w:rsidP="008F3D71">
            <w:pPr>
              <w:spacing w:before="240"/>
            </w:pPr>
            <w:r w:rsidRPr="00226744">
              <w:t xml:space="preserve">More information about the MHMDS v4.1 specification is available here: </w:t>
            </w:r>
            <w:hyperlink r:id="rId15" w:history="1">
              <w:r w:rsidRPr="00226744">
                <w:rPr>
                  <w:rStyle w:val="Hyperlink"/>
                  <w:color w:val="auto"/>
                </w:rPr>
                <w:t>http://www.hscic.gov.uk/mhmds/spec</w:t>
              </w:r>
            </w:hyperlink>
            <w:r w:rsidRPr="00226744">
              <w:rPr>
                <w:rStyle w:val="Hyperlink"/>
                <w:color w:val="auto"/>
              </w:rPr>
              <w:t xml:space="preserve">. </w:t>
            </w:r>
            <w:r w:rsidRPr="00226744">
              <w:t xml:space="preserve">This document aims to provide guidance and clarification for </w:t>
            </w:r>
            <w:r w:rsidRPr="00226744">
              <w:lastRenderedPageBreak/>
              <w:t>users involved in the creation and use of MHMDS submission data, it presents a list of all data items and valid entries with links to the NHS Data Dictionary.</w:t>
            </w:r>
          </w:p>
        </w:tc>
      </w:tr>
      <w:permEnd w:id="439562363"/>
      <w:tr w:rsidR="00DF478A" w:rsidRPr="00226744" w14:paraId="554FE888" w14:textId="77777777" w:rsidTr="00DF478A">
        <w:tc>
          <w:tcPr>
            <w:tcW w:w="2111" w:type="dxa"/>
            <w:tcBorders>
              <w:top w:val="single" w:sz="4" w:space="0" w:color="4F81BD" w:themeColor="accent1"/>
              <w:left w:val="nil"/>
              <w:bottom w:val="single" w:sz="4" w:space="0" w:color="4F81BD" w:themeColor="accent1"/>
            </w:tcBorders>
          </w:tcPr>
          <w:p w14:paraId="7BC7EB4F" w14:textId="77777777" w:rsidR="00DF478A" w:rsidRPr="00226744" w:rsidRDefault="00DF478A" w:rsidP="008F3D71">
            <w:pPr>
              <w:spacing w:before="240"/>
              <w:ind w:left="34"/>
              <w:rPr>
                <w:b/>
              </w:rPr>
            </w:pPr>
            <w:r w:rsidRPr="00226744">
              <w:rPr>
                <w:b/>
              </w:rPr>
              <w:lastRenderedPageBreak/>
              <w:t>If data quality is considered low, is an aim of the indicator to drive up data quality?</w:t>
            </w:r>
          </w:p>
        </w:tc>
        <w:tc>
          <w:tcPr>
            <w:tcW w:w="6075" w:type="dxa"/>
          </w:tcPr>
          <w:sdt>
            <w:sdtPr>
              <w:alias w:val="Aim to drive up data quality?"/>
              <w:tag w:val="Aim to drive up data quality?"/>
              <w:id w:val="1428848616"/>
              <w:placeholder>
                <w:docPart w:val="405349C2124E41FFA481D86BD8253C75"/>
              </w:placeholder>
              <w:dropDownList>
                <w:listItem w:value="Choose an item."/>
                <w:listItem w:displayText="Yes" w:value="Yes"/>
                <w:listItem w:displayText="No" w:value="No"/>
              </w:dropDownList>
            </w:sdtPr>
            <w:sdtEndPr/>
            <w:sdtContent>
              <w:permStart w:id="1772112182" w:edGrp="everyone" w:displacedByCustomXml="prev"/>
              <w:p w14:paraId="3F9B292A" w14:textId="77777777" w:rsidR="00DF478A" w:rsidRPr="00226744" w:rsidRDefault="00DF478A" w:rsidP="008F3D71">
                <w:pPr>
                  <w:spacing w:before="240"/>
                </w:pPr>
                <w:r w:rsidRPr="00226744">
                  <w:t>No</w:t>
                </w:r>
              </w:p>
              <w:permEnd w:id="1772112182" w:displacedByCustomXml="next"/>
            </w:sdtContent>
          </w:sdt>
          <w:p w14:paraId="3E8706A7" w14:textId="77777777" w:rsidR="00DF478A" w:rsidRPr="00226744" w:rsidRDefault="00DF478A" w:rsidP="008F3D71">
            <w:pPr>
              <w:spacing w:before="240"/>
              <w:rPr>
                <w:i/>
              </w:rPr>
            </w:pPr>
            <w:r w:rsidRPr="00226744">
              <w:rPr>
                <w:i/>
              </w:rPr>
              <w:t>If yes, please outline the data quality improvement plan below:</w:t>
            </w:r>
          </w:p>
          <w:p w14:paraId="5D16F8B4" w14:textId="77777777" w:rsidR="00DF478A" w:rsidRPr="00226744" w:rsidRDefault="00DF478A" w:rsidP="008F3D71">
            <w:pPr>
              <w:spacing w:before="240"/>
            </w:pPr>
            <w:permStart w:id="447047914" w:edGrp="everyone"/>
            <w:permEnd w:id="447047914"/>
          </w:p>
        </w:tc>
      </w:tr>
      <w:tr w:rsidR="00DF478A" w:rsidRPr="00226744" w14:paraId="0C7CAD88" w14:textId="77777777" w:rsidTr="00DF478A">
        <w:tc>
          <w:tcPr>
            <w:tcW w:w="2111" w:type="dxa"/>
            <w:tcBorders>
              <w:top w:val="single" w:sz="4" w:space="0" w:color="4F81BD" w:themeColor="accent1"/>
              <w:left w:val="nil"/>
              <w:bottom w:val="single" w:sz="4" w:space="0" w:color="4F81BD" w:themeColor="accent1"/>
            </w:tcBorders>
          </w:tcPr>
          <w:p w14:paraId="785CE922" w14:textId="77777777" w:rsidR="00DF478A" w:rsidRPr="00226744" w:rsidRDefault="00DF478A" w:rsidP="008F3D71">
            <w:pPr>
              <w:spacing w:before="240"/>
              <w:ind w:left="34"/>
              <w:rPr>
                <w:b/>
              </w:rPr>
            </w:pPr>
            <w:permStart w:id="1160728409" w:edGrp="everyone" w:colFirst="1" w:colLast="1"/>
            <w:r w:rsidRPr="00226744">
              <w:rPr>
                <w:b/>
              </w:rPr>
              <w:t>Quality assurance</w:t>
            </w:r>
          </w:p>
        </w:tc>
        <w:tc>
          <w:tcPr>
            <w:tcW w:w="6075" w:type="dxa"/>
          </w:tcPr>
          <w:p w14:paraId="1F68A488" w14:textId="77777777" w:rsidR="00DF478A" w:rsidRPr="00226744" w:rsidRDefault="00DF478A" w:rsidP="008F3D71">
            <w:pPr>
              <w:spacing w:before="240"/>
            </w:pPr>
            <w:r w:rsidRPr="00226744">
              <w:t>The data is assured by the HSCIC Mental Health team, when the data is loaded into MHMDS, the data is compared to a time series containing previous submissions. If any inconsistencies are found, such as a much higher number of contacts, or many fewer admissions, the provider would be contacted. This information is then added to the front of the data quality report, along with any response from the provider.</w:t>
            </w:r>
          </w:p>
        </w:tc>
      </w:tr>
      <w:tr w:rsidR="00DF478A" w:rsidRPr="00226744" w14:paraId="52414615" w14:textId="77777777" w:rsidTr="00DF478A">
        <w:tc>
          <w:tcPr>
            <w:tcW w:w="2111" w:type="dxa"/>
            <w:tcBorders>
              <w:top w:val="single" w:sz="4" w:space="0" w:color="4F81BD" w:themeColor="accent1"/>
              <w:left w:val="nil"/>
              <w:bottom w:val="single" w:sz="4" w:space="0" w:color="4F81BD" w:themeColor="accent1"/>
            </w:tcBorders>
          </w:tcPr>
          <w:p w14:paraId="4C0FA58A" w14:textId="77777777" w:rsidR="00DF478A" w:rsidRPr="00226744" w:rsidRDefault="00DF478A" w:rsidP="008F3D71">
            <w:pPr>
              <w:spacing w:before="240"/>
              <w:ind w:left="34"/>
              <w:rPr>
                <w:b/>
              </w:rPr>
            </w:pPr>
            <w:permStart w:id="763516938" w:edGrp="everyone" w:colFirst="1" w:colLast="1"/>
            <w:permEnd w:id="1160728409"/>
            <w:r w:rsidRPr="00226744">
              <w:rPr>
                <w:b/>
              </w:rPr>
              <w:t>Data linkage</w:t>
            </w:r>
          </w:p>
        </w:tc>
        <w:tc>
          <w:tcPr>
            <w:tcW w:w="6075" w:type="dxa"/>
          </w:tcPr>
          <w:p w14:paraId="0F4E8497" w14:textId="77777777" w:rsidR="00DF478A" w:rsidRPr="00226744" w:rsidRDefault="00DF478A" w:rsidP="008F3D71">
            <w:pPr>
              <w:spacing w:before="240"/>
            </w:pPr>
            <w:r w:rsidRPr="00226744">
              <w:t>N/A</w:t>
            </w:r>
          </w:p>
        </w:tc>
      </w:tr>
      <w:tr w:rsidR="00DF478A" w:rsidRPr="00226744" w14:paraId="72015205" w14:textId="77777777" w:rsidTr="00DF478A">
        <w:tc>
          <w:tcPr>
            <w:tcW w:w="2111" w:type="dxa"/>
            <w:tcBorders>
              <w:top w:val="single" w:sz="4" w:space="0" w:color="4F81BD" w:themeColor="accent1"/>
              <w:left w:val="nil"/>
              <w:bottom w:val="single" w:sz="4" w:space="0" w:color="4F81BD" w:themeColor="accent1"/>
            </w:tcBorders>
          </w:tcPr>
          <w:p w14:paraId="51A7AFE4" w14:textId="77777777" w:rsidR="00DF478A" w:rsidRPr="00226744" w:rsidRDefault="00DF478A" w:rsidP="008F3D71">
            <w:pPr>
              <w:spacing w:before="240"/>
              <w:ind w:left="34"/>
              <w:rPr>
                <w:b/>
              </w:rPr>
            </w:pPr>
            <w:permStart w:id="1362756649" w:edGrp="everyone" w:colFirst="1" w:colLast="1"/>
            <w:permEnd w:id="763516938"/>
            <w:r w:rsidRPr="00226744">
              <w:rPr>
                <w:b/>
              </w:rPr>
              <w:t>Quality of data linkage</w:t>
            </w:r>
          </w:p>
        </w:tc>
        <w:tc>
          <w:tcPr>
            <w:tcW w:w="6075" w:type="dxa"/>
          </w:tcPr>
          <w:p w14:paraId="2913A72E" w14:textId="77777777" w:rsidR="00DF478A" w:rsidRPr="00226744" w:rsidRDefault="00DF478A" w:rsidP="008F3D71">
            <w:pPr>
              <w:spacing w:before="240"/>
            </w:pPr>
            <w:r w:rsidRPr="00226744">
              <w:t>N/A</w:t>
            </w:r>
          </w:p>
        </w:tc>
      </w:tr>
      <w:tr w:rsidR="00DF478A" w:rsidRPr="00226744" w14:paraId="78DC3CA7" w14:textId="77777777" w:rsidTr="00DF478A">
        <w:tc>
          <w:tcPr>
            <w:tcW w:w="2111" w:type="dxa"/>
            <w:tcBorders>
              <w:top w:val="single" w:sz="4" w:space="0" w:color="4F81BD" w:themeColor="accent1"/>
              <w:left w:val="nil"/>
              <w:bottom w:val="single" w:sz="4" w:space="0" w:color="4F81BD" w:themeColor="accent1"/>
            </w:tcBorders>
          </w:tcPr>
          <w:p w14:paraId="22B2A3EA" w14:textId="77777777" w:rsidR="00DF478A" w:rsidRPr="00226744" w:rsidRDefault="00DF478A" w:rsidP="008F3D71">
            <w:pPr>
              <w:spacing w:before="240"/>
              <w:ind w:left="34"/>
              <w:rPr>
                <w:b/>
              </w:rPr>
            </w:pPr>
            <w:permStart w:id="623733003" w:edGrp="everyone" w:colFirst="1" w:colLast="1"/>
            <w:permEnd w:id="1362756649"/>
            <w:r w:rsidRPr="00226744">
              <w:rPr>
                <w:b/>
              </w:rPr>
              <w:t>Data fields</w:t>
            </w:r>
          </w:p>
        </w:tc>
        <w:tc>
          <w:tcPr>
            <w:tcW w:w="6075" w:type="dxa"/>
          </w:tcPr>
          <w:p w14:paraId="3A4713B0" w14:textId="77777777" w:rsidR="00DF478A" w:rsidRPr="00226744" w:rsidRDefault="00DF478A" w:rsidP="008F3D71">
            <w:pPr>
              <w:spacing w:before="240"/>
            </w:pPr>
            <w:r w:rsidRPr="00226744">
              <w:t xml:space="preserve">The number of discharges from mental health inpatient services and number of unplanned readmissions within 30 days are supplied fully calculated by the HSCIC Mental Health Team. </w:t>
            </w:r>
          </w:p>
          <w:p w14:paraId="53CB0BF2" w14:textId="77777777" w:rsidR="00DF478A" w:rsidRPr="00226744" w:rsidRDefault="00DF478A" w:rsidP="008F3D71">
            <w:pPr>
              <w:spacing w:before="240"/>
            </w:pPr>
            <w:r w:rsidRPr="00226744">
              <w:t>The following fields are used in the indicator:</w:t>
            </w:r>
          </w:p>
          <w:p w14:paraId="2F9627EB" w14:textId="77777777" w:rsidR="00DF478A" w:rsidRPr="00226744" w:rsidRDefault="00DF478A" w:rsidP="008F3D71">
            <w:pPr>
              <w:spacing w:before="240"/>
            </w:pPr>
            <w:r w:rsidRPr="00226744">
              <w:t>Age</w:t>
            </w:r>
          </w:p>
          <w:p w14:paraId="2E863684" w14:textId="77777777" w:rsidR="00DF478A" w:rsidRPr="00226744" w:rsidRDefault="00DF478A" w:rsidP="008F3D71">
            <w:pPr>
              <w:spacing w:before="240"/>
            </w:pPr>
            <w:r w:rsidRPr="00226744">
              <w:t>Gender</w:t>
            </w:r>
          </w:p>
          <w:p w14:paraId="6DE63F1E" w14:textId="77777777" w:rsidR="00DF478A" w:rsidRPr="00226744" w:rsidRDefault="00DF478A" w:rsidP="008F3D71">
            <w:pPr>
              <w:spacing w:before="240"/>
            </w:pPr>
            <w:r w:rsidRPr="00226744">
              <w:t>CCG Code</w:t>
            </w:r>
          </w:p>
          <w:p w14:paraId="35104195" w14:textId="77777777" w:rsidR="00DF478A" w:rsidRPr="00226744" w:rsidRDefault="00DF478A" w:rsidP="008F3D71">
            <w:pPr>
              <w:spacing w:before="240"/>
            </w:pPr>
            <w:r w:rsidRPr="00226744">
              <w:t>Admission Date</w:t>
            </w:r>
          </w:p>
          <w:p w14:paraId="4BB0C952" w14:textId="77777777" w:rsidR="00DF478A" w:rsidRPr="00226744" w:rsidRDefault="00DF478A" w:rsidP="008F3D71">
            <w:pPr>
              <w:spacing w:before="240"/>
            </w:pPr>
            <w:r w:rsidRPr="00226744">
              <w:t>Admission Method</w:t>
            </w:r>
          </w:p>
          <w:p w14:paraId="5828209C" w14:textId="77777777" w:rsidR="00DF478A" w:rsidRPr="00226744" w:rsidRDefault="00DF478A" w:rsidP="008F3D71">
            <w:pPr>
              <w:spacing w:before="240"/>
            </w:pPr>
            <w:r w:rsidRPr="00226744">
              <w:t>Care Spell End Date</w:t>
            </w:r>
          </w:p>
          <w:p w14:paraId="1677E800" w14:textId="77777777" w:rsidR="00DF478A" w:rsidRPr="00226744" w:rsidRDefault="00DF478A" w:rsidP="008F3D71">
            <w:pPr>
              <w:spacing w:before="240"/>
            </w:pPr>
            <w:r w:rsidRPr="00226744">
              <w:t>Discharge Date</w:t>
            </w:r>
          </w:p>
          <w:p w14:paraId="110C0DFC" w14:textId="77777777" w:rsidR="00DF478A" w:rsidRPr="00226744" w:rsidRDefault="00DF478A" w:rsidP="008F3D71">
            <w:pPr>
              <w:spacing w:before="240"/>
            </w:pPr>
            <w:r w:rsidRPr="00226744">
              <w:t>Discharge Method</w:t>
            </w:r>
          </w:p>
          <w:p w14:paraId="1681490D" w14:textId="46BEF91A" w:rsidR="00DF478A" w:rsidRPr="00226744" w:rsidRDefault="00DF478A" w:rsidP="008F3D71">
            <w:pPr>
              <w:spacing w:before="240"/>
            </w:pPr>
            <w:r w:rsidRPr="00226744">
              <w:t>Discharge from Mental Health Service Reason</w:t>
            </w:r>
          </w:p>
        </w:tc>
      </w:tr>
      <w:tr w:rsidR="00DF478A" w:rsidRPr="00226744" w14:paraId="6A7E1A49" w14:textId="77777777" w:rsidTr="00DF478A">
        <w:tc>
          <w:tcPr>
            <w:tcW w:w="2111" w:type="dxa"/>
            <w:tcBorders>
              <w:top w:val="single" w:sz="4" w:space="0" w:color="4F81BD" w:themeColor="accent1"/>
              <w:left w:val="nil"/>
              <w:bottom w:val="single" w:sz="4" w:space="0" w:color="4F81BD" w:themeColor="accent1"/>
            </w:tcBorders>
          </w:tcPr>
          <w:p w14:paraId="5EBA7F84" w14:textId="77777777" w:rsidR="00DF478A" w:rsidRPr="00226744" w:rsidRDefault="00DF478A" w:rsidP="008F3D71">
            <w:pPr>
              <w:spacing w:before="240"/>
              <w:ind w:left="34"/>
              <w:rPr>
                <w:b/>
              </w:rPr>
            </w:pPr>
            <w:permStart w:id="207582722" w:edGrp="everyone" w:colFirst="1" w:colLast="1"/>
            <w:permEnd w:id="623733003"/>
            <w:r w:rsidRPr="00226744">
              <w:rPr>
                <w:b/>
              </w:rPr>
              <w:t>Data filters</w:t>
            </w:r>
          </w:p>
        </w:tc>
        <w:tc>
          <w:tcPr>
            <w:tcW w:w="6075" w:type="dxa"/>
          </w:tcPr>
          <w:p w14:paraId="33BACAB6" w14:textId="77777777" w:rsidR="00DF478A" w:rsidRPr="00226744" w:rsidRDefault="00DF478A" w:rsidP="008F3D71">
            <w:pPr>
              <w:spacing w:before="240"/>
            </w:pPr>
            <w:r w:rsidRPr="00226744">
              <w:t>The following filters are applied to the data:</w:t>
            </w:r>
          </w:p>
          <w:p w14:paraId="1FFF8734" w14:textId="77777777" w:rsidR="00DF478A" w:rsidRPr="00226744" w:rsidRDefault="00DF478A" w:rsidP="008F3D71">
            <w:pPr>
              <w:spacing w:before="240"/>
            </w:pPr>
            <w:r w:rsidRPr="00226744">
              <w:lastRenderedPageBreak/>
              <w:t>Denominator:</w:t>
            </w:r>
          </w:p>
          <w:p w14:paraId="28F29CA0" w14:textId="77777777" w:rsidR="00DF478A" w:rsidRPr="00226744" w:rsidRDefault="00DF478A" w:rsidP="008F3D71">
            <w:pPr>
              <w:spacing w:before="240"/>
            </w:pPr>
            <w:r w:rsidRPr="00226744">
              <w:t>Age – Between 17 and 120</w:t>
            </w:r>
          </w:p>
          <w:p w14:paraId="7E6F6B94" w14:textId="77777777" w:rsidR="00DF478A" w:rsidRPr="00226744" w:rsidRDefault="00DF478A" w:rsidP="008F3D71">
            <w:pPr>
              <w:spacing w:before="240"/>
            </w:pPr>
            <w:r w:rsidRPr="00226744">
              <w:t>Gender – In (1, 2)</w:t>
            </w:r>
          </w:p>
          <w:p w14:paraId="137F1B95" w14:textId="77777777" w:rsidR="00DF478A" w:rsidRPr="00226744" w:rsidRDefault="00DF478A" w:rsidP="008F3D71">
            <w:pPr>
              <w:spacing w:before="240"/>
            </w:pPr>
            <w:r w:rsidRPr="00226744">
              <w:t>CCG Code – Is valid</w:t>
            </w:r>
          </w:p>
          <w:p w14:paraId="0E51DEB3" w14:textId="77777777" w:rsidR="00DF478A" w:rsidRPr="00226744" w:rsidRDefault="00DF478A" w:rsidP="008F3D71">
            <w:pPr>
              <w:spacing w:before="240"/>
            </w:pPr>
            <w:r w:rsidRPr="00226744">
              <w:t>Discharge Date – Does not equal Care Spell End Date</w:t>
            </w:r>
          </w:p>
          <w:p w14:paraId="75D93C03" w14:textId="77777777" w:rsidR="00DF478A" w:rsidRPr="00226744" w:rsidRDefault="00DF478A" w:rsidP="008F3D71">
            <w:pPr>
              <w:spacing w:before="240"/>
            </w:pPr>
            <w:r w:rsidRPr="00226744">
              <w:t>Discharge Method – Is not ‘4’</w:t>
            </w:r>
          </w:p>
          <w:p w14:paraId="29E027C4" w14:textId="5E9DD672" w:rsidR="00DF478A" w:rsidRPr="00226744" w:rsidRDefault="00DF478A" w:rsidP="008F3D71">
            <w:pPr>
              <w:spacing w:before="240"/>
            </w:pPr>
            <w:r w:rsidRPr="00226744">
              <w:t>Discharge from Mental Health Service Reason – Is not ‘04’, ‘05’, ‘06’</w:t>
            </w:r>
          </w:p>
          <w:p w14:paraId="17625A9B" w14:textId="77777777" w:rsidR="00DF478A" w:rsidRPr="00226744" w:rsidRDefault="00DF478A" w:rsidP="008F3D71">
            <w:pPr>
              <w:spacing w:before="240"/>
            </w:pPr>
            <w:r w:rsidRPr="00226744">
              <w:t>Admission Date – is within 30 days of the Discharge Date</w:t>
            </w:r>
          </w:p>
          <w:p w14:paraId="333A9BF7" w14:textId="77777777" w:rsidR="00DF478A" w:rsidRPr="00226744" w:rsidRDefault="00DF478A" w:rsidP="008F3D71">
            <w:pPr>
              <w:spacing w:before="240"/>
            </w:pPr>
            <w:r w:rsidRPr="00226744">
              <w:t>Admission Method – Not in (11, 12, 13, 81)</w:t>
            </w:r>
          </w:p>
        </w:tc>
      </w:tr>
      <w:tr w:rsidR="00DF478A" w:rsidRPr="00226744" w14:paraId="6856DB42" w14:textId="77777777" w:rsidTr="00DF478A">
        <w:tc>
          <w:tcPr>
            <w:tcW w:w="2111" w:type="dxa"/>
            <w:tcBorders>
              <w:top w:val="single" w:sz="4" w:space="0" w:color="4F81BD" w:themeColor="accent1"/>
              <w:left w:val="nil"/>
              <w:bottom w:val="single" w:sz="4" w:space="0" w:color="4F81BD" w:themeColor="accent1"/>
            </w:tcBorders>
          </w:tcPr>
          <w:p w14:paraId="199E6830" w14:textId="77777777" w:rsidR="00DF478A" w:rsidRPr="00226744" w:rsidRDefault="00DF478A" w:rsidP="008F3D71">
            <w:pPr>
              <w:spacing w:before="240"/>
              <w:ind w:left="34"/>
              <w:rPr>
                <w:b/>
              </w:rPr>
            </w:pPr>
            <w:permStart w:id="1880775638" w:edGrp="everyone" w:colFirst="1" w:colLast="1"/>
            <w:permEnd w:id="207582722"/>
            <w:r w:rsidRPr="00226744">
              <w:rPr>
                <w:b/>
              </w:rPr>
              <w:lastRenderedPageBreak/>
              <w:t>Justifications of exclusions &amp; how these adhere to standard definitions</w:t>
            </w:r>
          </w:p>
        </w:tc>
        <w:tc>
          <w:tcPr>
            <w:tcW w:w="6075" w:type="dxa"/>
          </w:tcPr>
          <w:p w14:paraId="6D0FB8FA" w14:textId="77777777" w:rsidR="00DF478A" w:rsidRPr="00226744" w:rsidRDefault="00DF478A" w:rsidP="008F3D71">
            <w:pPr>
              <w:spacing w:before="240"/>
            </w:pPr>
            <w:r w:rsidRPr="00226744">
              <w:t xml:space="preserve">Age – Selects valid ages only for the standardisation calculation. </w:t>
            </w:r>
          </w:p>
          <w:p w14:paraId="0F3840DD" w14:textId="77777777" w:rsidR="00DF478A" w:rsidRPr="00226744" w:rsidRDefault="00DF478A" w:rsidP="008F3D71">
            <w:pPr>
              <w:spacing w:before="240"/>
            </w:pPr>
            <w:r w:rsidRPr="00226744">
              <w:t xml:space="preserve">Gender – Selects valid genders only for the standardisation calculation, standard definition in the indicator set. </w:t>
            </w:r>
          </w:p>
          <w:p w14:paraId="7C1D2371" w14:textId="77777777" w:rsidR="00DF478A" w:rsidRPr="00226744" w:rsidRDefault="00DF478A" w:rsidP="008F3D71">
            <w:pPr>
              <w:spacing w:before="240"/>
            </w:pPr>
            <w:r w:rsidRPr="00226744">
              <w:t>CCG Code – Is valid, standard definition in the indicator set.</w:t>
            </w:r>
          </w:p>
          <w:p w14:paraId="04E598FF" w14:textId="77777777" w:rsidR="00DF478A" w:rsidRPr="00226744" w:rsidRDefault="00DF478A" w:rsidP="008F3D71">
            <w:pPr>
              <w:spacing w:before="240"/>
            </w:pPr>
            <w:r w:rsidRPr="00226744">
              <w:t>Discharge Date – If a patient is discharged completely (i.e. if they refuse treatment and leave) on the day they are discharged from inpatient services they are not included.</w:t>
            </w:r>
          </w:p>
          <w:p w14:paraId="772B1453" w14:textId="77777777" w:rsidR="00DF478A" w:rsidRPr="00226744" w:rsidRDefault="00DF478A" w:rsidP="008F3D71">
            <w:pPr>
              <w:spacing w:before="240"/>
            </w:pPr>
            <w:r w:rsidRPr="00226744">
              <w:t>Discharge Method – Excludes people discharged as dead, it is not possible for these cases to be readmitted, so they are excluded from the indicator.</w:t>
            </w:r>
          </w:p>
          <w:p w14:paraId="4AB79C01" w14:textId="0497D91F" w:rsidR="00DF478A" w:rsidRPr="00226744" w:rsidRDefault="00DF478A" w:rsidP="008F3D71">
            <w:pPr>
              <w:spacing w:before="240"/>
            </w:pPr>
            <w:r w:rsidRPr="00226744">
              <w:t xml:space="preserve">Discharge from Mental Health Service Reason – Excludes transfers. </w:t>
            </w:r>
          </w:p>
          <w:p w14:paraId="00E8A2EA" w14:textId="77777777" w:rsidR="00DF478A" w:rsidRPr="00226744" w:rsidRDefault="00DF478A" w:rsidP="008F3D71">
            <w:pPr>
              <w:spacing w:before="240"/>
            </w:pPr>
            <w:r w:rsidRPr="00226744">
              <w:t>Admission Date – Identifies readmissions in the time period</w:t>
            </w:r>
          </w:p>
          <w:p w14:paraId="77BEA899" w14:textId="77777777" w:rsidR="00DF478A" w:rsidRPr="00226744" w:rsidRDefault="00DF478A" w:rsidP="008F3D71">
            <w:pPr>
              <w:spacing w:before="240"/>
            </w:pPr>
            <w:r w:rsidRPr="00226744">
              <w:t>Admission Method – Ensures only unplanned readmissions are included in the indicator. This is a standard filter for readmission indicators in the CCG OIS.</w:t>
            </w:r>
          </w:p>
        </w:tc>
      </w:tr>
      <w:tr w:rsidR="00DF478A" w:rsidRPr="00226744" w14:paraId="16A1959A" w14:textId="77777777" w:rsidTr="00DF478A">
        <w:tc>
          <w:tcPr>
            <w:tcW w:w="2111" w:type="dxa"/>
            <w:tcBorders>
              <w:top w:val="single" w:sz="4" w:space="0" w:color="4F81BD" w:themeColor="accent1"/>
              <w:left w:val="nil"/>
              <w:bottom w:val="single" w:sz="18" w:space="0" w:color="4F81BD" w:themeColor="accent1"/>
            </w:tcBorders>
          </w:tcPr>
          <w:p w14:paraId="47E70B5A" w14:textId="77777777" w:rsidR="00DF478A" w:rsidRPr="00226744" w:rsidRDefault="00DF478A" w:rsidP="008F3D71">
            <w:pPr>
              <w:spacing w:before="240"/>
              <w:ind w:left="34"/>
              <w:rPr>
                <w:b/>
              </w:rPr>
            </w:pPr>
            <w:permStart w:id="130836977" w:edGrp="everyone" w:colFirst="1" w:colLast="1"/>
            <w:permEnd w:id="1880775638"/>
            <w:r w:rsidRPr="00226744">
              <w:rPr>
                <w:b/>
              </w:rPr>
              <w:t>Data processing</w:t>
            </w:r>
          </w:p>
        </w:tc>
        <w:tc>
          <w:tcPr>
            <w:tcW w:w="6075" w:type="dxa"/>
          </w:tcPr>
          <w:p w14:paraId="05AB45CE" w14:textId="77777777" w:rsidR="00DF478A" w:rsidRPr="00226744" w:rsidRDefault="00DF478A" w:rsidP="008F3D71">
            <w:pPr>
              <w:spacing w:before="240"/>
            </w:pPr>
            <w:r w:rsidRPr="00226744">
              <w:t>CCGs came into existence on 1</w:t>
            </w:r>
            <w:r w:rsidRPr="00226744">
              <w:rPr>
                <w:vertAlign w:val="superscript"/>
              </w:rPr>
              <w:t>st</w:t>
            </w:r>
            <w:r w:rsidRPr="00226744">
              <w:t xml:space="preserve"> April 2013. To achieve consistency over time in the geographic units of analysis, patients have been assigned to a CCG based on the boundaries on this date. It is noted that CCGs cannot be responsible for activity before this date, however it was reasoned that it would be useful for CCGs to have access to </w:t>
            </w:r>
            <w:r w:rsidRPr="00226744">
              <w:lastRenderedPageBreak/>
              <w:t>information about the patients in their current boundaries as an up-to-date guide for policy making at a local level</w:t>
            </w:r>
          </w:p>
        </w:tc>
      </w:tr>
      <w:permEnd w:id="130836977"/>
    </w:tbl>
    <w:p w14:paraId="7CCF348B" w14:textId="77777777" w:rsidR="00DF478A" w:rsidRPr="00226744" w:rsidRDefault="00DF478A"/>
    <w:p w14:paraId="40C3D3C7" w14:textId="77777777" w:rsidR="00DF478A" w:rsidRPr="00226744" w:rsidRDefault="00DF478A"/>
    <w:p w14:paraId="26324D17" w14:textId="77777777" w:rsidR="00DF478A" w:rsidRPr="00226744" w:rsidRDefault="00DF478A"/>
    <w:tbl>
      <w:tblPr>
        <w:tblStyle w:val="TableGrid"/>
        <w:tblW w:w="0" w:type="auto"/>
        <w:tblLook w:val="04A0" w:firstRow="1" w:lastRow="0" w:firstColumn="1" w:lastColumn="0" w:noHBand="0" w:noVBand="1"/>
      </w:tblPr>
      <w:tblGrid>
        <w:gridCol w:w="1855"/>
        <w:gridCol w:w="7110"/>
      </w:tblGrid>
      <w:tr w:rsidR="00DF478A" w:rsidRPr="00226744" w14:paraId="40D98077" w14:textId="77777777" w:rsidTr="00DF478A">
        <w:tc>
          <w:tcPr>
            <w:tcW w:w="1724" w:type="dxa"/>
          </w:tcPr>
          <w:p w14:paraId="7883624A" w14:textId="4C53121A" w:rsidR="00DF478A" w:rsidRPr="00226744" w:rsidRDefault="00DF478A" w:rsidP="00DF478A">
            <w:r w:rsidRPr="00226744">
              <w:rPr>
                <w:b/>
              </w:rPr>
              <w:t>Numerator</w:t>
            </w:r>
          </w:p>
        </w:tc>
        <w:tc>
          <w:tcPr>
            <w:tcW w:w="7292" w:type="dxa"/>
          </w:tcPr>
          <w:p w14:paraId="29EA3D86" w14:textId="77777777" w:rsidR="00DF478A" w:rsidRPr="00226744" w:rsidRDefault="00DF478A" w:rsidP="00DF478A">
            <w:pPr>
              <w:spacing w:before="240"/>
            </w:pPr>
            <w:r w:rsidRPr="00226744">
              <w:t>The observed number of unplanned readmissions to a Mental Health inpatient service within 30 days of a discharge from a psychiatric hospital.</w:t>
            </w:r>
          </w:p>
          <w:p w14:paraId="635EA47F" w14:textId="1A46FB80" w:rsidR="00DF478A" w:rsidRPr="00226744" w:rsidRDefault="00DF478A" w:rsidP="00DF478A">
            <w:r w:rsidRPr="00226744">
              <w:t xml:space="preserve">The period in which a discharge is included covers April YYYY – March YYYY+1, the period in which a readmission is included covers April YYYY - April YYYY+1. </w:t>
            </w:r>
          </w:p>
        </w:tc>
      </w:tr>
      <w:tr w:rsidR="00DF478A" w:rsidRPr="00226744" w14:paraId="4161B5F2" w14:textId="77777777" w:rsidTr="00DF478A">
        <w:tc>
          <w:tcPr>
            <w:tcW w:w="1724" w:type="dxa"/>
          </w:tcPr>
          <w:p w14:paraId="73223762" w14:textId="302B0B5B" w:rsidR="00DF478A" w:rsidRPr="00226744" w:rsidRDefault="00DF478A" w:rsidP="00DF478A">
            <w:r w:rsidRPr="00226744">
              <w:rPr>
                <w:b/>
              </w:rPr>
              <w:t>Denominator</w:t>
            </w:r>
          </w:p>
        </w:tc>
        <w:tc>
          <w:tcPr>
            <w:tcW w:w="7292" w:type="dxa"/>
          </w:tcPr>
          <w:p w14:paraId="7E5F8230" w14:textId="77777777" w:rsidR="00DF478A" w:rsidRPr="00226744" w:rsidRDefault="00DF478A" w:rsidP="00DF478A">
            <w:pPr>
              <w:spacing w:before="240"/>
            </w:pPr>
            <w:r w:rsidRPr="00226744">
              <w:t>The number of unplanned readmissions to a Mental Health inpatient service expected to occur within 30 days of a discharge from a psychiatric hospital.</w:t>
            </w:r>
          </w:p>
          <w:p w14:paraId="02B3A8DC" w14:textId="31126D5D" w:rsidR="00DF478A" w:rsidRPr="00226744" w:rsidRDefault="00DF478A" w:rsidP="00DF478A">
            <w:r w:rsidRPr="00226744">
              <w:t xml:space="preserve">The period in which a discharge is included covers April YYYY – March YYYY+1, the period in which a readmission is included covers April YYYY - April YYYY+1. </w:t>
            </w:r>
          </w:p>
        </w:tc>
      </w:tr>
      <w:tr w:rsidR="00DF478A" w:rsidRPr="00226744" w14:paraId="09E48BC9" w14:textId="77777777" w:rsidTr="00DF478A">
        <w:tc>
          <w:tcPr>
            <w:tcW w:w="1724" w:type="dxa"/>
          </w:tcPr>
          <w:p w14:paraId="5C8DDD55" w14:textId="2AFA616D" w:rsidR="00DF478A" w:rsidRPr="00226744" w:rsidRDefault="00DF478A" w:rsidP="00DF478A">
            <w:r w:rsidRPr="00226744">
              <w:rPr>
                <w:b/>
              </w:rPr>
              <w:t>Computation</w:t>
            </w:r>
          </w:p>
        </w:tc>
        <w:tc>
          <w:tcPr>
            <w:tcW w:w="7292" w:type="dxa"/>
          </w:tcPr>
          <w:p w14:paraId="627867DD" w14:textId="77777777" w:rsidR="00DF478A" w:rsidRPr="00226744" w:rsidRDefault="00DF478A" w:rsidP="00DF478A">
            <w:pPr>
              <w:spacing w:before="240"/>
            </w:pPr>
            <w:r w:rsidRPr="00226744">
              <w:t>The indicator is reported as an Indirectly Standardised Ratio (ISR) of the number of unplanned readmissions within 30 days of a discharge from a mental health inpatient service.</w:t>
            </w:r>
          </w:p>
          <w:p w14:paraId="40357E40" w14:textId="77777777" w:rsidR="00DF478A" w:rsidRPr="00226744" w:rsidRDefault="00DF478A" w:rsidP="00DF478A">
            <w:pPr>
              <w:spacing w:before="240"/>
            </w:pPr>
            <w:r w:rsidRPr="00226744">
              <w:t>The ISR is given by:</w:t>
            </w:r>
          </w:p>
          <w:p w14:paraId="5F39257B" w14:textId="77777777" w:rsidR="00DF478A" w:rsidRPr="00226744" w:rsidRDefault="00DF478A" w:rsidP="00DF478A">
            <w:pPr>
              <w:spacing w:before="240"/>
            </w:pPr>
            <m:oMathPara>
              <m:oMath>
                <m:r>
                  <w:rPr>
                    <w:rFonts w:ascii="Cambria Math" w:hAnsi="Cambria Math"/>
                  </w:rPr>
                  <m:t>ISR=</m:t>
                </m:r>
                <m:f>
                  <m:fPr>
                    <m:ctrlPr>
                      <w:rPr>
                        <w:rFonts w:ascii="Cambria Math" w:hAnsi="Cambria Math"/>
                        <w:i/>
                      </w:rPr>
                    </m:ctrlPr>
                  </m:fPr>
                  <m:num>
                    <m:r>
                      <w:rPr>
                        <w:rFonts w:ascii="Cambria Math" w:hAnsi="Cambria Math"/>
                      </w:rPr>
                      <m:t>O</m:t>
                    </m:r>
                  </m:num>
                  <m:den>
                    <m:r>
                      <w:rPr>
                        <w:rFonts w:ascii="Cambria Math" w:hAnsi="Cambria Math"/>
                      </w:rPr>
                      <m:t>E</m:t>
                    </m:r>
                  </m:den>
                </m:f>
                <m:r>
                  <w:rPr>
                    <w:rFonts w:ascii="Cambria Math" w:hAnsi="Cambria Math"/>
                  </w:rPr>
                  <m:t xml:space="preserve"> × 100</m:t>
                </m:r>
              </m:oMath>
            </m:oMathPara>
          </w:p>
          <w:p w14:paraId="4970DD3F" w14:textId="2E5FBD6C" w:rsidR="00DF478A" w:rsidRPr="00226744" w:rsidRDefault="00DF478A" w:rsidP="00DF478A">
            <w:r w:rsidRPr="00226744">
              <w:t>Ratios are presented at one decimal place.</w:t>
            </w:r>
          </w:p>
        </w:tc>
      </w:tr>
      <w:tr w:rsidR="00DF478A" w:rsidRPr="00226744" w14:paraId="6C12B531" w14:textId="77777777" w:rsidTr="00DF478A">
        <w:tc>
          <w:tcPr>
            <w:tcW w:w="1724" w:type="dxa"/>
          </w:tcPr>
          <w:p w14:paraId="63EED5C2" w14:textId="24BE0E5E" w:rsidR="00DF478A" w:rsidRPr="00226744" w:rsidRDefault="00DF478A" w:rsidP="00DF478A">
            <w:pPr>
              <w:rPr>
                <w:b/>
              </w:rPr>
            </w:pPr>
            <w:r w:rsidRPr="00226744">
              <w:rPr>
                <w:b/>
              </w:rPr>
              <w:t>Risk adjustment or standardisation type</w:t>
            </w:r>
          </w:p>
        </w:tc>
        <w:sdt>
          <w:sdtPr>
            <w:alias w:val="Risk adjustment type"/>
            <w:tag w:val="Risk adjustment type"/>
            <w:id w:val="1214319314"/>
            <w:placeholder>
              <w:docPart w:val="46F7165E4415463DA598452F66E7D11C"/>
            </w:placeholder>
            <w:dropDownList>
              <w:listItem w:value="Choose an item."/>
              <w:listItem w:displayText="Direct Standardisation" w:value="Direct Standardisation"/>
              <w:listItem w:displayText="Indirect Standardisation" w:value="Indirect Standardisation"/>
              <w:listItem w:displayText="Weighting Methodology" w:value="Weighting Methodology"/>
              <w:listItem w:displayText="Regression Model" w:value="Regression Model"/>
              <w:listItem w:displayText="None" w:value="None"/>
            </w:dropDownList>
          </w:sdtPr>
          <w:sdtEndPr/>
          <w:sdtContent>
            <w:permStart w:id="155068985" w:edGrp="everyone" w:displacedByCustomXml="prev"/>
            <w:tc>
              <w:tcPr>
                <w:tcW w:w="7292" w:type="dxa"/>
              </w:tcPr>
              <w:p w14:paraId="5C8B6E48" w14:textId="53316DB7" w:rsidR="00DF478A" w:rsidRPr="00226744" w:rsidRDefault="00DF478A" w:rsidP="00DF478A">
                <w:pPr>
                  <w:spacing w:before="240"/>
                </w:pPr>
                <w:r w:rsidRPr="00226744">
                  <w:t>Indirect Standardisation</w:t>
                </w:r>
              </w:p>
            </w:tc>
            <w:permEnd w:id="155068985" w:displacedByCustomXml="next"/>
          </w:sdtContent>
        </w:sdt>
      </w:tr>
      <w:tr w:rsidR="00DF478A" w:rsidRPr="00226744" w14:paraId="7B99DB7B" w14:textId="77777777" w:rsidTr="00DF478A">
        <w:tc>
          <w:tcPr>
            <w:tcW w:w="1724" w:type="dxa"/>
          </w:tcPr>
          <w:p w14:paraId="5C113147" w14:textId="588605D4" w:rsidR="00DF478A" w:rsidRPr="00226744" w:rsidRDefault="00DF478A" w:rsidP="00DF478A">
            <w:pPr>
              <w:rPr>
                <w:b/>
              </w:rPr>
            </w:pPr>
            <w:r w:rsidRPr="00226744">
              <w:rPr>
                <w:b/>
              </w:rPr>
              <w:t>Justification of risk adjustment type</w:t>
            </w:r>
          </w:p>
        </w:tc>
        <w:tc>
          <w:tcPr>
            <w:tcW w:w="7292" w:type="dxa"/>
          </w:tcPr>
          <w:p w14:paraId="289A7181" w14:textId="77777777" w:rsidR="00DF478A" w:rsidRPr="00226744" w:rsidRDefault="00DF478A" w:rsidP="00DF478A">
            <w:pPr>
              <w:spacing w:before="240"/>
            </w:pPr>
            <w:r w:rsidRPr="00226744">
              <w:t xml:space="preserve">Indirect standardisation takes the age and sex of the population over time into account. Use of indirect standardisation allows the indicator to align with other readmission indicators and indicators of proportions in other indicator sets, e.g. 3.2 Emergency readmissions within 30 days of discharge from hospital. </w:t>
            </w:r>
          </w:p>
          <w:p w14:paraId="1A9C5C9E" w14:textId="48013363" w:rsidR="00DF478A" w:rsidRPr="00226744" w:rsidRDefault="00DF478A" w:rsidP="00DF478A">
            <w:pPr>
              <w:spacing w:before="240"/>
            </w:pPr>
            <w:r w:rsidRPr="00226744">
              <w:t>Direct standardisation was considered for this indicator; however, this indicator is a proportion. Use of indirect standardisation is consistent with the current MRG advice on the standardisation of proportions. In addition, volumes in the age and sex specific strata are small, further lending support to the use of indirect standardisation.</w:t>
            </w:r>
          </w:p>
        </w:tc>
      </w:tr>
      <w:tr w:rsidR="00DF478A" w:rsidRPr="00226744" w14:paraId="2EE63BF6" w14:textId="77777777" w:rsidTr="00DF478A">
        <w:tc>
          <w:tcPr>
            <w:tcW w:w="1724" w:type="dxa"/>
          </w:tcPr>
          <w:p w14:paraId="6C1D3FC2" w14:textId="51972BD3" w:rsidR="00DF478A" w:rsidRPr="00226744" w:rsidRDefault="00DF478A" w:rsidP="00DF478A">
            <w:pPr>
              <w:rPr>
                <w:b/>
              </w:rPr>
            </w:pPr>
            <w:r w:rsidRPr="00226744">
              <w:rPr>
                <w:b/>
              </w:rPr>
              <w:t>Risk adjustment variables and methodology</w:t>
            </w:r>
          </w:p>
        </w:tc>
        <w:tc>
          <w:tcPr>
            <w:tcW w:w="7292" w:type="dxa"/>
          </w:tcPr>
          <w:p w14:paraId="2F79273A" w14:textId="77777777" w:rsidR="00DF478A" w:rsidRPr="00226744" w:rsidRDefault="00DF478A" w:rsidP="00DF478A">
            <w:pPr>
              <w:spacing w:before="120" w:after="120"/>
            </w:pPr>
            <w:r w:rsidRPr="00226744">
              <w:t>The ISR</w:t>
            </w:r>
            <w:r w:rsidRPr="00226744">
              <w:rPr>
                <w:vertAlign w:val="superscript"/>
              </w:rPr>
              <w:t>3</w:t>
            </w:r>
            <w:r w:rsidRPr="00226744">
              <w:t xml:space="preserve"> is given by:</w:t>
            </w:r>
          </w:p>
          <w:p w14:paraId="55E2B349" w14:textId="77777777" w:rsidR="00DF478A" w:rsidRPr="00226744" w:rsidRDefault="00DF478A" w:rsidP="00DF478A">
            <w:pPr>
              <w:spacing w:before="120" w:after="120"/>
            </w:pPr>
            <m:oMathPara>
              <m:oMath>
                <m:r>
                  <w:rPr>
                    <w:rFonts w:ascii="Cambria Math" w:hAnsi="Cambria Math"/>
                  </w:rPr>
                  <m:t>ISR=</m:t>
                </m:r>
                <m:f>
                  <m:fPr>
                    <m:ctrlPr>
                      <w:rPr>
                        <w:rFonts w:ascii="Cambria Math" w:hAnsi="Cambria Math"/>
                        <w:i/>
                      </w:rPr>
                    </m:ctrlPr>
                  </m:fPr>
                  <m:num>
                    <m:r>
                      <w:rPr>
                        <w:rFonts w:ascii="Cambria Math" w:hAnsi="Cambria Math"/>
                      </w:rPr>
                      <m:t>O</m:t>
                    </m:r>
                  </m:num>
                  <m:den>
                    <m:r>
                      <w:rPr>
                        <w:rFonts w:ascii="Cambria Math" w:hAnsi="Cambria Math"/>
                      </w:rPr>
                      <m:t>E</m:t>
                    </m:r>
                  </m:den>
                </m:f>
                <m:r>
                  <w:rPr>
                    <w:rFonts w:ascii="Cambria Math" w:hAnsi="Cambria Math"/>
                  </w:rPr>
                  <m:t>×100=</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O</m:t>
                            </m:r>
                          </m:e>
                          <m:sub>
                            <m:r>
                              <w:rPr>
                                <w:rFonts w:ascii="Cambria Math" w:hAnsi="Cambria Math"/>
                              </w:rPr>
                              <m:t>i</m:t>
                            </m:r>
                          </m:sub>
                        </m:sSub>
                      </m:e>
                    </m:nary>
                  </m:num>
                  <m:den>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E</m:t>
                            </m:r>
                          </m:e>
                          <m:sub>
                            <m:r>
                              <w:rPr>
                                <w:rFonts w:ascii="Cambria Math" w:hAnsi="Cambria Math"/>
                              </w:rPr>
                              <m:t>i</m:t>
                            </m:r>
                          </m:sub>
                        </m:sSub>
                      </m:e>
                    </m:nary>
                  </m:den>
                </m:f>
                <m:r>
                  <w:rPr>
                    <w:rFonts w:ascii="Cambria Math" w:hAnsi="Cambria Math"/>
                  </w:rPr>
                  <m:t xml:space="preserve">×100= </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O</m:t>
                            </m:r>
                          </m:e>
                          <m:sub>
                            <m:r>
                              <w:rPr>
                                <w:rFonts w:ascii="Cambria Math" w:hAnsi="Cambria Math"/>
                              </w:rPr>
                              <m:t>i</m:t>
                            </m:r>
                          </m:sub>
                        </m:sSub>
                      </m:e>
                    </m:nary>
                  </m:num>
                  <m:den>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n</m:t>
                            </m:r>
                          </m:e>
                          <m:sub>
                            <m:r>
                              <w:rPr>
                                <w:rFonts w:ascii="Cambria Math" w:hAnsi="Cambria Math"/>
                              </w:rPr>
                              <m:t>i</m:t>
                            </m:r>
                          </m:sub>
                        </m:sSub>
                        <m:r>
                          <w:rPr>
                            <w:rFonts w:ascii="Cambria Math" w:hAnsi="Cambria Math"/>
                          </w:rPr>
                          <m:t>λi</m:t>
                        </m:r>
                      </m:e>
                    </m:nary>
                  </m:den>
                </m:f>
                <m:r>
                  <w:rPr>
                    <w:rFonts w:ascii="Cambria Math" w:hAnsi="Cambria Math"/>
                  </w:rPr>
                  <m:t>×100</m:t>
                </m:r>
              </m:oMath>
            </m:oMathPara>
          </w:p>
          <w:p w14:paraId="7504E1D7" w14:textId="77777777" w:rsidR="00DF478A" w:rsidRPr="00226744" w:rsidRDefault="00DF478A" w:rsidP="00DF478A">
            <w:pPr>
              <w:spacing w:before="120" w:after="120"/>
            </w:pPr>
            <w:r w:rsidRPr="00226744">
              <w:t>Where:</w:t>
            </w:r>
          </w:p>
          <w:p w14:paraId="5758EBA4" w14:textId="77777777" w:rsidR="00DF478A" w:rsidRPr="00226744" w:rsidRDefault="00DF478A" w:rsidP="00DF478A">
            <w:pPr>
              <w:spacing w:before="120" w:after="120"/>
            </w:pPr>
            <w:r w:rsidRPr="00226744">
              <w:rPr>
                <w:i/>
              </w:rPr>
              <w:lastRenderedPageBreak/>
              <w:t>O</w:t>
            </w:r>
            <w:r w:rsidRPr="00226744">
              <w:t xml:space="preserve"> is the total observed number of events in the local or subject population</w:t>
            </w:r>
          </w:p>
          <w:p w14:paraId="0954DA35" w14:textId="77777777" w:rsidR="00DF478A" w:rsidRPr="00226744" w:rsidRDefault="00DF478A" w:rsidP="00DF478A">
            <w:pPr>
              <w:spacing w:before="120" w:after="120"/>
            </w:pPr>
            <w:r w:rsidRPr="00226744">
              <w:rPr>
                <w:i/>
                <w:iCs/>
              </w:rPr>
              <w:t>E</w:t>
            </w:r>
            <w:r w:rsidRPr="00226744">
              <w:t xml:space="preserve"> is the total number of expected events in the local or subject population, given the standard rates </w:t>
            </w:r>
            <w:proofErr w:type="spellStart"/>
            <w:r w:rsidRPr="00226744">
              <w:rPr>
                <w:i/>
              </w:rPr>
              <w:t>λ</w:t>
            </w:r>
            <w:r w:rsidRPr="00226744">
              <w:rPr>
                <w:i/>
                <w:iCs/>
                <w:vertAlign w:val="subscript"/>
              </w:rPr>
              <w:t>i</w:t>
            </w:r>
            <w:proofErr w:type="spellEnd"/>
            <w:r w:rsidRPr="00226744">
              <w:t xml:space="preserve"> in the reference or standard population; </w:t>
            </w:r>
          </w:p>
          <w:p w14:paraId="1743DEC0" w14:textId="77777777" w:rsidR="00DF478A" w:rsidRPr="00226744" w:rsidRDefault="00DF478A" w:rsidP="00DF478A">
            <w:pPr>
              <w:spacing w:before="120" w:after="120"/>
            </w:pPr>
            <w:r w:rsidRPr="00226744">
              <w:rPr>
                <w:i/>
                <w:iCs/>
              </w:rPr>
              <w:t>O</w:t>
            </w:r>
            <w:r w:rsidRPr="00226744">
              <w:rPr>
                <w:i/>
                <w:iCs/>
                <w:vertAlign w:val="subscript"/>
              </w:rPr>
              <w:t>i</w:t>
            </w:r>
            <w:r w:rsidRPr="00226744">
              <w:t xml:space="preserve"> is the observed numbers of events in the local or subject population in age group </w:t>
            </w:r>
            <w:proofErr w:type="spellStart"/>
            <w:r w:rsidRPr="00226744">
              <w:rPr>
                <w:i/>
              </w:rPr>
              <w:t>i</w:t>
            </w:r>
            <w:proofErr w:type="spellEnd"/>
            <w:r w:rsidRPr="00226744">
              <w:t>;</w:t>
            </w:r>
          </w:p>
          <w:p w14:paraId="21C527C5" w14:textId="77777777" w:rsidR="00DF478A" w:rsidRPr="00226744" w:rsidRDefault="00DF478A" w:rsidP="00DF478A">
            <w:pPr>
              <w:spacing w:before="120" w:after="120"/>
            </w:pPr>
            <w:proofErr w:type="spellStart"/>
            <w:r w:rsidRPr="00226744">
              <w:rPr>
                <w:i/>
                <w:iCs/>
              </w:rPr>
              <w:t>E</w:t>
            </w:r>
            <w:r w:rsidRPr="00226744">
              <w:rPr>
                <w:i/>
                <w:iCs/>
                <w:vertAlign w:val="subscript"/>
              </w:rPr>
              <w:t>i</w:t>
            </w:r>
            <w:proofErr w:type="spellEnd"/>
            <w:r w:rsidRPr="00226744">
              <w:t xml:space="preserve"> is the expected number of events in the local or subject population in age group </w:t>
            </w:r>
            <w:proofErr w:type="spellStart"/>
            <w:r w:rsidRPr="00226744">
              <w:rPr>
                <w:i/>
                <w:iCs/>
              </w:rPr>
              <w:t>i</w:t>
            </w:r>
            <w:proofErr w:type="spellEnd"/>
            <w:r w:rsidRPr="00226744">
              <w:t xml:space="preserve">, given the standard rate </w:t>
            </w:r>
            <w:proofErr w:type="spellStart"/>
            <w:r w:rsidRPr="00226744">
              <w:rPr>
                <w:i/>
              </w:rPr>
              <w:t>λ</w:t>
            </w:r>
            <w:r w:rsidRPr="00226744">
              <w:rPr>
                <w:i/>
                <w:iCs/>
                <w:vertAlign w:val="subscript"/>
              </w:rPr>
              <w:t>i</w:t>
            </w:r>
            <w:proofErr w:type="spellEnd"/>
            <w:r w:rsidRPr="00226744">
              <w:t xml:space="preserve"> in the reference or standard population;</w:t>
            </w:r>
          </w:p>
          <w:p w14:paraId="23937700" w14:textId="77777777" w:rsidR="00DF478A" w:rsidRPr="00226744" w:rsidRDefault="00DF478A" w:rsidP="00DF478A">
            <w:pPr>
              <w:spacing w:before="120" w:after="120"/>
            </w:pPr>
            <w:proofErr w:type="spellStart"/>
            <w:r w:rsidRPr="00226744">
              <w:rPr>
                <w:i/>
                <w:iCs/>
              </w:rPr>
              <w:t>n</w:t>
            </w:r>
            <w:r w:rsidRPr="00226744">
              <w:rPr>
                <w:i/>
                <w:iCs/>
                <w:vertAlign w:val="subscript"/>
              </w:rPr>
              <w:t>i</w:t>
            </w:r>
            <w:proofErr w:type="spellEnd"/>
            <w:r w:rsidRPr="00226744">
              <w:t xml:space="preserve"> is the number of individuals in the local or subject population in age group </w:t>
            </w:r>
            <w:proofErr w:type="spellStart"/>
            <w:r w:rsidRPr="00226744">
              <w:rPr>
                <w:i/>
                <w:iCs/>
              </w:rPr>
              <w:t>i</w:t>
            </w:r>
            <w:proofErr w:type="spellEnd"/>
            <w:r w:rsidRPr="00226744">
              <w:t>;</w:t>
            </w:r>
          </w:p>
          <w:p w14:paraId="6B490AF2" w14:textId="77777777" w:rsidR="00DF478A" w:rsidRPr="00226744" w:rsidRDefault="00DF478A" w:rsidP="00DF478A">
            <w:pPr>
              <w:spacing w:before="240"/>
            </w:pPr>
            <w:proofErr w:type="spellStart"/>
            <w:r w:rsidRPr="00226744">
              <w:rPr>
                <w:i/>
              </w:rPr>
              <w:t>λ</w:t>
            </w:r>
            <w:r w:rsidRPr="00226744">
              <w:rPr>
                <w:i/>
                <w:iCs/>
                <w:vertAlign w:val="subscript"/>
              </w:rPr>
              <w:t>i</w:t>
            </w:r>
            <w:proofErr w:type="spellEnd"/>
            <w:r w:rsidRPr="00226744">
              <w:t xml:space="preserve"> is the crude age-specific rate in the reference or standard population in age group </w:t>
            </w:r>
            <w:proofErr w:type="spellStart"/>
            <w:r w:rsidRPr="00226744">
              <w:rPr>
                <w:i/>
              </w:rPr>
              <w:t>i</w:t>
            </w:r>
            <w:proofErr w:type="spellEnd"/>
            <w:r w:rsidRPr="00226744">
              <w:t xml:space="preserve">; </w:t>
            </w:r>
          </w:p>
          <w:p w14:paraId="6C35DED9" w14:textId="77777777" w:rsidR="00DF478A" w:rsidRPr="00226744" w:rsidRDefault="00DF478A" w:rsidP="00DF478A">
            <w:pPr>
              <w:pStyle w:val="ListParagraph"/>
              <w:numPr>
                <w:ilvl w:val="0"/>
                <w:numId w:val="11"/>
              </w:numPr>
              <w:spacing w:before="240" w:after="180" w:line="240" w:lineRule="auto"/>
              <w:contextualSpacing w:val="0"/>
              <w:textboxTightWrap w:val="lastLineOnly"/>
            </w:pPr>
            <w:proofErr w:type="spellStart"/>
            <w:r w:rsidRPr="00226744">
              <w:t>Eayres</w:t>
            </w:r>
            <w:proofErr w:type="spellEnd"/>
            <w:r w:rsidRPr="00226744">
              <w:t xml:space="preserve"> D. Technical Briefing 3: Commonly used public health statistics and their confidence intervals. York: APHO; 2008. Available at </w:t>
            </w:r>
            <w:hyperlink r:id="rId16" w:history="1">
              <w:r w:rsidRPr="00226744">
                <w:rPr>
                  <w:rStyle w:val="Hyperlink"/>
                  <w:color w:val="auto"/>
                </w:rPr>
                <w:t>http://www.apho.org.uk/resource/item.aspx?RID=48457</w:t>
              </w:r>
            </w:hyperlink>
          </w:p>
          <w:p w14:paraId="69B30B43" w14:textId="77777777" w:rsidR="00DF478A" w:rsidRPr="00226744" w:rsidRDefault="00DF478A" w:rsidP="00DF478A">
            <w:pPr>
              <w:spacing w:before="240"/>
            </w:pPr>
            <w:r w:rsidRPr="00226744">
              <w:t>The variables used in the indirect standardisation are age and sex. The following age bands will be used: 17-19, 20-24, 25-29, 30-34, 35-39, 40-44, 45-49, 50-54, 55-59, 60-64, 65-69, 70-74, 75-79, 80-84, 85-89, 90+.</w:t>
            </w:r>
          </w:p>
          <w:p w14:paraId="3923D66F" w14:textId="14C400DA" w:rsidR="00DF478A" w:rsidRPr="00226744" w:rsidRDefault="00DF478A" w:rsidP="00DF478A">
            <w:pPr>
              <w:spacing w:before="240"/>
            </w:pPr>
            <w:r w:rsidRPr="00226744">
              <w:t xml:space="preserve">The standard population will be the number of discharges from mental health inpatient services. </w:t>
            </w:r>
          </w:p>
        </w:tc>
      </w:tr>
      <w:tr w:rsidR="00DF478A" w:rsidRPr="00226744" w14:paraId="06FE8D8C" w14:textId="77777777" w:rsidTr="00DF478A">
        <w:tc>
          <w:tcPr>
            <w:tcW w:w="1724" w:type="dxa"/>
          </w:tcPr>
          <w:p w14:paraId="4872ABCB" w14:textId="6E88D50D" w:rsidR="00DF478A" w:rsidRPr="00226744" w:rsidRDefault="00DF478A" w:rsidP="00DF478A">
            <w:pPr>
              <w:rPr>
                <w:b/>
              </w:rPr>
            </w:pPr>
            <w:r w:rsidRPr="00226744">
              <w:rPr>
                <w:b/>
              </w:rPr>
              <w:lastRenderedPageBreak/>
              <w:t>Justification of risk adjustment variables</w:t>
            </w:r>
          </w:p>
        </w:tc>
        <w:tc>
          <w:tcPr>
            <w:tcW w:w="7292" w:type="dxa"/>
          </w:tcPr>
          <w:p w14:paraId="12623F79" w14:textId="77777777" w:rsidR="00DF478A" w:rsidRPr="00226744" w:rsidRDefault="00DF478A" w:rsidP="00DF478A">
            <w:pPr>
              <w:spacing w:before="240"/>
            </w:pPr>
            <w:r w:rsidRPr="00226744">
              <w:t>The age and sex distribution for discharges and unplanned readmissions within mental health inpatient services within 30 days in the period April 2013 – March 2014 is presented below. A differing pattern for males and females by age can be seen. As such, it would be unfair to compare a CCG that had a different population distribution to the national population distribution to the national figure.</w:t>
            </w:r>
          </w:p>
          <w:p w14:paraId="5E29C039" w14:textId="77777777" w:rsidR="00DF478A" w:rsidRPr="00226744" w:rsidRDefault="00DF478A" w:rsidP="00DF478A">
            <w:pPr>
              <w:spacing w:before="240"/>
              <w:rPr>
                <w:i/>
              </w:rPr>
            </w:pPr>
            <w:r w:rsidRPr="00226744">
              <w:rPr>
                <w:i/>
              </w:rPr>
              <w:t>The sample data covers the period April 2013 – March 2014. At the time of writing, MHMDS data for April 2014 was not available; therefore, the readmission figure presented in this document will not be including readmissions that occurred in this month.</w:t>
            </w:r>
          </w:p>
          <w:p w14:paraId="72356F5F" w14:textId="62FC6BF6" w:rsidR="00DF478A" w:rsidRPr="00226744" w:rsidRDefault="00DF478A" w:rsidP="00DF478A">
            <w:pPr>
              <w:spacing w:before="120" w:after="120"/>
            </w:pPr>
          </w:p>
        </w:tc>
      </w:tr>
      <w:tr w:rsidR="00DF478A" w:rsidRPr="00226744" w14:paraId="421C0B7D" w14:textId="77777777" w:rsidTr="00DF478A">
        <w:tc>
          <w:tcPr>
            <w:tcW w:w="1724" w:type="dxa"/>
          </w:tcPr>
          <w:p w14:paraId="484A4795" w14:textId="48F19898" w:rsidR="00DF478A" w:rsidRPr="00226744" w:rsidRDefault="00DF478A" w:rsidP="00DF478A">
            <w:pPr>
              <w:rPr>
                <w:b/>
              </w:rPr>
            </w:pPr>
            <w:r w:rsidRPr="00226744">
              <w:rPr>
                <w:b/>
              </w:rPr>
              <w:t>Confidence interval / control limit use</w:t>
            </w:r>
          </w:p>
        </w:tc>
        <w:sdt>
          <w:sdtPr>
            <w:alias w:val="Confidence Interval/control limit use"/>
            <w:tag w:val="Confidence Interval/control limit use"/>
            <w:id w:val="1287858884"/>
            <w:placeholder>
              <w:docPart w:val="73770CAA240E4EA8B62E97727F5902A6"/>
            </w:placeholder>
            <w:dropDownList>
              <w:listItem w:value="Choose an item."/>
              <w:listItem w:displayText="Confidence Intervals" w:value="Confidence Intervals"/>
              <w:listItem w:displayText="Control Limits" w:value="Control Limits"/>
              <w:listItem w:displayText="None" w:value="None"/>
              <w:listItem w:displayText="Precision estimates" w:value="Precision estimates"/>
            </w:dropDownList>
          </w:sdtPr>
          <w:sdtEndPr/>
          <w:sdtContent>
            <w:permStart w:id="1302886262" w:edGrp="everyone" w:displacedByCustomXml="prev"/>
            <w:tc>
              <w:tcPr>
                <w:tcW w:w="7292" w:type="dxa"/>
              </w:tcPr>
              <w:p w14:paraId="64A8FDC3" w14:textId="6EC14CAF" w:rsidR="00DF478A" w:rsidRPr="00226744" w:rsidRDefault="00DF478A" w:rsidP="00DF478A">
                <w:pPr>
                  <w:spacing w:before="240"/>
                </w:pPr>
                <w:r w:rsidRPr="00226744">
                  <w:t>Confidence Intervals</w:t>
                </w:r>
              </w:p>
            </w:tc>
            <w:permEnd w:id="1302886262" w:displacedByCustomXml="next"/>
          </w:sdtContent>
        </w:sdt>
      </w:tr>
      <w:tr w:rsidR="00DF478A" w:rsidRPr="00226744" w14:paraId="4CD57543" w14:textId="77777777" w:rsidTr="00DF478A">
        <w:tc>
          <w:tcPr>
            <w:tcW w:w="1724" w:type="dxa"/>
          </w:tcPr>
          <w:p w14:paraId="0FA7A351" w14:textId="340078F6" w:rsidR="00DF478A" w:rsidRPr="00226744" w:rsidRDefault="00DF478A" w:rsidP="00DF478A">
            <w:pPr>
              <w:rPr>
                <w:b/>
              </w:rPr>
            </w:pPr>
            <w:r w:rsidRPr="00226744">
              <w:rPr>
                <w:b/>
              </w:rPr>
              <w:t>Confidence interval / control limit methodology</w:t>
            </w:r>
          </w:p>
        </w:tc>
        <w:tc>
          <w:tcPr>
            <w:tcW w:w="7292" w:type="dxa"/>
          </w:tcPr>
          <w:p w14:paraId="1CD7DB08" w14:textId="77777777" w:rsidR="00DF478A" w:rsidRPr="00226744" w:rsidRDefault="00DF478A" w:rsidP="00DF478A">
            <w:pPr>
              <w:spacing w:before="240"/>
            </w:pPr>
            <w:permStart w:id="281415981" w:edGrp="everyone"/>
            <w:r w:rsidRPr="00226744">
              <w:t xml:space="preserve">Confidence intervals are calculated as specified in ‘Commonly used public health statistics and their confidence intervals’ (APHO, March 2008). The 100(1– </w:t>
            </w:r>
            <w:r w:rsidRPr="00226744">
              <w:rPr>
                <w:i/>
              </w:rPr>
              <w:t>α</w:t>
            </w:r>
            <w:r w:rsidRPr="00226744">
              <w:t>)% confidence limits for the ISR are given by:</w:t>
            </w:r>
          </w:p>
          <w:p w14:paraId="1FFA84AB" w14:textId="77777777" w:rsidR="00DF478A" w:rsidRPr="00226744" w:rsidRDefault="00DF478A" w:rsidP="00DF478A">
            <w:pPr>
              <w:spacing w:before="240"/>
              <w:rPr>
                <w:i/>
              </w:rPr>
            </w:pPr>
            <m:oMathPara>
              <m:oMath>
                <m:r>
                  <w:rPr>
                    <w:rFonts w:ascii="Cambria Math" w:hAnsi="Cambria Math"/>
                  </w:rPr>
                  <w:lastRenderedPageBreak/>
                  <m:t>IS</m:t>
                </m:r>
                <m:sSub>
                  <m:sSubPr>
                    <m:ctrlPr>
                      <w:rPr>
                        <w:rFonts w:ascii="Cambria Math" w:hAnsi="Cambria Math"/>
                        <w:i/>
                      </w:rPr>
                    </m:ctrlPr>
                  </m:sSubPr>
                  <m:e>
                    <m:r>
                      <w:rPr>
                        <w:rFonts w:ascii="Cambria Math" w:hAnsi="Cambria Math"/>
                      </w:rPr>
                      <m:t>R</m:t>
                    </m:r>
                  </m:e>
                  <m:sub>
                    <m:r>
                      <w:rPr>
                        <w:rFonts w:ascii="Cambria Math" w:hAnsi="Cambria Math"/>
                      </w:rPr>
                      <m:t>lower</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O</m:t>
                        </m:r>
                      </m:e>
                      <m:sub>
                        <m:r>
                          <w:rPr>
                            <w:rFonts w:ascii="Cambria Math" w:hAnsi="Cambria Math"/>
                          </w:rPr>
                          <m:t>lower</m:t>
                        </m:r>
                      </m:sub>
                    </m:sSub>
                  </m:num>
                  <m:den>
                    <m:r>
                      <w:rPr>
                        <w:rFonts w:ascii="Cambria Math" w:hAnsi="Cambria Math"/>
                      </w:rPr>
                      <m:t>E</m:t>
                    </m:r>
                  </m:den>
                </m:f>
              </m:oMath>
            </m:oMathPara>
          </w:p>
          <w:p w14:paraId="68C067E4" w14:textId="77777777" w:rsidR="00DF478A" w:rsidRPr="00226744" w:rsidRDefault="00DF478A" w:rsidP="00DF478A">
            <w:pPr>
              <w:spacing w:before="240"/>
              <w:rPr>
                <w:i/>
              </w:rPr>
            </w:pPr>
            <m:oMathPara>
              <m:oMath>
                <m:r>
                  <w:rPr>
                    <w:rFonts w:ascii="Cambria Math" w:hAnsi="Cambria Math"/>
                  </w:rPr>
                  <m:t>IS</m:t>
                </m:r>
                <m:sSub>
                  <m:sSubPr>
                    <m:ctrlPr>
                      <w:rPr>
                        <w:rFonts w:ascii="Cambria Math" w:hAnsi="Cambria Math"/>
                        <w:i/>
                      </w:rPr>
                    </m:ctrlPr>
                  </m:sSubPr>
                  <m:e>
                    <m:r>
                      <w:rPr>
                        <w:rFonts w:ascii="Cambria Math" w:hAnsi="Cambria Math"/>
                      </w:rPr>
                      <m:t>R</m:t>
                    </m:r>
                  </m:e>
                  <m:sub>
                    <m:r>
                      <w:rPr>
                        <w:rFonts w:ascii="Cambria Math" w:hAnsi="Cambria Math"/>
                      </w:rPr>
                      <m:t>upper</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O</m:t>
                        </m:r>
                      </m:e>
                      <m:sub>
                        <m:r>
                          <w:rPr>
                            <w:rFonts w:ascii="Cambria Math" w:hAnsi="Cambria Math"/>
                          </w:rPr>
                          <m:t>upper</m:t>
                        </m:r>
                      </m:sub>
                    </m:sSub>
                  </m:num>
                  <m:den>
                    <m:r>
                      <w:rPr>
                        <w:rFonts w:ascii="Cambria Math" w:hAnsi="Cambria Math"/>
                      </w:rPr>
                      <m:t>E</m:t>
                    </m:r>
                  </m:den>
                </m:f>
              </m:oMath>
            </m:oMathPara>
          </w:p>
          <w:p w14:paraId="385E7284" w14:textId="77777777" w:rsidR="00DF478A" w:rsidRPr="00226744" w:rsidRDefault="00DF478A" w:rsidP="00DF478A">
            <w:pPr>
              <w:spacing w:before="240"/>
            </w:pPr>
            <w:r w:rsidRPr="00226744">
              <w:t xml:space="preserve">Where </w:t>
            </w:r>
            <w:proofErr w:type="spellStart"/>
            <w:r w:rsidRPr="00226744">
              <w:rPr>
                <w:i/>
              </w:rPr>
              <w:t>O</w:t>
            </w:r>
            <w:r w:rsidRPr="00226744">
              <w:rPr>
                <w:i/>
                <w:vertAlign w:val="subscript"/>
              </w:rPr>
              <w:t>lower</w:t>
            </w:r>
            <w:proofErr w:type="spellEnd"/>
            <w:r w:rsidRPr="00226744">
              <w:t xml:space="preserve"> and </w:t>
            </w:r>
            <w:proofErr w:type="spellStart"/>
            <w:r w:rsidRPr="00226744">
              <w:rPr>
                <w:i/>
              </w:rPr>
              <w:t>O</w:t>
            </w:r>
            <w:r w:rsidRPr="00226744">
              <w:rPr>
                <w:i/>
                <w:vertAlign w:val="subscript"/>
              </w:rPr>
              <w:t>upper</w:t>
            </w:r>
            <w:proofErr w:type="spellEnd"/>
            <w:r w:rsidRPr="00226744">
              <w:t xml:space="preserve"> are the lower and upper confidence limits for the observed number of events;</w:t>
            </w:r>
          </w:p>
          <w:p w14:paraId="1A5BFFE2" w14:textId="77777777" w:rsidR="00DF478A" w:rsidRPr="00226744" w:rsidRDefault="00DF478A" w:rsidP="00DF478A">
            <w:pPr>
              <w:spacing w:before="240"/>
            </w:pPr>
            <w:r w:rsidRPr="00226744">
              <w:t>Using Byar’s</w:t>
            </w:r>
            <w:r w:rsidRPr="00226744">
              <w:rPr>
                <w:vertAlign w:val="superscript"/>
              </w:rPr>
              <w:t>4</w:t>
            </w:r>
            <w:r w:rsidRPr="00226744">
              <w:t xml:space="preserve"> method, the 100(1– </w:t>
            </w:r>
            <w:r w:rsidRPr="00226744">
              <w:rPr>
                <w:i/>
              </w:rPr>
              <w:t>α</w:t>
            </w:r>
            <w:r w:rsidRPr="00226744">
              <w:t xml:space="preserve">)% confidence limits for the observed number of events are given by: </w:t>
            </w:r>
          </w:p>
          <w:p w14:paraId="567430FB" w14:textId="77777777" w:rsidR="00DF478A" w:rsidRPr="00226744" w:rsidRDefault="00B3149B" w:rsidP="00DF478A">
            <w:pPr>
              <w:spacing w:before="240"/>
              <w:rPr>
                <w:i/>
              </w:rPr>
            </w:pPr>
            <m:oMathPara>
              <m:oMath>
                <m:sSub>
                  <m:sSubPr>
                    <m:ctrlPr>
                      <w:rPr>
                        <w:rFonts w:ascii="Cambria Math" w:hAnsi="Cambria Math"/>
                        <w:i/>
                      </w:rPr>
                    </m:ctrlPr>
                  </m:sSubPr>
                  <m:e>
                    <m:r>
                      <w:rPr>
                        <w:rFonts w:ascii="Cambria Math" w:hAnsi="Cambria Math"/>
                      </w:rPr>
                      <m:t>O</m:t>
                    </m:r>
                  </m:e>
                  <m:sub>
                    <m:r>
                      <w:rPr>
                        <w:rFonts w:ascii="Cambria Math" w:hAnsi="Cambria Math"/>
                      </w:rPr>
                      <m:t>lower</m:t>
                    </m:r>
                  </m:sub>
                </m:sSub>
                <m:r>
                  <w:rPr>
                    <w:rFonts w:ascii="Cambria Math" w:hAnsi="Cambria Math"/>
                  </w:rPr>
                  <m:t>=O ×</m:t>
                </m:r>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9O</m:t>
                            </m:r>
                          </m:den>
                        </m:f>
                        <m:r>
                          <w:rPr>
                            <w:rFonts w:ascii="Cambria Math" w:hAnsi="Cambria Math"/>
                          </w:rPr>
                          <m:t>-</m:t>
                        </m:r>
                        <m:f>
                          <m:fPr>
                            <m:ctrlPr>
                              <w:rPr>
                                <w:rFonts w:ascii="Cambria Math" w:hAnsi="Cambria Math"/>
                                <w:i/>
                              </w:rPr>
                            </m:ctrlPr>
                          </m:fPr>
                          <m:num>
                            <m:r>
                              <w:rPr>
                                <w:rFonts w:ascii="Cambria Math" w:hAnsi="Cambria Math"/>
                              </w:rPr>
                              <m:t>z</m:t>
                            </m:r>
                          </m:num>
                          <m:den>
                            <m:r>
                              <w:rPr>
                                <w:rFonts w:ascii="Cambria Math" w:hAnsi="Cambria Math"/>
                              </w:rPr>
                              <m:t>3</m:t>
                            </m:r>
                            <m:rad>
                              <m:radPr>
                                <m:degHide m:val="1"/>
                                <m:ctrlPr>
                                  <w:rPr>
                                    <w:rFonts w:ascii="Cambria Math" w:hAnsi="Cambria Math"/>
                                    <w:i/>
                                  </w:rPr>
                                </m:ctrlPr>
                              </m:radPr>
                              <m:deg/>
                              <m:e>
                                <m:d>
                                  <m:dPr>
                                    <m:ctrlPr>
                                      <w:rPr>
                                        <w:rFonts w:ascii="Cambria Math" w:hAnsi="Cambria Math"/>
                                        <w:i/>
                                      </w:rPr>
                                    </m:ctrlPr>
                                  </m:dPr>
                                  <m:e>
                                    <m:r>
                                      <w:rPr>
                                        <w:rFonts w:ascii="Cambria Math" w:hAnsi="Cambria Math"/>
                                      </w:rPr>
                                      <m:t>O</m:t>
                                    </m:r>
                                  </m:e>
                                </m:d>
                              </m:e>
                            </m:rad>
                          </m:den>
                        </m:f>
                      </m:e>
                    </m:d>
                  </m:e>
                  <m:sup>
                    <m:r>
                      <w:rPr>
                        <w:rFonts w:ascii="Cambria Math" w:hAnsi="Cambria Math"/>
                      </w:rPr>
                      <m:t>3</m:t>
                    </m:r>
                  </m:sup>
                </m:sSup>
              </m:oMath>
            </m:oMathPara>
          </w:p>
          <w:p w14:paraId="4287E9A5" w14:textId="77777777" w:rsidR="00DF478A" w:rsidRPr="00226744" w:rsidRDefault="00B3149B" w:rsidP="00DF478A">
            <w:pPr>
              <w:spacing w:before="240"/>
              <w:rPr>
                <w:i/>
              </w:rPr>
            </w:pPr>
            <m:oMathPara>
              <m:oMath>
                <m:sSub>
                  <m:sSubPr>
                    <m:ctrlPr>
                      <w:rPr>
                        <w:rFonts w:ascii="Cambria Math" w:hAnsi="Cambria Math"/>
                        <w:i/>
                      </w:rPr>
                    </m:ctrlPr>
                  </m:sSubPr>
                  <m:e>
                    <m:r>
                      <w:rPr>
                        <w:rFonts w:ascii="Cambria Math" w:hAnsi="Cambria Math"/>
                      </w:rPr>
                      <m:t>O</m:t>
                    </m:r>
                  </m:e>
                  <m:sub>
                    <m:r>
                      <w:rPr>
                        <w:rFonts w:ascii="Cambria Math" w:hAnsi="Cambria Math"/>
                      </w:rPr>
                      <m:t>upper</m:t>
                    </m:r>
                  </m:sub>
                </m:sSub>
                <m:r>
                  <w:rPr>
                    <w:rFonts w:ascii="Cambria Math" w:hAnsi="Cambria Math"/>
                  </w:rPr>
                  <m:t>=(O+1) ×</m:t>
                </m:r>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9(O+1)</m:t>
                            </m:r>
                          </m:den>
                        </m:f>
                        <m:r>
                          <w:rPr>
                            <w:rFonts w:ascii="Cambria Math" w:hAnsi="Cambria Math"/>
                          </w:rPr>
                          <m:t>+</m:t>
                        </m:r>
                        <m:f>
                          <m:fPr>
                            <m:ctrlPr>
                              <w:rPr>
                                <w:rFonts w:ascii="Cambria Math" w:hAnsi="Cambria Math"/>
                                <w:i/>
                              </w:rPr>
                            </m:ctrlPr>
                          </m:fPr>
                          <m:num>
                            <m:r>
                              <w:rPr>
                                <w:rFonts w:ascii="Cambria Math" w:hAnsi="Cambria Math"/>
                              </w:rPr>
                              <m:t>z</m:t>
                            </m:r>
                          </m:num>
                          <m:den>
                            <m:r>
                              <w:rPr>
                                <w:rFonts w:ascii="Cambria Math" w:hAnsi="Cambria Math"/>
                              </w:rPr>
                              <m:t>3</m:t>
                            </m:r>
                            <m:rad>
                              <m:radPr>
                                <m:degHide m:val="1"/>
                                <m:ctrlPr>
                                  <w:rPr>
                                    <w:rFonts w:ascii="Cambria Math" w:hAnsi="Cambria Math"/>
                                    <w:i/>
                                  </w:rPr>
                                </m:ctrlPr>
                              </m:radPr>
                              <m:deg/>
                              <m:e>
                                <m:d>
                                  <m:dPr>
                                    <m:ctrlPr>
                                      <w:rPr>
                                        <w:rFonts w:ascii="Cambria Math" w:hAnsi="Cambria Math"/>
                                        <w:i/>
                                      </w:rPr>
                                    </m:ctrlPr>
                                  </m:dPr>
                                  <m:e>
                                    <m:r>
                                      <w:rPr>
                                        <w:rFonts w:ascii="Cambria Math" w:hAnsi="Cambria Math"/>
                                      </w:rPr>
                                      <m:t>O+1</m:t>
                                    </m:r>
                                  </m:e>
                                </m:d>
                              </m:e>
                            </m:rad>
                          </m:den>
                        </m:f>
                      </m:e>
                    </m:d>
                  </m:e>
                  <m:sup>
                    <m:r>
                      <w:rPr>
                        <w:rFonts w:ascii="Cambria Math" w:hAnsi="Cambria Math"/>
                      </w:rPr>
                      <m:t>3</m:t>
                    </m:r>
                  </m:sup>
                </m:sSup>
              </m:oMath>
            </m:oMathPara>
          </w:p>
          <w:p w14:paraId="731B3E53" w14:textId="77777777" w:rsidR="00DF478A" w:rsidRPr="00226744" w:rsidRDefault="00DF478A" w:rsidP="00DF478A">
            <w:pPr>
              <w:spacing w:before="240"/>
            </w:pPr>
            <w:r w:rsidRPr="00226744">
              <w:t xml:space="preserve">Where </w:t>
            </w:r>
            <w:r w:rsidRPr="00226744">
              <w:rPr>
                <w:i/>
              </w:rPr>
              <w:t>z</w:t>
            </w:r>
            <w:r w:rsidRPr="00226744">
              <w:t xml:space="preserve"> is the 100(1– </w:t>
            </w:r>
            <w:r w:rsidRPr="00226744">
              <w:rPr>
                <w:i/>
              </w:rPr>
              <w:t>α</w:t>
            </w:r>
            <w:r w:rsidRPr="00226744">
              <w:t>/2)</w:t>
            </w:r>
            <w:proofErr w:type="spellStart"/>
            <w:r w:rsidRPr="00226744">
              <w:t>th</w:t>
            </w:r>
            <w:proofErr w:type="spellEnd"/>
            <w:r w:rsidRPr="00226744">
              <w:t xml:space="preserve"> percentile value from the Standard Normal distribution. For example, for a 95% confidence interval, </w:t>
            </w:r>
            <w:r w:rsidRPr="00226744">
              <w:rPr>
                <w:i/>
              </w:rPr>
              <w:t>α</w:t>
            </w:r>
            <w:r w:rsidRPr="00226744">
              <w:t xml:space="preserve"> = 0.05 and </w:t>
            </w:r>
            <w:r w:rsidRPr="00226744">
              <w:rPr>
                <w:i/>
              </w:rPr>
              <w:t>z</w:t>
            </w:r>
            <w:r w:rsidRPr="00226744">
              <w:t xml:space="preserve"> = 1.96 (i.e. the 97.5th percentile value from the Standard Normal distribution)</w:t>
            </w:r>
            <w:r w:rsidRPr="00226744">
              <w:rPr>
                <w:vertAlign w:val="superscript"/>
              </w:rPr>
              <w:t>5</w:t>
            </w:r>
            <w:r w:rsidRPr="00226744">
              <w:t>.</w:t>
            </w:r>
          </w:p>
          <w:p w14:paraId="7732D8C1" w14:textId="77777777" w:rsidR="00DF478A" w:rsidRPr="00226744" w:rsidRDefault="00DF478A" w:rsidP="00DF478A">
            <w:pPr>
              <w:pStyle w:val="ListParagraph"/>
              <w:numPr>
                <w:ilvl w:val="0"/>
                <w:numId w:val="11"/>
              </w:numPr>
              <w:spacing w:before="240" w:after="180" w:line="240" w:lineRule="auto"/>
              <w:contextualSpacing w:val="0"/>
              <w:textboxTightWrap w:val="lastLineOnly"/>
            </w:pPr>
            <w:r w:rsidRPr="00226744">
              <w:t>Breslow NE, Day NE. Statistical methods in cancer research, volume II: The design and analysis of cohort studies. Lyon: International Agency for Research on Cancer, World Health Organisation; 1987</w:t>
            </w:r>
          </w:p>
          <w:p w14:paraId="74B265D0" w14:textId="77777777" w:rsidR="00DF478A" w:rsidRPr="00226744" w:rsidRDefault="00DF478A" w:rsidP="00DF478A">
            <w:pPr>
              <w:pStyle w:val="ListParagraph"/>
              <w:numPr>
                <w:ilvl w:val="0"/>
                <w:numId w:val="11"/>
              </w:numPr>
              <w:spacing w:before="240" w:after="180" w:line="240" w:lineRule="auto"/>
              <w:contextualSpacing w:val="0"/>
              <w:textboxTightWrap w:val="lastLineOnly"/>
            </w:pPr>
            <w:proofErr w:type="spellStart"/>
            <w:r w:rsidRPr="00226744">
              <w:t>Eayres</w:t>
            </w:r>
            <w:proofErr w:type="spellEnd"/>
            <w:r w:rsidRPr="00226744">
              <w:t xml:space="preserve"> D. Technical Briefing 3: Commonly used public health statistics and their confidence intervals. York: APHO; 2008. Available at http://www.apho.org.uk/resource/item.aspx?RID=48457</w:t>
            </w:r>
          </w:p>
          <w:permEnd w:id="281415981"/>
          <w:p w14:paraId="2D31068F" w14:textId="77777777" w:rsidR="00DF478A" w:rsidRPr="00226744" w:rsidRDefault="00DF478A" w:rsidP="00DF478A">
            <w:pPr>
              <w:spacing w:before="240"/>
            </w:pPr>
          </w:p>
        </w:tc>
      </w:tr>
    </w:tbl>
    <w:p w14:paraId="1223EC9A" w14:textId="77777777" w:rsidR="00DF478A" w:rsidRPr="00226744" w:rsidRDefault="00DF478A"/>
    <w:p w14:paraId="1E8992BC" w14:textId="77777777" w:rsidR="00DF478A" w:rsidRPr="00226744" w:rsidRDefault="00DF478A"/>
    <w:tbl>
      <w:tblPr>
        <w:tblStyle w:val="TableGrid"/>
        <w:tblW w:w="0" w:type="auto"/>
        <w:tblLook w:val="04A0" w:firstRow="1" w:lastRow="0" w:firstColumn="1" w:lastColumn="0" w:noHBand="0" w:noVBand="1"/>
      </w:tblPr>
      <w:tblGrid>
        <w:gridCol w:w="4483"/>
        <w:gridCol w:w="4482"/>
      </w:tblGrid>
      <w:tr w:rsidR="00DF478A" w:rsidRPr="00226744" w14:paraId="02BEEE8D" w14:textId="77777777" w:rsidTr="00DF478A">
        <w:tc>
          <w:tcPr>
            <w:tcW w:w="4508" w:type="dxa"/>
          </w:tcPr>
          <w:p w14:paraId="760382AE" w14:textId="77777777" w:rsidR="00DF478A" w:rsidRPr="00226744" w:rsidRDefault="00DF478A"/>
        </w:tc>
        <w:tc>
          <w:tcPr>
            <w:tcW w:w="4508" w:type="dxa"/>
          </w:tcPr>
          <w:p w14:paraId="7FB94CA9" w14:textId="77777777" w:rsidR="00DF478A" w:rsidRPr="00226744" w:rsidRDefault="00DF478A"/>
        </w:tc>
      </w:tr>
      <w:tr w:rsidR="00DF478A" w:rsidRPr="00226744" w14:paraId="764C8FB7" w14:textId="77777777" w:rsidTr="00DF478A">
        <w:tc>
          <w:tcPr>
            <w:tcW w:w="4508" w:type="dxa"/>
          </w:tcPr>
          <w:p w14:paraId="71D25423" w14:textId="498ABB41" w:rsidR="00DF478A" w:rsidRPr="00226744" w:rsidRDefault="00DF478A" w:rsidP="00DF478A">
            <w:r w:rsidRPr="00226744">
              <w:rPr>
                <w:b/>
              </w:rPr>
              <w:t>Contextual information provided alongside indicator</w:t>
            </w:r>
          </w:p>
        </w:tc>
        <w:tc>
          <w:tcPr>
            <w:tcW w:w="4508" w:type="dxa"/>
          </w:tcPr>
          <w:p w14:paraId="2CF2B668" w14:textId="6A3E93DD" w:rsidR="00DF478A" w:rsidRPr="00226744" w:rsidRDefault="00DF478A" w:rsidP="00DF478A">
            <w:r w:rsidRPr="00226744">
              <w:t>None</w:t>
            </w:r>
          </w:p>
        </w:tc>
      </w:tr>
      <w:tr w:rsidR="00DF478A" w:rsidRPr="00226744" w14:paraId="7EBBBD32" w14:textId="77777777" w:rsidTr="00DF478A">
        <w:tc>
          <w:tcPr>
            <w:tcW w:w="4508" w:type="dxa"/>
          </w:tcPr>
          <w:p w14:paraId="72325ACF" w14:textId="7DBB6AA9" w:rsidR="00DF478A" w:rsidRPr="00226744" w:rsidRDefault="00DF478A" w:rsidP="00DF478A">
            <w:r w:rsidRPr="00226744">
              <w:rPr>
                <w:b/>
              </w:rPr>
              <w:t>Justification of contextual information</w:t>
            </w:r>
          </w:p>
        </w:tc>
        <w:tc>
          <w:tcPr>
            <w:tcW w:w="4508" w:type="dxa"/>
          </w:tcPr>
          <w:p w14:paraId="10D2B6CE" w14:textId="19F7CC62" w:rsidR="00DF478A" w:rsidRPr="00226744" w:rsidRDefault="00DF478A" w:rsidP="00DF478A">
            <w:r w:rsidRPr="00226744">
              <w:t>N/A</w:t>
            </w:r>
          </w:p>
        </w:tc>
      </w:tr>
      <w:tr w:rsidR="00DF478A" w:rsidRPr="00226744" w14:paraId="3AD1CFC8" w14:textId="77777777" w:rsidTr="00DF478A">
        <w:tc>
          <w:tcPr>
            <w:tcW w:w="4508" w:type="dxa"/>
          </w:tcPr>
          <w:p w14:paraId="0356287F" w14:textId="52689029" w:rsidR="00DF478A" w:rsidRPr="00226744" w:rsidRDefault="00DF478A" w:rsidP="00DF478A">
            <w:r w:rsidRPr="00226744">
              <w:rPr>
                <w:b/>
              </w:rPr>
              <w:t>Calculation and data source of contextual information</w:t>
            </w:r>
          </w:p>
        </w:tc>
        <w:tc>
          <w:tcPr>
            <w:tcW w:w="4508" w:type="dxa"/>
          </w:tcPr>
          <w:p w14:paraId="1B5C3108" w14:textId="106F5674" w:rsidR="00DF478A" w:rsidRPr="00226744" w:rsidRDefault="00DF478A" w:rsidP="00DF478A">
            <w:r w:rsidRPr="00226744">
              <w:t>N/A</w:t>
            </w:r>
          </w:p>
        </w:tc>
      </w:tr>
      <w:tr w:rsidR="00DF478A" w:rsidRPr="00226744" w14:paraId="242B095D" w14:textId="77777777" w:rsidTr="00DF478A">
        <w:tc>
          <w:tcPr>
            <w:tcW w:w="4508" w:type="dxa"/>
          </w:tcPr>
          <w:p w14:paraId="1E1CF743" w14:textId="1A5466A7" w:rsidR="00DF478A" w:rsidRPr="00226744" w:rsidRDefault="00DF478A" w:rsidP="00DF478A">
            <w:r w:rsidRPr="00226744">
              <w:rPr>
                <w:b/>
              </w:rPr>
              <w:t>Use of bandings, benchmarks or targets</w:t>
            </w:r>
          </w:p>
        </w:tc>
        <w:tc>
          <w:tcPr>
            <w:tcW w:w="4508" w:type="dxa"/>
          </w:tcPr>
          <w:p w14:paraId="58468361" w14:textId="32F2C539" w:rsidR="00DF478A" w:rsidRPr="00226744" w:rsidRDefault="00DF478A" w:rsidP="00DF478A">
            <w:r w:rsidRPr="00226744">
              <w:t>None</w:t>
            </w:r>
          </w:p>
        </w:tc>
      </w:tr>
      <w:tr w:rsidR="00DF478A" w:rsidRPr="00226744" w14:paraId="4DAFA75B" w14:textId="77777777" w:rsidTr="00DF478A">
        <w:tc>
          <w:tcPr>
            <w:tcW w:w="4508" w:type="dxa"/>
          </w:tcPr>
          <w:p w14:paraId="2213088F" w14:textId="2684EA29" w:rsidR="00DF478A" w:rsidRPr="00226744" w:rsidRDefault="00DF478A" w:rsidP="00DF478A">
            <w:r w:rsidRPr="00226744">
              <w:rPr>
                <w:b/>
              </w:rPr>
              <w:t>Justification of bandings, benchmarks or targets used</w:t>
            </w:r>
          </w:p>
        </w:tc>
        <w:tc>
          <w:tcPr>
            <w:tcW w:w="4508" w:type="dxa"/>
          </w:tcPr>
          <w:p w14:paraId="4F3C0C46" w14:textId="5417E130" w:rsidR="00DF478A" w:rsidRPr="00226744" w:rsidRDefault="00DF478A" w:rsidP="00DF478A">
            <w:r w:rsidRPr="00226744">
              <w:t>N/A</w:t>
            </w:r>
          </w:p>
        </w:tc>
      </w:tr>
      <w:tr w:rsidR="00DF478A" w:rsidRPr="00226744" w14:paraId="1022D3B6" w14:textId="77777777" w:rsidTr="00DF478A">
        <w:tc>
          <w:tcPr>
            <w:tcW w:w="4508" w:type="dxa"/>
          </w:tcPr>
          <w:p w14:paraId="66B4244D" w14:textId="3326D46A" w:rsidR="00DF478A" w:rsidRPr="00226744" w:rsidRDefault="00DF478A" w:rsidP="00DF478A">
            <w:r w:rsidRPr="00226744">
              <w:rPr>
                <w:b/>
              </w:rPr>
              <w:t>Banding, benchmark or target methodology, if appropriate</w:t>
            </w:r>
          </w:p>
        </w:tc>
        <w:tc>
          <w:tcPr>
            <w:tcW w:w="4508" w:type="dxa"/>
          </w:tcPr>
          <w:p w14:paraId="27E17A70" w14:textId="73AFC883" w:rsidR="00DF478A" w:rsidRPr="00226744" w:rsidRDefault="00DF478A" w:rsidP="00DF478A">
            <w:r w:rsidRPr="00226744">
              <w:t>N/A</w:t>
            </w:r>
          </w:p>
        </w:tc>
      </w:tr>
      <w:tr w:rsidR="00DF478A" w:rsidRPr="00226744" w14:paraId="34A73068" w14:textId="77777777" w:rsidTr="00DF478A">
        <w:tc>
          <w:tcPr>
            <w:tcW w:w="4508" w:type="dxa"/>
          </w:tcPr>
          <w:p w14:paraId="03BD8B51" w14:textId="0CF8C925" w:rsidR="00DF478A" w:rsidRPr="00226744" w:rsidRDefault="00DF478A" w:rsidP="00DF478A">
            <w:pPr>
              <w:rPr>
                <w:b/>
              </w:rPr>
            </w:pPr>
            <w:r w:rsidRPr="00226744">
              <w:rPr>
                <w:b/>
              </w:rPr>
              <w:lastRenderedPageBreak/>
              <w:t>Evidence of variability</w:t>
            </w:r>
          </w:p>
        </w:tc>
        <w:tc>
          <w:tcPr>
            <w:tcW w:w="4508" w:type="dxa"/>
          </w:tcPr>
          <w:p w14:paraId="3F494F3B" w14:textId="77777777" w:rsidR="00DF478A" w:rsidRPr="00226744" w:rsidRDefault="00DF478A" w:rsidP="00DF478A">
            <w:pPr>
              <w:spacing w:before="240"/>
              <w:rPr>
                <w:i/>
              </w:rPr>
            </w:pPr>
            <w:r w:rsidRPr="00226744">
              <w:rPr>
                <w:i/>
              </w:rPr>
              <w:t>The sample data covers the period April 2013 – March 2014. At the time of writing, MHMDS data for April 2014 was not available; therefore, the readmission figure presented in this document will not be including readmissions that occurred in this month.</w:t>
            </w:r>
          </w:p>
          <w:p w14:paraId="40CD30BA" w14:textId="61CD60C8" w:rsidR="00DF478A" w:rsidRPr="00226744" w:rsidRDefault="00DF478A" w:rsidP="00DF478A">
            <w:pPr>
              <w:spacing w:before="240"/>
            </w:pPr>
            <w:r w:rsidRPr="00226744">
              <w:t xml:space="preserve">At the national level, there were 112,000 discharges from mental health inpatient services in the period April 2013 – March 2014. Of which, 11,700 were readmitted in an unplanned fashion within 30 days. </w:t>
            </w:r>
          </w:p>
          <w:p w14:paraId="1AD31628" w14:textId="77777777" w:rsidR="00DF478A" w:rsidRPr="00226744" w:rsidRDefault="00DF478A" w:rsidP="00DF478A">
            <w:pPr>
              <w:spacing w:before="240"/>
            </w:pPr>
            <w:r w:rsidRPr="00226744">
              <w:t xml:space="preserve">The number of unplanned readmissions within 30 days ranges from 2 to 1,131, whilst the number of discharges from mental health inpatient services ranges from 73 to 2,531. This difference between CCGs could be due to the differing data quality between providers, or the makeup of the population that the CCGs provide service to being different. </w:t>
            </w:r>
          </w:p>
          <w:p w14:paraId="2F05B40E" w14:textId="77777777" w:rsidR="00DF478A" w:rsidRPr="00226744" w:rsidRDefault="00DF478A" w:rsidP="00DF478A">
            <w:pPr>
              <w:spacing w:before="240"/>
            </w:pPr>
            <w:r w:rsidRPr="00226744">
              <w:t xml:space="preserve">The ISR is presented below: </w:t>
            </w:r>
          </w:p>
          <w:p w14:paraId="405F75CF" w14:textId="08D9476B" w:rsidR="00DF478A" w:rsidRPr="00226744" w:rsidRDefault="00DF478A" w:rsidP="00DF478A">
            <w:pPr>
              <w:spacing w:before="240"/>
            </w:pPr>
            <w:r w:rsidRPr="00226744">
              <w:t xml:space="preserve"> </w:t>
            </w:r>
          </w:p>
          <w:p w14:paraId="29375759" w14:textId="77777777" w:rsidR="00DF478A" w:rsidRPr="00226744" w:rsidRDefault="00DF478A" w:rsidP="00DF478A">
            <w:pPr>
              <w:spacing w:before="240"/>
            </w:pPr>
          </w:p>
          <w:p w14:paraId="4B1EC04E" w14:textId="77777777" w:rsidR="00DF478A" w:rsidRPr="00226744" w:rsidRDefault="00DF478A" w:rsidP="00DF478A">
            <w:pPr>
              <w:spacing w:before="240"/>
            </w:pPr>
          </w:p>
          <w:p w14:paraId="19964379" w14:textId="77777777" w:rsidR="00DF478A" w:rsidRPr="00226744" w:rsidRDefault="00DF478A" w:rsidP="00DF478A"/>
        </w:tc>
      </w:tr>
    </w:tbl>
    <w:p w14:paraId="4FF4FD66" w14:textId="574F0E09" w:rsidR="00F3337C" w:rsidRPr="00226744" w:rsidRDefault="00F3337C">
      <w:r w:rsidRPr="00226744">
        <w:br w:type="page"/>
      </w:r>
    </w:p>
    <w:tbl>
      <w:tblPr>
        <w:tblStyle w:val="TableGrid1"/>
        <w:tblW w:w="8493" w:type="dxa"/>
        <w:tblLook w:val="04A0" w:firstRow="1" w:lastRow="0" w:firstColumn="1" w:lastColumn="0" w:noHBand="0" w:noVBand="1"/>
      </w:tblPr>
      <w:tblGrid>
        <w:gridCol w:w="1336"/>
        <w:gridCol w:w="1635"/>
        <w:gridCol w:w="1378"/>
        <w:gridCol w:w="1610"/>
        <w:gridCol w:w="1414"/>
        <w:gridCol w:w="1120"/>
      </w:tblGrid>
      <w:tr w:rsidR="00226744" w:rsidRPr="00226744" w14:paraId="262E5641" w14:textId="77777777" w:rsidTr="00226744">
        <w:trPr>
          <w:trHeight w:val="690"/>
        </w:trPr>
        <w:tc>
          <w:tcPr>
            <w:tcW w:w="1336" w:type="dxa"/>
            <w:hideMark/>
          </w:tcPr>
          <w:p w14:paraId="73ABB59F" w14:textId="77777777" w:rsidR="00DF478A" w:rsidRPr="00226744" w:rsidRDefault="00DF478A" w:rsidP="00DF478A">
            <w:pPr>
              <w:rPr>
                <w:b/>
                <w:bCs/>
                <w:lang w:eastAsia="en-GB"/>
              </w:rPr>
            </w:pPr>
            <w:r w:rsidRPr="00226744">
              <w:rPr>
                <w:b/>
                <w:bCs/>
                <w:lang w:eastAsia="en-GB"/>
              </w:rPr>
              <w:lastRenderedPageBreak/>
              <w:t>CCG</w:t>
            </w:r>
          </w:p>
        </w:tc>
        <w:tc>
          <w:tcPr>
            <w:tcW w:w="1635" w:type="dxa"/>
            <w:hideMark/>
          </w:tcPr>
          <w:p w14:paraId="1D639977" w14:textId="77777777" w:rsidR="00DF478A" w:rsidRPr="00226744" w:rsidRDefault="00DF478A" w:rsidP="00DF478A">
            <w:pPr>
              <w:jc w:val="right"/>
              <w:rPr>
                <w:b/>
                <w:bCs/>
                <w:lang w:eastAsia="en-GB"/>
              </w:rPr>
            </w:pPr>
            <w:r w:rsidRPr="00226744">
              <w:rPr>
                <w:b/>
                <w:bCs/>
                <w:lang w:eastAsia="en-GB"/>
              </w:rPr>
              <w:t>Number of readmissions within 30 days</w:t>
            </w:r>
          </w:p>
        </w:tc>
        <w:tc>
          <w:tcPr>
            <w:tcW w:w="1378" w:type="dxa"/>
            <w:hideMark/>
          </w:tcPr>
          <w:p w14:paraId="11031D43" w14:textId="77777777" w:rsidR="00DF478A" w:rsidRPr="00226744" w:rsidRDefault="00DF478A" w:rsidP="00DF478A">
            <w:pPr>
              <w:jc w:val="right"/>
              <w:rPr>
                <w:b/>
                <w:bCs/>
                <w:lang w:eastAsia="en-GB"/>
              </w:rPr>
            </w:pPr>
            <w:r w:rsidRPr="00226744">
              <w:rPr>
                <w:b/>
                <w:bCs/>
                <w:lang w:eastAsia="en-GB"/>
              </w:rPr>
              <w:t>Number of discharges</w:t>
            </w:r>
          </w:p>
        </w:tc>
        <w:tc>
          <w:tcPr>
            <w:tcW w:w="1610" w:type="dxa"/>
            <w:hideMark/>
          </w:tcPr>
          <w:p w14:paraId="3F863B34" w14:textId="77777777" w:rsidR="00DF478A" w:rsidRPr="00226744" w:rsidRDefault="00DF478A" w:rsidP="00DF478A">
            <w:pPr>
              <w:jc w:val="right"/>
              <w:rPr>
                <w:b/>
                <w:bCs/>
                <w:lang w:eastAsia="en-GB"/>
              </w:rPr>
            </w:pPr>
            <w:r w:rsidRPr="00226744">
              <w:rPr>
                <w:b/>
                <w:bCs/>
                <w:lang w:eastAsia="en-GB"/>
              </w:rPr>
              <w:t>Indirectly Standardised Ratio</w:t>
            </w:r>
          </w:p>
        </w:tc>
        <w:tc>
          <w:tcPr>
            <w:tcW w:w="1414" w:type="dxa"/>
            <w:hideMark/>
          </w:tcPr>
          <w:p w14:paraId="1B9A05A5" w14:textId="1F550308" w:rsidR="00DF478A" w:rsidRPr="00226744" w:rsidRDefault="00226744" w:rsidP="00DF478A">
            <w:pPr>
              <w:jc w:val="right"/>
              <w:rPr>
                <w:b/>
                <w:bCs/>
                <w:lang w:eastAsia="en-GB"/>
              </w:rPr>
            </w:pPr>
            <w:r w:rsidRPr="00226744">
              <w:rPr>
                <w:b/>
                <w:bCs/>
                <w:lang w:eastAsia="en-GB"/>
              </w:rPr>
              <w:t xml:space="preserve">95% Confidence Interval </w:t>
            </w:r>
            <w:proofErr w:type="spellStart"/>
            <w:r w:rsidR="00DF478A" w:rsidRPr="00226744">
              <w:rPr>
                <w:b/>
                <w:bCs/>
                <w:lang w:eastAsia="en-GB"/>
              </w:rPr>
              <w:t>ISR</w:t>
            </w:r>
            <w:r w:rsidR="00DF478A" w:rsidRPr="00226744">
              <w:rPr>
                <w:b/>
                <w:bCs/>
                <w:i/>
                <w:iCs/>
                <w:vertAlign w:val="subscript"/>
                <w:lang w:eastAsia="en-GB"/>
              </w:rPr>
              <w:t>lower</w:t>
            </w:r>
            <w:proofErr w:type="spellEnd"/>
          </w:p>
        </w:tc>
        <w:tc>
          <w:tcPr>
            <w:tcW w:w="1120" w:type="dxa"/>
            <w:hideMark/>
          </w:tcPr>
          <w:p w14:paraId="7ED756EA" w14:textId="77777777" w:rsidR="00DF478A" w:rsidRPr="00226744" w:rsidRDefault="00DF478A" w:rsidP="00DF478A">
            <w:pPr>
              <w:jc w:val="right"/>
              <w:rPr>
                <w:b/>
                <w:bCs/>
                <w:lang w:eastAsia="en-GB"/>
              </w:rPr>
            </w:pPr>
            <w:proofErr w:type="spellStart"/>
            <w:r w:rsidRPr="00226744">
              <w:rPr>
                <w:b/>
                <w:bCs/>
                <w:lang w:eastAsia="en-GB"/>
              </w:rPr>
              <w:t>ISR</w:t>
            </w:r>
            <w:r w:rsidRPr="00226744">
              <w:rPr>
                <w:b/>
                <w:bCs/>
                <w:i/>
                <w:iCs/>
                <w:vertAlign w:val="subscript"/>
                <w:lang w:eastAsia="en-GB"/>
              </w:rPr>
              <w:t>upper</w:t>
            </w:r>
            <w:proofErr w:type="spellEnd"/>
          </w:p>
        </w:tc>
      </w:tr>
      <w:tr w:rsidR="00226744" w:rsidRPr="00226744" w14:paraId="120775A3" w14:textId="77777777" w:rsidTr="00226744">
        <w:trPr>
          <w:trHeight w:val="300"/>
        </w:trPr>
        <w:tc>
          <w:tcPr>
            <w:tcW w:w="1336" w:type="dxa"/>
            <w:noWrap/>
            <w:hideMark/>
          </w:tcPr>
          <w:p w14:paraId="5AAFD035" w14:textId="77777777" w:rsidR="00DF478A" w:rsidRPr="00226744" w:rsidRDefault="00DF478A" w:rsidP="00DF478A">
            <w:pPr>
              <w:rPr>
                <w:b/>
                <w:bCs/>
                <w:lang w:eastAsia="en-GB"/>
              </w:rPr>
            </w:pPr>
            <w:r w:rsidRPr="00226744">
              <w:rPr>
                <w:b/>
                <w:bCs/>
                <w:lang w:eastAsia="en-GB"/>
              </w:rPr>
              <w:t>CCG1</w:t>
            </w:r>
          </w:p>
        </w:tc>
        <w:tc>
          <w:tcPr>
            <w:tcW w:w="1635" w:type="dxa"/>
            <w:noWrap/>
            <w:hideMark/>
          </w:tcPr>
          <w:p w14:paraId="25D35DDE" w14:textId="77777777" w:rsidR="00DF478A" w:rsidRPr="00226744" w:rsidRDefault="00DF478A" w:rsidP="00DF478A">
            <w:pPr>
              <w:jc w:val="right"/>
              <w:rPr>
                <w:lang w:eastAsia="en-GB"/>
              </w:rPr>
            </w:pPr>
            <w:r w:rsidRPr="00226744">
              <w:rPr>
                <w:lang w:eastAsia="en-GB"/>
              </w:rPr>
              <w:t xml:space="preserve">8 </w:t>
            </w:r>
          </w:p>
        </w:tc>
        <w:tc>
          <w:tcPr>
            <w:tcW w:w="1378" w:type="dxa"/>
            <w:noWrap/>
            <w:hideMark/>
          </w:tcPr>
          <w:p w14:paraId="38C4D49B" w14:textId="77777777" w:rsidR="00DF478A" w:rsidRPr="00226744" w:rsidRDefault="00DF478A" w:rsidP="00DF478A">
            <w:pPr>
              <w:jc w:val="right"/>
              <w:rPr>
                <w:lang w:eastAsia="en-GB"/>
              </w:rPr>
            </w:pPr>
            <w:r w:rsidRPr="00226744">
              <w:rPr>
                <w:lang w:eastAsia="en-GB"/>
              </w:rPr>
              <w:t xml:space="preserve">299 </w:t>
            </w:r>
          </w:p>
        </w:tc>
        <w:tc>
          <w:tcPr>
            <w:tcW w:w="1610" w:type="dxa"/>
            <w:noWrap/>
            <w:hideMark/>
          </w:tcPr>
          <w:p w14:paraId="721D18AB" w14:textId="77777777" w:rsidR="00DF478A" w:rsidRPr="00226744" w:rsidRDefault="00DF478A" w:rsidP="00DF478A">
            <w:pPr>
              <w:jc w:val="right"/>
              <w:rPr>
                <w:lang w:eastAsia="en-GB"/>
              </w:rPr>
            </w:pPr>
            <w:r w:rsidRPr="00226744">
              <w:rPr>
                <w:lang w:eastAsia="en-GB"/>
              </w:rPr>
              <w:t>25.5</w:t>
            </w:r>
          </w:p>
        </w:tc>
        <w:tc>
          <w:tcPr>
            <w:tcW w:w="1414" w:type="dxa"/>
            <w:noWrap/>
            <w:hideMark/>
          </w:tcPr>
          <w:p w14:paraId="61485A92" w14:textId="77777777" w:rsidR="00DF478A" w:rsidRPr="00226744" w:rsidRDefault="00DF478A" w:rsidP="00DF478A">
            <w:pPr>
              <w:jc w:val="right"/>
              <w:rPr>
                <w:lang w:eastAsia="en-GB"/>
              </w:rPr>
            </w:pPr>
            <w:r w:rsidRPr="00226744">
              <w:rPr>
                <w:lang w:eastAsia="en-GB"/>
              </w:rPr>
              <w:t>11.0</w:t>
            </w:r>
          </w:p>
        </w:tc>
        <w:tc>
          <w:tcPr>
            <w:tcW w:w="1120" w:type="dxa"/>
            <w:noWrap/>
            <w:hideMark/>
          </w:tcPr>
          <w:p w14:paraId="2FC77605" w14:textId="77777777" w:rsidR="00DF478A" w:rsidRPr="00226744" w:rsidRDefault="00DF478A" w:rsidP="00DF478A">
            <w:pPr>
              <w:jc w:val="right"/>
              <w:rPr>
                <w:lang w:eastAsia="en-GB"/>
              </w:rPr>
            </w:pPr>
            <w:r w:rsidRPr="00226744">
              <w:rPr>
                <w:lang w:eastAsia="en-GB"/>
              </w:rPr>
              <w:t>50.3</w:t>
            </w:r>
          </w:p>
        </w:tc>
      </w:tr>
      <w:tr w:rsidR="00226744" w:rsidRPr="00226744" w14:paraId="771EE977" w14:textId="77777777" w:rsidTr="00226744">
        <w:trPr>
          <w:trHeight w:val="300"/>
        </w:trPr>
        <w:tc>
          <w:tcPr>
            <w:tcW w:w="1336" w:type="dxa"/>
            <w:noWrap/>
            <w:hideMark/>
          </w:tcPr>
          <w:p w14:paraId="43389D32" w14:textId="77777777" w:rsidR="00DF478A" w:rsidRPr="00226744" w:rsidRDefault="00DF478A" w:rsidP="00DF478A">
            <w:pPr>
              <w:rPr>
                <w:b/>
                <w:bCs/>
                <w:lang w:eastAsia="en-GB"/>
              </w:rPr>
            </w:pPr>
            <w:r w:rsidRPr="00226744">
              <w:rPr>
                <w:b/>
                <w:bCs/>
                <w:lang w:eastAsia="en-GB"/>
              </w:rPr>
              <w:t>CCG2</w:t>
            </w:r>
          </w:p>
        </w:tc>
        <w:tc>
          <w:tcPr>
            <w:tcW w:w="1635" w:type="dxa"/>
            <w:noWrap/>
            <w:hideMark/>
          </w:tcPr>
          <w:p w14:paraId="6DF35CBB" w14:textId="77777777" w:rsidR="00DF478A" w:rsidRPr="00226744" w:rsidRDefault="00DF478A" w:rsidP="00DF478A">
            <w:pPr>
              <w:jc w:val="right"/>
              <w:rPr>
                <w:lang w:eastAsia="en-GB"/>
              </w:rPr>
            </w:pPr>
            <w:r w:rsidRPr="00226744">
              <w:rPr>
                <w:lang w:eastAsia="en-GB"/>
              </w:rPr>
              <w:t xml:space="preserve">13 </w:t>
            </w:r>
          </w:p>
        </w:tc>
        <w:tc>
          <w:tcPr>
            <w:tcW w:w="1378" w:type="dxa"/>
            <w:noWrap/>
            <w:hideMark/>
          </w:tcPr>
          <w:p w14:paraId="2C395C69" w14:textId="77777777" w:rsidR="00DF478A" w:rsidRPr="00226744" w:rsidRDefault="00DF478A" w:rsidP="00DF478A">
            <w:pPr>
              <w:jc w:val="right"/>
              <w:rPr>
                <w:lang w:eastAsia="en-GB"/>
              </w:rPr>
            </w:pPr>
            <w:r w:rsidRPr="00226744">
              <w:rPr>
                <w:lang w:eastAsia="en-GB"/>
              </w:rPr>
              <w:t xml:space="preserve">451 </w:t>
            </w:r>
          </w:p>
        </w:tc>
        <w:tc>
          <w:tcPr>
            <w:tcW w:w="1610" w:type="dxa"/>
            <w:noWrap/>
            <w:hideMark/>
          </w:tcPr>
          <w:p w14:paraId="2F9ADFF8" w14:textId="77777777" w:rsidR="00DF478A" w:rsidRPr="00226744" w:rsidRDefault="00DF478A" w:rsidP="00DF478A">
            <w:pPr>
              <w:jc w:val="right"/>
              <w:rPr>
                <w:lang w:eastAsia="en-GB"/>
              </w:rPr>
            </w:pPr>
            <w:r w:rsidRPr="00226744">
              <w:rPr>
                <w:lang w:eastAsia="en-GB"/>
              </w:rPr>
              <w:t>27.2</w:t>
            </w:r>
          </w:p>
        </w:tc>
        <w:tc>
          <w:tcPr>
            <w:tcW w:w="1414" w:type="dxa"/>
            <w:noWrap/>
            <w:hideMark/>
          </w:tcPr>
          <w:p w14:paraId="638EECEE" w14:textId="77777777" w:rsidR="00DF478A" w:rsidRPr="00226744" w:rsidRDefault="00DF478A" w:rsidP="00DF478A">
            <w:pPr>
              <w:jc w:val="right"/>
              <w:rPr>
                <w:lang w:eastAsia="en-GB"/>
              </w:rPr>
            </w:pPr>
            <w:r w:rsidRPr="00226744">
              <w:rPr>
                <w:lang w:eastAsia="en-GB"/>
              </w:rPr>
              <w:t>14.5</w:t>
            </w:r>
          </w:p>
        </w:tc>
        <w:tc>
          <w:tcPr>
            <w:tcW w:w="1120" w:type="dxa"/>
            <w:noWrap/>
            <w:hideMark/>
          </w:tcPr>
          <w:p w14:paraId="7D245D5E" w14:textId="77777777" w:rsidR="00DF478A" w:rsidRPr="00226744" w:rsidRDefault="00DF478A" w:rsidP="00DF478A">
            <w:pPr>
              <w:jc w:val="right"/>
              <w:rPr>
                <w:lang w:eastAsia="en-GB"/>
              </w:rPr>
            </w:pPr>
            <w:r w:rsidRPr="00226744">
              <w:rPr>
                <w:lang w:eastAsia="en-GB"/>
              </w:rPr>
              <w:t>46.5</w:t>
            </w:r>
          </w:p>
        </w:tc>
      </w:tr>
      <w:tr w:rsidR="00226744" w:rsidRPr="00226744" w14:paraId="17DA10FF" w14:textId="77777777" w:rsidTr="00226744">
        <w:trPr>
          <w:trHeight w:val="300"/>
        </w:trPr>
        <w:tc>
          <w:tcPr>
            <w:tcW w:w="1336" w:type="dxa"/>
            <w:noWrap/>
            <w:hideMark/>
          </w:tcPr>
          <w:p w14:paraId="77EF600E" w14:textId="77777777" w:rsidR="00DF478A" w:rsidRPr="00226744" w:rsidRDefault="00DF478A" w:rsidP="00DF478A">
            <w:pPr>
              <w:rPr>
                <w:b/>
                <w:bCs/>
                <w:lang w:eastAsia="en-GB"/>
              </w:rPr>
            </w:pPr>
            <w:r w:rsidRPr="00226744">
              <w:rPr>
                <w:b/>
                <w:bCs/>
                <w:lang w:eastAsia="en-GB"/>
              </w:rPr>
              <w:t>CCG3</w:t>
            </w:r>
          </w:p>
        </w:tc>
        <w:tc>
          <w:tcPr>
            <w:tcW w:w="1635" w:type="dxa"/>
            <w:noWrap/>
            <w:hideMark/>
          </w:tcPr>
          <w:p w14:paraId="3544F398" w14:textId="77777777" w:rsidR="00DF478A" w:rsidRPr="00226744" w:rsidRDefault="00DF478A" w:rsidP="00DF478A">
            <w:pPr>
              <w:jc w:val="right"/>
              <w:rPr>
                <w:lang w:eastAsia="en-GB"/>
              </w:rPr>
            </w:pPr>
            <w:r w:rsidRPr="00226744">
              <w:rPr>
                <w:lang w:eastAsia="en-GB"/>
              </w:rPr>
              <w:t xml:space="preserve">2 </w:t>
            </w:r>
          </w:p>
        </w:tc>
        <w:tc>
          <w:tcPr>
            <w:tcW w:w="1378" w:type="dxa"/>
            <w:noWrap/>
            <w:hideMark/>
          </w:tcPr>
          <w:p w14:paraId="3141E776" w14:textId="77777777" w:rsidR="00DF478A" w:rsidRPr="00226744" w:rsidRDefault="00DF478A" w:rsidP="00DF478A">
            <w:pPr>
              <w:jc w:val="right"/>
              <w:rPr>
                <w:lang w:eastAsia="en-GB"/>
              </w:rPr>
            </w:pPr>
            <w:r w:rsidRPr="00226744">
              <w:rPr>
                <w:lang w:eastAsia="en-GB"/>
              </w:rPr>
              <w:t xml:space="preserve">73 </w:t>
            </w:r>
          </w:p>
        </w:tc>
        <w:tc>
          <w:tcPr>
            <w:tcW w:w="1610" w:type="dxa"/>
            <w:noWrap/>
            <w:hideMark/>
          </w:tcPr>
          <w:p w14:paraId="48595A28" w14:textId="77777777" w:rsidR="00DF478A" w:rsidRPr="00226744" w:rsidRDefault="00DF478A" w:rsidP="00DF478A">
            <w:pPr>
              <w:jc w:val="right"/>
              <w:rPr>
                <w:lang w:eastAsia="en-GB"/>
              </w:rPr>
            </w:pPr>
            <w:r w:rsidRPr="00226744">
              <w:rPr>
                <w:lang w:eastAsia="en-GB"/>
              </w:rPr>
              <w:t>28.2</w:t>
            </w:r>
          </w:p>
        </w:tc>
        <w:tc>
          <w:tcPr>
            <w:tcW w:w="1414" w:type="dxa"/>
            <w:noWrap/>
            <w:hideMark/>
          </w:tcPr>
          <w:p w14:paraId="26E48487" w14:textId="77777777" w:rsidR="00DF478A" w:rsidRPr="00226744" w:rsidRDefault="00DF478A" w:rsidP="00DF478A">
            <w:pPr>
              <w:jc w:val="right"/>
              <w:rPr>
                <w:lang w:eastAsia="en-GB"/>
              </w:rPr>
            </w:pPr>
            <w:r w:rsidRPr="00226744">
              <w:rPr>
                <w:lang w:eastAsia="en-GB"/>
              </w:rPr>
              <w:t>3.4</w:t>
            </w:r>
          </w:p>
        </w:tc>
        <w:tc>
          <w:tcPr>
            <w:tcW w:w="1120" w:type="dxa"/>
            <w:noWrap/>
            <w:hideMark/>
          </w:tcPr>
          <w:p w14:paraId="27BCFA46" w14:textId="77777777" w:rsidR="00DF478A" w:rsidRPr="00226744" w:rsidRDefault="00DF478A" w:rsidP="00DF478A">
            <w:pPr>
              <w:jc w:val="right"/>
              <w:rPr>
                <w:lang w:eastAsia="en-GB"/>
              </w:rPr>
            </w:pPr>
            <w:r w:rsidRPr="00226744">
              <w:rPr>
                <w:lang w:eastAsia="en-GB"/>
              </w:rPr>
              <w:t>101.9</w:t>
            </w:r>
          </w:p>
        </w:tc>
      </w:tr>
      <w:tr w:rsidR="00226744" w:rsidRPr="00226744" w14:paraId="513AFFFB" w14:textId="77777777" w:rsidTr="00226744">
        <w:trPr>
          <w:trHeight w:val="300"/>
        </w:trPr>
        <w:tc>
          <w:tcPr>
            <w:tcW w:w="1336" w:type="dxa"/>
            <w:noWrap/>
            <w:hideMark/>
          </w:tcPr>
          <w:p w14:paraId="23CAB7A4" w14:textId="77777777" w:rsidR="00DF478A" w:rsidRPr="00226744" w:rsidRDefault="00DF478A" w:rsidP="00DF478A">
            <w:pPr>
              <w:rPr>
                <w:b/>
                <w:bCs/>
                <w:lang w:eastAsia="en-GB"/>
              </w:rPr>
            </w:pPr>
            <w:r w:rsidRPr="00226744">
              <w:rPr>
                <w:b/>
                <w:bCs/>
                <w:lang w:eastAsia="en-GB"/>
              </w:rPr>
              <w:t>CCG4</w:t>
            </w:r>
          </w:p>
        </w:tc>
        <w:tc>
          <w:tcPr>
            <w:tcW w:w="1635" w:type="dxa"/>
            <w:noWrap/>
            <w:hideMark/>
          </w:tcPr>
          <w:p w14:paraId="32F3E07A" w14:textId="77777777" w:rsidR="00DF478A" w:rsidRPr="00226744" w:rsidRDefault="00DF478A" w:rsidP="00DF478A">
            <w:pPr>
              <w:jc w:val="right"/>
              <w:rPr>
                <w:lang w:eastAsia="en-GB"/>
              </w:rPr>
            </w:pPr>
            <w:r w:rsidRPr="00226744">
              <w:rPr>
                <w:lang w:eastAsia="en-GB"/>
              </w:rPr>
              <w:t xml:space="preserve">10 </w:t>
            </w:r>
          </w:p>
        </w:tc>
        <w:tc>
          <w:tcPr>
            <w:tcW w:w="1378" w:type="dxa"/>
            <w:noWrap/>
            <w:hideMark/>
          </w:tcPr>
          <w:p w14:paraId="50F77040" w14:textId="77777777" w:rsidR="00DF478A" w:rsidRPr="00226744" w:rsidRDefault="00DF478A" w:rsidP="00DF478A">
            <w:pPr>
              <w:jc w:val="right"/>
              <w:rPr>
                <w:lang w:eastAsia="en-GB"/>
              </w:rPr>
            </w:pPr>
            <w:r w:rsidRPr="00226744">
              <w:rPr>
                <w:lang w:eastAsia="en-GB"/>
              </w:rPr>
              <w:t xml:space="preserve">320 </w:t>
            </w:r>
          </w:p>
        </w:tc>
        <w:tc>
          <w:tcPr>
            <w:tcW w:w="1610" w:type="dxa"/>
            <w:noWrap/>
            <w:hideMark/>
          </w:tcPr>
          <w:p w14:paraId="3F9A2F7A" w14:textId="77777777" w:rsidR="00DF478A" w:rsidRPr="00226744" w:rsidRDefault="00DF478A" w:rsidP="00DF478A">
            <w:pPr>
              <w:jc w:val="right"/>
              <w:rPr>
                <w:lang w:eastAsia="en-GB"/>
              </w:rPr>
            </w:pPr>
            <w:r w:rsidRPr="00226744">
              <w:rPr>
                <w:lang w:eastAsia="en-GB"/>
              </w:rPr>
              <w:t>32.8</w:t>
            </w:r>
          </w:p>
        </w:tc>
        <w:tc>
          <w:tcPr>
            <w:tcW w:w="1414" w:type="dxa"/>
            <w:noWrap/>
            <w:hideMark/>
          </w:tcPr>
          <w:p w14:paraId="191C2833" w14:textId="77777777" w:rsidR="00DF478A" w:rsidRPr="00226744" w:rsidRDefault="00DF478A" w:rsidP="00DF478A">
            <w:pPr>
              <w:jc w:val="right"/>
              <w:rPr>
                <w:lang w:eastAsia="en-GB"/>
              </w:rPr>
            </w:pPr>
            <w:r w:rsidRPr="00226744">
              <w:rPr>
                <w:lang w:eastAsia="en-GB"/>
              </w:rPr>
              <w:t>15.7</w:t>
            </w:r>
          </w:p>
        </w:tc>
        <w:tc>
          <w:tcPr>
            <w:tcW w:w="1120" w:type="dxa"/>
            <w:noWrap/>
            <w:hideMark/>
          </w:tcPr>
          <w:p w14:paraId="683EEDF0" w14:textId="77777777" w:rsidR="00DF478A" w:rsidRPr="00226744" w:rsidRDefault="00DF478A" w:rsidP="00DF478A">
            <w:pPr>
              <w:jc w:val="right"/>
              <w:rPr>
                <w:lang w:eastAsia="en-GB"/>
              </w:rPr>
            </w:pPr>
            <w:r w:rsidRPr="00226744">
              <w:rPr>
                <w:lang w:eastAsia="en-GB"/>
              </w:rPr>
              <w:t>60.3</w:t>
            </w:r>
          </w:p>
        </w:tc>
      </w:tr>
      <w:tr w:rsidR="00226744" w:rsidRPr="00226744" w14:paraId="3D6E7373" w14:textId="77777777" w:rsidTr="00226744">
        <w:trPr>
          <w:trHeight w:val="300"/>
        </w:trPr>
        <w:tc>
          <w:tcPr>
            <w:tcW w:w="1336" w:type="dxa"/>
            <w:noWrap/>
            <w:hideMark/>
          </w:tcPr>
          <w:p w14:paraId="5F7B1A52" w14:textId="77777777" w:rsidR="00DF478A" w:rsidRPr="00226744" w:rsidRDefault="00DF478A" w:rsidP="00DF478A">
            <w:pPr>
              <w:rPr>
                <w:b/>
                <w:bCs/>
                <w:lang w:eastAsia="en-GB"/>
              </w:rPr>
            </w:pPr>
            <w:r w:rsidRPr="00226744">
              <w:rPr>
                <w:b/>
                <w:bCs/>
                <w:lang w:eastAsia="en-GB"/>
              </w:rPr>
              <w:t>CCG5</w:t>
            </w:r>
          </w:p>
        </w:tc>
        <w:tc>
          <w:tcPr>
            <w:tcW w:w="1635" w:type="dxa"/>
            <w:noWrap/>
            <w:hideMark/>
          </w:tcPr>
          <w:p w14:paraId="10ADA956" w14:textId="77777777" w:rsidR="00DF478A" w:rsidRPr="00226744" w:rsidRDefault="00DF478A" w:rsidP="00DF478A">
            <w:pPr>
              <w:jc w:val="right"/>
              <w:rPr>
                <w:lang w:eastAsia="en-GB"/>
              </w:rPr>
            </w:pPr>
            <w:r w:rsidRPr="00226744">
              <w:rPr>
                <w:lang w:eastAsia="en-GB"/>
              </w:rPr>
              <w:t xml:space="preserve">29 </w:t>
            </w:r>
          </w:p>
        </w:tc>
        <w:tc>
          <w:tcPr>
            <w:tcW w:w="1378" w:type="dxa"/>
            <w:noWrap/>
            <w:hideMark/>
          </w:tcPr>
          <w:p w14:paraId="71461125" w14:textId="77777777" w:rsidR="00DF478A" w:rsidRPr="00226744" w:rsidRDefault="00DF478A" w:rsidP="00DF478A">
            <w:pPr>
              <w:jc w:val="right"/>
              <w:rPr>
                <w:lang w:eastAsia="en-GB"/>
              </w:rPr>
            </w:pPr>
            <w:r w:rsidRPr="00226744">
              <w:rPr>
                <w:lang w:eastAsia="en-GB"/>
              </w:rPr>
              <w:t xml:space="preserve">761 </w:t>
            </w:r>
          </w:p>
        </w:tc>
        <w:tc>
          <w:tcPr>
            <w:tcW w:w="1610" w:type="dxa"/>
            <w:noWrap/>
            <w:hideMark/>
          </w:tcPr>
          <w:p w14:paraId="280CAE88" w14:textId="77777777" w:rsidR="00DF478A" w:rsidRPr="00226744" w:rsidRDefault="00DF478A" w:rsidP="00DF478A">
            <w:pPr>
              <w:jc w:val="right"/>
              <w:rPr>
                <w:lang w:eastAsia="en-GB"/>
              </w:rPr>
            </w:pPr>
            <w:r w:rsidRPr="00226744">
              <w:rPr>
                <w:lang w:eastAsia="en-GB"/>
              </w:rPr>
              <w:t>35.3</w:t>
            </w:r>
          </w:p>
        </w:tc>
        <w:tc>
          <w:tcPr>
            <w:tcW w:w="1414" w:type="dxa"/>
            <w:noWrap/>
            <w:hideMark/>
          </w:tcPr>
          <w:p w14:paraId="09905513" w14:textId="77777777" w:rsidR="00DF478A" w:rsidRPr="00226744" w:rsidRDefault="00DF478A" w:rsidP="00DF478A">
            <w:pPr>
              <w:jc w:val="right"/>
              <w:rPr>
                <w:lang w:eastAsia="en-GB"/>
              </w:rPr>
            </w:pPr>
            <w:r w:rsidRPr="00226744">
              <w:rPr>
                <w:lang w:eastAsia="en-GB"/>
              </w:rPr>
              <w:t>23.6</w:t>
            </w:r>
          </w:p>
        </w:tc>
        <w:tc>
          <w:tcPr>
            <w:tcW w:w="1120" w:type="dxa"/>
            <w:noWrap/>
            <w:hideMark/>
          </w:tcPr>
          <w:p w14:paraId="011C8030" w14:textId="77777777" w:rsidR="00DF478A" w:rsidRPr="00226744" w:rsidRDefault="00DF478A" w:rsidP="00DF478A">
            <w:pPr>
              <w:jc w:val="right"/>
              <w:rPr>
                <w:lang w:eastAsia="en-GB"/>
              </w:rPr>
            </w:pPr>
            <w:r w:rsidRPr="00226744">
              <w:rPr>
                <w:lang w:eastAsia="en-GB"/>
              </w:rPr>
              <w:t>50.7</w:t>
            </w:r>
          </w:p>
        </w:tc>
      </w:tr>
      <w:tr w:rsidR="00226744" w:rsidRPr="00226744" w14:paraId="7CB46C75" w14:textId="77777777" w:rsidTr="00226744">
        <w:trPr>
          <w:trHeight w:val="300"/>
        </w:trPr>
        <w:tc>
          <w:tcPr>
            <w:tcW w:w="1336" w:type="dxa"/>
            <w:noWrap/>
            <w:hideMark/>
          </w:tcPr>
          <w:p w14:paraId="514FDD97" w14:textId="77777777" w:rsidR="00DF478A" w:rsidRPr="00226744" w:rsidRDefault="00DF478A" w:rsidP="00DF478A">
            <w:pPr>
              <w:rPr>
                <w:b/>
                <w:bCs/>
                <w:lang w:eastAsia="en-GB"/>
              </w:rPr>
            </w:pPr>
            <w:r w:rsidRPr="00226744">
              <w:rPr>
                <w:b/>
                <w:bCs/>
                <w:lang w:eastAsia="en-GB"/>
              </w:rPr>
              <w:t>CCG6</w:t>
            </w:r>
          </w:p>
        </w:tc>
        <w:tc>
          <w:tcPr>
            <w:tcW w:w="1635" w:type="dxa"/>
            <w:noWrap/>
            <w:hideMark/>
          </w:tcPr>
          <w:p w14:paraId="7FF4D4D9" w14:textId="77777777" w:rsidR="00DF478A" w:rsidRPr="00226744" w:rsidRDefault="00DF478A" w:rsidP="00DF478A">
            <w:pPr>
              <w:jc w:val="right"/>
              <w:rPr>
                <w:lang w:eastAsia="en-GB"/>
              </w:rPr>
            </w:pPr>
            <w:r w:rsidRPr="00226744">
              <w:rPr>
                <w:lang w:eastAsia="en-GB"/>
              </w:rPr>
              <w:t xml:space="preserve">13 </w:t>
            </w:r>
          </w:p>
        </w:tc>
        <w:tc>
          <w:tcPr>
            <w:tcW w:w="1378" w:type="dxa"/>
            <w:noWrap/>
            <w:hideMark/>
          </w:tcPr>
          <w:p w14:paraId="6E9697B8" w14:textId="77777777" w:rsidR="00DF478A" w:rsidRPr="00226744" w:rsidRDefault="00DF478A" w:rsidP="00DF478A">
            <w:pPr>
              <w:jc w:val="right"/>
              <w:rPr>
                <w:lang w:eastAsia="en-GB"/>
              </w:rPr>
            </w:pPr>
            <w:r w:rsidRPr="00226744">
              <w:rPr>
                <w:lang w:eastAsia="en-GB"/>
              </w:rPr>
              <w:t xml:space="preserve">311 </w:t>
            </w:r>
          </w:p>
        </w:tc>
        <w:tc>
          <w:tcPr>
            <w:tcW w:w="1610" w:type="dxa"/>
            <w:noWrap/>
            <w:hideMark/>
          </w:tcPr>
          <w:p w14:paraId="224756AC" w14:textId="77777777" w:rsidR="00DF478A" w:rsidRPr="00226744" w:rsidRDefault="00DF478A" w:rsidP="00DF478A">
            <w:pPr>
              <w:jc w:val="right"/>
              <w:rPr>
                <w:lang w:eastAsia="en-GB"/>
              </w:rPr>
            </w:pPr>
            <w:r w:rsidRPr="00226744">
              <w:rPr>
                <w:lang w:eastAsia="en-GB"/>
              </w:rPr>
              <w:t>39.2</w:t>
            </w:r>
          </w:p>
        </w:tc>
        <w:tc>
          <w:tcPr>
            <w:tcW w:w="1414" w:type="dxa"/>
            <w:noWrap/>
            <w:hideMark/>
          </w:tcPr>
          <w:p w14:paraId="25D4BC75" w14:textId="77777777" w:rsidR="00DF478A" w:rsidRPr="00226744" w:rsidRDefault="00DF478A" w:rsidP="00DF478A">
            <w:pPr>
              <w:jc w:val="right"/>
              <w:rPr>
                <w:lang w:eastAsia="en-GB"/>
              </w:rPr>
            </w:pPr>
            <w:r w:rsidRPr="00226744">
              <w:rPr>
                <w:lang w:eastAsia="en-GB"/>
              </w:rPr>
              <w:t>20.9</w:t>
            </w:r>
          </w:p>
        </w:tc>
        <w:tc>
          <w:tcPr>
            <w:tcW w:w="1120" w:type="dxa"/>
            <w:noWrap/>
            <w:hideMark/>
          </w:tcPr>
          <w:p w14:paraId="6D4EA247" w14:textId="77777777" w:rsidR="00DF478A" w:rsidRPr="00226744" w:rsidRDefault="00DF478A" w:rsidP="00DF478A">
            <w:pPr>
              <w:jc w:val="right"/>
              <w:rPr>
                <w:lang w:eastAsia="en-GB"/>
              </w:rPr>
            </w:pPr>
            <w:r w:rsidRPr="00226744">
              <w:rPr>
                <w:lang w:eastAsia="en-GB"/>
              </w:rPr>
              <w:t>67.1</w:t>
            </w:r>
          </w:p>
        </w:tc>
      </w:tr>
      <w:tr w:rsidR="00226744" w:rsidRPr="00226744" w14:paraId="338D9145" w14:textId="77777777" w:rsidTr="00226744">
        <w:trPr>
          <w:trHeight w:val="300"/>
        </w:trPr>
        <w:tc>
          <w:tcPr>
            <w:tcW w:w="1336" w:type="dxa"/>
            <w:noWrap/>
            <w:hideMark/>
          </w:tcPr>
          <w:p w14:paraId="30B1CFA6" w14:textId="77777777" w:rsidR="00DF478A" w:rsidRPr="00226744" w:rsidRDefault="00DF478A" w:rsidP="00DF478A">
            <w:pPr>
              <w:rPr>
                <w:b/>
                <w:bCs/>
                <w:lang w:eastAsia="en-GB"/>
              </w:rPr>
            </w:pPr>
            <w:r w:rsidRPr="00226744">
              <w:rPr>
                <w:b/>
                <w:bCs/>
                <w:lang w:eastAsia="en-GB"/>
              </w:rPr>
              <w:t>CCG7</w:t>
            </w:r>
          </w:p>
        </w:tc>
        <w:tc>
          <w:tcPr>
            <w:tcW w:w="1635" w:type="dxa"/>
            <w:noWrap/>
            <w:hideMark/>
          </w:tcPr>
          <w:p w14:paraId="3077D29F" w14:textId="77777777" w:rsidR="00DF478A" w:rsidRPr="00226744" w:rsidRDefault="00DF478A" w:rsidP="00DF478A">
            <w:pPr>
              <w:jc w:val="right"/>
              <w:rPr>
                <w:lang w:eastAsia="en-GB"/>
              </w:rPr>
            </w:pPr>
            <w:r w:rsidRPr="00226744">
              <w:rPr>
                <w:lang w:eastAsia="en-GB"/>
              </w:rPr>
              <w:t xml:space="preserve">9 </w:t>
            </w:r>
          </w:p>
        </w:tc>
        <w:tc>
          <w:tcPr>
            <w:tcW w:w="1378" w:type="dxa"/>
            <w:noWrap/>
            <w:hideMark/>
          </w:tcPr>
          <w:p w14:paraId="7FD7E3E4" w14:textId="77777777" w:rsidR="00DF478A" w:rsidRPr="00226744" w:rsidRDefault="00DF478A" w:rsidP="00DF478A">
            <w:pPr>
              <w:jc w:val="right"/>
              <w:rPr>
                <w:lang w:eastAsia="en-GB"/>
              </w:rPr>
            </w:pPr>
            <w:r w:rsidRPr="00226744">
              <w:rPr>
                <w:lang w:eastAsia="en-GB"/>
              </w:rPr>
              <w:t xml:space="preserve">225 </w:t>
            </w:r>
          </w:p>
        </w:tc>
        <w:tc>
          <w:tcPr>
            <w:tcW w:w="1610" w:type="dxa"/>
            <w:noWrap/>
            <w:hideMark/>
          </w:tcPr>
          <w:p w14:paraId="184EA2A2" w14:textId="77777777" w:rsidR="00DF478A" w:rsidRPr="00226744" w:rsidRDefault="00DF478A" w:rsidP="00DF478A">
            <w:pPr>
              <w:jc w:val="right"/>
              <w:rPr>
                <w:lang w:eastAsia="en-GB"/>
              </w:rPr>
            </w:pPr>
            <w:r w:rsidRPr="00226744">
              <w:rPr>
                <w:lang w:eastAsia="en-GB"/>
              </w:rPr>
              <w:t>40.7</w:t>
            </w:r>
          </w:p>
        </w:tc>
        <w:tc>
          <w:tcPr>
            <w:tcW w:w="1414" w:type="dxa"/>
            <w:noWrap/>
            <w:hideMark/>
          </w:tcPr>
          <w:p w14:paraId="1BC1DD9F" w14:textId="77777777" w:rsidR="00DF478A" w:rsidRPr="00226744" w:rsidRDefault="00DF478A" w:rsidP="00DF478A">
            <w:pPr>
              <w:jc w:val="right"/>
              <w:rPr>
                <w:lang w:eastAsia="en-GB"/>
              </w:rPr>
            </w:pPr>
            <w:r w:rsidRPr="00226744">
              <w:rPr>
                <w:lang w:eastAsia="en-GB"/>
              </w:rPr>
              <w:t>18.6</w:t>
            </w:r>
          </w:p>
        </w:tc>
        <w:tc>
          <w:tcPr>
            <w:tcW w:w="1120" w:type="dxa"/>
            <w:noWrap/>
            <w:hideMark/>
          </w:tcPr>
          <w:p w14:paraId="775FDC26" w14:textId="77777777" w:rsidR="00DF478A" w:rsidRPr="00226744" w:rsidRDefault="00DF478A" w:rsidP="00DF478A">
            <w:pPr>
              <w:jc w:val="right"/>
              <w:rPr>
                <w:lang w:eastAsia="en-GB"/>
              </w:rPr>
            </w:pPr>
            <w:r w:rsidRPr="00226744">
              <w:rPr>
                <w:lang w:eastAsia="en-GB"/>
              </w:rPr>
              <w:t>77.2</w:t>
            </w:r>
          </w:p>
        </w:tc>
      </w:tr>
      <w:tr w:rsidR="00226744" w:rsidRPr="00226744" w14:paraId="3DFCACCC" w14:textId="77777777" w:rsidTr="00226744">
        <w:trPr>
          <w:trHeight w:val="300"/>
        </w:trPr>
        <w:tc>
          <w:tcPr>
            <w:tcW w:w="1336" w:type="dxa"/>
            <w:noWrap/>
            <w:hideMark/>
          </w:tcPr>
          <w:p w14:paraId="590ADA75" w14:textId="77777777" w:rsidR="00DF478A" w:rsidRPr="00226744" w:rsidRDefault="00DF478A" w:rsidP="00DF478A">
            <w:pPr>
              <w:rPr>
                <w:b/>
                <w:bCs/>
                <w:lang w:eastAsia="en-GB"/>
              </w:rPr>
            </w:pPr>
            <w:r w:rsidRPr="00226744">
              <w:rPr>
                <w:b/>
                <w:bCs/>
                <w:lang w:eastAsia="en-GB"/>
              </w:rPr>
              <w:t>CCG8</w:t>
            </w:r>
          </w:p>
        </w:tc>
        <w:tc>
          <w:tcPr>
            <w:tcW w:w="1635" w:type="dxa"/>
            <w:noWrap/>
            <w:hideMark/>
          </w:tcPr>
          <w:p w14:paraId="106BA4E8" w14:textId="77777777" w:rsidR="00DF478A" w:rsidRPr="00226744" w:rsidRDefault="00DF478A" w:rsidP="00DF478A">
            <w:pPr>
              <w:jc w:val="right"/>
              <w:rPr>
                <w:lang w:eastAsia="en-GB"/>
              </w:rPr>
            </w:pPr>
            <w:r w:rsidRPr="00226744">
              <w:rPr>
                <w:lang w:eastAsia="en-GB"/>
              </w:rPr>
              <w:t xml:space="preserve">25 </w:t>
            </w:r>
          </w:p>
        </w:tc>
        <w:tc>
          <w:tcPr>
            <w:tcW w:w="1378" w:type="dxa"/>
            <w:noWrap/>
            <w:hideMark/>
          </w:tcPr>
          <w:p w14:paraId="0CA20910" w14:textId="77777777" w:rsidR="00DF478A" w:rsidRPr="00226744" w:rsidRDefault="00DF478A" w:rsidP="00DF478A">
            <w:pPr>
              <w:jc w:val="right"/>
              <w:rPr>
                <w:lang w:eastAsia="en-GB"/>
              </w:rPr>
            </w:pPr>
            <w:r w:rsidRPr="00226744">
              <w:rPr>
                <w:lang w:eastAsia="en-GB"/>
              </w:rPr>
              <w:t xml:space="preserve">621 </w:t>
            </w:r>
          </w:p>
        </w:tc>
        <w:tc>
          <w:tcPr>
            <w:tcW w:w="1610" w:type="dxa"/>
            <w:noWrap/>
            <w:hideMark/>
          </w:tcPr>
          <w:p w14:paraId="3F4267CE" w14:textId="77777777" w:rsidR="00DF478A" w:rsidRPr="00226744" w:rsidRDefault="00DF478A" w:rsidP="00DF478A">
            <w:pPr>
              <w:jc w:val="right"/>
              <w:rPr>
                <w:lang w:eastAsia="en-GB"/>
              </w:rPr>
            </w:pPr>
            <w:r w:rsidRPr="00226744">
              <w:rPr>
                <w:lang w:eastAsia="en-GB"/>
              </w:rPr>
              <w:t>41.3</w:t>
            </w:r>
          </w:p>
        </w:tc>
        <w:tc>
          <w:tcPr>
            <w:tcW w:w="1414" w:type="dxa"/>
            <w:noWrap/>
            <w:hideMark/>
          </w:tcPr>
          <w:p w14:paraId="71951E21" w14:textId="77777777" w:rsidR="00DF478A" w:rsidRPr="00226744" w:rsidRDefault="00DF478A" w:rsidP="00DF478A">
            <w:pPr>
              <w:jc w:val="right"/>
              <w:rPr>
                <w:lang w:eastAsia="en-GB"/>
              </w:rPr>
            </w:pPr>
            <w:r w:rsidRPr="00226744">
              <w:rPr>
                <w:lang w:eastAsia="en-GB"/>
              </w:rPr>
              <w:t>26.7</w:t>
            </w:r>
          </w:p>
        </w:tc>
        <w:tc>
          <w:tcPr>
            <w:tcW w:w="1120" w:type="dxa"/>
            <w:noWrap/>
            <w:hideMark/>
          </w:tcPr>
          <w:p w14:paraId="00B1BF18" w14:textId="77777777" w:rsidR="00DF478A" w:rsidRPr="00226744" w:rsidRDefault="00DF478A" w:rsidP="00DF478A">
            <w:pPr>
              <w:jc w:val="right"/>
              <w:rPr>
                <w:lang w:eastAsia="en-GB"/>
              </w:rPr>
            </w:pPr>
            <w:r w:rsidRPr="00226744">
              <w:rPr>
                <w:lang w:eastAsia="en-GB"/>
              </w:rPr>
              <w:t>61.0</w:t>
            </w:r>
          </w:p>
        </w:tc>
      </w:tr>
      <w:tr w:rsidR="00226744" w:rsidRPr="00226744" w14:paraId="6B2FA9DB" w14:textId="77777777" w:rsidTr="00226744">
        <w:trPr>
          <w:trHeight w:val="300"/>
        </w:trPr>
        <w:tc>
          <w:tcPr>
            <w:tcW w:w="1336" w:type="dxa"/>
            <w:noWrap/>
            <w:hideMark/>
          </w:tcPr>
          <w:p w14:paraId="217DE6FA" w14:textId="77777777" w:rsidR="00DF478A" w:rsidRPr="00226744" w:rsidRDefault="00DF478A" w:rsidP="00DF478A">
            <w:pPr>
              <w:rPr>
                <w:b/>
                <w:bCs/>
                <w:lang w:eastAsia="en-GB"/>
              </w:rPr>
            </w:pPr>
            <w:r w:rsidRPr="00226744">
              <w:rPr>
                <w:b/>
                <w:bCs/>
                <w:lang w:eastAsia="en-GB"/>
              </w:rPr>
              <w:t>CCG9</w:t>
            </w:r>
          </w:p>
        </w:tc>
        <w:tc>
          <w:tcPr>
            <w:tcW w:w="1635" w:type="dxa"/>
            <w:noWrap/>
            <w:hideMark/>
          </w:tcPr>
          <w:p w14:paraId="7612D417" w14:textId="77777777" w:rsidR="00DF478A" w:rsidRPr="00226744" w:rsidRDefault="00DF478A" w:rsidP="00DF478A">
            <w:pPr>
              <w:jc w:val="right"/>
              <w:rPr>
                <w:lang w:eastAsia="en-GB"/>
              </w:rPr>
            </w:pPr>
            <w:r w:rsidRPr="00226744">
              <w:rPr>
                <w:lang w:eastAsia="en-GB"/>
              </w:rPr>
              <w:t xml:space="preserve">11 </w:t>
            </w:r>
          </w:p>
        </w:tc>
        <w:tc>
          <w:tcPr>
            <w:tcW w:w="1378" w:type="dxa"/>
            <w:noWrap/>
            <w:hideMark/>
          </w:tcPr>
          <w:p w14:paraId="4B5F7D4D" w14:textId="77777777" w:rsidR="00DF478A" w:rsidRPr="00226744" w:rsidRDefault="00DF478A" w:rsidP="00DF478A">
            <w:pPr>
              <w:jc w:val="right"/>
              <w:rPr>
                <w:lang w:eastAsia="en-GB"/>
              </w:rPr>
            </w:pPr>
            <w:r w:rsidRPr="00226744">
              <w:rPr>
                <w:lang w:eastAsia="en-GB"/>
              </w:rPr>
              <w:t xml:space="preserve">249 </w:t>
            </w:r>
          </w:p>
        </w:tc>
        <w:tc>
          <w:tcPr>
            <w:tcW w:w="1610" w:type="dxa"/>
            <w:noWrap/>
            <w:hideMark/>
          </w:tcPr>
          <w:p w14:paraId="2956D20F" w14:textId="77777777" w:rsidR="00DF478A" w:rsidRPr="00226744" w:rsidRDefault="00DF478A" w:rsidP="00DF478A">
            <w:pPr>
              <w:jc w:val="right"/>
              <w:rPr>
                <w:lang w:eastAsia="en-GB"/>
              </w:rPr>
            </w:pPr>
            <w:r w:rsidRPr="00226744">
              <w:rPr>
                <w:lang w:eastAsia="en-GB"/>
              </w:rPr>
              <w:t>42.3</w:t>
            </w:r>
          </w:p>
        </w:tc>
        <w:tc>
          <w:tcPr>
            <w:tcW w:w="1414" w:type="dxa"/>
            <w:noWrap/>
            <w:hideMark/>
          </w:tcPr>
          <w:p w14:paraId="02C55030" w14:textId="77777777" w:rsidR="00DF478A" w:rsidRPr="00226744" w:rsidRDefault="00DF478A" w:rsidP="00DF478A">
            <w:pPr>
              <w:jc w:val="right"/>
              <w:rPr>
                <w:lang w:eastAsia="en-GB"/>
              </w:rPr>
            </w:pPr>
            <w:r w:rsidRPr="00226744">
              <w:rPr>
                <w:lang w:eastAsia="en-GB"/>
              </w:rPr>
              <w:t>21.1</w:t>
            </w:r>
          </w:p>
        </w:tc>
        <w:tc>
          <w:tcPr>
            <w:tcW w:w="1120" w:type="dxa"/>
            <w:noWrap/>
            <w:hideMark/>
          </w:tcPr>
          <w:p w14:paraId="66A1E088" w14:textId="77777777" w:rsidR="00DF478A" w:rsidRPr="00226744" w:rsidRDefault="00DF478A" w:rsidP="00DF478A">
            <w:pPr>
              <w:jc w:val="right"/>
              <w:rPr>
                <w:lang w:eastAsia="en-GB"/>
              </w:rPr>
            </w:pPr>
            <w:r w:rsidRPr="00226744">
              <w:rPr>
                <w:lang w:eastAsia="en-GB"/>
              </w:rPr>
              <w:t>75.7</w:t>
            </w:r>
          </w:p>
        </w:tc>
      </w:tr>
      <w:tr w:rsidR="00226744" w:rsidRPr="00226744" w14:paraId="531381FF" w14:textId="77777777" w:rsidTr="00226744">
        <w:trPr>
          <w:trHeight w:val="315"/>
        </w:trPr>
        <w:tc>
          <w:tcPr>
            <w:tcW w:w="1336" w:type="dxa"/>
            <w:noWrap/>
            <w:hideMark/>
          </w:tcPr>
          <w:p w14:paraId="1E942F58" w14:textId="77777777" w:rsidR="00DF478A" w:rsidRPr="00226744" w:rsidRDefault="00DF478A" w:rsidP="00DF478A">
            <w:pPr>
              <w:rPr>
                <w:b/>
                <w:bCs/>
                <w:lang w:eastAsia="en-GB"/>
              </w:rPr>
            </w:pPr>
            <w:r w:rsidRPr="00226744">
              <w:rPr>
                <w:b/>
                <w:bCs/>
                <w:lang w:eastAsia="en-GB"/>
              </w:rPr>
              <w:t>CCG10</w:t>
            </w:r>
          </w:p>
        </w:tc>
        <w:tc>
          <w:tcPr>
            <w:tcW w:w="1635" w:type="dxa"/>
            <w:noWrap/>
            <w:hideMark/>
          </w:tcPr>
          <w:p w14:paraId="35E91551" w14:textId="77777777" w:rsidR="00DF478A" w:rsidRPr="00226744" w:rsidRDefault="00DF478A" w:rsidP="00DF478A">
            <w:pPr>
              <w:jc w:val="right"/>
              <w:rPr>
                <w:lang w:eastAsia="en-GB"/>
              </w:rPr>
            </w:pPr>
            <w:r w:rsidRPr="00226744">
              <w:rPr>
                <w:lang w:eastAsia="en-GB"/>
              </w:rPr>
              <w:t xml:space="preserve">23 </w:t>
            </w:r>
          </w:p>
        </w:tc>
        <w:tc>
          <w:tcPr>
            <w:tcW w:w="1378" w:type="dxa"/>
            <w:noWrap/>
            <w:hideMark/>
          </w:tcPr>
          <w:p w14:paraId="49E38FCE" w14:textId="77777777" w:rsidR="00DF478A" w:rsidRPr="00226744" w:rsidRDefault="00DF478A" w:rsidP="00DF478A">
            <w:pPr>
              <w:jc w:val="right"/>
              <w:rPr>
                <w:lang w:eastAsia="en-GB"/>
              </w:rPr>
            </w:pPr>
            <w:r w:rsidRPr="00226744">
              <w:rPr>
                <w:lang w:eastAsia="en-GB"/>
              </w:rPr>
              <w:t xml:space="preserve">482 </w:t>
            </w:r>
          </w:p>
        </w:tc>
        <w:tc>
          <w:tcPr>
            <w:tcW w:w="1610" w:type="dxa"/>
            <w:noWrap/>
            <w:hideMark/>
          </w:tcPr>
          <w:p w14:paraId="3A10A156" w14:textId="77777777" w:rsidR="00DF478A" w:rsidRPr="00226744" w:rsidRDefault="00DF478A" w:rsidP="00DF478A">
            <w:pPr>
              <w:jc w:val="right"/>
              <w:rPr>
                <w:lang w:eastAsia="en-GB"/>
              </w:rPr>
            </w:pPr>
            <w:r w:rsidRPr="00226744">
              <w:rPr>
                <w:lang w:eastAsia="en-GB"/>
              </w:rPr>
              <w:t>44.5</w:t>
            </w:r>
          </w:p>
        </w:tc>
        <w:tc>
          <w:tcPr>
            <w:tcW w:w="1414" w:type="dxa"/>
            <w:noWrap/>
            <w:hideMark/>
          </w:tcPr>
          <w:p w14:paraId="2B0A2F5E" w14:textId="77777777" w:rsidR="00DF478A" w:rsidRPr="00226744" w:rsidRDefault="00DF478A" w:rsidP="00DF478A">
            <w:pPr>
              <w:jc w:val="right"/>
              <w:rPr>
                <w:lang w:eastAsia="en-GB"/>
              </w:rPr>
            </w:pPr>
            <w:r w:rsidRPr="00226744">
              <w:rPr>
                <w:lang w:eastAsia="en-GB"/>
              </w:rPr>
              <w:t>28.2</w:t>
            </w:r>
          </w:p>
        </w:tc>
        <w:tc>
          <w:tcPr>
            <w:tcW w:w="1120" w:type="dxa"/>
            <w:noWrap/>
            <w:hideMark/>
          </w:tcPr>
          <w:p w14:paraId="40C7FBCB" w14:textId="77777777" w:rsidR="00DF478A" w:rsidRPr="00226744" w:rsidRDefault="00DF478A" w:rsidP="00DF478A">
            <w:pPr>
              <w:jc w:val="right"/>
              <w:rPr>
                <w:lang w:eastAsia="en-GB"/>
              </w:rPr>
            </w:pPr>
            <w:r w:rsidRPr="00226744">
              <w:rPr>
                <w:lang w:eastAsia="en-GB"/>
              </w:rPr>
              <w:t>66.8</w:t>
            </w:r>
          </w:p>
        </w:tc>
      </w:tr>
      <w:tr w:rsidR="00226744" w:rsidRPr="00226744" w14:paraId="29DEC139" w14:textId="77777777" w:rsidTr="00226744">
        <w:trPr>
          <w:trHeight w:val="690"/>
        </w:trPr>
        <w:tc>
          <w:tcPr>
            <w:tcW w:w="1336" w:type="dxa"/>
            <w:hideMark/>
          </w:tcPr>
          <w:p w14:paraId="679EFA77" w14:textId="77777777" w:rsidR="00DF478A" w:rsidRPr="00226744" w:rsidRDefault="00DF478A" w:rsidP="00DF478A">
            <w:pPr>
              <w:rPr>
                <w:b/>
                <w:bCs/>
                <w:lang w:eastAsia="en-GB"/>
              </w:rPr>
            </w:pPr>
            <w:r w:rsidRPr="00226744">
              <w:rPr>
                <w:b/>
                <w:bCs/>
                <w:lang w:eastAsia="en-GB"/>
              </w:rPr>
              <w:t>CCG</w:t>
            </w:r>
          </w:p>
        </w:tc>
        <w:tc>
          <w:tcPr>
            <w:tcW w:w="1635" w:type="dxa"/>
            <w:hideMark/>
          </w:tcPr>
          <w:p w14:paraId="58FB9573" w14:textId="77777777" w:rsidR="00DF478A" w:rsidRPr="00226744" w:rsidRDefault="00DF478A" w:rsidP="00DF478A">
            <w:pPr>
              <w:jc w:val="right"/>
              <w:rPr>
                <w:b/>
                <w:bCs/>
                <w:lang w:eastAsia="en-GB"/>
              </w:rPr>
            </w:pPr>
            <w:r w:rsidRPr="00226744">
              <w:rPr>
                <w:b/>
                <w:bCs/>
                <w:lang w:eastAsia="en-GB"/>
              </w:rPr>
              <w:t>Number of readmissions within 30 days</w:t>
            </w:r>
          </w:p>
        </w:tc>
        <w:tc>
          <w:tcPr>
            <w:tcW w:w="1378" w:type="dxa"/>
            <w:hideMark/>
          </w:tcPr>
          <w:p w14:paraId="46A13E09" w14:textId="77777777" w:rsidR="00DF478A" w:rsidRPr="00226744" w:rsidRDefault="00DF478A" w:rsidP="00DF478A">
            <w:pPr>
              <w:jc w:val="right"/>
              <w:rPr>
                <w:b/>
                <w:bCs/>
                <w:lang w:eastAsia="en-GB"/>
              </w:rPr>
            </w:pPr>
            <w:r w:rsidRPr="00226744">
              <w:rPr>
                <w:b/>
                <w:bCs/>
                <w:lang w:eastAsia="en-GB"/>
              </w:rPr>
              <w:t>Number of discharges</w:t>
            </w:r>
          </w:p>
        </w:tc>
        <w:tc>
          <w:tcPr>
            <w:tcW w:w="1610" w:type="dxa"/>
            <w:hideMark/>
          </w:tcPr>
          <w:p w14:paraId="32D5B045" w14:textId="77777777" w:rsidR="00DF478A" w:rsidRPr="00226744" w:rsidRDefault="00DF478A" w:rsidP="00DF478A">
            <w:pPr>
              <w:jc w:val="right"/>
              <w:rPr>
                <w:b/>
                <w:bCs/>
                <w:lang w:eastAsia="en-GB"/>
              </w:rPr>
            </w:pPr>
            <w:r w:rsidRPr="00226744">
              <w:rPr>
                <w:b/>
                <w:bCs/>
                <w:lang w:eastAsia="en-GB"/>
              </w:rPr>
              <w:t>Indirectly Standardised Ratio</w:t>
            </w:r>
          </w:p>
        </w:tc>
        <w:tc>
          <w:tcPr>
            <w:tcW w:w="1414" w:type="dxa"/>
            <w:hideMark/>
          </w:tcPr>
          <w:p w14:paraId="4AD8081B" w14:textId="5BD7416F" w:rsidR="00DF478A" w:rsidRPr="00226744" w:rsidRDefault="00226744" w:rsidP="00DF478A">
            <w:pPr>
              <w:jc w:val="right"/>
              <w:rPr>
                <w:b/>
                <w:bCs/>
                <w:lang w:eastAsia="en-GB"/>
              </w:rPr>
            </w:pPr>
            <w:r w:rsidRPr="00226744">
              <w:rPr>
                <w:b/>
                <w:bCs/>
                <w:lang w:eastAsia="en-GB"/>
              </w:rPr>
              <w:t xml:space="preserve">95% Confidence Interval </w:t>
            </w:r>
            <w:proofErr w:type="spellStart"/>
            <w:r w:rsidR="00DF478A" w:rsidRPr="00226744">
              <w:rPr>
                <w:b/>
                <w:bCs/>
                <w:lang w:eastAsia="en-GB"/>
              </w:rPr>
              <w:t>ISR</w:t>
            </w:r>
            <w:r w:rsidR="00DF478A" w:rsidRPr="00226744">
              <w:rPr>
                <w:b/>
                <w:bCs/>
                <w:i/>
                <w:iCs/>
                <w:vertAlign w:val="subscript"/>
                <w:lang w:eastAsia="en-GB"/>
              </w:rPr>
              <w:t>lower</w:t>
            </w:r>
            <w:proofErr w:type="spellEnd"/>
          </w:p>
        </w:tc>
        <w:tc>
          <w:tcPr>
            <w:tcW w:w="1120" w:type="dxa"/>
            <w:hideMark/>
          </w:tcPr>
          <w:p w14:paraId="5CBBC0C2" w14:textId="77777777" w:rsidR="00DF478A" w:rsidRPr="00226744" w:rsidRDefault="00DF478A" w:rsidP="00DF478A">
            <w:pPr>
              <w:jc w:val="right"/>
              <w:rPr>
                <w:b/>
                <w:bCs/>
                <w:lang w:eastAsia="en-GB"/>
              </w:rPr>
            </w:pPr>
            <w:proofErr w:type="spellStart"/>
            <w:r w:rsidRPr="00226744">
              <w:rPr>
                <w:b/>
                <w:bCs/>
                <w:lang w:eastAsia="en-GB"/>
              </w:rPr>
              <w:t>ISR</w:t>
            </w:r>
            <w:r w:rsidRPr="00226744">
              <w:rPr>
                <w:b/>
                <w:bCs/>
                <w:i/>
                <w:iCs/>
                <w:vertAlign w:val="subscript"/>
                <w:lang w:eastAsia="en-GB"/>
              </w:rPr>
              <w:t>upper</w:t>
            </w:r>
            <w:proofErr w:type="spellEnd"/>
          </w:p>
        </w:tc>
      </w:tr>
      <w:tr w:rsidR="00226744" w:rsidRPr="00226744" w14:paraId="734314CC" w14:textId="77777777" w:rsidTr="00226744">
        <w:trPr>
          <w:trHeight w:val="300"/>
        </w:trPr>
        <w:tc>
          <w:tcPr>
            <w:tcW w:w="1336" w:type="dxa"/>
            <w:noWrap/>
            <w:hideMark/>
          </w:tcPr>
          <w:p w14:paraId="61A76D04" w14:textId="77777777" w:rsidR="00DF478A" w:rsidRPr="00226744" w:rsidRDefault="00DF478A" w:rsidP="00DF478A">
            <w:pPr>
              <w:rPr>
                <w:b/>
                <w:bCs/>
                <w:lang w:eastAsia="en-GB"/>
              </w:rPr>
            </w:pPr>
            <w:r w:rsidRPr="00226744">
              <w:rPr>
                <w:b/>
                <w:bCs/>
                <w:lang w:eastAsia="en-GB"/>
              </w:rPr>
              <w:t>CCG202</w:t>
            </w:r>
          </w:p>
        </w:tc>
        <w:tc>
          <w:tcPr>
            <w:tcW w:w="1635" w:type="dxa"/>
            <w:noWrap/>
            <w:hideMark/>
          </w:tcPr>
          <w:p w14:paraId="6F0E0CF7" w14:textId="77777777" w:rsidR="00DF478A" w:rsidRPr="00226744" w:rsidRDefault="00DF478A" w:rsidP="00DF478A">
            <w:pPr>
              <w:jc w:val="right"/>
              <w:rPr>
                <w:lang w:eastAsia="en-GB"/>
              </w:rPr>
            </w:pPr>
            <w:r w:rsidRPr="00226744">
              <w:rPr>
                <w:lang w:eastAsia="en-GB"/>
              </w:rPr>
              <w:t xml:space="preserve">93 </w:t>
            </w:r>
          </w:p>
        </w:tc>
        <w:tc>
          <w:tcPr>
            <w:tcW w:w="1378" w:type="dxa"/>
            <w:noWrap/>
            <w:hideMark/>
          </w:tcPr>
          <w:p w14:paraId="091449C2" w14:textId="77777777" w:rsidR="00DF478A" w:rsidRPr="00226744" w:rsidRDefault="00DF478A" w:rsidP="00DF478A">
            <w:pPr>
              <w:jc w:val="right"/>
              <w:rPr>
                <w:lang w:eastAsia="en-GB"/>
              </w:rPr>
            </w:pPr>
            <w:r w:rsidRPr="00226744">
              <w:rPr>
                <w:lang w:eastAsia="en-GB"/>
              </w:rPr>
              <w:t xml:space="preserve">559 </w:t>
            </w:r>
          </w:p>
        </w:tc>
        <w:tc>
          <w:tcPr>
            <w:tcW w:w="1610" w:type="dxa"/>
            <w:noWrap/>
            <w:hideMark/>
          </w:tcPr>
          <w:p w14:paraId="6A5E4BD9" w14:textId="77777777" w:rsidR="00DF478A" w:rsidRPr="00226744" w:rsidRDefault="00DF478A" w:rsidP="00DF478A">
            <w:pPr>
              <w:jc w:val="right"/>
              <w:rPr>
                <w:lang w:eastAsia="en-GB"/>
              </w:rPr>
            </w:pPr>
            <w:r w:rsidRPr="00226744">
              <w:rPr>
                <w:lang w:eastAsia="en-GB"/>
              </w:rPr>
              <w:t>161.8</w:t>
            </w:r>
          </w:p>
        </w:tc>
        <w:tc>
          <w:tcPr>
            <w:tcW w:w="1414" w:type="dxa"/>
            <w:noWrap/>
            <w:hideMark/>
          </w:tcPr>
          <w:p w14:paraId="3E90C2C3" w14:textId="77777777" w:rsidR="00DF478A" w:rsidRPr="00226744" w:rsidRDefault="00DF478A" w:rsidP="00DF478A">
            <w:pPr>
              <w:jc w:val="right"/>
              <w:rPr>
                <w:lang w:eastAsia="en-GB"/>
              </w:rPr>
            </w:pPr>
            <w:r w:rsidRPr="00226744">
              <w:rPr>
                <w:lang w:eastAsia="en-GB"/>
              </w:rPr>
              <w:t>130.6</w:t>
            </w:r>
          </w:p>
        </w:tc>
        <w:tc>
          <w:tcPr>
            <w:tcW w:w="1120" w:type="dxa"/>
            <w:noWrap/>
            <w:hideMark/>
          </w:tcPr>
          <w:p w14:paraId="528C8124" w14:textId="77777777" w:rsidR="00DF478A" w:rsidRPr="00226744" w:rsidRDefault="00DF478A" w:rsidP="00DF478A">
            <w:pPr>
              <w:jc w:val="right"/>
              <w:rPr>
                <w:lang w:eastAsia="en-GB"/>
              </w:rPr>
            </w:pPr>
            <w:r w:rsidRPr="00226744">
              <w:rPr>
                <w:lang w:eastAsia="en-GB"/>
              </w:rPr>
              <w:t>198.3</w:t>
            </w:r>
          </w:p>
        </w:tc>
      </w:tr>
      <w:tr w:rsidR="00226744" w:rsidRPr="00226744" w14:paraId="10C4EB44" w14:textId="77777777" w:rsidTr="00226744">
        <w:trPr>
          <w:trHeight w:val="300"/>
        </w:trPr>
        <w:tc>
          <w:tcPr>
            <w:tcW w:w="1336" w:type="dxa"/>
            <w:noWrap/>
            <w:hideMark/>
          </w:tcPr>
          <w:p w14:paraId="6F81C454" w14:textId="77777777" w:rsidR="00DF478A" w:rsidRPr="00226744" w:rsidRDefault="00DF478A" w:rsidP="00DF478A">
            <w:pPr>
              <w:rPr>
                <w:b/>
                <w:bCs/>
                <w:lang w:eastAsia="en-GB"/>
              </w:rPr>
            </w:pPr>
            <w:r w:rsidRPr="00226744">
              <w:rPr>
                <w:b/>
                <w:bCs/>
                <w:lang w:eastAsia="en-GB"/>
              </w:rPr>
              <w:t>CCG203</w:t>
            </w:r>
          </w:p>
        </w:tc>
        <w:tc>
          <w:tcPr>
            <w:tcW w:w="1635" w:type="dxa"/>
            <w:noWrap/>
            <w:hideMark/>
          </w:tcPr>
          <w:p w14:paraId="6055ABD9" w14:textId="77777777" w:rsidR="00DF478A" w:rsidRPr="00226744" w:rsidRDefault="00DF478A" w:rsidP="00DF478A">
            <w:pPr>
              <w:jc w:val="right"/>
              <w:rPr>
                <w:lang w:eastAsia="en-GB"/>
              </w:rPr>
            </w:pPr>
            <w:r w:rsidRPr="00226744">
              <w:rPr>
                <w:lang w:eastAsia="en-GB"/>
              </w:rPr>
              <w:t xml:space="preserve">453 </w:t>
            </w:r>
          </w:p>
        </w:tc>
        <w:tc>
          <w:tcPr>
            <w:tcW w:w="1378" w:type="dxa"/>
            <w:noWrap/>
            <w:hideMark/>
          </w:tcPr>
          <w:p w14:paraId="51AE7BDF" w14:textId="77777777" w:rsidR="00DF478A" w:rsidRPr="00226744" w:rsidRDefault="00DF478A" w:rsidP="00DF478A">
            <w:pPr>
              <w:jc w:val="right"/>
              <w:rPr>
                <w:lang w:eastAsia="en-GB"/>
              </w:rPr>
            </w:pPr>
            <w:r w:rsidRPr="00226744">
              <w:rPr>
                <w:lang w:eastAsia="en-GB"/>
              </w:rPr>
              <w:t xml:space="preserve">2,510 </w:t>
            </w:r>
          </w:p>
        </w:tc>
        <w:tc>
          <w:tcPr>
            <w:tcW w:w="1610" w:type="dxa"/>
            <w:noWrap/>
            <w:hideMark/>
          </w:tcPr>
          <w:p w14:paraId="2DD30443" w14:textId="77777777" w:rsidR="00DF478A" w:rsidRPr="00226744" w:rsidRDefault="00DF478A" w:rsidP="00DF478A">
            <w:pPr>
              <w:jc w:val="right"/>
              <w:rPr>
                <w:lang w:eastAsia="en-GB"/>
              </w:rPr>
            </w:pPr>
            <w:r w:rsidRPr="00226744">
              <w:rPr>
                <w:lang w:eastAsia="en-GB"/>
              </w:rPr>
              <w:t>164.1</w:t>
            </w:r>
          </w:p>
        </w:tc>
        <w:tc>
          <w:tcPr>
            <w:tcW w:w="1414" w:type="dxa"/>
            <w:noWrap/>
            <w:hideMark/>
          </w:tcPr>
          <w:p w14:paraId="1357478C" w14:textId="77777777" w:rsidR="00DF478A" w:rsidRPr="00226744" w:rsidRDefault="00DF478A" w:rsidP="00DF478A">
            <w:pPr>
              <w:jc w:val="right"/>
              <w:rPr>
                <w:lang w:eastAsia="en-GB"/>
              </w:rPr>
            </w:pPr>
            <w:r w:rsidRPr="00226744">
              <w:rPr>
                <w:lang w:eastAsia="en-GB"/>
              </w:rPr>
              <w:t>149.4</w:t>
            </w:r>
          </w:p>
        </w:tc>
        <w:tc>
          <w:tcPr>
            <w:tcW w:w="1120" w:type="dxa"/>
            <w:noWrap/>
            <w:hideMark/>
          </w:tcPr>
          <w:p w14:paraId="16608B19" w14:textId="77777777" w:rsidR="00DF478A" w:rsidRPr="00226744" w:rsidRDefault="00DF478A" w:rsidP="00DF478A">
            <w:pPr>
              <w:jc w:val="right"/>
              <w:rPr>
                <w:lang w:eastAsia="en-GB"/>
              </w:rPr>
            </w:pPr>
            <w:r w:rsidRPr="00226744">
              <w:rPr>
                <w:lang w:eastAsia="en-GB"/>
              </w:rPr>
              <w:t>180.0</w:t>
            </w:r>
          </w:p>
        </w:tc>
      </w:tr>
      <w:tr w:rsidR="00226744" w:rsidRPr="00226744" w14:paraId="149F38F8" w14:textId="77777777" w:rsidTr="00226744">
        <w:trPr>
          <w:trHeight w:val="300"/>
        </w:trPr>
        <w:tc>
          <w:tcPr>
            <w:tcW w:w="1336" w:type="dxa"/>
            <w:noWrap/>
            <w:hideMark/>
          </w:tcPr>
          <w:p w14:paraId="6D82577B" w14:textId="77777777" w:rsidR="00DF478A" w:rsidRPr="00226744" w:rsidRDefault="00DF478A" w:rsidP="00DF478A">
            <w:pPr>
              <w:rPr>
                <w:b/>
                <w:bCs/>
                <w:lang w:eastAsia="en-GB"/>
              </w:rPr>
            </w:pPr>
            <w:r w:rsidRPr="00226744">
              <w:rPr>
                <w:b/>
                <w:bCs/>
                <w:lang w:eastAsia="en-GB"/>
              </w:rPr>
              <w:t>CCG204</w:t>
            </w:r>
          </w:p>
        </w:tc>
        <w:tc>
          <w:tcPr>
            <w:tcW w:w="1635" w:type="dxa"/>
            <w:noWrap/>
            <w:hideMark/>
          </w:tcPr>
          <w:p w14:paraId="3C630A56" w14:textId="77777777" w:rsidR="00DF478A" w:rsidRPr="00226744" w:rsidRDefault="00DF478A" w:rsidP="00DF478A">
            <w:pPr>
              <w:jc w:val="right"/>
              <w:rPr>
                <w:lang w:eastAsia="en-GB"/>
              </w:rPr>
            </w:pPr>
            <w:r w:rsidRPr="00226744">
              <w:rPr>
                <w:lang w:eastAsia="en-GB"/>
              </w:rPr>
              <w:t xml:space="preserve">79 </w:t>
            </w:r>
          </w:p>
        </w:tc>
        <w:tc>
          <w:tcPr>
            <w:tcW w:w="1378" w:type="dxa"/>
            <w:noWrap/>
            <w:hideMark/>
          </w:tcPr>
          <w:p w14:paraId="3E905A70" w14:textId="77777777" w:rsidR="00DF478A" w:rsidRPr="00226744" w:rsidRDefault="00DF478A" w:rsidP="00DF478A">
            <w:pPr>
              <w:jc w:val="right"/>
              <w:rPr>
                <w:lang w:eastAsia="en-GB"/>
              </w:rPr>
            </w:pPr>
            <w:r w:rsidRPr="00226744">
              <w:rPr>
                <w:lang w:eastAsia="en-GB"/>
              </w:rPr>
              <w:t xml:space="preserve">482 </w:t>
            </w:r>
          </w:p>
        </w:tc>
        <w:tc>
          <w:tcPr>
            <w:tcW w:w="1610" w:type="dxa"/>
            <w:noWrap/>
            <w:hideMark/>
          </w:tcPr>
          <w:p w14:paraId="42EA4252" w14:textId="77777777" w:rsidR="00DF478A" w:rsidRPr="00226744" w:rsidRDefault="00DF478A" w:rsidP="00DF478A">
            <w:pPr>
              <w:jc w:val="right"/>
              <w:rPr>
                <w:lang w:eastAsia="en-GB"/>
              </w:rPr>
            </w:pPr>
            <w:r w:rsidRPr="00226744">
              <w:rPr>
                <w:lang w:eastAsia="en-GB"/>
              </w:rPr>
              <w:t>164.5</w:t>
            </w:r>
          </w:p>
        </w:tc>
        <w:tc>
          <w:tcPr>
            <w:tcW w:w="1414" w:type="dxa"/>
            <w:noWrap/>
            <w:hideMark/>
          </w:tcPr>
          <w:p w14:paraId="2FFF1024" w14:textId="77777777" w:rsidR="00DF478A" w:rsidRPr="00226744" w:rsidRDefault="00DF478A" w:rsidP="00DF478A">
            <w:pPr>
              <w:jc w:val="right"/>
              <w:rPr>
                <w:lang w:eastAsia="en-GB"/>
              </w:rPr>
            </w:pPr>
            <w:r w:rsidRPr="00226744">
              <w:rPr>
                <w:lang w:eastAsia="en-GB"/>
              </w:rPr>
              <w:t>130.2</w:t>
            </w:r>
          </w:p>
        </w:tc>
        <w:tc>
          <w:tcPr>
            <w:tcW w:w="1120" w:type="dxa"/>
            <w:noWrap/>
            <w:hideMark/>
          </w:tcPr>
          <w:p w14:paraId="671B1270" w14:textId="77777777" w:rsidR="00DF478A" w:rsidRPr="00226744" w:rsidRDefault="00DF478A" w:rsidP="00DF478A">
            <w:pPr>
              <w:jc w:val="right"/>
              <w:rPr>
                <w:lang w:eastAsia="en-GB"/>
              </w:rPr>
            </w:pPr>
            <w:r w:rsidRPr="00226744">
              <w:rPr>
                <w:lang w:eastAsia="en-GB"/>
              </w:rPr>
              <w:t>205.0</w:t>
            </w:r>
          </w:p>
        </w:tc>
      </w:tr>
      <w:tr w:rsidR="00226744" w:rsidRPr="00226744" w14:paraId="38669EB7" w14:textId="77777777" w:rsidTr="00226744">
        <w:trPr>
          <w:trHeight w:val="300"/>
        </w:trPr>
        <w:tc>
          <w:tcPr>
            <w:tcW w:w="1336" w:type="dxa"/>
            <w:noWrap/>
            <w:hideMark/>
          </w:tcPr>
          <w:p w14:paraId="3B59333F" w14:textId="77777777" w:rsidR="00DF478A" w:rsidRPr="00226744" w:rsidRDefault="00DF478A" w:rsidP="00DF478A">
            <w:pPr>
              <w:rPr>
                <w:b/>
                <w:bCs/>
                <w:lang w:eastAsia="en-GB"/>
              </w:rPr>
            </w:pPr>
            <w:r w:rsidRPr="00226744">
              <w:rPr>
                <w:b/>
                <w:bCs/>
                <w:lang w:eastAsia="en-GB"/>
              </w:rPr>
              <w:t>CCG205</w:t>
            </w:r>
          </w:p>
        </w:tc>
        <w:tc>
          <w:tcPr>
            <w:tcW w:w="1635" w:type="dxa"/>
            <w:noWrap/>
            <w:hideMark/>
          </w:tcPr>
          <w:p w14:paraId="680FD7B8" w14:textId="77777777" w:rsidR="00DF478A" w:rsidRPr="00226744" w:rsidRDefault="00DF478A" w:rsidP="00DF478A">
            <w:pPr>
              <w:jc w:val="right"/>
              <w:rPr>
                <w:lang w:eastAsia="en-GB"/>
              </w:rPr>
            </w:pPr>
            <w:r w:rsidRPr="00226744">
              <w:rPr>
                <w:lang w:eastAsia="en-GB"/>
              </w:rPr>
              <w:t xml:space="preserve">70 </w:t>
            </w:r>
          </w:p>
        </w:tc>
        <w:tc>
          <w:tcPr>
            <w:tcW w:w="1378" w:type="dxa"/>
            <w:noWrap/>
            <w:hideMark/>
          </w:tcPr>
          <w:p w14:paraId="42D393E5" w14:textId="77777777" w:rsidR="00DF478A" w:rsidRPr="00226744" w:rsidRDefault="00DF478A" w:rsidP="00DF478A">
            <w:pPr>
              <w:jc w:val="right"/>
              <w:rPr>
                <w:lang w:eastAsia="en-GB"/>
              </w:rPr>
            </w:pPr>
            <w:r w:rsidRPr="00226744">
              <w:rPr>
                <w:lang w:eastAsia="en-GB"/>
              </w:rPr>
              <w:t xml:space="preserve">426 </w:t>
            </w:r>
          </w:p>
        </w:tc>
        <w:tc>
          <w:tcPr>
            <w:tcW w:w="1610" w:type="dxa"/>
            <w:noWrap/>
            <w:hideMark/>
          </w:tcPr>
          <w:p w14:paraId="49DDA12A" w14:textId="77777777" w:rsidR="00DF478A" w:rsidRPr="00226744" w:rsidRDefault="00DF478A" w:rsidP="00DF478A">
            <w:pPr>
              <w:jc w:val="right"/>
              <w:rPr>
                <w:lang w:eastAsia="en-GB"/>
              </w:rPr>
            </w:pPr>
            <w:r w:rsidRPr="00226744">
              <w:rPr>
                <w:lang w:eastAsia="en-GB"/>
              </w:rPr>
              <w:t>167.8</w:t>
            </w:r>
          </w:p>
        </w:tc>
        <w:tc>
          <w:tcPr>
            <w:tcW w:w="1414" w:type="dxa"/>
            <w:noWrap/>
            <w:hideMark/>
          </w:tcPr>
          <w:p w14:paraId="567CB474" w14:textId="77777777" w:rsidR="00DF478A" w:rsidRPr="00226744" w:rsidRDefault="00DF478A" w:rsidP="00DF478A">
            <w:pPr>
              <w:jc w:val="right"/>
              <w:rPr>
                <w:lang w:eastAsia="en-GB"/>
              </w:rPr>
            </w:pPr>
            <w:r w:rsidRPr="00226744">
              <w:rPr>
                <w:lang w:eastAsia="en-GB"/>
              </w:rPr>
              <w:t>130.8</w:t>
            </w:r>
          </w:p>
        </w:tc>
        <w:tc>
          <w:tcPr>
            <w:tcW w:w="1120" w:type="dxa"/>
            <w:noWrap/>
            <w:hideMark/>
          </w:tcPr>
          <w:p w14:paraId="0923AB13" w14:textId="77777777" w:rsidR="00DF478A" w:rsidRPr="00226744" w:rsidRDefault="00DF478A" w:rsidP="00DF478A">
            <w:pPr>
              <w:jc w:val="right"/>
              <w:rPr>
                <w:lang w:eastAsia="en-GB"/>
              </w:rPr>
            </w:pPr>
            <w:r w:rsidRPr="00226744">
              <w:rPr>
                <w:lang w:eastAsia="en-GB"/>
              </w:rPr>
              <w:t>212.1</w:t>
            </w:r>
          </w:p>
        </w:tc>
      </w:tr>
      <w:tr w:rsidR="00226744" w:rsidRPr="00226744" w14:paraId="5566035B" w14:textId="77777777" w:rsidTr="00226744">
        <w:trPr>
          <w:trHeight w:val="300"/>
        </w:trPr>
        <w:tc>
          <w:tcPr>
            <w:tcW w:w="1336" w:type="dxa"/>
            <w:noWrap/>
            <w:hideMark/>
          </w:tcPr>
          <w:p w14:paraId="53E3AFC4" w14:textId="77777777" w:rsidR="00DF478A" w:rsidRPr="00226744" w:rsidRDefault="00DF478A" w:rsidP="00DF478A">
            <w:pPr>
              <w:rPr>
                <w:b/>
                <w:bCs/>
                <w:lang w:eastAsia="en-GB"/>
              </w:rPr>
            </w:pPr>
            <w:r w:rsidRPr="00226744">
              <w:rPr>
                <w:b/>
                <w:bCs/>
                <w:lang w:eastAsia="en-GB"/>
              </w:rPr>
              <w:t>CCG206</w:t>
            </w:r>
          </w:p>
        </w:tc>
        <w:tc>
          <w:tcPr>
            <w:tcW w:w="1635" w:type="dxa"/>
            <w:noWrap/>
            <w:hideMark/>
          </w:tcPr>
          <w:p w14:paraId="60DAD183" w14:textId="77777777" w:rsidR="00DF478A" w:rsidRPr="00226744" w:rsidRDefault="00DF478A" w:rsidP="00DF478A">
            <w:pPr>
              <w:jc w:val="right"/>
              <w:rPr>
                <w:lang w:eastAsia="en-GB"/>
              </w:rPr>
            </w:pPr>
            <w:r w:rsidRPr="00226744">
              <w:rPr>
                <w:lang w:eastAsia="en-GB"/>
              </w:rPr>
              <w:t xml:space="preserve">60 </w:t>
            </w:r>
          </w:p>
        </w:tc>
        <w:tc>
          <w:tcPr>
            <w:tcW w:w="1378" w:type="dxa"/>
            <w:noWrap/>
            <w:hideMark/>
          </w:tcPr>
          <w:p w14:paraId="45A46A3A" w14:textId="77777777" w:rsidR="00DF478A" w:rsidRPr="00226744" w:rsidRDefault="00DF478A" w:rsidP="00DF478A">
            <w:pPr>
              <w:jc w:val="right"/>
              <w:rPr>
                <w:lang w:eastAsia="en-GB"/>
              </w:rPr>
            </w:pPr>
            <w:r w:rsidRPr="00226744">
              <w:rPr>
                <w:lang w:eastAsia="en-GB"/>
              </w:rPr>
              <w:t xml:space="preserve">336 </w:t>
            </w:r>
          </w:p>
        </w:tc>
        <w:tc>
          <w:tcPr>
            <w:tcW w:w="1610" w:type="dxa"/>
            <w:noWrap/>
            <w:hideMark/>
          </w:tcPr>
          <w:p w14:paraId="4F8C1287" w14:textId="77777777" w:rsidR="00DF478A" w:rsidRPr="00226744" w:rsidRDefault="00DF478A" w:rsidP="00DF478A">
            <w:pPr>
              <w:jc w:val="right"/>
              <w:rPr>
                <w:lang w:eastAsia="en-GB"/>
              </w:rPr>
            </w:pPr>
            <w:r w:rsidRPr="00226744">
              <w:rPr>
                <w:lang w:eastAsia="en-GB"/>
              </w:rPr>
              <w:t>173.2</w:t>
            </w:r>
          </w:p>
        </w:tc>
        <w:tc>
          <w:tcPr>
            <w:tcW w:w="1414" w:type="dxa"/>
            <w:noWrap/>
            <w:hideMark/>
          </w:tcPr>
          <w:p w14:paraId="4BAFAE9E" w14:textId="77777777" w:rsidR="00DF478A" w:rsidRPr="00226744" w:rsidRDefault="00DF478A" w:rsidP="00DF478A">
            <w:pPr>
              <w:jc w:val="right"/>
              <w:rPr>
                <w:lang w:eastAsia="en-GB"/>
              </w:rPr>
            </w:pPr>
            <w:r w:rsidRPr="00226744">
              <w:rPr>
                <w:lang w:eastAsia="en-GB"/>
              </w:rPr>
              <w:t>132.1</w:t>
            </w:r>
          </w:p>
        </w:tc>
        <w:tc>
          <w:tcPr>
            <w:tcW w:w="1120" w:type="dxa"/>
            <w:noWrap/>
            <w:hideMark/>
          </w:tcPr>
          <w:p w14:paraId="2DCABA9E" w14:textId="77777777" w:rsidR="00DF478A" w:rsidRPr="00226744" w:rsidRDefault="00DF478A" w:rsidP="00DF478A">
            <w:pPr>
              <w:jc w:val="right"/>
              <w:rPr>
                <w:lang w:eastAsia="en-GB"/>
              </w:rPr>
            </w:pPr>
            <w:r w:rsidRPr="00226744">
              <w:rPr>
                <w:lang w:eastAsia="en-GB"/>
              </w:rPr>
              <w:t>222.9</w:t>
            </w:r>
          </w:p>
        </w:tc>
      </w:tr>
      <w:tr w:rsidR="00226744" w:rsidRPr="00226744" w14:paraId="41EFE325" w14:textId="77777777" w:rsidTr="00226744">
        <w:trPr>
          <w:trHeight w:val="300"/>
        </w:trPr>
        <w:tc>
          <w:tcPr>
            <w:tcW w:w="1336" w:type="dxa"/>
            <w:noWrap/>
            <w:hideMark/>
          </w:tcPr>
          <w:p w14:paraId="459BB098" w14:textId="77777777" w:rsidR="00DF478A" w:rsidRPr="00226744" w:rsidRDefault="00DF478A" w:rsidP="00DF478A">
            <w:pPr>
              <w:rPr>
                <w:b/>
                <w:bCs/>
                <w:lang w:eastAsia="en-GB"/>
              </w:rPr>
            </w:pPr>
            <w:r w:rsidRPr="00226744">
              <w:rPr>
                <w:b/>
                <w:bCs/>
                <w:lang w:eastAsia="en-GB"/>
              </w:rPr>
              <w:t>CCG207</w:t>
            </w:r>
          </w:p>
        </w:tc>
        <w:tc>
          <w:tcPr>
            <w:tcW w:w="1635" w:type="dxa"/>
            <w:noWrap/>
            <w:hideMark/>
          </w:tcPr>
          <w:p w14:paraId="00D29EB3" w14:textId="77777777" w:rsidR="00DF478A" w:rsidRPr="00226744" w:rsidRDefault="00DF478A" w:rsidP="00DF478A">
            <w:pPr>
              <w:jc w:val="right"/>
              <w:rPr>
                <w:lang w:eastAsia="en-GB"/>
              </w:rPr>
            </w:pPr>
            <w:r w:rsidRPr="00226744">
              <w:rPr>
                <w:lang w:eastAsia="en-GB"/>
              </w:rPr>
              <w:t xml:space="preserve">69 </w:t>
            </w:r>
          </w:p>
        </w:tc>
        <w:tc>
          <w:tcPr>
            <w:tcW w:w="1378" w:type="dxa"/>
            <w:noWrap/>
            <w:hideMark/>
          </w:tcPr>
          <w:p w14:paraId="2B1EE696" w14:textId="77777777" w:rsidR="00DF478A" w:rsidRPr="00226744" w:rsidRDefault="00DF478A" w:rsidP="00DF478A">
            <w:pPr>
              <w:jc w:val="right"/>
              <w:rPr>
                <w:lang w:eastAsia="en-GB"/>
              </w:rPr>
            </w:pPr>
            <w:r w:rsidRPr="00226744">
              <w:rPr>
                <w:lang w:eastAsia="en-GB"/>
              </w:rPr>
              <w:t xml:space="preserve">403 </w:t>
            </w:r>
          </w:p>
        </w:tc>
        <w:tc>
          <w:tcPr>
            <w:tcW w:w="1610" w:type="dxa"/>
            <w:noWrap/>
            <w:hideMark/>
          </w:tcPr>
          <w:p w14:paraId="5B80CCC0" w14:textId="77777777" w:rsidR="00DF478A" w:rsidRPr="00226744" w:rsidRDefault="00DF478A" w:rsidP="00DF478A">
            <w:pPr>
              <w:jc w:val="right"/>
              <w:rPr>
                <w:lang w:eastAsia="en-GB"/>
              </w:rPr>
            </w:pPr>
            <w:r w:rsidRPr="00226744">
              <w:rPr>
                <w:lang w:eastAsia="en-GB"/>
              </w:rPr>
              <w:t>174.0</w:t>
            </w:r>
          </w:p>
        </w:tc>
        <w:tc>
          <w:tcPr>
            <w:tcW w:w="1414" w:type="dxa"/>
            <w:noWrap/>
            <w:hideMark/>
          </w:tcPr>
          <w:p w14:paraId="773BD94C" w14:textId="77777777" w:rsidR="00DF478A" w:rsidRPr="00226744" w:rsidRDefault="00DF478A" w:rsidP="00DF478A">
            <w:pPr>
              <w:jc w:val="right"/>
              <w:rPr>
                <w:lang w:eastAsia="en-GB"/>
              </w:rPr>
            </w:pPr>
            <w:r w:rsidRPr="00226744">
              <w:rPr>
                <w:lang w:eastAsia="en-GB"/>
              </w:rPr>
              <w:t>135.4</w:t>
            </w:r>
          </w:p>
        </w:tc>
        <w:tc>
          <w:tcPr>
            <w:tcW w:w="1120" w:type="dxa"/>
            <w:noWrap/>
            <w:hideMark/>
          </w:tcPr>
          <w:p w14:paraId="4E0C1E36" w14:textId="77777777" w:rsidR="00DF478A" w:rsidRPr="00226744" w:rsidRDefault="00DF478A" w:rsidP="00DF478A">
            <w:pPr>
              <w:jc w:val="right"/>
              <w:rPr>
                <w:lang w:eastAsia="en-GB"/>
              </w:rPr>
            </w:pPr>
            <w:r w:rsidRPr="00226744">
              <w:rPr>
                <w:lang w:eastAsia="en-GB"/>
              </w:rPr>
              <w:t>220.2</w:t>
            </w:r>
          </w:p>
        </w:tc>
      </w:tr>
      <w:tr w:rsidR="00226744" w:rsidRPr="00226744" w14:paraId="7B275501" w14:textId="77777777" w:rsidTr="00226744">
        <w:trPr>
          <w:trHeight w:val="300"/>
        </w:trPr>
        <w:tc>
          <w:tcPr>
            <w:tcW w:w="1336" w:type="dxa"/>
            <w:noWrap/>
            <w:hideMark/>
          </w:tcPr>
          <w:p w14:paraId="2AE9E101" w14:textId="77777777" w:rsidR="00DF478A" w:rsidRPr="00226744" w:rsidRDefault="00DF478A" w:rsidP="00DF478A">
            <w:pPr>
              <w:rPr>
                <w:b/>
                <w:bCs/>
                <w:lang w:eastAsia="en-GB"/>
              </w:rPr>
            </w:pPr>
            <w:r w:rsidRPr="00226744">
              <w:rPr>
                <w:b/>
                <w:bCs/>
                <w:lang w:eastAsia="en-GB"/>
              </w:rPr>
              <w:t>CCG208</w:t>
            </w:r>
          </w:p>
        </w:tc>
        <w:tc>
          <w:tcPr>
            <w:tcW w:w="1635" w:type="dxa"/>
            <w:noWrap/>
            <w:hideMark/>
          </w:tcPr>
          <w:p w14:paraId="69699FAE" w14:textId="77777777" w:rsidR="00DF478A" w:rsidRPr="00226744" w:rsidRDefault="00DF478A" w:rsidP="00DF478A">
            <w:pPr>
              <w:jc w:val="right"/>
              <w:rPr>
                <w:lang w:eastAsia="en-GB"/>
              </w:rPr>
            </w:pPr>
            <w:r w:rsidRPr="00226744">
              <w:rPr>
                <w:lang w:eastAsia="en-GB"/>
              </w:rPr>
              <w:t xml:space="preserve">112 </w:t>
            </w:r>
          </w:p>
        </w:tc>
        <w:tc>
          <w:tcPr>
            <w:tcW w:w="1378" w:type="dxa"/>
            <w:noWrap/>
            <w:hideMark/>
          </w:tcPr>
          <w:p w14:paraId="141FB885" w14:textId="77777777" w:rsidR="00DF478A" w:rsidRPr="00226744" w:rsidRDefault="00DF478A" w:rsidP="00DF478A">
            <w:pPr>
              <w:jc w:val="right"/>
              <w:rPr>
                <w:lang w:eastAsia="en-GB"/>
              </w:rPr>
            </w:pPr>
            <w:r w:rsidRPr="00226744">
              <w:rPr>
                <w:lang w:eastAsia="en-GB"/>
              </w:rPr>
              <w:t xml:space="preserve">610 </w:t>
            </w:r>
          </w:p>
        </w:tc>
        <w:tc>
          <w:tcPr>
            <w:tcW w:w="1610" w:type="dxa"/>
            <w:noWrap/>
            <w:hideMark/>
          </w:tcPr>
          <w:p w14:paraId="1FF685C8" w14:textId="77777777" w:rsidR="00DF478A" w:rsidRPr="00226744" w:rsidRDefault="00DF478A" w:rsidP="00DF478A">
            <w:pPr>
              <w:jc w:val="right"/>
              <w:rPr>
                <w:lang w:eastAsia="en-GB"/>
              </w:rPr>
            </w:pPr>
            <w:r w:rsidRPr="00226744">
              <w:rPr>
                <w:lang w:eastAsia="en-GB"/>
              </w:rPr>
              <w:t>175.3</w:t>
            </w:r>
          </w:p>
        </w:tc>
        <w:tc>
          <w:tcPr>
            <w:tcW w:w="1414" w:type="dxa"/>
            <w:noWrap/>
            <w:hideMark/>
          </w:tcPr>
          <w:p w14:paraId="4F771DBA" w14:textId="77777777" w:rsidR="00DF478A" w:rsidRPr="00226744" w:rsidRDefault="00DF478A" w:rsidP="00DF478A">
            <w:pPr>
              <w:jc w:val="right"/>
              <w:rPr>
                <w:lang w:eastAsia="en-GB"/>
              </w:rPr>
            </w:pPr>
            <w:r w:rsidRPr="00226744">
              <w:rPr>
                <w:lang w:eastAsia="en-GB"/>
              </w:rPr>
              <w:t>144.3</w:t>
            </w:r>
          </w:p>
        </w:tc>
        <w:tc>
          <w:tcPr>
            <w:tcW w:w="1120" w:type="dxa"/>
            <w:noWrap/>
            <w:hideMark/>
          </w:tcPr>
          <w:p w14:paraId="27BC3AC5" w14:textId="77777777" w:rsidR="00DF478A" w:rsidRPr="00226744" w:rsidRDefault="00DF478A" w:rsidP="00DF478A">
            <w:pPr>
              <w:jc w:val="right"/>
              <w:rPr>
                <w:lang w:eastAsia="en-GB"/>
              </w:rPr>
            </w:pPr>
            <w:r w:rsidRPr="00226744">
              <w:rPr>
                <w:lang w:eastAsia="en-GB"/>
              </w:rPr>
              <w:t>210.9</w:t>
            </w:r>
          </w:p>
        </w:tc>
      </w:tr>
      <w:tr w:rsidR="00226744" w:rsidRPr="00226744" w14:paraId="245CD3FD" w14:textId="77777777" w:rsidTr="00226744">
        <w:trPr>
          <w:trHeight w:val="300"/>
        </w:trPr>
        <w:tc>
          <w:tcPr>
            <w:tcW w:w="1336" w:type="dxa"/>
            <w:noWrap/>
            <w:hideMark/>
          </w:tcPr>
          <w:p w14:paraId="2EF50578" w14:textId="77777777" w:rsidR="00DF478A" w:rsidRPr="00226744" w:rsidRDefault="00DF478A" w:rsidP="00DF478A">
            <w:pPr>
              <w:rPr>
                <w:b/>
                <w:bCs/>
                <w:lang w:eastAsia="en-GB"/>
              </w:rPr>
            </w:pPr>
            <w:r w:rsidRPr="00226744">
              <w:rPr>
                <w:b/>
                <w:bCs/>
                <w:lang w:eastAsia="en-GB"/>
              </w:rPr>
              <w:t>CCG209</w:t>
            </w:r>
          </w:p>
        </w:tc>
        <w:tc>
          <w:tcPr>
            <w:tcW w:w="1635" w:type="dxa"/>
            <w:noWrap/>
            <w:hideMark/>
          </w:tcPr>
          <w:p w14:paraId="08DF9B0C" w14:textId="77777777" w:rsidR="00DF478A" w:rsidRPr="00226744" w:rsidRDefault="00DF478A" w:rsidP="00DF478A">
            <w:pPr>
              <w:jc w:val="right"/>
              <w:rPr>
                <w:lang w:eastAsia="en-GB"/>
              </w:rPr>
            </w:pPr>
            <w:r w:rsidRPr="00226744">
              <w:rPr>
                <w:lang w:eastAsia="en-GB"/>
              </w:rPr>
              <w:t xml:space="preserve">31 </w:t>
            </w:r>
          </w:p>
        </w:tc>
        <w:tc>
          <w:tcPr>
            <w:tcW w:w="1378" w:type="dxa"/>
            <w:noWrap/>
            <w:hideMark/>
          </w:tcPr>
          <w:p w14:paraId="054BD5A8" w14:textId="77777777" w:rsidR="00DF478A" w:rsidRPr="00226744" w:rsidRDefault="00DF478A" w:rsidP="00DF478A">
            <w:pPr>
              <w:jc w:val="right"/>
              <w:rPr>
                <w:lang w:eastAsia="en-GB"/>
              </w:rPr>
            </w:pPr>
            <w:r w:rsidRPr="00226744">
              <w:rPr>
                <w:lang w:eastAsia="en-GB"/>
              </w:rPr>
              <w:t xml:space="preserve">143 </w:t>
            </w:r>
          </w:p>
        </w:tc>
        <w:tc>
          <w:tcPr>
            <w:tcW w:w="1610" w:type="dxa"/>
            <w:noWrap/>
            <w:hideMark/>
          </w:tcPr>
          <w:p w14:paraId="49504DA5" w14:textId="77777777" w:rsidR="00DF478A" w:rsidRPr="00226744" w:rsidRDefault="00DF478A" w:rsidP="00DF478A">
            <w:pPr>
              <w:jc w:val="right"/>
              <w:rPr>
                <w:lang w:eastAsia="en-GB"/>
              </w:rPr>
            </w:pPr>
            <w:r w:rsidRPr="00226744">
              <w:rPr>
                <w:lang w:eastAsia="en-GB"/>
              </w:rPr>
              <w:t>242.0</w:t>
            </w:r>
          </w:p>
        </w:tc>
        <w:tc>
          <w:tcPr>
            <w:tcW w:w="1414" w:type="dxa"/>
            <w:noWrap/>
            <w:hideMark/>
          </w:tcPr>
          <w:p w14:paraId="28BF94F3" w14:textId="77777777" w:rsidR="00DF478A" w:rsidRPr="00226744" w:rsidRDefault="00DF478A" w:rsidP="00DF478A">
            <w:pPr>
              <w:jc w:val="right"/>
              <w:rPr>
                <w:lang w:eastAsia="en-GB"/>
              </w:rPr>
            </w:pPr>
            <w:r w:rsidRPr="00226744">
              <w:rPr>
                <w:lang w:eastAsia="en-GB"/>
              </w:rPr>
              <w:t>164.4</w:t>
            </w:r>
          </w:p>
        </w:tc>
        <w:tc>
          <w:tcPr>
            <w:tcW w:w="1120" w:type="dxa"/>
            <w:noWrap/>
            <w:hideMark/>
          </w:tcPr>
          <w:p w14:paraId="58C1F83B" w14:textId="77777777" w:rsidR="00DF478A" w:rsidRPr="00226744" w:rsidRDefault="00DF478A" w:rsidP="00DF478A">
            <w:pPr>
              <w:jc w:val="right"/>
              <w:rPr>
                <w:lang w:eastAsia="en-GB"/>
              </w:rPr>
            </w:pPr>
            <w:r w:rsidRPr="00226744">
              <w:rPr>
                <w:lang w:eastAsia="en-GB"/>
              </w:rPr>
              <w:t>343.5</w:t>
            </w:r>
          </w:p>
        </w:tc>
      </w:tr>
      <w:tr w:rsidR="00226744" w:rsidRPr="00226744" w14:paraId="3E6AE227" w14:textId="77777777" w:rsidTr="00226744">
        <w:trPr>
          <w:trHeight w:val="300"/>
        </w:trPr>
        <w:tc>
          <w:tcPr>
            <w:tcW w:w="1336" w:type="dxa"/>
            <w:noWrap/>
            <w:hideMark/>
          </w:tcPr>
          <w:p w14:paraId="183D619C" w14:textId="77777777" w:rsidR="00DF478A" w:rsidRPr="00226744" w:rsidRDefault="00DF478A" w:rsidP="00DF478A">
            <w:pPr>
              <w:rPr>
                <w:b/>
                <w:bCs/>
                <w:lang w:eastAsia="en-GB"/>
              </w:rPr>
            </w:pPr>
            <w:r w:rsidRPr="00226744">
              <w:rPr>
                <w:b/>
                <w:bCs/>
                <w:lang w:eastAsia="en-GB"/>
              </w:rPr>
              <w:t>CCG210</w:t>
            </w:r>
          </w:p>
        </w:tc>
        <w:tc>
          <w:tcPr>
            <w:tcW w:w="1635" w:type="dxa"/>
            <w:noWrap/>
            <w:hideMark/>
          </w:tcPr>
          <w:p w14:paraId="05D66934" w14:textId="77777777" w:rsidR="00DF478A" w:rsidRPr="00226744" w:rsidRDefault="00DF478A" w:rsidP="00DF478A">
            <w:pPr>
              <w:jc w:val="right"/>
              <w:rPr>
                <w:lang w:eastAsia="en-GB"/>
              </w:rPr>
            </w:pPr>
            <w:r w:rsidRPr="00226744">
              <w:rPr>
                <w:lang w:eastAsia="en-GB"/>
              </w:rPr>
              <w:t xml:space="preserve">122 </w:t>
            </w:r>
          </w:p>
        </w:tc>
        <w:tc>
          <w:tcPr>
            <w:tcW w:w="1378" w:type="dxa"/>
            <w:noWrap/>
            <w:hideMark/>
          </w:tcPr>
          <w:p w14:paraId="0D8EA6F7" w14:textId="77777777" w:rsidR="00DF478A" w:rsidRPr="00226744" w:rsidRDefault="00DF478A" w:rsidP="00DF478A">
            <w:pPr>
              <w:jc w:val="right"/>
              <w:rPr>
                <w:lang w:eastAsia="en-GB"/>
              </w:rPr>
            </w:pPr>
            <w:r w:rsidRPr="00226744">
              <w:rPr>
                <w:lang w:eastAsia="en-GB"/>
              </w:rPr>
              <w:t xml:space="preserve">278 </w:t>
            </w:r>
          </w:p>
        </w:tc>
        <w:tc>
          <w:tcPr>
            <w:tcW w:w="1610" w:type="dxa"/>
            <w:noWrap/>
            <w:hideMark/>
          </w:tcPr>
          <w:p w14:paraId="34A8189D" w14:textId="77777777" w:rsidR="00DF478A" w:rsidRPr="00226744" w:rsidRDefault="00DF478A" w:rsidP="00DF478A">
            <w:pPr>
              <w:jc w:val="right"/>
              <w:rPr>
                <w:lang w:eastAsia="en-GB"/>
              </w:rPr>
            </w:pPr>
            <w:r w:rsidRPr="00226744">
              <w:rPr>
                <w:lang w:eastAsia="en-GB"/>
              </w:rPr>
              <w:t>383.9</w:t>
            </w:r>
          </w:p>
        </w:tc>
        <w:tc>
          <w:tcPr>
            <w:tcW w:w="1414" w:type="dxa"/>
            <w:noWrap/>
            <w:hideMark/>
          </w:tcPr>
          <w:p w14:paraId="2FC5126F" w14:textId="77777777" w:rsidR="00DF478A" w:rsidRPr="00226744" w:rsidRDefault="00DF478A" w:rsidP="00DF478A">
            <w:pPr>
              <w:jc w:val="right"/>
              <w:rPr>
                <w:lang w:eastAsia="en-GB"/>
              </w:rPr>
            </w:pPr>
            <w:r w:rsidRPr="00226744">
              <w:rPr>
                <w:lang w:eastAsia="en-GB"/>
              </w:rPr>
              <w:t>318.8</w:t>
            </w:r>
          </w:p>
        </w:tc>
        <w:tc>
          <w:tcPr>
            <w:tcW w:w="1120" w:type="dxa"/>
            <w:noWrap/>
            <w:hideMark/>
          </w:tcPr>
          <w:p w14:paraId="3660E62B" w14:textId="77777777" w:rsidR="00DF478A" w:rsidRPr="00226744" w:rsidRDefault="00DF478A" w:rsidP="00DF478A">
            <w:pPr>
              <w:jc w:val="right"/>
              <w:rPr>
                <w:lang w:eastAsia="en-GB"/>
              </w:rPr>
            </w:pPr>
            <w:r w:rsidRPr="00226744">
              <w:rPr>
                <w:lang w:eastAsia="en-GB"/>
              </w:rPr>
              <w:t>458.3</w:t>
            </w:r>
          </w:p>
        </w:tc>
      </w:tr>
      <w:tr w:rsidR="00226744" w:rsidRPr="00226744" w14:paraId="15E9C92B" w14:textId="77777777" w:rsidTr="00226744">
        <w:trPr>
          <w:trHeight w:val="315"/>
        </w:trPr>
        <w:tc>
          <w:tcPr>
            <w:tcW w:w="1336" w:type="dxa"/>
            <w:noWrap/>
            <w:hideMark/>
          </w:tcPr>
          <w:p w14:paraId="2572C68A" w14:textId="77777777" w:rsidR="00DF478A" w:rsidRPr="00226744" w:rsidRDefault="00DF478A" w:rsidP="00DF478A">
            <w:pPr>
              <w:rPr>
                <w:b/>
                <w:bCs/>
                <w:lang w:eastAsia="en-GB"/>
              </w:rPr>
            </w:pPr>
            <w:r w:rsidRPr="00226744">
              <w:rPr>
                <w:b/>
                <w:bCs/>
                <w:lang w:eastAsia="en-GB"/>
              </w:rPr>
              <w:t>CCG211</w:t>
            </w:r>
          </w:p>
        </w:tc>
        <w:tc>
          <w:tcPr>
            <w:tcW w:w="1635" w:type="dxa"/>
            <w:noWrap/>
            <w:hideMark/>
          </w:tcPr>
          <w:p w14:paraId="3F3763D7" w14:textId="77777777" w:rsidR="00DF478A" w:rsidRPr="00226744" w:rsidRDefault="00DF478A" w:rsidP="00DF478A">
            <w:pPr>
              <w:jc w:val="right"/>
              <w:rPr>
                <w:lang w:eastAsia="en-GB"/>
              </w:rPr>
            </w:pPr>
            <w:r w:rsidRPr="00226744">
              <w:rPr>
                <w:lang w:eastAsia="en-GB"/>
              </w:rPr>
              <w:t xml:space="preserve">1,131 </w:t>
            </w:r>
          </w:p>
        </w:tc>
        <w:tc>
          <w:tcPr>
            <w:tcW w:w="1378" w:type="dxa"/>
            <w:noWrap/>
            <w:hideMark/>
          </w:tcPr>
          <w:p w14:paraId="4AFE026D" w14:textId="77777777" w:rsidR="00DF478A" w:rsidRPr="00226744" w:rsidRDefault="00DF478A" w:rsidP="00DF478A">
            <w:pPr>
              <w:jc w:val="right"/>
              <w:rPr>
                <w:lang w:eastAsia="en-GB"/>
              </w:rPr>
            </w:pPr>
            <w:r w:rsidRPr="00226744">
              <w:rPr>
                <w:lang w:eastAsia="en-GB"/>
              </w:rPr>
              <w:t xml:space="preserve">2,531 </w:t>
            </w:r>
          </w:p>
        </w:tc>
        <w:tc>
          <w:tcPr>
            <w:tcW w:w="1610" w:type="dxa"/>
            <w:noWrap/>
            <w:hideMark/>
          </w:tcPr>
          <w:p w14:paraId="0DAFE8D7" w14:textId="77777777" w:rsidR="00DF478A" w:rsidRPr="00226744" w:rsidRDefault="00DF478A" w:rsidP="00DF478A">
            <w:pPr>
              <w:jc w:val="right"/>
              <w:rPr>
                <w:lang w:eastAsia="en-GB"/>
              </w:rPr>
            </w:pPr>
            <w:r w:rsidRPr="00226744">
              <w:rPr>
                <w:lang w:eastAsia="en-GB"/>
              </w:rPr>
              <w:t>399.6</w:t>
            </w:r>
          </w:p>
        </w:tc>
        <w:tc>
          <w:tcPr>
            <w:tcW w:w="1414" w:type="dxa"/>
            <w:noWrap/>
            <w:hideMark/>
          </w:tcPr>
          <w:p w14:paraId="30844065" w14:textId="77777777" w:rsidR="00DF478A" w:rsidRPr="00226744" w:rsidRDefault="00DF478A" w:rsidP="00DF478A">
            <w:pPr>
              <w:jc w:val="right"/>
              <w:rPr>
                <w:lang w:eastAsia="en-GB"/>
              </w:rPr>
            </w:pPr>
            <w:r w:rsidRPr="00226744">
              <w:rPr>
                <w:lang w:eastAsia="en-GB"/>
              </w:rPr>
              <w:t>376.7</w:t>
            </w:r>
          </w:p>
        </w:tc>
        <w:tc>
          <w:tcPr>
            <w:tcW w:w="1120" w:type="dxa"/>
            <w:noWrap/>
            <w:hideMark/>
          </w:tcPr>
          <w:p w14:paraId="5CA736AF" w14:textId="77777777" w:rsidR="00DF478A" w:rsidRPr="00226744" w:rsidRDefault="00DF478A" w:rsidP="00DF478A">
            <w:pPr>
              <w:jc w:val="right"/>
              <w:rPr>
                <w:lang w:eastAsia="en-GB"/>
              </w:rPr>
            </w:pPr>
            <w:r w:rsidRPr="00226744">
              <w:rPr>
                <w:lang w:eastAsia="en-GB"/>
              </w:rPr>
              <w:t>423.6</w:t>
            </w:r>
          </w:p>
        </w:tc>
      </w:tr>
      <w:tr w:rsidR="00226744" w:rsidRPr="00226744" w14:paraId="654491DF" w14:textId="77777777" w:rsidTr="00226744">
        <w:trPr>
          <w:trHeight w:val="315"/>
        </w:trPr>
        <w:tc>
          <w:tcPr>
            <w:tcW w:w="1336" w:type="dxa"/>
            <w:noWrap/>
          </w:tcPr>
          <w:p w14:paraId="44D7382F" w14:textId="77777777" w:rsidR="00DF478A" w:rsidRPr="00226744" w:rsidRDefault="00DF478A" w:rsidP="00DF478A">
            <w:pPr>
              <w:rPr>
                <w:b/>
                <w:bCs/>
                <w:lang w:eastAsia="en-GB"/>
              </w:rPr>
            </w:pPr>
          </w:p>
        </w:tc>
        <w:tc>
          <w:tcPr>
            <w:tcW w:w="1635" w:type="dxa"/>
            <w:noWrap/>
          </w:tcPr>
          <w:p w14:paraId="0F933A72" w14:textId="77777777" w:rsidR="00DF478A" w:rsidRPr="00226744" w:rsidRDefault="00DF478A" w:rsidP="00DF478A">
            <w:pPr>
              <w:jc w:val="right"/>
              <w:rPr>
                <w:lang w:eastAsia="en-GB"/>
              </w:rPr>
            </w:pPr>
          </w:p>
        </w:tc>
        <w:tc>
          <w:tcPr>
            <w:tcW w:w="1378" w:type="dxa"/>
            <w:noWrap/>
          </w:tcPr>
          <w:p w14:paraId="1E35D2F3" w14:textId="77777777" w:rsidR="00DF478A" w:rsidRPr="00226744" w:rsidRDefault="00DF478A" w:rsidP="00DF478A">
            <w:pPr>
              <w:jc w:val="right"/>
              <w:rPr>
                <w:lang w:eastAsia="en-GB"/>
              </w:rPr>
            </w:pPr>
          </w:p>
        </w:tc>
        <w:tc>
          <w:tcPr>
            <w:tcW w:w="1610" w:type="dxa"/>
            <w:noWrap/>
          </w:tcPr>
          <w:p w14:paraId="11EA7C36" w14:textId="77777777" w:rsidR="00DF478A" w:rsidRPr="00226744" w:rsidRDefault="00DF478A" w:rsidP="00DF478A">
            <w:pPr>
              <w:jc w:val="right"/>
              <w:rPr>
                <w:lang w:eastAsia="en-GB"/>
              </w:rPr>
            </w:pPr>
          </w:p>
        </w:tc>
        <w:tc>
          <w:tcPr>
            <w:tcW w:w="1414" w:type="dxa"/>
            <w:noWrap/>
          </w:tcPr>
          <w:p w14:paraId="6BABE57A" w14:textId="77777777" w:rsidR="00DF478A" w:rsidRPr="00226744" w:rsidRDefault="00DF478A" w:rsidP="00DF478A">
            <w:pPr>
              <w:jc w:val="right"/>
              <w:rPr>
                <w:lang w:eastAsia="en-GB"/>
              </w:rPr>
            </w:pPr>
          </w:p>
        </w:tc>
        <w:tc>
          <w:tcPr>
            <w:tcW w:w="1120" w:type="dxa"/>
            <w:noWrap/>
          </w:tcPr>
          <w:p w14:paraId="3C8F6C90" w14:textId="77777777" w:rsidR="00DF478A" w:rsidRPr="00226744" w:rsidRDefault="00DF478A" w:rsidP="00DF478A">
            <w:pPr>
              <w:jc w:val="right"/>
              <w:rPr>
                <w:lang w:eastAsia="en-GB"/>
              </w:rPr>
            </w:pPr>
          </w:p>
        </w:tc>
      </w:tr>
    </w:tbl>
    <w:p w14:paraId="0EDA4836" w14:textId="77777777" w:rsidR="00DF478A" w:rsidRPr="00226744" w:rsidRDefault="00DF478A"/>
    <w:p w14:paraId="27CD17E1" w14:textId="129D15BF" w:rsidR="00F3337C" w:rsidRPr="00226744" w:rsidRDefault="00F3337C"/>
    <w:tbl>
      <w:tblPr>
        <w:tblStyle w:val="TableGrid"/>
        <w:tblW w:w="0" w:type="auto"/>
        <w:tblLook w:val="04A0" w:firstRow="1" w:lastRow="0" w:firstColumn="1" w:lastColumn="0" w:noHBand="0" w:noVBand="1"/>
      </w:tblPr>
      <w:tblGrid>
        <w:gridCol w:w="4483"/>
        <w:gridCol w:w="4482"/>
      </w:tblGrid>
      <w:tr w:rsidR="00DF478A" w:rsidRPr="00226744" w14:paraId="45973D6F" w14:textId="77777777" w:rsidTr="00DF478A">
        <w:tc>
          <w:tcPr>
            <w:tcW w:w="4508" w:type="dxa"/>
          </w:tcPr>
          <w:p w14:paraId="724206C8" w14:textId="077A7311" w:rsidR="00DF478A" w:rsidRPr="00226744" w:rsidRDefault="00DF478A" w:rsidP="00DF478A">
            <w:r w:rsidRPr="00226744">
              <w:rPr>
                <w:b/>
              </w:rPr>
              <w:t>Interpretation guidelines</w:t>
            </w:r>
          </w:p>
        </w:tc>
        <w:tc>
          <w:tcPr>
            <w:tcW w:w="4508" w:type="dxa"/>
          </w:tcPr>
          <w:p w14:paraId="7F9D0B38" w14:textId="77777777" w:rsidR="00DF478A" w:rsidRPr="00226744" w:rsidRDefault="00DF478A" w:rsidP="00DF478A">
            <w:pPr>
              <w:spacing w:before="240"/>
            </w:pPr>
            <w:r w:rsidRPr="00226744">
              <w:t xml:space="preserve">This indicator requires careful interpretation and should not be viewed in isolation, but instead be considered alongside information from other indicators and alternative sources. When evaluated together, these will help to provide a holistic view of CCG outcomes and provide a more complete overview of the impact of the CCGs processes on outcomes. </w:t>
            </w:r>
          </w:p>
          <w:p w14:paraId="6A0B10FA" w14:textId="46C45E73" w:rsidR="00DF478A" w:rsidRPr="00226744" w:rsidRDefault="00DF478A" w:rsidP="00DF478A">
            <w:r w:rsidRPr="00226744">
              <w:t>A low ratio of readmissions within 30 days of a discharge from a mental health inpatient service is desirable</w:t>
            </w:r>
          </w:p>
        </w:tc>
      </w:tr>
      <w:tr w:rsidR="00DF478A" w:rsidRPr="00226744" w14:paraId="0D6834C4" w14:textId="77777777" w:rsidTr="00DF478A">
        <w:tc>
          <w:tcPr>
            <w:tcW w:w="4508" w:type="dxa"/>
          </w:tcPr>
          <w:p w14:paraId="561C9367" w14:textId="76684C66" w:rsidR="00DF478A" w:rsidRPr="00226744" w:rsidRDefault="00DF478A" w:rsidP="00DF478A">
            <w:r w:rsidRPr="00226744">
              <w:rPr>
                <w:b/>
              </w:rPr>
              <w:t>Limitations and potential bias</w:t>
            </w:r>
          </w:p>
        </w:tc>
        <w:tc>
          <w:tcPr>
            <w:tcW w:w="4508" w:type="dxa"/>
          </w:tcPr>
          <w:p w14:paraId="214FCC95" w14:textId="1A47D11B" w:rsidR="00DF478A" w:rsidRPr="00226744" w:rsidRDefault="00DF478A" w:rsidP="00DF478A">
            <w:r w:rsidRPr="00226744">
              <w:t xml:space="preserve">The indicator makes no adjustment for case-mix or indices of deprivation, as such </w:t>
            </w:r>
            <w:r w:rsidRPr="00226744">
              <w:lastRenderedPageBreak/>
              <w:t>these could influence readmission rates for certain CCGs.</w:t>
            </w:r>
          </w:p>
        </w:tc>
      </w:tr>
      <w:tr w:rsidR="00DF478A" w:rsidRPr="00226744" w14:paraId="050BC437" w14:textId="77777777" w:rsidTr="00DF478A">
        <w:tc>
          <w:tcPr>
            <w:tcW w:w="4508" w:type="dxa"/>
          </w:tcPr>
          <w:p w14:paraId="71BD055D" w14:textId="2D7794C4" w:rsidR="00DF478A" w:rsidRPr="00226744" w:rsidRDefault="00DF478A" w:rsidP="00DF478A">
            <w:r w:rsidRPr="00226744">
              <w:rPr>
                <w:b/>
              </w:rPr>
              <w:lastRenderedPageBreak/>
              <w:t>Presentation of indicator</w:t>
            </w:r>
          </w:p>
        </w:tc>
        <w:tc>
          <w:tcPr>
            <w:tcW w:w="4508" w:type="dxa"/>
          </w:tcPr>
          <w:p w14:paraId="44F6039D" w14:textId="77777777" w:rsidR="00DF478A" w:rsidRPr="00226744" w:rsidRDefault="00DF478A" w:rsidP="00DF478A">
            <w:pPr>
              <w:spacing w:before="240"/>
            </w:pPr>
            <w:r w:rsidRPr="00226744">
              <w:t xml:space="preserve">The indicator is to be presented on the HSCIC Indicator Portal in a consistent format with other CCG OIS indicators. It is accompanied by a Specification and Quality Statement. </w:t>
            </w:r>
          </w:p>
          <w:p w14:paraId="2CF58344" w14:textId="77777777" w:rsidR="00DF478A" w:rsidRPr="00226744" w:rsidRDefault="00DF478A" w:rsidP="00DF478A">
            <w:pPr>
              <w:spacing w:before="240"/>
            </w:pPr>
            <w:r w:rsidRPr="00226744">
              <w:t xml:space="preserve">The data is to be presented with a detailed header including information on the statistic presented, the reporting period, level of coverage, publication date, data sources, and any further notes to be aware of. Drop-down filtering is also available. </w:t>
            </w:r>
          </w:p>
          <w:p w14:paraId="61B98A63" w14:textId="77777777" w:rsidR="00DF478A" w:rsidRPr="00226744" w:rsidRDefault="00DF478A" w:rsidP="00DF478A">
            <w:pPr>
              <w:spacing w:before="240"/>
            </w:pPr>
            <w:r w:rsidRPr="00226744">
              <w:t xml:space="preserve">The number of discharges will initially cover the 12 month period April YYYY – March YYYY+1, whilst the readmissions  will cover the 13 month period April YYYY – April YYYY+1, the indicator will subsequently be reported using rolling quarters, presenting data for a 12 month period. </w:t>
            </w:r>
          </w:p>
          <w:p w14:paraId="7B83A988" w14:textId="25FEEB22" w:rsidR="00DF478A" w:rsidRPr="00226744" w:rsidRDefault="00DF478A" w:rsidP="00DF478A">
            <w:r w:rsidRPr="00226744">
              <w:t>The specific fields to be presented in the data are as follows:</w:t>
            </w:r>
          </w:p>
        </w:tc>
      </w:tr>
    </w:tbl>
    <w:tbl>
      <w:tblPr>
        <w:tblStyle w:val="TableGrid1"/>
        <w:tblW w:w="0" w:type="auto"/>
        <w:tblLook w:val="01E0" w:firstRow="1" w:lastRow="1" w:firstColumn="1" w:lastColumn="1" w:noHBand="0" w:noVBand="0"/>
      </w:tblPr>
      <w:tblGrid>
        <w:gridCol w:w="2824"/>
        <w:gridCol w:w="2983"/>
      </w:tblGrid>
      <w:tr w:rsidR="00226744" w:rsidRPr="00226744" w14:paraId="64CEF6EC" w14:textId="77777777" w:rsidTr="00226744">
        <w:tc>
          <w:tcPr>
            <w:tcW w:w="2824" w:type="dxa"/>
            <w:hideMark/>
          </w:tcPr>
          <w:p w14:paraId="7E6571E3" w14:textId="77777777" w:rsidR="00DF478A" w:rsidRPr="00226744" w:rsidRDefault="00DF478A" w:rsidP="00DF478A">
            <w:r w:rsidRPr="00226744">
              <w:t>Column Name</w:t>
            </w:r>
          </w:p>
        </w:tc>
        <w:tc>
          <w:tcPr>
            <w:tcW w:w="2983" w:type="dxa"/>
            <w:hideMark/>
          </w:tcPr>
          <w:p w14:paraId="14CF03BC" w14:textId="77777777" w:rsidR="00DF478A" w:rsidRPr="00226744" w:rsidRDefault="00DF478A" w:rsidP="00DF478A">
            <w:r w:rsidRPr="00226744">
              <w:t>Output</w:t>
            </w:r>
          </w:p>
        </w:tc>
      </w:tr>
      <w:tr w:rsidR="00226744" w:rsidRPr="00226744" w14:paraId="32CD5DF3" w14:textId="77777777" w:rsidTr="00226744">
        <w:tc>
          <w:tcPr>
            <w:tcW w:w="2824" w:type="dxa"/>
          </w:tcPr>
          <w:p w14:paraId="72E39B57" w14:textId="77777777" w:rsidR="00DF478A" w:rsidRPr="00226744" w:rsidRDefault="00DF478A" w:rsidP="00DF478A">
            <w:r w:rsidRPr="00226744">
              <w:t>Reporting Period</w:t>
            </w:r>
          </w:p>
        </w:tc>
        <w:tc>
          <w:tcPr>
            <w:tcW w:w="2983" w:type="dxa"/>
          </w:tcPr>
          <w:p w14:paraId="20CB501E" w14:textId="77777777" w:rsidR="00DF478A" w:rsidRPr="00226744" w:rsidRDefault="00DF478A" w:rsidP="00DF478A">
            <w:r w:rsidRPr="00226744">
              <w:t>The period that the data relates to.</w:t>
            </w:r>
          </w:p>
        </w:tc>
      </w:tr>
      <w:tr w:rsidR="00226744" w:rsidRPr="00226744" w14:paraId="22DDD218" w14:textId="77777777" w:rsidTr="00226744">
        <w:tc>
          <w:tcPr>
            <w:tcW w:w="2824" w:type="dxa"/>
            <w:hideMark/>
          </w:tcPr>
          <w:p w14:paraId="0B99FEF5" w14:textId="77777777" w:rsidR="00DF478A" w:rsidRPr="00226744" w:rsidRDefault="00DF478A" w:rsidP="00DF478A">
            <w:r w:rsidRPr="00226744">
              <w:t>Breakdown</w:t>
            </w:r>
          </w:p>
        </w:tc>
        <w:tc>
          <w:tcPr>
            <w:tcW w:w="2983" w:type="dxa"/>
            <w:hideMark/>
          </w:tcPr>
          <w:p w14:paraId="2DD6C204" w14:textId="77777777" w:rsidR="00DF478A" w:rsidRPr="00226744" w:rsidRDefault="00DF478A" w:rsidP="00DF478A">
            <w:r w:rsidRPr="00226744">
              <w:t>National, CCG</w:t>
            </w:r>
          </w:p>
        </w:tc>
      </w:tr>
      <w:tr w:rsidR="00226744" w:rsidRPr="00226744" w14:paraId="5180BC76" w14:textId="77777777" w:rsidTr="00226744">
        <w:tc>
          <w:tcPr>
            <w:tcW w:w="2824" w:type="dxa"/>
          </w:tcPr>
          <w:p w14:paraId="32D1B6DD" w14:textId="77777777" w:rsidR="00DF478A" w:rsidRPr="00226744" w:rsidRDefault="00DF478A" w:rsidP="00DF478A">
            <w:r w:rsidRPr="00226744">
              <w:t>Level</w:t>
            </w:r>
          </w:p>
        </w:tc>
        <w:tc>
          <w:tcPr>
            <w:tcW w:w="2983" w:type="dxa"/>
          </w:tcPr>
          <w:p w14:paraId="32611573" w14:textId="77777777" w:rsidR="00DF478A" w:rsidRPr="00226744" w:rsidRDefault="00DF478A" w:rsidP="00DF478A">
            <w:r w:rsidRPr="00226744">
              <w:t>CCG Code</w:t>
            </w:r>
          </w:p>
        </w:tc>
      </w:tr>
      <w:tr w:rsidR="00226744" w:rsidRPr="00226744" w14:paraId="69D6AC80" w14:textId="77777777" w:rsidTr="00226744">
        <w:tc>
          <w:tcPr>
            <w:tcW w:w="2824" w:type="dxa"/>
            <w:hideMark/>
          </w:tcPr>
          <w:p w14:paraId="52CAD2FB" w14:textId="77777777" w:rsidR="00DF478A" w:rsidRPr="00226744" w:rsidRDefault="00DF478A" w:rsidP="00DF478A">
            <w:r w:rsidRPr="00226744">
              <w:t>Level Description</w:t>
            </w:r>
          </w:p>
        </w:tc>
        <w:tc>
          <w:tcPr>
            <w:tcW w:w="2983" w:type="dxa"/>
            <w:hideMark/>
          </w:tcPr>
          <w:p w14:paraId="4A0CD866" w14:textId="77777777" w:rsidR="00DF478A" w:rsidRPr="00226744" w:rsidRDefault="00DF478A" w:rsidP="00DF478A">
            <w:r w:rsidRPr="00226744">
              <w:t>CCG Name</w:t>
            </w:r>
          </w:p>
        </w:tc>
      </w:tr>
      <w:tr w:rsidR="00226744" w:rsidRPr="00226744" w14:paraId="7E2DC9B8" w14:textId="77777777" w:rsidTr="00226744">
        <w:tc>
          <w:tcPr>
            <w:tcW w:w="2824" w:type="dxa"/>
          </w:tcPr>
          <w:p w14:paraId="6BA49678" w14:textId="77777777" w:rsidR="00DF478A" w:rsidRPr="00226744" w:rsidRDefault="00DF478A" w:rsidP="00DF478A">
            <w:r w:rsidRPr="00226744">
              <w:t>Indirectly Standardised Ratio</w:t>
            </w:r>
          </w:p>
        </w:tc>
        <w:tc>
          <w:tcPr>
            <w:tcW w:w="2983" w:type="dxa"/>
          </w:tcPr>
          <w:p w14:paraId="242D6FFC" w14:textId="77777777" w:rsidR="00DF478A" w:rsidRPr="00226744" w:rsidRDefault="00DF478A" w:rsidP="00DF478A">
            <w:r w:rsidRPr="00226744">
              <w:t>Indirectly Standardised Ratio</w:t>
            </w:r>
          </w:p>
        </w:tc>
      </w:tr>
      <w:tr w:rsidR="00226744" w:rsidRPr="00226744" w14:paraId="50AD5CA6" w14:textId="77777777" w:rsidTr="00226744">
        <w:tc>
          <w:tcPr>
            <w:tcW w:w="2824" w:type="dxa"/>
          </w:tcPr>
          <w:p w14:paraId="3DA09A5F" w14:textId="77777777" w:rsidR="00DF478A" w:rsidRPr="00226744" w:rsidRDefault="00DF478A" w:rsidP="00DF478A">
            <w:r w:rsidRPr="00226744">
              <w:t>Confidence Interval Lower</w:t>
            </w:r>
          </w:p>
        </w:tc>
        <w:tc>
          <w:tcPr>
            <w:tcW w:w="2983" w:type="dxa"/>
          </w:tcPr>
          <w:p w14:paraId="554EF22C" w14:textId="77777777" w:rsidR="00DF478A" w:rsidRPr="00226744" w:rsidRDefault="00DF478A" w:rsidP="00DF478A">
            <w:r w:rsidRPr="00226744">
              <w:t>Indirectly Standardised Percentage lower confidence interval</w:t>
            </w:r>
          </w:p>
        </w:tc>
      </w:tr>
      <w:tr w:rsidR="00226744" w:rsidRPr="00226744" w14:paraId="107D50F4" w14:textId="77777777" w:rsidTr="00226744">
        <w:tc>
          <w:tcPr>
            <w:tcW w:w="2824" w:type="dxa"/>
          </w:tcPr>
          <w:p w14:paraId="25C81DE7" w14:textId="77777777" w:rsidR="00DF478A" w:rsidRPr="00226744" w:rsidRDefault="00DF478A" w:rsidP="00DF478A">
            <w:r w:rsidRPr="00226744">
              <w:t>Confidence Interval Upper</w:t>
            </w:r>
          </w:p>
        </w:tc>
        <w:tc>
          <w:tcPr>
            <w:tcW w:w="2983" w:type="dxa"/>
          </w:tcPr>
          <w:p w14:paraId="092FF958" w14:textId="77777777" w:rsidR="00DF478A" w:rsidRPr="00226744" w:rsidRDefault="00DF478A" w:rsidP="00DF478A">
            <w:r w:rsidRPr="00226744">
              <w:t>Indirectly Standardised Percentage upper confidence interval</w:t>
            </w:r>
          </w:p>
        </w:tc>
      </w:tr>
      <w:tr w:rsidR="00226744" w:rsidRPr="00226744" w14:paraId="09DFB18E" w14:textId="77777777" w:rsidTr="00226744">
        <w:tc>
          <w:tcPr>
            <w:tcW w:w="2824" w:type="dxa"/>
          </w:tcPr>
          <w:p w14:paraId="32976C05" w14:textId="77777777" w:rsidR="00DF478A" w:rsidRPr="00226744" w:rsidRDefault="00DF478A" w:rsidP="00DF478A">
            <w:r w:rsidRPr="00226744">
              <w:t>Denominator</w:t>
            </w:r>
          </w:p>
        </w:tc>
        <w:tc>
          <w:tcPr>
            <w:tcW w:w="2983" w:type="dxa"/>
          </w:tcPr>
          <w:p w14:paraId="7617CB50" w14:textId="77777777" w:rsidR="00DF478A" w:rsidRPr="00226744" w:rsidRDefault="00DF478A" w:rsidP="00DF478A">
            <w:r w:rsidRPr="00226744">
              <w:t>Count of discharges from a mental health inpatient service</w:t>
            </w:r>
          </w:p>
        </w:tc>
      </w:tr>
      <w:tr w:rsidR="00226744" w:rsidRPr="00226744" w14:paraId="570C3BEE" w14:textId="77777777" w:rsidTr="00226744">
        <w:tc>
          <w:tcPr>
            <w:tcW w:w="2824" w:type="dxa"/>
          </w:tcPr>
          <w:p w14:paraId="65AB40DE" w14:textId="77777777" w:rsidR="00DF478A" w:rsidRPr="00226744" w:rsidRDefault="00DF478A" w:rsidP="00DF478A">
            <w:r w:rsidRPr="00226744">
              <w:t xml:space="preserve">Numerator </w:t>
            </w:r>
          </w:p>
        </w:tc>
        <w:tc>
          <w:tcPr>
            <w:tcW w:w="2983" w:type="dxa"/>
          </w:tcPr>
          <w:p w14:paraId="75E46BE6" w14:textId="77777777" w:rsidR="00DF478A" w:rsidRPr="00226744" w:rsidRDefault="00DF478A" w:rsidP="00DF478A">
            <w:r w:rsidRPr="00226744">
              <w:t>Count of unplanned readmissions to a mental health service within 30 days.</w:t>
            </w:r>
          </w:p>
        </w:tc>
      </w:tr>
    </w:tbl>
    <w:p w14:paraId="32198FFB" w14:textId="66F30A89" w:rsidR="00F3337C" w:rsidRPr="00226744" w:rsidRDefault="00DF478A">
      <w:pPr>
        <w:rPr>
          <w:b/>
        </w:rPr>
      </w:pPr>
      <w:r w:rsidRPr="00226744">
        <w:rPr>
          <w:b/>
        </w:rPr>
        <w:t>Risks and Usefulness</w:t>
      </w:r>
    </w:p>
    <w:p w14:paraId="14E81632" w14:textId="26A82946" w:rsidR="00226744" w:rsidRPr="00226744" w:rsidRDefault="00226744">
      <w:pPr>
        <w:rPr>
          <w:b/>
        </w:rPr>
      </w:pPr>
    </w:p>
    <w:tbl>
      <w:tblPr>
        <w:tblStyle w:val="TableGrid"/>
        <w:tblW w:w="0" w:type="auto"/>
        <w:tblLook w:val="04A0" w:firstRow="1" w:lastRow="0" w:firstColumn="1" w:lastColumn="0" w:noHBand="0" w:noVBand="1"/>
      </w:tblPr>
      <w:tblGrid>
        <w:gridCol w:w="4478"/>
        <w:gridCol w:w="4487"/>
      </w:tblGrid>
      <w:tr w:rsidR="00226744" w:rsidRPr="00226744" w14:paraId="3B5B7AC6" w14:textId="77777777" w:rsidTr="00226744">
        <w:tc>
          <w:tcPr>
            <w:tcW w:w="4508" w:type="dxa"/>
          </w:tcPr>
          <w:p w14:paraId="4072BE25" w14:textId="28E172E2" w:rsidR="00226744" w:rsidRPr="00226744" w:rsidRDefault="00226744">
            <w:pPr>
              <w:rPr>
                <w:b/>
              </w:rPr>
            </w:pPr>
            <w:r w:rsidRPr="00226744">
              <w:rPr>
                <w:b/>
              </w:rPr>
              <w:t>Similar existing indicators</w:t>
            </w:r>
          </w:p>
        </w:tc>
        <w:tc>
          <w:tcPr>
            <w:tcW w:w="4508" w:type="dxa"/>
          </w:tcPr>
          <w:p w14:paraId="0F762569" w14:textId="77777777" w:rsidR="00226744" w:rsidRPr="00226744" w:rsidRDefault="00226744" w:rsidP="00226744">
            <w:pPr>
              <w:spacing w:before="240"/>
            </w:pPr>
            <w:r w:rsidRPr="00226744">
              <w:t xml:space="preserve">There are a total of 32 readmission indicators, covering a variety of age ranges </w:t>
            </w:r>
            <w:r w:rsidRPr="00226744">
              <w:lastRenderedPageBreak/>
              <w:t>and conditions within the HSCIC Indicator Portal. These indicators do not cover mental health conditions.</w:t>
            </w:r>
          </w:p>
          <w:p w14:paraId="0CF558C7" w14:textId="4285EE1C" w:rsidR="00226744" w:rsidRPr="00226744" w:rsidRDefault="00226744" w:rsidP="00226744">
            <w:pPr>
              <w:rPr>
                <w:b/>
              </w:rPr>
            </w:pPr>
            <w:r w:rsidRPr="00226744">
              <w:t>An indicator is published by the HSCIC Mental Health team as part of the Monthly Mental Health Reports, which covers emergency readmissions within 30 days.</w:t>
            </w:r>
          </w:p>
        </w:tc>
      </w:tr>
      <w:tr w:rsidR="00226744" w:rsidRPr="00226744" w14:paraId="5AAB1056" w14:textId="77777777" w:rsidTr="00226744">
        <w:tc>
          <w:tcPr>
            <w:tcW w:w="4508" w:type="dxa"/>
          </w:tcPr>
          <w:p w14:paraId="3F81C569" w14:textId="17631380" w:rsidR="00226744" w:rsidRPr="00226744" w:rsidRDefault="00226744" w:rsidP="00226744">
            <w:pPr>
              <w:tabs>
                <w:tab w:val="left" w:pos="900"/>
              </w:tabs>
              <w:rPr>
                <w:b/>
              </w:rPr>
            </w:pPr>
            <w:r w:rsidRPr="00226744">
              <w:rPr>
                <w:b/>
              </w:rPr>
              <w:lastRenderedPageBreak/>
              <w:t>Differences between proposed and existing indicators</w:t>
            </w:r>
          </w:p>
        </w:tc>
        <w:tc>
          <w:tcPr>
            <w:tcW w:w="4508" w:type="dxa"/>
          </w:tcPr>
          <w:p w14:paraId="4EEFCF92" w14:textId="77777777" w:rsidR="00226744" w:rsidRPr="00226744" w:rsidRDefault="00226744" w:rsidP="00226744">
            <w:pPr>
              <w:spacing w:before="240"/>
            </w:pPr>
            <w:r w:rsidRPr="00226744">
              <w:t>CCG Indicator 3.2 (NHS OF 3b) shows the readmission rates by CCG for Emergency readmissions within 30 days of discharge from hospital. This is an overall figure that includes mental health diagnoses, but is not Mental Health specific.</w:t>
            </w:r>
          </w:p>
          <w:p w14:paraId="707F31EC" w14:textId="60FAE51C" w:rsidR="00226744" w:rsidRPr="00226744" w:rsidRDefault="00226744" w:rsidP="00226744">
            <w:pPr>
              <w:rPr>
                <w:b/>
              </w:rPr>
            </w:pPr>
            <w:r w:rsidRPr="00226744">
              <w:t>The methodology used in this indicator is consistent with the other readmission indicators in the CCG OIS, however the methodology is inconsistent with a readmission measure produced by the Mental Health team as part of the Monthly Mental Health reports. The measure in the MHMDS monthly reports takes the number of admissions in a reference period and looks back over the previous 30 days to match them to a discharge. This figure is reported monthly, not annually, however, if the monthly figure was aggregated to an annual figure, the two would not match due to this difference in methodology. This will be made clear in the indicator metadata</w:t>
            </w:r>
          </w:p>
        </w:tc>
      </w:tr>
      <w:tr w:rsidR="00226744" w:rsidRPr="00226744" w14:paraId="660D5A74" w14:textId="77777777" w:rsidTr="00226744">
        <w:tc>
          <w:tcPr>
            <w:tcW w:w="4508" w:type="dxa"/>
          </w:tcPr>
          <w:p w14:paraId="6F9E98C4" w14:textId="341EE874" w:rsidR="00226744" w:rsidRPr="00226744" w:rsidRDefault="00226744" w:rsidP="00226744">
            <w:pPr>
              <w:rPr>
                <w:b/>
              </w:rPr>
            </w:pPr>
            <w:r w:rsidRPr="00226744">
              <w:rPr>
                <w:b/>
              </w:rPr>
              <w:t>Coherence and comparability</w:t>
            </w:r>
          </w:p>
        </w:tc>
        <w:tc>
          <w:tcPr>
            <w:tcW w:w="4508" w:type="dxa"/>
          </w:tcPr>
          <w:p w14:paraId="32579C21" w14:textId="20C88182" w:rsidR="00226744" w:rsidRPr="00226744" w:rsidRDefault="00226744" w:rsidP="00226744">
            <w:pPr>
              <w:rPr>
                <w:b/>
              </w:rPr>
            </w:pPr>
            <w:r w:rsidRPr="00226744">
              <w:t>If the MHMDS monthly figure is aggregated to a full year and compared to the one presented in this indicator, they will not match even though they are purporting to measure the same thing, as the two methods are considering different time periods.</w:t>
            </w:r>
          </w:p>
        </w:tc>
      </w:tr>
      <w:tr w:rsidR="00226744" w:rsidRPr="00226744" w14:paraId="00EF6343" w14:textId="77777777" w:rsidTr="00226744">
        <w:tc>
          <w:tcPr>
            <w:tcW w:w="4508" w:type="dxa"/>
          </w:tcPr>
          <w:p w14:paraId="29540463" w14:textId="471D2A20" w:rsidR="00226744" w:rsidRPr="00226744" w:rsidRDefault="00226744" w:rsidP="00226744">
            <w:pPr>
              <w:rPr>
                <w:b/>
              </w:rPr>
            </w:pPr>
            <w:r w:rsidRPr="00226744">
              <w:rPr>
                <w:b/>
              </w:rPr>
              <w:t>Undesired behaviours and/or gaming</w:t>
            </w:r>
          </w:p>
        </w:tc>
        <w:tc>
          <w:tcPr>
            <w:tcW w:w="4508" w:type="dxa"/>
          </w:tcPr>
          <w:p w14:paraId="17390131" w14:textId="44E5D58E" w:rsidR="00226744" w:rsidRPr="00226744" w:rsidRDefault="00226744" w:rsidP="00226744">
            <w:pPr>
              <w:rPr>
                <w:b/>
              </w:rPr>
            </w:pPr>
            <w:r w:rsidRPr="00226744">
              <w:t xml:space="preserve">There is little scope for perverse incentives in this indicator, providers may code patients as being discharged in such a way that they are not included in the indicator if they believe a readmission is likely. </w:t>
            </w:r>
          </w:p>
        </w:tc>
      </w:tr>
      <w:tr w:rsidR="00226744" w:rsidRPr="00226744" w14:paraId="4DDDCAF1" w14:textId="77777777" w:rsidTr="00226744">
        <w:tc>
          <w:tcPr>
            <w:tcW w:w="4508" w:type="dxa"/>
          </w:tcPr>
          <w:p w14:paraId="7ABFA620" w14:textId="403E90D0" w:rsidR="00226744" w:rsidRPr="00226744" w:rsidRDefault="00226744" w:rsidP="00226744">
            <w:pPr>
              <w:rPr>
                <w:b/>
              </w:rPr>
            </w:pPr>
            <w:r w:rsidRPr="00226744">
              <w:rPr>
                <w:b/>
              </w:rPr>
              <w:t>Improvement actions</w:t>
            </w:r>
          </w:p>
        </w:tc>
        <w:tc>
          <w:tcPr>
            <w:tcW w:w="4508" w:type="dxa"/>
          </w:tcPr>
          <w:p w14:paraId="255520F3" w14:textId="3B464871" w:rsidR="00226744" w:rsidRPr="00226744" w:rsidRDefault="00226744" w:rsidP="00226744">
            <w:pPr>
              <w:rPr>
                <w:b/>
              </w:rPr>
            </w:pPr>
            <w:r w:rsidRPr="00226744">
              <w:t xml:space="preserve">This indicator requires careful interpretation and should not be viewed in isolation, but instead be considered alongside information from other indicators and alternative sources. CCGs can use this indicator in context to identify if improvements are needed in their delivery of service, further investigation will be </w:t>
            </w:r>
            <w:r w:rsidRPr="00226744">
              <w:lastRenderedPageBreak/>
              <w:t>required in order to determine what, where and how these services should improve.</w:t>
            </w:r>
          </w:p>
        </w:tc>
      </w:tr>
      <w:tr w:rsidR="00226744" w:rsidRPr="00226744" w14:paraId="4E4ADC0E" w14:textId="77777777" w:rsidTr="00226744">
        <w:tc>
          <w:tcPr>
            <w:tcW w:w="4508" w:type="dxa"/>
          </w:tcPr>
          <w:p w14:paraId="50BF5006" w14:textId="1255D877" w:rsidR="00226744" w:rsidRPr="00226744" w:rsidRDefault="00226744" w:rsidP="00226744">
            <w:pPr>
              <w:rPr>
                <w:b/>
              </w:rPr>
            </w:pPr>
            <w:r w:rsidRPr="00226744">
              <w:rPr>
                <w:b/>
              </w:rPr>
              <w:lastRenderedPageBreak/>
              <w:t>Approach to indicator review</w:t>
            </w:r>
          </w:p>
        </w:tc>
        <w:tc>
          <w:tcPr>
            <w:tcW w:w="4508" w:type="dxa"/>
          </w:tcPr>
          <w:p w14:paraId="025E16AA" w14:textId="77777777" w:rsidR="00226744" w:rsidRPr="00226744" w:rsidRDefault="00226744" w:rsidP="00226744">
            <w:pPr>
              <w:spacing w:before="240"/>
            </w:pPr>
            <w:r w:rsidRPr="00226744">
              <w:t>The time period for when the indicator is to be reviewed will be set by the Indicator Governance Board (IGB).</w:t>
            </w:r>
          </w:p>
          <w:p w14:paraId="566DD32A" w14:textId="6E982B88" w:rsidR="00226744" w:rsidRPr="00226744" w:rsidRDefault="00226744" w:rsidP="00226744">
            <w:pPr>
              <w:rPr>
                <w:b/>
              </w:rPr>
            </w:pPr>
            <w:r w:rsidRPr="00226744">
              <w:t xml:space="preserve">User feedback and comments on this indicator are welcomed via HSCIC Enquires </w:t>
            </w:r>
            <w:hyperlink r:id="rId17" w:history="1">
              <w:r w:rsidRPr="00226744">
                <w:rPr>
                  <w:rStyle w:val="Hyperlink"/>
                  <w:color w:val="auto"/>
                </w:rPr>
                <w:t>enquiries@hscic.gov.uk</w:t>
              </w:r>
            </w:hyperlink>
            <w:r w:rsidRPr="00226744">
              <w:t xml:space="preserve"> or the CCG OIS mailbox </w:t>
            </w:r>
            <w:hyperlink r:id="rId18" w:history="1">
              <w:r w:rsidRPr="00226744">
                <w:rPr>
                  <w:rStyle w:val="Hyperlink"/>
                  <w:color w:val="auto"/>
                </w:rPr>
                <w:t>ccgois@hscic.gov.uk</w:t>
              </w:r>
            </w:hyperlink>
          </w:p>
        </w:tc>
      </w:tr>
      <w:tr w:rsidR="00226744" w:rsidRPr="00226744" w14:paraId="382D95A1" w14:textId="77777777" w:rsidTr="00226744">
        <w:tc>
          <w:tcPr>
            <w:tcW w:w="4508" w:type="dxa"/>
          </w:tcPr>
          <w:p w14:paraId="64078CC0" w14:textId="47D21F60" w:rsidR="00226744" w:rsidRPr="00226744" w:rsidRDefault="00226744" w:rsidP="00226744">
            <w:pPr>
              <w:rPr>
                <w:b/>
              </w:rPr>
            </w:pPr>
            <w:r w:rsidRPr="00226744">
              <w:rPr>
                <w:b/>
              </w:rPr>
              <w:t>Disclosure control</w:t>
            </w:r>
          </w:p>
        </w:tc>
        <w:tc>
          <w:tcPr>
            <w:tcW w:w="4508" w:type="dxa"/>
          </w:tcPr>
          <w:p w14:paraId="10AF827C" w14:textId="630A7034" w:rsidR="00226744" w:rsidRPr="00226744" w:rsidRDefault="00226744" w:rsidP="00226744">
            <w:pPr>
              <w:spacing w:before="240"/>
            </w:pPr>
            <w:r w:rsidRPr="00226744">
              <w:t>When publishing the data, if the indicator is calculated from a value of 0 to 4, the value is suppressed to ensure an individual’s identity is not at risk of being disclosed. All other figures are rounded to the nearest 5.</w:t>
            </w:r>
          </w:p>
        </w:tc>
      </w:tr>
      <w:tr w:rsidR="00226744" w:rsidRPr="00226744" w14:paraId="7E907BC9" w14:textId="77777777" w:rsidTr="00226744">
        <w:tc>
          <w:tcPr>
            <w:tcW w:w="4508" w:type="dxa"/>
          </w:tcPr>
          <w:p w14:paraId="2648D834" w14:textId="07E9D126" w:rsidR="00226744" w:rsidRPr="00226744" w:rsidRDefault="00226744" w:rsidP="00226744">
            <w:pPr>
              <w:rPr>
                <w:b/>
              </w:rPr>
            </w:pPr>
            <w:r w:rsidRPr="00226744">
              <w:rPr>
                <w:b/>
              </w:rPr>
              <w:t>Copyright</w:t>
            </w:r>
          </w:p>
        </w:tc>
        <w:tc>
          <w:tcPr>
            <w:tcW w:w="4508" w:type="dxa"/>
          </w:tcPr>
          <w:p w14:paraId="539B0EB8" w14:textId="30094D7C" w:rsidR="00226744" w:rsidRPr="00226744" w:rsidRDefault="00226744" w:rsidP="00226744">
            <w:pPr>
              <w:spacing w:before="240"/>
            </w:pPr>
            <w:r w:rsidRPr="00226744">
              <w:t>Copyright © 2014, The Health and Social Care Information Centre. All Rights Reserved</w:t>
            </w:r>
          </w:p>
        </w:tc>
      </w:tr>
    </w:tbl>
    <w:p w14:paraId="1C44233F" w14:textId="77777777" w:rsidR="00226744" w:rsidRPr="00226744" w:rsidRDefault="00226744">
      <w:pPr>
        <w:rPr>
          <w:b/>
        </w:rPr>
      </w:pPr>
    </w:p>
    <w:p w14:paraId="4859A8E6" w14:textId="6870E4C0" w:rsidR="00DF478A" w:rsidRPr="00226744" w:rsidRDefault="00226744">
      <w:pPr>
        <w:rPr>
          <w:b/>
        </w:rPr>
      </w:pPr>
      <w:r w:rsidRPr="00226744">
        <w:rPr>
          <w:b/>
        </w:rPr>
        <w:t>Additional Information</w:t>
      </w:r>
    </w:p>
    <w:p w14:paraId="4E0489D8" w14:textId="1F28F31F" w:rsidR="00226744" w:rsidRPr="00226744" w:rsidRDefault="00226744">
      <w:pPr>
        <w:rPr>
          <w:b/>
        </w:rPr>
      </w:pPr>
    </w:p>
    <w:p w14:paraId="0103A2F7" w14:textId="038F81C6" w:rsidR="00226744" w:rsidRPr="00226744" w:rsidRDefault="00226744">
      <w:pPr>
        <w:rPr>
          <w:b/>
        </w:rPr>
      </w:pPr>
    </w:p>
    <w:p w14:paraId="33724A92" w14:textId="2A27CE06" w:rsidR="00226744" w:rsidRPr="00226744" w:rsidRDefault="00226744">
      <w:pPr>
        <w:rPr>
          <w:b/>
        </w:rPr>
      </w:pPr>
      <w:r w:rsidRPr="00226744">
        <w:rPr>
          <w:b/>
        </w:rPr>
        <w:t>Previous decision-making documents</w:t>
      </w:r>
    </w:p>
    <w:p w14:paraId="3B6F1D6D" w14:textId="77777777" w:rsidR="00226744" w:rsidRPr="00226744" w:rsidRDefault="00226744" w:rsidP="00226744">
      <w:pPr>
        <w:spacing w:before="240"/>
        <w:rPr>
          <w:i/>
        </w:rPr>
      </w:pPr>
      <w:r w:rsidRPr="00226744">
        <w:rPr>
          <w:i/>
        </w:rPr>
        <w:t>The sample data covers the period April 2013 – March 2014. At the time of writing, MHMDS data for April 2014 was not available; therefore, the readmission figure presented in this document will not be including readmissions that occurred in this month.</w:t>
      </w:r>
    </w:p>
    <w:p w14:paraId="30C8B1FE" w14:textId="77777777" w:rsidR="00226744" w:rsidRPr="00226744" w:rsidRDefault="00226744" w:rsidP="00226744">
      <w:pPr>
        <w:spacing w:before="240"/>
      </w:pPr>
      <w:r w:rsidRPr="00226744">
        <w:t>The below table presents the number of unplanned readmissions within 30 days, discharges from mental health inpatient services, and percentage before the standardisation calculation has been applied.</w:t>
      </w:r>
    </w:p>
    <w:p w14:paraId="541792DF" w14:textId="67D82CEB" w:rsidR="00226744" w:rsidRPr="00226744" w:rsidRDefault="00226744">
      <w:pPr>
        <w:rPr>
          <w:b/>
        </w:rPr>
      </w:pPr>
    </w:p>
    <w:tbl>
      <w:tblPr>
        <w:tblStyle w:val="TableGrid"/>
        <w:tblW w:w="0" w:type="auto"/>
        <w:jc w:val="center"/>
        <w:tblLook w:val="04A0" w:firstRow="1" w:lastRow="0" w:firstColumn="1" w:lastColumn="0" w:noHBand="0" w:noVBand="1"/>
      </w:tblPr>
      <w:tblGrid>
        <w:gridCol w:w="1072"/>
        <w:gridCol w:w="1635"/>
        <w:gridCol w:w="1378"/>
        <w:gridCol w:w="1403"/>
      </w:tblGrid>
      <w:tr w:rsidR="00226744" w:rsidRPr="00226744" w14:paraId="02C0A32D" w14:textId="77777777" w:rsidTr="00226744">
        <w:trPr>
          <w:trHeight w:val="266"/>
          <w:jc w:val="center"/>
        </w:trPr>
        <w:tc>
          <w:tcPr>
            <w:tcW w:w="1072" w:type="dxa"/>
            <w:vAlign w:val="center"/>
          </w:tcPr>
          <w:p w14:paraId="158C482B" w14:textId="77777777" w:rsidR="00226744" w:rsidRPr="00226744" w:rsidRDefault="00226744" w:rsidP="00226744">
            <w:pPr>
              <w:rPr>
                <w:b/>
              </w:rPr>
            </w:pPr>
            <w:r w:rsidRPr="00226744">
              <w:rPr>
                <w:b/>
              </w:rPr>
              <w:t>CCG</w:t>
            </w:r>
          </w:p>
        </w:tc>
        <w:tc>
          <w:tcPr>
            <w:tcW w:w="1635" w:type="dxa"/>
          </w:tcPr>
          <w:p w14:paraId="41B95830" w14:textId="77777777" w:rsidR="00226744" w:rsidRPr="00226744" w:rsidRDefault="00226744" w:rsidP="00226744">
            <w:pPr>
              <w:jc w:val="right"/>
              <w:rPr>
                <w:b/>
              </w:rPr>
            </w:pPr>
            <w:r w:rsidRPr="00226744">
              <w:rPr>
                <w:b/>
                <w:bCs/>
                <w:lang w:eastAsia="en-GB"/>
              </w:rPr>
              <w:t>Number of readmissions within 30 days</w:t>
            </w:r>
          </w:p>
        </w:tc>
        <w:tc>
          <w:tcPr>
            <w:tcW w:w="1378" w:type="dxa"/>
          </w:tcPr>
          <w:p w14:paraId="7E78F69C" w14:textId="77777777" w:rsidR="00226744" w:rsidRPr="00226744" w:rsidRDefault="00226744" w:rsidP="00226744">
            <w:pPr>
              <w:jc w:val="right"/>
              <w:rPr>
                <w:b/>
              </w:rPr>
            </w:pPr>
            <w:r w:rsidRPr="00226744">
              <w:rPr>
                <w:b/>
                <w:bCs/>
                <w:lang w:eastAsia="en-GB"/>
              </w:rPr>
              <w:t>Number of discharges</w:t>
            </w:r>
          </w:p>
        </w:tc>
        <w:tc>
          <w:tcPr>
            <w:tcW w:w="1403" w:type="dxa"/>
          </w:tcPr>
          <w:p w14:paraId="0199C253" w14:textId="77777777" w:rsidR="00226744" w:rsidRPr="00226744" w:rsidRDefault="00226744" w:rsidP="00226744">
            <w:pPr>
              <w:jc w:val="right"/>
              <w:rPr>
                <w:b/>
              </w:rPr>
            </w:pPr>
            <w:r w:rsidRPr="00226744">
              <w:rPr>
                <w:b/>
              </w:rPr>
              <w:t>Percentage</w:t>
            </w:r>
          </w:p>
        </w:tc>
      </w:tr>
      <w:tr w:rsidR="00226744" w:rsidRPr="00226744" w14:paraId="4B4000C2" w14:textId="77777777" w:rsidTr="00226744">
        <w:trPr>
          <w:trHeight w:val="266"/>
          <w:jc w:val="center"/>
        </w:trPr>
        <w:tc>
          <w:tcPr>
            <w:tcW w:w="1072" w:type="dxa"/>
            <w:vAlign w:val="center"/>
          </w:tcPr>
          <w:p w14:paraId="3340B198" w14:textId="77777777" w:rsidR="00226744" w:rsidRPr="00226744" w:rsidRDefault="00226744" w:rsidP="00226744">
            <w:r w:rsidRPr="00226744">
              <w:t>CCG1</w:t>
            </w:r>
          </w:p>
        </w:tc>
        <w:tc>
          <w:tcPr>
            <w:tcW w:w="1635" w:type="dxa"/>
            <w:vAlign w:val="center"/>
          </w:tcPr>
          <w:p w14:paraId="53E9D4B1" w14:textId="77777777" w:rsidR="00226744" w:rsidRPr="00226744" w:rsidRDefault="00226744" w:rsidP="00226744">
            <w:pPr>
              <w:jc w:val="right"/>
            </w:pPr>
            <w:r w:rsidRPr="00226744">
              <w:t>8</w:t>
            </w:r>
          </w:p>
        </w:tc>
        <w:tc>
          <w:tcPr>
            <w:tcW w:w="1378" w:type="dxa"/>
            <w:vAlign w:val="center"/>
          </w:tcPr>
          <w:p w14:paraId="4C916BE5" w14:textId="77777777" w:rsidR="00226744" w:rsidRPr="00226744" w:rsidRDefault="00226744" w:rsidP="00226744">
            <w:pPr>
              <w:jc w:val="right"/>
            </w:pPr>
            <w:r w:rsidRPr="00226744">
              <w:t>299</w:t>
            </w:r>
          </w:p>
        </w:tc>
        <w:tc>
          <w:tcPr>
            <w:tcW w:w="1403" w:type="dxa"/>
            <w:vAlign w:val="center"/>
          </w:tcPr>
          <w:p w14:paraId="01E50D68" w14:textId="77777777" w:rsidR="00226744" w:rsidRPr="00226744" w:rsidRDefault="00226744" w:rsidP="00226744">
            <w:pPr>
              <w:jc w:val="right"/>
            </w:pPr>
            <w:r w:rsidRPr="00226744">
              <w:t>2.7%</w:t>
            </w:r>
          </w:p>
        </w:tc>
      </w:tr>
      <w:tr w:rsidR="00226744" w:rsidRPr="00226744" w14:paraId="20A9783B" w14:textId="77777777" w:rsidTr="00226744">
        <w:trPr>
          <w:trHeight w:val="266"/>
          <w:jc w:val="center"/>
        </w:trPr>
        <w:tc>
          <w:tcPr>
            <w:tcW w:w="1072" w:type="dxa"/>
            <w:vAlign w:val="center"/>
          </w:tcPr>
          <w:p w14:paraId="7169F23C" w14:textId="77777777" w:rsidR="00226744" w:rsidRPr="00226744" w:rsidRDefault="00226744" w:rsidP="00226744">
            <w:r w:rsidRPr="00226744">
              <w:t>CCG2</w:t>
            </w:r>
          </w:p>
        </w:tc>
        <w:tc>
          <w:tcPr>
            <w:tcW w:w="1635" w:type="dxa"/>
            <w:vAlign w:val="center"/>
          </w:tcPr>
          <w:p w14:paraId="087EDDE3" w14:textId="77777777" w:rsidR="00226744" w:rsidRPr="00226744" w:rsidRDefault="00226744" w:rsidP="00226744">
            <w:pPr>
              <w:jc w:val="right"/>
            </w:pPr>
            <w:r w:rsidRPr="00226744">
              <w:t>2</w:t>
            </w:r>
          </w:p>
        </w:tc>
        <w:tc>
          <w:tcPr>
            <w:tcW w:w="1378" w:type="dxa"/>
            <w:vAlign w:val="center"/>
          </w:tcPr>
          <w:p w14:paraId="06130B22" w14:textId="77777777" w:rsidR="00226744" w:rsidRPr="00226744" w:rsidRDefault="00226744" w:rsidP="00226744">
            <w:pPr>
              <w:jc w:val="right"/>
            </w:pPr>
            <w:r w:rsidRPr="00226744">
              <w:t>73</w:t>
            </w:r>
          </w:p>
        </w:tc>
        <w:tc>
          <w:tcPr>
            <w:tcW w:w="1403" w:type="dxa"/>
            <w:vAlign w:val="center"/>
          </w:tcPr>
          <w:p w14:paraId="239EDDA3" w14:textId="77777777" w:rsidR="00226744" w:rsidRPr="00226744" w:rsidRDefault="00226744" w:rsidP="00226744">
            <w:pPr>
              <w:jc w:val="right"/>
            </w:pPr>
            <w:r w:rsidRPr="00226744">
              <w:t>2.7%</w:t>
            </w:r>
          </w:p>
        </w:tc>
      </w:tr>
      <w:tr w:rsidR="00226744" w:rsidRPr="00226744" w14:paraId="28A33D76" w14:textId="77777777" w:rsidTr="00226744">
        <w:trPr>
          <w:trHeight w:val="266"/>
          <w:jc w:val="center"/>
        </w:trPr>
        <w:tc>
          <w:tcPr>
            <w:tcW w:w="1072" w:type="dxa"/>
            <w:vAlign w:val="center"/>
          </w:tcPr>
          <w:p w14:paraId="207623E3" w14:textId="77777777" w:rsidR="00226744" w:rsidRPr="00226744" w:rsidRDefault="00226744" w:rsidP="00226744">
            <w:r w:rsidRPr="00226744">
              <w:t>CCG3</w:t>
            </w:r>
          </w:p>
        </w:tc>
        <w:tc>
          <w:tcPr>
            <w:tcW w:w="1635" w:type="dxa"/>
            <w:vAlign w:val="center"/>
          </w:tcPr>
          <w:p w14:paraId="6F4B74A2" w14:textId="77777777" w:rsidR="00226744" w:rsidRPr="00226744" w:rsidRDefault="00226744" w:rsidP="00226744">
            <w:pPr>
              <w:jc w:val="right"/>
            </w:pPr>
            <w:r w:rsidRPr="00226744">
              <w:t>13</w:t>
            </w:r>
          </w:p>
        </w:tc>
        <w:tc>
          <w:tcPr>
            <w:tcW w:w="1378" w:type="dxa"/>
            <w:vAlign w:val="center"/>
          </w:tcPr>
          <w:p w14:paraId="3CC65B65" w14:textId="77777777" w:rsidR="00226744" w:rsidRPr="00226744" w:rsidRDefault="00226744" w:rsidP="00226744">
            <w:pPr>
              <w:jc w:val="right"/>
            </w:pPr>
            <w:r w:rsidRPr="00226744">
              <w:t>451</w:t>
            </w:r>
          </w:p>
        </w:tc>
        <w:tc>
          <w:tcPr>
            <w:tcW w:w="1403" w:type="dxa"/>
            <w:vAlign w:val="center"/>
          </w:tcPr>
          <w:p w14:paraId="20AD04F0" w14:textId="77777777" w:rsidR="00226744" w:rsidRPr="00226744" w:rsidRDefault="00226744" w:rsidP="00226744">
            <w:pPr>
              <w:jc w:val="right"/>
            </w:pPr>
            <w:r w:rsidRPr="00226744">
              <w:t>2.9%</w:t>
            </w:r>
          </w:p>
        </w:tc>
      </w:tr>
      <w:tr w:rsidR="00226744" w:rsidRPr="00226744" w14:paraId="049D9AF0" w14:textId="77777777" w:rsidTr="00226744">
        <w:trPr>
          <w:trHeight w:val="266"/>
          <w:jc w:val="center"/>
        </w:trPr>
        <w:tc>
          <w:tcPr>
            <w:tcW w:w="1072" w:type="dxa"/>
            <w:vAlign w:val="center"/>
          </w:tcPr>
          <w:p w14:paraId="19799C48" w14:textId="77777777" w:rsidR="00226744" w:rsidRPr="00226744" w:rsidRDefault="00226744" w:rsidP="00226744">
            <w:r w:rsidRPr="00226744">
              <w:t>CCG4</w:t>
            </w:r>
          </w:p>
        </w:tc>
        <w:tc>
          <w:tcPr>
            <w:tcW w:w="1635" w:type="dxa"/>
            <w:vAlign w:val="center"/>
          </w:tcPr>
          <w:p w14:paraId="696D2369" w14:textId="77777777" w:rsidR="00226744" w:rsidRPr="00226744" w:rsidRDefault="00226744" w:rsidP="00226744">
            <w:pPr>
              <w:jc w:val="right"/>
            </w:pPr>
            <w:r w:rsidRPr="00226744">
              <w:t>10</w:t>
            </w:r>
          </w:p>
        </w:tc>
        <w:tc>
          <w:tcPr>
            <w:tcW w:w="1378" w:type="dxa"/>
            <w:vAlign w:val="center"/>
          </w:tcPr>
          <w:p w14:paraId="1AF46843" w14:textId="77777777" w:rsidR="00226744" w:rsidRPr="00226744" w:rsidRDefault="00226744" w:rsidP="00226744">
            <w:pPr>
              <w:jc w:val="right"/>
            </w:pPr>
            <w:r w:rsidRPr="00226744">
              <w:t>320</w:t>
            </w:r>
          </w:p>
        </w:tc>
        <w:tc>
          <w:tcPr>
            <w:tcW w:w="1403" w:type="dxa"/>
            <w:vAlign w:val="center"/>
          </w:tcPr>
          <w:p w14:paraId="2D508225" w14:textId="77777777" w:rsidR="00226744" w:rsidRPr="00226744" w:rsidRDefault="00226744" w:rsidP="00226744">
            <w:pPr>
              <w:jc w:val="right"/>
            </w:pPr>
            <w:r w:rsidRPr="00226744">
              <w:t>3.1%</w:t>
            </w:r>
          </w:p>
        </w:tc>
      </w:tr>
      <w:tr w:rsidR="00226744" w:rsidRPr="00226744" w14:paraId="0806222A" w14:textId="77777777" w:rsidTr="00226744">
        <w:trPr>
          <w:trHeight w:val="266"/>
          <w:jc w:val="center"/>
        </w:trPr>
        <w:tc>
          <w:tcPr>
            <w:tcW w:w="1072" w:type="dxa"/>
            <w:vAlign w:val="center"/>
          </w:tcPr>
          <w:p w14:paraId="2D4DA655" w14:textId="77777777" w:rsidR="00226744" w:rsidRPr="00226744" w:rsidRDefault="00226744" w:rsidP="00226744">
            <w:r w:rsidRPr="00226744">
              <w:t>CCG5</w:t>
            </w:r>
          </w:p>
        </w:tc>
        <w:tc>
          <w:tcPr>
            <w:tcW w:w="1635" w:type="dxa"/>
            <w:vAlign w:val="center"/>
          </w:tcPr>
          <w:p w14:paraId="16F2C6C0" w14:textId="77777777" w:rsidR="00226744" w:rsidRPr="00226744" w:rsidRDefault="00226744" w:rsidP="00226744">
            <w:pPr>
              <w:jc w:val="right"/>
            </w:pPr>
            <w:r w:rsidRPr="00226744">
              <w:t>29</w:t>
            </w:r>
          </w:p>
        </w:tc>
        <w:tc>
          <w:tcPr>
            <w:tcW w:w="1378" w:type="dxa"/>
            <w:vAlign w:val="center"/>
          </w:tcPr>
          <w:p w14:paraId="7ABF6C3E" w14:textId="77777777" w:rsidR="00226744" w:rsidRPr="00226744" w:rsidRDefault="00226744" w:rsidP="00226744">
            <w:pPr>
              <w:jc w:val="right"/>
            </w:pPr>
            <w:r w:rsidRPr="00226744">
              <w:t>761</w:t>
            </w:r>
          </w:p>
        </w:tc>
        <w:tc>
          <w:tcPr>
            <w:tcW w:w="1403" w:type="dxa"/>
            <w:vAlign w:val="center"/>
          </w:tcPr>
          <w:p w14:paraId="1CA88514" w14:textId="77777777" w:rsidR="00226744" w:rsidRPr="00226744" w:rsidRDefault="00226744" w:rsidP="00226744">
            <w:pPr>
              <w:jc w:val="right"/>
            </w:pPr>
            <w:r w:rsidRPr="00226744">
              <w:t>3.8%</w:t>
            </w:r>
          </w:p>
        </w:tc>
      </w:tr>
      <w:tr w:rsidR="00226744" w:rsidRPr="00226744" w14:paraId="3F4859AE" w14:textId="77777777" w:rsidTr="00226744">
        <w:trPr>
          <w:trHeight w:val="266"/>
          <w:jc w:val="center"/>
        </w:trPr>
        <w:tc>
          <w:tcPr>
            <w:tcW w:w="1072" w:type="dxa"/>
            <w:vAlign w:val="center"/>
          </w:tcPr>
          <w:p w14:paraId="6E596D30" w14:textId="77777777" w:rsidR="00226744" w:rsidRPr="00226744" w:rsidRDefault="00226744" w:rsidP="00226744">
            <w:r w:rsidRPr="00226744">
              <w:t>CCG6</w:t>
            </w:r>
          </w:p>
        </w:tc>
        <w:tc>
          <w:tcPr>
            <w:tcW w:w="1635" w:type="dxa"/>
            <w:vAlign w:val="center"/>
          </w:tcPr>
          <w:p w14:paraId="77BEB2A9" w14:textId="77777777" w:rsidR="00226744" w:rsidRPr="00226744" w:rsidRDefault="00226744" w:rsidP="00226744">
            <w:pPr>
              <w:jc w:val="right"/>
            </w:pPr>
            <w:r w:rsidRPr="00226744">
              <w:t>9</w:t>
            </w:r>
          </w:p>
        </w:tc>
        <w:tc>
          <w:tcPr>
            <w:tcW w:w="1378" w:type="dxa"/>
            <w:vAlign w:val="center"/>
          </w:tcPr>
          <w:p w14:paraId="69D8F0B5" w14:textId="77777777" w:rsidR="00226744" w:rsidRPr="00226744" w:rsidRDefault="00226744" w:rsidP="00226744">
            <w:pPr>
              <w:jc w:val="right"/>
            </w:pPr>
            <w:r w:rsidRPr="00226744">
              <w:t>225</w:t>
            </w:r>
          </w:p>
        </w:tc>
        <w:tc>
          <w:tcPr>
            <w:tcW w:w="1403" w:type="dxa"/>
            <w:vAlign w:val="center"/>
          </w:tcPr>
          <w:p w14:paraId="42973E93" w14:textId="77777777" w:rsidR="00226744" w:rsidRPr="00226744" w:rsidRDefault="00226744" w:rsidP="00226744">
            <w:pPr>
              <w:jc w:val="right"/>
            </w:pPr>
            <w:r w:rsidRPr="00226744">
              <w:t>4.0%</w:t>
            </w:r>
          </w:p>
        </w:tc>
      </w:tr>
      <w:tr w:rsidR="00226744" w:rsidRPr="00226744" w14:paraId="590BC356" w14:textId="77777777" w:rsidTr="00226744">
        <w:trPr>
          <w:trHeight w:val="266"/>
          <w:jc w:val="center"/>
        </w:trPr>
        <w:tc>
          <w:tcPr>
            <w:tcW w:w="1072" w:type="dxa"/>
            <w:vAlign w:val="center"/>
          </w:tcPr>
          <w:p w14:paraId="55A53E9A" w14:textId="77777777" w:rsidR="00226744" w:rsidRPr="00226744" w:rsidRDefault="00226744" w:rsidP="00226744">
            <w:r w:rsidRPr="00226744">
              <w:t>CCG7</w:t>
            </w:r>
          </w:p>
        </w:tc>
        <w:tc>
          <w:tcPr>
            <w:tcW w:w="1635" w:type="dxa"/>
            <w:vAlign w:val="center"/>
          </w:tcPr>
          <w:p w14:paraId="3F5F8458" w14:textId="77777777" w:rsidR="00226744" w:rsidRPr="00226744" w:rsidRDefault="00226744" w:rsidP="00226744">
            <w:pPr>
              <w:jc w:val="right"/>
            </w:pPr>
            <w:r w:rsidRPr="00226744">
              <w:t>25</w:t>
            </w:r>
          </w:p>
        </w:tc>
        <w:tc>
          <w:tcPr>
            <w:tcW w:w="1378" w:type="dxa"/>
            <w:vAlign w:val="center"/>
          </w:tcPr>
          <w:p w14:paraId="4E64FB1C" w14:textId="77777777" w:rsidR="00226744" w:rsidRPr="00226744" w:rsidRDefault="00226744" w:rsidP="00226744">
            <w:pPr>
              <w:jc w:val="right"/>
            </w:pPr>
            <w:r w:rsidRPr="00226744">
              <w:t>621</w:t>
            </w:r>
          </w:p>
        </w:tc>
        <w:tc>
          <w:tcPr>
            <w:tcW w:w="1403" w:type="dxa"/>
            <w:vAlign w:val="center"/>
          </w:tcPr>
          <w:p w14:paraId="13024488" w14:textId="77777777" w:rsidR="00226744" w:rsidRPr="00226744" w:rsidRDefault="00226744" w:rsidP="00226744">
            <w:pPr>
              <w:jc w:val="right"/>
            </w:pPr>
            <w:r w:rsidRPr="00226744">
              <w:t>4.0%</w:t>
            </w:r>
          </w:p>
        </w:tc>
      </w:tr>
      <w:tr w:rsidR="00226744" w:rsidRPr="00226744" w14:paraId="72D78F3A" w14:textId="77777777" w:rsidTr="00226744">
        <w:trPr>
          <w:trHeight w:val="266"/>
          <w:jc w:val="center"/>
        </w:trPr>
        <w:tc>
          <w:tcPr>
            <w:tcW w:w="1072" w:type="dxa"/>
            <w:vAlign w:val="center"/>
          </w:tcPr>
          <w:p w14:paraId="3351A158" w14:textId="77777777" w:rsidR="00226744" w:rsidRPr="00226744" w:rsidRDefault="00226744" w:rsidP="00226744">
            <w:r w:rsidRPr="00226744">
              <w:t>CCG8</w:t>
            </w:r>
          </w:p>
        </w:tc>
        <w:tc>
          <w:tcPr>
            <w:tcW w:w="1635" w:type="dxa"/>
            <w:vAlign w:val="center"/>
          </w:tcPr>
          <w:p w14:paraId="5DA78469" w14:textId="77777777" w:rsidR="00226744" w:rsidRPr="00226744" w:rsidRDefault="00226744" w:rsidP="00226744">
            <w:pPr>
              <w:jc w:val="right"/>
            </w:pPr>
            <w:r w:rsidRPr="00226744">
              <w:t>13</w:t>
            </w:r>
          </w:p>
        </w:tc>
        <w:tc>
          <w:tcPr>
            <w:tcW w:w="1378" w:type="dxa"/>
            <w:vAlign w:val="center"/>
          </w:tcPr>
          <w:p w14:paraId="7E8F8902" w14:textId="77777777" w:rsidR="00226744" w:rsidRPr="00226744" w:rsidRDefault="00226744" w:rsidP="00226744">
            <w:pPr>
              <w:jc w:val="right"/>
            </w:pPr>
            <w:r w:rsidRPr="00226744">
              <w:t>311</w:t>
            </w:r>
          </w:p>
        </w:tc>
        <w:tc>
          <w:tcPr>
            <w:tcW w:w="1403" w:type="dxa"/>
            <w:vAlign w:val="center"/>
          </w:tcPr>
          <w:p w14:paraId="6387FBE6" w14:textId="77777777" w:rsidR="00226744" w:rsidRPr="00226744" w:rsidRDefault="00226744" w:rsidP="00226744">
            <w:pPr>
              <w:jc w:val="right"/>
            </w:pPr>
            <w:r w:rsidRPr="00226744">
              <w:t>4.2%</w:t>
            </w:r>
          </w:p>
        </w:tc>
      </w:tr>
      <w:tr w:rsidR="00226744" w:rsidRPr="00226744" w14:paraId="59E5BDFC" w14:textId="77777777" w:rsidTr="00226744">
        <w:trPr>
          <w:trHeight w:val="266"/>
          <w:jc w:val="center"/>
        </w:trPr>
        <w:tc>
          <w:tcPr>
            <w:tcW w:w="1072" w:type="dxa"/>
            <w:tcBorders>
              <w:bottom w:val="single" w:sz="4" w:space="0" w:color="auto"/>
            </w:tcBorders>
            <w:vAlign w:val="center"/>
          </w:tcPr>
          <w:p w14:paraId="529E9AC2" w14:textId="77777777" w:rsidR="00226744" w:rsidRPr="00226744" w:rsidRDefault="00226744" w:rsidP="00226744">
            <w:r w:rsidRPr="00226744">
              <w:t>CCG9</w:t>
            </w:r>
          </w:p>
        </w:tc>
        <w:tc>
          <w:tcPr>
            <w:tcW w:w="1635" w:type="dxa"/>
            <w:tcBorders>
              <w:bottom w:val="single" w:sz="4" w:space="0" w:color="auto"/>
            </w:tcBorders>
            <w:vAlign w:val="center"/>
          </w:tcPr>
          <w:p w14:paraId="29A3D387" w14:textId="77777777" w:rsidR="00226744" w:rsidRPr="00226744" w:rsidRDefault="00226744" w:rsidP="00226744">
            <w:pPr>
              <w:jc w:val="right"/>
            </w:pPr>
            <w:r w:rsidRPr="00226744">
              <w:t>10</w:t>
            </w:r>
          </w:p>
        </w:tc>
        <w:tc>
          <w:tcPr>
            <w:tcW w:w="1378" w:type="dxa"/>
            <w:tcBorders>
              <w:bottom w:val="single" w:sz="4" w:space="0" w:color="auto"/>
            </w:tcBorders>
            <w:vAlign w:val="center"/>
          </w:tcPr>
          <w:p w14:paraId="0CF6ADB9" w14:textId="77777777" w:rsidR="00226744" w:rsidRPr="00226744" w:rsidRDefault="00226744" w:rsidP="00226744">
            <w:pPr>
              <w:jc w:val="right"/>
            </w:pPr>
            <w:r w:rsidRPr="00226744">
              <w:t>236</w:t>
            </w:r>
          </w:p>
        </w:tc>
        <w:tc>
          <w:tcPr>
            <w:tcW w:w="1403" w:type="dxa"/>
            <w:tcBorders>
              <w:bottom w:val="single" w:sz="4" w:space="0" w:color="auto"/>
            </w:tcBorders>
            <w:vAlign w:val="center"/>
          </w:tcPr>
          <w:p w14:paraId="6E735737" w14:textId="77777777" w:rsidR="00226744" w:rsidRPr="00226744" w:rsidRDefault="00226744" w:rsidP="00226744">
            <w:pPr>
              <w:jc w:val="right"/>
            </w:pPr>
            <w:r w:rsidRPr="00226744">
              <w:t>4.2%</w:t>
            </w:r>
          </w:p>
        </w:tc>
      </w:tr>
      <w:tr w:rsidR="00226744" w:rsidRPr="00226744" w14:paraId="4695AA7A" w14:textId="77777777" w:rsidTr="00226744">
        <w:trPr>
          <w:trHeight w:val="266"/>
          <w:jc w:val="center"/>
        </w:trPr>
        <w:tc>
          <w:tcPr>
            <w:tcW w:w="1072" w:type="dxa"/>
            <w:vAlign w:val="center"/>
          </w:tcPr>
          <w:p w14:paraId="5DB640B1" w14:textId="77777777" w:rsidR="00226744" w:rsidRPr="00226744" w:rsidRDefault="00226744" w:rsidP="00226744">
            <w:r w:rsidRPr="00226744">
              <w:t>CCG10</w:t>
            </w:r>
          </w:p>
        </w:tc>
        <w:tc>
          <w:tcPr>
            <w:tcW w:w="1635" w:type="dxa"/>
            <w:vAlign w:val="center"/>
          </w:tcPr>
          <w:p w14:paraId="33DC9F77" w14:textId="77777777" w:rsidR="00226744" w:rsidRPr="00226744" w:rsidRDefault="00226744" w:rsidP="00226744">
            <w:pPr>
              <w:jc w:val="right"/>
            </w:pPr>
            <w:r w:rsidRPr="00226744">
              <w:t>11</w:t>
            </w:r>
          </w:p>
        </w:tc>
        <w:tc>
          <w:tcPr>
            <w:tcW w:w="1378" w:type="dxa"/>
            <w:vAlign w:val="center"/>
          </w:tcPr>
          <w:p w14:paraId="31DE77EA" w14:textId="77777777" w:rsidR="00226744" w:rsidRPr="00226744" w:rsidRDefault="00226744" w:rsidP="00226744">
            <w:pPr>
              <w:jc w:val="right"/>
            </w:pPr>
            <w:r w:rsidRPr="00226744">
              <w:t>249</w:t>
            </w:r>
          </w:p>
        </w:tc>
        <w:tc>
          <w:tcPr>
            <w:tcW w:w="1403" w:type="dxa"/>
            <w:vAlign w:val="center"/>
          </w:tcPr>
          <w:p w14:paraId="3EAB2420" w14:textId="77777777" w:rsidR="00226744" w:rsidRPr="00226744" w:rsidRDefault="00226744" w:rsidP="00226744">
            <w:pPr>
              <w:jc w:val="right"/>
            </w:pPr>
            <w:r w:rsidRPr="00226744">
              <w:t>4.4%</w:t>
            </w:r>
          </w:p>
        </w:tc>
      </w:tr>
      <w:tr w:rsidR="00226744" w:rsidRPr="00226744" w14:paraId="4E7030C6" w14:textId="77777777" w:rsidTr="00226744">
        <w:trPr>
          <w:trHeight w:val="266"/>
          <w:jc w:val="center"/>
        </w:trPr>
        <w:tc>
          <w:tcPr>
            <w:tcW w:w="1072" w:type="dxa"/>
            <w:tcBorders>
              <w:left w:val="nil"/>
              <w:right w:val="nil"/>
            </w:tcBorders>
            <w:vAlign w:val="center"/>
          </w:tcPr>
          <w:p w14:paraId="76B9F5C4" w14:textId="77777777" w:rsidR="00226744" w:rsidRPr="00226744" w:rsidRDefault="00226744" w:rsidP="00226744"/>
        </w:tc>
        <w:tc>
          <w:tcPr>
            <w:tcW w:w="1635" w:type="dxa"/>
            <w:tcBorders>
              <w:left w:val="nil"/>
              <w:right w:val="nil"/>
            </w:tcBorders>
            <w:vAlign w:val="center"/>
          </w:tcPr>
          <w:p w14:paraId="57164C2C" w14:textId="77777777" w:rsidR="00226744" w:rsidRPr="00226744" w:rsidRDefault="00226744" w:rsidP="00226744">
            <w:pPr>
              <w:jc w:val="right"/>
            </w:pPr>
          </w:p>
        </w:tc>
        <w:tc>
          <w:tcPr>
            <w:tcW w:w="1378" w:type="dxa"/>
            <w:tcBorders>
              <w:left w:val="nil"/>
              <w:right w:val="nil"/>
            </w:tcBorders>
            <w:vAlign w:val="center"/>
          </w:tcPr>
          <w:p w14:paraId="0D752A73" w14:textId="77777777" w:rsidR="00226744" w:rsidRPr="00226744" w:rsidRDefault="00226744" w:rsidP="00226744">
            <w:pPr>
              <w:jc w:val="right"/>
            </w:pPr>
          </w:p>
        </w:tc>
        <w:tc>
          <w:tcPr>
            <w:tcW w:w="1403" w:type="dxa"/>
            <w:tcBorders>
              <w:left w:val="nil"/>
              <w:right w:val="nil"/>
            </w:tcBorders>
            <w:vAlign w:val="center"/>
          </w:tcPr>
          <w:p w14:paraId="62EA37EB" w14:textId="77777777" w:rsidR="00226744" w:rsidRPr="00226744" w:rsidRDefault="00226744" w:rsidP="00226744">
            <w:pPr>
              <w:jc w:val="right"/>
            </w:pPr>
          </w:p>
        </w:tc>
      </w:tr>
      <w:tr w:rsidR="00226744" w:rsidRPr="00226744" w14:paraId="49B27557" w14:textId="77777777" w:rsidTr="00226744">
        <w:trPr>
          <w:trHeight w:val="266"/>
          <w:jc w:val="center"/>
        </w:trPr>
        <w:tc>
          <w:tcPr>
            <w:tcW w:w="1072" w:type="dxa"/>
            <w:vAlign w:val="center"/>
          </w:tcPr>
          <w:p w14:paraId="410C062E" w14:textId="77777777" w:rsidR="00226744" w:rsidRPr="00226744" w:rsidRDefault="00226744" w:rsidP="00226744">
            <w:r w:rsidRPr="00226744">
              <w:rPr>
                <w:b/>
              </w:rPr>
              <w:lastRenderedPageBreak/>
              <w:t>CCG</w:t>
            </w:r>
          </w:p>
        </w:tc>
        <w:tc>
          <w:tcPr>
            <w:tcW w:w="1635" w:type="dxa"/>
          </w:tcPr>
          <w:p w14:paraId="0555DBEB" w14:textId="77777777" w:rsidR="00226744" w:rsidRPr="00226744" w:rsidRDefault="00226744" w:rsidP="00226744">
            <w:pPr>
              <w:jc w:val="right"/>
            </w:pPr>
            <w:r w:rsidRPr="00226744">
              <w:rPr>
                <w:b/>
                <w:bCs/>
                <w:lang w:eastAsia="en-GB"/>
              </w:rPr>
              <w:t>Number of readmissions within 30 days</w:t>
            </w:r>
          </w:p>
        </w:tc>
        <w:tc>
          <w:tcPr>
            <w:tcW w:w="1378" w:type="dxa"/>
          </w:tcPr>
          <w:p w14:paraId="49E28B9B" w14:textId="77777777" w:rsidR="00226744" w:rsidRPr="00226744" w:rsidRDefault="00226744" w:rsidP="00226744">
            <w:pPr>
              <w:jc w:val="right"/>
            </w:pPr>
            <w:r w:rsidRPr="00226744">
              <w:rPr>
                <w:b/>
                <w:bCs/>
                <w:lang w:eastAsia="en-GB"/>
              </w:rPr>
              <w:t>Number of discharges</w:t>
            </w:r>
          </w:p>
        </w:tc>
        <w:tc>
          <w:tcPr>
            <w:tcW w:w="1403" w:type="dxa"/>
          </w:tcPr>
          <w:p w14:paraId="13128CDB" w14:textId="77777777" w:rsidR="00226744" w:rsidRPr="00226744" w:rsidRDefault="00226744" w:rsidP="00226744">
            <w:pPr>
              <w:jc w:val="right"/>
            </w:pPr>
            <w:r w:rsidRPr="00226744">
              <w:rPr>
                <w:b/>
              </w:rPr>
              <w:t>Percentage</w:t>
            </w:r>
          </w:p>
        </w:tc>
      </w:tr>
      <w:tr w:rsidR="00226744" w:rsidRPr="00226744" w14:paraId="782139FB" w14:textId="77777777" w:rsidTr="00226744">
        <w:trPr>
          <w:trHeight w:val="266"/>
          <w:jc w:val="center"/>
        </w:trPr>
        <w:tc>
          <w:tcPr>
            <w:tcW w:w="1072" w:type="dxa"/>
            <w:vAlign w:val="center"/>
          </w:tcPr>
          <w:p w14:paraId="5E4C64E4" w14:textId="77777777" w:rsidR="00226744" w:rsidRPr="00226744" w:rsidRDefault="00226744" w:rsidP="00226744">
            <w:r w:rsidRPr="00226744">
              <w:t>CCG202</w:t>
            </w:r>
          </w:p>
        </w:tc>
        <w:tc>
          <w:tcPr>
            <w:tcW w:w="1635" w:type="dxa"/>
            <w:vAlign w:val="center"/>
          </w:tcPr>
          <w:p w14:paraId="33C77A50" w14:textId="77777777" w:rsidR="00226744" w:rsidRPr="00226744" w:rsidRDefault="00226744" w:rsidP="00226744">
            <w:pPr>
              <w:jc w:val="right"/>
            </w:pPr>
            <w:r w:rsidRPr="00226744">
              <w:t>79</w:t>
            </w:r>
          </w:p>
        </w:tc>
        <w:tc>
          <w:tcPr>
            <w:tcW w:w="1378" w:type="dxa"/>
            <w:vAlign w:val="center"/>
          </w:tcPr>
          <w:p w14:paraId="06AC0FBB" w14:textId="77777777" w:rsidR="00226744" w:rsidRPr="00226744" w:rsidRDefault="00226744" w:rsidP="00226744">
            <w:pPr>
              <w:jc w:val="right"/>
            </w:pPr>
            <w:r w:rsidRPr="00226744">
              <w:t>482</w:t>
            </w:r>
          </w:p>
        </w:tc>
        <w:tc>
          <w:tcPr>
            <w:tcW w:w="1403" w:type="dxa"/>
            <w:vAlign w:val="center"/>
          </w:tcPr>
          <w:p w14:paraId="11E4230C" w14:textId="77777777" w:rsidR="00226744" w:rsidRPr="00226744" w:rsidRDefault="00226744" w:rsidP="00226744">
            <w:pPr>
              <w:jc w:val="right"/>
            </w:pPr>
            <w:r w:rsidRPr="00226744">
              <w:t>16.4%</w:t>
            </w:r>
          </w:p>
        </w:tc>
      </w:tr>
      <w:tr w:rsidR="00226744" w:rsidRPr="00226744" w14:paraId="749BDB30" w14:textId="77777777" w:rsidTr="00226744">
        <w:trPr>
          <w:trHeight w:val="266"/>
          <w:jc w:val="center"/>
        </w:trPr>
        <w:tc>
          <w:tcPr>
            <w:tcW w:w="1072" w:type="dxa"/>
            <w:vAlign w:val="center"/>
          </w:tcPr>
          <w:p w14:paraId="2DBA3BFC" w14:textId="77777777" w:rsidR="00226744" w:rsidRPr="00226744" w:rsidRDefault="00226744" w:rsidP="00226744">
            <w:r w:rsidRPr="00226744">
              <w:t>CCG203</w:t>
            </w:r>
          </w:p>
        </w:tc>
        <w:tc>
          <w:tcPr>
            <w:tcW w:w="1635" w:type="dxa"/>
            <w:vAlign w:val="center"/>
          </w:tcPr>
          <w:p w14:paraId="5C9BF84E" w14:textId="77777777" w:rsidR="00226744" w:rsidRPr="00226744" w:rsidRDefault="00226744" w:rsidP="00226744">
            <w:pPr>
              <w:jc w:val="right"/>
            </w:pPr>
            <w:r w:rsidRPr="00226744">
              <w:t>70</w:t>
            </w:r>
          </w:p>
        </w:tc>
        <w:tc>
          <w:tcPr>
            <w:tcW w:w="1378" w:type="dxa"/>
            <w:vAlign w:val="center"/>
          </w:tcPr>
          <w:p w14:paraId="6691A64B" w14:textId="77777777" w:rsidR="00226744" w:rsidRPr="00226744" w:rsidRDefault="00226744" w:rsidP="00226744">
            <w:pPr>
              <w:jc w:val="right"/>
            </w:pPr>
            <w:r w:rsidRPr="00226744">
              <w:t>426</w:t>
            </w:r>
          </w:p>
        </w:tc>
        <w:tc>
          <w:tcPr>
            <w:tcW w:w="1403" w:type="dxa"/>
            <w:vAlign w:val="center"/>
          </w:tcPr>
          <w:p w14:paraId="7CA582E7" w14:textId="77777777" w:rsidR="00226744" w:rsidRPr="00226744" w:rsidRDefault="00226744" w:rsidP="00226744">
            <w:pPr>
              <w:jc w:val="right"/>
            </w:pPr>
            <w:r w:rsidRPr="00226744">
              <w:t>16.4%</w:t>
            </w:r>
          </w:p>
        </w:tc>
      </w:tr>
      <w:tr w:rsidR="00226744" w:rsidRPr="00226744" w14:paraId="241E94E4" w14:textId="77777777" w:rsidTr="00226744">
        <w:trPr>
          <w:trHeight w:val="266"/>
          <w:jc w:val="center"/>
        </w:trPr>
        <w:tc>
          <w:tcPr>
            <w:tcW w:w="1072" w:type="dxa"/>
            <w:vAlign w:val="center"/>
          </w:tcPr>
          <w:p w14:paraId="1A34C9A2" w14:textId="77777777" w:rsidR="00226744" w:rsidRPr="00226744" w:rsidRDefault="00226744" w:rsidP="00226744">
            <w:r w:rsidRPr="00226744">
              <w:t>CCG204</w:t>
            </w:r>
          </w:p>
        </w:tc>
        <w:tc>
          <w:tcPr>
            <w:tcW w:w="1635" w:type="dxa"/>
            <w:vAlign w:val="center"/>
          </w:tcPr>
          <w:p w14:paraId="762815CE" w14:textId="77777777" w:rsidR="00226744" w:rsidRPr="00226744" w:rsidRDefault="00226744" w:rsidP="00226744">
            <w:pPr>
              <w:jc w:val="right"/>
            </w:pPr>
            <w:r w:rsidRPr="00226744">
              <w:t>93</w:t>
            </w:r>
          </w:p>
        </w:tc>
        <w:tc>
          <w:tcPr>
            <w:tcW w:w="1378" w:type="dxa"/>
            <w:vAlign w:val="center"/>
          </w:tcPr>
          <w:p w14:paraId="7AD96463" w14:textId="77777777" w:rsidR="00226744" w:rsidRPr="00226744" w:rsidRDefault="00226744" w:rsidP="00226744">
            <w:pPr>
              <w:jc w:val="right"/>
            </w:pPr>
            <w:r w:rsidRPr="00226744">
              <w:t>559</w:t>
            </w:r>
          </w:p>
        </w:tc>
        <w:tc>
          <w:tcPr>
            <w:tcW w:w="1403" w:type="dxa"/>
            <w:vAlign w:val="center"/>
          </w:tcPr>
          <w:p w14:paraId="00ED212E" w14:textId="77777777" w:rsidR="00226744" w:rsidRPr="00226744" w:rsidRDefault="00226744" w:rsidP="00226744">
            <w:pPr>
              <w:jc w:val="right"/>
            </w:pPr>
            <w:r w:rsidRPr="00226744">
              <w:t>16.6%</w:t>
            </w:r>
          </w:p>
        </w:tc>
      </w:tr>
      <w:tr w:rsidR="00226744" w:rsidRPr="00226744" w14:paraId="29A792E3" w14:textId="77777777" w:rsidTr="00226744">
        <w:trPr>
          <w:trHeight w:val="266"/>
          <w:jc w:val="center"/>
        </w:trPr>
        <w:tc>
          <w:tcPr>
            <w:tcW w:w="1072" w:type="dxa"/>
            <w:vAlign w:val="center"/>
          </w:tcPr>
          <w:p w14:paraId="4442A4A1" w14:textId="77777777" w:rsidR="00226744" w:rsidRPr="00226744" w:rsidRDefault="00226744" w:rsidP="00226744">
            <w:r w:rsidRPr="00226744">
              <w:t>CCG205</w:t>
            </w:r>
          </w:p>
        </w:tc>
        <w:tc>
          <w:tcPr>
            <w:tcW w:w="1635" w:type="dxa"/>
            <w:vAlign w:val="center"/>
          </w:tcPr>
          <w:p w14:paraId="4BB28380" w14:textId="77777777" w:rsidR="00226744" w:rsidRPr="00226744" w:rsidRDefault="00226744" w:rsidP="00226744">
            <w:pPr>
              <w:jc w:val="right"/>
            </w:pPr>
            <w:r w:rsidRPr="00226744">
              <w:t>69</w:t>
            </w:r>
          </w:p>
        </w:tc>
        <w:tc>
          <w:tcPr>
            <w:tcW w:w="1378" w:type="dxa"/>
            <w:vAlign w:val="center"/>
          </w:tcPr>
          <w:p w14:paraId="1A6BA0EA" w14:textId="77777777" w:rsidR="00226744" w:rsidRPr="00226744" w:rsidRDefault="00226744" w:rsidP="00226744">
            <w:pPr>
              <w:jc w:val="right"/>
            </w:pPr>
            <w:r w:rsidRPr="00226744">
              <w:t>403</w:t>
            </w:r>
          </w:p>
        </w:tc>
        <w:tc>
          <w:tcPr>
            <w:tcW w:w="1403" w:type="dxa"/>
            <w:vAlign w:val="center"/>
          </w:tcPr>
          <w:p w14:paraId="2E08FB90" w14:textId="77777777" w:rsidR="00226744" w:rsidRPr="00226744" w:rsidRDefault="00226744" w:rsidP="00226744">
            <w:pPr>
              <w:jc w:val="right"/>
            </w:pPr>
            <w:r w:rsidRPr="00226744">
              <w:t>17.1%</w:t>
            </w:r>
          </w:p>
        </w:tc>
      </w:tr>
      <w:tr w:rsidR="00226744" w:rsidRPr="00226744" w14:paraId="7DB947ED" w14:textId="77777777" w:rsidTr="00226744">
        <w:trPr>
          <w:trHeight w:val="266"/>
          <w:jc w:val="center"/>
        </w:trPr>
        <w:tc>
          <w:tcPr>
            <w:tcW w:w="1072" w:type="dxa"/>
            <w:vAlign w:val="center"/>
          </w:tcPr>
          <w:p w14:paraId="1CBAE48F" w14:textId="77777777" w:rsidR="00226744" w:rsidRPr="00226744" w:rsidRDefault="00226744" w:rsidP="00226744">
            <w:r w:rsidRPr="00226744">
              <w:t>CCG206</w:t>
            </w:r>
          </w:p>
        </w:tc>
        <w:tc>
          <w:tcPr>
            <w:tcW w:w="1635" w:type="dxa"/>
            <w:vAlign w:val="center"/>
          </w:tcPr>
          <w:p w14:paraId="48DF1079" w14:textId="77777777" w:rsidR="00226744" w:rsidRPr="00226744" w:rsidRDefault="00226744" w:rsidP="00226744">
            <w:pPr>
              <w:jc w:val="right"/>
            </w:pPr>
            <w:r w:rsidRPr="00226744">
              <w:t>60</w:t>
            </w:r>
          </w:p>
        </w:tc>
        <w:tc>
          <w:tcPr>
            <w:tcW w:w="1378" w:type="dxa"/>
            <w:vAlign w:val="center"/>
          </w:tcPr>
          <w:p w14:paraId="3087D996" w14:textId="77777777" w:rsidR="00226744" w:rsidRPr="00226744" w:rsidRDefault="00226744" w:rsidP="00226744">
            <w:pPr>
              <w:jc w:val="right"/>
            </w:pPr>
            <w:r w:rsidRPr="00226744">
              <w:t>336</w:t>
            </w:r>
          </w:p>
        </w:tc>
        <w:tc>
          <w:tcPr>
            <w:tcW w:w="1403" w:type="dxa"/>
            <w:vAlign w:val="center"/>
          </w:tcPr>
          <w:p w14:paraId="66B30AFC" w14:textId="77777777" w:rsidR="00226744" w:rsidRPr="00226744" w:rsidRDefault="00226744" w:rsidP="00226744">
            <w:pPr>
              <w:jc w:val="right"/>
            </w:pPr>
            <w:r w:rsidRPr="00226744">
              <w:t>17.9%</w:t>
            </w:r>
          </w:p>
        </w:tc>
      </w:tr>
      <w:tr w:rsidR="00226744" w:rsidRPr="00226744" w14:paraId="423C22FE" w14:textId="77777777" w:rsidTr="00226744">
        <w:trPr>
          <w:trHeight w:val="266"/>
          <w:jc w:val="center"/>
        </w:trPr>
        <w:tc>
          <w:tcPr>
            <w:tcW w:w="1072" w:type="dxa"/>
            <w:vAlign w:val="center"/>
          </w:tcPr>
          <w:p w14:paraId="48093BE5" w14:textId="77777777" w:rsidR="00226744" w:rsidRPr="00226744" w:rsidRDefault="00226744" w:rsidP="00226744">
            <w:r w:rsidRPr="00226744">
              <w:t>CCG207</w:t>
            </w:r>
          </w:p>
        </w:tc>
        <w:tc>
          <w:tcPr>
            <w:tcW w:w="1635" w:type="dxa"/>
            <w:vAlign w:val="center"/>
          </w:tcPr>
          <w:p w14:paraId="254B9024" w14:textId="77777777" w:rsidR="00226744" w:rsidRPr="00226744" w:rsidRDefault="00226744" w:rsidP="00226744">
            <w:pPr>
              <w:jc w:val="right"/>
            </w:pPr>
            <w:r w:rsidRPr="00226744">
              <w:t>453</w:t>
            </w:r>
          </w:p>
        </w:tc>
        <w:tc>
          <w:tcPr>
            <w:tcW w:w="1378" w:type="dxa"/>
            <w:vAlign w:val="center"/>
          </w:tcPr>
          <w:p w14:paraId="5EE587A6" w14:textId="77777777" w:rsidR="00226744" w:rsidRPr="00226744" w:rsidRDefault="00226744" w:rsidP="00226744">
            <w:pPr>
              <w:jc w:val="right"/>
            </w:pPr>
            <w:r w:rsidRPr="00226744">
              <w:t>2510</w:t>
            </w:r>
          </w:p>
        </w:tc>
        <w:tc>
          <w:tcPr>
            <w:tcW w:w="1403" w:type="dxa"/>
            <w:vAlign w:val="center"/>
          </w:tcPr>
          <w:p w14:paraId="2691CB97" w14:textId="77777777" w:rsidR="00226744" w:rsidRPr="00226744" w:rsidRDefault="00226744" w:rsidP="00226744">
            <w:pPr>
              <w:jc w:val="right"/>
            </w:pPr>
            <w:r w:rsidRPr="00226744">
              <w:t>18.0%</w:t>
            </w:r>
          </w:p>
        </w:tc>
      </w:tr>
      <w:tr w:rsidR="00226744" w:rsidRPr="00226744" w14:paraId="216EE625" w14:textId="77777777" w:rsidTr="00226744">
        <w:trPr>
          <w:trHeight w:val="266"/>
          <w:jc w:val="center"/>
        </w:trPr>
        <w:tc>
          <w:tcPr>
            <w:tcW w:w="1072" w:type="dxa"/>
            <w:vAlign w:val="center"/>
          </w:tcPr>
          <w:p w14:paraId="18173A86" w14:textId="77777777" w:rsidR="00226744" w:rsidRPr="00226744" w:rsidRDefault="00226744" w:rsidP="00226744">
            <w:r w:rsidRPr="00226744">
              <w:t>CCG208</w:t>
            </w:r>
          </w:p>
        </w:tc>
        <w:tc>
          <w:tcPr>
            <w:tcW w:w="1635" w:type="dxa"/>
            <w:vAlign w:val="center"/>
          </w:tcPr>
          <w:p w14:paraId="4E2CEEC3" w14:textId="77777777" w:rsidR="00226744" w:rsidRPr="00226744" w:rsidRDefault="00226744" w:rsidP="00226744">
            <w:pPr>
              <w:jc w:val="right"/>
            </w:pPr>
            <w:r w:rsidRPr="00226744">
              <w:t>112</w:t>
            </w:r>
          </w:p>
        </w:tc>
        <w:tc>
          <w:tcPr>
            <w:tcW w:w="1378" w:type="dxa"/>
            <w:vAlign w:val="center"/>
          </w:tcPr>
          <w:p w14:paraId="2CD07EA4" w14:textId="77777777" w:rsidR="00226744" w:rsidRPr="00226744" w:rsidRDefault="00226744" w:rsidP="00226744">
            <w:pPr>
              <w:jc w:val="right"/>
            </w:pPr>
            <w:r w:rsidRPr="00226744">
              <w:t>610</w:t>
            </w:r>
          </w:p>
        </w:tc>
        <w:tc>
          <w:tcPr>
            <w:tcW w:w="1403" w:type="dxa"/>
            <w:vAlign w:val="center"/>
          </w:tcPr>
          <w:p w14:paraId="55971E36" w14:textId="77777777" w:rsidR="00226744" w:rsidRPr="00226744" w:rsidRDefault="00226744" w:rsidP="00226744">
            <w:pPr>
              <w:jc w:val="right"/>
            </w:pPr>
            <w:r w:rsidRPr="00226744">
              <w:t>18.4%</w:t>
            </w:r>
          </w:p>
        </w:tc>
      </w:tr>
      <w:tr w:rsidR="00226744" w:rsidRPr="00226744" w14:paraId="4C0491FC" w14:textId="77777777" w:rsidTr="00226744">
        <w:trPr>
          <w:trHeight w:val="266"/>
          <w:jc w:val="center"/>
        </w:trPr>
        <w:tc>
          <w:tcPr>
            <w:tcW w:w="1072" w:type="dxa"/>
            <w:vAlign w:val="center"/>
          </w:tcPr>
          <w:p w14:paraId="367FDBD4" w14:textId="77777777" w:rsidR="00226744" w:rsidRPr="00226744" w:rsidRDefault="00226744" w:rsidP="00226744">
            <w:r w:rsidRPr="00226744">
              <w:t>CCG209</w:t>
            </w:r>
          </w:p>
        </w:tc>
        <w:tc>
          <w:tcPr>
            <w:tcW w:w="1635" w:type="dxa"/>
            <w:vAlign w:val="center"/>
          </w:tcPr>
          <w:p w14:paraId="62212B4E" w14:textId="77777777" w:rsidR="00226744" w:rsidRPr="00226744" w:rsidRDefault="00226744" w:rsidP="00226744">
            <w:pPr>
              <w:jc w:val="right"/>
            </w:pPr>
            <w:r w:rsidRPr="00226744">
              <w:t>31</w:t>
            </w:r>
          </w:p>
        </w:tc>
        <w:tc>
          <w:tcPr>
            <w:tcW w:w="1378" w:type="dxa"/>
            <w:vAlign w:val="center"/>
          </w:tcPr>
          <w:p w14:paraId="2D8740A1" w14:textId="77777777" w:rsidR="00226744" w:rsidRPr="00226744" w:rsidRDefault="00226744" w:rsidP="00226744">
            <w:pPr>
              <w:jc w:val="right"/>
            </w:pPr>
            <w:r w:rsidRPr="00226744">
              <w:t>143</w:t>
            </w:r>
          </w:p>
        </w:tc>
        <w:tc>
          <w:tcPr>
            <w:tcW w:w="1403" w:type="dxa"/>
            <w:vAlign w:val="center"/>
          </w:tcPr>
          <w:p w14:paraId="38C72C8B" w14:textId="77777777" w:rsidR="00226744" w:rsidRPr="00226744" w:rsidRDefault="00226744" w:rsidP="00226744">
            <w:pPr>
              <w:jc w:val="right"/>
            </w:pPr>
            <w:r w:rsidRPr="00226744">
              <w:t>21.7%</w:t>
            </w:r>
          </w:p>
        </w:tc>
      </w:tr>
      <w:tr w:rsidR="00226744" w:rsidRPr="00226744" w14:paraId="5D65DE07" w14:textId="77777777" w:rsidTr="00226744">
        <w:trPr>
          <w:trHeight w:val="266"/>
          <w:jc w:val="center"/>
        </w:trPr>
        <w:tc>
          <w:tcPr>
            <w:tcW w:w="1072" w:type="dxa"/>
            <w:vAlign w:val="center"/>
          </w:tcPr>
          <w:p w14:paraId="666140F1" w14:textId="77777777" w:rsidR="00226744" w:rsidRPr="00226744" w:rsidRDefault="00226744" w:rsidP="00226744">
            <w:r w:rsidRPr="00226744">
              <w:t>CCG210</w:t>
            </w:r>
          </w:p>
        </w:tc>
        <w:tc>
          <w:tcPr>
            <w:tcW w:w="1635" w:type="dxa"/>
            <w:vAlign w:val="center"/>
          </w:tcPr>
          <w:p w14:paraId="3C0559EF" w14:textId="77777777" w:rsidR="00226744" w:rsidRPr="00226744" w:rsidRDefault="00226744" w:rsidP="00226744">
            <w:pPr>
              <w:jc w:val="right"/>
            </w:pPr>
            <w:r w:rsidRPr="00226744">
              <w:t>122</w:t>
            </w:r>
          </w:p>
        </w:tc>
        <w:tc>
          <w:tcPr>
            <w:tcW w:w="1378" w:type="dxa"/>
            <w:vAlign w:val="center"/>
          </w:tcPr>
          <w:p w14:paraId="3457ED62" w14:textId="77777777" w:rsidR="00226744" w:rsidRPr="00226744" w:rsidRDefault="00226744" w:rsidP="00226744">
            <w:pPr>
              <w:jc w:val="right"/>
            </w:pPr>
            <w:r w:rsidRPr="00226744">
              <w:t>278</w:t>
            </w:r>
          </w:p>
        </w:tc>
        <w:tc>
          <w:tcPr>
            <w:tcW w:w="1403" w:type="dxa"/>
            <w:vAlign w:val="center"/>
          </w:tcPr>
          <w:p w14:paraId="2C3A8DFD" w14:textId="77777777" w:rsidR="00226744" w:rsidRPr="00226744" w:rsidRDefault="00226744" w:rsidP="00226744">
            <w:pPr>
              <w:jc w:val="right"/>
            </w:pPr>
            <w:r w:rsidRPr="00226744">
              <w:t>43.9%</w:t>
            </w:r>
          </w:p>
        </w:tc>
      </w:tr>
      <w:tr w:rsidR="00226744" w:rsidRPr="00226744" w14:paraId="511CCB1D" w14:textId="77777777" w:rsidTr="00226744">
        <w:trPr>
          <w:trHeight w:val="266"/>
          <w:jc w:val="center"/>
        </w:trPr>
        <w:tc>
          <w:tcPr>
            <w:tcW w:w="1072" w:type="dxa"/>
            <w:vAlign w:val="center"/>
          </w:tcPr>
          <w:p w14:paraId="28039872" w14:textId="77777777" w:rsidR="00226744" w:rsidRPr="00226744" w:rsidRDefault="00226744" w:rsidP="00226744">
            <w:r w:rsidRPr="00226744">
              <w:t>CCG211</w:t>
            </w:r>
          </w:p>
        </w:tc>
        <w:tc>
          <w:tcPr>
            <w:tcW w:w="1635" w:type="dxa"/>
            <w:vAlign w:val="center"/>
          </w:tcPr>
          <w:p w14:paraId="2CFC2874" w14:textId="77777777" w:rsidR="00226744" w:rsidRPr="00226744" w:rsidRDefault="00226744" w:rsidP="00226744">
            <w:pPr>
              <w:jc w:val="right"/>
            </w:pPr>
            <w:r w:rsidRPr="00226744">
              <w:t>1131</w:t>
            </w:r>
          </w:p>
        </w:tc>
        <w:tc>
          <w:tcPr>
            <w:tcW w:w="1378" w:type="dxa"/>
            <w:vAlign w:val="center"/>
          </w:tcPr>
          <w:p w14:paraId="60A8B837" w14:textId="77777777" w:rsidR="00226744" w:rsidRPr="00226744" w:rsidRDefault="00226744" w:rsidP="00226744">
            <w:pPr>
              <w:jc w:val="right"/>
            </w:pPr>
            <w:r w:rsidRPr="00226744">
              <w:t>2531</w:t>
            </w:r>
          </w:p>
        </w:tc>
        <w:tc>
          <w:tcPr>
            <w:tcW w:w="1403" w:type="dxa"/>
            <w:vAlign w:val="center"/>
          </w:tcPr>
          <w:p w14:paraId="43AFFA29" w14:textId="77777777" w:rsidR="00226744" w:rsidRPr="00226744" w:rsidRDefault="00226744" w:rsidP="00226744">
            <w:pPr>
              <w:jc w:val="right"/>
            </w:pPr>
            <w:r w:rsidRPr="00226744">
              <w:t>44.7%</w:t>
            </w:r>
          </w:p>
        </w:tc>
      </w:tr>
    </w:tbl>
    <w:p w14:paraId="689BBB67" w14:textId="77777777" w:rsidR="00226744" w:rsidRPr="00226744" w:rsidRDefault="00226744" w:rsidP="00226744">
      <w:pPr>
        <w:spacing w:before="240"/>
      </w:pPr>
      <w:r w:rsidRPr="00226744">
        <w:t>The ISR for the number of readmissions within 30 days of a discharge from a Mental Health inpatient service for the period April 2013 to March 2014, people aged 17 and over.</w:t>
      </w:r>
    </w:p>
    <w:p w14:paraId="6B401C58" w14:textId="7C6D48BB" w:rsidR="00226744" w:rsidRPr="00226744" w:rsidRDefault="00226744">
      <w:pPr>
        <w:rPr>
          <w:b/>
        </w:rPr>
      </w:pPr>
    </w:p>
    <w:tbl>
      <w:tblPr>
        <w:tblStyle w:val="TableGrid1"/>
        <w:tblW w:w="8493" w:type="dxa"/>
        <w:tblLook w:val="04A0" w:firstRow="1" w:lastRow="0" w:firstColumn="1" w:lastColumn="0" w:noHBand="0" w:noVBand="1"/>
      </w:tblPr>
      <w:tblGrid>
        <w:gridCol w:w="1336"/>
        <w:gridCol w:w="1635"/>
        <w:gridCol w:w="1378"/>
        <w:gridCol w:w="1610"/>
        <w:gridCol w:w="1414"/>
        <w:gridCol w:w="1120"/>
      </w:tblGrid>
      <w:tr w:rsidR="00226744" w:rsidRPr="00226744" w14:paraId="6F923287" w14:textId="77777777" w:rsidTr="00226744">
        <w:trPr>
          <w:trHeight w:val="690"/>
        </w:trPr>
        <w:tc>
          <w:tcPr>
            <w:tcW w:w="1336" w:type="dxa"/>
            <w:hideMark/>
          </w:tcPr>
          <w:p w14:paraId="0868E3A2" w14:textId="77777777" w:rsidR="00226744" w:rsidRPr="00226744" w:rsidRDefault="00226744" w:rsidP="00226744">
            <w:pPr>
              <w:rPr>
                <w:b/>
                <w:bCs/>
                <w:lang w:eastAsia="en-GB"/>
              </w:rPr>
            </w:pPr>
            <w:r w:rsidRPr="00226744">
              <w:rPr>
                <w:b/>
                <w:bCs/>
                <w:lang w:eastAsia="en-GB"/>
              </w:rPr>
              <w:t>CCG</w:t>
            </w:r>
          </w:p>
        </w:tc>
        <w:tc>
          <w:tcPr>
            <w:tcW w:w="1635" w:type="dxa"/>
            <w:hideMark/>
          </w:tcPr>
          <w:p w14:paraId="3AF17586" w14:textId="77777777" w:rsidR="00226744" w:rsidRPr="00226744" w:rsidRDefault="00226744" w:rsidP="00226744">
            <w:pPr>
              <w:jc w:val="right"/>
              <w:rPr>
                <w:b/>
                <w:bCs/>
                <w:lang w:eastAsia="en-GB"/>
              </w:rPr>
            </w:pPr>
            <w:r w:rsidRPr="00226744">
              <w:rPr>
                <w:b/>
                <w:bCs/>
                <w:lang w:eastAsia="en-GB"/>
              </w:rPr>
              <w:t>Number of readmissions within 30 days</w:t>
            </w:r>
          </w:p>
        </w:tc>
        <w:tc>
          <w:tcPr>
            <w:tcW w:w="1378" w:type="dxa"/>
            <w:hideMark/>
          </w:tcPr>
          <w:p w14:paraId="5C366DF2" w14:textId="77777777" w:rsidR="00226744" w:rsidRPr="00226744" w:rsidRDefault="00226744" w:rsidP="00226744">
            <w:pPr>
              <w:jc w:val="right"/>
              <w:rPr>
                <w:b/>
                <w:bCs/>
                <w:lang w:eastAsia="en-GB"/>
              </w:rPr>
            </w:pPr>
            <w:r w:rsidRPr="00226744">
              <w:rPr>
                <w:b/>
                <w:bCs/>
                <w:lang w:eastAsia="en-GB"/>
              </w:rPr>
              <w:t>Number of discharges</w:t>
            </w:r>
          </w:p>
        </w:tc>
        <w:tc>
          <w:tcPr>
            <w:tcW w:w="1610" w:type="dxa"/>
            <w:hideMark/>
          </w:tcPr>
          <w:p w14:paraId="2F24B5B5" w14:textId="77777777" w:rsidR="00226744" w:rsidRPr="00226744" w:rsidRDefault="00226744" w:rsidP="00226744">
            <w:pPr>
              <w:jc w:val="right"/>
              <w:rPr>
                <w:b/>
                <w:bCs/>
                <w:lang w:eastAsia="en-GB"/>
              </w:rPr>
            </w:pPr>
            <w:r w:rsidRPr="00226744">
              <w:rPr>
                <w:b/>
                <w:bCs/>
                <w:lang w:eastAsia="en-GB"/>
              </w:rPr>
              <w:t>Indirectly Standardised Ratio</w:t>
            </w:r>
          </w:p>
        </w:tc>
        <w:tc>
          <w:tcPr>
            <w:tcW w:w="1414" w:type="dxa"/>
            <w:hideMark/>
          </w:tcPr>
          <w:p w14:paraId="2E5B9D99" w14:textId="11CE0DE4" w:rsidR="00226744" w:rsidRPr="00226744" w:rsidRDefault="00226744" w:rsidP="00226744">
            <w:pPr>
              <w:jc w:val="right"/>
              <w:rPr>
                <w:b/>
                <w:bCs/>
                <w:lang w:eastAsia="en-GB"/>
              </w:rPr>
            </w:pPr>
            <w:r w:rsidRPr="00226744">
              <w:rPr>
                <w:b/>
                <w:bCs/>
                <w:lang w:eastAsia="en-GB"/>
              </w:rPr>
              <w:t xml:space="preserve">95% Confidence Interval </w:t>
            </w:r>
            <w:proofErr w:type="spellStart"/>
            <w:r w:rsidRPr="00226744">
              <w:rPr>
                <w:b/>
                <w:bCs/>
                <w:lang w:eastAsia="en-GB"/>
              </w:rPr>
              <w:t>ISR</w:t>
            </w:r>
            <w:r w:rsidRPr="00226744">
              <w:rPr>
                <w:b/>
                <w:bCs/>
                <w:i/>
                <w:iCs/>
                <w:vertAlign w:val="subscript"/>
                <w:lang w:eastAsia="en-GB"/>
              </w:rPr>
              <w:t>lower</w:t>
            </w:r>
            <w:proofErr w:type="spellEnd"/>
          </w:p>
        </w:tc>
        <w:tc>
          <w:tcPr>
            <w:tcW w:w="1120" w:type="dxa"/>
            <w:hideMark/>
          </w:tcPr>
          <w:p w14:paraId="0BB9BCF1" w14:textId="77777777" w:rsidR="00226744" w:rsidRPr="00226744" w:rsidRDefault="00226744" w:rsidP="00226744">
            <w:pPr>
              <w:jc w:val="right"/>
              <w:rPr>
                <w:b/>
                <w:bCs/>
                <w:lang w:eastAsia="en-GB"/>
              </w:rPr>
            </w:pPr>
            <w:proofErr w:type="spellStart"/>
            <w:r w:rsidRPr="00226744">
              <w:rPr>
                <w:b/>
                <w:bCs/>
                <w:lang w:eastAsia="en-GB"/>
              </w:rPr>
              <w:t>ISR</w:t>
            </w:r>
            <w:r w:rsidRPr="00226744">
              <w:rPr>
                <w:b/>
                <w:bCs/>
                <w:i/>
                <w:iCs/>
                <w:vertAlign w:val="subscript"/>
                <w:lang w:eastAsia="en-GB"/>
              </w:rPr>
              <w:t>upper</w:t>
            </w:r>
            <w:proofErr w:type="spellEnd"/>
          </w:p>
        </w:tc>
      </w:tr>
      <w:tr w:rsidR="00226744" w:rsidRPr="00226744" w14:paraId="295AD7D2" w14:textId="77777777" w:rsidTr="00226744">
        <w:trPr>
          <w:trHeight w:val="300"/>
        </w:trPr>
        <w:tc>
          <w:tcPr>
            <w:tcW w:w="1336" w:type="dxa"/>
            <w:noWrap/>
            <w:hideMark/>
          </w:tcPr>
          <w:p w14:paraId="56A96219" w14:textId="77777777" w:rsidR="00226744" w:rsidRPr="00226744" w:rsidRDefault="00226744" w:rsidP="00226744">
            <w:pPr>
              <w:rPr>
                <w:b/>
                <w:bCs/>
                <w:lang w:eastAsia="en-GB"/>
              </w:rPr>
            </w:pPr>
            <w:r w:rsidRPr="00226744">
              <w:rPr>
                <w:b/>
                <w:bCs/>
                <w:lang w:eastAsia="en-GB"/>
              </w:rPr>
              <w:t>CCG1</w:t>
            </w:r>
          </w:p>
        </w:tc>
        <w:tc>
          <w:tcPr>
            <w:tcW w:w="1635" w:type="dxa"/>
            <w:noWrap/>
            <w:hideMark/>
          </w:tcPr>
          <w:p w14:paraId="3B253911" w14:textId="77777777" w:rsidR="00226744" w:rsidRPr="00226744" w:rsidRDefault="00226744" w:rsidP="00226744">
            <w:pPr>
              <w:jc w:val="right"/>
              <w:rPr>
                <w:lang w:eastAsia="en-GB"/>
              </w:rPr>
            </w:pPr>
            <w:r w:rsidRPr="00226744">
              <w:rPr>
                <w:lang w:eastAsia="en-GB"/>
              </w:rPr>
              <w:t xml:space="preserve">8 </w:t>
            </w:r>
          </w:p>
        </w:tc>
        <w:tc>
          <w:tcPr>
            <w:tcW w:w="1378" w:type="dxa"/>
            <w:noWrap/>
            <w:hideMark/>
          </w:tcPr>
          <w:p w14:paraId="1E0B0ECE" w14:textId="77777777" w:rsidR="00226744" w:rsidRPr="00226744" w:rsidRDefault="00226744" w:rsidP="00226744">
            <w:pPr>
              <w:jc w:val="right"/>
              <w:rPr>
                <w:lang w:eastAsia="en-GB"/>
              </w:rPr>
            </w:pPr>
            <w:r w:rsidRPr="00226744">
              <w:rPr>
                <w:lang w:eastAsia="en-GB"/>
              </w:rPr>
              <w:t xml:space="preserve">299 </w:t>
            </w:r>
          </w:p>
        </w:tc>
        <w:tc>
          <w:tcPr>
            <w:tcW w:w="1610" w:type="dxa"/>
            <w:noWrap/>
            <w:hideMark/>
          </w:tcPr>
          <w:p w14:paraId="2943AF35" w14:textId="77777777" w:rsidR="00226744" w:rsidRPr="00226744" w:rsidRDefault="00226744" w:rsidP="00226744">
            <w:pPr>
              <w:jc w:val="right"/>
              <w:rPr>
                <w:lang w:eastAsia="en-GB"/>
              </w:rPr>
            </w:pPr>
            <w:r w:rsidRPr="00226744">
              <w:rPr>
                <w:lang w:eastAsia="en-GB"/>
              </w:rPr>
              <w:t>25.5</w:t>
            </w:r>
          </w:p>
        </w:tc>
        <w:tc>
          <w:tcPr>
            <w:tcW w:w="1414" w:type="dxa"/>
            <w:noWrap/>
            <w:hideMark/>
          </w:tcPr>
          <w:p w14:paraId="24A54AD7" w14:textId="77777777" w:rsidR="00226744" w:rsidRPr="00226744" w:rsidRDefault="00226744" w:rsidP="00226744">
            <w:pPr>
              <w:jc w:val="right"/>
              <w:rPr>
                <w:lang w:eastAsia="en-GB"/>
              </w:rPr>
            </w:pPr>
            <w:r w:rsidRPr="00226744">
              <w:rPr>
                <w:lang w:eastAsia="en-GB"/>
              </w:rPr>
              <w:t>11.0</w:t>
            </w:r>
          </w:p>
        </w:tc>
        <w:tc>
          <w:tcPr>
            <w:tcW w:w="1120" w:type="dxa"/>
            <w:noWrap/>
            <w:hideMark/>
          </w:tcPr>
          <w:p w14:paraId="7434D1A0" w14:textId="77777777" w:rsidR="00226744" w:rsidRPr="00226744" w:rsidRDefault="00226744" w:rsidP="00226744">
            <w:pPr>
              <w:jc w:val="right"/>
              <w:rPr>
                <w:lang w:eastAsia="en-GB"/>
              </w:rPr>
            </w:pPr>
            <w:r w:rsidRPr="00226744">
              <w:rPr>
                <w:lang w:eastAsia="en-GB"/>
              </w:rPr>
              <w:t>50.3</w:t>
            </w:r>
          </w:p>
        </w:tc>
      </w:tr>
      <w:tr w:rsidR="00226744" w:rsidRPr="00226744" w14:paraId="3B67907E" w14:textId="77777777" w:rsidTr="00226744">
        <w:trPr>
          <w:trHeight w:val="300"/>
        </w:trPr>
        <w:tc>
          <w:tcPr>
            <w:tcW w:w="1336" w:type="dxa"/>
            <w:noWrap/>
            <w:hideMark/>
          </w:tcPr>
          <w:p w14:paraId="1D164DF6" w14:textId="77777777" w:rsidR="00226744" w:rsidRPr="00226744" w:rsidRDefault="00226744" w:rsidP="00226744">
            <w:pPr>
              <w:rPr>
                <w:b/>
                <w:bCs/>
                <w:lang w:eastAsia="en-GB"/>
              </w:rPr>
            </w:pPr>
            <w:r w:rsidRPr="00226744">
              <w:rPr>
                <w:b/>
                <w:bCs/>
                <w:lang w:eastAsia="en-GB"/>
              </w:rPr>
              <w:t>CCG2</w:t>
            </w:r>
          </w:p>
        </w:tc>
        <w:tc>
          <w:tcPr>
            <w:tcW w:w="1635" w:type="dxa"/>
            <w:noWrap/>
            <w:hideMark/>
          </w:tcPr>
          <w:p w14:paraId="7BB99275" w14:textId="77777777" w:rsidR="00226744" w:rsidRPr="00226744" w:rsidRDefault="00226744" w:rsidP="00226744">
            <w:pPr>
              <w:jc w:val="right"/>
              <w:rPr>
                <w:lang w:eastAsia="en-GB"/>
              </w:rPr>
            </w:pPr>
            <w:r w:rsidRPr="00226744">
              <w:rPr>
                <w:lang w:eastAsia="en-GB"/>
              </w:rPr>
              <w:t xml:space="preserve">13 </w:t>
            </w:r>
          </w:p>
        </w:tc>
        <w:tc>
          <w:tcPr>
            <w:tcW w:w="1378" w:type="dxa"/>
            <w:noWrap/>
            <w:hideMark/>
          </w:tcPr>
          <w:p w14:paraId="19348645" w14:textId="77777777" w:rsidR="00226744" w:rsidRPr="00226744" w:rsidRDefault="00226744" w:rsidP="00226744">
            <w:pPr>
              <w:jc w:val="right"/>
              <w:rPr>
                <w:lang w:eastAsia="en-GB"/>
              </w:rPr>
            </w:pPr>
            <w:r w:rsidRPr="00226744">
              <w:rPr>
                <w:lang w:eastAsia="en-GB"/>
              </w:rPr>
              <w:t xml:space="preserve">451 </w:t>
            </w:r>
          </w:p>
        </w:tc>
        <w:tc>
          <w:tcPr>
            <w:tcW w:w="1610" w:type="dxa"/>
            <w:noWrap/>
            <w:hideMark/>
          </w:tcPr>
          <w:p w14:paraId="0F0FD0F9" w14:textId="77777777" w:rsidR="00226744" w:rsidRPr="00226744" w:rsidRDefault="00226744" w:rsidP="00226744">
            <w:pPr>
              <w:jc w:val="right"/>
              <w:rPr>
                <w:lang w:eastAsia="en-GB"/>
              </w:rPr>
            </w:pPr>
            <w:r w:rsidRPr="00226744">
              <w:rPr>
                <w:lang w:eastAsia="en-GB"/>
              </w:rPr>
              <w:t>27.2</w:t>
            </w:r>
          </w:p>
        </w:tc>
        <w:tc>
          <w:tcPr>
            <w:tcW w:w="1414" w:type="dxa"/>
            <w:noWrap/>
            <w:hideMark/>
          </w:tcPr>
          <w:p w14:paraId="6CD09401" w14:textId="77777777" w:rsidR="00226744" w:rsidRPr="00226744" w:rsidRDefault="00226744" w:rsidP="00226744">
            <w:pPr>
              <w:jc w:val="right"/>
              <w:rPr>
                <w:lang w:eastAsia="en-GB"/>
              </w:rPr>
            </w:pPr>
            <w:r w:rsidRPr="00226744">
              <w:rPr>
                <w:lang w:eastAsia="en-GB"/>
              </w:rPr>
              <w:t>14.5</w:t>
            </w:r>
          </w:p>
        </w:tc>
        <w:tc>
          <w:tcPr>
            <w:tcW w:w="1120" w:type="dxa"/>
            <w:noWrap/>
            <w:hideMark/>
          </w:tcPr>
          <w:p w14:paraId="18CAE95F" w14:textId="77777777" w:rsidR="00226744" w:rsidRPr="00226744" w:rsidRDefault="00226744" w:rsidP="00226744">
            <w:pPr>
              <w:jc w:val="right"/>
              <w:rPr>
                <w:lang w:eastAsia="en-GB"/>
              </w:rPr>
            </w:pPr>
            <w:r w:rsidRPr="00226744">
              <w:rPr>
                <w:lang w:eastAsia="en-GB"/>
              </w:rPr>
              <w:t>46.5</w:t>
            </w:r>
          </w:p>
        </w:tc>
      </w:tr>
      <w:tr w:rsidR="00226744" w:rsidRPr="00226744" w14:paraId="1C3CF1DA" w14:textId="77777777" w:rsidTr="00226744">
        <w:trPr>
          <w:trHeight w:val="300"/>
        </w:trPr>
        <w:tc>
          <w:tcPr>
            <w:tcW w:w="1336" w:type="dxa"/>
            <w:noWrap/>
            <w:hideMark/>
          </w:tcPr>
          <w:p w14:paraId="0F1F0758" w14:textId="77777777" w:rsidR="00226744" w:rsidRPr="00226744" w:rsidRDefault="00226744" w:rsidP="00226744">
            <w:pPr>
              <w:rPr>
                <w:b/>
                <w:bCs/>
                <w:lang w:eastAsia="en-GB"/>
              </w:rPr>
            </w:pPr>
            <w:r w:rsidRPr="00226744">
              <w:rPr>
                <w:b/>
                <w:bCs/>
                <w:lang w:eastAsia="en-GB"/>
              </w:rPr>
              <w:t>CCG3</w:t>
            </w:r>
          </w:p>
        </w:tc>
        <w:tc>
          <w:tcPr>
            <w:tcW w:w="1635" w:type="dxa"/>
            <w:noWrap/>
            <w:hideMark/>
          </w:tcPr>
          <w:p w14:paraId="34697F14" w14:textId="77777777" w:rsidR="00226744" w:rsidRPr="00226744" w:rsidRDefault="00226744" w:rsidP="00226744">
            <w:pPr>
              <w:jc w:val="right"/>
              <w:rPr>
                <w:lang w:eastAsia="en-GB"/>
              </w:rPr>
            </w:pPr>
            <w:r w:rsidRPr="00226744">
              <w:rPr>
                <w:lang w:eastAsia="en-GB"/>
              </w:rPr>
              <w:t xml:space="preserve">2 </w:t>
            </w:r>
          </w:p>
        </w:tc>
        <w:tc>
          <w:tcPr>
            <w:tcW w:w="1378" w:type="dxa"/>
            <w:noWrap/>
            <w:hideMark/>
          </w:tcPr>
          <w:p w14:paraId="4E3D0060" w14:textId="77777777" w:rsidR="00226744" w:rsidRPr="00226744" w:rsidRDefault="00226744" w:rsidP="00226744">
            <w:pPr>
              <w:jc w:val="right"/>
              <w:rPr>
                <w:lang w:eastAsia="en-GB"/>
              </w:rPr>
            </w:pPr>
            <w:r w:rsidRPr="00226744">
              <w:rPr>
                <w:lang w:eastAsia="en-GB"/>
              </w:rPr>
              <w:t xml:space="preserve">73 </w:t>
            </w:r>
          </w:p>
        </w:tc>
        <w:tc>
          <w:tcPr>
            <w:tcW w:w="1610" w:type="dxa"/>
            <w:noWrap/>
            <w:hideMark/>
          </w:tcPr>
          <w:p w14:paraId="1544421D" w14:textId="77777777" w:rsidR="00226744" w:rsidRPr="00226744" w:rsidRDefault="00226744" w:rsidP="00226744">
            <w:pPr>
              <w:jc w:val="right"/>
              <w:rPr>
                <w:lang w:eastAsia="en-GB"/>
              </w:rPr>
            </w:pPr>
            <w:r w:rsidRPr="00226744">
              <w:rPr>
                <w:lang w:eastAsia="en-GB"/>
              </w:rPr>
              <w:t>28.2</w:t>
            </w:r>
          </w:p>
        </w:tc>
        <w:tc>
          <w:tcPr>
            <w:tcW w:w="1414" w:type="dxa"/>
            <w:noWrap/>
            <w:hideMark/>
          </w:tcPr>
          <w:p w14:paraId="76A900D6" w14:textId="77777777" w:rsidR="00226744" w:rsidRPr="00226744" w:rsidRDefault="00226744" w:rsidP="00226744">
            <w:pPr>
              <w:jc w:val="right"/>
              <w:rPr>
                <w:lang w:eastAsia="en-GB"/>
              </w:rPr>
            </w:pPr>
            <w:r w:rsidRPr="00226744">
              <w:rPr>
                <w:lang w:eastAsia="en-GB"/>
              </w:rPr>
              <w:t>3.4</w:t>
            </w:r>
          </w:p>
        </w:tc>
        <w:tc>
          <w:tcPr>
            <w:tcW w:w="1120" w:type="dxa"/>
            <w:noWrap/>
            <w:hideMark/>
          </w:tcPr>
          <w:p w14:paraId="4C921BAF" w14:textId="77777777" w:rsidR="00226744" w:rsidRPr="00226744" w:rsidRDefault="00226744" w:rsidP="00226744">
            <w:pPr>
              <w:jc w:val="right"/>
              <w:rPr>
                <w:lang w:eastAsia="en-GB"/>
              </w:rPr>
            </w:pPr>
            <w:r w:rsidRPr="00226744">
              <w:rPr>
                <w:lang w:eastAsia="en-GB"/>
              </w:rPr>
              <w:t>101.9</w:t>
            </w:r>
          </w:p>
        </w:tc>
      </w:tr>
      <w:tr w:rsidR="00226744" w:rsidRPr="00226744" w14:paraId="0A6A9C44" w14:textId="77777777" w:rsidTr="00226744">
        <w:trPr>
          <w:trHeight w:val="300"/>
        </w:trPr>
        <w:tc>
          <w:tcPr>
            <w:tcW w:w="1336" w:type="dxa"/>
            <w:noWrap/>
            <w:hideMark/>
          </w:tcPr>
          <w:p w14:paraId="6916F389" w14:textId="77777777" w:rsidR="00226744" w:rsidRPr="00226744" w:rsidRDefault="00226744" w:rsidP="00226744">
            <w:pPr>
              <w:rPr>
                <w:b/>
                <w:bCs/>
                <w:lang w:eastAsia="en-GB"/>
              </w:rPr>
            </w:pPr>
            <w:r w:rsidRPr="00226744">
              <w:rPr>
                <w:b/>
                <w:bCs/>
                <w:lang w:eastAsia="en-GB"/>
              </w:rPr>
              <w:t>CCG4</w:t>
            </w:r>
          </w:p>
        </w:tc>
        <w:tc>
          <w:tcPr>
            <w:tcW w:w="1635" w:type="dxa"/>
            <w:noWrap/>
            <w:hideMark/>
          </w:tcPr>
          <w:p w14:paraId="3089C994" w14:textId="77777777" w:rsidR="00226744" w:rsidRPr="00226744" w:rsidRDefault="00226744" w:rsidP="00226744">
            <w:pPr>
              <w:jc w:val="right"/>
              <w:rPr>
                <w:lang w:eastAsia="en-GB"/>
              </w:rPr>
            </w:pPr>
            <w:r w:rsidRPr="00226744">
              <w:rPr>
                <w:lang w:eastAsia="en-GB"/>
              </w:rPr>
              <w:t xml:space="preserve">10 </w:t>
            </w:r>
          </w:p>
        </w:tc>
        <w:tc>
          <w:tcPr>
            <w:tcW w:w="1378" w:type="dxa"/>
            <w:noWrap/>
            <w:hideMark/>
          </w:tcPr>
          <w:p w14:paraId="31070171" w14:textId="77777777" w:rsidR="00226744" w:rsidRPr="00226744" w:rsidRDefault="00226744" w:rsidP="00226744">
            <w:pPr>
              <w:jc w:val="right"/>
              <w:rPr>
                <w:lang w:eastAsia="en-GB"/>
              </w:rPr>
            </w:pPr>
            <w:r w:rsidRPr="00226744">
              <w:rPr>
                <w:lang w:eastAsia="en-GB"/>
              </w:rPr>
              <w:t xml:space="preserve">320 </w:t>
            </w:r>
          </w:p>
        </w:tc>
        <w:tc>
          <w:tcPr>
            <w:tcW w:w="1610" w:type="dxa"/>
            <w:noWrap/>
            <w:hideMark/>
          </w:tcPr>
          <w:p w14:paraId="74CF1B3F" w14:textId="77777777" w:rsidR="00226744" w:rsidRPr="00226744" w:rsidRDefault="00226744" w:rsidP="00226744">
            <w:pPr>
              <w:jc w:val="right"/>
              <w:rPr>
                <w:lang w:eastAsia="en-GB"/>
              </w:rPr>
            </w:pPr>
            <w:r w:rsidRPr="00226744">
              <w:rPr>
                <w:lang w:eastAsia="en-GB"/>
              </w:rPr>
              <w:t>32.8</w:t>
            </w:r>
          </w:p>
        </w:tc>
        <w:tc>
          <w:tcPr>
            <w:tcW w:w="1414" w:type="dxa"/>
            <w:noWrap/>
            <w:hideMark/>
          </w:tcPr>
          <w:p w14:paraId="48553FDD" w14:textId="77777777" w:rsidR="00226744" w:rsidRPr="00226744" w:rsidRDefault="00226744" w:rsidP="00226744">
            <w:pPr>
              <w:jc w:val="right"/>
              <w:rPr>
                <w:lang w:eastAsia="en-GB"/>
              </w:rPr>
            </w:pPr>
            <w:r w:rsidRPr="00226744">
              <w:rPr>
                <w:lang w:eastAsia="en-GB"/>
              </w:rPr>
              <w:t>15.7</w:t>
            </w:r>
          </w:p>
        </w:tc>
        <w:tc>
          <w:tcPr>
            <w:tcW w:w="1120" w:type="dxa"/>
            <w:noWrap/>
            <w:hideMark/>
          </w:tcPr>
          <w:p w14:paraId="097FE46B" w14:textId="77777777" w:rsidR="00226744" w:rsidRPr="00226744" w:rsidRDefault="00226744" w:rsidP="00226744">
            <w:pPr>
              <w:jc w:val="right"/>
              <w:rPr>
                <w:lang w:eastAsia="en-GB"/>
              </w:rPr>
            </w:pPr>
            <w:r w:rsidRPr="00226744">
              <w:rPr>
                <w:lang w:eastAsia="en-GB"/>
              </w:rPr>
              <w:t>60.3</w:t>
            </w:r>
          </w:p>
        </w:tc>
      </w:tr>
      <w:tr w:rsidR="00226744" w:rsidRPr="00226744" w14:paraId="0002B66A" w14:textId="77777777" w:rsidTr="00226744">
        <w:trPr>
          <w:trHeight w:val="300"/>
        </w:trPr>
        <w:tc>
          <w:tcPr>
            <w:tcW w:w="1336" w:type="dxa"/>
            <w:noWrap/>
            <w:hideMark/>
          </w:tcPr>
          <w:p w14:paraId="36F98371" w14:textId="77777777" w:rsidR="00226744" w:rsidRPr="00226744" w:rsidRDefault="00226744" w:rsidP="00226744">
            <w:pPr>
              <w:rPr>
                <w:b/>
                <w:bCs/>
                <w:lang w:eastAsia="en-GB"/>
              </w:rPr>
            </w:pPr>
            <w:r w:rsidRPr="00226744">
              <w:rPr>
                <w:b/>
                <w:bCs/>
                <w:lang w:eastAsia="en-GB"/>
              </w:rPr>
              <w:t>CCG5</w:t>
            </w:r>
          </w:p>
        </w:tc>
        <w:tc>
          <w:tcPr>
            <w:tcW w:w="1635" w:type="dxa"/>
            <w:noWrap/>
            <w:hideMark/>
          </w:tcPr>
          <w:p w14:paraId="1D345C5F" w14:textId="77777777" w:rsidR="00226744" w:rsidRPr="00226744" w:rsidRDefault="00226744" w:rsidP="00226744">
            <w:pPr>
              <w:jc w:val="right"/>
              <w:rPr>
                <w:lang w:eastAsia="en-GB"/>
              </w:rPr>
            </w:pPr>
            <w:r w:rsidRPr="00226744">
              <w:rPr>
                <w:lang w:eastAsia="en-GB"/>
              </w:rPr>
              <w:t xml:space="preserve">29 </w:t>
            </w:r>
          </w:p>
        </w:tc>
        <w:tc>
          <w:tcPr>
            <w:tcW w:w="1378" w:type="dxa"/>
            <w:noWrap/>
            <w:hideMark/>
          </w:tcPr>
          <w:p w14:paraId="7CC86593" w14:textId="77777777" w:rsidR="00226744" w:rsidRPr="00226744" w:rsidRDefault="00226744" w:rsidP="00226744">
            <w:pPr>
              <w:jc w:val="right"/>
              <w:rPr>
                <w:lang w:eastAsia="en-GB"/>
              </w:rPr>
            </w:pPr>
            <w:r w:rsidRPr="00226744">
              <w:rPr>
                <w:lang w:eastAsia="en-GB"/>
              </w:rPr>
              <w:t xml:space="preserve">761 </w:t>
            </w:r>
          </w:p>
        </w:tc>
        <w:tc>
          <w:tcPr>
            <w:tcW w:w="1610" w:type="dxa"/>
            <w:noWrap/>
            <w:hideMark/>
          </w:tcPr>
          <w:p w14:paraId="2EEDBA08" w14:textId="77777777" w:rsidR="00226744" w:rsidRPr="00226744" w:rsidRDefault="00226744" w:rsidP="00226744">
            <w:pPr>
              <w:jc w:val="right"/>
              <w:rPr>
                <w:lang w:eastAsia="en-GB"/>
              </w:rPr>
            </w:pPr>
            <w:r w:rsidRPr="00226744">
              <w:rPr>
                <w:lang w:eastAsia="en-GB"/>
              </w:rPr>
              <w:t>35.3</w:t>
            </w:r>
          </w:p>
        </w:tc>
        <w:tc>
          <w:tcPr>
            <w:tcW w:w="1414" w:type="dxa"/>
            <w:noWrap/>
            <w:hideMark/>
          </w:tcPr>
          <w:p w14:paraId="710681AC" w14:textId="77777777" w:rsidR="00226744" w:rsidRPr="00226744" w:rsidRDefault="00226744" w:rsidP="00226744">
            <w:pPr>
              <w:jc w:val="right"/>
              <w:rPr>
                <w:lang w:eastAsia="en-GB"/>
              </w:rPr>
            </w:pPr>
            <w:r w:rsidRPr="00226744">
              <w:rPr>
                <w:lang w:eastAsia="en-GB"/>
              </w:rPr>
              <w:t>23.6</w:t>
            </w:r>
          </w:p>
        </w:tc>
        <w:tc>
          <w:tcPr>
            <w:tcW w:w="1120" w:type="dxa"/>
            <w:noWrap/>
            <w:hideMark/>
          </w:tcPr>
          <w:p w14:paraId="21A9893D" w14:textId="77777777" w:rsidR="00226744" w:rsidRPr="00226744" w:rsidRDefault="00226744" w:rsidP="00226744">
            <w:pPr>
              <w:jc w:val="right"/>
              <w:rPr>
                <w:lang w:eastAsia="en-GB"/>
              </w:rPr>
            </w:pPr>
            <w:r w:rsidRPr="00226744">
              <w:rPr>
                <w:lang w:eastAsia="en-GB"/>
              </w:rPr>
              <w:t>50.7</w:t>
            </w:r>
          </w:p>
        </w:tc>
      </w:tr>
      <w:tr w:rsidR="00226744" w:rsidRPr="00226744" w14:paraId="7FFED055" w14:textId="77777777" w:rsidTr="00226744">
        <w:trPr>
          <w:trHeight w:val="300"/>
        </w:trPr>
        <w:tc>
          <w:tcPr>
            <w:tcW w:w="1336" w:type="dxa"/>
            <w:noWrap/>
            <w:hideMark/>
          </w:tcPr>
          <w:p w14:paraId="031CBE67" w14:textId="77777777" w:rsidR="00226744" w:rsidRPr="00226744" w:rsidRDefault="00226744" w:rsidP="00226744">
            <w:pPr>
              <w:rPr>
                <w:b/>
                <w:bCs/>
                <w:lang w:eastAsia="en-GB"/>
              </w:rPr>
            </w:pPr>
            <w:r w:rsidRPr="00226744">
              <w:rPr>
                <w:b/>
                <w:bCs/>
                <w:lang w:eastAsia="en-GB"/>
              </w:rPr>
              <w:t>CCG6</w:t>
            </w:r>
          </w:p>
        </w:tc>
        <w:tc>
          <w:tcPr>
            <w:tcW w:w="1635" w:type="dxa"/>
            <w:noWrap/>
            <w:hideMark/>
          </w:tcPr>
          <w:p w14:paraId="00C12A3F" w14:textId="77777777" w:rsidR="00226744" w:rsidRPr="00226744" w:rsidRDefault="00226744" w:rsidP="00226744">
            <w:pPr>
              <w:jc w:val="right"/>
              <w:rPr>
                <w:lang w:eastAsia="en-GB"/>
              </w:rPr>
            </w:pPr>
            <w:r w:rsidRPr="00226744">
              <w:rPr>
                <w:lang w:eastAsia="en-GB"/>
              </w:rPr>
              <w:t xml:space="preserve">13 </w:t>
            </w:r>
          </w:p>
        </w:tc>
        <w:tc>
          <w:tcPr>
            <w:tcW w:w="1378" w:type="dxa"/>
            <w:noWrap/>
            <w:hideMark/>
          </w:tcPr>
          <w:p w14:paraId="0D7E7660" w14:textId="77777777" w:rsidR="00226744" w:rsidRPr="00226744" w:rsidRDefault="00226744" w:rsidP="00226744">
            <w:pPr>
              <w:jc w:val="right"/>
              <w:rPr>
                <w:lang w:eastAsia="en-GB"/>
              </w:rPr>
            </w:pPr>
            <w:r w:rsidRPr="00226744">
              <w:rPr>
                <w:lang w:eastAsia="en-GB"/>
              </w:rPr>
              <w:t xml:space="preserve">311 </w:t>
            </w:r>
          </w:p>
        </w:tc>
        <w:tc>
          <w:tcPr>
            <w:tcW w:w="1610" w:type="dxa"/>
            <w:noWrap/>
            <w:hideMark/>
          </w:tcPr>
          <w:p w14:paraId="478FF6D4" w14:textId="77777777" w:rsidR="00226744" w:rsidRPr="00226744" w:rsidRDefault="00226744" w:rsidP="00226744">
            <w:pPr>
              <w:jc w:val="right"/>
              <w:rPr>
                <w:lang w:eastAsia="en-GB"/>
              </w:rPr>
            </w:pPr>
            <w:r w:rsidRPr="00226744">
              <w:rPr>
                <w:lang w:eastAsia="en-GB"/>
              </w:rPr>
              <w:t>39.2</w:t>
            </w:r>
          </w:p>
        </w:tc>
        <w:tc>
          <w:tcPr>
            <w:tcW w:w="1414" w:type="dxa"/>
            <w:noWrap/>
            <w:hideMark/>
          </w:tcPr>
          <w:p w14:paraId="78FCF095" w14:textId="77777777" w:rsidR="00226744" w:rsidRPr="00226744" w:rsidRDefault="00226744" w:rsidP="00226744">
            <w:pPr>
              <w:jc w:val="right"/>
              <w:rPr>
                <w:lang w:eastAsia="en-GB"/>
              </w:rPr>
            </w:pPr>
            <w:r w:rsidRPr="00226744">
              <w:rPr>
                <w:lang w:eastAsia="en-GB"/>
              </w:rPr>
              <w:t>20.9</w:t>
            </w:r>
          </w:p>
        </w:tc>
        <w:tc>
          <w:tcPr>
            <w:tcW w:w="1120" w:type="dxa"/>
            <w:noWrap/>
            <w:hideMark/>
          </w:tcPr>
          <w:p w14:paraId="1AA67C64" w14:textId="77777777" w:rsidR="00226744" w:rsidRPr="00226744" w:rsidRDefault="00226744" w:rsidP="00226744">
            <w:pPr>
              <w:jc w:val="right"/>
              <w:rPr>
                <w:lang w:eastAsia="en-GB"/>
              </w:rPr>
            </w:pPr>
            <w:r w:rsidRPr="00226744">
              <w:rPr>
                <w:lang w:eastAsia="en-GB"/>
              </w:rPr>
              <w:t>67.1</w:t>
            </w:r>
          </w:p>
        </w:tc>
      </w:tr>
      <w:tr w:rsidR="00226744" w:rsidRPr="00226744" w14:paraId="3832139B" w14:textId="77777777" w:rsidTr="00226744">
        <w:trPr>
          <w:trHeight w:val="300"/>
        </w:trPr>
        <w:tc>
          <w:tcPr>
            <w:tcW w:w="1336" w:type="dxa"/>
            <w:noWrap/>
            <w:hideMark/>
          </w:tcPr>
          <w:p w14:paraId="6D8B3C12" w14:textId="77777777" w:rsidR="00226744" w:rsidRPr="00226744" w:rsidRDefault="00226744" w:rsidP="00226744">
            <w:pPr>
              <w:rPr>
                <w:b/>
                <w:bCs/>
                <w:lang w:eastAsia="en-GB"/>
              </w:rPr>
            </w:pPr>
            <w:r w:rsidRPr="00226744">
              <w:rPr>
                <w:b/>
                <w:bCs/>
                <w:lang w:eastAsia="en-GB"/>
              </w:rPr>
              <w:t>CCG7</w:t>
            </w:r>
          </w:p>
        </w:tc>
        <w:tc>
          <w:tcPr>
            <w:tcW w:w="1635" w:type="dxa"/>
            <w:noWrap/>
            <w:hideMark/>
          </w:tcPr>
          <w:p w14:paraId="118C6DA9" w14:textId="77777777" w:rsidR="00226744" w:rsidRPr="00226744" w:rsidRDefault="00226744" w:rsidP="00226744">
            <w:pPr>
              <w:jc w:val="right"/>
              <w:rPr>
                <w:lang w:eastAsia="en-GB"/>
              </w:rPr>
            </w:pPr>
            <w:r w:rsidRPr="00226744">
              <w:rPr>
                <w:lang w:eastAsia="en-GB"/>
              </w:rPr>
              <w:t xml:space="preserve">9 </w:t>
            </w:r>
          </w:p>
        </w:tc>
        <w:tc>
          <w:tcPr>
            <w:tcW w:w="1378" w:type="dxa"/>
            <w:noWrap/>
            <w:hideMark/>
          </w:tcPr>
          <w:p w14:paraId="5357AE41" w14:textId="77777777" w:rsidR="00226744" w:rsidRPr="00226744" w:rsidRDefault="00226744" w:rsidP="00226744">
            <w:pPr>
              <w:jc w:val="right"/>
              <w:rPr>
                <w:lang w:eastAsia="en-GB"/>
              </w:rPr>
            </w:pPr>
            <w:r w:rsidRPr="00226744">
              <w:rPr>
                <w:lang w:eastAsia="en-GB"/>
              </w:rPr>
              <w:t xml:space="preserve">225 </w:t>
            </w:r>
          </w:p>
        </w:tc>
        <w:tc>
          <w:tcPr>
            <w:tcW w:w="1610" w:type="dxa"/>
            <w:noWrap/>
            <w:hideMark/>
          </w:tcPr>
          <w:p w14:paraId="65C4E6DA" w14:textId="77777777" w:rsidR="00226744" w:rsidRPr="00226744" w:rsidRDefault="00226744" w:rsidP="00226744">
            <w:pPr>
              <w:jc w:val="right"/>
              <w:rPr>
                <w:lang w:eastAsia="en-GB"/>
              </w:rPr>
            </w:pPr>
            <w:r w:rsidRPr="00226744">
              <w:rPr>
                <w:lang w:eastAsia="en-GB"/>
              </w:rPr>
              <w:t>40.7</w:t>
            </w:r>
          </w:p>
        </w:tc>
        <w:tc>
          <w:tcPr>
            <w:tcW w:w="1414" w:type="dxa"/>
            <w:noWrap/>
            <w:hideMark/>
          </w:tcPr>
          <w:p w14:paraId="4DD920F8" w14:textId="77777777" w:rsidR="00226744" w:rsidRPr="00226744" w:rsidRDefault="00226744" w:rsidP="00226744">
            <w:pPr>
              <w:jc w:val="right"/>
              <w:rPr>
                <w:lang w:eastAsia="en-GB"/>
              </w:rPr>
            </w:pPr>
            <w:r w:rsidRPr="00226744">
              <w:rPr>
                <w:lang w:eastAsia="en-GB"/>
              </w:rPr>
              <w:t>18.6</w:t>
            </w:r>
          </w:p>
        </w:tc>
        <w:tc>
          <w:tcPr>
            <w:tcW w:w="1120" w:type="dxa"/>
            <w:noWrap/>
            <w:hideMark/>
          </w:tcPr>
          <w:p w14:paraId="1DD2B9E4" w14:textId="77777777" w:rsidR="00226744" w:rsidRPr="00226744" w:rsidRDefault="00226744" w:rsidP="00226744">
            <w:pPr>
              <w:jc w:val="right"/>
              <w:rPr>
                <w:lang w:eastAsia="en-GB"/>
              </w:rPr>
            </w:pPr>
            <w:r w:rsidRPr="00226744">
              <w:rPr>
                <w:lang w:eastAsia="en-GB"/>
              </w:rPr>
              <w:t>77.2</w:t>
            </w:r>
          </w:p>
        </w:tc>
      </w:tr>
      <w:tr w:rsidR="00226744" w:rsidRPr="00226744" w14:paraId="41E05FDE" w14:textId="77777777" w:rsidTr="00226744">
        <w:trPr>
          <w:trHeight w:val="300"/>
        </w:trPr>
        <w:tc>
          <w:tcPr>
            <w:tcW w:w="1336" w:type="dxa"/>
            <w:noWrap/>
            <w:hideMark/>
          </w:tcPr>
          <w:p w14:paraId="7426E87D" w14:textId="77777777" w:rsidR="00226744" w:rsidRPr="00226744" w:rsidRDefault="00226744" w:rsidP="00226744">
            <w:pPr>
              <w:rPr>
                <w:b/>
                <w:bCs/>
                <w:lang w:eastAsia="en-GB"/>
              </w:rPr>
            </w:pPr>
            <w:r w:rsidRPr="00226744">
              <w:rPr>
                <w:b/>
                <w:bCs/>
                <w:lang w:eastAsia="en-GB"/>
              </w:rPr>
              <w:t>CCG8</w:t>
            </w:r>
          </w:p>
        </w:tc>
        <w:tc>
          <w:tcPr>
            <w:tcW w:w="1635" w:type="dxa"/>
            <w:noWrap/>
            <w:hideMark/>
          </w:tcPr>
          <w:p w14:paraId="13B1F2AF" w14:textId="77777777" w:rsidR="00226744" w:rsidRPr="00226744" w:rsidRDefault="00226744" w:rsidP="00226744">
            <w:pPr>
              <w:jc w:val="right"/>
              <w:rPr>
                <w:lang w:eastAsia="en-GB"/>
              </w:rPr>
            </w:pPr>
            <w:r w:rsidRPr="00226744">
              <w:rPr>
                <w:lang w:eastAsia="en-GB"/>
              </w:rPr>
              <w:t xml:space="preserve">25 </w:t>
            </w:r>
          </w:p>
        </w:tc>
        <w:tc>
          <w:tcPr>
            <w:tcW w:w="1378" w:type="dxa"/>
            <w:noWrap/>
            <w:hideMark/>
          </w:tcPr>
          <w:p w14:paraId="2CB7CD03" w14:textId="77777777" w:rsidR="00226744" w:rsidRPr="00226744" w:rsidRDefault="00226744" w:rsidP="00226744">
            <w:pPr>
              <w:jc w:val="right"/>
              <w:rPr>
                <w:lang w:eastAsia="en-GB"/>
              </w:rPr>
            </w:pPr>
            <w:r w:rsidRPr="00226744">
              <w:rPr>
                <w:lang w:eastAsia="en-GB"/>
              </w:rPr>
              <w:t xml:space="preserve">621 </w:t>
            </w:r>
          </w:p>
        </w:tc>
        <w:tc>
          <w:tcPr>
            <w:tcW w:w="1610" w:type="dxa"/>
            <w:noWrap/>
            <w:hideMark/>
          </w:tcPr>
          <w:p w14:paraId="2240B0BA" w14:textId="77777777" w:rsidR="00226744" w:rsidRPr="00226744" w:rsidRDefault="00226744" w:rsidP="00226744">
            <w:pPr>
              <w:jc w:val="right"/>
              <w:rPr>
                <w:lang w:eastAsia="en-GB"/>
              </w:rPr>
            </w:pPr>
            <w:r w:rsidRPr="00226744">
              <w:rPr>
                <w:lang w:eastAsia="en-GB"/>
              </w:rPr>
              <w:t>41.3</w:t>
            </w:r>
          </w:p>
        </w:tc>
        <w:tc>
          <w:tcPr>
            <w:tcW w:w="1414" w:type="dxa"/>
            <w:noWrap/>
            <w:hideMark/>
          </w:tcPr>
          <w:p w14:paraId="26C891BC" w14:textId="77777777" w:rsidR="00226744" w:rsidRPr="00226744" w:rsidRDefault="00226744" w:rsidP="00226744">
            <w:pPr>
              <w:jc w:val="right"/>
              <w:rPr>
                <w:lang w:eastAsia="en-GB"/>
              </w:rPr>
            </w:pPr>
            <w:r w:rsidRPr="00226744">
              <w:rPr>
                <w:lang w:eastAsia="en-GB"/>
              </w:rPr>
              <w:t>26.7</w:t>
            </w:r>
          </w:p>
        </w:tc>
        <w:tc>
          <w:tcPr>
            <w:tcW w:w="1120" w:type="dxa"/>
            <w:noWrap/>
            <w:hideMark/>
          </w:tcPr>
          <w:p w14:paraId="778B9BAE" w14:textId="77777777" w:rsidR="00226744" w:rsidRPr="00226744" w:rsidRDefault="00226744" w:rsidP="00226744">
            <w:pPr>
              <w:jc w:val="right"/>
              <w:rPr>
                <w:lang w:eastAsia="en-GB"/>
              </w:rPr>
            </w:pPr>
            <w:r w:rsidRPr="00226744">
              <w:rPr>
                <w:lang w:eastAsia="en-GB"/>
              </w:rPr>
              <w:t>61.0</w:t>
            </w:r>
          </w:p>
        </w:tc>
      </w:tr>
      <w:tr w:rsidR="00226744" w:rsidRPr="00226744" w14:paraId="0E4392A8" w14:textId="77777777" w:rsidTr="00226744">
        <w:trPr>
          <w:trHeight w:val="300"/>
        </w:trPr>
        <w:tc>
          <w:tcPr>
            <w:tcW w:w="1336" w:type="dxa"/>
            <w:noWrap/>
            <w:hideMark/>
          </w:tcPr>
          <w:p w14:paraId="57CA92A7" w14:textId="77777777" w:rsidR="00226744" w:rsidRPr="00226744" w:rsidRDefault="00226744" w:rsidP="00226744">
            <w:pPr>
              <w:rPr>
                <w:b/>
                <w:bCs/>
                <w:lang w:eastAsia="en-GB"/>
              </w:rPr>
            </w:pPr>
            <w:r w:rsidRPr="00226744">
              <w:rPr>
                <w:b/>
                <w:bCs/>
                <w:lang w:eastAsia="en-GB"/>
              </w:rPr>
              <w:t>CCG9</w:t>
            </w:r>
          </w:p>
        </w:tc>
        <w:tc>
          <w:tcPr>
            <w:tcW w:w="1635" w:type="dxa"/>
            <w:noWrap/>
            <w:hideMark/>
          </w:tcPr>
          <w:p w14:paraId="1168E3B1" w14:textId="77777777" w:rsidR="00226744" w:rsidRPr="00226744" w:rsidRDefault="00226744" w:rsidP="00226744">
            <w:pPr>
              <w:jc w:val="right"/>
              <w:rPr>
                <w:lang w:eastAsia="en-GB"/>
              </w:rPr>
            </w:pPr>
            <w:r w:rsidRPr="00226744">
              <w:rPr>
                <w:lang w:eastAsia="en-GB"/>
              </w:rPr>
              <w:t xml:space="preserve">11 </w:t>
            </w:r>
          </w:p>
        </w:tc>
        <w:tc>
          <w:tcPr>
            <w:tcW w:w="1378" w:type="dxa"/>
            <w:noWrap/>
            <w:hideMark/>
          </w:tcPr>
          <w:p w14:paraId="7FF3BAAA" w14:textId="77777777" w:rsidR="00226744" w:rsidRPr="00226744" w:rsidRDefault="00226744" w:rsidP="00226744">
            <w:pPr>
              <w:jc w:val="right"/>
              <w:rPr>
                <w:lang w:eastAsia="en-GB"/>
              </w:rPr>
            </w:pPr>
            <w:r w:rsidRPr="00226744">
              <w:rPr>
                <w:lang w:eastAsia="en-GB"/>
              </w:rPr>
              <w:t xml:space="preserve">249 </w:t>
            </w:r>
          </w:p>
        </w:tc>
        <w:tc>
          <w:tcPr>
            <w:tcW w:w="1610" w:type="dxa"/>
            <w:noWrap/>
            <w:hideMark/>
          </w:tcPr>
          <w:p w14:paraId="444D02E5" w14:textId="77777777" w:rsidR="00226744" w:rsidRPr="00226744" w:rsidRDefault="00226744" w:rsidP="00226744">
            <w:pPr>
              <w:jc w:val="right"/>
              <w:rPr>
                <w:lang w:eastAsia="en-GB"/>
              </w:rPr>
            </w:pPr>
            <w:r w:rsidRPr="00226744">
              <w:rPr>
                <w:lang w:eastAsia="en-GB"/>
              </w:rPr>
              <w:t>42.3</w:t>
            </w:r>
          </w:p>
        </w:tc>
        <w:tc>
          <w:tcPr>
            <w:tcW w:w="1414" w:type="dxa"/>
            <w:noWrap/>
            <w:hideMark/>
          </w:tcPr>
          <w:p w14:paraId="5974DDD6" w14:textId="77777777" w:rsidR="00226744" w:rsidRPr="00226744" w:rsidRDefault="00226744" w:rsidP="00226744">
            <w:pPr>
              <w:jc w:val="right"/>
              <w:rPr>
                <w:lang w:eastAsia="en-GB"/>
              </w:rPr>
            </w:pPr>
            <w:r w:rsidRPr="00226744">
              <w:rPr>
                <w:lang w:eastAsia="en-GB"/>
              </w:rPr>
              <w:t>21.1</w:t>
            </w:r>
          </w:p>
        </w:tc>
        <w:tc>
          <w:tcPr>
            <w:tcW w:w="1120" w:type="dxa"/>
            <w:noWrap/>
            <w:hideMark/>
          </w:tcPr>
          <w:p w14:paraId="736F41FE" w14:textId="77777777" w:rsidR="00226744" w:rsidRPr="00226744" w:rsidRDefault="00226744" w:rsidP="00226744">
            <w:pPr>
              <w:jc w:val="right"/>
              <w:rPr>
                <w:lang w:eastAsia="en-GB"/>
              </w:rPr>
            </w:pPr>
            <w:r w:rsidRPr="00226744">
              <w:rPr>
                <w:lang w:eastAsia="en-GB"/>
              </w:rPr>
              <w:t>75.7</w:t>
            </w:r>
          </w:p>
        </w:tc>
      </w:tr>
      <w:tr w:rsidR="00226744" w:rsidRPr="00226744" w14:paraId="35A17478" w14:textId="77777777" w:rsidTr="00226744">
        <w:trPr>
          <w:trHeight w:val="315"/>
        </w:trPr>
        <w:tc>
          <w:tcPr>
            <w:tcW w:w="1336" w:type="dxa"/>
            <w:noWrap/>
            <w:hideMark/>
          </w:tcPr>
          <w:p w14:paraId="515DE15D" w14:textId="77777777" w:rsidR="00226744" w:rsidRPr="00226744" w:rsidRDefault="00226744" w:rsidP="00226744">
            <w:pPr>
              <w:rPr>
                <w:b/>
                <w:bCs/>
                <w:lang w:eastAsia="en-GB"/>
              </w:rPr>
            </w:pPr>
            <w:r w:rsidRPr="00226744">
              <w:rPr>
                <w:b/>
                <w:bCs/>
                <w:lang w:eastAsia="en-GB"/>
              </w:rPr>
              <w:t>CCG10</w:t>
            </w:r>
          </w:p>
        </w:tc>
        <w:tc>
          <w:tcPr>
            <w:tcW w:w="1635" w:type="dxa"/>
            <w:noWrap/>
            <w:hideMark/>
          </w:tcPr>
          <w:p w14:paraId="199B9EAE" w14:textId="77777777" w:rsidR="00226744" w:rsidRPr="00226744" w:rsidRDefault="00226744" w:rsidP="00226744">
            <w:pPr>
              <w:jc w:val="right"/>
              <w:rPr>
                <w:lang w:eastAsia="en-GB"/>
              </w:rPr>
            </w:pPr>
            <w:r w:rsidRPr="00226744">
              <w:rPr>
                <w:lang w:eastAsia="en-GB"/>
              </w:rPr>
              <w:t xml:space="preserve">23 </w:t>
            </w:r>
          </w:p>
        </w:tc>
        <w:tc>
          <w:tcPr>
            <w:tcW w:w="1378" w:type="dxa"/>
            <w:noWrap/>
            <w:hideMark/>
          </w:tcPr>
          <w:p w14:paraId="0223304A" w14:textId="77777777" w:rsidR="00226744" w:rsidRPr="00226744" w:rsidRDefault="00226744" w:rsidP="00226744">
            <w:pPr>
              <w:jc w:val="right"/>
              <w:rPr>
                <w:lang w:eastAsia="en-GB"/>
              </w:rPr>
            </w:pPr>
            <w:r w:rsidRPr="00226744">
              <w:rPr>
                <w:lang w:eastAsia="en-GB"/>
              </w:rPr>
              <w:t xml:space="preserve">482 </w:t>
            </w:r>
          </w:p>
        </w:tc>
        <w:tc>
          <w:tcPr>
            <w:tcW w:w="1610" w:type="dxa"/>
            <w:noWrap/>
            <w:hideMark/>
          </w:tcPr>
          <w:p w14:paraId="1B002767" w14:textId="77777777" w:rsidR="00226744" w:rsidRPr="00226744" w:rsidRDefault="00226744" w:rsidP="00226744">
            <w:pPr>
              <w:jc w:val="right"/>
              <w:rPr>
                <w:lang w:eastAsia="en-GB"/>
              </w:rPr>
            </w:pPr>
            <w:r w:rsidRPr="00226744">
              <w:rPr>
                <w:lang w:eastAsia="en-GB"/>
              </w:rPr>
              <w:t>44.5</w:t>
            </w:r>
          </w:p>
        </w:tc>
        <w:tc>
          <w:tcPr>
            <w:tcW w:w="1414" w:type="dxa"/>
            <w:noWrap/>
            <w:hideMark/>
          </w:tcPr>
          <w:p w14:paraId="6FF46DD0" w14:textId="77777777" w:rsidR="00226744" w:rsidRPr="00226744" w:rsidRDefault="00226744" w:rsidP="00226744">
            <w:pPr>
              <w:jc w:val="right"/>
              <w:rPr>
                <w:lang w:eastAsia="en-GB"/>
              </w:rPr>
            </w:pPr>
            <w:r w:rsidRPr="00226744">
              <w:rPr>
                <w:lang w:eastAsia="en-GB"/>
              </w:rPr>
              <w:t>28.2</w:t>
            </w:r>
          </w:p>
        </w:tc>
        <w:tc>
          <w:tcPr>
            <w:tcW w:w="1120" w:type="dxa"/>
            <w:noWrap/>
            <w:hideMark/>
          </w:tcPr>
          <w:p w14:paraId="0F25BBC7" w14:textId="77777777" w:rsidR="00226744" w:rsidRPr="00226744" w:rsidRDefault="00226744" w:rsidP="00226744">
            <w:pPr>
              <w:jc w:val="right"/>
              <w:rPr>
                <w:lang w:eastAsia="en-GB"/>
              </w:rPr>
            </w:pPr>
            <w:r w:rsidRPr="00226744">
              <w:rPr>
                <w:lang w:eastAsia="en-GB"/>
              </w:rPr>
              <w:t>66.8</w:t>
            </w:r>
          </w:p>
        </w:tc>
      </w:tr>
    </w:tbl>
    <w:p w14:paraId="078C2081" w14:textId="07B5E1BF" w:rsidR="00226744" w:rsidRPr="00226744" w:rsidRDefault="00226744">
      <w:pPr>
        <w:rPr>
          <w:b/>
        </w:rPr>
      </w:pPr>
    </w:p>
    <w:p w14:paraId="67A20C57" w14:textId="6B6CBD8B" w:rsidR="00226744" w:rsidRPr="00226744" w:rsidRDefault="00226744">
      <w:pPr>
        <w:rPr>
          <w:b/>
        </w:rPr>
      </w:pPr>
      <w:r w:rsidRPr="00226744">
        <w:rPr>
          <w:b/>
          <w:bCs/>
          <w:lang w:eastAsia="en-GB"/>
        </w:rPr>
        <w:t>95% Confidence Interval</w:t>
      </w:r>
    </w:p>
    <w:tbl>
      <w:tblPr>
        <w:tblStyle w:val="TableGrid1"/>
        <w:tblW w:w="7729" w:type="dxa"/>
        <w:tblLook w:val="04A0" w:firstRow="1" w:lastRow="0" w:firstColumn="1" w:lastColumn="0" w:noHBand="0" w:noVBand="1"/>
      </w:tblPr>
      <w:tblGrid>
        <w:gridCol w:w="3323"/>
        <w:gridCol w:w="1401"/>
        <w:gridCol w:w="1186"/>
        <w:gridCol w:w="1380"/>
        <w:gridCol w:w="828"/>
        <w:gridCol w:w="847"/>
      </w:tblGrid>
      <w:tr w:rsidR="00226744" w:rsidRPr="00226744" w14:paraId="121C9507" w14:textId="77777777" w:rsidTr="00226744">
        <w:trPr>
          <w:trHeight w:val="690"/>
        </w:trPr>
        <w:tc>
          <w:tcPr>
            <w:tcW w:w="3939" w:type="dxa"/>
            <w:hideMark/>
          </w:tcPr>
          <w:p w14:paraId="4CE07963" w14:textId="77777777" w:rsidR="00226744" w:rsidRPr="00226744" w:rsidRDefault="00226744" w:rsidP="00226744">
            <w:pPr>
              <w:rPr>
                <w:b/>
                <w:bCs/>
                <w:lang w:eastAsia="en-GB"/>
              </w:rPr>
            </w:pPr>
            <w:r w:rsidRPr="00226744">
              <w:rPr>
                <w:b/>
                <w:bCs/>
                <w:lang w:eastAsia="en-GB"/>
              </w:rPr>
              <w:t>CCG</w:t>
            </w:r>
          </w:p>
        </w:tc>
        <w:tc>
          <w:tcPr>
            <w:tcW w:w="998" w:type="dxa"/>
            <w:hideMark/>
          </w:tcPr>
          <w:p w14:paraId="5A9DA2C8" w14:textId="77777777" w:rsidR="00226744" w:rsidRPr="00226744" w:rsidRDefault="00226744" w:rsidP="00226744">
            <w:pPr>
              <w:jc w:val="right"/>
              <w:rPr>
                <w:b/>
                <w:bCs/>
                <w:lang w:eastAsia="en-GB"/>
              </w:rPr>
            </w:pPr>
            <w:r w:rsidRPr="00226744">
              <w:rPr>
                <w:b/>
                <w:bCs/>
                <w:lang w:eastAsia="en-GB"/>
              </w:rPr>
              <w:t>Number of readmissions within 30 days</w:t>
            </w:r>
          </w:p>
        </w:tc>
        <w:tc>
          <w:tcPr>
            <w:tcW w:w="857" w:type="dxa"/>
            <w:hideMark/>
          </w:tcPr>
          <w:p w14:paraId="6C7AA7FF" w14:textId="77777777" w:rsidR="00226744" w:rsidRPr="00226744" w:rsidRDefault="00226744" w:rsidP="00226744">
            <w:pPr>
              <w:jc w:val="right"/>
              <w:rPr>
                <w:b/>
                <w:bCs/>
                <w:lang w:eastAsia="en-GB"/>
              </w:rPr>
            </w:pPr>
            <w:r w:rsidRPr="00226744">
              <w:rPr>
                <w:b/>
                <w:bCs/>
                <w:lang w:eastAsia="en-GB"/>
              </w:rPr>
              <w:t>Number of discharges</w:t>
            </w:r>
          </w:p>
        </w:tc>
        <w:tc>
          <w:tcPr>
            <w:tcW w:w="985" w:type="dxa"/>
            <w:hideMark/>
          </w:tcPr>
          <w:p w14:paraId="388BDD92" w14:textId="77777777" w:rsidR="00226744" w:rsidRPr="00226744" w:rsidRDefault="00226744" w:rsidP="00226744">
            <w:pPr>
              <w:jc w:val="right"/>
              <w:rPr>
                <w:b/>
                <w:bCs/>
                <w:lang w:eastAsia="en-GB"/>
              </w:rPr>
            </w:pPr>
            <w:r w:rsidRPr="00226744">
              <w:rPr>
                <w:b/>
                <w:bCs/>
                <w:lang w:eastAsia="en-GB"/>
              </w:rPr>
              <w:t>Indirectly Standardised Ratio</w:t>
            </w:r>
          </w:p>
        </w:tc>
        <w:tc>
          <w:tcPr>
            <w:tcW w:w="714" w:type="dxa"/>
            <w:hideMark/>
          </w:tcPr>
          <w:p w14:paraId="68BFEE4C" w14:textId="77777777" w:rsidR="00226744" w:rsidRPr="00226744" w:rsidRDefault="00226744" w:rsidP="00226744">
            <w:pPr>
              <w:jc w:val="right"/>
              <w:rPr>
                <w:b/>
                <w:bCs/>
                <w:lang w:eastAsia="en-GB"/>
              </w:rPr>
            </w:pPr>
            <w:proofErr w:type="spellStart"/>
            <w:r w:rsidRPr="00226744">
              <w:rPr>
                <w:b/>
                <w:bCs/>
                <w:lang w:eastAsia="en-GB"/>
              </w:rPr>
              <w:t>ISR</w:t>
            </w:r>
            <w:r w:rsidRPr="00226744">
              <w:rPr>
                <w:b/>
                <w:bCs/>
                <w:i/>
                <w:iCs/>
                <w:vertAlign w:val="subscript"/>
                <w:lang w:eastAsia="en-GB"/>
              </w:rPr>
              <w:t>lower</w:t>
            </w:r>
            <w:proofErr w:type="spellEnd"/>
          </w:p>
        </w:tc>
        <w:tc>
          <w:tcPr>
            <w:tcW w:w="236" w:type="dxa"/>
            <w:hideMark/>
          </w:tcPr>
          <w:p w14:paraId="2625C5A8" w14:textId="77777777" w:rsidR="00226744" w:rsidRPr="00226744" w:rsidRDefault="00226744" w:rsidP="00226744">
            <w:pPr>
              <w:jc w:val="right"/>
              <w:rPr>
                <w:b/>
                <w:bCs/>
                <w:lang w:eastAsia="en-GB"/>
              </w:rPr>
            </w:pPr>
            <w:proofErr w:type="spellStart"/>
            <w:r w:rsidRPr="00226744">
              <w:rPr>
                <w:b/>
                <w:bCs/>
                <w:lang w:eastAsia="en-GB"/>
              </w:rPr>
              <w:t>ISR</w:t>
            </w:r>
            <w:r w:rsidRPr="00226744">
              <w:rPr>
                <w:b/>
                <w:bCs/>
                <w:i/>
                <w:iCs/>
                <w:vertAlign w:val="subscript"/>
                <w:lang w:eastAsia="en-GB"/>
              </w:rPr>
              <w:t>upper</w:t>
            </w:r>
            <w:proofErr w:type="spellEnd"/>
          </w:p>
        </w:tc>
      </w:tr>
      <w:tr w:rsidR="00226744" w:rsidRPr="00226744" w14:paraId="353FF032" w14:textId="77777777" w:rsidTr="00226744">
        <w:trPr>
          <w:trHeight w:val="300"/>
        </w:trPr>
        <w:tc>
          <w:tcPr>
            <w:tcW w:w="3939" w:type="dxa"/>
            <w:noWrap/>
            <w:hideMark/>
          </w:tcPr>
          <w:p w14:paraId="6D8DDC98" w14:textId="77777777" w:rsidR="00226744" w:rsidRPr="00226744" w:rsidRDefault="00226744" w:rsidP="00226744">
            <w:pPr>
              <w:rPr>
                <w:b/>
                <w:bCs/>
                <w:lang w:eastAsia="en-GB"/>
              </w:rPr>
            </w:pPr>
            <w:r w:rsidRPr="00226744">
              <w:rPr>
                <w:b/>
                <w:bCs/>
                <w:lang w:eastAsia="en-GB"/>
              </w:rPr>
              <w:t>CCG202</w:t>
            </w:r>
          </w:p>
        </w:tc>
        <w:tc>
          <w:tcPr>
            <w:tcW w:w="998" w:type="dxa"/>
            <w:noWrap/>
            <w:hideMark/>
          </w:tcPr>
          <w:p w14:paraId="7654B61E" w14:textId="77777777" w:rsidR="00226744" w:rsidRPr="00226744" w:rsidRDefault="00226744" w:rsidP="00226744">
            <w:pPr>
              <w:jc w:val="right"/>
              <w:rPr>
                <w:lang w:eastAsia="en-GB"/>
              </w:rPr>
            </w:pPr>
            <w:r w:rsidRPr="00226744">
              <w:rPr>
                <w:lang w:eastAsia="en-GB"/>
              </w:rPr>
              <w:t xml:space="preserve">93 </w:t>
            </w:r>
          </w:p>
        </w:tc>
        <w:tc>
          <w:tcPr>
            <w:tcW w:w="857" w:type="dxa"/>
            <w:noWrap/>
            <w:hideMark/>
          </w:tcPr>
          <w:p w14:paraId="2ADB8354" w14:textId="77777777" w:rsidR="00226744" w:rsidRPr="00226744" w:rsidRDefault="00226744" w:rsidP="00226744">
            <w:pPr>
              <w:jc w:val="right"/>
              <w:rPr>
                <w:lang w:eastAsia="en-GB"/>
              </w:rPr>
            </w:pPr>
            <w:r w:rsidRPr="00226744">
              <w:rPr>
                <w:lang w:eastAsia="en-GB"/>
              </w:rPr>
              <w:t xml:space="preserve">559 </w:t>
            </w:r>
          </w:p>
        </w:tc>
        <w:tc>
          <w:tcPr>
            <w:tcW w:w="985" w:type="dxa"/>
            <w:noWrap/>
            <w:hideMark/>
          </w:tcPr>
          <w:p w14:paraId="4249ECAE" w14:textId="77777777" w:rsidR="00226744" w:rsidRPr="00226744" w:rsidRDefault="00226744" w:rsidP="00226744">
            <w:pPr>
              <w:jc w:val="right"/>
              <w:rPr>
                <w:lang w:eastAsia="en-GB"/>
              </w:rPr>
            </w:pPr>
            <w:r w:rsidRPr="00226744">
              <w:rPr>
                <w:lang w:eastAsia="en-GB"/>
              </w:rPr>
              <w:t>161.8</w:t>
            </w:r>
          </w:p>
        </w:tc>
        <w:tc>
          <w:tcPr>
            <w:tcW w:w="714" w:type="dxa"/>
            <w:noWrap/>
            <w:hideMark/>
          </w:tcPr>
          <w:p w14:paraId="2909ADC6" w14:textId="77777777" w:rsidR="00226744" w:rsidRPr="00226744" w:rsidRDefault="00226744" w:rsidP="00226744">
            <w:pPr>
              <w:jc w:val="right"/>
              <w:rPr>
                <w:lang w:eastAsia="en-GB"/>
              </w:rPr>
            </w:pPr>
            <w:r w:rsidRPr="00226744">
              <w:rPr>
                <w:lang w:eastAsia="en-GB"/>
              </w:rPr>
              <w:t>130.6</w:t>
            </w:r>
          </w:p>
        </w:tc>
        <w:tc>
          <w:tcPr>
            <w:tcW w:w="236" w:type="dxa"/>
            <w:noWrap/>
            <w:hideMark/>
          </w:tcPr>
          <w:p w14:paraId="735C413F" w14:textId="77777777" w:rsidR="00226744" w:rsidRPr="00226744" w:rsidRDefault="00226744" w:rsidP="00226744">
            <w:pPr>
              <w:jc w:val="right"/>
              <w:rPr>
                <w:lang w:eastAsia="en-GB"/>
              </w:rPr>
            </w:pPr>
            <w:r w:rsidRPr="00226744">
              <w:rPr>
                <w:lang w:eastAsia="en-GB"/>
              </w:rPr>
              <w:t>198.3</w:t>
            </w:r>
          </w:p>
        </w:tc>
      </w:tr>
      <w:tr w:rsidR="00226744" w:rsidRPr="00226744" w14:paraId="236A77FF" w14:textId="77777777" w:rsidTr="00226744">
        <w:trPr>
          <w:trHeight w:val="300"/>
        </w:trPr>
        <w:tc>
          <w:tcPr>
            <w:tcW w:w="3939" w:type="dxa"/>
            <w:noWrap/>
            <w:hideMark/>
          </w:tcPr>
          <w:p w14:paraId="70EE6DA0" w14:textId="77777777" w:rsidR="00226744" w:rsidRPr="00226744" w:rsidRDefault="00226744" w:rsidP="00226744">
            <w:pPr>
              <w:rPr>
                <w:b/>
                <w:bCs/>
                <w:lang w:eastAsia="en-GB"/>
              </w:rPr>
            </w:pPr>
            <w:r w:rsidRPr="00226744">
              <w:rPr>
                <w:b/>
                <w:bCs/>
                <w:lang w:eastAsia="en-GB"/>
              </w:rPr>
              <w:t>CCG203</w:t>
            </w:r>
          </w:p>
        </w:tc>
        <w:tc>
          <w:tcPr>
            <w:tcW w:w="998" w:type="dxa"/>
            <w:noWrap/>
            <w:hideMark/>
          </w:tcPr>
          <w:p w14:paraId="05F08D90" w14:textId="77777777" w:rsidR="00226744" w:rsidRPr="00226744" w:rsidRDefault="00226744" w:rsidP="00226744">
            <w:pPr>
              <w:jc w:val="right"/>
              <w:rPr>
                <w:lang w:eastAsia="en-GB"/>
              </w:rPr>
            </w:pPr>
            <w:r w:rsidRPr="00226744">
              <w:rPr>
                <w:lang w:eastAsia="en-GB"/>
              </w:rPr>
              <w:t xml:space="preserve">453 </w:t>
            </w:r>
          </w:p>
        </w:tc>
        <w:tc>
          <w:tcPr>
            <w:tcW w:w="857" w:type="dxa"/>
            <w:noWrap/>
            <w:hideMark/>
          </w:tcPr>
          <w:p w14:paraId="7873794B" w14:textId="77777777" w:rsidR="00226744" w:rsidRPr="00226744" w:rsidRDefault="00226744" w:rsidP="00226744">
            <w:pPr>
              <w:jc w:val="right"/>
              <w:rPr>
                <w:lang w:eastAsia="en-GB"/>
              </w:rPr>
            </w:pPr>
            <w:r w:rsidRPr="00226744">
              <w:rPr>
                <w:lang w:eastAsia="en-GB"/>
              </w:rPr>
              <w:t xml:space="preserve">2,510 </w:t>
            </w:r>
          </w:p>
        </w:tc>
        <w:tc>
          <w:tcPr>
            <w:tcW w:w="985" w:type="dxa"/>
            <w:noWrap/>
            <w:hideMark/>
          </w:tcPr>
          <w:p w14:paraId="010123FE" w14:textId="77777777" w:rsidR="00226744" w:rsidRPr="00226744" w:rsidRDefault="00226744" w:rsidP="00226744">
            <w:pPr>
              <w:jc w:val="right"/>
              <w:rPr>
                <w:lang w:eastAsia="en-GB"/>
              </w:rPr>
            </w:pPr>
            <w:r w:rsidRPr="00226744">
              <w:rPr>
                <w:lang w:eastAsia="en-GB"/>
              </w:rPr>
              <w:t>164.1</w:t>
            </w:r>
          </w:p>
        </w:tc>
        <w:tc>
          <w:tcPr>
            <w:tcW w:w="714" w:type="dxa"/>
            <w:noWrap/>
            <w:hideMark/>
          </w:tcPr>
          <w:p w14:paraId="23CE7090" w14:textId="77777777" w:rsidR="00226744" w:rsidRPr="00226744" w:rsidRDefault="00226744" w:rsidP="00226744">
            <w:pPr>
              <w:jc w:val="right"/>
              <w:rPr>
                <w:lang w:eastAsia="en-GB"/>
              </w:rPr>
            </w:pPr>
            <w:r w:rsidRPr="00226744">
              <w:rPr>
                <w:lang w:eastAsia="en-GB"/>
              </w:rPr>
              <w:t>149.4</w:t>
            </w:r>
          </w:p>
        </w:tc>
        <w:tc>
          <w:tcPr>
            <w:tcW w:w="236" w:type="dxa"/>
            <w:noWrap/>
            <w:hideMark/>
          </w:tcPr>
          <w:p w14:paraId="41C0FB03" w14:textId="77777777" w:rsidR="00226744" w:rsidRPr="00226744" w:rsidRDefault="00226744" w:rsidP="00226744">
            <w:pPr>
              <w:jc w:val="right"/>
              <w:rPr>
                <w:lang w:eastAsia="en-GB"/>
              </w:rPr>
            </w:pPr>
            <w:r w:rsidRPr="00226744">
              <w:rPr>
                <w:lang w:eastAsia="en-GB"/>
              </w:rPr>
              <w:t>180.0</w:t>
            </w:r>
          </w:p>
        </w:tc>
      </w:tr>
      <w:tr w:rsidR="00226744" w:rsidRPr="00226744" w14:paraId="4BBE338B" w14:textId="77777777" w:rsidTr="00226744">
        <w:trPr>
          <w:trHeight w:val="300"/>
        </w:trPr>
        <w:tc>
          <w:tcPr>
            <w:tcW w:w="3939" w:type="dxa"/>
            <w:noWrap/>
            <w:hideMark/>
          </w:tcPr>
          <w:p w14:paraId="468A41F6" w14:textId="77777777" w:rsidR="00226744" w:rsidRPr="00226744" w:rsidRDefault="00226744" w:rsidP="00226744">
            <w:pPr>
              <w:rPr>
                <w:b/>
                <w:bCs/>
                <w:lang w:eastAsia="en-GB"/>
              </w:rPr>
            </w:pPr>
            <w:r w:rsidRPr="00226744">
              <w:rPr>
                <w:b/>
                <w:bCs/>
                <w:lang w:eastAsia="en-GB"/>
              </w:rPr>
              <w:t>CCG204</w:t>
            </w:r>
          </w:p>
        </w:tc>
        <w:tc>
          <w:tcPr>
            <w:tcW w:w="998" w:type="dxa"/>
            <w:noWrap/>
            <w:hideMark/>
          </w:tcPr>
          <w:p w14:paraId="4111496B" w14:textId="77777777" w:rsidR="00226744" w:rsidRPr="00226744" w:rsidRDefault="00226744" w:rsidP="00226744">
            <w:pPr>
              <w:jc w:val="right"/>
              <w:rPr>
                <w:lang w:eastAsia="en-GB"/>
              </w:rPr>
            </w:pPr>
            <w:r w:rsidRPr="00226744">
              <w:rPr>
                <w:lang w:eastAsia="en-GB"/>
              </w:rPr>
              <w:t xml:space="preserve">79 </w:t>
            </w:r>
          </w:p>
        </w:tc>
        <w:tc>
          <w:tcPr>
            <w:tcW w:w="857" w:type="dxa"/>
            <w:noWrap/>
            <w:hideMark/>
          </w:tcPr>
          <w:p w14:paraId="4F3A598C" w14:textId="77777777" w:rsidR="00226744" w:rsidRPr="00226744" w:rsidRDefault="00226744" w:rsidP="00226744">
            <w:pPr>
              <w:jc w:val="right"/>
              <w:rPr>
                <w:lang w:eastAsia="en-GB"/>
              </w:rPr>
            </w:pPr>
            <w:r w:rsidRPr="00226744">
              <w:rPr>
                <w:lang w:eastAsia="en-GB"/>
              </w:rPr>
              <w:t xml:space="preserve">482 </w:t>
            </w:r>
          </w:p>
        </w:tc>
        <w:tc>
          <w:tcPr>
            <w:tcW w:w="985" w:type="dxa"/>
            <w:noWrap/>
            <w:hideMark/>
          </w:tcPr>
          <w:p w14:paraId="0C8A3B3C" w14:textId="77777777" w:rsidR="00226744" w:rsidRPr="00226744" w:rsidRDefault="00226744" w:rsidP="00226744">
            <w:pPr>
              <w:jc w:val="right"/>
              <w:rPr>
                <w:lang w:eastAsia="en-GB"/>
              </w:rPr>
            </w:pPr>
            <w:r w:rsidRPr="00226744">
              <w:rPr>
                <w:lang w:eastAsia="en-GB"/>
              </w:rPr>
              <w:t>164.5</w:t>
            </w:r>
          </w:p>
        </w:tc>
        <w:tc>
          <w:tcPr>
            <w:tcW w:w="714" w:type="dxa"/>
            <w:noWrap/>
            <w:hideMark/>
          </w:tcPr>
          <w:p w14:paraId="2E0F2B70" w14:textId="77777777" w:rsidR="00226744" w:rsidRPr="00226744" w:rsidRDefault="00226744" w:rsidP="00226744">
            <w:pPr>
              <w:jc w:val="right"/>
              <w:rPr>
                <w:lang w:eastAsia="en-GB"/>
              </w:rPr>
            </w:pPr>
            <w:r w:rsidRPr="00226744">
              <w:rPr>
                <w:lang w:eastAsia="en-GB"/>
              </w:rPr>
              <w:t>130.2</w:t>
            </w:r>
          </w:p>
        </w:tc>
        <w:tc>
          <w:tcPr>
            <w:tcW w:w="236" w:type="dxa"/>
            <w:noWrap/>
            <w:hideMark/>
          </w:tcPr>
          <w:p w14:paraId="17023BD6" w14:textId="77777777" w:rsidR="00226744" w:rsidRPr="00226744" w:rsidRDefault="00226744" w:rsidP="00226744">
            <w:pPr>
              <w:jc w:val="right"/>
              <w:rPr>
                <w:lang w:eastAsia="en-GB"/>
              </w:rPr>
            </w:pPr>
            <w:r w:rsidRPr="00226744">
              <w:rPr>
                <w:lang w:eastAsia="en-GB"/>
              </w:rPr>
              <w:t>205.0</w:t>
            </w:r>
          </w:p>
        </w:tc>
      </w:tr>
      <w:tr w:rsidR="00226744" w:rsidRPr="00226744" w14:paraId="0FA77D7A" w14:textId="77777777" w:rsidTr="00226744">
        <w:trPr>
          <w:trHeight w:val="300"/>
        </w:trPr>
        <w:tc>
          <w:tcPr>
            <w:tcW w:w="3939" w:type="dxa"/>
            <w:noWrap/>
            <w:hideMark/>
          </w:tcPr>
          <w:p w14:paraId="5ACC3B2E" w14:textId="77777777" w:rsidR="00226744" w:rsidRPr="00226744" w:rsidRDefault="00226744" w:rsidP="00226744">
            <w:pPr>
              <w:rPr>
                <w:b/>
                <w:bCs/>
                <w:lang w:eastAsia="en-GB"/>
              </w:rPr>
            </w:pPr>
            <w:r w:rsidRPr="00226744">
              <w:rPr>
                <w:b/>
                <w:bCs/>
                <w:lang w:eastAsia="en-GB"/>
              </w:rPr>
              <w:t>CCG205</w:t>
            </w:r>
          </w:p>
        </w:tc>
        <w:tc>
          <w:tcPr>
            <w:tcW w:w="998" w:type="dxa"/>
            <w:noWrap/>
            <w:hideMark/>
          </w:tcPr>
          <w:p w14:paraId="68072BD3" w14:textId="77777777" w:rsidR="00226744" w:rsidRPr="00226744" w:rsidRDefault="00226744" w:rsidP="00226744">
            <w:pPr>
              <w:jc w:val="right"/>
              <w:rPr>
                <w:lang w:eastAsia="en-GB"/>
              </w:rPr>
            </w:pPr>
            <w:r w:rsidRPr="00226744">
              <w:rPr>
                <w:lang w:eastAsia="en-GB"/>
              </w:rPr>
              <w:t xml:space="preserve">70 </w:t>
            </w:r>
          </w:p>
        </w:tc>
        <w:tc>
          <w:tcPr>
            <w:tcW w:w="857" w:type="dxa"/>
            <w:noWrap/>
            <w:hideMark/>
          </w:tcPr>
          <w:p w14:paraId="76292EDE" w14:textId="77777777" w:rsidR="00226744" w:rsidRPr="00226744" w:rsidRDefault="00226744" w:rsidP="00226744">
            <w:pPr>
              <w:jc w:val="right"/>
              <w:rPr>
                <w:lang w:eastAsia="en-GB"/>
              </w:rPr>
            </w:pPr>
            <w:r w:rsidRPr="00226744">
              <w:rPr>
                <w:lang w:eastAsia="en-GB"/>
              </w:rPr>
              <w:t xml:space="preserve">426 </w:t>
            </w:r>
          </w:p>
        </w:tc>
        <w:tc>
          <w:tcPr>
            <w:tcW w:w="985" w:type="dxa"/>
            <w:noWrap/>
            <w:hideMark/>
          </w:tcPr>
          <w:p w14:paraId="24F7E619" w14:textId="77777777" w:rsidR="00226744" w:rsidRPr="00226744" w:rsidRDefault="00226744" w:rsidP="00226744">
            <w:pPr>
              <w:jc w:val="right"/>
              <w:rPr>
                <w:lang w:eastAsia="en-GB"/>
              </w:rPr>
            </w:pPr>
            <w:r w:rsidRPr="00226744">
              <w:rPr>
                <w:lang w:eastAsia="en-GB"/>
              </w:rPr>
              <w:t>167.8</w:t>
            </w:r>
          </w:p>
        </w:tc>
        <w:tc>
          <w:tcPr>
            <w:tcW w:w="714" w:type="dxa"/>
            <w:noWrap/>
            <w:hideMark/>
          </w:tcPr>
          <w:p w14:paraId="554312D7" w14:textId="77777777" w:rsidR="00226744" w:rsidRPr="00226744" w:rsidRDefault="00226744" w:rsidP="00226744">
            <w:pPr>
              <w:jc w:val="right"/>
              <w:rPr>
                <w:lang w:eastAsia="en-GB"/>
              </w:rPr>
            </w:pPr>
            <w:r w:rsidRPr="00226744">
              <w:rPr>
                <w:lang w:eastAsia="en-GB"/>
              </w:rPr>
              <w:t>130.8</w:t>
            </w:r>
          </w:p>
        </w:tc>
        <w:tc>
          <w:tcPr>
            <w:tcW w:w="236" w:type="dxa"/>
            <w:noWrap/>
            <w:hideMark/>
          </w:tcPr>
          <w:p w14:paraId="0936A012" w14:textId="77777777" w:rsidR="00226744" w:rsidRPr="00226744" w:rsidRDefault="00226744" w:rsidP="00226744">
            <w:pPr>
              <w:jc w:val="right"/>
              <w:rPr>
                <w:lang w:eastAsia="en-GB"/>
              </w:rPr>
            </w:pPr>
            <w:r w:rsidRPr="00226744">
              <w:rPr>
                <w:lang w:eastAsia="en-GB"/>
              </w:rPr>
              <w:t>212.1</w:t>
            </w:r>
          </w:p>
        </w:tc>
      </w:tr>
      <w:tr w:rsidR="00226744" w:rsidRPr="00226744" w14:paraId="0E0E6681" w14:textId="77777777" w:rsidTr="00226744">
        <w:trPr>
          <w:trHeight w:val="300"/>
        </w:trPr>
        <w:tc>
          <w:tcPr>
            <w:tcW w:w="3939" w:type="dxa"/>
            <w:noWrap/>
            <w:hideMark/>
          </w:tcPr>
          <w:p w14:paraId="278567DF" w14:textId="77777777" w:rsidR="00226744" w:rsidRPr="00226744" w:rsidRDefault="00226744" w:rsidP="00226744">
            <w:pPr>
              <w:rPr>
                <w:b/>
                <w:bCs/>
                <w:lang w:eastAsia="en-GB"/>
              </w:rPr>
            </w:pPr>
            <w:r w:rsidRPr="00226744">
              <w:rPr>
                <w:b/>
                <w:bCs/>
                <w:lang w:eastAsia="en-GB"/>
              </w:rPr>
              <w:t>CCG206</w:t>
            </w:r>
          </w:p>
        </w:tc>
        <w:tc>
          <w:tcPr>
            <w:tcW w:w="998" w:type="dxa"/>
            <w:noWrap/>
            <w:hideMark/>
          </w:tcPr>
          <w:p w14:paraId="43EE927B" w14:textId="77777777" w:rsidR="00226744" w:rsidRPr="00226744" w:rsidRDefault="00226744" w:rsidP="00226744">
            <w:pPr>
              <w:jc w:val="right"/>
              <w:rPr>
                <w:lang w:eastAsia="en-GB"/>
              </w:rPr>
            </w:pPr>
            <w:r w:rsidRPr="00226744">
              <w:rPr>
                <w:lang w:eastAsia="en-GB"/>
              </w:rPr>
              <w:t xml:space="preserve">60 </w:t>
            </w:r>
          </w:p>
        </w:tc>
        <w:tc>
          <w:tcPr>
            <w:tcW w:w="857" w:type="dxa"/>
            <w:noWrap/>
            <w:hideMark/>
          </w:tcPr>
          <w:p w14:paraId="32764290" w14:textId="77777777" w:rsidR="00226744" w:rsidRPr="00226744" w:rsidRDefault="00226744" w:rsidP="00226744">
            <w:pPr>
              <w:jc w:val="right"/>
              <w:rPr>
                <w:lang w:eastAsia="en-GB"/>
              </w:rPr>
            </w:pPr>
            <w:r w:rsidRPr="00226744">
              <w:rPr>
                <w:lang w:eastAsia="en-GB"/>
              </w:rPr>
              <w:t xml:space="preserve">336 </w:t>
            </w:r>
          </w:p>
        </w:tc>
        <w:tc>
          <w:tcPr>
            <w:tcW w:w="985" w:type="dxa"/>
            <w:noWrap/>
            <w:hideMark/>
          </w:tcPr>
          <w:p w14:paraId="7DE46BE5" w14:textId="77777777" w:rsidR="00226744" w:rsidRPr="00226744" w:rsidRDefault="00226744" w:rsidP="00226744">
            <w:pPr>
              <w:jc w:val="right"/>
              <w:rPr>
                <w:lang w:eastAsia="en-GB"/>
              </w:rPr>
            </w:pPr>
            <w:r w:rsidRPr="00226744">
              <w:rPr>
                <w:lang w:eastAsia="en-GB"/>
              </w:rPr>
              <w:t>173.2</w:t>
            </w:r>
          </w:p>
        </w:tc>
        <w:tc>
          <w:tcPr>
            <w:tcW w:w="714" w:type="dxa"/>
            <w:noWrap/>
            <w:hideMark/>
          </w:tcPr>
          <w:p w14:paraId="3F0C2B60" w14:textId="77777777" w:rsidR="00226744" w:rsidRPr="00226744" w:rsidRDefault="00226744" w:rsidP="00226744">
            <w:pPr>
              <w:jc w:val="right"/>
              <w:rPr>
                <w:lang w:eastAsia="en-GB"/>
              </w:rPr>
            </w:pPr>
            <w:r w:rsidRPr="00226744">
              <w:rPr>
                <w:lang w:eastAsia="en-GB"/>
              </w:rPr>
              <w:t>132.1</w:t>
            </w:r>
          </w:p>
        </w:tc>
        <w:tc>
          <w:tcPr>
            <w:tcW w:w="236" w:type="dxa"/>
            <w:noWrap/>
            <w:hideMark/>
          </w:tcPr>
          <w:p w14:paraId="50E8CD07" w14:textId="77777777" w:rsidR="00226744" w:rsidRPr="00226744" w:rsidRDefault="00226744" w:rsidP="00226744">
            <w:pPr>
              <w:jc w:val="right"/>
              <w:rPr>
                <w:lang w:eastAsia="en-GB"/>
              </w:rPr>
            </w:pPr>
            <w:r w:rsidRPr="00226744">
              <w:rPr>
                <w:lang w:eastAsia="en-GB"/>
              </w:rPr>
              <w:t>222.9</w:t>
            </w:r>
          </w:p>
        </w:tc>
      </w:tr>
      <w:tr w:rsidR="00226744" w:rsidRPr="00226744" w14:paraId="31AABA59" w14:textId="77777777" w:rsidTr="00226744">
        <w:trPr>
          <w:trHeight w:val="300"/>
        </w:trPr>
        <w:tc>
          <w:tcPr>
            <w:tcW w:w="3939" w:type="dxa"/>
            <w:noWrap/>
            <w:hideMark/>
          </w:tcPr>
          <w:p w14:paraId="597F17FC" w14:textId="77777777" w:rsidR="00226744" w:rsidRPr="00226744" w:rsidRDefault="00226744" w:rsidP="00226744">
            <w:pPr>
              <w:rPr>
                <w:b/>
                <w:bCs/>
                <w:lang w:eastAsia="en-GB"/>
              </w:rPr>
            </w:pPr>
            <w:r w:rsidRPr="00226744">
              <w:rPr>
                <w:b/>
                <w:bCs/>
                <w:lang w:eastAsia="en-GB"/>
              </w:rPr>
              <w:t>CCG207</w:t>
            </w:r>
          </w:p>
        </w:tc>
        <w:tc>
          <w:tcPr>
            <w:tcW w:w="998" w:type="dxa"/>
            <w:noWrap/>
            <w:hideMark/>
          </w:tcPr>
          <w:p w14:paraId="7BC8166E" w14:textId="77777777" w:rsidR="00226744" w:rsidRPr="00226744" w:rsidRDefault="00226744" w:rsidP="00226744">
            <w:pPr>
              <w:jc w:val="right"/>
              <w:rPr>
                <w:lang w:eastAsia="en-GB"/>
              </w:rPr>
            </w:pPr>
            <w:r w:rsidRPr="00226744">
              <w:rPr>
                <w:lang w:eastAsia="en-GB"/>
              </w:rPr>
              <w:t xml:space="preserve">69 </w:t>
            </w:r>
          </w:p>
        </w:tc>
        <w:tc>
          <w:tcPr>
            <w:tcW w:w="857" w:type="dxa"/>
            <w:noWrap/>
            <w:hideMark/>
          </w:tcPr>
          <w:p w14:paraId="46116BC7" w14:textId="77777777" w:rsidR="00226744" w:rsidRPr="00226744" w:rsidRDefault="00226744" w:rsidP="00226744">
            <w:pPr>
              <w:jc w:val="right"/>
              <w:rPr>
                <w:lang w:eastAsia="en-GB"/>
              </w:rPr>
            </w:pPr>
            <w:r w:rsidRPr="00226744">
              <w:rPr>
                <w:lang w:eastAsia="en-GB"/>
              </w:rPr>
              <w:t xml:space="preserve">403 </w:t>
            </w:r>
          </w:p>
        </w:tc>
        <w:tc>
          <w:tcPr>
            <w:tcW w:w="985" w:type="dxa"/>
            <w:noWrap/>
            <w:hideMark/>
          </w:tcPr>
          <w:p w14:paraId="256087D6" w14:textId="77777777" w:rsidR="00226744" w:rsidRPr="00226744" w:rsidRDefault="00226744" w:rsidP="00226744">
            <w:pPr>
              <w:jc w:val="right"/>
              <w:rPr>
                <w:lang w:eastAsia="en-GB"/>
              </w:rPr>
            </w:pPr>
            <w:r w:rsidRPr="00226744">
              <w:rPr>
                <w:lang w:eastAsia="en-GB"/>
              </w:rPr>
              <w:t>174.0</w:t>
            </w:r>
          </w:p>
        </w:tc>
        <w:tc>
          <w:tcPr>
            <w:tcW w:w="714" w:type="dxa"/>
            <w:noWrap/>
            <w:hideMark/>
          </w:tcPr>
          <w:p w14:paraId="0347EEB8" w14:textId="77777777" w:rsidR="00226744" w:rsidRPr="00226744" w:rsidRDefault="00226744" w:rsidP="00226744">
            <w:pPr>
              <w:jc w:val="right"/>
              <w:rPr>
                <w:lang w:eastAsia="en-GB"/>
              </w:rPr>
            </w:pPr>
            <w:r w:rsidRPr="00226744">
              <w:rPr>
                <w:lang w:eastAsia="en-GB"/>
              </w:rPr>
              <w:t>135.4</w:t>
            </w:r>
          </w:p>
        </w:tc>
        <w:tc>
          <w:tcPr>
            <w:tcW w:w="236" w:type="dxa"/>
            <w:noWrap/>
            <w:hideMark/>
          </w:tcPr>
          <w:p w14:paraId="799DB160" w14:textId="77777777" w:rsidR="00226744" w:rsidRPr="00226744" w:rsidRDefault="00226744" w:rsidP="00226744">
            <w:pPr>
              <w:jc w:val="right"/>
              <w:rPr>
                <w:lang w:eastAsia="en-GB"/>
              </w:rPr>
            </w:pPr>
            <w:r w:rsidRPr="00226744">
              <w:rPr>
                <w:lang w:eastAsia="en-GB"/>
              </w:rPr>
              <w:t>220.2</w:t>
            </w:r>
          </w:p>
        </w:tc>
      </w:tr>
      <w:tr w:rsidR="00226744" w:rsidRPr="00226744" w14:paraId="24E333D3" w14:textId="77777777" w:rsidTr="00226744">
        <w:trPr>
          <w:trHeight w:val="300"/>
        </w:trPr>
        <w:tc>
          <w:tcPr>
            <w:tcW w:w="3939" w:type="dxa"/>
            <w:noWrap/>
            <w:hideMark/>
          </w:tcPr>
          <w:p w14:paraId="7DBBA64B" w14:textId="77777777" w:rsidR="00226744" w:rsidRPr="00226744" w:rsidRDefault="00226744" w:rsidP="00226744">
            <w:pPr>
              <w:rPr>
                <w:b/>
                <w:bCs/>
                <w:lang w:eastAsia="en-GB"/>
              </w:rPr>
            </w:pPr>
            <w:r w:rsidRPr="00226744">
              <w:rPr>
                <w:b/>
                <w:bCs/>
                <w:lang w:eastAsia="en-GB"/>
              </w:rPr>
              <w:t>CCG208</w:t>
            </w:r>
          </w:p>
        </w:tc>
        <w:tc>
          <w:tcPr>
            <w:tcW w:w="998" w:type="dxa"/>
            <w:noWrap/>
            <w:hideMark/>
          </w:tcPr>
          <w:p w14:paraId="22E793C4" w14:textId="77777777" w:rsidR="00226744" w:rsidRPr="00226744" w:rsidRDefault="00226744" w:rsidP="00226744">
            <w:pPr>
              <w:jc w:val="right"/>
              <w:rPr>
                <w:lang w:eastAsia="en-GB"/>
              </w:rPr>
            </w:pPr>
            <w:r w:rsidRPr="00226744">
              <w:rPr>
                <w:lang w:eastAsia="en-GB"/>
              </w:rPr>
              <w:t xml:space="preserve">112 </w:t>
            </w:r>
          </w:p>
        </w:tc>
        <w:tc>
          <w:tcPr>
            <w:tcW w:w="857" w:type="dxa"/>
            <w:noWrap/>
            <w:hideMark/>
          </w:tcPr>
          <w:p w14:paraId="291C9E3F" w14:textId="77777777" w:rsidR="00226744" w:rsidRPr="00226744" w:rsidRDefault="00226744" w:rsidP="00226744">
            <w:pPr>
              <w:jc w:val="right"/>
              <w:rPr>
                <w:lang w:eastAsia="en-GB"/>
              </w:rPr>
            </w:pPr>
            <w:r w:rsidRPr="00226744">
              <w:rPr>
                <w:lang w:eastAsia="en-GB"/>
              </w:rPr>
              <w:t xml:space="preserve">610 </w:t>
            </w:r>
          </w:p>
        </w:tc>
        <w:tc>
          <w:tcPr>
            <w:tcW w:w="985" w:type="dxa"/>
            <w:noWrap/>
            <w:hideMark/>
          </w:tcPr>
          <w:p w14:paraId="49EF9AC5" w14:textId="77777777" w:rsidR="00226744" w:rsidRPr="00226744" w:rsidRDefault="00226744" w:rsidP="00226744">
            <w:pPr>
              <w:jc w:val="right"/>
              <w:rPr>
                <w:lang w:eastAsia="en-GB"/>
              </w:rPr>
            </w:pPr>
            <w:r w:rsidRPr="00226744">
              <w:rPr>
                <w:lang w:eastAsia="en-GB"/>
              </w:rPr>
              <w:t>175.3</w:t>
            </w:r>
          </w:p>
        </w:tc>
        <w:tc>
          <w:tcPr>
            <w:tcW w:w="714" w:type="dxa"/>
            <w:noWrap/>
            <w:hideMark/>
          </w:tcPr>
          <w:p w14:paraId="08116723" w14:textId="77777777" w:rsidR="00226744" w:rsidRPr="00226744" w:rsidRDefault="00226744" w:rsidP="00226744">
            <w:pPr>
              <w:jc w:val="right"/>
              <w:rPr>
                <w:lang w:eastAsia="en-GB"/>
              </w:rPr>
            </w:pPr>
            <w:r w:rsidRPr="00226744">
              <w:rPr>
                <w:lang w:eastAsia="en-GB"/>
              </w:rPr>
              <w:t>144.3</w:t>
            </w:r>
          </w:p>
        </w:tc>
        <w:tc>
          <w:tcPr>
            <w:tcW w:w="236" w:type="dxa"/>
            <w:noWrap/>
            <w:hideMark/>
          </w:tcPr>
          <w:p w14:paraId="1EAE6EF3" w14:textId="77777777" w:rsidR="00226744" w:rsidRPr="00226744" w:rsidRDefault="00226744" w:rsidP="00226744">
            <w:pPr>
              <w:jc w:val="right"/>
              <w:rPr>
                <w:lang w:eastAsia="en-GB"/>
              </w:rPr>
            </w:pPr>
            <w:r w:rsidRPr="00226744">
              <w:rPr>
                <w:lang w:eastAsia="en-GB"/>
              </w:rPr>
              <w:t>210.9</w:t>
            </w:r>
          </w:p>
        </w:tc>
      </w:tr>
      <w:tr w:rsidR="00226744" w:rsidRPr="00226744" w14:paraId="3B5E7654" w14:textId="77777777" w:rsidTr="00226744">
        <w:trPr>
          <w:trHeight w:val="300"/>
        </w:trPr>
        <w:tc>
          <w:tcPr>
            <w:tcW w:w="3939" w:type="dxa"/>
            <w:noWrap/>
            <w:hideMark/>
          </w:tcPr>
          <w:p w14:paraId="3B47ED6F" w14:textId="77777777" w:rsidR="00226744" w:rsidRPr="00226744" w:rsidRDefault="00226744" w:rsidP="00226744">
            <w:pPr>
              <w:rPr>
                <w:b/>
                <w:bCs/>
                <w:lang w:eastAsia="en-GB"/>
              </w:rPr>
            </w:pPr>
            <w:r w:rsidRPr="00226744">
              <w:rPr>
                <w:b/>
                <w:bCs/>
                <w:lang w:eastAsia="en-GB"/>
              </w:rPr>
              <w:t>CCG209</w:t>
            </w:r>
          </w:p>
        </w:tc>
        <w:tc>
          <w:tcPr>
            <w:tcW w:w="998" w:type="dxa"/>
            <w:noWrap/>
            <w:hideMark/>
          </w:tcPr>
          <w:p w14:paraId="516C959D" w14:textId="77777777" w:rsidR="00226744" w:rsidRPr="00226744" w:rsidRDefault="00226744" w:rsidP="00226744">
            <w:pPr>
              <w:jc w:val="right"/>
              <w:rPr>
                <w:lang w:eastAsia="en-GB"/>
              </w:rPr>
            </w:pPr>
            <w:r w:rsidRPr="00226744">
              <w:rPr>
                <w:lang w:eastAsia="en-GB"/>
              </w:rPr>
              <w:t xml:space="preserve">31 </w:t>
            </w:r>
          </w:p>
        </w:tc>
        <w:tc>
          <w:tcPr>
            <w:tcW w:w="857" w:type="dxa"/>
            <w:noWrap/>
            <w:hideMark/>
          </w:tcPr>
          <w:p w14:paraId="4DB47D27" w14:textId="77777777" w:rsidR="00226744" w:rsidRPr="00226744" w:rsidRDefault="00226744" w:rsidP="00226744">
            <w:pPr>
              <w:jc w:val="right"/>
              <w:rPr>
                <w:lang w:eastAsia="en-GB"/>
              </w:rPr>
            </w:pPr>
            <w:r w:rsidRPr="00226744">
              <w:rPr>
                <w:lang w:eastAsia="en-GB"/>
              </w:rPr>
              <w:t xml:space="preserve">143 </w:t>
            </w:r>
          </w:p>
        </w:tc>
        <w:tc>
          <w:tcPr>
            <w:tcW w:w="985" w:type="dxa"/>
            <w:noWrap/>
            <w:hideMark/>
          </w:tcPr>
          <w:p w14:paraId="20322832" w14:textId="77777777" w:rsidR="00226744" w:rsidRPr="00226744" w:rsidRDefault="00226744" w:rsidP="00226744">
            <w:pPr>
              <w:jc w:val="right"/>
              <w:rPr>
                <w:lang w:eastAsia="en-GB"/>
              </w:rPr>
            </w:pPr>
            <w:r w:rsidRPr="00226744">
              <w:rPr>
                <w:lang w:eastAsia="en-GB"/>
              </w:rPr>
              <w:t>242.0</w:t>
            </w:r>
          </w:p>
        </w:tc>
        <w:tc>
          <w:tcPr>
            <w:tcW w:w="714" w:type="dxa"/>
            <w:noWrap/>
            <w:hideMark/>
          </w:tcPr>
          <w:p w14:paraId="3F3CD6A3" w14:textId="77777777" w:rsidR="00226744" w:rsidRPr="00226744" w:rsidRDefault="00226744" w:rsidP="00226744">
            <w:pPr>
              <w:jc w:val="right"/>
              <w:rPr>
                <w:lang w:eastAsia="en-GB"/>
              </w:rPr>
            </w:pPr>
            <w:r w:rsidRPr="00226744">
              <w:rPr>
                <w:lang w:eastAsia="en-GB"/>
              </w:rPr>
              <w:t>164.4</w:t>
            </w:r>
          </w:p>
        </w:tc>
        <w:tc>
          <w:tcPr>
            <w:tcW w:w="236" w:type="dxa"/>
            <w:noWrap/>
            <w:hideMark/>
          </w:tcPr>
          <w:p w14:paraId="1C030834" w14:textId="77777777" w:rsidR="00226744" w:rsidRPr="00226744" w:rsidRDefault="00226744" w:rsidP="00226744">
            <w:pPr>
              <w:jc w:val="right"/>
              <w:rPr>
                <w:lang w:eastAsia="en-GB"/>
              </w:rPr>
            </w:pPr>
            <w:r w:rsidRPr="00226744">
              <w:rPr>
                <w:lang w:eastAsia="en-GB"/>
              </w:rPr>
              <w:t>343.5</w:t>
            </w:r>
          </w:p>
        </w:tc>
      </w:tr>
      <w:tr w:rsidR="00226744" w:rsidRPr="00226744" w14:paraId="0B5075BE" w14:textId="77777777" w:rsidTr="00226744">
        <w:trPr>
          <w:trHeight w:val="300"/>
        </w:trPr>
        <w:tc>
          <w:tcPr>
            <w:tcW w:w="3939" w:type="dxa"/>
            <w:noWrap/>
            <w:hideMark/>
          </w:tcPr>
          <w:p w14:paraId="31EE3A46" w14:textId="77777777" w:rsidR="00226744" w:rsidRPr="00226744" w:rsidRDefault="00226744" w:rsidP="00226744">
            <w:pPr>
              <w:rPr>
                <w:b/>
                <w:bCs/>
                <w:lang w:eastAsia="en-GB"/>
              </w:rPr>
            </w:pPr>
            <w:r w:rsidRPr="00226744">
              <w:rPr>
                <w:b/>
                <w:bCs/>
                <w:lang w:eastAsia="en-GB"/>
              </w:rPr>
              <w:lastRenderedPageBreak/>
              <w:t>CCG210</w:t>
            </w:r>
          </w:p>
        </w:tc>
        <w:tc>
          <w:tcPr>
            <w:tcW w:w="998" w:type="dxa"/>
            <w:noWrap/>
            <w:hideMark/>
          </w:tcPr>
          <w:p w14:paraId="1B3E6D64" w14:textId="77777777" w:rsidR="00226744" w:rsidRPr="00226744" w:rsidRDefault="00226744" w:rsidP="00226744">
            <w:pPr>
              <w:jc w:val="right"/>
              <w:rPr>
                <w:lang w:eastAsia="en-GB"/>
              </w:rPr>
            </w:pPr>
            <w:r w:rsidRPr="00226744">
              <w:rPr>
                <w:lang w:eastAsia="en-GB"/>
              </w:rPr>
              <w:t xml:space="preserve">122 </w:t>
            </w:r>
          </w:p>
        </w:tc>
        <w:tc>
          <w:tcPr>
            <w:tcW w:w="857" w:type="dxa"/>
            <w:noWrap/>
            <w:hideMark/>
          </w:tcPr>
          <w:p w14:paraId="44F766A0" w14:textId="77777777" w:rsidR="00226744" w:rsidRPr="00226744" w:rsidRDefault="00226744" w:rsidP="00226744">
            <w:pPr>
              <w:jc w:val="right"/>
              <w:rPr>
                <w:lang w:eastAsia="en-GB"/>
              </w:rPr>
            </w:pPr>
            <w:r w:rsidRPr="00226744">
              <w:rPr>
                <w:lang w:eastAsia="en-GB"/>
              </w:rPr>
              <w:t xml:space="preserve">278 </w:t>
            </w:r>
          </w:p>
        </w:tc>
        <w:tc>
          <w:tcPr>
            <w:tcW w:w="985" w:type="dxa"/>
            <w:noWrap/>
            <w:hideMark/>
          </w:tcPr>
          <w:p w14:paraId="6228E509" w14:textId="77777777" w:rsidR="00226744" w:rsidRPr="00226744" w:rsidRDefault="00226744" w:rsidP="00226744">
            <w:pPr>
              <w:jc w:val="right"/>
              <w:rPr>
                <w:lang w:eastAsia="en-GB"/>
              </w:rPr>
            </w:pPr>
            <w:r w:rsidRPr="00226744">
              <w:rPr>
                <w:lang w:eastAsia="en-GB"/>
              </w:rPr>
              <w:t>383.9</w:t>
            </w:r>
          </w:p>
        </w:tc>
        <w:tc>
          <w:tcPr>
            <w:tcW w:w="714" w:type="dxa"/>
            <w:noWrap/>
            <w:hideMark/>
          </w:tcPr>
          <w:p w14:paraId="55E76D19" w14:textId="77777777" w:rsidR="00226744" w:rsidRPr="00226744" w:rsidRDefault="00226744" w:rsidP="00226744">
            <w:pPr>
              <w:jc w:val="right"/>
              <w:rPr>
                <w:lang w:eastAsia="en-GB"/>
              </w:rPr>
            </w:pPr>
            <w:r w:rsidRPr="00226744">
              <w:rPr>
                <w:lang w:eastAsia="en-GB"/>
              </w:rPr>
              <w:t>318.8</w:t>
            </w:r>
          </w:p>
        </w:tc>
        <w:tc>
          <w:tcPr>
            <w:tcW w:w="236" w:type="dxa"/>
            <w:noWrap/>
            <w:hideMark/>
          </w:tcPr>
          <w:p w14:paraId="2A514854" w14:textId="77777777" w:rsidR="00226744" w:rsidRPr="00226744" w:rsidRDefault="00226744" w:rsidP="00226744">
            <w:pPr>
              <w:jc w:val="right"/>
              <w:rPr>
                <w:lang w:eastAsia="en-GB"/>
              </w:rPr>
            </w:pPr>
            <w:r w:rsidRPr="00226744">
              <w:rPr>
                <w:lang w:eastAsia="en-GB"/>
              </w:rPr>
              <w:t>458.3</w:t>
            </w:r>
          </w:p>
        </w:tc>
      </w:tr>
      <w:tr w:rsidR="00226744" w:rsidRPr="00226744" w14:paraId="70C6AF65" w14:textId="77777777" w:rsidTr="00226744">
        <w:trPr>
          <w:trHeight w:val="315"/>
        </w:trPr>
        <w:tc>
          <w:tcPr>
            <w:tcW w:w="3939" w:type="dxa"/>
            <w:noWrap/>
            <w:hideMark/>
          </w:tcPr>
          <w:p w14:paraId="28C1A87B" w14:textId="77777777" w:rsidR="00226744" w:rsidRPr="00226744" w:rsidRDefault="00226744" w:rsidP="00226744">
            <w:pPr>
              <w:rPr>
                <w:b/>
                <w:bCs/>
                <w:lang w:eastAsia="en-GB"/>
              </w:rPr>
            </w:pPr>
            <w:r w:rsidRPr="00226744">
              <w:rPr>
                <w:b/>
                <w:bCs/>
                <w:lang w:eastAsia="en-GB"/>
              </w:rPr>
              <w:t>CCG211</w:t>
            </w:r>
          </w:p>
        </w:tc>
        <w:tc>
          <w:tcPr>
            <w:tcW w:w="998" w:type="dxa"/>
            <w:noWrap/>
            <w:hideMark/>
          </w:tcPr>
          <w:p w14:paraId="286941D7" w14:textId="77777777" w:rsidR="00226744" w:rsidRPr="00226744" w:rsidRDefault="00226744" w:rsidP="00226744">
            <w:pPr>
              <w:jc w:val="right"/>
              <w:rPr>
                <w:lang w:eastAsia="en-GB"/>
              </w:rPr>
            </w:pPr>
            <w:r w:rsidRPr="00226744">
              <w:rPr>
                <w:lang w:eastAsia="en-GB"/>
              </w:rPr>
              <w:t xml:space="preserve">1,131 </w:t>
            </w:r>
          </w:p>
        </w:tc>
        <w:tc>
          <w:tcPr>
            <w:tcW w:w="857" w:type="dxa"/>
            <w:noWrap/>
            <w:hideMark/>
          </w:tcPr>
          <w:p w14:paraId="690F8FB2" w14:textId="77777777" w:rsidR="00226744" w:rsidRPr="00226744" w:rsidRDefault="00226744" w:rsidP="00226744">
            <w:pPr>
              <w:jc w:val="right"/>
              <w:rPr>
                <w:lang w:eastAsia="en-GB"/>
              </w:rPr>
            </w:pPr>
            <w:r w:rsidRPr="00226744">
              <w:rPr>
                <w:lang w:eastAsia="en-GB"/>
              </w:rPr>
              <w:t xml:space="preserve">2,531 </w:t>
            </w:r>
          </w:p>
        </w:tc>
        <w:tc>
          <w:tcPr>
            <w:tcW w:w="985" w:type="dxa"/>
            <w:noWrap/>
            <w:hideMark/>
          </w:tcPr>
          <w:p w14:paraId="1508A185" w14:textId="77777777" w:rsidR="00226744" w:rsidRPr="00226744" w:rsidRDefault="00226744" w:rsidP="00226744">
            <w:pPr>
              <w:jc w:val="right"/>
              <w:rPr>
                <w:lang w:eastAsia="en-GB"/>
              </w:rPr>
            </w:pPr>
            <w:r w:rsidRPr="00226744">
              <w:rPr>
                <w:lang w:eastAsia="en-GB"/>
              </w:rPr>
              <w:t>399.6</w:t>
            </w:r>
          </w:p>
        </w:tc>
        <w:tc>
          <w:tcPr>
            <w:tcW w:w="714" w:type="dxa"/>
            <w:noWrap/>
            <w:hideMark/>
          </w:tcPr>
          <w:p w14:paraId="0729167B" w14:textId="77777777" w:rsidR="00226744" w:rsidRPr="00226744" w:rsidRDefault="00226744" w:rsidP="00226744">
            <w:pPr>
              <w:jc w:val="right"/>
              <w:rPr>
                <w:lang w:eastAsia="en-GB"/>
              </w:rPr>
            </w:pPr>
            <w:r w:rsidRPr="00226744">
              <w:rPr>
                <w:lang w:eastAsia="en-GB"/>
              </w:rPr>
              <w:t>376.7</w:t>
            </w:r>
          </w:p>
        </w:tc>
        <w:tc>
          <w:tcPr>
            <w:tcW w:w="236" w:type="dxa"/>
            <w:noWrap/>
            <w:hideMark/>
          </w:tcPr>
          <w:p w14:paraId="4E5011C6" w14:textId="77777777" w:rsidR="00226744" w:rsidRPr="00226744" w:rsidRDefault="00226744" w:rsidP="00226744">
            <w:pPr>
              <w:jc w:val="right"/>
              <w:rPr>
                <w:lang w:eastAsia="en-GB"/>
              </w:rPr>
            </w:pPr>
            <w:r w:rsidRPr="00226744">
              <w:rPr>
                <w:lang w:eastAsia="en-GB"/>
              </w:rPr>
              <w:t>423.6</w:t>
            </w:r>
          </w:p>
        </w:tc>
      </w:tr>
    </w:tbl>
    <w:p w14:paraId="41BEB988" w14:textId="77777777" w:rsidR="00226744" w:rsidRPr="00226744" w:rsidRDefault="00226744">
      <w:pPr>
        <w:rPr>
          <w:b/>
        </w:rPr>
      </w:pPr>
    </w:p>
    <w:p w14:paraId="3548A865" w14:textId="77777777" w:rsidR="00226744" w:rsidRPr="00226744" w:rsidRDefault="00226744"/>
    <w:p w14:paraId="60C3446E" w14:textId="1DDADCF5" w:rsidR="00F3337C" w:rsidRPr="00226744" w:rsidRDefault="00F3337C" w:rsidP="008F3D71"/>
    <w:p w14:paraId="082BD364" w14:textId="77777777" w:rsidR="00F3337C" w:rsidRPr="00226744" w:rsidRDefault="00F3337C" w:rsidP="008F3D71">
      <w:pPr>
        <w:ind w:left="-540"/>
      </w:pPr>
    </w:p>
    <w:p w14:paraId="145967F7" w14:textId="77777777" w:rsidR="00F3337C" w:rsidRPr="00226744" w:rsidRDefault="00F3337C" w:rsidP="008F3D71">
      <w:pPr>
        <w:ind w:left="-540"/>
      </w:pPr>
    </w:p>
    <w:tbl>
      <w:tblPr>
        <w:tblStyle w:val="TableGrid1"/>
        <w:tblW w:w="9869" w:type="dxa"/>
        <w:tblLook w:val="01E0" w:firstRow="1" w:lastRow="1" w:firstColumn="1" w:lastColumn="1" w:noHBand="0" w:noVBand="0"/>
      </w:tblPr>
      <w:tblGrid>
        <w:gridCol w:w="1135"/>
        <w:gridCol w:w="1134"/>
        <w:gridCol w:w="1843"/>
        <w:gridCol w:w="5757"/>
      </w:tblGrid>
      <w:tr w:rsidR="00226744" w:rsidRPr="00226744" w14:paraId="3D2FF113" w14:textId="77777777" w:rsidTr="00226744">
        <w:trPr>
          <w:trHeight w:val="243"/>
        </w:trPr>
        <w:tc>
          <w:tcPr>
            <w:tcW w:w="1135" w:type="dxa"/>
          </w:tcPr>
          <w:p w14:paraId="038259D7" w14:textId="77777777" w:rsidR="00F3337C" w:rsidRPr="00226744" w:rsidRDefault="00F3337C" w:rsidP="008F3D71">
            <w:r w:rsidRPr="00226744">
              <w:t>Version</w:t>
            </w:r>
          </w:p>
        </w:tc>
        <w:tc>
          <w:tcPr>
            <w:tcW w:w="1134" w:type="dxa"/>
          </w:tcPr>
          <w:p w14:paraId="3ABD4A66" w14:textId="77777777" w:rsidR="00F3337C" w:rsidRPr="00226744" w:rsidRDefault="00F3337C" w:rsidP="008F3D71">
            <w:r w:rsidRPr="00226744">
              <w:t>Date</w:t>
            </w:r>
          </w:p>
        </w:tc>
        <w:tc>
          <w:tcPr>
            <w:tcW w:w="1843" w:type="dxa"/>
          </w:tcPr>
          <w:p w14:paraId="0ADBF4DD" w14:textId="77777777" w:rsidR="00F3337C" w:rsidRPr="00226744" w:rsidRDefault="00F3337C" w:rsidP="008F3D71">
            <w:r w:rsidRPr="00226744">
              <w:t>Changed By</w:t>
            </w:r>
          </w:p>
        </w:tc>
        <w:tc>
          <w:tcPr>
            <w:tcW w:w="5757" w:type="dxa"/>
          </w:tcPr>
          <w:p w14:paraId="334D728A" w14:textId="77777777" w:rsidR="00F3337C" w:rsidRPr="00226744" w:rsidRDefault="00F3337C" w:rsidP="008F3D71">
            <w:r w:rsidRPr="00226744">
              <w:t>Summary of changes</w:t>
            </w:r>
          </w:p>
        </w:tc>
      </w:tr>
      <w:tr w:rsidR="00226744" w:rsidRPr="00226744" w14:paraId="722B2713" w14:textId="77777777" w:rsidTr="00226744">
        <w:trPr>
          <w:trHeight w:val="280"/>
        </w:trPr>
        <w:tc>
          <w:tcPr>
            <w:tcW w:w="1135" w:type="dxa"/>
          </w:tcPr>
          <w:p w14:paraId="734030AE" w14:textId="77777777" w:rsidR="00F3337C" w:rsidRPr="00226744" w:rsidRDefault="00F3337C" w:rsidP="008F3D71">
            <w:r w:rsidRPr="00226744">
              <w:t>v.01</w:t>
            </w:r>
          </w:p>
        </w:tc>
        <w:tc>
          <w:tcPr>
            <w:tcW w:w="1134" w:type="dxa"/>
          </w:tcPr>
          <w:p w14:paraId="009867B2" w14:textId="77777777" w:rsidR="00F3337C" w:rsidRPr="00226744" w:rsidRDefault="00F3337C" w:rsidP="008F3D71">
            <w:r w:rsidRPr="00226744">
              <w:t>28/10/13</w:t>
            </w:r>
          </w:p>
        </w:tc>
        <w:tc>
          <w:tcPr>
            <w:tcW w:w="1843" w:type="dxa"/>
          </w:tcPr>
          <w:p w14:paraId="71CEBB1A" w14:textId="77777777" w:rsidR="00F3337C" w:rsidRPr="00226744" w:rsidRDefault="00F3337C" w:rsidP="008F3D71">
            <w:r w:rsidRPr="00226744">
              <w:t xml:space="preserve">Lydia </w:t>
            </w:r>
            <w:proofErr w:type="spellStart"/>
            <w:r w:rsidRPr="00226744">
              <w:t>Gomersall</w:t>
            </w:r>
            <w:proofErr w:type="spellEnd"/>
          </w:p>
        </w:tc>
        <w:tc>
          <w:tcPr>
            <w:tcW w:w="5757" w:type="dxa"/>
          </w:tcPr>
          <w:p w14:paraId="22ECD16E" w14:textId="77777777" w:rsidR="00F3337C" w:rsidRPr="00226744" w:rsidRDefault="00F3337C" w:rsidP="008F3D71">
            <w:r w:rsidRPr="00226744">
              <w:t>Document Created</w:t>
            </w:r>
          </w:p>
        </w:tc>
      </w:tr>
      <w:tr w:rsidR="00226744" w:rsidRPr="00226744" w14:paraId="13470F4D" w14:textId="77777777" w:rsidTr="00226744">
        <w:trPr>
          <w:trHeight w:val="231"/>
        </w:trPr>
        <w:tc>
          <w:tcPr>
            <w:tcW w:w="1135" w:type="dxa"/>
          </w:tcPr>
          <w:p w14:paraId="7C86F3FE" w14:textId="77777777" w:rsidR="00F3337C" w:rsidRPr="00226744" w:rsidRDefault="00F3337C" w:rsidP="008F3D71"/>
        </w:tc>
        <w:tc>
          <w:tcPr>
            <w:tcW w:w="1134" w:type="dxa"/>
          </w:tcPr>
          <w:p w14:paraId="604B4D49" w14:textId="77777777" w:rsidR="00F3337C" w:rsidRPr="00226744" w:rsidRDefault="00F3337C" w:rsidP="008F3D71">
            <w:r w:rsidRPr="00226744">
              <w:t>08/11/13</w:t>
            </w:r>
          </w:p>
        </w:tc>
        <w:tc>
          <w:tcPr>
            <w:tcW w:w="1843" w:type="dxa"/>
          </w:tcPr>
          <w:p w14:paraId="43E0C6A8" w14:textId="77777777" w:rsidR="00F3337C" w:rsidRPr="00226744" w:rsidRDefault="00F3337C" w:rsidP="008F3D71">
            <w:r w:rsidRPr="00226744">
              <w:t xml:space="preserve">Lydia </w:t>
            </w:r>
            <w:proofErr w:type="spellStart"/>
            <w:r w:rsidRPr="00226744">
              <w:t>Gomersall</w:t>
            </w:r>
            <w:proofErr w:type="spellEnd"/>
          </w:p>
        </w:tc>
        <w:tc>
          <w:tcPr>
            <w:tcW w:w="5757" w:type="dxa"/>
          </w:tcPr>
          <w:p w14:paraId="2131EC68" w14:textId="77777777" w:rsidR="00F3337C" w:rsidRPr="00226744" w:rsidRDefault="00F3337C" w:rsidP="008F3D71">
            <w:r w:rsidRPr="00226744">
              <w:t>MRG papers prepared</w:t>
            </w:r>
          </w:p>
        </w:tc>
      </w:tr>
      <w:tr w:rsidR="00226744" w:rsidRPr="00226744" w14:paraId="185B5092" w14:textId="77777777" w:rsidTr="00226744">
        <w:trPr>
          <w:trHeight w:val="231"/>
        </w:trPr>
        <w:tc>
          <w:tcPr>
            <w:tcW w:w="1135" w:type="dxa"/>
          </w:tcPr>
          <w:p w14:paraId="2822B552" w14:textId="77777777" w:rsidR="00F3337C" w:rsidRPr="00226744" w:rsidRDefault="00F3337C" w:rsidP="008F3D71"/>
        </w:tc>
        <w:tc>
          <w:tcPr>
            <w:tcW w:w="1134" w:type="dxa"/>
          </w:tcPr>
          <w:p w14:paraId="5692D50B" w14:textId="77777777" w:rsidR="00F3337C" w:rsidRPr="00226744" w:rsidRDefault="00F3337C" w:rsidP="008F3D71">
            <w:r w:rsidRPr="00226744">
              <w:t>01/06/17</w:t>
            </w:r>
          </w:p>
        </w:tc>
        <w:tc>
          <w:tcPr>
            <w:tcW w:w="1843" w:type="dxa"/>
          </w:tcPr>
          <w:p w14:paraId="5A03E10F" w14:textId="77777777" w:rsidR="00F3337C" w:rsidRPr="00226744" w:rsidRDefault="00F3337C" w:rsidP="008F3D71">
            <w:r w:rsidRPr="00226744">
              <w:t xml:space="preserve">Andrew </w:t>
            </w:r>
            <w:proofErr w:type="spellStart"/>
            <w:r w:rsidRPr="00226744">
              <w:t>Besch</w:t>
            </w:r>
            <w:proofErr w:type="spellEnd"/>
          </w:p>
        </w:tc>
        <w:tc>
          <w:tcPr>
            <w:tcW w:w="5757" w:type="dxa"/>
          </w:tcPr>
          <w:p w14:paraId="61DDE306" w14:textId="77777777" w:rsidR="00F3337C" w:rsidRPr="00226744" w:rsidRDefault="00F3337C" w:rsidP="008F3D71">
            <w:r w:rsidRPr="00226744">
              <w:t>Updated to reflect IGB decision</w:t>
            </w:r>
          </w:p>
        </w:tc>
      </w:tr>
      <w:tr w:rsidR="00226744" w:rsidRPr="00226744" w14:paraId="04452808" w14:textId="77777777" w:rsidTr="00226744">
        <w:trPr>
          <w:trHeight w:val="231"/>
        </w:trPr>
        <w:tc>
          <w:tcPr>
            <w:tcW w:w="1135" w:type="dxa"/>
          </w:tcPr>
          <w:p w14:paraId="022EC064" w14:textId="77777777" w:rsidR="00F3337C" w:rsidRPr="00226744" w:rsidRDefault="00F3337C" w:rsidP="008F3D71"/>
        </w:tc>
        <w:tc>
          <w:tcPr>
            <w:tcW w:w="1134" w:type="dxa"/>
          </w:tcPr>
          <w:p w14:paraId="56977D84" w14:textId="77777777" w:rsidR="00F3337C" w:rsidRPr="00226744" w:rsidRDefault="00F3337C" w:rsidP="008F3D71"/>
        </w:tc>
        <w:tc>
          <w:tcPr>
            <w:tcW w:w="1843" w:type="dxa"/>
          </w:tcPr>
          <w:p w14:paraId="0CB70BD9" w14:textId="77777777" w:rsidR="00F3337C" w:rsidRPr="00226744" w:rsidRDefault="00F3337C" w:rsidP="008F3D71"/>
        </w:tc>
        <w:tc>
          <w:tcPr>
            <w:tcW w:w="5757" w:type="dxa"/>
          </w:tcPr>
          <w:p w14:paraId="654E349C" w14:textId="77777777" w:rsidR="00F3337C" w:rsidRPr="00226744" w:rsidRDefault="00F3337C" w:rsidP="008F3D71"/>
        </w:tc>
      </w:tr>
      <w:tr w:rsidR="00226744" w:rsidRPr="00226744" w14:paraId="7E869965" w14:textId="77777777" w:rsidTr="00226744">
        <w:trPr>
          <w:trHeight w:val="231"/>
        </w:trPr>
        <w:tc>
          <w:tcPr>
            <w:tcW w:w="1135" w:type="dxa"/>
          </w:tcPr>
          <w:p w14:paraId="6C1D68D6" w14:textId="77777777" w:rsidR="00F3337C" w:rsidRPr="00226744" w:rsidRDefault="00F3337C" w:rsidP="008F3D71"/>
        </w:tc>
        <w:tc>
          <w:tcPr>
            <w:tcW w:w="1134" w:type="dxa"/>
          </w:tcPr>
          <w:p w14:paraId="3F4BC0D8" w14:textId="77777777" w:rsidR="00F3337C" w:rsidRPr="00226744" w:rsidRDefault="00F3337C" w:rsidP="008F3D71"/>
        </w:tc>
        <w:tc>
          <w:tcPr>
            <w:tcW w:w="1843" w:type="dxa"/>
          </w:tcPr>
          <w:p w14:paraId="5831F5E9" w14:textId="77777777" w:rsidR="00F3337C" w:rsidRPr="00226744" w:rsidRDefault="00F3337C" w:rsidP="008F3D71"/>
        </w:tc>
        <w:tc>
          <w:tcPr>
            <w:tcW w:w="5757" w:type="dxa"/>
          </w:tcPr>
          <w:p w14:paraId="0FB3C483" w14:textId="77777777" w:rsidR="00F3337C" w:rsidRPr="00226744" w:rsidRDefault="00F3337C" w:rsidP="008F3D71"/>
        </w:tc>
      </w:tr>
    </w:tbl>
    <w:p w14:paraId="0CB7C6A8" w14:textId="77777777" w:rsidR="00F3337C" w:rsidRPr="00226744" w:rsidRDefault="00F3337C" w:rsidP="008F3D71">
      <w:pPr>
        <w:ind w:left="-540"/>
      </w:pPr>
    </w:p>
    <w:p w14:paraId="7CE0DB63" w14:textId="3A5E8910" w:rsidR="00F3337C" w:rsidRPr="00226744" w:rsidRDefault="00F3337C" w:rsidP="008F3D71">
      <w:pPr>
        <w:ind w:left="-851"/>
        <w:rPr>
          <w:b/>
        </w:rPr>
      </w:pPr>
      <w:r w:rsidRPr="00226744">
        <w:rPr>
          <w:b/>
        </w:rPr>
        <w:t>Assurance Summary</w:t>
      </w:r>
    </w:p>
    <w:p w14:paraId="594D63E4" w14:textId="77777777" w:rsidR="00F3337C" w:rsidRPr="00226744" w:rsidRDefault="00F3337C" w:rsidP="008F3D71">
      <w:pPr>
        <w:ind w:left="-851"/>
      </w:pPr>
    </w:p>
    <w:p w14:paraId="742EC7AE" w14:textId="77777777" w:rsidR="00F3337C" w:rsidRPr="00226744" w:rsidRDefault="00F3337C" w:rsidP="008F3D71">
      <w:pPr>
        <w:ind w:left="-851"/>
      </w:pPr>
    </w:p>
    <w:p w14:paraId="41AF6216" w14:textId="6C68066A" w:rsidR="00F3337C" w:rsidRPr="00226744" w:rsidRDefault="00F3337C" w:rsidP="008F3D71">
      <w:pPr>
        <w:ind w:left="-851"/>
      </w:pPr>
    </w:p>
    <w:tbl>
      <w:tblPr>
        <w:tblStyle w:val="TableGrid1"/>
        <w:tblW w:w="9923" w:type="dxa"/>
        <w:tblLayout w:type="fixed"/>
        <w:tblLook w:val="01E0" w:firstRow="1" w:lastRow="1" w:firstColumn="1" w:lastColumn="1" w:noHBand="0" w:noVBand="0"/>
      </w:tblPr>
      <w:tblGrid>
        <w:gridCol w:w="3828"/>
        <w:gridCol w:w="567"/>
        <w:gridCol w:w="2552"/>
        <w:gridCol w:w="2976"/>
      </w:tblGrid>
      <w:tr w:rsidR="00226744" w:rsidRPr="00226744" w14:paraId="724A0DF1" w14:textId="77777777" w:rsidTr="00226744">
        <w:trPr>
          <w:trHeight w:val="270"/>
        </w:trPr>
        <w:tc>
          <w:tcPr>
            <w:tcW w:w="3828" w:type="dxa"/>
          </w:tcPr>
          <w:p w14:paraId="14074672" w14:textId="6DCAF2E3" w:rsidR="00226744" w:rsidRPr="00226744" w:rsidRDefault="00226744" w:rsidP="008F3D71">
            <w:r w:rsidRPr="00226744">
              <w:t>Assurance Stage</w:t>
            </w:r>
          </w:p>
        </w:tc>
        <w:tc>
          <w:tcPr>
            <w:tcW w:w="567" w:type="dxa"/>
          </w:tcPr>
          <w:p w14:paraId="76263CCE" w14:textId="77777777" w:rsidR="00226744" w:rsidRPr="00226744" w:rsidRDefault="00226744" w:rsidP="008F3D71">
            <w:pPr>
              <w:jc w:val="center"/>
            </w:pPr>
          </w:p>
        </w:tc>
        <w:tc>
          <w:tcPr>
            <w:tcW w:w="2552" w:type="dxa"/>
          </w:tcPr>
          <w:p w14:paraId="33F7B049" w14:textId="72DA3837" w:rsidR="00226744" w:rsidRPr="00226744" w:rsidRDefault="00226744" w:rsidP="008F3D71">
            <w:pPr>
              <w:jc w:val="right"/>
            </w:pPr>
            <w:r w:rsidRPr="00226744">
              <w:t>Date(s)</w:t>
            </w:r>
          </w:p>
        </w:tc>
        <w:tc>
          <w:tcPr>
            <w:tcW w:w="2976" w:type="dxa"/>
          </w:tcPr>
          <w:p w14:paraId="4032A754" w14:textId="0424A565" w:rsidR="00226744" w:rsidRPr="00226744" w:rsidRDefault="00226744" w:rsidP="008F3D71">
            <w:r w:rsidRPr="00226744">
              <w:t>Comments</w:t>
            </w:r>
          </w:p>
        </w:tc>
      </w:tr>
      <w:tr w:rsidR="00226744" w:rsidRPr="00226744" w14:paraId="4B06F2AC" w14:textId="77777777" w:rsidTr="00226744">
        <w:trPr>
          <w:trHeight w:val="270"/>
        </w:trPr>
        <w:tc>
          <w:tcPr>
            <w:tcW w:w="3828" w:type="dxa"/>
          </w:tcPr>
          <w:p w14:paraId="69D5CA97" w14:textId="77777777" w:rsidR="00F3337C" w:rsidRPr="00226744" w:rsidRDefault="00F3337C" w:rsidP="008F3D71">
            <w:r w:rsidRPr="00226744">
              <w:t>Application Received</w:t>
            </w:r>
          </w:p>
        </w:tc>
        <w:sdt>
          <w:sdtPr>
            <w:id w:val="1768819078"/>
            <w14:checkbox>
              <w14:checked w14:val="1"/>
              <w14:checkedState w14:val="2612" w14:font="MS Gothic"/>
              <w14:uncheckedState w14:val="2610" w14:font="MS Gothic"/>
            </w14:checkbox>
          </w:sdtPr>
          <w:sdtEndPr/>
          <w:sdtContent>
            <w:tc>
              <w:tcPr>
                <w:tcW w:w="567" w:type="dxa"/>
              </w:tcPr>
              <w:p w14:paraId="49C9FD10" w14:textId="77777777" w:rsidR="00F3337C" w:rsidRPr="00226744" w:rsidRDefault="00F3337C" w:rsidP="008F3D71">
                <w:pPr>
                  <w:jc w:val="center"/>
                </w:pPr>
                <w:r w:rsidRPr="00226744">
                  <w:rPr>
                    <w:rFonts w:ascii="Segoe UI Symbol" w:eastAsia="MS Gothic" w:hAnsi="Segoe UI Symbol" w:cs="Segoe UI Symbol"/>
                  </w:rPr>
                  <w:t>☒</w:t>
                </w:r>
              </w:p>
            </w:tc>
          </w:sdtContent>
        </w:sdt>
        <w:tc>
          <w:tcPr>
            <w:tcW w:w="2552" w:type="dxa"/>
          </w:tcPr>
          <w:p w14:paraId="64FE3277" w14:textId="77777777" w:rsidR="00F3337C" w:rsidRPr="00226744" w:rsidRDefault="00F3337C" w:rsidP="008F3D71">
            <w:pPr>
              <w:jc w:val="right"/>
            </w:pPr>
            <w:r w:rsidRPr="00226744">
              <w:t>28/10/13</w:t>
            </w:r>
          </w:p>
        </w:tc>
        <w:tc>
          <w:tcPr>
            <w:tcW w:w="2976" w:type="dxa"/>
          </w:tcPr>
          <w:p w14:paraId="06E2EF67" w14:textId="77777777" w:rsidR="00F3337C" w:rsidRPr="00226744" w:rsidRDefault="00F3337C" w:rsidP="008F3D71"/>
        </w:tc>
      </w:tr>
      <w:tr w:rsidR="00226744" w:rsidRPr="00226744" w14:paraId="0CDA8909" w14:textId="77777777" w:rsidTr="00226744">
        <w:trPr>
          <w:trHeight w:val="270"/>
        </w:trPr>
        <w:tc>
          <w:tcPr>
            <w:tcW w:w="3828" w:type="dxa"/>
          </w:tcPr>
          <w:p w14:paraId="6498896C" w14:textId="77777777" w:rsidR="00F3337C" w:rsidRPr="00226744" w:rsidRDefault="00F3337C" w:rsidP="008F3D71">
            <w:r w:rsidRPr="00226744">
              <w:t>Initial Appraisal Completed</w:t>
            </w:r>
          </w:p>
        </w:tc>
        <w:sdt>
          <w:sdtPr>
            <w:id w:val="1458530912"/>
            <w14:checkbox>
              <w14:checked w14:val="1"/>
              <w14:checkedState w14:val="2612" w14:font="MS Gothic"/>
              <w14:uncheckedState w14:val="2610" w14:font="MS Gothic"/>
            </w14:checkbox>
          </w:sdtPr>
          <w:sdtEndPr/>
          <w:sdtContent>
            <w:tc>
              <w:tcPr>
                <w:tcW w:w="567" w:type="dxa"/>
              </w:tcPr>
              <w:p w14:paraId="4ADCE560" w14:textId="77777777" w:rsidR="00F3337C" w:rsidRPr="00226744" w:rsidRDefault="00F3337C" w:rsidP="008F3D71">
                <w:pPr>
                  <w:jc w:val="center"/>
                </w:pPr>
                <w:r w:rsidRPr="00226744">
                  <w:rPr>
                    <w:rFonts w:ascii="Segoe UI Symbol" w:eastAsia="MS Gothic" w:hAnsi="Segoe UI Symbol" w:cs="Segoe UI Symbol"/>
                  </w:rPr>
                  <w:t>☒</w:t>
                </w:r>
              </w:p>
            </w:tc>
          </w:sdtContent>
        </w:sdt>
        <w:tc>
          <w:tcPr>
            <w:tcW w:w="2552" w:type="dxa"/>
          </w:tcPr>
          <w:p w14:paraId="1758785B" w14:textId="77777777" w:rsidR="00F3337C" w:rsidRPr="00226744" w:rsidRDefault="00F3337C" w:rsidP="008F3D71">
            <w:pPr>
              <w:jc w:val="right"/>
            </w:pPr>
            <w:r w:rsidRPr="00226744">
              <w:t>29/10/13</w:t>
            </w:r>
          </w:p>
        </w:tc>
        <w:tc>
          <w:tcPr>
            <w:tcW w:w="2976" w:type="dxa"/>
          </w:tcPr>
          <w:p w14:paraId="380E04CA" w14:textId="77777777" w:rsidR="00F3337C" w:rsidRPr="00226744" w:rsidRDefault="00F3337C" w:rsidP="008F3D71"/>
        </w:tc>
      </w:tr>
      <w:tr w:rsidR="00226744" w:rsidRPr="00226744" w14:paraId="5B3E917F" w14:textId="77777777" w:rsidTr="00226744">
        <w:trPr>
          <w:trHeight w:val="270"/>
        </w:trPr>
        <w:tc>
          <w:tcPr>
            <w:tcW w:w="3828" w:type="dxa"/>
          </w:tcPr>
          <w:p w14:paraId="36C7D4F8" w14:textId="77777777" w:rsidR="00F3337C" w:rsidRPr="00226744" w:rsidRDefault="00F3337C" w:rsidP="008F3D71">
            <w:r w:rsidRPr="00226744">
              <w:t>Peer Review Appraisal</w:t>
            </w:r>
          </w:p>
        </w:tc>
        <w:sdt>
          <w:sdtPr>
            <w:id w:val="-1207555589"/>
            <w14:checkbox>
              <w14:checked w14:val="0"/>
              <w14:checkedState w14:val="2612" w14:font="MS Gothic"/>
              <w14:uncheckedState w14:val="2610" w14:font="MS Gothic"/>
            </w14:checkbox>
          </w:sdtPr>
          <w:sdtEndPr/>
          <w:sdtContent>
            <w:tc>
              <w:tcPr>
                <w:tcW w:w="567" w:type="dxa"/>
              </w:tcPr>
              <w:p w14:paraId="2B41F880" w14:textId="77777777" w:rsidR="00F3337C" w:rsidRPr="00226744" w:rsidRDefault="00F3337C" w:rsidP="008F3D71">
                <w:pPr>
                  <w:jc w:val="center"/>
                </w:pPr>
                <w:r w:rsidRPr="00226744">
                  <w:rPr>
                    <w:rFonts w:ascii="Segoe UI Symbol" w:eastAsia="MS Gothic" w:hAnsi="Segoe UI Symbol" w:cs="Segoe UI Symbol"/>
                  </w:rPr>
                  <w:t>☐</w:t>
                </w:r>
              </w:p>
            </w:tc>
          </w:sdtContent>
        </w:sdt>
        <w:tc>
          <w:tcPr>
            <w:tcW w:w="2552" w:type="dxa"/>
          </w:tcPr>
          <w:p w14:paraId="1CE70824" w14:textId="77777777" w:rsidR="00F3337C" w:rsidRPr="00226744" w:rsidRDefault="00F3337C" w:rsidP="008F3D71">
            <w:pPr>
              <w:jc w:val="right"/>
            </w:pPr>
          </w:p>
        </w:tc>
        <w:tc>
          <w:tcPr>
            <w:tcW w:w="2976" w:type="dxa"/>
          </w:tcPr>
          <w:p w14:paraId="6630050C" w14:textId="77777777" w:rsidR="00F3337C" w:rsidRPr="00226744" w:rsidRDefault="00F3337C" w:rsidP="008F3D71"/>
        </w:tc>
      </w:tr>
      <w:tr w:rsidR="00226744" w:rsidRPr="00226744" w14:paraId="71997F61" w14:textId="77777777" w:rsidTr="00226744">
        <w:trPr>
          <w:trHeight w:val="270"/>
        </w:trPr>
        <w:tc>
          <w:tcPr>
            <w:tcW w:w="3828" w:type="dxa"/>
          </w:tcPr>
          <w:p w14:paraId="0A60A3CF" w14:textId="77777777" w:rsidR="00F3337C" w:rsidRPr="00226744" w:rsidRDefault="00F3337C" w:rsidP="008F3D71">
            <w:r w:rsidRPr="00226744">
              <w:t>Methodology Review Group Discussion</w:t>
            </w:r>
          </w:p>
        </w:tc>
        <w:sdt>
          <w:sdtPr>
            <w:id w:val="-1508978988"/>
            <w14:checkbox>
              <w14:checked w14:val="1"/>
              <w14:checkedState w14:val="2612" w14:font="MS Gothic"/>
              <w14:uncheckedState w14:val="2610" w14:font="MS Gothic"/>
            </w14:checkbox>
          </w:sdtPr>
          <w:sdtEndPr/>
          <w:sdtContent>
            <w:tc>
              <w:tcPr>
                <w:tcW w:w="567" w:type="dxa"/>
              </w:tcPr>
              <w:p w14:paraId="3878FA8A" w14:textId="77777777" w:rsidR="00F3337C" w:rsidRPr="00226744" w:rsidRDefault="00F3337C" w:rsidP="008F3D71">
                <w:pPr>
                  <w:jc w:val="center"/>
                </w:pPr>
                <w:r w:rsidRPr="00226744">
                  <w:rPr>
                    <w:rFonts w:ascii="Segoe UI Symbol" w:eastAsia="MS Gothic" w:hAnsi="Segoe UI Symbol" w:cs="Segoe UI Symbol"/>
                  </w:rPr>
                  <w:t>☒</w:t>
                </w:r>
              </w:p>
            </w:tc>
          </w:sdtContent>
        </w:sdt>
        <w:tc>
          <w:tcPr>
            <w:tcW w:w="2552" w:type="dxa"/>
          </w:tcPr>
          <w:p w14:paraId="14305EC5" w14:textId="77777777" w:rsidR="00F3337C" w:rsidRPr="00226744" w:rsidRDefault="00F3337C" w:rsidP="008F3D71">
            <w:pPr>
              <w:jc w:val="right"/>
            </w:pPr>
            <w:r w:rsidRPr="00226744">
              <w:t>15/11/13</w:t>
            </w:r>
          </w:p>
        </w:tc>
        <w:tc>
          <w:tcPr>
            <w:tcW w:w="2976" w:type="dxa"/>
          </w:tcPr>
          <w:p w14:paraId="1EB06EDB" w14:textId="77777777" w:rsidR="00F3337C" w:rsidRPr="00226744" w:rsidRDefault="00F3337C" w:rsidP="008F3D71"/>
        </w:tc>
      </w:tr>
      <w:tr w:rsidR="00226744" w:rsidRPr="00226744" w14:paraId="0F16A0EA" w14:textId="77777777" w:rsidTr="00226744">
        <w:trPr>
          <w:trHeight w:val="270"/>
        </w:trPr>
        <w:tc>
          <w:tcPr>
            <w:tcW w:w="3828" w:type="dxa"/>
          </w:tcPr>
          <w:p w14:paraId="28B89271" w14:textId="77777777" w:rsidR="00F3337C" w:rsidRPr="00226744" w:rsidRDefault="00F3337C" w:rsidP="008F3D71">
            <w:r w:rsidRPr="00226744">
              <w:t>Indicator Governance Board  Discussion</w:t>
            </w:r>
          </w:p>
        </w:tc>
        <w:sdt>
          <w:sdtPr>
            <w:id w:val="-718508909"/>
            <w14:checkbox>
              <w14:checked w14:val="0"/>
              <w14:checkedState w14:val="2612" w14:font="MS Gothic"/>
              <w14:uncheckedState w14:val="2610" w14:font="MS Gothic"/>
            </w14:checkbox>
          </w:sdtPr>
          <w:sdtEndPr/>
          <w:sdtContent>
            <w:tc>
              <w:tcPr>
                <w:tcW w:w="567" w:type="dxa"/>
              </w:tcPr>
              <w:p w14:paraId="4BD6C999" w14:textId="77777777" w:rsidR="00F3337C" w:rsidRPr="00226744" w:rsidRDefault="00F3337C" w:rsidP="008F3D71">
                <w:pPr>
                  <w:jc w:val="center"/>
                </w:pPr>
                <w:r w:rsidRPr="00226744">
                  <w:rPr>
                    <w:rFonts w:ascii="Segoe UI Symbol" w:eastAsia="MS Gothic" w:hAnsi="Segoe UI Symbol" w:cs="Segoe UI Symbol"/>
                  </w:rPr>
                  <w:t>☐</w:t>
                </w:r>
              </w:p>
            </w:tc>
          </w:sdtContent>
        </w:sdt>
        <w:tc>
          <w:tcPr>
            <w:tcW w:w="2552" w:type="dxa"/>
          </w:tcPr>
          <w:p w14:paraId="0A00D68A" w14:textId="77777777" w:rsidR="00F3337C" w:rsidRPr="00226744" w:rsidRDefault="00F3337C" w:rsidP="008F3D71">
            <w:pPr>
              <w:jc w:val="right"/>
            </w:pPr>
          </w:p>
        </w:tc>
        <w:tc>
          <w:tcPr>
            <w:tcW w:w="2976" w:type="dxa"/>
          </w:tcPr>
          <w:p w14:paraId="5D332B72" w14:textId="77777777" w:rsidR="00F3337C" w:rsidRPr="00226744" w:rsidRDefault="00F3337C" w:rsidP="008F3D71"/>
        </w:tc>
      </w:tr>
      <w:tr w:rsidR="00226744" w:rsidRPr="00226744" w14:paraId="5EEA2A89" w14:textId="77777777" w:rsidTr="00226744">
        <w:trPr>
          <w:trHeight w:val="270"/>
        </w:trPr>
        <w:tc>
          <w:tcPr>
            <w:tcW w:w="3828" w:type="dxa"/>
          </w:tcPr>
          <w:p w14:paraId="7227E515" w14:textId="77777777" w:rsidR="00F3337C" w:rsidRPr="00226744" w:rsidRDefault="00F3337C" w:rsidP="008F3D71">
            <w:r w:rsidRPr="00226744">
              <w:t>Signed-off</w:t>
            </w:r>
          </w:p>
        </w:tc>
        <w:sdt>
          <w:sdtPr>
            <w:id w:val="-80447492"/>
            <w14:checkbox>
              <w14:checked w14:val="1"/>
              <w14:checkedState w14:val="2612" w14:font="MS Gothic"/>
              <w14:uncheckedState w14:val="2610" w14:font="MS Gothic"/>
            </w14:checkbox>
          </w:sdtPr>
          <w:sdtEndPr/>
          <w:sdtContent>
            <w:tc>
              <w:tcPr>
                <w:tcW w:w="567" w:type="dxa"/>
              </w:tcPr>
              <w:p w14:paraId="7F8C39AE" w14:textId="77777777" w:rsidR="00F3337C" w:rsidRPr="00226744" w:rsidRDefault="00F3337C" w:rsidP="008F3D71">
                <w:pPr>
                  <w:jc w:val="center"/>
                </w:pPr>
                <w:r w:rsidRPr="00226744">
                  <w:rPr>
                    <w:rFonts w:ascii="Segoe UI Symbol" w:eastAsia="MS Gothic" w:hAnsi="Segoe UI Symbol" w:cs="Segoe UI Symbol"/>
                  </w:rPr>
                  <w:t>☒</w:t>
                </w:r>
              </w:p>
            </w:tc>
          </w:sdtContent>
        </w:sdt>
        <w:tc>
          <w:tcPr>
            <w:tcW w:w="2552" w:type="dxa"/>
          </w:tcPr>
          <w:p w14:paraId="418DCD82" w14:textId="77777777" w:rsidR="00F3337C" w:rsidRPr="00226744" w:rsidRDefault="00F3337C" w:rsidP="008F3D71">
            <w:pPr>
              <w:jc w:val="right"/>
            </w:pPr>
          </w:p>
        </w:tc>
        <w:tc>
          <w:tcPr>
            <w:tcW w:w="2976" w:type="dxa"/>
          </w:tcPr>
          <w:p w14:paraId="7811D375" w14:textId="77777777" w:rsidR="00F3337C" w:rsidRPr="00226744" w:rsidRDefault="00F3337C" w:rsidP="008F3D71"/>
        </w:tc>
      </w:tr>
    </w:tbl>
    <w:p w14:paraId="586EAD7F" w14:textId="77777777" w:rsidR="00F3337C" w:rsidRPr="00226744" w:rsidRDefault="00F3337C" w:rsidP="008F3D71">
      <w:pPr>
        <w:ind w:left="-851"/>
      </w:pPr>
    </w:p>
    <w:p w14:paraId="2902D846" w14:textId="77777777" w:rsidR="00F3337C" w:rsidRPr="00226744" w:rsidRDefault="00F3337C" w:rsidP="008F3D71">
      <w:pPr>
        <w:ind w:left="-851"/>
      </w:pPr>
    </w:p>
    <w:p w14:paraId="6D2FC7EC" w14:textId="77777777" w:rsidR="00F3337C" w:rsidRPr="00226744" w:rsidRDefault="00F3337C" w:rsidP="008F3D71">
      <w:pPr>
        <w:ind w:left="-851"/>
      </w:pPr>
    </w:p>
    <w:p w14:paraId="47E2474B" w14:textId="77777777" w:rsidR="00226744" w:rsidRDefault="00F3337C" w:rsidP="008F3D71">
      <w:pPr>
        <w:spacing w:after="120"/>
        <w:ind w:left="-851"/>
      </w:pPr>
      <w:r w:rsidRPr="00226744">
        <w:t>Peer Review</w:t>
      </w:r>
      <w:r w:rsidR="00226744" w:rsidRPr="00226744">
        <w:t xml:space="preserve"> </w:t>
      </w:r>
    </w:p>
    <w:p w14:paraId="5D15A869" w14:textId="1ACC7407" w:rsidR="00F3337C" w:rsidRDefault="00226744" w:rsidP="008F3D71">
      <w:pPr>
        <w:spacing w:after="120"/>
        <w:ind w:left="-851"/>
      </w:pPr>
      <w:r w:rsidRPr="00226744">
        <w:t>Peer Reviewer(s) / Organisations :</w:t>
      </w:r>
    </w:p>
    <w:p w14:paraId="308BF986" w14:textId="59BF03D7" w:rsidR="009635BA" w:rsidRDefault="009635BA" w:rsidP="008F3D71">
      <w:pPr>
        <w:spacing w:after="120"/>
        <w:ind w:left="-851"/>
      </w:pPr>
      <w:r w:rsidRPr="00226744">
        <w:rPr>
          <w:i/>
        </w:rPr>
        <w:t>Outcome of Peer Review consideration:</w:t>
      </w:r>
    </w:p>
    <w:p w14:paraId="14ADFC6C" w14:textId="77777777" w:rsidR="009635BA" w:rsidRPr="00226744" w:rsidRDefault="009635BA" w:rsidP="008F3D71">
      <w:pPr>
        <w:spacing w:after="120"/>
        <w:ind w:left="-851"/>
      </w:pPr>
    </w:p>
    <w:tbl>
      <w:tblPr>
        <w:tblStyle w:val="TableGrid1"/>
        <w:tblW w:w="7222" w:type="dxa"/>
        <w:tblLayout w:type="fixed"/>
        <w:tblLook w:val="01E0" w:firstRow="1" w:lastRow="1" w:firstColumn="1" w:lastColumn="1" w:noHBand="0" w:noVBand="0"/>
      </w:tblPr>
      <w:tblGrid>
        <w:gridCol w:w="6509"/>
        <w:gridCol w:w="713"/>
      </w:tblGrid>
      <w:tr w:rsidR="009635BA" w:rsidRPr="00226744" w14:paraId="601A3AC7" w14:textId="77777777" w:rsidTr="009635BA">
        <w:trPr>
          <w:trHeight w:val="230"/>
        </w:trPr>
        <w:tc>
          <w:tcPr>
            <w:tcW w:w="6509" w:type="dxa"/>
          </w:tcPr>
          <w:p w14:paraId="3ACDC6D9" w14:textId="77777777" w:rsidR="009635BA" w:rsidRPr="00226744" w:rsidRDefault="009635BA" w:rsidP="00F3337C">
            <w:pPr>
              <w:pStyle w:val="ListParagraph"/>
              <w:numPr>
                <w:ilvl w:val="0"/>
                <w:numId w:val="27"/>
              </w:numPr>
              <w:spacing w:after="0" w:line="240" w:lineRule="auto"/>
              <w:rPr>
                <w:b/>
              </w:rPr>
            </w:pPr>
            <w:r w:rsidRPr="00226744">
              <w:rPr>
                <w:b/>
              </w:rPr>
              <w:t>Proposal signed off, with or without caveats</w:t>
            </w:r>
          </w:p>
        </w:tc>
        <w:sdt>
          <w:sdtPr>
            <w:id w:val="1921210024"/>
            <w14:checkbox>
              <w14:checked w14:val="0"/>
              <w14:checkedState w14:val="2612" w14:font="MS Gothic"/>
              <w14:uncheckedState w14:val="2610" w14:font="MS Gothic"/>
            </w14:checkbox>
          </w:sdtPr>
          <w:sdtEndPr/>
          <w:sdtContent>
            <w:tc>
              <w:tcPr>
                <w:tcW w:w="713" w:type="dxa"/>
              </w:tcPr>
              <w:p w14:paraId="0352469B" w14:textId="77777777" w:rsidR="009635BA" w:rsidRPr="00226744" w:rsidRDefault="009635BA" w:rsidP="008F3D71">
                <w:pPr>
                  <w:jc w:val="center"/>
                </w:pPr>
                <w:r w:rsidRPr="00226744">
                  <w:rPr>
                    <w:rFonts w:ascii="Segoe UI Symbol" w:eastAsia="MS Gothic" w:hAnsi="Segoe UI Symbol" w:cs="Segoe UI Symbol"/>
                  </w:rPr>
                  <w:t>☐</w:t>
                </w:r>
              </w:p>
            </w:tc>
          </w:sdtContent>
        </w:sdt>
      </w:tr>
      <w:tr w:rsidR="009635BA" w:rsidRPr="00226744" w14:paraId="4835621A" w14:textId="77777777" w:rsidTr="009635BA">
        <w:trPr>
          <w:trHeight w:val="234"/>
        </w:trPr>
        <w:tc>
          <w:tcPr>
            <w:tcW w:w="6509" w:type="dxa"/>
          </w:tcPr>
          <w:p w14:paraId="696C1284" w14:textId="77777777" w:rsidR="009635BA" w:rsidRPr="00226744" w:rsidRDefault="009635BA" w:rsidP="00F3337C">
            <w:pPr>
              <w:pStyle w:val="ListParagraph"/>
              <w:numPr>
                <w:ilvl w:val="0"/>
                <w:numId w:val="27"/>
              </w:numPr>
              <w:spacing w:after="0" w:line="240" w:lineRule="auto"/>
              <w:rPr>
                <w:b/>
              </w:rPr>
            </w:pPr>
            <w:r w:rsidRPr="00226744">
              <w:rPr>
                <w:b/>
              </w:rPr>
              <w:t xml:space="preserve">Minor changes recommended  </w:t>
            </w:r>
          </w:p>
        </w:tc>
        <w:sdt>
          <w:sdtPr>
            <w:id w:val="656268324"/>
            <w14:checkbox>
              <w14:checked w14:val="0"/>
              <w14:checkedState w14:val="2612" w14:font="MS Gothic"/>
              <w14:uncheckedState w14:val="2610" w14:font="MS Gothic"/>
            </w14:checkbox>
          </w:sdtPr>
          <w:sdtEndPr/>
          <w:sdtContent>
            <w:tc>
              <w:tcPr>
                <w:tcW w:w="713" w:type="dxa"/>
              </w:tcPr>
              <w:p w14:paraId="720F300F" w14:textId="77777777" w:rsidR="009635BA" w:rsidRPr="00226744" w:rsidRDefault="009635BA" w:rsidP="008F3D71">
                <w:pPr>
                  <w:jc w:val="center"/>
                </w:pPr>
                <w:r w:rsidRPr="00226744">
                  <w:rPr>
                    <w:rFonts w:ascii="Segoe UI Symbol" w:eastAsia="MS Gothic" w:hAnsi="Segoe UI Symbol" w:cs="Segoe UI Symbol"/>
                  </w:rPr>
                  <w:t>☐</w:t>
                </w:r>
              </w:p>
            </w:tc>
          </w:sdtContent>
        </w:sdt>
      </w:tr>
      <w:tr w:rsidR="009635BA" w:rsidRPr="00226744" w14:paraId="4B162D95" w14:textId="77777777" w:rsidTr="009635BA">
        <w:trPr>
          <w:trHeight w:val="228"/>
        </w:trPr>
        <w:tc>
          <w:tcPr>
            <w:tcW w:w="6509" w:type="dxa"/>
          </w:tcPr>
          <w:p w14:paraId="284C1A5A" w14:textId="77777777" w:rsidR="009635BA" w:rsidRPr="00226744" w:rsidRDefault="009635BA" w:rsidP="00F3337C">
            <w:pPr>
              <w:pStyle w:val="ListParagraph"/>
              <w:numPr>
                <w:ilvl w:val="0"/>
                <w:numId w:val="27"/>
              </w:numPr>
              <w:spacing w:after="0" w:line="240" w:lineRule="auto"/>
              <w:rPr>
                <w:b/>
              </w:rPr>
            </w:pPr>
            <w:r w:rsidRPr="00226744">
              <w:rPr>
                <w:b/>
              </w:rPr>
              <w:t>Declined to sign-off</w:t>
            </w:r>
          </w:p>
        </w:tc>
        <w:sdt>
          <w:sdtPr>
            <w:id w:val="-303159018"/>
            <w14:checkbox>
              <w14:checked w14:val="0"/>
              <w14:checkedState w14:val="2612" w14:font="MS Gothic"/>
              <w14:uncheckedState w14:val="2610" w14:font="MS Gothic"/>
            </w14:checkbox>
          </w:sdtPr>
          <w:sdtEndPr/>
          <w:sdtContent>
            <w:tc>
              <w:tcPr>
                <w:tcW w:w="713" w:type="dxa"/>
              </w:tcPr>
              <w:p w14:paraId="0A9BC9D0" w14:textId="77777777" w:rsidR="009635BA" w:rsidRPr="00226744" w:rsidRDefault="009635BA" w:rsidP="008F3D71">
                <w:pPr>
                  <w:jc w:val="center"/>
                </w:pPr>
                <w:r w:rsidRPr="00226744">
                  <w:rPr>
                    <w:rFonts w:ascii="Segoe UI Symbol" w:eastAsia="MS Gothic" w:hAnsi="Segoe UI Symbol" w:cs="Segoe UI Symbol"/>
                  </w:rPr>
                  <w:t>☐</w:t>
                </w:r>
              </w:p>
            </w:tc>
          </w:sdtContent>
        </w:sdt>
      </w:tr>
    </w:tbl>
    <w:p w14:paraId="2CDF81B9" w14:textId="77777777" w:rsidR="00F3337C" w:rsidRPr="00226744" w:rsidRDefault="00F3337C" w:rsidP="008F3D71"/>
    <w:p w14:paraId="7260BBE6" w14:textId="77777777" w:rsidR="00226744" w:rsidRDefault="00F3337C" w:rsidP="008F3D71">
      <w:pPr>
        <w:spacing w:after="120"/>
        <w:ind w:left="-851"/>
      </w:pPr>
      <w:r w:rsidRPr="00226744">
        <w:t>Methodology Review Group (MRG)</w:t>
      </w:r>
    </w:p>
    <w:p w14:paraId="158072D2" w14:textId="0415632A" w:rsidR="00F3337C" w:rsidRPr="00226744" w:rsidRDefault="00226744" w:rsidP="008F3D71">
      <w:pPr>
        <w:spacing w:after="120"/>
        <w:ind w:left="-851"/>
      </w:pPr>
      <w:r w:rsidRPr="00226744">
        <w:rPr>
          <w:i/>
        </w:rPr>
        <w:t>Outcome of MRG consideration:</w:t>
      </w:r>
    </w:p>
    <w:tbl>
      <w:tblPr>
        <w:tblStyle w:val="TableGrid1"/>
        <w:tblW w:w="7213" w:type="dxa"/>
        <w:tblLook w:val="01E0" w:firstRow="1" w:lastRow="1" w:firstColumn="1" w:lastColumn="1" w:noHBand="0" w:noVBand="0"/>
      </w:tblPr>
      <w:tblGrid>
        <w:gridCol w:w="6500"/>
        <w:gridCol w:w="713"/>
      </w:tblGrid>
      <w:tr w:rsidR="00226744" w:rsidRPr="00226744" w14:paraId="1F08FF96" w14:textId="77777777" w:rsidTr="00561571">
        <w:trPr>
          <w:trHeight w:val="230"/>
        </w:trPr>
        <w:tc>
          <w:tcPr>
            <w:tcW w:w="6500" w:type="dxa"/>
          </w:tcPr>
          <w:p w14:paraId="4F86B040" w14:textId="4E9CFD6B" w:rsidR="00226744" w:rsidRPr="00226744" w:rsidRDefault="00226744" w:rsidP="00F3337C">
            <w:pPr>
              <w:pStyle w:val="ListParagraph"/>
              <w:numPr>
                <w:ilvl w:val="0"/>
                <w:numId w:val="28"/>
              </w:numPr>
              <w:spacing w:after="0" w:line="240" w:lineRule="auto"/>
              <w:rPr>
                <w:b/>
              </w:rPr>
            </w:pPr>
            <w:r w:rsidRPr="00226744">
              <w:rPr>
                <w:b/>
              </w:rPr>
              <w:t>No significant issues identified</w:t>
            </w:r>
          </w:p>
        </w:tc>
        <w:sdt>
          <w:sdtPr>
            <w:id w:val="1710449055"/>
            <w14:checkbox>
              <w14:checked w14:val="0"/>
              <w14:checkedState w14:val="2612" w14:font="MS Gothic"/>
              <w14:uncheckedState w14:val="2610" w14:font="MS Gothic"/>
            </w14:checkbox>
          </w:sdtPr>
          <w:sdtEndPr/>
          <w:sdtContent>
            <w:tc>
              <w:tcPr>
                <w:tcW w:w="713" w:type="dxa"/>
              </w:tcPr>
              <w:p w14:paraId="7D24637C" w14:textId="77777777" w:rsidR="00226744" w:rsidRPr="00226744" w:rsidRDefault="00226744" w:rsidP="008F3D71">
                <w:pPr>
                  <w:jc w:val="center"/>
                </w:pPr>
                <w:r w:rsidRPr="00226744">
                  <w:rPr>
                    <w:rFonts w:ascii="Segoe UI Symbol" w:eastAsia="MS Gothic" w:hAnsi="Segoe UI Symbol" w:cs="Segoe UI Symbol"/>
                  </w:rPr>
                  <w:t>☐</w:t>
                </w:r>
              </w:p>
            </w:tc>
          </w:sdtContent>
        </w:sdt>
      </w:tr>
      <w:tr w:rsidR="00226744" w:rsidRPr="00226744" w14:paraId="0BC817E3" w14:textId="77777777" w:rsidTr="00561571">
        <w:trPr>
          <w:trHeight w:val="234"/>
        </w:trPr>
        <w:tc>
          <w:tcPr>
            <w:tcW w:w="6500" w:type="dxa"/>
          </w:tcPr>
          <w:p w14:paraId="752272EF" w14:textId="77777777" w:rsidR="00226744" w:rsidRPr="00226744" w:rsidRDefault="00226744" w:rsidP="00F3337C">
            <w:pPr>
              <w:pStyle w:val="ListParagraph"/>
              <w:numPr>
                <w:ilvl w:val="0"/>
                <w:numId w:val="28"/>
              </w:numPr>
              <w:spacing w:after="0" w:line="240" w:lineRule="auto"/>
              <w:rPr>
                <w:b/>
              </w:rPr>
            </w:pPr>
            <w:r w:rsidRPr="00226744">
              <w:rPr>
                <w:b/>
              </w:rPr>
              <w:t>No significant issues on basis of completion of outstanding actions</w:t>
            </w:r>
          </w:p>
        </w:tc>
        <w:sdt>
          <w:sdtPr>
            <w:id w:val="1461998664"/>
            <w14:checkbox>
              <w14:checked w14:val="0"/>
              <w14:checkedState w14:val="2612" w14:font="MS Gothic"/>
              <w14:uncheckedState w14:val="2610" w14:font="MS Gothic"/>
            </w14:checkbox>
          </w:sdtPr>
          <w:sdtEndPr/>
          <w:sdtContent>
            <w:tc>
              <w:tcPr>
                <w:tcW w:w="713" w:type="dxa"/>
              </w:tcPr>
              <w:p w14:paraId="45A0229A" w14:textId="77777777" w:rsidR="00226744" w:rsidRPr="00226744" w:rsidRDefault="00226744" w:rsidP="008F3D71">
                <w:pPr>
                  <w:jc w:val="center"/>
                </w:pPr>
                <w:r w:rsidRPr="00226744">
                  <w:rPr>
                    <w:rFonts w:ascii="Segoe UI Symbol" w:eastAsia="MS Gothic" w:hAnsi="Segoe UI Symbol" w:cs="Segoe UI Symbol"/>
                  </w:rPr>
                  <w:t>☐</w:t>
                </w:r>
              </w:p>
            </w:tc>
          </w:sdtContent>
        </w:sdt>
      </w:tr>
      <w:tr w:rsidR="00226744" w:rsidRPr="00226744" w14:paraId="09EAB935" w14:textId="77777777" w:rsidTr="00561571">
        <w:trPr>
          <w:trHeight w:val="225"/>
        </w:trPr>
        <w:tc>
          <w:tcPr>
            <w:tcW w:w="6500" w:type="dxa"/>
          </w:tcPr>
          <w:p w14:paraId="0EBE5E54" w14:textId="77777777" w:rsidR="00226744" w:rsidRPr="00226744" w:rsidRDefault="00226744" w:rsidP="00F3337C">
            <w:pPr>
              <w:pStyle w:val="ListParagraph"/>
              <w:numPr>
                <w:ilvl w:val="0"/>
                <w:numId w:val="28"/>
              </w:numPr>
              <w:spacing w:after="0" w:line="240" w:lineRule="auto"/>
              <w:rPr>
                <w:b/>
              </w:rPr>
            </w:pPr>
            <w:r w:rsidRPr="00226744">
              <w:rPr>
                <w:b/>
              </w:rPr>
              <w:t>Some concerns expressed as caveats or limitations</w:t>
            </w:r>
          </w:p>
        </w:tc>
        <w:sdt>
          <w:sdtPr>
            <w:id w:val="542646888"/>
            <w14:checkbox>
              <w14:checked w14:val="0"/>
              <w14:checkedState w14:val="2612" w14:font="MS Gothic"/>
              <w14:uncheckedState w14:val="2610" w14:font="MS Gothic"/>
            </w14:checkbox>
          </w:sdtPr>
          <w:sdtEndPr/>
          <w:sdtContent>
            <w:tc>
              <w:tcPr>
                <w:tcW w:w="713" w:type="dxa"/>
              </w:tcPr>
              <w:p w14:paraId="3835625B" w14:textId="77777777" w:rsidR="00226744" w:rsidRPr="00226744" w:rsidRDefault="00226744" w:rsidP="008F3D71">
                <w:pPr>
                  <w:jc w:val="center"/>
                </w:pPr>
                <w:r w:rsidRPr="00226744">
                  <w:rPr>
                    <w:rFonts w:ascii="Segoe UI Symbol" w:eastAsia="MS Gothic" w:hAnsi="Segoe UI Symbol" w:cs="Segoe UI Symbol"/>
                  </w:rPr>
                  <w:t>☐</w:t>
                </w:r>
              </w:p>
            </w:tc>
          </w:sdtContent>
        </w:sdt>
      </w:tr>
      <w:tr w:rsidR="00226744" w:rsidRPr="00226744" w14:paraId="4A5DA69B" w14:textId="77777777" w:rsidTr="00561571">
        <w:trPr>
          <w:trHeight w:val="225"/>
        </w:trPr>
        <w:tc>
          <w:tcPr>
            <w:tcW w:w="6500" w:type="dxa"/>
          </w:tcPr>
          <w:p w14:paraId="1C6DB1C8" w14:textId="77777777" w:rsidR="00226744" w:rsidRPr="00226744" w:rsidRDefault="00226744" w:rsidP="00F3337C">
            <w:pPr>
              <w:pStyle w:val="ListParagraph"/>
              <w:numPr>
                <w:ilvl w:val="0"/>
                <w:numId w:val="28"/>
              </w:numPr>
              <w:spacing w:after="0" w:line="240" w:lineRule="auto"/>
              <w:rPr>
                <w:b/>
              </w:rPr>
            </w:pPr>
            <w:r w:rsidRPr="00226744">
              <w:rPr>
                <w:b/>
              </w:rPr>
              <w:t>Significant reservations</w:t>
            </w:r>
          </w:p>
        </w:tc>
        <w:sdt>
          <w:sdtPr>
            <w:id w:val="374438656"/>
            <w14:checkbox>
              <w14:checked w14:val="0"/>
              <w14:checkedState w14:val="2612" w14:font="MS Gothic"/>
              <w14:uncheckedState w14:val="2610" w14:font="MS Gothic"/>
            </w14:checkbox>
          </w:sdtPr>
          <w:sdtEndPr/>
          <w:sdtContent>
            <w:tc>
              <w:tcPr>
                <w:tcW w:w="713" w:type="dxa"/>
              </w:tcPr>
              <w:p w14:paraId="374A0413" w14:textId="77777777" w:rsidR="00226744" w:rsidRPr="00226744" w:rsidRDefault="00226744" w:rsidP="008F3D71">
                <w:pPr>
                  <w:jc w:val="center"/>
                </w:pPr>
                <w:r w:rsidRPr="00226744">
                  <w:rPr>
                    <w:rFonts w:ascii="Segoe UI Symbol" w:eastAsia="MS Gothic" w:hAnsi="Segoe UI Symbol" w:cs="Segoe UI Symbol"/>
                  </w:rPr>
                  <w:t>☐</w:t>
                </w:r>
              </w:p>
            </w:tc>
          </w:sdtContent>
        </w:sdt>
      </w:tr>
      <w:tr w:rsidR="00226744" w:rsidRPr="00226744" w14:paraId="08D3B9F9" w14:textId="77777777" w:rsidTr="00561571">
        <w:trPr>
          <w:trHeight w:val="225"/>
        </w:trPr>
        <w:tc>
          <w:tcPr>
            <w:tcW w:w="6500" w:type="dxa"/>
          </w:tcPr>
          <w:p w14:paraId="33F03554" w14:textId="77777777" w:rsidR="00226744" w:rsidRPr="00226744" w:rsidRDefault="00226744" w:rsidP="00F3337C">
            <w:pPr>
              <w:pStyle w:val="ListParagraph"/>
              <w:numPr>
                <w:ilvl w:val="0"/>
                <w:numId w:val="28"/>
              </w:numPr>
              <w:spacing w:after="0" w:line="240" w:lineRule="auto"/>
              <w:rPr>
                <w:b/>
              </w:rPr>
            </w:pPr>
            <w:r w:rsidRPr="00226744">
              <w:rPr>
                <w:b/>
              </w:rPr>
              <w:lastRenderedPageBreak/>
              <w:t>Unresolved issues</w:t>
            </w:r>
          </w:p>
        </w:tc>
        <w:sdt>
          <w:sdtPr>
            <w:id w:val="-1882858430"/>
            <w14:checkbox>
              <w14:checked w14:val="0"/>
              <w14:checkedState w14:val="2612" w14:font="MS Gothic"/>
              <w14:uncheckedState w14:val="2610" w14:font="MS Gothic"/>
            </w14:checkbox>
          </w:sdtPr>
          <w:sdtEndPr/>
          <w:sdtContent>
            <w:tc>
              <w:tcPr>
                <w:tcW w:w="713" w:type="dxa"/>
              </w:tcPr>
              <w:p w14:paraId="213AB9D3" w14:textId="77777777" w:rsidR="00226744" w:rsidRPr="00226744" w:rsidRDefault="00226744" w:rsidP="008F3D71">
                <w:pPr>
                  <w:jc w:val="center"/>
                </w:pPr>
                <w:r w:rsidRPr="00226744">
                  <w:rPr>
                    <w:rFonts w:ascii="Segoe UI Symbol" w:eastAsia="MS Gothic" w:hAnsi="Segoe UI Symbol" w:cs="Segoe UI Symbol"/>
                  </w:rPr>
                  <w:t>☐</w:t>
                </w:r>
              </w:p>
            </w:tc>
          </w:sdtContent>
        </w:sdt>
      </w:tr>
    </w:tbl>
    <w:p w14:paraId="3D92314A" w14:textId="77777777" w:rsidR="00F3337C" w:rsidRPr="00226744" w:rsidRDefault="00F3337C" w:rsidP="008F3D71">
      <w:pPr>
        <w:ind w:left="-540"/>
      </w:pPr>
    </w:p>
    <w:p w14:paraId="6F74C619" w14:textId="77777777" w:rsidR="00226744" w:rsidRDefault="00F3337C" w:rsidP="008F3D71">
      <w:pPr>
        <w:spacing w:after="120"/>
        <w:ind w:left="-851"/>
        <w:rPr>
          <w:i/>
        </w:rPr>
      </w:pPr>
      <w:r w:rsidRPr="00226744">
        <w:t>Indicator Governance Board (IGB)</w:t>
      </w:r>
      <w:r w:rsidR="00226744" w:rsidRPr="00226744">
        <w:rPr>
          <w:i/>
        </w:rPr>
        <w:t xml:space="preserve"> </w:t>
      </w:r>
    </w:p>
    <w:p w14:paraId="5B232C34" w14:textId="77777777" w:rsidR="00226744" w:rsidRDefault="00226744" w:rsidP="008F3D71">
      <w:pPr>
        <w:spacing w:after="120"/>
        <w:ind w:left="-851"/>
        <w:rPr>
          <w:i/>
        </w:rPr>
      </w:pPr>
    </w:p>
    <w:p w14:paraId="2C79C7B0" w14:textId="6DE090E2" w:rsidR="00F3337C" w:rsidRPr="00226744" w:rsidRDefault="00226744" w:rsidP="008F3D71">
      <w:pPr>
        <w:spacing w:after="120"/>
        <w:ind w:left="-851"/>
      </w:pPr>
      <w:r w:rsidRPr="00226744">
        <w:rPr>
          <w:i/>
        </w:rPr>
        <w:t>Final Appraisal Status</w:t>
      </w:r>
    </w:p>
    <w:tbl>
      <w:tblPr>
        <w:tblStyle w:val="TableGrid1"/>
        <w:tblW w:w="7221" w:type="dxa"/>
        <w:tblLook w:val="01E0" w:firstRow="1" w:lastRow="1" w:firstColumn="1" w:lastColumn="1" w:noHBand="0" w:noVBand="0"/>
      </w:tblPr>
      <w:tblGrid>
        <w:gridCol w:w="6508"/>
        <w:gridCol w:w="713"/>
      </w:tblGrid>
      <w:tr w:rsidR="00226744" w:rsidRPr="00226744" w14:paraId="7B4337D4" w14:textId="77777777" w:rsidTr="00561571">
        <w:trPr>
          <w:trHeight w:val="230"/>
        </w:trPr>
        <w:tc>
          <w:tcPr>
            <w:tcW w:w="6508" w:type="dxa"/>
          </w:tcPr>
          <w:p w14:paraId="17181B97" w14:textId="77777777" w:rsidR="00226744" w:rsidRPr="00226744" w:rsidRDefault="00226744" w:rsidP="00F3337C">
            <w:pPr>
              <w:pStyle w:val="ListParagraph"/>
              <w:numPr>
                <w:ilvl w:val="0"/>
                <w:numId w:val="30"/>
              </w:numPr>
              <w:spacing w:after="0" w:line="240" w:lineRule="auto"/>
              <w:rPr>
                <w:b/>
              </w:rPr>
            </w:pPr>
            <w:r w:rsidRPr="00226744">
              <w:rPr>
                <w:b/>
              </w:rPr>
              <w:t>Assured</w:t>
            </w:r>
          </w:p>
        </w:tc>
        <w:sdt>
          <w:sdtPr>
            <w:id w:val="-1533957486"/>
            <w14:checkbox>
              <w14:checked w14:val="0"/>
              <w14:checkedState w14:val="2612" w14:font="MS Gothic"/>
              <w14:uncheckedState w14:val="2610" w14:font="MS Gothic"/>
            </w14:checkbox>
          </w:sdtPr>
          <w:sdtEndPr/>
          <w:sdtContent>
            <w:tc>
              <w:tcPr>
                <w:tcW w:w="713" w:type="dxa"/>
              </w:tcPr>
              <w:p w14:paraId="12E7232F" w14:textId="77777777" w:rsidR="00226744" w:rsidRPr="00226744" w:rsidRDefault="00226744" w:rsidP="008F3D71">
                <w:pPr>
                  <w:jc w:val="center"/>
                </w:pPr>
                <w:r w:rsidRPr="00226744">
                  <w:rPr>
                    <w:rFonts w:ascii="Segoe UI Symbol" w:eastAsia="MS Gothic" w:hAnsi="Segoe UI Symbol" w:cs="Segoe UI Symbol"/>
                  </w:rPr>
                  <w:t>☐</w:t>
                </w:r>
              </w:p>
            </w:tc>
          </w:sdtContent>
        </w:sdt>
      </w:tr>
      <w:tr w:rsidR="00226744" w:rsidRPr="00226744" w14:paraId="72C694EF" w14:textId="77777777" w:rsidTr="00561571">
        <w:trPr>
          <w:trHeight w:val="234"/>
        </w:trPr>
        <w:tc>
          <w:tcPr>
            <w:tcW w:w="6508" w:type="dxa"/>
          </w:tcPr>
          <w:p w14:paraId="0E1DAB82" w14:textId="77777777" w:rsidR="00226744" w:rsidRPr="00226744" w:rsidRDefault="00226744" w:rsidP="00F3337C">
            <w:pPr>
              <w:pStyle w:val="ListParagraph"/>
              <w:numPr>
                <w:ilvl w:val="0"/>
                <w:numId w:val="26"/>
              </w:numPr>
              <w:spacing w:after="0" w:line="240" w:lineRule="auto"/>
              <w:rPr>
                <w:b/>
              </w:rPr>
            </w:pPr>
            <w:r w:rsidRPr="00226744">
              <w:rPr>
                <w:b/>
              </w:rPr>
              <w:t>Assured with Comments</w:t>
            </w:r>
          </w:p>
        </w:tc>
        <w:sdt>
          <w:sdtPr>
            <w:id w:val="670753281"/>
            <w14:checkbox>
              <w14:checked w14:val="1"/>
              <w14:checkedState w14:val="2612" w14:font="MS Gothic"/>
              <w14:uncheckedState w14:val="2610" w14:font="MS Gothic"/>
            </w14:checkbox>
          </w:sdtPr>
          <w:sdtEndPr/>
          <w:sdtContent>
            <w:tc>
              <w:tcPr>
                <w:tcW w:w="713" w:type="dxa"/>
              </w:tcPr>
              <w:p w14:paraId="234950A0" w14:textId="77777777" w:rsidR="00226744" w:rsidRPr="00226744" w:rsidRDefault="00226744" w:rsidP="008F3D71">
                <w:pPr>
                  <w:jc w:val="center"/>
                </w:pPr>
                <w:r w:rsidRPr="00226744">
                  <w:rPr>
                    <w:rFonts w:ascii="Segoe UI Symbol" w:eastAsia="MS Gothic" w:hAnsi="Segoe UI Symbol" w:cs="Segoe UI Symbol"/>
                  </w:rPr>
                  <w:t>☒</w:t>
                </w:r>
              </w:p>
            </w:tc>
          </w:sdtContent>
        </w:sdt>
      </w:tr>
      <w:tr w:rsidR="00226744" w:rsidRPr="00226744" w14:paraId="7E9DC15F" w14:textId="77777777" w:rsidTr="00561571">
        <w:trPr>
          <w:trHeight w:val="228"/>
        </w:trPr>
        <w:tc>
          <w:tcPr>
            <w:tcW w:w="6508" w:type="dxa"/>
          </w:tcPr>
          <w:p w14:paraId="6070FA1D" w14:textId="77777777" w:rsidR="00226744" w:rsidRPr="00226744" w:rsidRDefault="00226744" w:rsidP="00F3337C">
            <w:pPr>
              <w:pStyle w:val="ListParagraph"/>
              <w:numPr>
                <w:ilvl w:val="0"/>
                <w:numId w:val="26"/>
              </w:numPr>
              <w:spacing w:after="0" w:line="240" w:lineRule="auto"/>
              <w:rPr>
                <w:b/>
              </w:rPr>
            </w:pPr>
            <w:r w:rsidRPr="00226744">
              <w:rPr>
                <w:b/>
              </w:rPr>
              <w:t>Failed Assurance</w:t>
            </w:r>
          </w:p>
        </w:tc>
        <w:sdt>
          <w:sdtPr>
            <w:id w:val="516811208"/>
            <w14:checkbox>
              <w14:checked w14:val="0"/>
              <w14:checkedState w14:val="2612" w14:font="MS Gothic"/>
              <w14:uncheckedState w14:val="2610" w14:font="MS Gothic"/>
            </w14:checkbox>
          </w:sdtPr>
          <w:sdtEndPr/>
          <w:sdtContent>
            <w:tc>
              <w:tcPr>
                <w:tcW w:w="713" w:type="dxa"/>
              </w:tcPr>
              <w:p w14:paraId="693825DD" w14:textId="77777777" w:rsidR="00226744" w:rsidRPr="00226744" w:rsidRDefault="00226744" w:rsidP="008F3D71">
                <w:pPr>
                  <w:jc w:val="center"/>
                </w:pPr>
                <w:r w:rsidRPr="00226744">
                  <w:rPr>
                    <w:rFonts w:ascii="Segoe UI Symbol" w:eastAsia="MS Gothic" w:hAnsi="Segoe UI Symbol" w:cs="Segoe UI Symbol"/>
                  </w:rPr>
                  <w:t>☐</w:t>
                </w:r>
              </w:p>
            </w:tc>
          </w:sdtContent>
        </w:sdt>
      </w:tr>
    </w:tbl>
    <w:p w14:paraId="05105C1E" w14:textId="77777777" w:rsidR="00F3337C" w:rsidRPr="00226744" w:rsidRDefault="00F3337C" w:rsidP="008F3D71">
      <w:r w:rsidRPr="00226744">
        <w:br w:type="page"/>
      </w:r>
    </w:p>
    <w:p w14:paraId="5FAA8F16" w14:textId="77777777" w:rsidR="00F3337C" w:rsidRPr="00226744" w:rsidRDefault="00F3337C" w:rsidP="008F3D71">
      <w:pPr>
        <w:ind w:left="-851"/>
      </w:pPr>
    </w:p>
    <w:p w14:paraId="2D4034EE" w14:textId="419E5C76" w:rsidR="00F3337C" w:rsidRPr="00226744" w:rsidRDefault="00F3337C" w:rsidP="008F3D71">
      <w:pPr>
        <w:ind w:left="-851"/>
      </w:pPr>
      <w:r w:rsidRPr="00226744">
        <w:rPr>
          <w:b/>
        </w:rPr>
        <w:t xml:space="preserve">Peer Review </w:t>
      </w:r>
      <w:r w:rsidRPr="00226744">
        <w:t xml:space="preserve">Summary </w:t>
      </w:r>
      <w:r w:rsidR="00561571">
        <w:t>– not provided</w:t>
      </w:r>
    </w:p>
    <w:p w14:paraId="133B648E" w14:textId="77777777" w:rsidR="00F3337C" w:rsidRPr="00226744" w:rsidRDefault="00F3337C" w:rsidP="008F3D71">
      <w:pPr>
        <w:ind w:left="-540"/>
      </w:pPr>
    </w:p>
    <w:p w14:paraId="688D6A1C" w14:textId="77777777" w:rsidR="00F3337C" w:rsidRPr="00226744" w:rsidRDefault="00F3337C" w:rsidP="008F3D71"/>
    <w:p w14:paraId="0D87D843" w14:textId="77777777" w:rsidR="00F3337C" w:rsidRPr="00226744" w:rsidRDefault="00F3337C" w:rsidP="008F3D71">
      <w:pPr>
        <w:ind w:left="-540"/>
      </w:pPr>
    </w:p>
    <w:p w14:paraId="2F802A21" w14:textId="77777777" w:rsidR="00F3337C" w:rsidRPr="00226744" w:rsidRDefault="00F3337C" w:rsidP="008F3D71">
      <w:pPr>
        <w:ind w:left="-851"/>
      </w:pPr>
    </w:p>
    <w:p w14:paraId="62DCF8C5" w14:textId="77777777" w:rsidR="00F3337C" w:rsidRPr="00226744" w:rsidRDefault="00F3337C" w:rsidP="008F3D71">
      <w:pPr>
        <w:ind w:left="-851"/>
      </w:pPr>
    </w:p>
    <w:p w14:paraId="52409407" w14:textId="77777777" w:rsidR="00F3337C" w:rsidRPr="00226744" w:rsidRDefault="00F3337C" w:rsidP="008F3D71">
      <w:pPr>
        <w:ind w:left="-851"/>
      </w:pPr>
    </w:p>
    <w:p w14:paraId="127BB10E" w14:textId="77777777" w:rsidR="00F3337C" w:rsidRPr="00226744" w:rsidRDefault="00F3337C" w:rsidP="008F3D71">
      <w:r w:rsidRPr="00226744">
        <w:br w:type="page"/>
      </w:r>
    </w:p>
    <w:p w14:paraId="2E4417C4" w14:textId="77777777" w:rsidR="00F3337C" w:rsidRPr="00226744" w:rsidRDefault="00F3337C" w:rsidP="008F3D71">
      <w:pPr>
        <w:ind w:left="-851"/>
      </w:pPr>
    </w:p>
    <w:p w14:paraId="05507E18" w14:textId="57E51DDA" w:rsidR="00F3337C" w:rsidRDefault="00F3337C" w:rsidP="008F3D71">
      <w:pPr>
        <w:ind w:left="-851"/>
        <w:rPr>
          <w:b/>
        </w:rPr>
      </w:pPr>
      <w:r w:rsidRPr="00226744">
        <w:t xml:space="preserve">Indicator Methodology for Consideration - </w:t>
      </w:r>
      <w:r w:rsidRPr="00226744">
        <w:rPr>
          <w:b/>
        </w:rPr>
        <w:t>Methodology Review Group</w:t>
      </w:r>
    </w:p>
    <w:p w14:paraId="0BB70858" w14:textId="07C7CAC6" w:rsidR="009635BA" w:rsidRDefault="009635BA" w:rsidP="008F3D71">
      <w:pPr>
        <w:ind w:left="-851"/>
        <w:rPr>
          <w:b/>
        </w:rPr>
      </w:pPr>
    </w:p>
    <w:p w14:paraId="16BAC741" w14:textId="08C6B4F6" w:rsidR="009635BA" w:rsidRPr="00226744" w:rsidRDefault="009635BA" w:rsidP="008F3D71">
      <w:pPr>
        <w:ind w:left="-851"/>
        <w:rPr>
          <w:b/>
        </w:rPr>
      </w:pPr>
      <w:r w:rsidRPr="00226744">
        <w:rPr>
          <w:b/>
        </w:rPr>
        <w:t>Initial Indicator Title</w:t>
      </w:r>
    </w:p>
    <w:p w14:paraId="7C02018F" w14:textId="48569187" w:rsidR="00F3337C" w:rsidRDefault="009635BA" w:rsidP="008F3D71">
      <w:pPr>
        <w:ind w:left="-851"/>
        <w:rPr>
          <w:b/>
        </w:rPr>
      </w:pPr>
      <w:r w:rsidRPr="00226744">
        <w:rPr>
          <w:b/>
        </w:rPr>
        <w:t>Unplanned readmissions to Mental Health Services within 30 days of a Mental Health inpatient discharge</w:t>
      </w:r>
    </w:p>
    <w:p w14:paraId="3C19CA46" w14:textId="171A070D" w:rsidR="009635BA" w:rsidRDefault="009635BA" w:rsidP="008F3D71">
      <w:pPr>
        <w:ind w:left="-851"/>
        <w:rPr>
          <w:b/>
        </w:rPr>
      </w:pPr>
      <w:r w:rsidRPr="00226744">
        <w:t>Indicator Set</w:t>
      </w:r>
      <w:r w:rsidRPr="009635BA">
        <w:t xml:space="preserve"> </w:t>
      </w:r>
      <w:r>
        <w:t xml:space="preserve">- </w:t>
      </w:r>
      <w:r w:rsidRPr="00226744">
        <w:t>CCG OIS</w:t>
      </w:r>
    </w:p>
    <w:p w14:paraId="5A9DF512" w14:textId="221829F4" w:rsidR="009635BA" w:rsidRDefault="009635BA" w:rsidP="008F3D71">
      <w:pPr>
        <w:ind w:left="-851"/>
      </w:pPr>
      <w:r w:rsidRPr="00226744">
        <w:t>IAS Ref Code:</w:t>
      </w:r>
    </w:p>
    <w:p w14:paraId="140E3256" w14:textId="7FADC5A9" w:rsidR="009635BA" w:rsidRDefault="009635BA" w:rsidP="008F3D71">
      <w:pPr>
        <w:ind w:left="-851"/>
      </w:pPr>
    </w:p>
    <w:p w14:paraId="2AFBEFA9" w14:textId="77777777" w:rsidR="009635BA" w:rsidRDefault="009635BA" w:rsidP="009635BA">
      <w:pPr>
        <w:ind w:left="-851"/>
      </w:pPr>
      <w:r>
        <w:t>Introduction</w:t>
      </w:r>
    </w:p>
    <w:p w14:paraId="322EB79E" w14:textId="77777777" w:rsidR="009635BA" w:rsidRDefault="009635BA" w:rsidP="009635BA">
      <w:pPr>
        <w:ind w:left="-851"/>
      </w:pPr>
    </w:p>
    <w:p w14:paraId="2B5DA370" w14:textId="77777777" w:rsidR="009635BA" w:rsidRDefault="009635BA" w:rsidP="009635BA">
      <w:pPr>
        <w:ind w:left="-851"/>
      </w:pPr>
      <w:r w:rsidRPr="00226744">
        <w:t>The Clinical Commissioning Group Outcomes Indicator Set (CCG OIS) is an integral part of NHS England’s systematic approach to quality improvement.  It is intended to provide clear, comparative information for CCGs, patients and the public about the quality of health services commissioned by CCGs and the associated health outcomes.  All of the CCG outcomes indicators have been chosen on the basis that they contribute to the overarching aims of the five domains in the NHS Outcomes Framework and it is intended as a tool for CCGs to drive local improvement and set priorities.  Reference: CCG outcomes indicator set – NHS England;</w:t>
      </w:r>
    </w:p>
    <w:p w14:paraId="22CA8460" w14:textId="77777777" w:rsidR="009635BA" w:rsidRDefault="009635BA" w:rsidP="009635BA">
      <w:pPr>
        <w:ind w:left="-851"/>
      </w:pPr>
    </w:p>
    <w:p w14:paraId="3CFE68A0" w14:textId="4253C572" w:rsidR="009635BA" w:rsidRPr="00226744" w:rsidRDefault="009635BA" w:rsidP="009635BA">
      <w:pPr>
        <w:ind w:left="-851"/>
      </w:pPr>
      <w:r w:rsidRPr="00226744">
        <w:t>This indicator will show the proportion of patients over the age of 16 who, having been discharged from Mental Health inpatient Services, are readmitted within 30 days of discharge in an unplanned fashion.</w:t>
      </w:r>
    </w:p>
    <w:p w14:paraId="07009A2B" w14:textId="77777777" w:rsidR="009635BA" w:rsidRPr="00226744" w:rsidRDefault="009635BA" w:rsidP="009635BA"/>
    <w:p w14:paraId="3D272782" w14:textId="77777777" w:rsidR="009635BA" w:rsidRPr="00226744" w:rsidRDefault="009635BA" w:rsidP="009635BA">
      <w:r w:rsidRPr="00226744">
        <w:t>The calculation would be given as a percentage of all those discharged from Mental Health inpatient Services. This would be reported on an individual CCG basis.</w:t>
      </w:r>
    </w:p>
    <w:p w14:paraId="22236F6F" w14:textId="77777777" w:rsidR="009635BA" w:rsidRPr="00226744" w:rsidRDefault="009635BA" w:rsidP="009635BA"/>
    <w:p w14:paraId="4476BA8F" w14:textId="77777777" w:rsidR="009635BA" w:rsidRPr="00226744" w:rsidRDefault="009635BA" w:rsidP="009635BA">
      <w:r w:rsidRPr="00226744">
        <w:t>Advice sought from David Daniel for this indicator, particularly regarding the timespan for the numerator. This indicator was also considered by a Quality and Outcomes working group which included clinical representation.</w:t>
      </w:r>
    </w:p>
    <w:p w14:paraId="46CF8AE1" w14:textId="77777777" w:rsidR="009635BA" w:rsidRDefault="009635BA" w:rsidP="008F3D71">
      <w:pPr>
        <w:ind w:left="-851"/>
        <w:rPr>
          <w:b/>
        </w:rPr>
      </w:pPr>
    </w:p>
    <w:p w14:paraId="459B1C54" w14:textId="77777777" w:rsidR="009635BA" w:rsidRDefault="009635BA" w:rsidP="009635BA">
      <w:pPr>
        <w:ind w:left="-851"/>
      </w:pPr>
      <w:r w:rsidRPr="00226744">
        <w:t>Indicator Details - Initial MRG Submission</w:t>
      </w:r>
    </w:p>
    <w:p w14:paraId="40C54483" w14:textId="01DAE54B" w:rsidR="009635BA" w:rsidRPr="00226744" w:rsidRDefault="009635BA" w:rsidP="009635BA">
      <w:pPr>
        <w:ind w:left="-851"/>
      </w:pPr>
      <w:r w:rsidRPr="00226744">
        <w:t>Date of Initial Discussion: 15/11/13</w:t>
      </w:r>
    </w:p>
    <w:p w14:paraId="4DEB70D3" w14:textId="5C5434DA" w:rsidR="009635BA" w:rsidRDefault="009635BA" w:rsidP="008F3D71">
      <w:pPr>
        <w:ind w:left="-851"/>
      </w:pPr>
    </w:p>
    <w:p w14:paraId="257C861C" w14:textId="77777777" w:rsidR="009635BA" w:rsidRPr="00226744" w:rsidRDefault="009635BA" w:rsidP="008F3D71">
      <w:pPr>
        <w:ind w:left="-851"/>
      </w:pPr>
    </w:p>
    <w:tbl>
      <w:tblPr>
        <w:tblStyle w:val="TableGrid"/>
        <w:tblW w:w="0" w:type="auto"/>
        <w:tblInd w:w="-851" w:type="dxa"/>
        <w:tblLook w:val="04A0" w:firstRow="1" w:lastRow="0" w:firstColumn="1" w:lastColumn="0" w:noHBand="0" w:noVBand="1"/>
      </w:tblPr>
      <w:tblGrid>
        <w:gridCol w:w="1285"/>
        <w:gridCol w:w="8531"/>
      </w:tblGrid>
      <w:tr w:rsidR="009635BA" w14:paraId="7845DC5A" w14:textId="77777777" w:rsidTr="009635BA">
        <w:tc>
          <w:tcPr>
            <w:tcW w:w="4508" w:type="dxa"/>
          </w:tcPr>
          <w:p w14:paraId="0DF8FE83" w14:textId="77777777" w:rsidR="009635BA" w:rsidRPr="00226744" w:rsidRDefault="009635BA" w:rsidP="009635BA">
            <w:pPr>
              <w:rPr>
                <w:highlight w:val="yellow"/>
              </w:rPr>
            </w:pPr>
            <w:r w:rsidRPr="00226744">
              <w:t>Rationale / usefulness</w:t>
            </w:r>
            <w:r w:rsidRPr="00226744">
              <w:rPr>
                <w:highlight w:val="yellow"/>
              </w:rPr>
              <w:t xml:space="preserve"> </w:t>
            </w:r>
          </w:p>
          <w:p w14:paraId="7FD2C11D" w14:textId="77777777" w:rsidR="009635BA" w:rsidRDefault="009635BA" w:rsidP="009635BA"/>
        </w:tc>
        <w:tc>
          <w:tcPr>
            <w:tcW w:w="4508" w:type="dxa"/>
          </w:tcPr>
          <w:p w14:paraId="2448AF99" w14:textId="77777777" w:rsidR="009635BA" w:rsidRPr="00226744" w:rsidRDefault="009635BA" w:rsidP="009635BA">
            <w:r w:rsidRPr="00226744">
              <w:t>The NHS Mandate, section 3.5 states:</w:t>
            </w:r>
          </w:p>
          <w:p w14:paraId="1385496A" w14:textId="77777777" w:rsidR="009635BA" w:rsidRPr="00226744" w:rsidRDefault="009635BA" w:rsidP="009635BA">
            <w:r w:rsidRPr="00226744">
              <w:t>“Treating mental and physical health conditions in a coordinated way, and with equal priority, is essential to supporting recovery. Yet people with mental health problems have worse outcomes for their physical healthcare, and those with physical conditions often have mental health needs that go unrecognised. The NHS Commissioning Board’s objective is to put mental health on a par with physical health and close the health gap between people with mental health problems and the population as a whole.”</w:t>
            </w:r>
          </w:p>
          <w:p w14:paraId="7B5E3043" w14:textId="77777777" w:rsidR="009635BA" w:rsidRPr="00226744" w:rsidRDefault="009635BA" w:rsidP="009635BA"/>
          <w:p w14:paraId="676E627D" w14:textId="77777777" w:rsidR="009635BA" w:rsidRPr="00226744" w:rsidRDefault="009635BA" w:rsidP="009635BA">
            <w:r w:rsidRPr="00226744">
              <w:t>The second objective of the Mental Health Outcomes Strategy is for people with a mental health problem to recover. Underpinning that objective is one to ensure that all people with severe mental health problems receive high quality care and treatment in the least restrictive environment. Readmissions is relevant here in two ways:</w:t>
            </w:r>
          </w:p>
          <w:p w14:paraId="10C541D6" w14:textId="77777777" w:rsidR="009635BA" w:rsidRPr="00226744" w:rsidRDefault="009635BA" w:rsidP="009635BA">
            <w:proofErr w:type="spellStart"/>
            <w:r w:rsidRPr="00226744">
              <w:t>i</w:t>
            </w:r>
            <w:proofErr w:type="spellEnd"/>
            <w:r w:rsidRPr="00226744">
              <w:t>)</w:t>
            </w:r>
            <w:r w:rsidRPr="00226744">
              <w:tab/>
              <w:t>High rates of readmission may reflect on the quality of either or both of the inpatient  and  the community care.</w:t>
            </w:r>
          </w:p>
          <w:p w14:paraId="7A7B5BD9" w14:textId="77777777" w:rsidR="009635BA" w:rsidRPr="00226744" w:rsidRDefault="009635BA" w:rsidP="009635BA">
            <w:r w:rsidRPr="00226744">
              <w:lastRenderedPageBreak/>
              <w:t>ii)</w:t>
            </w:r>
            <w:r w:rsidRPr="00226744">
              <w:tab/>
              <w:t>By definition needing to provide inpatient care post readmission when the intention at discharge  was for community service care equates to a failure to provide care in the least restrictive environment</w:t>
            </w:r>
          </w:p>
          <w:p w14:paraId="697F7B02" w14:textId="77777777" w:rsidR="009635BA" w:rsidRPr="00226744" w:rsidRDefault="009635BA" w:rsidP="009635BA">
            <w:r w:rsidRPr="00226744">
              <w:t>It is proposed for this indicator to be included in the third domain of CCGOIS, which, as with the NHS Outcomes Framework, is “Helping people to recover from episodes of ill-health or following injury”.</w:t>
            </w:r>
          </w:p>
          <w:p w14:paraId="5A9EDA36" w14:textId="77777777" w:rsidR="009635BA" w:rsidRPr="00226744" w:rsidRDefault="009635BA" w:rsidP="009635BA">
            <w:r w:rsidRPr="00226744">
              <w:t>The aim of indicators in this domain is to “provide a picture of the NHS’s contribution to minimising the adverse impact of ill-health or injury upon the quality and length of life of those affected”. An overarching indicator in this domain is the percentage of emergency readmissions occurring within 30 days of the last previous discharge. This indicator is generic for both mental and physical health conditions. It is described as one of those measuring failures in the effectiveness of care in the total care system.</w:t>
            </w:r>
          </w:p>
          <w:p w14:paraId="1B262555" w14:textId="77777777" w:rsidR="009635BA" w:rsidRPr="00226744" w:rsidRDefault="009635BA" w:rsidP="009635BA"/>
          <w:p w14:paraId="2172EDF2" w14:textId="77777777" w:rsidR="009635BA" w:rsidRPr="00226744" w:rsidRDefault="009635BA" w:rsidP="009635BA">
            <w:r w:rsidRPr="00226744">
              <w:t>There is a very extensive literature on emergency readmissions in general and on psychiatric readmissions in particular. It is the case that a significant proportion of readmissions are avoidable and also that certain interventions can help to avoid readmission. Examples are better discharge planning and post discharge follow up.</w:t>
            </w:r>
          </w:p>
          <w:p w14:paraId="511F1C01" w14:textId="77777777" w:rsidR="009635BA" w:rsidRPr="00226744" w:rsidRDefault="009635BA" w:rsidP="009635BA">
            <w:r w:rsidRPr="00226744">
              <w:t>The readmission rate is widely used as a proxy measure for avoidable adverse outcomes. However, there are different views in the literature on whether it is actually a suitable quality measure for services. Issues relate to the non-identification of which readmissions are avoidable, the impact of case-mix and its relationship to length of stay.</w:t>
            </w:r>
          </w:p>
          <w:p w14:paraId="53477AFB" w14:textId="77777777" w:rsidR="009635BA" w:rsidRDefault="009635BA" w:rsidP="009635BA"/>
        </w:tc>
      </w:tr>
      <w:tr w:rsidR="009635BA" w14:paraId="7F71AD07" w14:textId="77777777" w:rsidTr="009635BA">
        <w:tc>
          <w:tcPr>
            <w:tcW w:w="4508" w:type="dxa"/>
          </w:tcPr>
          <w:p w14:paraId="2B235B7D" w14:textId="318229F5" w:rsidR="009635BA" w:rsidRDefault="009635BA" w:rsidP="009635BA">
            <w:r w:rsidRPr="00226744">
              <w:lastRenderedPageBreak/>
              <w:t>Data source</w:t>
            </w:r>
          </w:p>
        </w:tc>
        <w:tc>
          <w:tcPr>
            <w:tcW w:w="4508" w:type="dxa"/>
          </w:tcPr>
          <w:p w14:paraId="69905C71" w14:textId="77777777" w:rsidR="009635BA" w:rsidRPr="00226744" w:rsidRDefault="009635BA" w:rsidP="009635BA">
            <w:r w:rsidRPr="00226744">
              <w:t>MHMDS</w:t>
            </w:r>
          </w:p>
          <w:p w14:paraId="62373CFB" w14:textId="77777777" w:rsidR="009635BA" w:rsidRPr="00226744" w:rsidRDefault="009635BA" w:rsidP="009635BA"/>
          <w:p w14:paraId="7C2B5288" w14:textId="77777777" w:rsidR="009635BA" w:rsidRPr="00226744" w:rsidRDefault="009635BA" w:rsidP="009635BA">
            <w:r w:rsidRPr="00226744">
              <w:t>Submission of MHMDS data is mandatory for NHS funded care, including independent sector providers. It is mandated for central submission by the Department of Health and has Review of Central Returns (ROCR) approval ROCR/OR/0017/FT6/002MAND</w:t>
            </w:r>
          </w:p>
          <w:p w14:paraId="250A1415" w14:textId="77777777" w:rsidR="009635BA" w:rsidRPr="00226744" w:rsidRDefault="009635BA" w:rsidP="009635BA"/>
          <w:p w14:paraId="0EB13A08" w14:textId="77777777" w:rsidR="009635BA" w:rsidRPr="00226744" w:rsidRDefault="009635BA" w:rsidP="009635BA">
            <w:r w:rsidRPr="00226744">
              <w:t xml:space="preserve">This document highlights the Data Quality Measures for MHMDS v4.1, indicating acceptable values that can be input to data collection systems: </w:t>
            </w:r>
            <w:hyperlink r:id="rId19" w:history="1">
              <w:r w:rsidRPr="00226744">
                <w:rPr>
                  <w:rStyle w:val="Hyperlink"/>
                  <w:color w:val="auto"/>
                </w:rPr>
                <w:t>http://www.hscic.gov.uk/media/10994/MHMDS-Appx-3-Data-Quality-Measures/xls/Appendix_3_-_MHMDS_v4.1_Data_Quality_Measures.xls</w:t>
              </w:r>
            </w:hyperlink>
            <w:r w:rsidRPr="00226744">
              <w:t xml:space="preserve"> </w:t>
            </w:r>
          </w:p>
          <w:p w14:paraId="400BF490" w14:textId="77777777" w:rsidR="009635BA" w:rsidRPr="00226744" w:rsidRDefault="009635BA" w:rsidP="009635BA"/>
          <w:p w14:paraId="25B1FFDF" w14:textId="77777777" w:rsidR="009635BA" w:rsidRPr="00226744" w:rsidRDefault="009635BA" w:rsidP="009635BA">
            <w:r w:rsidRPr="00226744">
              <w:t>MHMDS data is updated monthly and routine quarterly reports are available approximately three months following the end of the quarter.  It is envisaged that this indicator will be produced on a quarterly basis.</w:t>
            </w:r>
          </w:p>
          <w:p w14:paraId="06798861" w14:textId="77777777" w:rsidR="009635BA" w:rsidRDefault="009635BA" w:rsidP="009635BA"/>
        </w:tc>
      </w:tr>
      <w:tr w:rsidR="009635BA" w14:paraId="6103118D" w14:textId="77777777" w:rsidTr="009635BA">
        <w:tc>
          <w:tcPr>
            <w:tcW w:w="4508" w:type="dxa"/>
          </w:tcPr>
          <w:p w14:paraId="38B1D365" w14:textId="77777777" w:rsidR="009635BA" w:rsidRPr="00226744" w:rsidRDefault="009635BA" w:rsidP="009635BA">
            <w:r w:rsidRPr="00226744">
              <w:t>Construction</w:t>
            </w:r>
          </w:p>
          <w:p w14:paraId="4707E3CC" w14:textId="1907AB2D" w:rsidR="009635BA" w:rsidRDefault="009635BA" w:rsidP="009635BA">
            <w:r w:rsidRPr="00226744">
              <w:t xml:space="preserve"> </w:t>
            </w:r>
          </w:p>
        </w:tc>
        <w:tc>
          <w:tcPr>
            <w:tcW w:w="4508" w:type="dxa"/>
          </w:tcPr>
          <w:p w14:paraId="563E9CE3" w14:textId="77777777" w:rsidR="009635BA" w:rsidRPr="00226744" w:rsidRDefault="009635BA" w:rsidP="009635BA">
            <w:pPr>
              <w:rPr>
                <w:b/>
                <w:i/>
              </w:rPr>
            </w:pPr>
            <w:r w:rsidRPr="00226744">
              <w:rPr>
                <w:b/>
                <w:i/>
              </w:rPr>
              <w:t>Summary description of the calculation:</w:t>
            </w:r>
          </w:p>
          <w:p w14:paraId="3B158B81" w14:textId="77777777" w:rsidR="009635BA" w:rsidRPr="00226744" w:rsidRDefault="009635BA" w:rsidP="009635BA">
            <w:r w:rsidRPr="00226744">
              <w:t>Calculated as a percentage at CCG level.</w:t>
            </w:r>
          </w:p>
          <w:p w14:paraId="4495A1F0" w14:textId="77777777" w:rsidR="009635BA" w:rsidRPr="00226744" w:rsidRDefault="009635BA" w:rsidP="009635BA"/>
          <w:p w14:paraId="3B72585E" w14:textId="77777777" w:rsidR="009635BA" w:rsidRPr="00226744" w:rsidRDefault="009635BA" w:rsidP="009635BA">
            <w:r w:rsidRPr="00226744">
              <w:t>[ X / Y ] x 100 = The rate of readmission to Mental Health inpatient Services within 30 days of a discharge, given by CCG.</w:t>
            </w:r>
          </w:p>
          <w:p w14:paraId="14BAE580" w14:textId="77777777" w:rsidR="009635BA" w:rsidRDefault="009635BA" w:rsidP="009635BA"/>
        </w:tc>
      </w:tr>
      <w:tr w:rsidR="009635BA" w14:paraId="3F73F6A1" w14:textId="77777777" w:rsidTr="009635BA">
        <w:tc>
          <w:tcPr>
            <w:tcW w:w="4508" w:type="dxa"/>
          </w:tcPr>
          <w:p w14:paraId="4DC534F3" w14:textId="77777777" w:rsidR="009635BA" w:rsidRDefault="009635BA" w:rsidP="009635BA"/>
        </w:tc>
        <w:tc>
          <w:tcPr>
            <w:tcW w:w="4508" w:type="dxa"/>
          </w:tcPr>
          <w:p w14:paraId="218D293E" w14:textId="2CB4E25F" w:rsidR="009635BA" w:rsidRDefault="009635BA" w:rsidP="009635BA">
            <w:r w:rsidRPr="00226744">
              <w:rPr>
                <w:b/>
                <w:i/>
              </w:rPr>
              <w:t>Calculation type:</w:t>
            </w:r>
            <w:r w:rsidRPr="00226744">
              <w:t xml:space="preserve"> Calculated as a percentage at CCG level.</w:t>
            </w:r>
          </w:p>
        </w:tc>
      </w:tr>
      <w:tr w:rsidR="009635BA" w14:paraId="15E2BFBA" w14:textId="77777777" w:rsidTr="009635BA">
        <w:tc>
          <w:tcPr>
            <w:tcW w:w="4508" w:type="dxa"/>
          </w:tcPr>
          <w:p w14:paraId="5EC966C9" w14:textId="77777777" w:rsidR="009635BA" w:rsidRDefault="009635BA" w:rsidP="009635BA"/>
        </w:tc>
        <w:tc>
          <w:tcPr>
            <w:tcW w:w="4508" w:type="dxa"/>
          </w:tcPr>
          <w:p w14:paraId="325D1048" w14:textId="77777777" w:rsidR="009635BA" w:rsidRPr="00226744" w:rsidRDefault="009635BA" w:rsidP="009635BA">
            <w:pPr>
              <w:rPr>
                <w:b/>
                <w:i/>
              </w:rPr>
            </w:pPr>
            <w:r w:rsidRPr="00226744">
              <w:rPr>
                <w:b/>
                <w:i/>
              </w:rPr>
              <w:t>Denominator:</w:t>
            </w:r>
          </w:p>
          <w:p w14:paraId="374675B8" w14:textId="77777777" w:rsidR="009635BA" w:rsidRPr="00226744" w:rsidRDefault="009635BA" w:rsidP="009635BA">
            <w:r w:rsidRPr="00226744">
              <w:t>The number of inpatient discharges from a general psychiatric hospital in the reporting period.</w:t>
            </w:r>
          </w:p>
          <w:p w14:paraId="251EEC56" w14:textId="77777777" w:rsidR="009635BA" w:rsidRPr="00226744" w:rsidRDefault="009635BA" w:rsidP="009635BA"/>
          <w:p w14:paraId="2E5D6693" w14:textId="77777777" w:rsidR="009635BA" w:rsidRPr="00226744" w:rsidRDefault="009635BA" w:rsidP="009635BA">
            <w:r w:rsidRPr="00226744">
              <w:lastRenderedPageBreak/>
              <w:t>Where a patient has more than one discharge in the reporting period, each discharge is counted separately</w:t>
            </w:r>
          </w:p>
          <w:p w14:paraId="5034EC3E" w14:textId="77777777" w:rsidR="009635BA" w:rsidRPr="00226744" w:rsidRDefault="009635BA" w:rsidP="009635BA"/>
          <w:p w14:paraId="1957F45F" w14:textId="77777777" w:rsidR="009635BA" w:rsidRPr="00226744" w:rsidRDefault="009635BA" w:rsidP="009635BA">
            <w:r w:rsidRPr="00226744">
              <w:t xml:space="preserve">WHERE </w:t>
            </w:r>
            <w:proofErr w:type="spellStart"/>
            <w:r w:rsidRPr="00226744">
              <w:t>MHD_EpiType</w:t>
            </w:r>
            <w:proofErr w:type="spellEnd"/>
            <w:r w:rsidRPr="00226744">
              <w:t xml:space="preserve"> = 'PROSP'</w:t>
            </w:r>
          </w:p>
          <w:p w14:paraId="5E469EED" w14:textId="77777777" w:rsidR="009635BA" w:rsidRPr="00226744" w:rsidRDefault="009635BA" w:rsidP="009635BA">
            <w:r w:rsidRPr="00226744">
              <w:t xml:space="preserve">                AND </w:t>
            </w:r>
            <w:proofErr w:type="spellStart"/>
            <w:r w:rsidRPr="00226744">
              <w:t>ep.MHD_EpiEnd_Date</w:t>
            </w:r>
            <w:proofErr w:type="spellEnd"/>
            <w:r w:rsidRPr="00226744">
              <w:t xml:space="preserve"> IS NOT NULL</w:t>
            </w:r>
          </w:p>
          <w:p w14:paraId="564BCFB3" w14:textId="77777777" w:rsidR="009635BA" w:rsidRPr="00226744" w:rsidRDefault="009635BA" w:rsidP="009635BA">
            <w:pPr>
              <w:rPr>
                <w:b/>
                <w:i/>
              </w:rPr>
            </w:pPr>
          </w:p>
          <w:p w14:paraId="356BEB8E" w14:textId="77777777" w:rsidR="009635BA" w:rsidRPr="00226744" w:rsidRDefault="009635BA" w:rsidP="009635BA">
            <w:r w:rsidRPr="00226744">
              <w:rPr>
                <w:b/>
                <w:i/>
              </w:rPr>
              <w:t>Numerator:</w:t>
            </w:r>
            <w:r w:rsidRPr="00226744">
              <w:t xml:space="preserve"> </w:t>
            </w:r>
          </w:p>
          <w:p w14:paraId="08388526" w14:textId="77777777" w:rsidR="009635BA" w:rsidRPr="00226744" w:rsidRDefault="009635BA" w:rsidP="009635BA">
            <w:r w:rsidRPr="00226744">
              <w:t>Of people in the denominator, the number who were readmitted to Mental Health inpatient services within 30 days of their discharge date.</w:t>
            </w:r>
          </w:p>
          <w:p w14:paraId="7B58BF1E" w14:textId="77777777" w:rsidR="009635BA" w:rsidRPr="00226744" w:rsidRDefault="009635BA" w:rsidP="009635BA"/>
          <w:p w14:paraId="16A8EA92" w14:textId="77777777" w:rsidR="009635BA" w:rsidRPr="00226744" w:rsidRDefault="009635BA" w:rsidP="009635BA">
            <w:r w:rsidRPr="00226744">
              <w:t>Exclusions:</w:t>
            </w:r>
          </w:p>
          <w:p w14:paraId="693BA280" w14:textId="77777777" w:rsidR="009635BA" w:rsidRPr="00226744" w:rsidRDefault="009635BA" w:rsidP="009635BA">
            <w:r w:rsidRPr="00226744">
              <w:t>•</w:t>
            </w:r>
            <w:r w:rsidRPr="00226744">
              <w:tab/>
              <w:t>Patients with a booked or planned admission (admission types 11, 12, 13, 81)</w:t>
            </w:r>
          </w:p>
          <w:p w14:paraId="2FD602EF" w14:textId="77777777" w:rsidR="009635BA" w:rsidRPr="00226744" w:rsidRDefault="009635BA" w:rsidP="009635BA">
            <w:r w:rsidRPr="00226744">
              <w:t>•</w:t>
            </w:r>
            <w:r w:rsidRPr="00226744">
              <w:tab/>
              <w:t>Patients transferred to another provider</w:t>
            </w:r>
          </w:p>
          <w:p w14:paraId="403B5D05" w14:textId="77777777" w:rsidR="009635BA" w:rsidRPr="00226744" w:rsidRDefault="009635BA" w:rsidP="009635BA">
            <w:r w:rsidRPr="00226744">
              <w:t>•</w:t>
            </w:r>
            <w:r w:rsidRPr="00226744">
              <w:tab/>
              <w:t>Patients under 16 at the time of discharge are excluded from this indicator</w:t>
            </w:r>
          </w:p>
          <w:p w14:paraId="406C6C9F" w14:textId="77777777" w:rsidR="009635BA" w:rsidRPr="00226744" w:rsidRDefault="009635BA" w:rsidP="009635BA">
            <w:r w:rsidRPr="00226744">
              <w:t>•</w:t>
            </w:r>
            <w:r w:rsidRPr="00226744">
              <w:tab/>
              <w:t>Based on the month before the reporting period (RP-1) because of the potential 30 day overlap between reporting periods.</w:t>
            </w:r>
          </w:p>
          <w:p w14:paraId="6F79273A" w14:textId="77777777" w:rsidR="009635BA" w:rsidRDefault="009635BA" w:rsidP="009635BA"/>
        </w:tc>
      </w:tr>
      <w:tr w:rsidR="009635BA" w14:paraId="495DAF7F" w14:textId="77777777" w:rsidTr="009635BA">
        <w:tc>
          <w:tcPr>
            <w:tcW w:w="4508" w:type="dxa"/>
          </w:tcPr>
          <w:p w14:paraId="36E20C87" w14:textId="77777777" w:rsidR="009635BA" w:rsidRDefault="009635BA" w:rsidP="009635BA"/>
        </w:tc>
        <w:tc>
          <w:tcPr>
            <w:tcW w:w="4508" w:type="dxa"/>
          </w:tcPr>
          <w:p w14:paraId="1A8FE781" w14:textId="77777777" w:rsidR="009635BA" w:rsidRPr="00226744" w:rsidRDefault="009635BA" w:rsidP="009635BA">
            <w:pPr>
              <w:rPr>
                <w:b/>
                <w:i/>
              </w:rPr>
            </w:pPr>
            <w:r w:rsidRPr="00226744">
              <w:rPr>
                <w:b/>
                <w:i/>
              </w:rPr>
              <w:t>Statistical Methods / Risk adjustment variables:</w:t>
            </w:r>
          </w:p>
          <w:p w14:paraId="1DB10E3E" w14:textId="77777777" w:rsidR="009635BA" w:rsidRPr="00226744" w:rsidRDefault="009635BA" w:rsidP="009635BA"/>
          <w:p w14:paraId="2C7C13DA" w14:textId="77777777" w:rsidR="009635BA" w:rsidRPr="00226744" w:rsidRDefault="009635BA" w:rsidP="009635BA">
            <w:r w:rsidRPr="00226744">
              <w:t>It was agreed that, where standardisation was necessary, indicators within the CCG OIS would be directly standardised. However, due to the small numbers in certain age bands and the need for a standard population, it is proposed for this indicator to be indirectly standardised by age and sex. This would align to other readmission indicators currently published on the HSCIC Indicator Portal, which all use indirect standardisation.</w:t>
            </w:r>
          </w:p>
          <w:p w14:paraId="1907553C" w14:textId="77777777" w:rsidR="009635BA" w:rsidRDefault="009635BA" w:rsidP="009635BA"/>
        </w:tc>
      </w:tr>
      <w:tr w:rsidR="009635BA" w14:paraId="3223B2EF" w14:textId="77777777" w:rsidTr="009635BA">
        <w:tc>
          <w:tcPr>
            <w:tcW w:w="4508" w:type="dxa"/>
          </w:tcPr>
          <w:p w14:paraId="19A0FF33" w14:textId="77777777" w:rsidR="009635BA" w:rsidRDefault="009635BA" w:rsidP="009635BA"/>
        </w:tc>
        <w:tc>
          <w:tcPr>
            <w:tcW w:w="4508" w:type="dxa"/>
          </w:tcPr>
          <w:p w14:paraId="1E944FB8" w14:textId="77777777" w:rsidR="009635BA" w:rsidRPr="00226744" w:rsidRDefault="009635BA" w:rsidP="009635BA">
            <w:pPr>
              <w:rPr>
                <w:b/>
                <w:i/>
              </w:rPr>
            </w:pPr>
            <w:r w:rsidRPr="00226744">
              <w:rPr>
                <w:b/>
                <w:i/>
              </w:rPr>
              <w:t>Other (Quality assurance/interpretation/known limitations):</w:t>
            </w:r>
          </w:p>
          <w:p w14:paraId="3AC317F7" w14:textId="77777777" w:rsidR="009635BA" w:rsidRPr="00226744" w:rsidRDefault="009635BA" w:rsidP="009635BA">
            <w:pPr>
              <w:rPr>
                <w:b/>
                <w:i/>
              </w:rPr>
            </w:pPr>
          </w:p>
          <w:p w14:paraId="697B3B90" w14:textId="77777777" w:rsidR="009635BA" w:rsidRPr="00226744" w:rsidRDefault="009635BA" w:rsidP="009635BA">
            <w:r w:rsidRPr="00226744">
              <w:t xml:space="preserve">This document highlights the Data Quality Measures for MHMDS v4.1, indicating acceptable values that can be input to data collection systems: </w:t>
            </w:r>
            <w:hyperlink r:id="rId20" w:history="1">
              <w:r w:rsidRPr="00226744">
                <w:rPr>
                  <w:rStyle w:val="Hyperlink"/>
                  <w:color w:val="auto"/>
                </w:rPr>
                <w:t>http://www.hscic.gov.uk/media/10994/MHMDS-Appx-3-Data-Quality-Measures/xls/Appendix_3_-_MHMDS_v4.1_Data_Quality_Measures.xls</w:t>
              </w:r>
            </w:hyperlink>
          </w:p>
          <w:p w14:paraId="37A9058A" w14:textId="77777777" w:rsidR="009635BA" w:rsidRPr="00226744" w:rsidRDefault="009635BA" w:rsidP="009635BA"/>
          <w:p w14:paraId="6A464D22" w14:textId="77777777" w:rsidR="009635BA" w:rsidRPr="00226744" w:rsidRDefault="009635BA" w:rsidP="009635BA">
            <w:r w:rsidRPr="00226744">
              <w:t>This indicator will be used at the level of CCG and monitored on a quarterly basis. It will seek to address the question as to whether particular CCGs have higher than expected readmission rates which may reflect upon their inpatient care or upon community care.</w:t>
            </w:r>
          </w:p>
          <w:p w14:paraId="2609EE90" w14:textId="77777777" w:rsidR="009635BA" w:rsidRPr="00226744" w:rsidRDefault="009635BA" w:rsidP="009635BA"/>
          <w:p w14:paraId="506AF41C" w14:textId="6611E2A7" w:rsidR="009635BA" w:rsidRPr="00226744" w:rsidRDefault="009635BA" w:rsidP="009635BA">
            <w:pPr>
              <w:rPr>
                <w:b/>
                <w:i/>
              </w:rPr>
            </w:pPr>
            <w:r w:rsidRPr="00226744">
              <w:t>There are some limitations. The indicator includes all mental health inpatient discharges, irrespective of severity of mental health condition. This raises the problem that CCGs with a higher proportion of complex and severe mental illnesses are likely to have higher readmission rates.</w:t>
            </w:r>
          </w:p>
        </w:tc>
      </w:tr>
      <w:tr w:rsidR="009635BA" w14:paraId="50FD970E" w14:textId="77777777" w:rsidTr="009635BA">
        <w:tc>
          <w:tcPr>
            <w:tcW w:w="4508" w:type="dxa"/>
          </w:tcPr>
          <w:p w14:paraId="2B98DCD6" w14:textId="77777777" w:rsidR="009635BA" w:rsidRPr="00226744" w:rsidRDefault="009635BA" w:rsidP="009635BA">
            <w:r w:rsidRPr="00226744">
              <w:t>Potential Issues</w:t>
            </w:r>
          </w:p>
          <w:p w14:paraId="6CF3E44E" w14:textId="77777777" w:rsidR="009635BA" w:rsidRDefault="009635BA" w:rsidP="009635BA"/>
        </w:tc>
        <w:tc>
          <w:tcPr>
            <w:tcW w:w="4508" w:type="dxa"/>
          </w:tcPr>
          <w:p w14:paraId="638A7028" w14:textId="225CD509" w:rsidR="009635BA" w:rsidRPr="00226744" w:rsidRDefault="009635BA" w:rsidP="009635BA">
            <w:pPr>
              <w:rPr>
                <w:b/>
                <w:i/>
              </w:rPr>
            </w:pPr>
            <w:r w:rsidRPr="00226744">
              <w:t>-</w:t>
            </w:r>
          </w:p>
        </w:tc>
      </w:tr>
      <w:tr w:rsidR="009635BA" w14:paraId="1A57D2DF" w14:textId="77777777" w:rsidTr="009635BA">
        <w:tc>
          <w:tcPr>
            <w:tcW w:w="4508" w:type="dxa"/>
          </w:tcPr>
          <w:p w14:paraId="36417454" w14:textId="77777777" w:rsidR="009635BA" w:rsidRPr="00226744" w:rsidRDefault="009635BA" w:rsidP="009635BA">
            <w:r w:rsidRPr="00226744">
              <w:t>Supporting Documents</w:t>
            </w:r>
          </w:p>
          <w:p w14:paraId="4616329E" w14:textId="77777777" w:rsidR="009635BA" w:rsidRPr="00226744" w:rsidRDefault="009635BA" w:rsidP="009635BA"/>
        </w:tc>
        <w:tc>
          <w:tcPr>
            <w:tcW w:w="4508" w:type="dxa"/>
          </w:tcPr>
          <w:p w14:paraId="081880A7" w14:textId="77777777" w:rsidR="009635BA" w:rsidRPr="00226744" w:rsidRDefault="009635BA" w:rsidP="009635BA">
            <w:pPr>
              <w:spacing w:before="60" w:after="60"/>
              <w:outlineLvl w:val="1"/>
            </w:pPr>
            <w:r w:rsidRPr="00226744">
              <w:t>The NHS Mandate: https://www.gov.uk/government/uploads/system/uploads/attachment_data/file/213131/mandate.pdf</w:t>
            </w:r>
          </w:p>
          <w:p w14:paraId="2F0C3ABF" w14:textId="77777777" w:rsidR="009635BA" w:rsidRPr="00226744" w:rsidRDefault="009635BA" w:rsidP="009635BA">
            <w:pPr>
              <w:spacing w:before="60" w:after="60"/>
              <w:outlineLvl w:val="1"/>
            </w:pPr>
          </w:p>
          <w:p w14:paraId="03366E15" w14:textId="77777777" w:rsidR="009635BA" w:rsidRPr="00226744" w:rsidRDefault="009635BA" w:rsidP="009635BA">
            <w:pPr>
              <w:spacing w:before="60" w:after="60"/>
              <w:outlineLvl w:val="1"/>
            </w:pPr>
            <w:r w:rsidRPr="00226744">
              <w:lastRenderedPageBreak/>
              <w:t>No health without mental health: the mental health strategy for England. 02 February 2011.</w:t>
            </w:r>
          </w:p>
          <w:p w14:paraId="5A29D40C" w14:textId="77777777" w:rsidR="009635BA" w:rsidRPr="00226744" w:rsidRDefault="009635BA" w:rsidP="009635BA">
            <w:pPr>
              <w:spacing w:before="60" w:after="60"/>
              <w:outlineLvl w:val="1"/>
            </w:pPr>
            <w:r w:rsidRPr="00226744">
              <w:t>www.gov.uk/government/publications/the-mental-health-strategy-for-England</w:t>
            </w:r>
          </w:p>
          <w:p w14:paraId="11B8C7F3" w14:textId="77777777" w:rsidR="009635BA" w:rsidRPr="00226744" w:rsidRDefault="009635BA" w:rsidP="009635BA">
            <w:pPr>
              <w:spacing w:before="60" w:after="60"/>
              <w:outlineLvl w:val="1"/>
            </w:pPr>
          </w:p>
          <w:p w14:paraId="78DB7BDB" w14:textId="77777777" w:rsidR="009635BA" w:rsidRPr="00226744" w:rsidRDefault="009635BA" w:rsidP="009635BA">
            <w:pPr>
              <w:spacing w:before="60" w:after="60"/>
              <w:outlineLvl w:val="1"/>
            </w:pPr>
            <w:r w:rsidRPr="00226744">
              <w:t>Preventing emergency readmissions to hospital: a scoping review Jan 2012 www.rand.org/content/dam/rand/pubs/technical-report</w:t>
            </w:r>
          </w:p>
          <w:p w14:paraId="172B84CF" w14:textId="77777777" w:rsidR="009635BA" w:rsidRPr="00226744" w:rsidRDefault="009635BA" w:rsidP="009635BA">
            <w:pPr>
              <w:spacing w:before="60" w:after="60"/>
              <w:outlineLvl w:val="1"/>
            </w:pPr>
          </w:p>
          <w:p w14:paraId="7B92C39A" w14:textId="77777777" w:rsidR="009635BA" w:rsidRPr="00226744" w:rsidRDefault="009635BA" w:rsidP="009635BA">
            <w:pPr>
              <w:spacing w:before="60" w:after="60"/>
              <w:outlineLvl w:val="1"/>
            </w:pPr>
            <w:r w:rsidRPr="00226744">
              <w:t xml:space="preserve">The NHS Outcomes Framework: 2013-14 </w:t>
            </w:r>
          </w:p>
          <w:p w14:paraId="4866D2F2" w14:textId="77777777" w:rsidR="009635BA" w:rsidRPr="00226744" w:rsidRDefault="009635BA" w:rsidP="009635BA">
            <w:pPr>
              <w:spacing w:before="60" w:after="60"/>
              <w:outlineLvl w:val="1"/>
            </w:pPr>
            <w:r w:rsidRPr="00226744">
              <w:t>www.gov.uk/government/publications/nhs-outcomes-framework</w:t>
            </w:r>
          </w:p>
          <w:p w14:paraId="2BB76C40" w14:textId="77777777" w:rsidR="009635BA" w:rsidRPr="00226744" w:rsidRDefault="009635BA" w:rsidP="009635BA">
            <w:pPr>
              <w:spacing w:before="60" w:after="60"/>
              <w:outlineLvl w:val="1"/>
            </w:pPr>
          </w:p>
          <w:p w14:paraId="36C0A107" w14:textId="77777777" w:rsidR="009635BA" w:rsidRPr="00226744" w:rsidRDefault="009635BA" w:rsidP="009635BA">
            <w:pPr>
              <w:spacing w:before="60" w:after="60"/>
              <w:outlineLvl w:val="1"/>
            </w:pPr>
            <w:r w:rsidRPr="00226744">
              <w:t xml:space="preserve">A </w:t>
            </w:r>
            <w:proofErr w:type="spellStart"/>
            <w:r w:rsidRPr="00226744">
              <w:t>meta analysis</w:t>
            </w:r>
            <w:proofErr w:type="spellEnd"/>
            <w:r w:rsidRPr="00226744">
              <w:t xml:space="preserve"> of hospital 30 day avoidable readmission rates Journal of evaluation in clinical practice November 2012</w:t>
            </w:r>
          </w:p>
          <w:p w14:paraId="16EE51DA" w14:textId="77777777" w:rsidR="009635BA" w:rsidRPr="00226744" w:rsidRDefault="009635BA" w:rsidP="009635BA">
            <w:pPr>
              <w:spacing w:before="60" w:after="60"/>
              <w:outlineLvl w:val="1"/>
            </w:pPr>
          </w:p>
          <w:p w14:paraId="4FC6D689" w14:textId="77777777" w:rsidR="009635BA" w:rsidRPr="00226744" w:rsidRDefault="009635BA" w:rsidP="009635BA">
            <w:pPr>
              <w:spacing w:before="60" w:after="60"/>
              <w:outlineLvl w:val="1"/>
            </w:pPr>
            <w:r w:rsidRPr="00226744">
              <w:t xml:space="preserve">Are readmission rates influenced by how psychiatric services are organised </w:t>
            </w:r>
          </w:p>
          <w:p w14:paraId="5CA0A7F2" w14:textId="1A212468" w:rsidR="009635BA" w:rsidRPr="00226744" w:rsidRDefault="009635BA" w:rsidP="009635BA">
            <w:r w:rsidRPr="00226744">
              <w:t>Nordic Journal of Psychiatry 2002</w:t>
            </w:r>
          </w:p>
        </w:tc>
      </w:tr>
    </w:tbl>
    <w:p w14:paraId="07DD323A" w14:textId="46C0EB01" w:rsidR="00F3337C" w:rsidRDefault="00F3337C" w:rsidP="008F3D71">
      <w:pPr>
        <w:ind w:left="-851"/>
      </w:pPr>
    </w:p>
    <w:p w14:paraId="2B60AF9A" w14:textId="501721F6" w:rsidR="009635BA" w:rsidRDefault="009635BA" w:rsidP="009635BA">
      <w:r w:rsidRPr="00226744">
        <w:t>Additional Information / Sample Data :</w:t>
      </w:r>
      <w:r w:rsidRPr="009635BA">
        <w:rPr>
          <w:b/>
          <w:bCs/>
        </w:rPr>
        <w:t xml:space="preserve"> </w:t>
      </w:r>
      <w:r w:rsidRPr="00226744">
        <w:rPr>
          <w:b/>
          <w:bCs/>
        </w:rPr>
        <w:t>Bottom 10 CCGs</w:t>
      </w:r>
    </w:p>
    <w:p w14:paraId="4F8559F7" w14:textId="49D945FA" w:rsidR="009635BA" w:rsidRDefault="009635BA" w:rsidP="009635BA"/>
    <w:tbl>
      <w:tblPr>
        <w:tblStyle w:val="TableGrid1"/>
        <w:tblW w:w="8784" w:type="dxa"/>
        <w:tblLook w:val="04A0" w:firstRow="1" w:lastRow="0" w:firstColumn="1" w:lastColumn="0" w:noHBand="0" w:noVBand="1"/>
      </w:tblPr>
      <w:tblGrid>
        <w:gridCol w:w="988"/>
        <w:gridCol w:w="1573"/>
        <w:gridCol w:w="1329"/>
        <w:gridCol w:w="963"/>
        <w:gridCol w:w="2307"/>
        <w:gridCol w:w="1708"/>
      </w:tblGrid>
      <w:tr w:rsidR="009635BA" w:rsidRPr="00226744" w14:paraId="521B77F8" w14:textId="77777777" w:rsidTr="00D576DA">
        <w:trPr>
          <w:trHeight w:val="315"/>
        </w:trPr>
        <w:tc>
          <w:tcPr>
            <w:tcW w:w="988" w:type="dxa"/>
            <w:noWrap/>
            <w:hideMark/>
          </w:tcPr>
          <w:p w14:paraId="4DA31533" w14:textId="77777777" w:rsidR="009635BA" w:rsidRPr="00226744" w:rsidRDefault="009635BA" w:rsidP="009635BA">
            <w:pPr>
              <w:jc w:val="center"/>
              <w:rPr>
                <w:b/>
                <w:bCs/>
              </w:rPr>
            </w:pPr>
            <w:r w:rsidRPr="00226744">
              <w:rPr>
                <w:b/>
                <w:bCs/>
              </w:rPr>
              <w:t>CCG Code</w:t>
            </w:r>
          </w:p>
        </w:tc>
        <w:tc>
          <w:tcPr>
            <w:tcW w:w="1573" w:type="dxa"/>
            <w:noWrap/>
            <w:hideMark/>
          </w:tcPr>
          <w:p w14:paraId="04712DD5" w14:textId="77777777" w:rsidR="009635BA" w:rsidRPr="00226744" w:rsidRDefault="009635BA" w:rsidP="009635BA">
            <w:pPr>
              <w:jc w:val="center"/>
              <w:rPr>
                <w:b/>
                <w:bCs/>
              </w:rPr>
            </w:pPr>
            <w:r w:rsidRPr="00226744">
              <w:rPr>
                <w:b/>
                <w:bCs/>
              </w:rPr>
              <w:t>Denominator</w:t>
            </w:r>
          </w:p>
        </w:tc>
        <w:tc>
          <w:tcPr>
            <w:tcW w:w="1329" w:type="dxa"/>
            <w:noWrap/>
            <w:hideMark/>
          </w:tcPr>
          <w:p w14:paraId="04F7F1DD" w14:textId="77777777" w:rsidR="009635BA" w:rsidRPr="00226744" w:rsidRDefault="009635BA" w:rsidP="009635BA">
            <w:pPr>
              <w:jc w:val="center"/>
              <w:rPr>
                <w:b/>
                <w:bCs/>
              </w:rPr>
            </w:pPr>
            <w:r w:rsidRPr="00226744">
              <w:rPr>
                <w:b/>
                <w:bCs/>
              </w:rPr>
              <w:t>Numerator</w:t>
            </w:r>
          </w:p>
        </w:tc>
        <w:tc>
          <w:tcPr>
            <w:tcW w:w="963" w:type="dxa"/>
            <w:noWrap/>
            <w:hideMark/>
          </w:tcPr>
          <w:p w14:paraId="37066894" w14:textId="77777777" w:rsidR="009635BA" w:rsidRPr="00226744" w:rsidRDefault="009635BA" w:rsidP="009635BA">
            <w:pPr>
              <w:jc w:val="center"/>
              <w:rPr>
                <w:b/>
                <w:bCs/>
              </w:rPr>
            </w:pPr>
            <w:r w:rsidRPr="00226744">
              <w:rPr>
                <w:b/>
                <w:bCs/>
              </w:rPr>
              <w:t>%</w:t>
            </w:r>
          </w:p>
        </w:tc>
        <w:tc>
          <w:tcPr>
            <w:tcW w:w="2307" w:type="dxa"/>
            <w:noWrap/>
            <w:hideMark/>
          </w:tcPr>
          <w:p w14:paraId="0BE6BF93" w14:textId="1C1601DB" w:rsidR="009635BA" w:rsidRPr="00226744" w:rsidRDefault="009635BA" w:rsidP="009635BA">
            <w:pPr>
              <w:jc w:val="center"/>
              <w:rPr>
                <w:b/>
                <w:bCs/>
              </w:rPr>
            </w:pPr>
            <w:r w:rsidRPr="00226744">
              <w:rPr>
                <w:b/>
                <w:bCs/>
              </w:rPr>
              <w:t xml:space="preserve">95% Confidence Interval calculated using Wilson Score </w:t>
            </w:r>
            <w:proofErr w:type="spellStart"/>
            <w:r w:rsidRPr="00226744">
              <w:rPr>
                <w:b/>
                <w:bCs/>
              </w:rPr>
              <w:t>method.Lower</w:t>
            </w:r>
            <w:proofErr w:type="spellEnd"/>
            <w:r w:rsidRPr="00226744">
              <w:rPr>
                <w:b/>
                <w:bCs/>
              </w:rPr>
              <w:t xml:space="preserve"> CI</w:t>
            </w:r>
          </w:p>
        </w:tc>
        <w:tc>
          <w:tcPr>
            <w:tcW w:w="1624" w:type="dxa"/>
            <w:noWrap/>
            <w:hideMark/>
          </w:tcPr>
          <w:p w14:paraId="2E501AA8" w14:textId="1351F299" w:rsidR="009635BA" w:rsidRPr="00226744" w:rsidRDefault="009635BA" w:rsidP="009635BA">
            <w:pPr>
              <w:jc w:val="center"/>
              <w:rPr>
                <w:b/>
                <w:bCs/>
              </w:rPr>
            </w:pPr>
            <w:r w:rsidRPr="00226744">
              <w:rPr>
                <w:b/>
                <w:bCs/>
              </w:rPr>
              <w:t xml:space="preserve">95% Confidence Interval calculated using Wilson Score </w:t>
            </w:r>
            <w:proofErr w:type="spellStart"/>
            <w:r w:rsidRPr="00226744">
              <w:rPr>
                <w:b/>
                <w:bCs/>
              </w:rPr>
              <w:t>method.Upper</w:t>
            </w:r>
            <w:proofErr w:type="spellEnd"/>
            <w:r w:rsidRPr="00226744">
              <w:rPr>
                <w:b/>
                <w:bCs/>
              </w:rPr>
              <w:t xml:space="preserve"> CI</w:t>
            </w:r>
          </w:p>
        </w:tc>
      </w:tr>
      <w:tr w:rsidR="009635BA" w:rsidRPr="00226744" w14:paraId="2A124C26" w14:textId="77777777" w:rsidTr="00D576DA">
        <w:trPr>
          <w:trHeight w:val="300"/>
        </w:trPr>
        <w:tc>
          <w:tcPr>
            <w:tcW w:w="988" w:type="dxa"/>
            <w:noWrap/>
            <w:hideMark/>
          </w:tcPr>
          <w:p w14:paraId="02D6563D" w14:textId="77777777" w:rsidR="009635BA" w:rsidRPr="00226744" w:rsidRDefault="009635BA" w:rsidP="009635BA">
            <w:pPr>
              <w:jc w:val="center"/>
            </w:pPr>
            <w:r w:rsidRPr="00226744">
              <w:t>CCG 1</w:t>
            </w:r>
          </w:p>
        </w:tc>
        <w:tc>
          <w:tcPr>
            <w:tcW w:w="1573" w:type="dxa"/>
            <w:noWrap/>
            <w:hideMark/>
          </w:tcPr>
          <w:p w14:paraId="73B72046" w14:textId="77777777" w:rsidR="009635BA" w:rsidRPr="00226744" w:rsidRDefault="009635BA" w:rsidP="009635BA">
            <w:pPr>
              <w:jc w:val="center"/>
            </w:pPr>
            <w:r w:rsidRPr="00226744">
              <w:t>193</w:t>
            </w:r>
          </w:p>
        </w:tc>
        <w:tc>
          <w:tcPr>
            <w:tcW w:w="1329" w:type="dxa"/>
            <w:noWrap/>
            <w:hideMark/>
          </w:tcPr>
          <w:p w14:paraId="535E0D86" w14:textId="77777777" w:rsidR="009635BA" w:rsidRPr="00226744" w:rsidRDefault="009635BA" w:rsidP="009635BA">
            <w:pPr>
              <w:jc w:val="center"/>
            </w:pPr>
            <w:r w:rsidRPr="00226744">
              <w:t>8</w:t>
            </w:r>
          </w:p>
        </w:tc>
        <w:tc>
          <w:tcPr>
            <w:tcW w:w="963" w:type="dxa"/>
            <w:noWrap/>
            <w:hideMark/>
          </w:tcPr>
          <w:p w14:paraId="5A39B468" w14:textId="77777777" w:rsidR="009635BA" w:rsidRPr="00226744" w:rsidRDefault="009635BA" w:rsidP="009635BA">
            <w:pPr>
              <w:jc w:val="center"/>
            </w:pPr>
            <w:r w:rsidRPr="00226744">
              <w:t>4.10%</w:t>
            </w:r>
          </w:p>
        </w:tc>
        <w:tc>
          <w:tcPr>
            <w:tcW w:w="2307" w:type="dxa"/>
            <w:noWrap/>
            <w:hideMark/>
          </w:tcPr>
          <w:p w14:paraId="72CAD4BE" w14:textId="77777777" w:rsidR="009635BA" w:rsidRPr="00226744" w:rsidRDefault="009635BA" w:rsidP="009635BA">
            <w:pPr>
              <w:jc w:val="right"/>
            </w:pPr>
            <w:r w:rsidRPr="00226744">
              <w:t>2.1%</w:t>
            </w:r>
          </w:p>
        </w:tc>
        <w:tc>
          <w:tcPr>
            <w:tcW w:w="1624" w:type="dxa"/>
            <w:noWrap/>
            <w:hideMark/>
          </w:tcPr>
          <w:p w14:paraId="6A506A7E" w14:textId="77777777" w:rsidR="009635BA" w:rsidRPr="00226744" w:rsidRDefault="009635BA" w:rsidP="009635BA">
            <w:pPr>
              <w:jc w:val="right"/>
            </w:pPr>
            <w:r w:rsidRPr="00226744">
              <w:t>8.0%</w:t>
            </w:r>
          </w:p>
        </w:tc>
      </w:tr>
      <w:tr w:rsidR="009635BA" w:rsidRPr="00226744" w14:paraId="4A6C59C6" w14:textId="77777777" w:rsidTr="00D576DA">
        <w:trPr>
          <w:trHeight w:val="300"/>
        </w:trPr>
        <w:tc>
          <w:tcPr>
            <w:tcW w:w="988" w:type="dxa"/>
            <w:noWrap/>
            <w:hideMark/>
          </w:tcPr>
          <w:p w14:paraId="1B00289F" w14:textId="77777777" w:rsidR="009635BA" w:rsidRPr="00226744" w:rsidRDefault="009635BA" w:rsidP="009635BA">
            <w:pPr>
              <w:jc w:val="center"/>
            </w:pPr>
            <w:r w:rsidRPr="00226744">
              <w:t>CCG 2</w:t>
            </w:r>
          </w:p>
        </w:tc>
        <w:tc>
          <w:tcPr>
            <w:tcW w:w="1573" w:type="dxa"/>
            <w:noWrap/>
            <w:hideMark/>
          </w:tcPr>
          <w:p w14:paraId="702314EE" w14:textId="77777777" w:rsidR="009635BA" w:rsidRPr="00226744" w:rsidRDefault="009635BA" w:rsidP="009635BA">
            <w:pPr>
              <w:jc w:val="center"/>
            </w:pPr>
            <w:r w:rsidRPr="00226744">
              <w:t>386</w:t>
            </w:r>
          </w:p>
        </w:tc>
        <w:tc>
          <w:tcPr>
            <w:tcW w:w="1329" w:type="dxa"/>
            <w:noWrap/>
            <w:hideMark/>
          </w:tcPr>
          <w:p w14:paraId="0CE6DF02" w14:textId="77777777" w:rsidR="009635BA" w:rsidRPr="00226744" w:rsidRDefault="009635BA" w:rsidP="009635BA">
            <w:pPr>
              <w:jc w:val="center"/>
            </w:pPr>
            <w:r w:rsidRPr="00226744">
              <w:t>16</w:t>
            </w:r>
          </w:p>
        </w:tc>
        <w:tc>
          <w:tcPr>
            <w:tcW w:w="963" w:type="dxa"/>
            <w:noWrap/>
            <w:hideMark/>
          </w:tcPr>
          <w:p w14:paraId="1005FC9D" w14:textId="77777777" w:rsidR="009635BA" w:rsidRPr="00226744" w:rsidRDefault="009635BA" w:rsidP="009635BA">
            <w:pPr>
              <w:jc w:val="center"/>
            </w:pPr>
            <w:r w:rsidRPr="00226744">
              <w:t>4.10%</w:t>
            </w:r>
          </w:p>
        </w:tc>
        <w:tc>
          <w:tcPr>
            <w:tcW w:w="2307" w:type="dxa"/>
            <w:noWrap/>
            <w:hideMark/>
          </w:tcPr>
          <w:p w14:paraId="50B8BEF1" w14:textId="77777777" w:rsidR="009635BA" w:rsidRPr="00226744" w:rsidRDefault="009635BA" w:rsidP="009635BA">
            <w:pPr>
              <w:jc w:val="right"/>
            </w:pPr>
            <w:r w:rsidRPr="00226744">
              <w:t>2.6%</w:t>
            </w:r>
          </w:p>
        </w:tc>
        <w:tc>
          <w:tcPr>
            <w:tcW w:w="1624" w:type="dxa"/>
            <w:noWrap/>
            <w:hideMark/>
          </w:tcPr>
          <w:p w14:paraId="5A820E53" w14:textId="77777777" w:rsidR="009635BA" w:rsidRPr="00226744" w:rsidRDefault="009635BA" w:rsidP="009635BA">
            <w:pPr>
              <w:jc w:val="right"/>
            </w:pPr>
            <w:r w:rsidRPr="00226744">
              <w:t>6.6%</w:t>
            </w:r>
          </w:p>
        </w:tc>
      </w:tr>
      <w:tr w:rsidR="009635BA" w:rsidRPr="00226744" w14:paraId="3D5E5EA0" w14:textId="77777777" w:rsidTr="00D576DA">
        <w:trPr>
          <w:trHeight w:val="300"/>
        </w:trPr>
        <w:tc>
          <w:tcPr>
            <w:tcW w:w="988" w:type="dxa"/>
            <w:noWrap/>
            <w:hideMark/>
          </w:tcPr>
          <w:p w14:paraId="39BCCFAE" w14:textId="77777777" w:rsidR="009635BA" w:rsidRPr="00226744" w:rsidRDefault="009635BA" w:rsidP="009635BA">
            <w:pPr>
              <w:jc w:val="center"/>
            </w:pPr>
            <w:r w:rsidRPr="00226744">
              <w:t>CCG 3</w:t>
            </w:r>
          </w:p>
        </w:tc>
        <w:tc>
          <w:tcPr>
            <w:tcW w:w="1573" w:type="dxa"/>
            <w:noWrap/>
            <w:hideMark/>
          </w:tcPr>
          <w:p w14:paraId="1B781C62" w14:textId="77777777" w:rsidR="009635BA" w:rsidRPr="00226744" w:rsidRDefault="009635BA" w:rsidP="009635BA">
            <w:pPr>
              <w:jc w:val="center"/>
            </w:pPr>
            <w:r w:rsidRPr="00226744">
              <w:t>192</w:t>
            </w:r>
          </w:p>
        </w:tc>
        <w:tc>
          <w:tcPr>
            <w:tcW w:w="1329" w:type="dxa"/>
            <w:noWrap/>
            <w:hideMark/>
          </w:tcPr>
          <w:p w14:paraId="69E58ABB" w14:textId="77777777" w:rsidR="009635BA" w:rsidRPr="00226744" w:rsidRDefault="009635BA" w:rsidP="009635BA">
            <w:pPr>
              <w:jc w:val="center"/>
            </w:pPr>
            <w:r w:rsidRPr="00226744">
              <w:t>8</w:t>
            </w:r>
          </w:p>
        </w:tc>
        <w:tc>
          <w:tcPr>
            <w:tcW w:w="963" w:type="dxa"/>
            <w:noWrap/>
            <w:hideMark/>
          </w:tcPr>
          <w:p w14:paraId="26080B71" w14:textId="77777777" w:rsidR="009635BA" w:rsidRPr="00226744" w:rsidRDefault="009635BA" w:rsidP="009635BA">
            <w:pPr>
              <w:jc w:val="center"/>
            </w:pPr>
            <w:r w:rsidRPr="00226744">
              <w:t>4.20%</w:t>
            </w:r>
          </w:p>
        </w:tc>
        <w:tc>
          <w:tcPr>
            <w:tcW w:w="2307" w:type="dxa"/>
            <w:noWrap/>
            <w:hideMark/>
          </w:tcPr>
          <w:p w14:paraId="1DABA9EC" w14:textId="77777777" w:rsidR="009635BA" w:rsidRPr="00226744" w:rsidRDefault="009635BA" w:rsidP="009635BA">
            <w:pPr>
              <w:jc w:val="right"/>
            </w:pPr>
            <w:r w:rsidRPr="00226744">
              <w:t>2.1%</w:t>
            </w:r>
          </w:p>
        </w:tc>
        <w:tc>
          <w:tcPr>
            <w:tcW w:w="1624" w:type="dxa"/>
            <w:noWrap/>
            <w:hideMark/>
          </w:tcPr>
          <w:p w14:paraId="5DA27B3B" w14:textId="77777777" w:rsidR="009635BA" w:rsidRPr="00226744" w:rsidRDefault="009635BA" w:rsidP="009635BA">
            <w:pPr>
              <w:jc w:val="right"/>
            </w:pPr>
            <w:r w:rsidRPr="00226744">
              <w:t>8.0%</w:t>
            </w:r>
          </w:p>
        </w:tc>
      </w:tr>
      <w:tr w:rsidR="009635BA" w:rsidRPr="00226744" w14:paraId="680AD0EA" w14:textId="77777777" w:rsidTr="00D576DA">
        <w:trPr>
          <w:trHeight w:val="300"/>
        </w:trPr>
        <w:tc>
          <w:tcPr>
            <w:tcW w:w="988" w:type="dxa"/>
            <w:noWrap/>
            <w:hideMark/>
          </w:tcPr>
          <w:p w14:paraId="6860F1F2" w14:textId="77777777" w:rsidR="009635BA" w:rsidRPr="00226744" w:rsidRDefault="009635BA" w:rsidP="009635BA">
            <w:pPr>
              <w:jc w:val="center"/>
            </w:pPr>
            <w:r w:rsidRPr="00226744">
              <w:t>CCG 4</w:t>
            </w:r>
          </w:p>
        </w:tc>
        <w:tc>
          <w:tcPr>
            <w:tcW w:w="1573" w:type="dxa"/>
            <w:noWrap/>
            <w:hideMark/>
          </w:tcPr>
          <w:p w14:paraId="6A2EB83D" w14:textId="77777777" w:rsidR="009635BA" w:rsidRPr="00226744" w:rsidRDefault="009635BA" w:rsidP="009635BA">
            <w:pPr>
              <w:jc w:val="center"/>
            </w:pPr>
            <w:r w:rsidRPr="00226744">
              <w:t>336</w:t>
            </w:r>
          </w:p>
        </w:tc>
        <w:tc>
          <w:tcPr>
            <w:tcW w:w="1329" w:type="dxa"/>
            <w:noWrap/>
            <w:hideMark/>
          </w:tcPr>
          <w:p w14:paraId="1D5EE882" w14:textId="77777777" w:rsidR="009635BA" w:rsidRPr="00226744" w:rsidRDefault="009635BA" w:rsidP="009635BA">
            <w:pPr>
              <w:jc w:val="center"/>
            </w:pPr>
            <w:r w:rsidRPr="00226744">
              <w:t>14</w:t>
            </w:r>
          </w:p>
        </w:tc>
        <w:tc>
          <w:tcPr>
            <w:tcW w:w="963" w:type="dxa"/>
            <w:noWrap/>
            <w:hideMark/>
          </w:tcPr>
          <w:p w14:paraId="5D0A8FBA" w14:textId="77777777" w:rsidR="009635BA" w:rsidRPr="00226744" w:rsidRDefault="009635BA" w:rsidP="009635BA">
            <w:pPr>
              <w:jc w:val="center"/>
            </w:pPr>
            <w:r w:rsidRPr="00226744">
              <w:t>4.20%</w:t>
            </w:r>
          </w:p>
        </w:tc>
        <w:tc>
          <w:tcPr>
            <w:tcW w:w="2307" w:type="dxa"/>
            <w:noWrap/>
            <w:hideMark/>
          </w:tcPr>
          <w:p w14:paraId="7938BDDD" w14:textId="77777777" w:rsidR="009635BA" w:rsidRPr="00226744" w:rsidRDefault="009635BA" w:rsidP="009635BA">
            <w:pPr>
              <w:jc w:val="right"/>
            </w:pPr>
            <w:r w:rsidRPr="00226744">
              <w:t>2.5%</w:t>
            </w:r>
          </w:p>
        </w:tc>
        <w:tc>
          <w:tcPr>
            <w:tcW w:w="1624" w:type="dxa"/>
            <w:noWrap/>
            <w:hideMark/>
          </w:tcPr>
          <w:p w14:paraId="10D8CBB0" w14:textId="77777777" w:rsidR="009635BA" w:rsidRPr="00226744" w:rsidRDefault="009635BA" w:rsidP="009635BA">
            <w:pPr>
              <w:jc w:val="right"/>
            </w:pPr>
            <w:r w:rsidRPr="00226744">
              <w:t>6.9%</w:t>
            </w:r>
          </w:p>
        </w:tc>
      </w:tr>
      <w:tr w:rsidR="009635BA" w:rsidRPr="00226744" w14:paraId="719F8C21" w14:textId="77777777" w:rsidTr="00D576DA">
        <w:trPr>
          <w:trHeight w:val="300"/>
        </w:trPr>
        <w:tc>
          <w:tcPr>
            <w:tcW w:w="988" w:type="dxa"/>
            <w:noWrap/>
            <w:hideMark/>
          </w:tcPr>
          <w:p w14:paraId="01FD80C5" w14:textId="77777777" w:rsidR="009635BA" w:rsidRPr="00226744" w:rsidRDefault="009635BA" w:rsidP="009635BA">
            <w:pPr>
              <w:jc w:val="center"/>
            </w:pPr>
            <w:r w:rsidRPr="00226744">
              <w:t>CCG 5</w:t>
            </w:r>
          </w:p>
        </w:tc>
        <w:tc>
          <w:tcPr>
            <w:tcW w:w="1573" w:type="dxa"/>
            <w:noWrap/>
            <w:hideMark/>
          </w:tcPr>
          <w:p w14:paraId="7541BE49" w14:textId="77777777" w:rsidR="009635BA" w:rsidRPr="00226744" w:rsidRDefault="009635BA" w:rsidP="009635BA">
            <w:pPr>
              <w:jc w:val="center"/>
            </w:pPr>
            <w:r w:rsidRPr="00226744">
              <w:t>155</w:t>
            </w:r>
          </w:p>
        </w:tc>
        <w:tc>
          <w:tcPr>
            <w:tcW w:w="1329" w:type="dxa"/>
            <w:noWrap/>
            <w:hideMark/>
          </w:tcPr>
          <w:p w14:paraId="762DE39D" w14:textId="77777777" w:rsidR="009635BA" w:rsidRPr="00226744" w:rsidRDefault="009635BA" w:rsidP="009635BA">
            <w:pPr>
              <w:jc w:val="center"/>
            </w:pPr>
            <w:r w:rsidRPr="00226744">
              <w:t>7</w:t>
            </w:r>
          </w:p>
        </w:tc>
        <w:tc>
          <w:tcPr>
            <w:tcW w:w="963" w:type="dxa"/>
            <w:noWrap/>
            <w:hideMark/>
          </w:tcPr>
          <w:p w14:paraId="598200EF" w14:textId="77777777" w:rsidR="009635BA" w:rsidRPr="00226744" w:rsidRDefault="009635BA" w:rsidP="009635BA">
            <w:pPr>
              <w:jc w:val="center"/>
            </w:pPr>
            <w:r w:rsidRPr="00226744">
              <w:t>4.50%</w:t>
            </w:r>
          </w:p>
        </w:tc>
        <w:tc>
          <w:tcPr>
            <w:tcW w:w="2307" w:type="dxa"/>
            <w:noWrap/>
            <w:hideMark/>
          </w:tcPr>
          <w:p w14:paraId="6B6AB740" w14:textId="77777777" w:rsidR="009635BA" w:rsidRPr="00226744" w:rsidRDefault="009635BA" w:rsidP="009635BA">
            <w:pPr>
              <w:jc w:val="right"/>
            </w:pPr>
            <w:r w:rsidRPr="00226744">
              <w:t>2.2%</w:t>
            </w:r>
          </w:p>
        </w:tc>
        <w:tc>
          <w:tcPr>
            <w:tcW w:w="1624" w:type="dxa"/>
            <w:noWrap/>
            <w:hideMark/>
          </w:tcPr>
          <w:p w14:paraId="7804F7B3" w14:textId="77777777" w:rsidR="009635BA" w:rsidRPr="00226744" w:rsidRDefault="009635BA" w:rsidP="009635BA">
            <w:pPr>
              <w:jc w:val="right"/>
            </w:pPr>
            <w:r w:rsidRPr="00226744">
              <w:t>9.0%</w:t>
            </w:r>
          </w:p>
        </w:tc>
      </w:tr>
      <w:tr w:rsidR="009635BA" w:rsidRPr="00226744" w14:paraId="072F2677" w14:textId="77777777" w:rsidTr="00D576DA">
        <w:trPr>
          <w:trHeight w:val="300"/>
        </w:trPr>
        <w:tc>
          <w:tcPr>
            <w:tcW w:w="988" w:type="dxa"/>
            <w:noWrap/>
            <w:hideMark/>
          </w:tcPr>
          <w:p w14:paraId="10CFC2CE" w14:textId="77777777" w:rsidR="009635BA" w:rsidRPr="00226744" w:rsidRDefault="009635BA" w:rsidP="009635BA">
            <w:pPr>
              <w:jc w:val="center"/>
            </w:pPr>
            <w:r w:rsidRPr="00226744">
              <w:t>CCG 6</w:t>
            </w:r>
          </w:p>
        </w:tc>
        <w:tc>
          <w:tcPr>
            <w:tcW w:w="1573" w:type="dxa"/>
            <w:noWrap/>
            <w:hideMark/>
          </w:tcPr>
          <w:p w14:paraId="0D711335" w14:textId="77777777" w:rsidR="009635BA" w:rsidRPr="00226744" w:rsidRDefault="009635BA" w:rsidP="009635BA">
            <w:pPr>
              <w:jc w:val="center"/>
            </w:pPr>
            <w:r w:rsidRPr="00226744">
              <w:t>395</w:t>
            </w:r>
          </w:p>
        </w:tc>
        <w:tc>
          <w:tcPr>
            <w:tcW w:w="1329" w:type="dxa"/>
            <w:noWrap/>
            <w:hideMark/>
          </w:tcPr>
          <w:p w14:paraId="45FA9ED6" w14:textId="77777777" w:rsidR="009635BA" w:rsidRPr="00226744" w:rsidRDefault="009635BA" w:rsidP="009635BA">
            <w:pPr>
              <w:jc w:val="center"/>
            </w:pPr>
            <w:r w:rsidRPr="00226744">
              <w:t>18</w:t>
            </w:r>
          </w:p>
        </w:tc>
        <w:tc>
          <w:tcPr>
            <w:tcW w:w="963" w:type="dxa"/>
            <w:noWrap/>
            <w:hideMark/>
          </w:tcPr>
          <w:p w14:paraId="3AAC55A1" w14:textId="77777777" w:rsidR="009635BA" w:rsidRPr="00226744" w:rsidRDefault="009635BA" w:rsidP="009635BA">
            <w:pPr>
              <w:jc w:val="center"/>
            </w:pPr>
            <w:r w:rsidRPr="00226744">
              <w:t>4.60%</w:t>
            </w:r>
          </w:p>
        </w:tc>
        <w:tc>
          <w:tcPr>
            <w:tcW w:w="2307" w:type="dxa"/>
            <w:noWrap/>
            <w:hideMark/>
          </w:tcPr>
          <w:p w14:paraId="005DCBD2" w14:textId="77777777" w:rsidR="009635BA" w:rsidRPr="00226744" w:rsidRDefault="009635BA" w:rsidP="009635BA">
            <w:pPr>
              <w:jc w:val="right"/>
            </w:pPr>
            <w:r w:rsidRPr="00226744">
              <w:t>2.9%</w:t>
            </w:r>
          </w:p>
        </w:tc>
        <w:tc>
          <w:tcPr>
            <w:tcW w:w="1624" w:type="dxa"/>
            <w:noWrap/>
            <w:hideMark/>
          </w:tcPr>
          <w:p w14:paraId="2960F1F6" w14:textId="77777777" w:rsidR="009635BA" w:rsidRPr="00226744" w:rsidRDefault="009635BA" w:rsidP="009635BA">
            <w:pPr>
              <w:jc w:val="right"/>
            </w:pPr>
            <w:r w:rsidRPr="00226744">
              <w:t>7.1%</w:t>
            </w:r>
          </w:p>
        </w:tc>
      </w:tr>
      <w:tr w:rsidR="009635BA" w:rsidRPr="00226744" w14:paraId="069E13F1" w14:textId="77777777" w:rsidTr="00D576DA">
        <w:trPr>
          <w:trHeight w:val="300"/>
        </w:trPr>
        <w:tc>
          <w:tcPr>
            <w:tcW w:w="988" w:type="dxa"/>
            <w:noWrap/>
            <w:hideMark/>
          </w:tcPr>
          <w:p w14:paraId="36E358A8" w14:textId="77777777" w:rsidR="009635BA" w:rsidRPr="00226744" w:rsidRDefault="009635BA" w:rsidP="009635BA">
            <w:pPr>
              <w:jc w:val="center"/>
            </w:pPr>
            <w:r w:rsidRPr="00226744">
              <w:t>CCG 7</w:t>
            </w:r>
          </w:p>
        </w:tc>
        <w:tc>
          <w:tcPr>
            <w:tcW w:w="1573" w:type="dxa"/>
            <w:noWrap/>
            <w:hideMark/>
          </w:tcPr>
          <w:p w14:paraId="4ACCEC10" w14:textId="77777777" w:rsidR="009635BA" w:rsidRPr="00226744" w:rsidRDefault="009635BA" w:rsidP="009635BA">
            <w:pPr>
              <w:jc w:val="center"/>
            </w:pPr>
            <w:r w:rsidRPr="00226744">
              <w:t>150</w:t>
            </w:r>
          </w:p>
        </w:tc>
        <w:tc>
          <w:tcPr>
            <w:tcW w:w="1329" w:type="dxa"/>
            <w:noWrap/>
            <w:hideMark/>
          </w:tcPr>
          <w:p w14:paraId="32890325" w14:textId="77777777" w:rsidR="009635BA" w:rsidRPr="00226744" w:rsidRDefault="009635BA" w:rsidP="009635BA">
            <w:pPr>
              <w:jc w:val="center"/>
            </w:pPr>
            <w:r w:rsidRPr="00226744">
              <w:t>7</w:t>
            </w:r>
          </w:p>
        </w:tc>
        <w:tc>
          <w:tcPr>
            <w:tcW w:w="963" w:type="dxa"/>
            <w:noWrap/>
            <w:hideMark/>
          </w:tcPr>
          <w:p w14:paraId="4D4A7A68" w14:textId="77777777" w:rsidR="009635BA" w:rsidRPr="00226744" w:rsidRDefault="009635BA" w:rsidP="009635BA">
            <w:pPr>
              <w:jc w:val="center"/>
            </w:pPr>
            <w:r w:rsidRPr="00226744">
              <w:t>4.70%</w:t>
            </w:r>
          </w:p>
        </w:tc>
        <w:tc>
          <w:tcPr>
            <w:tcW w:w="2307" w:type="dxa"/>
            <w:noWrap/>
            <w:hideMark/>
          </w:tcPr>
          <w:p w14:paraId="3D46CB10" w14:textId="77777777" w:rsidR="009635BA" w:rsidRPr="00226744" w:rsidRDefault="009635BA" w:rsidP="009635BA">
            <w:pPr>
              <w:jc w:val="right"/>
            </w:pPr>
            <w:r w:rsidRPr="00226744">
              <w:t>2.3%</w:t>
            </w:r>
          </w:p>
        </w:tc>
        <w:tc>
          <w:tcPr>
            <w:tcW w:w="1624" w:type="dxa"/>
            <w:noWrap/>
            <w:hideMark/>
          </w:tcPr>
          <w:p w14:paraId="5FE8F223" w14:textId="77777777" w:rsidR="009635BA" w:rsidRPr="00226744" w:rsidRDefault="009635BA" w:rsidP="009635BA">
            <w:pPr>
              <w:jc w:val="right"/>
            </w:pPr>
            <w:r w:rsidRPr="00226744">
              <w:t>9.3%</w:t>
            </w:r>
          </w:p>
        </w:tc>
      </w:tr>
      <w:tr w:rsidR="009635BA" w:rsidRPr="00226744" w14:paraId="3985C295" w14:textId="77777777" w:rsidTr="00D576DA">
        <w:trPr>
          <w:trHeight w:val="300"/>
        </w:trPr>
        <w:tc>
          <w:tcPr>
            <w:tcW w:w="988" w:type="dxa"/>
            <w:noWrap/>
            <w:hideMark/>
          </w:tcPr>
          <w:p w14:paraId="796FB540" w14:textId="77777777" w:rsidR="009635BA" w:rsidRPr="00226744" w:rsidRDefault="009635BA" w:rsidP="009635BA">
            <w:pPr>
              <w:jc w:val="center"/>
            </w:pPr>
            <w:r w:rsidRPr="00226744">
              <w:t>CCG 8</w:t>
            </w:r>
          </w:p>
        </w:tc>
        <w:tc>
          <w:tcPr>
            <w:tcW w:w="1573" w:type="dxa"/>
            <w:noWrap/>
            <w:hideMark/>
          </w:tcPr>
          <w:p w14:paraId="4D895B00" w14:textId="77777777" w:rsidR="009635BA" w:rsidRPr="00226744" w:rsidRDefault="009635BA" w:rsidP="009635BA">
            <w:pPr>
              <w:jc w:val="center"/>
            </w:pPr>
            <w:r w:rsidRPr="00226744">
              <w:t>277</w:t>
            </w:r>
          </w:p>
        </w:tc>
        <w:tc>
          <w:tcPr>
            <w:tcW w:w="1329" w:type="dxa"/>
            <w:noWrap/>
            <w:hideMark/>
          </w:tcPr>
          <w:p w14:paraId="2974E77E" w14:textId="77777777" w:rsidR="009635BA" w:rsidRPr="00226744" w:rsidRDefault="009635BA" w:rsidP="009635BA">
            <w:pPr>
              <w:jc w:val="center"/>
            </w:pPr>
            <w:r w:rsidRPr="00226744">
              <w:t>13</w:t>
            </w:r>
          </w:p>
        </w:tc>
        <w:tc>
          <w:tcPr>
            <w:tcW w:w="963" w:type="dxa"/>
            <w:noWrap/>
            <w:hideMark/>
          </w:tcPr>
          <w:p w14:paraId="04E1941C" w14:textId="77777777" w:rsidR="009635BA" w:rsidRPr="00226744" w:rsidRDefault="009635BA" w:rsidP="009635BA">
            <w:pPr>
              <w:jc w:val="center"/>
            </w:pPr>
            <w:r w:rsidRPr="00226744">
              <w:t>4.70%</w:t>
            </w:r>
          </w:p>
        </w:tc>
        <w:tc>
          <w:tcPr>
            <w:tcW w:w="2307" w:type="dxa"/>
            <w:noWrap/>
            <w:hideMark/>
          </w:tcPr>
          <w:p w14:paraId="5CFBA6A6" w14:textId="77777777" w:rsidR="009635BA" w:rsidRPr="00226744" w:rsidRDefault="009635BA" w:rsidP="009635BA">
            <w:pPr>
              <w:jc w:val="right"/>
            </w:pPr>
            <w:r w:rsidRPr="00226744">
              <w:t>2.8%</w:t>
            </w:r>
          </w:p>
        </w:tc>
        <w:tc>
          <w:tcPr>
            <w:tcW w:w="1624" w:type="dxa"/>
            <w:noWrap/>
            <w:hideMark/>
          </w:tcPr>
          <w:p w14:paraId="3D351C26" w14:textId="77777777" w:rsidR="009635BA" w:rsidRPr="00226744" w:rsidRDefault="009635BA" w:rsidP="009635BA">
            <w:pPr>
              <w:jc w:val="right"/>
            </w:pPr>
            <w:r w:rsidRPr="00226744">
              <w:t>7.9%</w:t>
            </w:r>
          </w:p>
        </w:tc>
      </w:tr>
      <w:tr w:rsidR="009635BA" w:rsidRPr="00226744" w14:paraId="6404C7B6" w14:textId="77777777" w:rsidTr="00D576DA">
        <w:trPr>
          <w:trHeight w:val="300"/>
        </w:trPr>
        <w:tc>
          <w:tcPr>
            <w:tcW w:w="988" w:type="dxa"/>
            <w:noWrap/>
            <w:hideMark/>
          </w:tcPr>
          <w:p w14:paraId="5B86B3BB" w14:textId="77777777" w:rsidR="009635BA" w:rsidRPr="00226744" w:rsidRDefault="009635BA" w:rsidP="009635BA">
            <w:pPr>
              <w:jc w:val="center"/>
            </w:pPr>
            <w:r w:rsidRPr="00226744">
              <w:t>CCG 9</w:t>
            </w:r>
          </w:p>
        </w:tc>
        <w:tc>
          <w:tcPr>
            <w:tcW w:w="1573" w:type="dxa"/>
            <w:noWrap/>
            <w:hideMark/>
          </w:tcPr>
          <w:p w14:paraId="59A9F276" w14:textId="77777777" w:rsidR="009635BA" w:rsidRPr="00226744" w:rsidRDefault="009635BA" w:rsidP="009635BA">
            <w:pPr>
              <w:jc w:val="center"/>
            </w:pPr>
            <w:r w:rsidRPr="00226744">
              <w:t>886</w:t>
            </w:r>
          </w:p>
        </w:tc>
        <w:tc>
          <w:tcPr>
            <w:tcW w:w="1329" w:type="dxa"/>
            <w:noWrap/>
            <w:hideMark/>
          </w:tcPr>
          <w:p w14:paraId="67C7776D" w14:textId="77777777" w:rsidR="009635BA" w:rsidRPr="00226744" w:rsidRDefault="009635BA" w:rsidP="009635BA">
            <w:pPr>
              <w:jc w:val="center"/>
            </w:pPr>
            <w:r w:rsidRPr="00226744">
              <w:t>43</w:t>
            </w:r>
          </w:p>
        </w:tc>
        <w:tc>
          <w:tcPr>
            <w:tcW w:w="963" w:type="dxa"/>
            <w:noWrap/>
            <w:hideMark/>
          </w:tcPr>
          <w:p w14:paraId="6A3D7347" w14:textId="77777777" w:rsidR="009635BA" w:rsidRPr="00226744" w:rsidRDefault="009635BA" w:rsidP="009635BA">
            <w:pPr>
              <w:jc w:val="center"/>
            </w:pPr>
            <w:r w:rsidRPr="00226744">
              <w:t>4.90%</w:t>
            </w:r>
          </w:p>
        </w:tc>
        <w:tc>
          <w:tcPr>
            <w:tcW w:w="2307" w:type="dxa"/>
            <w:noWrap/>
            <w:hideMark/>
          </w:tcPr>
          <w:p w14:paraId="527C4D19" w14:textId="77777777" w:rsidR="009635BA" w:rsidRPr="00226744" w:rsidRDefault="009635BA" w:rsidP="009635BA">
            <w:pPr>
              <w:jc w:val="right"/>
            </w:pPr>
            <w:r w:rsidRPr="00226744">
              <w:t>3.6%</w:t>
            </w:r>
          </w:p>
        </w:tc>
        <w:tc>
          <w:tcPr>
            <w:tcW w:w="1624" w:type="dxa"/>
            <w:noWrap/>
            <w:hideMark/>
          </w:tcPr>
          <w:p w14:paraId="05A69DEA" w14:textId="77777777" w:rsidR="009635BA" w:rsidRPr="00226744" w:rsidRDefault="009635BA" w:rsidP="009635BA">
            <w:pPr>
              <w:jc w:val="right"/>
            </w:pPr>
            <w:r w:rsidRPr="00226744">
              <w:t>6.5%</w:t>
            </w:r>
          </w:p>
        </w:tc>
      </w:tr>
      <w:tr w:rsidR="009635BA" w:rsidRPr="00226744" w14:paraId="135399B4" w14:textId="77777777" w:rsidTr="00D576DA">
        <w:trPr>
          <w:trHeight w:val="300"/>
        </w:trPr>
        <w:tc>
          <w:tcPr>
            <w:tcW w:w="988" w:type="dxa"/>
            <w:noWrap/>
            <w:hideMark/>
          </w:tcPr>
          <w:p w14:paraId="266E89AE" w14:textId="77777777" w:rsidR="009635BA" w:rsidRPr="00226744" w:rsidRDefault="009635BA" w:rsidP="009635BA">
            <w:pPr>
              <w:jc w:val="center"/>
            </w:pPr>
            <w:r w:rsidRPr="00226744">
              <w:t>CCG 10</w:t>
            </w:r>
          </w:p>
        </w:tc>
        <w:tc>
          <w:tcPr>
            <w:tcW w:w="1573" w:type="dxa"/>
            <w:noWrap/>
            <w:hideMark/>
          </w:tcPr>
          <w:p w14:paraId="79A495A6" w14:textId="77777777" w:rsidR="009635BA" w:rsidRPr="00226744" w:rsidRDefault="009635BA" w:rsidP="009635BA">
            <w:pPr>
              <w:jc w:val="center"/>
            </w:pPr>
            <w:r w:rsidRPr="00226744">
              <w:t>236</w:t>
            </w:r>
          </w:p>
        </w:tc>
        <w:tc>
          <w:tcPr>
            <w:tcW w:w="1329" w:type="dxa"/>
            <w:noWrap/>
            <w:hideMark/>
          </w:tcPr>
          <w:p w14:paraId="3A0DFF69" w14:textId="77777777" w:rsidR="009635BA" w:rsidRPr="00226744" w:rsidRDefault="009635BA" w:rsidP="009635BA">
            <w:pPr>
              <w:jc w:val="center"/>
            </w:pPr>
            <w:r w:rsidRPr="00226744">
              <w:t>12</w:t>
            </w:r>
          </w:p>
        </w:tc>
        <w:tc>
          <w:tcPr>
            <w:tcW w:w="963" w:type="dxa"/>
            <w:noWrap/>
            <w:hideMark/>
          </w:tcPr>
          <w:p w14:paraId="460C2D98" w14:textId="77777777" w:rsidR="009635BA" w:rsidRPr="00226744" w:rsidRDefault="009635BA" w:rsidP="009635BA">
            <w:pPr>
              <w:jc w:val="center"/>
            </w:pPr>
            <w:r w:rsidRPr="00226744">
              <w:t>5.10%</w:t>
            </w:r>
          </w:p>
        </w:tc>
        <w:tc>
          <w:tcPr>
            <w:tcW w:w="2307" w:type="dxa"/>
            <w:noWrap/>
            <w:hideMark/>
          </w:tcPr>
          <w:p w14:paraId="5C3E00E0" w14:textId="77777777" w:rsidR="009635BA" w:rsidRPr="00226744" w:rsidRDefault="009635BA" w:rsidP="009635BA">
            <w:pPr>
              <w:jc w:val="right"/>
            </w:pPr>
            <w:r w:rsidRPr="00226744">
              <w:t>2.9%</w:t>
            </w:r>
          </w:p>
        </w:tc>
        <w:tc>
          <w:tcPr>
            <w:tcW w:w="1624" w:type="dxa"/>
            <w:noWrap/>
            <w:hideMark/>
          </w:tcPr>
          <w:p w14:paraId="51B4775A" w14:textId="77777777" w:rsidR="009635BA" w:rsidRPr="00226744" w:rsidRDefault="009635BA" w:rsidP="009635BA">
            <w:pPr>
              <w:jc w:val="right"/>
            </w:pPr>
            <w:r w:rsidRPr="00226744">
              <w:t>8.7%</w:t>
            </w:r>
          </w:p>
        </w:tc>
      </w:tr>
      <w:tr w:rsidR="009635BA" w:rsidRPr="00226744" w14:paraId="5F453976" w14:textId="77777777" w:rsidTr="00D576DA">
        <w:trPr>
          <w:trHeight w:val="300"/>
        </w:trPr>
        <w:tc>
          <w:tcPr>
            <w:tcW w:w="988" w:type="dxa"/>
            <w:noWrap/>
            <w:hideMark/>
          </w:tcPr>
          <w:p w14:paraId="4F59194F" w14:textId="395A11E3" w:rsidR="009635BA" w:rsidRPr="00226744" w:rsidRDefault="009635BA" w:rsidP="009635BA">
            <w:pPr>
              <w:jc w:val="center"/>
              <w:rPr>
                <w:b/>
                <w:bCs/>
              </w:rPr>
            </w:pPr>
            <w:r w:rsidRPr="00226744">
              <w:rPr>
                <w:b/>
                <w:bCs/>
              </w:rPr>
              <w:t>Top 10 CCGs CCG Code</w:t>
            </w:r>
          </w:p>
        </w:tc>
        <w:tc>
          <w:tcPr>
            <w:tcW w:w="1573" w:type="dxa"/>
            <w:noWrap/>
            <w:hideMark/>
          </w:tcPr>
          <w:p w14:paraId="282CC5D7" w14:textId="77777777" w:rsidR="009635BA" w:rsidRPr="00226744" w:rsidRDefault="009635BA" w:rsidP="009635BA">
            <w:pPr>
              <w:jc w:val="center"/>
              <w:rPr>
                <w:b/>
                <w:bCs/>
              </w:rPr>
            </w:pPr>
            <w:r w:rsidRPr="00226744">
              <w:rPr>
                <w:b/>
                <w:bCs/>
              </w:rPr>
              <w:t>Denominator</w:t>
            </w:r>
          </w:p>
        </w:tc>
        <w:tc>
          <w:tcPr>
            <w:tcW w:w="1329" w:type="dxa"/>
            <w:noWrap/>
            <w:hideMark/>
          </w:tcPr>
          <w:p w14:paraId="58AE9049" w14:textId="77777777" w:rsidR="009635BA" w:rsidRPr="00226744" w:rsidRDefault="009635BA" w:rsidP="009635BA">
            <w:pPr>
              <w:jc w:val="center"/>
              <w:rPr>
                <w:b/>
                <w:bCs/>
              </w:rPr>
            </w:pPr>
            <w:r w:rsidRPr="00226744">
              <w:rPr>
                <w:b/>
                <w:bCs/>
              </w:rPr>
              <w:t>Numerator</w:t>
            </w:r>
          </w:p>
        </w:tc>
        <w:tc>
          <w:tcPr>
            <w:tcW w:w="963" w:type="dxa"/>
            <w:noWrap/>
            <w:hideMark/>
          </w:tcPr>
          <w:p w14:paraId="3BE22FCA" w14:textId="77777777" w:rsidR="009635BA" w:rsidRPr="00226744" w:rsidRDefault="009635BA" w:rsidP="009635BA">
            <w:pPr>
              <w:jc w:val="center"/>
              <w:rPr>
                <w:b/>
                <w:bCs/>
              </w:rPr>
            </w:pPr>
            <w:r w:rsidRPr="00226744">
              <w:rPr>
                <w:b/>
                <w:bCs/>
              </w:rPr>
              <w:t>%</w:t>
            </w:r>
          </w:p>
        </w:tc>
        <w:tc>
          <w:tcPr>
            <w:tcW w:w="2307" w:type="dxa"/>
            <w:noWrap/>
            <w:hideMark/>
          </w:tcPr>
          <w:p w14:paraId="6F50281B" w14:textId="2FDB81F4" w:rsidR="009635BA" w:rsidRPr="00226744" w:rsidRDefault="009635BA" w:rsidP="009635BA">
            <w:pPr>
              <w:jc w:val="center"/>
              <w:rPr>
                <w:b/>
                <w:bCs/>
              </w:rPr>
            </w:pPr>
            <w:r w:rsidRPr="00226744">
              <w:rPr>
                <w:b/>
                <w:bCs/>
              </w:rPr>
              <w:t>95% Confidence Interval calculated using Wilson Score method.</w:t>
            </w:r>
          </w:p>
        </w:tc>
        <w:tc>
          <w:tcPr>
            <w:tcW w:w="1624" w:type="dxa"/>
            <w:noWrap/>
            <w:hideMark/>
          </w:tcPr>
          <w:p w14:paraId="711F77D6" w14:textId="00A2F961" w:rsidR="009635BA" w:rsidRPr="00226744" w:rsidRDefault="009635BA" w:rsidP="009635BA">
            <w:pPr>
              <w:jc w:val="center"/>
              <w:rPr>
                <w:b/>
                <w:bCs/>
              </w:rPr>
            </w:pPr>
            <w:r w:rsidRPr="00226744">
              <w:rPr>
                <w:b/>
                <w:bCs/>
              </w:rPr>
              <w:t>95% Confidence Interval calculated using Wilson Score method.</w:t>
            </w:r>
          </w:p>
        </w:tc>
      </w:tr>
      <w:tr w:rsidR="009635BA" w:rsidRPr="00226744" w14:paraId="18154A59" w14:textId="77777777" w:rsidTr="00D576DA">
        <w:trPr>
          <w:trHeight w:val="300"/>
        </w:trPr>
        <w:tc>
          <w:tcPr>
            <w:tcW w:w="988" w:type="dxa"/>
            <w:noWrap/>
            <w:hideMark/>
          </w:tcPr>
          <w:p w14:paraId="7DBA5348" w14:textId="77777777" w:rsidR="009635BA" w:rsidRPr="00226744" w:rsidRDefault="009635BA" w:rsidP="009635BA">
            <w:pPr>
              <w:jc w:val="center"/>
            </w:pPr>
            <w:r w:rsidRPr="00226744">
              <w:t>CCG 203</w:t>
            </w:r>
          </w:p>
        </w:tc>
        <w:tc>
          <w:tcPr>
            <w:tcW w:w="1573" w:type="dxa"/>
            <w:noWrap/>
            <w:hideMark/>
          </w:tcPr>
          <w:p w14:paraId="7019F52D" w14:textId="77777777" w:rsidR="009635BA" w:rsidRPr="00226744" w:rsidRDefault="009635BA" w:rsidP="009635BA">
            <w:pPr>
              <w:jc w:val="center"/>
            </w:pPr>
            <w:r w:rsidRPr="00226744">
              <w:t>845</w:t>
            </w:r>
          </w:p>
        </w:tc>
        <w:tc>
          <w:tcPr>
            <w:tcW w:w="1329" w:type="dxa"/>
            <w:noWrap/>
            <w:hideMark/>
          </w:tcPr>
          <w:p w14:paraId="2EDFC1A6" w14:textId="77777777" w:rsidR="009635BA" w:rsidRPr="00226744" w:rsidRDefault="009635BA" w:rsidP="009635BA">
            <w:pPr>
              <w:jc w:val="center"/>
            </w:pPr>
            <w:r w:rsidRPr="00226744">
              <w:t>138</w:t>
            </w:r>
          </w:p>
        </w:tc>
        <w:tc>
          <w:tcPr>
            <w:tcW w:w="963" w:type="dxa"/>
            <w:noWrap/>
            <w:hideMark/>
          </w:tcPr>
          <w:p w14:paraId="5914D259" w14:textId="77777777" w:rsidR="009635BA" w:rsidRPr="00226744" w:rsidRDefault="009635BA" w:rsidP="009635BA">
            <w:pPr>
              <w:jc w:val="center"/>
            </w:pPr>
            <w:r w:rsidRPr="00226744">
              <w:t>16.30%</w:t>
            </w:r>
          </w:p>
        </w:tc>
        <w:tc>
          <w:tcPr>
            <w:tcW w:w="2307" w:type="dxa"/>
            <w:noWrap/>
            <w:hideMark/>
          </w:tcPr>
          <w:p w14:paraId="0ED68065" w14:textId="77777777" w:rsidR="009635BA" w:rsidRPr="00226744" w:rsidRDefault="009635BA" w:rsidP="009635BA">
            <w:pPr>
              <w:jc w:val="right"/>
            </w:pPr>
            <w:r w:rsidRPr="00226744">
              <w:t>14.0%</w:t>
            </w:r>
          </w:p>
        </w:tc>
        <w:tc>
          <w:tcPr>
            <w:tcW w:w="1624" w:type="dxa"/>
            <w:noWrap/>
            <w:hideMark/>
          </w:tcPr>
          <w:p w14:paraId="560850EC" w14:textId="77777777" w:rsidR="009635BA" w:rsidRPr="00226744" w:rsidRDefault="009635BA" w:rsidP="009635BA">
            <w:pPr>
              <w:jc w:val="right"/>
            </w:pPr>
            <w:r w:rsidRPr="00226744">
              <w:t>19.0%</w:t>
            </w:r>
          </w:p>
        </w:tc>
      </w:tr>
      <w:tr w:rsidR="009635BA" w:rsidRPr="00226744" w14:paraId="1289679F" w14:textId="77777777" w:rsidTr="00D576DA">
        <w:trPr>
          <w:trHeight w:val="300"/>
        </w:trPr>
        <w:tc>
          <w:tcPr>
            <w:tcW w:w="988" w:type="dxa"/>
            <w:noWrap/>
            <w:hideMark/>
          </w:tcPr>
          <w:p w14:paraId="03D1FF4B" w14:textId="77777777" w:rsidR="009635BA" w:rsidRPr="00226744" w:rsidRDefault="009635BA" w:rsidP="009635BA">
            <w:pPr>
              <w:jc w:val="center"/>
            </w:pPr>
            <w:r w:rsidRPr="00226744">
              <w:lastRenderedPageBreak/>
              <w:t>CCG 204</w:t>
            </w:r>
          </w:p>
        </w:tc>
        <w:tc>
          <w:tcPr>
            <w:tcW w:w="1573" w:type="dxa"/>
            <w:noWrap/>
            <w:hideMark/>
          </w:tcPr>
          <w:p w14:paraId="2A3B943F" w14:textId="77777777" w:rsidR="009635BA" w:rsidRPr="00226744" w:rsidRDefault="009635BA" w:rsidP="009635BA">
            <w:pPr>
              <w:jc w:val="center"/>
            </w:pPr>
            <w:r w:rsidRPr="00226744">
              <w:t>345</w:t>
            </w:r>
          </w:p>
        </w:tc>
        <w:tc>
          <w:tcPr>
            <w:tcW w:w="1329" w:type="dxa"/>
            <w:noWrap/>
            <w:hideMark/>
          </w:tcPr>
          <w:p w14:paraId="4AB310F9" w14:textId="77777777" w:rsidR="009635BA" w:rsidRPr="00226744" w:rsidRDefault="009635BA" w:rsidP="009635BA">
            <w:pPr>
              <w:jc w:val="center"/>
            </w:pPr>
            <w:r w:rsidRPr="00226744">
              <w:t>57</w:t>
            </w:r>
          </w:p>
        </w:tc>
        <w:tc>
          <w:tcPr>
            <w:tcW w:w="963" w:type="dxa"/>
            <w:noWrap/>
            <w:hideMark/>
          </w:tcPr>
          <w:p w14:paraId="529F035D" w14:textId="77777777" w:rsidR="009635BA" w:rsidRPr="00226744" w:rsidRDefault="009635BA" w:rsidP="009635BA">
            <w:pPr>
              <w:jc w:val="center"/>
            </w:pPr>
            <w:r w:rsidRPr="00226744">
              <w:t>16.50%</w:t>
            </w:r>
          </w:p>
        </w:tc>
        <w:tc>
          <w:tcPr>
            <w:tcW w:w="2307" w:type="dxa"/>
            <w:noWrap/>
            <w:hideMark/>
          </w:tcPr>
          <w:p w14:paraId="3950D7A2" w14:textId="77777777" w:rsidR="009635BA" w:rsidRPr="00226744" w:rsidRDefault="009635BA" w:rsidP="009635BA">
            <w:pPr>
              <w:jc w:val="right"/>
            </w:pPr>
            <w:r w:rsidRPr="00226744">
              <w:t>13.0%</w:t>
            </w:r>
          </w:p>
        </w:tc>
        <w:tc>
          <w:tcPr>
            <w:tcW w:w="1624" w:type="dxa"/>
            <w:noWrap/>
            <w:hideMark/>
          </w:tcPr>
          <w:p w14:paraId="6D6D3B50" w14:textId="77777777" w:rsidR="009635BA" w:rsidRPr="00226744" w:rsidRDefault="009635BA" w:rsidP="009635BA">
            <w:pPr>
              <w:jc w:val="right"/>
            </w:pPr>
            <w:r w:rsidRPr="00226744">
              <w:t>20.8%</w:t>
            </w:r>
          </w:p>
        </w:tc>
      </w:tr>
      <w:tr w:rsidR="009635BA" w:rsidRPr="00226744" w14:paraId="1AEAC9C7" w14:textId="77777777" w:rsidTr="00D576DA">
        <w:trPr>
          <w:trHeight w:val="300"/>
        </w:trPr>
        <w:tc>
          <w:tcPr>
            <w:tcW w:w="988" w:type="dxa"/>
            <w:noWrap/>
            <w:hideMark/>
          </w:tcPr>
          <w:p w14:paraId="3C590678" w14:textId="77777777" w:rsidR="009635BA" w:rsidRPr="00226744" w:rsidRDefault="009635BA" w:rsidP="009635BA">
            <w:pPr>
              <w:jc w:val="center"/>
            </w:pPr>
            <w:r w:rsidRPr="00226744">
              <w:t>CCG 205</w:t>
            </w:r>
          </w:p>
        </w:tc>
        <w:tc>
          <w:tcPr>
            <w:tcW w:w="1573" w:type="dxa"/>
            <w:noWrap/>
            <w:hideMark/>
          </w:tcPr>
          <w:p w14:paraId="3E59FCEA" w14:textId="77777777" w:rsidR="009635BA" w:rsidRPr="00226744" w:rsidRDefault="009635BA" w:rsidP="009635BA">
            <w:pPr>
              <w:jc w:val="center"/>
            </w:pPr>
            <w:r w:rsidRPr="00226744">
              <w:t>192</w:t>
            </w:r>
          </w:p>
        </w:tc>
        <w:tc>
          <w:tcPr>
            <w:tcW w:w="1329" w:type="dxa"/>
            <w:noWrap/>
            <w:hideMark/>
          </w:tcPr>
          <w:p w14:paraId="1D487640" w14:textId="77777777" w:rsidR="009635BA" w:rsidRPr="00226744" w:rsidRDefault="009635BA" w:rsidP="009635BA">
            <w:pPr>
              <w:jc w:val="center"/>
            </w:pPr>
            <w:r w:rsidRPr="00226744">
              <w:t>32</w:t>
            </w:r>
          </w:p>
        </w:tc>
        <w:tc>
          <w:tcPr>
            <w:tcW w:w="963" w:type="dxa"/>
            <w:noWrap/>
            <w:hideMark/>
          </w:tcPr>
          <w:p w14:paraId="7FED3589" w14:textId="77777777" w:rsidR="009635BA" w:rsidRPr="00226744" w:rsidRDefault="009635BA" w:rsidP="009635BA">
            <w:pPr>
              <w:jc w:val="center"/>
            </w:pPr>
            <w:r w:rsidRPr="00226744">
              <w:t>16.70%</w:t>
            </w:r>
          </w:p>
        </w:tc>
        <w:tc>
          <w:tcPr>
            <w:tcW w:w="2307" w:type="dxa"/>
            <w:noWrap/>
            <w:hideMark/>
          </w:tcPr>
          <w:p w14:paraId="4A2BC321" w14:textId="77777777" w:rsidR="009635BA" w:rsidRPr="00226744" w:rsidRDefault="009635BA" w:rsidP="009635BA">
            <w:pPr>
              <w:jc w:val="right"/>
            </w:pPr>
            <w:r w:rsidRPr="00226744">
              <w:t>12.1%</w:t>
            </w:r>
          </w:p>
        </w:tc>
        <w:tc>
          <w:tcPr>
            <w:tcW w:w="1624" w:type="dxa"/>
            <w:noWrap/>
            <w:hideMark/>
          </w:tcPr>
          <w:p w14:paraId="0BE9944B" w14:textId="77777777" w:rsidR="009635BA" w:rsidRPr="00226744" w:rsidRDefault="009635BA" w:rsidP="009635BA">
            <w:pPr>
              <w:jc w:val="right"/>
            </w:pPr>
            <w:r w:rsidRPr="00226744">
              <w:t>22.6%</w:t>
            </w:r>
          </w:p>
        </w:tc>
      </w:tr>
      <w:tr w:rsidR="009635BA" w:rsidRPr="00226744" w14:paraId="5EAAE71F" w14:textId="77777777" w:rsidTr="00D576DA">
        <w:trPr>
          <w:trHeight w:val="300"/>
        </w:trPr>
        <w:tc>
          <w:tcPr>
            <w:tcW w:w="988" w:type="dxa"/>
            <w:noWrap/>
            <w:hideMark/>
          </w:tcPr>
          <w:p w14:paraId="3C4BAA8A" w14:textId="77777777" w:rsidR="009635BA" w:rsidRPr="00226744" w:rsidRDefault="009635BA" w:rsidP="009635BA">
            <w:pPr>
              <w:jc w:val="center"/>
            </w:pPr>
            <w:r w:rsidRPr="00226744">
              <w:t>CCG 206</w:t>
            </w:r>
          </w:p>
        </w:tc>
        <w:tc>
          <w:tcPr>
            <w:tcW w:w="1573" w:type="dxa"/>
            <w:noWrap/>
            <w:hideMark/>
          </w:tcPr>
          <w:p w14:paraId="3DDA4268" w14:textId="77777777" w:rsidR="009635BA" w:rsidRPr="00226744" w:rsidRDefault="009635BA" w:rsidP="009635BA">
            <w:pPr>
              <w:jc w:val="center"/>
            </w:pPr>
            <w:r w:rsidRPr="00226744">
              <w:t>442</w:t>
            </w:r>
          </w:p>
        </w:tc>
        <w:tc>
          <w:tcPr>
            <w:tcW w:w="1329" w:type="dxa"/>
            <w:noWrap/>
            <w:hideMark/>
          </w:tcPr>
          <w:p w14:paraId="79325430" w14:textId="77777777" w:rsidR="009635BA" w:rsidRPr="00226744" w:rsidRDefault="009635BA" w:rsidP="009635BA">
            <w:pPr>
              <w:jc w:val="center"/>
            </w:pPr>
            <w:r w:rsidRPr="00226744">
              <w:t>78</w:t>
            </w:r>
          </w:p>
        </w:tc>
        <w:tc>
          <w:tcPr>
            <w:tcW w:w="963" w:type="dxa"/>
            <w:noWrap/>
            <w:hideMark/>
          </w:tcPr>
          <w:p w14:paraId="1AD4AF6C" w14:textId="77777777" w:rsidR="009635BA" w:rsidRPr="00226744" w:rsidRDefault="009635BA" w:rsidP="009635BA">
            <w:pPr>
              <w:jc w:val="center"/>
            </w:pPr>
            <w:r w:rsidRPr="00226744">
              <w:t>17.60%</w:t>
            </w:r>
          </w:p>
        </w:tc>
        <w:tc>
          <w:tcPr>
            <w:tcW w:w="2307" w:type="dxa"/>
            <w:noWrap/>
            <w:hideMark/>
          </w:tcPr>
          <w:p w14:paraId="6C5A90FB" w14:textId="77777777" w:rsidR="009635BA" w:rsidRPr="00226744" w:rsidRDefault="009635BA" w:rsidP="009635BA">
            <w:pPr>
              <w:jc w:val="right"/>
            </w:pPr>
            <w:r w:rsidRPr="00226744">
              <w:t>14.4%</w:t>
            </w:r>
          </w:p>
        </w:tc>
        <w:tc>
          <w:tcPr>
            <w:tcW w:w="1624" w:type="dxa"/>
            <w:noWrap/>
            <w:hideMark/>
          </w:tcPr>
          <w:p w14:paraId="6978E9B6" w14:textId="77777777" w:rsidR="009635BA" w:rsidRPr="00226744" w:rsidRDefault="009635BA" w:rsidP="009635BA">
            <w:pPr>
              <w:jc w:val="right"/>
            </w:pPr>
            <w:r w:rsidRPr="00226744">
              <w:t>21.5%</w:t>
            </w:r>
          </w:p>
        </w:tc>
      </w:tr>
      <w:tr w:rsidR="009635BA" w:rsidRPr="00226744" w14:paraId="3C2BB541" w14:textId="77777777" w:rsidTr="00D576DA">
        <w:trPr>
          <w:trHeight w:val="300"/>
        </w:trPr>
        <w:tc>
          <w:tcPr>
            <w:tcW w:w="988" w:type="dxa"/>
            <w:noWrap/>
            <w:hideMark/>
          </w:tcPr>
          <w:p w14:paraId="5D7181B4" w14:textId="77777777" w:rsidR="009635BA" w:rsidRPr="00226744" w:rsidRDefault="009635BA" w:rsidP="009635BA">
            <w:pPr>
              <w:jc w:val="center"/>
            </w:pPr>
            <w:r w:rsidRPr="00226744">
              <w:t>CCG 207</w:t>
            </w:r>
          </w:p>
        </w:tc>
        <w:tc>
          <w:tcPr>
            <w:tcW w:w="1573" w:type="dxa"/>
            <w:noWrap/>
            <w:hideMark/>
          </w:tcPr>
          <w:p w14:paraId="6689B061" w14:textId="77777777" w:rsidR="009635BA" w:rsidRPr="00226744" w:rsidRDefault="009635BA" w:rsidP="009635BA">
            <w:pPr>
              <w:jc w:val="center"/>
            </w:pPr>
            <w:r w:rsidRPr="00226744">
              <w:t>619</w:t>
            </w:r>
          </w:p>
        </w:tc>
        <w:tc>
          <w:tcPr>
            <w:tcW w:w="1329" w:type="dxa"/>
            <w:noWrap/>
            <w:hideMark/>
          </w:tcPr>
          <w:p w14:paraId="4B4058D9" w14:textId="77777777" w:rsidR="009635BA" w:rsidRPr="00226744" w:rsidRDefault="009635BA" w:rsidP="009635BA">
            <w:pPr>
              <w:jc w:val="center"/>
            </w:pPr>
            <w:r w:rsidRPr="00226744">
              <w:t>109</w:t>
            </w:r>
          </w:p>
        </w:tc>
        <w:tc>
          <w:tcPr>
            <w:tcW w:w="963" w:type="dxa"/>
            <w:noWrap/>
            <w:hideMark/>
          </w:tcPr>
          <w:p w14:paraId="7E9D4DFA" w14:textId="77777777" w:rsidR="009635BA" w:rsidRPr="00226744" w:rsidRDefault="009635BA" w:rsidP="009635BA">
            <w:pPr>
              <w:jc w:val="center"/>
            </w:pPr>
            <w:r w:rsidRPr="00226744">
              <w:t>17.60%</w:t>
            </w:r>
          </w:p>
        </w:tc>
        <w:tc>
          <w:tcPr>
            <w:tcW w:w="2307" w:type="dxa"/>
            <w:noWrap/>
            <w:hideMark/>
          </w:tcPr>
          <w:p w14:paraId="73C56528" w14:textId="77777777" w:rsidR="009635BA" w:rsidRPr="00226744" w:rsidRDefault="009635BA" w:rsidP="009635BA">
            <w:pPr>
              <w:jc w:val="right"/>
            </w:pPr>
            <w:r w:rsidRPr="00226744">
              <w:t>14.8%</w:t>
            </w:r>
          </w:p>
        </w:tc>
        <w:tc>
          <w:tcPr>
            <w:tcW w:w="1624" w:type="dxa"/>
            <w:noWrap/>
            <w:hideMark/>
          </w:tcPr>
          <w:p w14:paraId="76C69AC0" w14:textId="77777777" w:rsidR="009635BA" w:rsidRPr="00226744" w:rsidRDefault="009635BA" w:rsidP="009635BA">
            <w:pPr>
              <w:jc w:val="right"/>
            </w:pPr>
            <w:r w:rsidRPr="00226744">
              <w:t>20.8%</w:t>
            </w:r>
          </w:p>
        </w:tc>
      </w:tr>
      <w:tr w:rsidR="009635BA" w:rsidRPr="00226744" w14:paraId="4F6CAE15" w14:textId="77777777" w:rsidTr="00D576DA">
        <w:trPr>
          <w:trHeight w:val="300"/>
        </w:trPr>
        <w:tc>
          <w:tcPr>
            <w:tcW w:w="988" w:type="dxa"/>
            <w:noWrap/>
            <w:hideMark/>
          </w:tcPr>
          <w:p w14:paraId="73D5620A" w14:textId="77777777" w:rsidR="009635BA" w:rsidRPr="00226744" w:rsidRDefault="009635BA" w:rsidP="009635BA">
            <w:pPr>
              <w:jc w:val="center"/>
            </w:pPr>
            <w:r w:rsidRPr="00226744">
              <w:t>CCG 208</w:t>
            </w:r>
          </w:p>
        </w:tc>
        <w:tc>
          <w:tcPr>
            <w:tcW w:w="1573" w:type="dxa"/>
            <w:noWrap/>
            <w:hideMark/>
          </w:tcPr>
          <w:p w14:paraId="5C1F1B42" w14:textId="77777777" w:rsidR="009635BA" w:rsidRPr="00226744" w:rsidRDefault="009635BA" w:rsidP="009635BA">
            <w:pPr>
              <w:jc w:val="center"/>
            </w:pPr>
            <w:r w:rsidRPr="00226744">
              <w:t>444</w:t>
            </w:r>
          </w:p>
        </w:tc>
        <w:tc>
          <w:tcPr>
            <w:tcW w:w="1329" w:type="dxa"/>
            <w:noWrap/>
            <w:hideMark/>
          </w:tcPr>
          <w:p w14:paraId="3065961C" w14:textId="77777777" w:rsidR="009635BA" w:rsidRPr="00226744" w:rsidRDefault="009635BA" w:rsidP="009635BA">
            <w:pPr>
              <w:jc w:val="center"/>
            </w:pPr>
            <w:r w:rsidRPr="00226744">
              <w:t>85</w:t>
            </w:r>
          </w:p>
        </w:tc>
        <w:tc>
          <w:tcPr>
            <w:tcW w:w="963" w:type="dxa"/>
            <w:noWrap/>
            <w:hideMark/>
          </w:tcPr>
          <w:p w14:paraId="443C6F90" w14:textId="77777777" w:rsidR="009635BA" w:rsidRPr="00226744" w:rsidRDefault="009635BA" w:rsidP="009635BA">
            <w:pPr>
              <w:jc w:val="center"/>
            </w:pPr>
            <w:r w:rsidRPr="00226744">
              <w:t>19.10%</w:t>
            </w:r>
          </w:p>
        </w:tc>
        <w:tc>
          <w:tcPr>
            <w:tcW w:w="2307" w:type="dxa"/>
            <w:noWrap/>
            <w:hideMark/>
          </w:tcPr>
          <w:p w14:paraId="5D90B46A" w14:textId="77777777" w:rsidR="009635BA" w:rsidRPr="00226744" w:rsidRDefault="009635BA" w:rsidP="009635BA">
            <w:pPr>
              <w:jc w:val="right"/>
            </w:pPr>
            <w:r w:rsidRPr="00226744">
              <w:t>15.8%</w:t>
            </w:r>
          </w:p>
        </w:tc>
        <w:tc>
          <w:tcPr>
            <w:tcW w:w="1624" w:type="dxa"/>
            <w:noWrap/>
            <w:hideMark/>
          </w:tcPr>
          <w:p w14:paraId="13661CD4" w14:textId="77777777" w:rsidR="009635BA" w:rsidRPr="00226744" w:rsidRDefault="009635BA" w:rsidP="009635BA">
            <w:pPr>
              <w:jc w:val="right"/>
            </w:pPr>
            <w:r w:rsidRPr="00226744">
              <w:t>23.1%</w:t>
            </w:r>
          </w:p>
        </w:tc>
      </w:tr>
      <w:tr w:rsidR="009635BA" w:rsidRPr="00226744" w14:paraId="597303E6" w14:textId="77777777" w:rsidTr="00D576DA">
        <w:trPr>
          <w:trHeight w:val="300"/>
        </w:trPr>
        <w:tc>
          <w:tcPr>
            <w:tcW w:w="988" w:type="dxa"/>
            <w:noWrap/>
            <w:hideMark/>
          </w:tcPr>
          <w:p w14:paraId="175F36E5" w14:textId="77777777" w:rsidR="009635BA" w:rsidRPr="00226744" w:rsidRDefault="009635BA" w:rsidP="009635BA">
            <w:pPr>
              <w:jc w:val="center"/>
            </w:pPr>
            <w:r w:rsidRPr="00226744">
              <w:t>CCG 209</w:t>
            </w:r>
          </w:p>
        </w:tc>
        <w:tc>
          <w:tcPr>
            <w:tcW w:w="1573" w:type="dxa"/>
            <w:noWrap/>
            <w:hideMark/>
          </w:tcPr>
          <w:p w14:paraId="3AC9ABCF" w14:textId="77777777" w:rsidR="009635BA" w:rsidRPr="00226744" w:rsidRDefault="009635BA" w:rsidP="009635BA">
            <w:pPr>
              <w:jc w:val="center"/>
            </w:pPr>
            <w:r w:rsidRPr="00226744">
              <w:t>323</w:t>
            </w:r>
          </w:p>
        </w:tc>
        <w:tc>
          <w:tcPr>
            <w:tcW w:w="1329" w:type="dxa"/>
            <w:noWrap/>
            <w:hideMark/>
          </w:tcPr>
          <w:p w14:paraId="65D0FC03" w14:textId="77777777" w:rsidR="009635BA" w:rsidRPr="00226744" w:rsidRDefault="009635BA" w:rsidP="009635BA">
            <w:pPr>
              <w:jc w:val="center"/>
            </w:pPr>
            <w:r w:rsidRPr="00226744">
              <w:t>63</w:t>
            </w:r>
          </w:p>
        </w:tc>
        <w:tc>
          <w:tcPr>
            <w:tcW w:w="963" w:type="dxa"/>
            <w:noWrap/>
            <w:hideMark/>
          </w:tcPr>
          <w:p w14:paraId="1D60FACD" w14:textId="77777777" w:rsidR="009635BA" w:rsidRPr="00226744" w:rsidRDefault="009635BA" w:rsidP="009635BA">
            <w:pPr>
              <w:jc w:val="center"/>
            </w:pPr>
            <w:r w:rsidRPr="00226744">
              <w:t>19.50%</w:t>
            </w:r>
          </w:p>
        </w:tc>
        <w:tc>
          <w:tcPr>
            <w:tcW w:w="2307" w:type="dxa"/>
            <w:noWrap/>
            <w:hideMark/>
          </w:tcPr>
          <w:p w14:paraId="2C8239AE" w14:textId="77777777" w:rsidR="009635BA" w:rsidRPr="00226744" w:rsidRDefault="009635BA" w:rsidP="009635BA">
            <w:pPr>
              <w:jc w:val="right"/>
            </w:pPr>
            <w:r w:rsidRPr="00226744">
              <w:t>15.6%</w:t>
            </w:r>
          </w:p>
        </w:tc>
        <w:tc>
          <w:tcPr>
            <w:tcW w:w="1624" w:type="dxa"/>
            <w:noWrap/>
            <w:hideMark/>
          </w:tcPr>
          <w:p w14:paraId="1AEB8C53" w14:textId="77777777" w:rsidR="009635BA" w:rsidRPr="00226744" w:rsidRDefault="009635BA" w:rsidP="009635BA">
            <w:pPr>
              <w:jc w:val="right"/>
            </w:pPr>
            <w:r w:rsidRPr="00226744">
              <w:t>24.2%</w:t>
            </w:r>
          </w:p>
        </w:tc>
      </w:tr>
      <w:tr w:rsidR="009635BA" w:rsidRPr="00226744" w14:paraId="7D3F553A" w14:textId="77777777" w:rsidTr="00D576DA">
        <w:trPr>
          <w:trHeight w:val="300"/>
        </w:trPr>
        <w:tc>
          <w:tcPr>
            <w:tcW w:w="988" w:type="dxa"/>
            <w:noWrap/>
            <w:hideMark/>
          </w:tcPr>
          <w:p w14:paraId="2C696DCA" w14:textId="77777777" w:rsidR="009635BA" w:rsidRPr="00226744" w:rsidRDefault="009635BA" w:rsidP="009635BA">
            <w:pPr>
              <w:jc w:val="center"/>
            </w:pPr>
            <w:r w:rsidRPr="00226744">
              <w:t>CCG 210</w:t>
            </w:r>
          </w:p>
        </w:tc>
        <w:tc>
          <w:tcPr>
            <w:tcW w:w="1573" w:type="dxa"/>
            <w:noWrap/>
            <w:hideMark/>
          </w:tcPr>
          <w:p w14:paraId="63A5B30D" w14:textId="77777777" w:rsidR="009635BA" w:rsidRPr="00226744" w:rsidRDefault="009635BA" w:rsidP="009635BA">
            <w:pPr>
              <w:jc w:val="center"/>
            </w:pPr>
            <w:r w:rsidRPr="00226744">
              <w:t>871</w:t>
            </w:r>
          </w:p>
        </w:tc>
        <w:tc>
          <w:tcPr>
            <w:tcW w:w="1329" w:type="dxa"/>
            <w:noWrap/>
            <w:hideMark/>
          </w:tcPr>
          <w:p w14:paraId="66D2DD4D" w14:textId="77777777" w:rsidR="009635BA" w:rsidRPr="00226744" w:rsidRDefault="009635BA" w:rsidP="009635BA">
            <w:pPr>
              <w:jc w:val="center"/>
            </w:pPr>
            <w:r w:rsidRPr="00226744">
              <w:t>176</w:t>
            </w:r>
          </w:p>
        </w:tc>
        <w:tc>
          <w:tcPr>
            <w:tcW w:w="963" w:type="dxa"/>
            <w:noWrap/>
            <w:hideMark/>
          </w:tcPr>
          <w:p w14:paraId="4280BC2C" w14:textId="77777777" w:rsidR="009635BA" w:rsidRPr="00226744" w:rsidRDefault="009635BA" w:rsidP="009635BA">
            <w:pPr>
              <w:jc w:val="center"/>
            </w:pPr>
            <w:r w:rsidRPr="00226744">
              <w:t>20.20%</w:t>
            </w:r>
          </w:p>
        </w:tc>
        <w:tc>
          <w:tcPr>
            <w:tcW w:w="2307" w:type="dxa"/>
            <w:noWrap/>
            <w:hideMark/>
          </w:tcPr>
          <w:p w14:paraId="5FBFBEB9" w14:textId="77777777" w:rsidR="009635BA" w:rsidRPr="00226744" w:rsidRDefault="009635BA" w:rsidP="009635BA">
            <w:pPr>
              <w:jc w:val="right"/>
            </w:pPr>
            <w:r w:rsidRPr="00226744">
              <w:t>17.7%</w:t>
            </w:r>
          </w:p>
        </w:tc>
        <w:tc>
          <w:tcPr>
            <w:tcW w:w="1624" w:type="dxa"/>
            <w:noWrap/>
            <w:hideMark/>
          </w:tcPr>
          <w:p w14:paraId="5A0497C5" w14:textId="77777777" w:rsidR="009635BA" w:rsidRPr="00226744" w:rsidRDefault="009635BA" w:rsidP="009635BA">
            <w:pPr>
              <w:jc w:val="right"/>
            </w:pPr>
            <w:r w:rsidRPr="00226744">
              <w:t>23.0%</w:t>
            </w:r>
          </w:p>
        </w:tc>
      </w:tr>
      <w:tr w:rsidR="009635BA" w:rsidRPr="00226744" w14:paraId="6B9610A8" w14:textId="77777777" w:rsidTr="00D576DA">
        <w:trPr>
          <w:trHeight w:val="300"/>
        </w:trPr>
        <w:tc>
          <w:tcPr>
            <w:tcW w:w="988" w:type="dxa"/>
            <w:noWrap/>
            <w:hideMark/>
          </w:tcPr>
          <w:p w14:paraId="01B58B29" w14:textId="77777777" w:rsidR="009635BA" w:rsidRPr="00226744" w:rsidRDefault="009635BA" w:rsidP="009635BA">
            <w:pPr>
              <w:jc w:val="center"/>
            </w:pPr>
            <w:r w:rsidRPr="00226744">
              <w:t>CCG 211</w:t>
            </w:r>
          </w:p>
        </w:tc>
        <w:tc>
          <w:tcPr>
            <w:tcW w:w="1573" w:type="dxa"/>
            <w:noWrap/>
            <w:hideMark/>
          </w:tcPr>
          <w:p w14:paraId="2CA84564" w14:textId="77777777" w:rsidR="009635BA" w:rsidRPr="00226744" w:rsidRDefault="009635BA" w:rsidP="009635BA">
            <w:pPr>
              <w:jc w:val="center"/>
            </w:pPr>
            <w:r w:rsidRPr="00226744">
              <w:t>2405</w:t>
            </w:r>
          </w:p>
        </w:tc>
        <w:tc>
          <w:tcPr>
            <w:tcW w:w="1329" w:type="dxa"/>
            <w:noWrap/>
            <w:hideMark/>
          </w:tcPr>
          <w:p w14:paraId="4E7AC839" w14:textId="77777777" w:rsidR="009635BA" w:rsidRPr="00226744" w:rsidRDefault="009635BA" w:rsidP="009635BA">
            <w:pPr>
              <w:jc w:val="center"/>
            </w:pPr>
            <w:r w:rsidRPr="00226744">
              <w:t>517</w:t>
            </w:r>
          </w:p>
        </w:tc>
        <w:tc>
          <w:tcPr>
            <w:tcW w:w="963" w:type="dxa"/>
            <w:noWrap/>
            <w:hideMark/>
          </w:tcPr>
          <w:p w14:paraId="57601AB5" w14:textId="77777777" w:rsidR="009635BA" w:rsidRPr="00226744" w:rsidRDefault="009635BA" w:rsidP="009635BA">
            <w:pPr>
              <w:jc w:val="center"/>
            </w:pPr>
            <w:r w:rsidRPr="00226744">
              <w:t>21.50%</w:t>
            </w:r>
          </w:p>
        </w:tc>
        <w:tc>
          <w:tcPr>
            <w:tcW w:w="2307" w:type="dxa"/>
            <w:noWrap/>
            <w:hideMark/>
          </w:tcPr>
          <w:p w14:paraId="1CED7017" w14:textId="77777777" w:rsidR="009635BA" w:rsidRPr="00226744" w:rsidRDefault="009635BA" w:rsidP="009635BA">
            <w:pPr>
              <w:jc w:val="right"/>
            </w:pPr>
            <w:r w:rsidRPr="00226744">
              <w:t>19.9%</w:t>
            </w:r>
          </w:p>
        </w:tc>
        <w:tc>
          <w:tcPr>
            <w:tcW w:w="1624" w:type="dxa"/>
            <w:noWrap/>
            <w:hideMark/>
          </w:tcPr>
          <w:p w14:paraId="5BF1F021" w14:textId="77777777" w:rsidR="009635BA" w:rsidRPr="00226744" w:rsidRDefault="009635BA" w:rsidP="009635BA">
            <w:pPr>
              <w:jc w:val="right"/>
            </w:pPr>
            <w:r w:rsidRPr="00226744">
              <w:t>23.2%</w:t>
            </w:r>
          </w:p>
        </w:tc>
      </w:tr>
      <w:tr w:rsidR="009635BA" w:rsidRPr="00226744" w14:paraId="5D9AE1C9" w14:textId="77777777" w:rsidTr="00D576DA">
        <w:trPr>
          <w:trHeight w:val="300"/>
        </w:trPr>
        <w:tc>
          <w:tcPr>
            <w:tcW w:w="988" w:type="dxa"/>
            <w:noWrap/>
            <w:hideMark/>
          </w:tcPr>
          <w:p w14:paraId="7709E1BB" w14:textId="77777777" w:rsidR="009635BA" w:rsidRPr="00226744" w:rsidRDefault="009635BA" w:rsidP="009635BA">
            <w:pPr>
              <w:jc w:val="center"/>
            </w:pPr>
            <w:r w:rsidRPr="00226744">
              <w:t>CCG 212</w:t>
            </w:r>
          </w:p>
        </w:tc>
        <w:tc>
          <w:tcPr>
            <w:tcW w:w="1573" w:type="dxa"/>
            <w:noWrap/>
            <w:hideMark/>
          </w:tcPr>
          <w:p w14:paraId="5125C7EE" w14:textId="77777777" w:rsidR="009635BA" w:rsidRPr="00226744" w:rsidRDefault="009635BA" w:rsidP="009635BA">
            <w:pPr>
              <w:jc w:val="center"/>
            </w:pPr>
            <w:r w:rsidRPr="00226744">
              <w:t>718</w:t>
            </w:r>
          </w:p>
        </w:tc>
        <w:tc>
          <w:tcPr>
            <w:tcW w:w="1329" w:type="dxa"/>
            <w:noWrap/>
            <w:hideMark/>
          </w:tcPr>
          <w:p w14:paraId="3173DF30" w14:textId="77777777" w:rsidR="009635BA" w:rsidRPr="00226744" w:rsidRDefault="009635BA" w:rsidP="009635BA">
            <w:pPr>
              <w:jc w:val="center"/>
            </w:pPr>
            <w:r w:rsidRPr="00226744">
              <w:t>155</w:t>
            </w:r>
          </w:p>
        </w:tc>
        <w:tc>
          <w:tcPr>
            <w:tcW w:w="963" w:type="dxa"/>
            <w:noWrap/>
            <w:hideMark/>
          </w:tcPr>
          <w:p w14:paraId="4545F33A" w14:textId="77777777" w:rsidR="009635BA" w:rsidRPr="00226744" w:rsidRDefault="009635BA" w:rsidP="009635BA">
            <w:pPr>
              <w:jc w:val="center"/>
            </w:pPr>
            <w:r w:rsidRPr="00226744">
              <w:t>21.60%</w:t>
            </w:r>
          </w:p>
        </w:tc>
        <w:tc>
          <w:tcPr>
            <w:tcW w:w="2307" w:type="dxa"/>
            <w:noWrap/>
            <w:hideMark/>
          </w:tcPr>
          <w:p w14:paraId="2790DA27" w14:textId="77777777" w:rsidR="009635BA" w:rsidRPr="00226744" w:rsidRDefault="009635BA" w:rsidP="009635BA">
            <w:pPr>
              <w:jc w:val="right"/>
            </w:pPr>
            <w:r w:rsidRPr="00226744">
              <w:t>18.7%</w:t>
            </w:r>
          </w:p>
        </w:tc>
        <w:tc>
          <w:tcPr>
            <w:tcW w:w="1624" w:type="dxa"/>
            <w:noWrap/>
            <w:hideMark/>
          </w:tcPr>
          <w:p w14:paraId="7B0DDB16" w14:textId="77777777" w:rsidR="009635BA" w:rsidRPr="00226744" w:rsidRDefault="009635BA" w:rsidP="009635BA">
            <w:pPr>
              <w:jc w:val="right"/>
            </w:pPr>
            <w:r w:rsidRPr="00226744">
              <w:t>24.7%</w:t>
            </w:r>
          </w:p>
        </w:tc>
      </w:tr>
    </w:tbl>
    <w:p w14:paraId="07FA51D0" w14:textId="77777777" w:rsidR="009635BA" w:rsidRDefault="009635BA" w:rsidP="009635BA">
      <w:pPr>
        <w:rPr>
          <w:b/>
          <w:bCs/>
        </w:rPr>
      </w:pPr>
    </w:p>
    <w:p w14:paraId="2F5E5B38" w14:textId="04E95F51" w:rsidR="009635BA" w:rsidRPr="00226744" w:rsidRDefault="009635BA" w:rsidP="009635BA">
      <w:r w:rsidRPr="00226744">
        <w:rPr>
          <w:b/>
          <w:bCs/>
        </w:rPr>
        <w:t>20 Random CCGs</w:t>
      </w:r>
    </w:p>
    <w:p w14:paraId="720455E9" w14:textId="4B0FA903" w:rsidR="009635BA" w:rsidRDefault="009635BA" w:rsidP="008F3D71">
      <w:pPr>
        <w:ind w:left="-851"/>
      </w:pPr>
    </w:p>
    <w:tbl>
      <w:tblPr>
        <w:tblStyle w:val="TableGrid1"/>
        <w:tblW w:w="9351" w:type="dxa"/>
        <w:tblLook w:val="04A0" w:firstRow="1" w:lastRow="0" w:firstColumn="1" w:lastColumn="0" w:noHBand="0" w:noVBand="1"/>
      </w:tblPr>
      <w:tblGrid>
        <w:gridCol w:w="1266"/>
        <w:gridCol w:w="1573"/>
        <w:gridCol w:w="1329"/>
        <w:gridCol w:w="1454"/>
        <w:gridCol w:w="1720"/>
        <w:gridCol w:w="2009"/>
      </w:tblGrid>
      <w:tr w:rsidR="009635BA" w:rsidRPr="00226744" w14:paraId="2D7EE33A" w14:textId="77777777" w:rsidTr="00D576DA">
        <w:trPr>
          <w:trHeight w:val="315"/>
        </w:trPr>
        <w:tc>
          <w:tcPr>
            <w:tcW w:w="1266" w:type="dxa"/>
            <w:noWrap/>
            <w:hideMark/>
          </w:tcPr>
          <w:p w14:paraId="768E0365" w14:textId="77777777" w:rsidR="009635BA" w:rsidRPr="00226744" w:rsidRDefault="009635BA" w:rsidP="009635BA">
            <w:pPr>
              <w:rPr>
                <w:b/>
                <w:bCs/>
              </w:rPr>
            </w:pPr>
            <w:r w:rsidRPr="00226744">
              <w:rPr>
                <w:b/>
                <w:bCs/>
              </w:rPr>
              <w:t>CCG Code</w:t>
            </w:r>
          </w:p>
        </w:tc>
        <w:tc>
          <w:tcPr>
            <w:tcW w:w="1573" w:type="dxa"/>
            <w:noWrap/>
            <w:hideMark/>
          </w:tcPr>
          <w:p w14:paraId="41252ECE" w14:textId="77777777" w:rsidR="009635BA" w:rsidRPr="00226744" w:rsidRDefault="009635BA" w:rsidP="009635BA">
            <w:pPr>
              <w:rPr>
                <w:b/>
                <w:bCs/>
              </w:rPr>
            </w:pPr>
            <w:r w:rsidRPr="00226744">
              <w:rPr>
                <w:b/>
                <w:bCs/>
              </w:rPr>
              <w:t>Denominator</w:t>
            </w:r>
          </w:p>
        </w:tc>
        <w:tc>
          <w:tcPr>
            <w:tcW w:w="1329" w:type="dxa"/>
            <w:noWrap/>
            <w:hideMark/>
          </w:tcPr>
          <w:p w14:paraId="4A816B14" w14:textId="77777777" w:rsidR="009635BA" w:rsidRPr="00226744" w:rsidRDefault="009635BA" w:rsidP="009635BA">
            <w:pPr>
              <w:rPr>
                <w:b/>
                <w:bCs/>
              </w:rPr>
            </w:pPr>
            <w:r w:rsidRPr="00226744">
              <w:rPr>
                <w:b/>
                <w:bCs/>
              </w:rPr>
              <w:t>Numerator</w:t>
            </w:r>
          </w:p>
        </w:tc>
        <w:tc>
          <w:tcPr>
            <w:tcW w:w="1454" w:type="dxa"/>
            <w:noWrap/>
            <w:hideMark/>
          </w:tcPr>
          <w:p w14:paraId="61F5BABA" w14:textId="77777777" w:rsidR="009635BA" w:rsidRPr="00226744" w:rsidRDefault="009635BA" w:rsidP="009635BA">
            <w:pPr>
              <w:jc w:val="center"/>
              <w:rPr>
                <w:b/>
                <w:bCs/>
              </w:rPr>
            </w:pPr>
            <w:r w:rsidRPr="00226744">
              <w:rPr>
                <w:b/>
                <w:bCs/>
              </w:rPr>
              <w:t>%</w:t>
            </w:r>
          </w:p>
        </w:tc>
        <w:tc>
          <w:tcPr>
            <w:tcW w:w="1720" w:type="dxa"/>
            <w:noWrap/>
            <w:hideMark/>
          </w:tcPr>
          <w:p w14:paraId="2B0950F5" w14:textId="6A68C96F" w:rsidR="009635BA" w:rsidRPr="00226744" w:rsidRDefault="009635BA" w:rsidP="009635BA">
            <w:pPr>
              <w:rPr>
                <w:b/>
                <w:bCs/>
              </w:rPr>
            </w:pPr>
            <w:r w:rsidRPr="00226744">
              <w:rPr>
                <w:b/>
                <w:bCs/>
              </w:rPr>
              <w:t xml:space="preserve">95% Confidence Interval calculated using Wilson Score </w:t>
            </w:r>
            <w:proofErr w:type="spellStart"/>
            <w:r w:rsidRPr="00226744">
              <w:rPr>
                <w:b/>
                <w:bCs/>
              </w:rPr>
              <w:t>method.Lower</w:t>
            </w:r>
            <w:proofErr w:type="spellEnd"/>
            <w:r w:rsidRPr="00226744">
              <w:rPr>
                <w:b/>
                <w:bCs/>
              </w:rPr>
              <w:t xml:space="preserve"> CI</w:t>
            </w:r>
          </w:p>
        </w:tc>
        <w:tc>
          <w:tcPr>
            <w:tcW w:w="2009" w:type="dxa"/>
            <w:noWrap/>
            <w:hideMark/>
          </w:tcPr>
          <w:p w14:paraId="1F738340" w14:textId="32B1A1FD" w:rsidR="009635BA" w:rsidRPr="00226744" w:rsidRDefault="009635BA" w:rsidP="009635BA">
            <w:pPr>
              <w:rPr>
                <w:b/>
                <w:bCs/>
              </w:rPr>
            </w:pPr>
            <w:r w:rsidRPr="00226744">
              <w:rPr>
                <w:b/>
                <w:bCs/>
              </w:rPr>
              <w:t xml:space="preserve">U95% Confidence Interval calculated using Wilson Score </w:t>
            </w:r>
            <w:proofErr w:type="spellStart"/>
            <w:r w:rsidRPr="00226744">
              <w:rPr>
                <w:b/>
                <w:bCs/>
              </w:rPr>
              <w:t>method.pper</w:t>
            </w:r>
            <w:proofErr w:type="spellEnd"/>
            <w:r w:rsidRPr="00226744">
              <w:rPr>
                <w:b/>
                <w:bCs/>
              </w:rPr>
              <w:t xml:space="preserve"> CI</w:t>
            </w:r>
          </w:p>
        </w:tc>
      </w:tr>
      <w:tr w:rsidR="009635BA" w:rsidRPr="00226744" w14:paraId="47DB717F" w14:textId="77777777" w:rsidTr="00D576DA">
        <w:trPr>
          <w:trHeight w:val="300"/>
        </w:trPr>
        <w:tc>
          <w:tcPr>
            <w:tcW w:w="1266" w:type="dxa"/>
            <w:noWrap/>
            <w:hideMark/>
          </w:tcPr>
          <w:p w14:paraId="77DFEBA7" w14:textId="77777777" w:rsidR="009635BA" w:rsidRPr="00226744" w:rsidRDefault="009635BA" w:rsidP="009635BA">
            <w:pPr>
              <w:jc w:val="center"/>
            </w:pPr>
            <w:r w:rsidRPr="00226744">
              <w:t>CCG A</w:t>
            </w:r>
          </w:p>
        </w:tc>
        <w:tc>
          <w:tcPr>
            <w:tcW w:w="1573" w:type="dxa"/>
            <w:noWrap/>
            <w:hideMark/>
          </w:tcPr>
          <w:p w14:paraId="64605FB9" w14:textId="77777777" w:rsidR="009635BA" w:rsidRPr="00226744" w:rsidRDefault="009635BA" w:rsidP="009635BA">
            <w:pPr>
              <w:jc w:val="center"/>
            </w:pPr>
            <w:r w:rsidRPr="00226744">
              <w:t>122</w:t>
            </w:r>
          </w:p>
        </w:tc>
        <w:tc>
          <w:tcPr>
            <w:tcW w:w="1329" w:type="dxa"/>
            <w:noWrap/>
            <w:hideMark/>
          </w:tcPr>
          <w:p w14:paraId="6045385D" w14:textId="77777777" w:rsidR="009635BA" w:rsidRPr="00226744" w:rsidRDefault="009635BA" w:rsidP="009635BA">
            <w:pPr>
              <w:jc w:val="center"/>
            </w:pPr>
            <w:r w:rsidRPr="00226744">
              <w:t>8</w:t>
            </w:r>
          </w:p>
        </w:tc>
        <w:tc>
          <w:tcPr>
            <w:tcW w:w="1454" w:type="dxa"/>
            <w:noWrap/>
            <w:hideMark/>
          </w:tcPr>
          <w:p w14:paraId="5A9020CC" w14:textId="77777777" w:rsidR="009635BA" w:rsidRPr="00226744" w:rsidRDefault="009635BA" w:rsidP="009635BA">
            <w:pPr>
              <w:jc w:val="center"/>
            </w:pPr>
            <w:r w:rsidRPr="00226744">
              <w:t>6.60%</w:t>
            </w:r>
          </w:p>
        </w:tc>
        <w:tc>
          <w:tcPr>
            <w:tcW w:w="1720" w:type="dxa"/>
            <w:noWrap/>
            <w:hideMark/>
          </w:tcPr>
          <w:p w14:paraId="66472A38" w14:textId="77777777" w:rsidR="009635BA" w:rsidRPr="00226744" w:rsidRDefault="009635BA" w:rsidP="009635BA">
            <w:pPr>
              <w:jc w:val="right"/>
            </w:pPr>
            <w:r w:rsidRPr="00226744">
              <w:t>3.4%</w:t>
            </w:r>
          </w:p>
        </w:tc>
        <w:tc>
          <w:tcPr>
            <w:tcW w:w="2009" w:type="dxa"/>
            <w:noWrap/>
            <w:hideMark/>
          </w:tcPr>
          <w:p w14:paraId="532B86B3" w14:textId="77777777" w:rsidR="009635BA" w:rsidRPr="00226744" w:rsidRDefault="009635BA" w:rsidP="009635BA">
            <w:pPr>
              <w:jc w:val="right"/>
            </w:pPr>
            <w:r w:rsidRPr="00226744">
              <w:t>12.4%</w:t>
            </w:r>
          </w:p>
        </w:tc>
      </w:tr>
      <w:tr w:rsidR="009635BA" w:rsidRPr="00226744" w14:paraId="0015828C" w14:textId="77777777" w:rsidTr="00D576DA">
        <w:trPr>
          <w:trHeight w:val="300"/>
        </w:trPr>
        <w:tc>
          <w:tcPr>
            <w:tcW w:w="1266" w:type="dxa"/>
            <w:noWrap/>
            <w:hideMark/>
          </w:tcPr>
          <w:p w14:paraId="489DE143" w14:textId="77777777" w:rsidR="009635BA" w:rsidRPr="00226744" w:rsidRDefault="009635BA" w:rsidP="009635BA">
            <w:pPr>
              <w:jc w:val="center"/>
            </w:pPr>
            <w:r w:rsidRPr="00226744">
              <w:t>CCG B</w:t>
            </w:r>
          </w:p>
        </w:tc>
        <w:tc>
          <w:tcPr>
            <w:tcW w:w="1573" w:type="dxa"/>
            <w:noWrap/>
            <w:hideMark/>
          </w:tcPr>
          <w:p w14:paraId="6BD7B628" w14:textId="77777777" w:rsidR="009635BA" w:rsidRPr="00226744" w:rsidRDefault="009635BA" w:rsidP="009635BA">
            <w:pPr>
              <w:jc w:val="center"/>
            </w:pPr>
            <w:r w:rsidRPr="00226744">
              <w:t>176</w:t>
            </w:r>
          </w:p>
        </w:tc>
        <w:tc>
          <w:tcPr>
            <w:tcW w:w="1329" w:type="dxa"/>
            <w:noWrap/>
            <w:hideMark/>
          </w:tcPr>
          <w:p w14:paraId="4D740F2C" w14:textId="77777777" w:rsidR="009635BA" w:rsidRPr="00226744" w:rsidRDefault="009635BA" w:rsidP="009635BA">
            <w:pPr>
              <w:jc w:val="center"/>
            </w:pPr>
            <w:r w:rsidRPr="00226744">
              <w:t>11</w:t>
            </w:r>
          </w:p>
        </w:tc>
        <w:tc>
          <w:tcPr>
            <w:tcW w:w="1454" w:type="dxa"/>
            <w:noWrap/>
            <w:hideMark/>
          </w:tcPr>
          <w:p w14:paraId="7876E186" w14:textId="77777777" w:rsidR="009635BA" w:rsidRPr="00226744" w:rsidRDefault="009635BA" w:rsidP="009635BA">
            <w:pPr>
              <w:jc w:val="center"/>
            </w:pPr>
            <w:r w:rsidRPr="00226744">
              <w:t>6.30%</w:t>
            </w:r>
          </w:p>
        </w:tc>
        <w:tc>
          <w:tcPr>
            <w:tcW w:w="1720" w:type="dxa"/>
            <w:noWrap/>
            <w:hideMark/>
          </w:tcPr>
          <w:p w14:paraId="03B6CA05" w14:textId="77777777" w:rsidR="009635BA" w:rsidRPr="00226744" w:rsidRDefault="009635BA" w:rsidP="009635BA">
            <w:pPr>
              <w:jc w:val="right"/>
            </w:pPr>
            <w:r w:rsidRPr="00226744">
              <w:t>3.5%</w:t>
            </w:r>
          </w:p>
        </w:tc>
        <w:tc>
          <w:tcPr>
            <w:tcW w:w="2009" w:type="dxa"/>
            <w:noWrap/>
            <w:hideMark/>
          </w:tcPr>
          <w:p w14:paraId="1670CA81" w14:textId="77777777" w:rsidR="009635BA" w:rsidRPr="00226744" w:rsidRDefault="009635BA" w:rsidP="009635BA">
            <w:pPr>
              <w:jc w:val="right"/>
            </w:pPr>
            <w:r w:rsidRPr="00226744">
              <w:t>10.8%</w:t>
            </w:r>
          </w:p>
        </w:tc>
      </w:tr>
      <w:tr w:rsidR="009635BA" w:rsidRPr="00226744" w14:paraId="7D230ADC" w14:textId="77777777" w:rsidTr="00D576DA">
        <w:trPr>
          <w:trHeight w:val="300"/>
        </w:trPr>
        <w:tc>
          <w:tcPr>
            <w:tcW w:w="1266" w:type="dxa"/>
            <w:noWrap/>
            <w:hideMark/>
          </w:tcPr>
          <w:p w14:paraId="543DD381" w14:textId="77777777" w:rsidR="009635BA" w:rsidRPr="00226744" w:rsidRDefault="009635BA" w:rsidP="009635BA">
            <w:pPr>
              <w:jc w:val="center"/>
            </w:pPr>
            <w:r w:rsidRPr="00226744">
              <w:t>CCG C</w:t>
            </w:r>
          </w:p>
        </w:tc>
        <w:tc>
          <w:tcPr>
            <w:tcW w:w="1573" w:type="dxa"/>
            <w:noWrap/>
            <w:hideMark/>
          </w:tcPr>
          <w:p w14:paraId="62E7E0DE" w14:textId="77777777" w:rsidR="009635BA" w:rsidRPr="00226744" w:rsidRDefault="009635BA" w:rsidP="009635BA">
            <w:pPr>
              <w:jc w:val="center"/>
            </w:pPr>
            <w:r w:rsidRPr="00226744">
              <w:t>193</w:t>
            </w:r>
          </w:p>
        </w:tc>
        <w:tc>
          <w:tcPr>
            <w:tcW w:w="1329" w:type="dxa"/>
            <w:noWrap/>
            <w:hideMark/>
          </w:tcPr>
          <w:p w14:paraId="74AA866D" w14:textId="77777777" w:rsidR="009635BA" w:rsidRPr="00226744" w:rsidRDefault="009635BA" w:rsidP="009635BA">
            <w:pPr>
              <w:jc w:val="center"/>
            </w:pPr>
            <w:r w:rsidRPr="00226744">
              <w:t>8</w:t>
            </w:r>
          </w:p>
        </w:tc>
        <w:tc>
          <w:tcPr>
            <w:tcW w:w="1454" w:type="dxa"/>
            <w:noWrap/>
            <w:hideMark/>
          </w:tcPr>
          <w:p w14:paraId="4CF4055F" w14:textId="77777777" w:rsidR="009635BA" w:rsidRPr="00226744" w:rsidRDefault="009635BA" w:rsidP="009635BA">
            <w:pPr>
              <w:jc w:val="center"/>
            </w:pPr>
            <w:r w:rsidRPr="00226744">
              <w:t>4.10%</w:t>
            </w:r>
          </w:p>
        </w:tc>
        <w:tc>
          <w:tcPr>
            <w:tcW w:w="1720" w:type="dxa"/>
            <w:noWrap/>
            <w:hideMark/>
          </w:tcPr>
          <w:p w14:paraId="487EFE6E" w14:textId="77777777" w:rsidR="009635BA" w:rsidRPr="00226744" w:rsidRDefault="009635BA" w:rsidP="009635BA">
            <w:pPr>
              <w:jc w:val="right"/>
            </w:pPr>
            <w:r w:rsidRPr="00226744">
              <w:t>2.1%</w:t>
            </w:r>
          </w:p>
        </w:tc>
        <w:tc>
          <w:tcPr>
            <w:tcW w:w="2009" w:type="dxa"/>
            <w:noWrap/>
            <w:hideMark/>
          </w:tcPr>
          <w:p w14:paraId="4AF39189" w14:textId="77777777" w:rsidR="009635BA" w:rsidRPr="00226744" w:rsidRDefault="009635BA" w:rsidP="009635BA">
            <w:pPr>
              <w:jc w:val="right"/>
            </w:pPr>
            <w:r w:rsidRPr="00226744">
              <w:t>8.0%</w:t>
            </w:r>
          </w:p>
        </w:tc>
      </w:tr>
      <w:tr w:rsidR="009635BA" w:rsidRPr="00226744" w14:paraId="1042BE0D" w14:textId="77777777" w:rsidTr="00D576DA">
        <w:trPr>
          <w:trHeight w:val="300"/>
        </w:trPr>
        <w:tc>
          <w:tcPr>
            <w:tcW w:w="1266" w:type="dxa"/>
            <w:noWrap/>
            <w:hideMark/>
          </w:tcPr>
          <w:p w14:paraId="44648ECF" w14:textId="77777777" w:rsidR="009635BA" w:rsidRPr="00226744" w:rsidRDefault="009635BA" w:rsidP="009635BA">
            <w:pPr>
              <w:jc w:val="center"/>
            </w:pPr>
            <w:r w:rsidRPr="00226744">
              <w:t>CCG D</w:t>
            </w:r>
          </w:p>
        </w:tc>
        <w:tc>
          <w:tcPr>
            <w:tcW w:w="1573" w:type="dxa"/>
            <w:noWrap/>
            <w:hideMark/>
          </w:tcPr>
          <w:p w14:paraId="60C782D3" w14:textId="77777777" w:rsidR="009635BA" w:rsidRPr="00226744" w:rsidRDefault="009635BA" w:rsidP="009635BA">
            <w:pPr>
              <w:jc w:val="center"/>
            </w:pPr>
            <w:r w:rsidRPr="00226744">
              <w:t>222</w:t>
            </w:r>
          </w:p>
        </w:tc>
        <w:tc>
          <w:tcPr>
            <w:tcW w:w="1329" w:type="dxa"/>
            <w:noWrap/>
            <w:hideMark/>
          </w:tcPr>
          <w:p w14:paraId="60F2BA82" w14:textId="77777777" w:rsidR="009635BA" w:rsidRPr="00226744" w:rsidRDefault="009635BA" w:rsidP="009635BA">
            <w:pPr>
              <w:jc w:val="center"/>
            </w:pPr>
            <w:r w:rsidRPr="00226744">
              <w:t>20</w:t>
            </w:r>
          </w:p>
        </w:tc>
        <w:tc>
          <w:tcPr>
            <w:tcW w:w="1454" w:type="dxa"/>
            <w:noWrap/>
            <w:hideMark/>
          </w:tcPr>
          <w:p w14:paraId="5AE9EF9B" w14:textId="77777777" w:rsidR="009635BA" w:rsidRPr="00226744" w:rsidRDefault="009635BA" w:rsidP="009635BA">
            <w:pPr>
              <w:jc w:val="center"/>
            </w:pPr>
            <w:r w:rsidRPr="00226744">
              <w:t>9.00%</w:t>
            </w:r>
          </w:p>
        </w:tc>
        <w:tc>
          <w:tcPr>
            <w:tcW w:w="1720" w:type="dxa"/>
            <w:noWrap/>
            <w:hideMark/>
          </w:tcPr>
          <w:p w14:paraId="5B99FA1A" w14:textId="77777777" w:rsidR="009635BA" w:rsidRPr="00226744" w:rsidRDefault="009635BA" w:rsidP="009635BA">
            <w:pPr>
              <w:jc w:val="right"/>
            </w:pPr>
            <w:r w:rsidRPr="00226744">
              <w:t>5.9%</w:t>
            </w:r>
          </w:p>
        </w:tc>
        <w:tc>
          <w:tcPr>
            <w:tcW w:w="2009" w:type="dxa"/>
            <w:noWrap/>
            <w:hideMark/>
          </w:tcPr>
          <w:p w14:paraId="3D1CADC2" w14:textId="77777777" w:rsidR="009635BA" w:rsidRPr="00226744" w:rsidRDefault="009635BA" w:rsidP="009635BA">
            <w:pPr>
              <w:jc w:val="right"/>
            </w:pPr>
            <w:r w:rsidRPr="00226744">
              <w:t>13.5%</w:t>
            </w:r>
          </w:p>
        </w:tc>
      </w:tr>
      <w:tr w:rsidR="009635BA" w:rsidRPr="00226744" w14:paraId="576AAA4A" w14:textId="77777777" w:rsidTr="00D576DA">
        <w:trPr>
          <w:trHeight w:val="300"/>
        </w:trPr>
        <w:tc>
          <w:tcPr>
            <w:tcW w:w="1266" w:type="dxa"/>
            <w:noWrap/>
            <w:hideMark/>
          </w:tcPr>
          <w:p w14:paraId="6B81B2A4" w14:textId="77777777" w:rsidR="009635BA" w:rsidRPr="00226744" w:rsidRDefault="009635BA" w:rsidP="009635BA">
            <w:pPr>
              <w:jc w:val="center"/>
            </w:pPr>
            <w:r w:rsidRPr="00226744">
              <w:t>CCG E</w:t>
            </w:r>
          </w:p>
        </w:tc>
        <w:tc>
          <w:tcPr>
            <w:tcW w:w="1573" w:type="dxa"/>
            <w:noWrap/>
            <w:hideMark/>
          </w:tcPr>
          <w:p w14:paraId="69AF2713" w14:textId="77777777" w:rsidR="009635BA" w:rsidRPr="00226744" w:rsidRDefault="009635BA" w:rsidP="009635BA">
            <w:pPr>
              <w:jc w:val="center"/>
            </w:pPr>
            <w:r w:rsidRPr="00226744">
              <w:t>237</w:t>
            </w:r>
          </w:p>
        </w:tc>
        <w:tc>
          <w:tcPr>
            <w:tcW w:w="1329" w:type="dxa"/>
            <w:noWrap/>
            <w:hideMark/>
          </w:tcPr>
          <w:p w14:paraId="7F7AFA83" w14:textId="77777777" w:rsidR="009635BA" w:rsidRPr="00226744" w:rsidRDefault="009635BA" w:rsidP="009635BA">
            <w:pPr>
              <w:jc w:val="center"/>
            </w:pPr>
            <w:r w:rsidRPr="00226744">
              <w:t>13</w:t>
            </w:r>
          </w:p>
        </w:tc>
        <w:tc>
          <w:tcPr>
            <w:tcW w:w="1454" w:type="dxa"/>
            <w:noWrap/>
            <w:hideMark/>
          </w:tcPr>
          <w:p w14:paraId="2BE96209" w14:textId="77777777" w:rsidR="009635BA" w:rsidRPr="00226744" w:rsidRDefault="009635BA" w:rsidP="009635BA">
            <w:pPr>
              <w:jc w:val="center"/>
            </w:pPr>
            <w:r w:rsidRPr="00226744">
              <w:t>5.50%</w:t>
            </w:r>
          </w:p>
        </w:tc>
        <w:tc>
          <w:tcPr>
            <w:tcW w:w="1720" w:type="dxa"/>
            <w:noWrap/>
            <w:hideMark/>
          </w:tcPr>
          <w:p w14:paraId="3362C338" w14:textId="77777777" w:rsidR="009635BA" w:rsidRPr="00226744" w:rsidRDefault="009635BA" w:rsidP="009635BA">
            <w:pPr>
              <w:jc w:val="right"/>
            </w:pPr>
            <w:r w:rsidRPr="00226744">
              <w:t>3.2%</w:t>
            </w:r>
          </w:p>
        </w:tc>
        <w:tc>
          <w:tcPr>
            <w:tcW w:w="2009" w:type="dxa"/>
            <w:noWrap/>
            <w:hideMark/>
          </w:tcPr>
          <w:p w14:paraId="6EE80DEA" w14:textId="77777777" w:rsidR="009635BA" w:rsidRPr="00226744" w:rsidRDefault="009635BA" w:rsidP="009635BA">
            <w:pPr>
              <w:jc w:val="right"/>
            </w:pPr>
            <w:r w:rsidRPr="00226744">
              <w:t>9.2%</w:t>
            </w:r>
          </w:p>
        </w:tc>
      </w:tr>
      <w:tr w:rsidR="009635BA" w:rsidRPr="00226744" w14:paraId="4E186CBF" w14:textId="77777777" w:rsidTr="00D576DA">
        <w:trPr>
          <w:trHeight w:val="300"/>
        </w:trPr>
        <w:tc>
          <w:tcPr>
            <w:tcW w:w="1266" w:type="dxa"/>
            <w:noWrap/>
            <w:hideMark/>
          </w:tcPr>
          <w:p w14:paraId="3213C275" w14:textId="77777777" w:rsidR="009635BA" w:rsidRPr="00226744" w:rsidRDefault="009635BA" w:rsidP="009635BA">
            <w:pPr>
              <w:jc w:val="center"/>
            </w:pPr>
            <w:r w:rsidRPr="00226744">
              <w:t>CCG F</w:t>
            </w:r>
          </w:p>
        </w:tc>
        <w:tc>
          <w:tcPr>
            <w:tcW w:w="1573" w:type="dxa"/>
            <w:noWrap/>
            <w:hideMark/>
          </w:tcPr>
          <w:p w14:paraId="3B17D9B9" w14:textId="77777777" w:rsidR="009635BA" w:rsidRPr="00226744" w:rsidRDefault="009635BA" w:rsidP="009635BA">
            <w:pPr>
              <w:jc w:val="center"/>
            </w:pPr>
            <w:r w:rsidRPr="00226744">
              <w:t>266</w:t>
            </w:r>
          </w:p>
        </w:tc>
        <w:tc>
          <w:tcPr>
            <w:tcW w:w="1329" w:type="dxa"/>
            <w:noWrap/>
            <w:hideMark/>
          </w:tcPr>
          <w:p w14:paraId="1D08522B" w14:textId="77777777" w:rsidR="009635BA" w:rsidRPr="00226744" w:rsidRDefault="009635BA" w:rsidP="009635BA">
            <w:pPr>
              <w:jc w:val="center"/>
            </w:pPr>
            <w:r w:rsidRPr="00226744">
              <w:t>30</w:t>
            </w:r>
          </w:p>
        </w:tc>
        <w:tc>
          <w:tcPr>
            <w:tcW w:w="1454" w:type="dxa"/>
            <w:noWrap/>
            <w:hideMark/>
          </w:tcPr>
          <w:p w14:paraId="63450BCB" w14:textId="77777777" w:rsidR="009635BA" w:rsidRPr="00226744" w:rsidRDefault="009635BA" w:rsidP="009635BA">
            <w:pPr>
              <w:jc w:val="center"/>
            </w:pPr>
            <w:r w:rsidRPr="00226744">
              <w:t>11.30%</w:t>
            </w:r>
          </w:p>
        </w:tc>
        <w:tc>
          <w:tcPr>
            <w:tcW w:w="1720" w:type="dxa"/>
            <w:noWrap/>
            <w:hideMark/>
          </w:tcPr>
          <w:p w14:paraId="6AE25238" w14:textId="77777777" w:rsidR="009635BA" w:rsidRPr="00226744" w:rsidRDefault="009635BA" w:rsidP="009635BA">
            <w:pPr>
              <w:jc w:val="right"/>
            </w:pPr>
            <w:r w:rsidRPr="00226744">
              <w:t>8.0%</w:t>
            </w:r>
          </w:p>
        </w:tc>
        <w:tc>
          <w:tcPr>
            <w:tcW w:w="2009" w:type="dxa"/>
            <w:noWrap/>
            <w:hideMark/>
          </w:tcPr>
          <w:p w14:paraId="077928A1" w14:textId="77777777" w:rsidR="009635BA" w:rsidRPr="00226744" w:rsidRDefault="009635BA" w:rsidP="009635BA">
            <w:pPr>
              <w:jc w:val="right"/>
            </w:pPr>
            <w:r w:rsidRPr="00226744">
              <w:t>15.6%</w:t>
            </w:r>
          </w:p>
        </w:tc>
      </w:tr>
      <w:tr w:rsidR="009635BA" w:rsidRPr="00226744" w14:paraId="7E884070" w14:textId="77777777" w:rsidTr="00D576DA">
        <w:trPr>
          <w:trHeight w:val="300"/>
        </w:trPr>
        <w:tc>
          <w:tcPr>
            <w:tcW w:w="1266" w:type="dxa"/>
            <w:noWrap/>
            <w:hideMark/>
          </w:tcPr>
          <w:p w14:paraId="1A10C770" w14:textId="77777777" w:rsidR="009635BA" w:rsidRPr="00226744" w:rsidRDefault="009635BA" w:rsidP="009635BA">
            <w:pPr>
              <w:jc w:val="center"/>
            </w:pPr>
            <w:r w:rsidRPr="00226744">
              <w:t>CCG G</w:t>
            </w:r>
          </w:p>
        </w:tc>
        <w:tc>
          <w:tcPr>
            <w:tcW w:w="1573" w:type="dxa"/>
            <w:noWrap/>
            <w:hideMark/>
          </w:tcPr>
          <w:p w14:paraId="10BFC452" w14:textId="77777777" w:rsidR="009635BA" w:rsidRPr="00226744" w:rsidRDefault="009635BA" w:rsidP="009635BA">
            <w:pPr>
              <w:jc w:val="center"/>
            </w:pPr>
            <w:r w:rsidRPr="00226744">
              <w:t>303</w:t>
            </w:r>
          </w:p>
        </w:tc>
        <w:tc>
          <w:tcPr>
            <w:tcW w:w="1329" w:type="dxa"/>
            <w:noWrap/>
            <w:hideMark/>
          </w:tcPr>
          <w:p w14:paraId="27DB2CD9" w14:textId="77777777" w:rsidR="009635BA" w:rsidRPr="00226744" w:rsidRDefault="009635BA" w:rsidP="009635BA">
            <w:pPr>
              <w:jc w:val="center"/>
            </w:pPr>
            <w:r w:rsidRPr="00226744">
              <w:t>20</w:t>
            </w:r>
          </w:p>
        </w:tc>
        <w:tc>
          <w:tcPr>
            <w:tcW w:w="1454" w:type="dxa"/>
            <w:noWrap/>
            <w:hideMark/>
          </w:tcPr>
          <w:p w14:paraId="1E543702" w14:textId="77777777" w:rsidR="009635BA" w:rsidRPr="00226744" w:rsidRDefault="009635BA" w:rsidP="009635BA">
            <w:pPr>
              <w:jc w:val="center"/>
            </w:pPr>
            <w:r w:rsidRPr="00226744">
              <w:t>6.60%</w:t>
            </w:r>
          </w:p>
        </w:tc>
        <w:tc>
          <w:tcPr>
            <w:tcW w:w="1720" w:type="dxa"/>
            <w:noWrap/>
            <w:hideMark/>
          </w:tcPr>
          <w:p w14:paraId="1FCF07B8" w14:textId="77777777" w:rsidR="009635BA" w:rsidRPr="00226744" w:rsidRDefault="009635BA" w:rsidP="009635BA">
            <w:pPr>
              <w:jc w:val="right"/>
            </w:pPr>
            <w:r w:rsidRPr="00226744">
              <w:t>4.3%</w:t>
            </w:r>
          </w:p>
        </w:tc>
        <w:tc>
          <w:tcPr>
            <w:tcW w:w="2009" w:type="dxa"/>
            <w:noWrap/>
            <w:hideMark/>
          </w:tcPr>
          <w:p w14:paraId="6467D5F7" w14:textId="77777777" w:rsidR="009635BA" w:rsidRPr="00226744" w:rsidRDefault="009635BA" w:rsidP="009635BA">
            <w:pPr>
              <w:jc w:val="right"/>
            </w:pPr>
            <w:r w:rsidRPr="00226744">
              <w:t>10.0%</w:t>
            </w:r>
          </w:p>
        </w:tc>
      </w:tr>
      <w:tr w:rsidR="009635BA" w:rsidRPr="00226744" w14:paraId="7CA0ED41" w14:textId="77777777" w:rsidTr="00D576DA">
        <w:trPr>
          <w:trHeight w:val="300"/>
        </w:trPr>
        <w:tc>
          <w:tcPr>
            <w:tcW w:w="1266" w:type="dxa"/>
            <w:noWrap/>
            <w:hideMark/>
          </w:tcPr>
          <w:p w14:paraId="4C1D157A" w14:textId="77777777" w:rsidR="009635BA" w:rsidRPr="00226744" w:rsidRDefault="009635BA" w:rsidP="009635BA">
            <w:pPr>
              <w:jc w:val="center"/>
            </w:pPr>
            <w:r w:rsidRPr="00226744">
              <w:t>CCG H</w:t>
            </w:r>
          </w:p>
        </w:tc>
        <w:tc>
          <w:tcPr>
            <w:tcW w:w="1573" w:type="dxa"/>
            <w:noWrap/>
            <w:hideMark/>
          </w:tcPr>
          <w:p w14:paraId="12CDCEDA" w14:textId="77777777" w:rsidR="009635BA" w:rsidRPr="00226744" w:rsidRDefault="009635BA" w:rsidP="009635BA">
            <w:pPr>
              <w:jc w:val="center"/>
            </w:pPr>
            <w:r w:rsidRPr="00226744">
              <w:t>318</w:t>
            </w:r>
          </w:p>
        </w:tc>
        <w:tc>
          <w:tcPr>
            <w:tcW w:w="1329" w:type="dxa"/>
            <w:noWrap/>
            <w:hideMark/>
          </w:tcPr>
          <w:p w14:paraId="7C853963" w14:textId="77777777" w:rsidR="009635BA" w:rsidRPr="00226744" w:rsidRDefault="009635BA" w:rsidP="009635BA">
            <w:pPr>
              <w:jc w:val="center"/>
            </w:pPr>
            <w:r w:rsidRPr="00226744">
              <w:t>33</w:t>
            </w:r>
          </w:p>
        </w:tc>
        <w:tc>
          <w:tcPr>
            <w:tcW w:w="1454" w:type="dxa"/>
            <w:noWrap/>
            <w:hideMark/>
          </w:tcPr>
          <w:p w14:paraId="1DF79403" w14:textId="77777777" w:rsidR="009635BA" w:rsidRPr="00226744" w:rsidRDefault="009635BA" w:rsidP="009635BA">
            <w:pPr>
              <w:jc w:val="center"/>
            </w:pPr>
            <w:r w:rsidRPr="00226744">
              <w:t>10.40%</w:t>
            </w:r>
          </w:p>
        </w:tc>
        <w:tc>
          <w:tcPr>
            <w:tcW w:w="1720" w:type="dxa"/>
            <w:noWrap/>
            <w:hideMark/>
          </w:tcPr>
          <w:p w14:paraId="3DF5F31C" w14:textId="77777777" w:rsidR="009635BA" w:rsidRPr="00226744" w:rsidRDefault="009635BA" w:rsidP="009635BA">
            <w:pPr>
              <w:jc w:val="right"/>
            </w:pPr>
            <w:r w:rsidRPr="00226744">
              <w:t>7.5%</w:t>
            </w:r>
          </w:p>
        </w:tc>
        <w:tc>
          <w:tcPr>
            <w:tcW w:w="2009" w:type="dxa"/>
            <w:noWrap/>
            <w:hideMark/>
          </w:tcPr>
          <w:p w14:paraId="1F7C3F9B" w14:textId="77777777" w:rsidR="009635BA" w:rsidRPr="00226744" w:rsidRDefault="009635BA" w:rsidP="009635BA">
            <w:pPr>
              <w:jc w:val="right"/>
            </w:pPr>
            <w:r w:rsidRPr="00226744">
              <w:t>14.2%</w:t>
            </w:r>
          </w:p>
        </w:tc>
      </w:tr>
      <w:tr w:rsidR="009635BA" w:rsidRPr="00226744" w14:paraId="4520897C" w14:textId="77777777" w:rsidTr="00D576DA">
        <w:trPr>
          <w:trHeight w:val="300"/>
        </w:trPr>
        <w:tc>
          <w:tcPr>
            <w:tcW w:w="1266" w:type="dxa"/>
            <w:noWrap/>
            <w:hideMark/>
          </w:tcPr>
          <w:p w14:paraId="44BACF8C" w14:textId="77777777" w:rsidR="009635BA" w:rsidRPr="00226744" w:rsidRDefault="009635BA" w:rsidP="009635BA">
            <w:pPr>
              <w:jc w:val="center"/>
            </w:pPr>
            <w:r w:rsidRPr="00226744">
              <w:t>CCG I</w:t>
            </w:r>
          </w:p>
        </w:tc>
        <w:tc>
          <w:tcPr>
            <w:tcW w:w="1573" w:type="dxa"/>
            <w:noWrap/>
            <w:hideMark/>
          </w:tcPr>
          <w:p w14:paraId="4DB90E4B" w14:textId="77777777" w:rsidR="009635BA" w:rsidRPr="00226744" w:rsidRDefault="009635BA" w:rsidP="009635BA">
            <w:pPr>
              <w:jc w:val="center"/>
            </w:pPr>
            <w:r w:rsidRPr="00226744">
              <w:t>332</w:t>
            </w:r>
          </w:p>
        </w:tc>
        <w:tc>
          <w:tcPr>
            <w:tcW w:w="1329" w:type="dxa"/>
            <w:noWrap/>
            <w:hideMark/>
          </w:tcPr>
          <w:p w14:paraId="4F662451" w14:textId="77777777" w:rsidR="009635BA" w:rsidRPr="00226744" w:rsidRDefault="009635BA" w:rsidP="009635BA">
            <w:pPr>
              <w:jc w:val="center"/>
            </w:pPr>
            <w:r w:rsidRPr="00226744">
              <w:t>47</w:t>
            </w:r>
          </w:p>
        </w:tc>
        <w:tc>
          <w:tcPr>
            <w:tcW w:w="1454" w:type="dxa"/>
            <w:noWrap/>
            <w:hideMark/>
          </w:tcPr>
          <w:p w14:paraId="1C8C25CC" w14:textId="77777777" w:rsidR="009635BA" w:rsidRPr="00226744" w:rsidRDefault="009635BA" w:rsidP="009635BA">
            <w:pPr>
              <w:jc w:val="center"/>
            </w:pPr>
            <w:r w:rsidRPr="00226744">
              <w:t>14.20%</w:t>
            </w:r>
          </w:p>
        </w:tc>
        <w:tc>
          <w:tcPr>
            <w:tcW w:w="1720" w:type="dxa"/>
            <w:noWrap/>
            <w:hideMark/>
          </w:tcPr>
          <w:p w14:paraId="4792CBF1" w14:textId="77777777" w:rsidR="009635BA" w:rsidRPr="00226744" w:rsidRDefault="009635BA" w:rsidP="009635BA">
            <w:pPr>
              <w:jc w:val="right"/>
            </w:pPr>
            <w:r w:rsidRPr="00226744">
              <w:t>10.8%</w:t>
            </w:r>
          </w:p>
        </w:tc>
        <w:tc>
          <w:tcPr>
            <w:tcW w:w="2009" w:type="dxa"/>
            <w:noWrap/>
            <w:hideMark/>
          </w:tcPr>
          <w:p w14:paraId="65A6A54E" w14:textId="77777777" w:rsidR="009635BA" w:rsidRPr="00226744" w:rsidRDefault="009635BA" w:rsidP="009635BA">
            <w:pPr>
              <w:jc w:val="right"/>
            </w:pPr>
            <w:r w:rsidRPr="00226744">
              <w:t>18.3%</w:t>
            </w:r>
          </w:p>
        </w:tc>
      </w:tr>
      <w:tr w:rsidR="009635BA" w:rsidRPr="00226744" w14:paraId="57CF2F69" w14:textId="77777777" w:rsidTr="00D576DA">
        <w:trPr>
          <w:trHeight w:val="300"/>
        </w:trPr>
        <w:tc>
          <w:tcPr>
            <w:tcW w:w="1266" w:type="dxa"/>
            <w:noWrap/>
            <w:hideMark/>
          </w:tcPr>
          <w:p w14:paraId="0C474652" w14:textId="77777777" w:rsidR="009635BA" w:rsidRPr="00226744" w:rsidRDefault="009635BA" w:rsidP="009635BA">
            <w:pPr>
              <w:jc w:val="center"/>
            </w:pPr>
            <w:r w:rsidRPr="00226744">
              <w:t>CCGJ</w:t>
            </w:r>
          </w:p>
        </w:tc>
        <w:tc>
          <w:tcPr>
            <w:tcW w:w="1573" w:type="dxa"/>
            <w:noWrap/>
            <w:hideMark/>
          </w:tcPr>
          <w:p w14:paraId="25617D53" w14:textId="77777777" w:rsidR="009635BA" w:rsidRPr="00226744" w:rsidRDefault="009635BA" w:rsidP="009635BA">
            <w:pPr>
              <w:jc w:val="center"/>
            </w:pPr>
            <w:r w:rsidRPr="00226744">
              <w:t>361</w:t>
            </w:r>
          </w:p>
        </w:tc>
        <w:tc>
          <w:tcPr>
            <w:tcW w:w="1329" w:type="dxa"/>
            <w:noWrap/>
            <w:hideMark/>
          </w:tcPr>
          <w:p w14:paraId="2811A236" w14:textId="77777777" w:rsidR="009635BA" w:rsidRPr="00226744" w:rsidRDefault="009635BA" w:rsidP="009635BA">
            <w:pPr>
              <w:jc w:val="center"/>
            </w:pPr>
            <w:r w:rsidRPr="00226744">
              <w:t>38</w:t>
            </w:r>
          </w:p>
        </w:tc>
        <w:tc>
          <w:tcPr>
            <w:tcW w:w="1454" w:type="dxa"/>
            <w:noWrap/>
            <w:hideMark/>
          </w:tcPr>
          <w:p w14:paraId="4788A8EA" w14:textId="77777777" w:rsidR="009635BA" w:rsidRPr="00226744" w:rsidRDefault="009635BA" w:rsidP="009635BA">
            <w:pPr>
              <w:jc w:val="center"/>
            </w:pPr>
            <w:r w:rsidRPr="00226744">
              <w:t>10.50%</w:t>
            </w:r>
          </w:p>
        </w:tc>
        <w:tc>
          <w:tcPr>
            <w:tcW w:w="1720" w:type="dxa"/>
            <w:noWrap/>
            <w:hideMark/>
          </w:tcPr>
          <w:p w14:paraId="60C4F4CB" w14:textId="77777777" w:rsidR="009635BA" w:rsidRPr="00226744" w:rsidRDefault="009635BA" w:rsidP="009635BA">
            <w:pPr>
              <w:jc w:val="right"/>
            </w:pPr>
            <w:r w:rsidRPr="00226744">
              <w:t>7.8%</w:t>
            </w:r>
          </w:p>
        </w:tc>
        <w:tc>
          <w:tcPr>
            <w:tcW w:w="2009" w:type="dxa"/>
            <w:noWrap/>
            <w:hideMark/>
          </w:tcPr>
          <w:p w14:paraId="7EEFFD23" w14:textId="77777777" w:rsidR="009635BA" w:rsidRPr="00226744" w:rsidRDefault="009635BA" w:rsidP="009635BA">
            <w:pPr>
              <w:jc w:val="right"/>
            </w:pPr>
            <w:r w:rsidRPr="00226744">
              <w:t>14.1%</w:t>
            </w:r>
          </w:p>
        </w:tc>
      </w:tr>
      <w:tr w:rsidR="009635BA" w:rsidRPr="00226744" w14:paraId="60F44525" w14:textId="77777777" w:rsidTr="00D576DA">
        <w:trPr>
          <w:trHeight w:val="300"/>
        </w:trPr>
        <w:tc>
          <w:tcPr>
            <w:tcW w:w="1266" w:type="dxa"/>
            <w:noWrap/>
            <w:hideMark/>
          </w:tcPr>
          <w:p w14:paraId="425AA72F" w14:textId="77777777" w:rsidR="009635BA" w:rsidRPr="00226744" w:rsidRDefault="009635BA" w:rsidP="009635BA">
            <w:pPr>
              <w:jc w:val="center"/>
            </w:pPr>
            <w:r w:rsidRPr="00226744">
              <w:t>CCG K</w:t>
            </w:r>
          </w:p>
        </w:tc>
        <w:tc>
          <w:tcPr>
            <w:tcW w:w="1573" w:type="dxa"/>
            <w:noWrap/>
            <w:hideMark/>
          </w:tcPr>
          <w:p w14:paraId="2ACCA053" w14:textId="77777777" w:rsidR="009635BA" w:rsidRPr="00226744" w:rsidRDefault="009635BA" w:rsidP="009635BA">
            <w:pPr>
              <w:jc w:val="center"/>
            </w:pPr>
            <w:r w:rsidRPr="00226744">
              <w:t>386</w:t>
            </w:r>
          </w:p>
        </w:tc>
        <w:tc>
          <w:tcPr>
            <w:tcW w:w="1329" w:type="dxa"/>
            <w:noWrap/>
            <w:hideMark/>
          </w:tcPr>
          <w:p w14:paraId="072F595C" w14:textId="77777777" w:rsidR="009635BA" w:rsidRPr="00226744" w:rsidRDefault="009635BA" w:rsidP="009635BA">
            <w:pPr>
              <w:jc w:val="center"/>
            </w:pPr>
            <w:r w:rsidRPr="00226744">
              <w:t>16</w:t>
            </w:r>
          </w:p>
        </w:tc>
        <w:tc>
          <w:tcPr>
            <w:tcW w:w="1454" w:type="dxa"/>
            <w:noWrap/>
            <w:hideMark/>
          </w:tcPr>
          <w:p w14:paraId="3E83E3A8" w14:textId="77777777" w:rsidR="009635BA" w:rsidRPr="00226744" w:rsidRDefault="009635BA" w:rsidP="009635BA">
            <w:pPr>
              <w:jc w:val="center"/>
            </w:pPr>
            <w:r w:rsidRPr="00226744">
              <w:t>4.10%</w:t>
            </w:r>
          </w:p>
        </w:tc>
        <w:tc>
          <w:tcPr>
            <w:tcW w:w="1720" w:type="dxa"/>
            <w:noWrap/>
            <w:hideMark/>
          </w:tcPr>
          <w:p w14:paraId="64C17793" w14:textId="77777777" w:rsidR="009635BA" w:rsidRPr="00226744" w:rsidRDefault="009635BA" w:rsidP="009635BA">
            <w:pPr>
              <w:jc w:val="right"/>
            </w:pPr>
            <w:r w:rsidRPr="00226744">
              <w:t>2.6%</w:t>
            </w:r>
          </w:p>
        </w:tc>
        <w:tc>
          <w:tcPr>
            <w:tcW w:w="2009" w:type="dxa"/>
            <w:noWrap/>
            <w:hideMark/>
          </w:tcPr>
          <w:p w14:paraId="6D15308B" w14:textId="77777777" w:rsidR="009635BA" w:rsidRPr="00226744" w:rsidRDefault="009635BA" w:rsidP="009635BA">
            <w:pPr>
              <w:jc w:val="right"/>
            </w:pPr>
            <w:r w:rsidRPr="00226744">
              <w:t>6.6%</w:t>
            </w:r>
          </w:p>
        </w:tc>
      </w:tr>
      <w:tr w:rsidR="009635BA" w:rsidRPr="00226744" w14:paraId="7122BAA7" w14:textId="77777777" w:rsidTr="00D576DA">
        <w:trPr>
          <w:trHeight w:val="300"/>
        </w:trPr>
        <w:tc>
          <w:tcPr>
            <w:tcW w:w="1266" w:type="dxa"/>
            <w:noWrap/>
            <w:hideMark/>
          </w:tcPr>
          <w:p w14:paraId="160D9800" w14:textId="77777777" w:rsidR="009635BA" w:rsidRPr="00226744" w:rsidRDefault="009635BA" w:rsidP="009635BA">
            <w:pPr>
              <w:jc w:val="center"/>
            </w:pPr>
            <w:r w:rsidRPr="00226744">
              <w:t>CCG L</w:t>
            </w:r>
          </w:p>
        </w:tc>
        <w:tc>
          <w:tcPr>
            <w:tcW w:w="1573" w:type="dxa"/>
            <w:noWrap/>
            <w:hideMark/>
          </w:tcPr>
          <w:p w14:paraId="228CFFA2" w14:textId="77777777" w:rsidR="009635BA" w:rsidRPr="00226744" w:rsidRDefault="009635BA" w:rsidP="009635BA">
            <w:pPr>
              <w:jc w:val="center"/>
            </w:pPr>
            <w:r w:rsidRPr="00226744">
              <w:t>407</w:t>
            </w:r>
          </w:p>
        </w:tc>
        <w:tc>
          <w:tcPr>
            <w:tcW w:w="1329" w:type="dxa"/>
            <w:noWrap/>
            <w:hideMark/>
          </w:tcPr>
          <w:p w14:paraId="1637B635" w14:textId="77777777" w:rsidR="009635BA" w:rsidRPr="00226744" w:rsidRDefault="009635BA" w:rsidP="009635BA">
            <w:pPr>
              <w:jc w:val="center"/>
            </w:pPr>
            <w:r w:rsidRPr="00226744">
              <w:t>54</w:t>
            </w:r>
          </w:p>
        </w:tc>
        <w:tc>
          <w:tcPr>
            <w:tcW w:w="1454" w:type="dxa"/>
            <w:noWrap/>
            <w:hideMark/>
          </w:tcPr>
          <w:p w14:paraId="7255C640" w14:textId="77777777" w:rsidR="009635BA" w:rsidRPr="00226744" w:rsidRDefault="009635BA" w:rsidP="009635BA">
            <w:pPr>
              <w:jc w:val="center"/>
            </w:pPr>
            <w:r w:rsidRPr="00226744">
              <w:t>13.30%</w:t>
            </w:r>
          </w:p>
        </w:tc>
        <w:tc>
          <w:tcPr>
            <w:tcW w:w="1720" w:type="dxa"/>
            <w:noWrap/>
            <w:hideMark/>
          </w:tcPr>
          <w:p w14:paraId="5FA36B87" w14:textId="77777777" w:rsidR="009635BA" w:rsidRPr="00226744" w:rsidRDefault="009635BA" w:rsidP="009635BA">
            <w:pPr>
              <w:jc w:val="right"/>
            </w:pPr>
            <w:r w:rsidRPr="00226744">
              <w:t>10.3%</w:t>
            </w:r>
          </w:p>
        </w:tc>
        <w:tc>
          <w:tcPr>
            <w:tcW w:w="2009" w:type="dxa"/>
            <w:noWrap/>
            <w:hideMark/>
          </w:tcPr>
          <w:p w14:paraId="1B60F1A3" w14:textId="77777777" w:rsidR="009635BA" w:rsidRPr="00226744" w:rsidRDefault="009635BA" w:rsidP="009635BA">
            <w:pPr>
              <w:jc w:val="right"/>
            </w:pPr>
            <w:r w:rsidRPr="00226744">
              <w:t>16.9%</w:t>
            </w:r>
          </w:p>
        </w:tc>
      </w:tr>
      <w:tr w:rsidR="009635BA" w:rsidRPr="00226744" w14:paraId="08E03608" w14:textId="77777777" w:rsidTr="00D576DA">
        <w:trPr>
          <w:trHeight w:val="300"/>
        </w:trPr>
        <w:tc>
          <w:tcPr>
            <w:tcW w:w="1266" w:type="dxa"/>
            <w:noWrap/>
            <w:hideMark/>
          </w:tcPr>
          <w:p w14:paraId="5C5F7A99" w14:textId="77777777" w:rsidR="009635BA" w:rsidRPr="00226744" w:rsidRDefault="009635BA" w:rsidP="009635BA">
            <w:pPr>
              <w:jc w:val="center"/>
            </w:pPr>
            <w:r w:rsidRPr="00226744">
              <w:t>CCG M</w:t>
            </w:r>
          </w:p>
        </w:tc>
        <w:tc>
          <w:tcPr>
            <w:tcW w:w="1573" w:type="dxa"/>
            <w:noWrap/>
            <w:hideMark/>
          </w:tcPr>
          <w:p w14:paraId="55EF2901" w14:textId="77777777" w:rsidR="009635BA" w:rsidRPr="00226744" w:rsidRDefault="009635BA" w:rsidP="009635BA">
            <w:pPr>
              <w:jc w:val="center"/>
            </w:pPr>
            <w:r w:rsidRPr="00226744">
              <w:t>435</w:t>
            </w:r>
          </w:p>
        </w:tc>
        <w:tc>
          <w:tcPr>
            <w:tcW w:w="1329" w:type="dxa"/>
            <w:noWrap/>
            <w:hideMark/>
          </w:tcPr>
          <w:p w14:paraId="5304FB01" w14:textId="77777777" w:rsidR="009635BA" w:rsidRPr="00226744" w:rsidRDefault="009635BA" w:rsidP="009635BA">
            <w:pPr>
              <w:jc w:val="center"/>
            </w:pPr>
            <w:r w:rsidRPr="00226744">
              <w:t>52</w:t>
            </w:r>
          </w:p>
        </w:tc>
        <w:tc>
          <w:tcPr>
            <w:tcW w:w="1454" w:type="dxa"/>
            <w:noWrap/>
            <w:hideMark/>
          </w:tcPr>
          <w:p w14:paraId="011E47EF" w14:textId="77777777" w:rsidR="009635BA" w:rsidRPr="00226744" w:rsidRDefault="009635BA" w:rsidP="009635BA">
            <w:pPr>
              <w:jc w:val="center"/>
            </w:pPr>
            <w:r w:rsidRPr="00226744">
              <w:t>12.00%</w:t>
            </w:r>
          </w:p>
        </w:tc>
        <w:tc>
          <w:tcPr>
            <w:tcW w:w="1720" w:type="dxa"/>
            <w:noWrap/>
            <w:hideMark/>
          </w:tcPr>
          <w:p w14:paraId="01BA44E4" w14:textId="77777777" w:rsidR="009635BA" w:rsidRPr="00226744" w:rsidRDefault="009635BA" w:rsidP="009635BA">
            <w:pPr>
              <w:jc w:val="right"/>
            </w:pPr>
            <w:r w:rsidRPr="00226744">
              <w:t>9.2%</w:t>
            </w:r>
          </w:p>
        </w:tc>
        <w:tc>
          <w:tcPr>
            <w:tcW w:w="2009" w:type="dxa"/>
            <w:noWrap/>
            <w:hideMark/>
          </w:tcPr>
          <w:p w14:paraId="61F1809F" w14:textId="77777777" w:rsidR="009635BA" w:rsidRPr="00226744" w:rsidRDefault="009635BA" w:rsidP="009635BA">
            <w:pPr>
              <w:jc w:val="right"/>
            </w:pPr>
            <w:r w:rsidRPr="00226744">
              <w:t>15.3%</w:t>
            </w:r>
          </w:p>
        </w:tc>
      </w:tr>
      <w:tr w:rsidR="009635BA" w:rsidRPr="00226744" w14:paraId="1971DF8D" w14:textId="77777777" w:rsidTr="00D576DA">
        <w:trPr>
          <w:trHeight w:val="300"/>
        </w:trPr>
        <w:tc>
          <w:tcPr>
            <w:tcW w:w="1266" w:type="dxa"/>
            <w:noWrap/>
            <w:hideMark/>
          </w:tcPr>
          <w:p w14:paraId="1C85891B" w14:textId="77777777" w:rsidR="009635BA" w:rsidRPr="00226744" w:rsidRDefault="009635BA" w:rsidP="009635BA">
            <w:pPr>
              <w:jc w:val="center"/>
            </w:pPr>
            <w:r w:rsidRPr="00226744">
              <w:t>CCG N</w:t>
            </w:r>
          </w:p>
        </w:tc>
        <w:tc>
          <w:tcPr>
            <w:tcW w:w="1573" w:type="dxa"/>
            <w:noWrap/>
            <w:hideMark/>
          </w:tcPr>
          <w:p w14:paraId="49E98D20" w14:textId="77777777" w:rsidR="009635BA" w:rsidRPr="00226744" w:rsidRDefault="009635BA" w:rsidP="009635BA">
            <w:pPr>
              <w:jc w:val="center"/>
            </w:pPr>
            <w:r w:rsidRPr="00226744">
              <w:t>513</w:t>
            </w:r>
          </w:p>
        </w:tc>
        <w:tc>
          <w:tcPr>
            <w:tcW w:w="1329" w:type="dxa"/>
            <w:noWrap/>
            <w:hideMark/>
          </w:tcPr>
          <w:p w14:paraId="1FD7E6EF" w14:textId="77777777" w:rsidR="009635BA" w:rsidRPr="00226744" w:rsidRDefault="009635BA" w:rsidP="009635BA">
            <w:pPr>
              <w:jc w:val="center"/>
            </w:pPr>
            <w:r w:rsidRPr="00226744">
              <w:t>39</w:t>
            </w:r>
          </w:p>
        </w:tc>
        <w:tc>
          <w:tcPr>
            <w:tcW w:w="1454" w:type="dxa"/>
            <w:noWrap/>
            <w:hideMark/>
          </w:tcPr>
          <w:p w14:paraId="38C31E4A" w14:textId="77777777" w:rsidR="009635BA" w:rsidRPr="00226744" w:rsidRDefault="009635BA" w:rsidP="009635BA">
            <w:pPr>
              <w:jc w:val="center"/>
            </w:pPr>
            <w:r w:rsidRPr="00226744">
              <w:t>7.60%</w:t>
            </w:r>
          </w:p>
        </w:tc>
        <w:tc>
          <w:tcPr>
            <w:tcW w:w="1720" w:type="dxa"/>
            <w:noWrap/>
            <w:hideMark/>
          </w:tcPr>
          <w:p w14:paraId="306DD0F4" w14:textId="77777777" w:rsidR="009635BA" w:rsidRPr="00226744" w:rsidRDefault="009635BA" w:rsidP="009635BA">
            <w:pPr>
              <w:jc w:val="right"/>
            </w:pPr>
            <w:r w:rsidRPr="00226744">
              <w:t>5.6%</w:t>
            </w:r>
          </w:p>
        </w:tc>
        <w:tc>
          <w:tcPr>
            <w:tcW w:w="2009" w:type="dxa"/>
            <w:noWrap/>
            <w:hideMark/>
          </w:tcPr>
          <w:p w14:paraId="7FF5F2D5" w14:textId="77777777" w:rsidR="009635BA" w:rsidRPr="00226744" w:rsidRDefault="009635BA" w:rsidP="009635BA">
            <w:pPr>
              <w:jc w:val="right"/>
            </w:pPr>
            <w:r w:rsidRPr="00226744">
              <w:t>10.2%</w:t>
            </w:r>
          </w:p>
        </w:tc>
      </w:tr>
      <w:tr w:rsidR="009635BA" w:rsidRPr="00226744" w14:paraId="398DC08D" w14:textId="77777777" w:rsidTr="00D576DA">
        <w:trPr>
          <w:trHeight w:val="300"/>
        </w:trPr>
        <w:tc>
          <w:tcPr>
            <w:tcW w:w="1266" w:type="dxa"/>
            <w:noWrap/>
            <w:hideMark/>
          </w:tcPr>
          <w:p w14:paraId="4099D59A" w14:textId="77777777" w:rsidR="009635BA" w:rsidRPr="00226744" w:rsidRDefault="009635BA" w:rsidP="009635BA">
            <w:pPr>
              <w:jc w:val="center"/>
            </w:pPr>
            <w:r w:rsidRPr="00226744">
              <w:t>CCG O</w:t>
            </w:r>
          </w:p>
        </w:tc>
        <w:tc>
          <w:tcPr>
            <w:tcW w:w="1573" w:type="dxa"/>
            <w:noWrap/>
            <w:hideMark/>
          </w:tcPr>
          <w:p w14:paraId="68A44351" w14:textId="77777777" w:rsidR="009635BA" w:rsidRPr="00226744" w:rsidRDefault="009635BA" w:rsidP="009635BA">
            <w:pPr>
              <w:jc w:val="center"/>
            </w:pPr>
            <w:r w:rsidRPr="00226744">
              <w:t>549</w:t>
            </w:r>
          </w:p>
        </w:tc>
        <w:tc>
          <w:tcPr>
            <w:tcW w:w="1329" w:type="dxa"/>
            <w:noWrap/>
            <w:hideMark/>
          </w:tcPr>
          <w:p w14:paraId="00B77A7B" w14:textId="77777777" w:rsidR="009635BA" w:rsidRPr="00226744" w:rsidRDefault="009635BA" w:rsidP="009635BA">
            <w:pPr>
              <w:jc w:val="center"/>
            </w:pPr>
            <w:r w:rsidRPr="00226744">
              <w:t>41</w:t>
            </w:r>
          </w:p>
        </w:tc>
        <w:tc>
          <w:tcPr>
            <w:tcW w:w="1454" w:type="dxa"/>
            <w:noWrap/>
            <w:hideMark/>
          </w:tcPr>
          <w:p w14:paraId="19E2846C" w14:textId="77777777" w:rsidR="009635BA" w:rsidRPr="00226744" w:rsidRDefault="009635BA" w:rsidP="009635BA">
            <w:pPr>
              <w:jc w:val="center"/>
            </w:pPr>
            <w:r w:rsidRPr="00226744">
              <w:t>7.50%</w:t>
            </w:r>
          </w:p>
        </w:tc>
        <w:tc>
          <w:tcPr>
            <w:tcW w:w="1720" w:type="dxa"/>
            <w:noWrap/>
            <w:hideMark/>
          </w:tcPr>
          <w:p w14:paraId="21FEDE82" w14:textId="77777777" w:rsidR="009635BA" w:rsidRPr="00226744" w:rsidRDefault="009635BA" w:rsidP="009635BA">
            <w:pPr>
              <w:jc w:val="right"/>
            </w:pPr>
            <w:r w:rsidRPr="00226744">
              <w:t>5.6%</w:t>
            </w:r>
          </w:p>
        </w:tc>
        <w:tc>
          <w:tcPr>
            <w:tcW w:w="2009" w:type="dxa"/>
            <w:noWrap/>
            <w:hideMark/>
          </w:tcPr>
          <w:p w14:paraId="49AAD3D7" w14:textId="77777777" w:rsidR="009635BA" w:rsidRPr="00226744" w:rsidRDefault="009635BA" w:rsidP="009635BA">
            <w:pPr>
              <w:jc w:val="right"/>
            </w:pPr>
            <w:r w:rsidRPr="00226744">
              <w:t>10.0%</w:t>
            </w:r>
          </w:p>
        </w:tc>
      </w:tr>
      <w:tr w:rsidR="009635BA" w:rsidRPr="00226744" w14:paraId="49E47708" w14:textId="77777777" w:rsidTr="00D576DA">
        <w:trPr>
          <w:trHeight w:val="300"/>
        </w:trPr>
        <w:tc>
          <w:tcPr>
            <w:tcW w:w="1266" w:type="dxa"/>
            <w:noWrap/>
            <w:hideMark/>
          </w:tcPr>
          <w:p w14:paraId="0E20B080" w14:textId="77777777" w:rsidR="009635BA" w:rsidRPr="00226744" w:rsidRDefault="009635BA" w:rsidP="009635BA">
            <w:pPr>
              <w:jc w:val="center"/>
            </w:pPr>
            <w:r w:rsidRPr="00226744">
              <w:t>CCG P</w:t>
            </w:r>
          </w:p>
        </w:tc>
        <w:tc>
          <w:tcPr>
            <w:tcW w:w="1573" w:type="dxa"/>
            <w:noWrap/>
            <w:hideMark/>
          </w:tcPr>
          <w:p w14:paraId="171FD8B9" w14:textId="77777777" w:rsidR="009635BA" w:rsidRPr="00226744" w:rsidRDefault="009635BA" w:rsidP="009635BA">
            <w:pPr>
              <w:jc w:val="center"/>
            </w:pPr>
            <w:r w:rsidRPr="00226744">
              <w:t>616</w:t>
            </w:r>
          </w:p>
        </w:tc>
        <w:tc>
          <w:tcPr>
            <w:tcW w:w="1329" w:type="dxa"/>
            <w:noWrap/>
            <w:hideMark/>
          </w:tcPr>
          <w:p w14:paraId="3BC9E9DA" w14:textId="77777777" w:rsidR="009635BA" w:rsidRPr="00226744" w:rsidRDefault="009635BA" w:rsidP="009635BA">
            <w:pPr>
              <w:jc w:val="center"/>
            </w:pPr>
            <w:r w:rsidRPr="00226744">
              <w:t>96</w:t>
            </w:r>
          </w:p>
        </w:tc>
        <w:tc>
          <w:tcPr>
            <w:tcW w:w="1454" w:type="dxa"/>
            <w:noWrap/>
            <w:hideMark/>
          </w:tcPr>
          <w:p w14:paraId="4C1D3652" w14:textId="77777777" w:rsidR="009635BA" w:rsidRPr="00226744" w:rsidRDefault="009635BA" w:rsidP="009635BA">
            <w:pPr>
              <w:jc w:val="center"/>
            </w:pPr>
            <w:r w:rsidRPr="00226744">
              <w:t>15.60%</w:t>
            </w:r>
          </w:p>
        </w:tc>
        <w:tc>
          <w:tcPr>
            <w:tcW w:w="1720" w:type="dxa"/>
            <w:noWrap/>
            <w:hideMark/>
          </w:tcPr>
          <w:p w14:paraId="17B9D7BC" w14:textId="77777777" w:rsidR="009635BA" w:rsidRPr="00226744" w:rsidRDefault="009635BA" w:rsidP="009635BA">
            <w:pPr>
              <w:jc w:val="right"/>
            </w:pPr>
            <w:r w:rsidRPr="00226744">
              <w:t>12.9%</w:t>
            </w:r>
          </w:p>
        </w:tc>
        <w:tc>
          <w:tcPr>
            <w:tcW w:w="2009" w:type="dxa"/>
            <w:noWrap/>
            <w:hideMark/>
          </w:tcPr>
          <w:p w14:paraId="4F960902" w14:textId="77777777" w:rsidR="009635BA" w:rsidRPr="00226744" w:rsidRDefault="009635BA" w:rsidP="009635BA">
            <w:pPr>
              <w:jc w:val="right"/>
            </w:pPr>
            <w:r w:rsidRPr="00226744">
              <w:t>18.7%</w:t>
            </w:r>
          </w:p>
        </w:tc>
      </w:tr>
      <w:tr w:rsidR="009635BA" w:rsidRPr="00226744" w14:paraId="480968BD" w14:textId="77777777" w:rsidTr="00D576DA">
        <w:trPr>
          <w:trHeight w:val="300"/>
        </w:trPr>
        <w:tc>
          <w:tcPr>
            <w:tcW w:w="1266" w:type="dxa"/>
            <w:noWrap/>
            <w:hideMark/>
          </w:tcPr>
          <w:p w14:paraId="5CB7378F" w14:textId="77777777" w:rsidR="009635BA" w:rsidRPr="00226744" w:rsidRDefault="009635BA" w:rsidP="009635BA">
            <w:pPr>
              <w:jc w:val="center"/>
            </w:pPr>
            <w:r w:rsidRPr="00226744">
              <w:t>CCG Q</w:t>
            </w:r>
          </w:p>
        </w:tc>
        <w:tc>
          <w:tcPr>
            <w:tcW w:w="1573" w:type="dxa"/>
            <w:noWrap/>
            <w:hideMark/>
          </w:tcPr>
          <w:p w14:paraId="7BDB57FD" w14:textId="77777777" w:rsidR="009635BA" w:rsidRPr="00226744" w:rsidRDefault="009635BA" w:rsidP="009635BA">
            <w:pPr>
              <w:jc w:val="center"/>
            </w:pPr>
            <w:r w:rsidRPr="00226744">
              <w:t>658</w:t>
            </w:r>
          </w:p>
        </w:tc>
        <w:tc>
          <w:tcPr>
            <w:tcW w:w="1329" w:type="dxa"/>
            <w:noWrap/>
            <w:hideMark/>
          </w:tcPr>
          <w:p w14:paraId="28CB8C75" w14:textId="77777777" w:rsidR="009635BA" w:rsidRPr="00226744" w:rsidRDefault="009635BA" w:rsidP="009635BA">
            <w:pPr>
              <w:jc w:val="center"/>
            </w:pPr>
            <w:r w:rsidRPr="00226744">
              <w:t>56</w:t>
            </w:r>
          </w:p>
        </w:tc>
        <w:tc>
          <w:tcPr>
            <w:tcW w:w="1454" w:type="dxa"/>
            <w:noWrap/>
            <w:hideMark/>
          </w:tcPr>
          <w:p w14:paraId="23D82E9C" w14:textId="77777777" w:rsidR="009635BA" w:rsidRPr="00226744" w:rsidRDefault="009635BA" w:rsidP="009635BA">
            <w:pPr>
              <w:jc w:val="center"/>
            </w:pPr>
            <w:r w:rsidRPr="00226744">
              <w:t>8.50%</w:t>
            </w:r>
          </w:p>
        </w:tc>
        <w:tc>
          <w:tcPr>
            <w:tcW w:w="1720" w:type="dxa"/>
            <w:noWrap/>
            <w:hideMark/>
          </w:tcPr>
          <w:p w14:paraId="3780E2CD" w14:textId="77777777" w:rsidR="009635BA" w:rsidRPr="00226744" w:rsidRDefault="009635BA" w:rsidP="009635BA">
            <w:pPr>
              <w:jc w:val="right"/>
            </w:pPr>
            <w:r w:rsidRPr="00226744">
              <w:t>6.6%</w:t>
            </w:r>
          </w:p>
        </w:tc>
        <w:tc>
          <w:tcPr>
            <w:tcW w:w="2009" w:type="dxa"/>
            <w:noWrap/>
            <w:hideMark/>
          </w:tcPr>
          <w:p w14:paraId="66899AED" w14:textId="77777777" w:rsidR="009635BA" w:rsidRPr="00226744" w:rsidRDefault="009635BA" w:rsidP="009635BA">
            <w:pPr>
              <w:jc w:val="right"/>
            </w:pPr>
            <w:r w:rsidRPr="00226744">
              <w:t>10.9%</w:t>
            </w:r>
          </w:p>
        </w:tc>
      </w:tr>
      <w:tr w:rsidR="009635BA" w:rsidRPr="00226744" w14:paraId="7430356B" w14:textId="77777777" w:rsidTr="00D576DA">
        <w:trPr>
          <w:trHeight w:val="300"/>
        </w:trPr>
        <w:tc>
          <w:tcPr>
            <w:tcW w:w="1266" w:type="dxa"/>
            <w:noWrap/>
            <w:hideMark/>
          </w:tcPr>
          <w:p w14:paraId="2C03F10E" w14:textId="77777777" w:rsidR="009635BA" w:rsidRPr="00226744" w:rsidRDefault="009635BA" w:rsidP="009635BA">
            <w:pPr>
              <w:jc w:val="center"/>
            </w:pPr>
            <w:r w:rsidRPr="00226744">
              <w:t>CCG R</w:t>
            </w:r>
          </w:p>
        </w:tc>
        <w:tc>
          <w:tcPr>
            <w:tcW w:w="1573" w:type="dxa"/>
            <w:noWrap/>
            <w:hideMark/>
          </w:tcPr>
          <w:p w14:paraId="2E436A1F" w14:textId="77777777" w:rsidR="009635BA" w:rsidRPr="00226744" w:rsidRDefault="009635BA" w:rsidP="009635BA">
            <w:pPr>
              <w:jc w:val="center"/>
            </w:pPr>
            <w:r w:rsidRPr="00226744">
              <w:t>674</w:t>
            </w:r>
          </w:p>
        </w:tc>
        <w:tc>
          <w:tcPr>
            <w:tcW w:w="1329" w:type="dxa"/>
            <w:noWrap/>
            <w:hideMark/>
          </w:tcPr>
          <w:p w14:paraId="6B4AFE67" w14:textId="77777777" w:rsidR="009635BA" w:rsidRPr="00226744" w:rsidRDefault="009635BA" w:rsidP="009635BA">
            <w:pPr>
              <w:jc w:val="center"/>
            </w:pPr>
            <w:r w:rsidRPr="00226744">
              <w:t>78</w:t>
            </w:r>
          </w:p>
        </w:tc>
        <w:tc>
          <w:tcPr>
            <w:tcW w:w="1454" w:type="dxa"/>
            <w:noWrap/>
            <w:hideMark/>
          </w:tcPr>
          <w:p w14:paraId="370E98C6" w14:textId="77777777" w:rsidR="009635BA" w:rsidRPr="00226744" w:rsidRDefault="009635BA" w:rsidP="009635BA">
            <w:pPr>
              <w:jc w:val="center"/>
            </w:pPr>
            <w:r w:rsidRPr="00226744">
              <w:t>11.60%</w:t>
            </w:r>
          </w:p>
        </w:tc>
        <w:tc>
          <w:tcPr>
            <w:tcW w:w="1720" w:type="dxa"/>
            <w:noWrap/>
            <w:hideMark/>
          </w:tcPr>
          <w:p w14:paraId="4607B860" w14:textId="77777777" w:rsidR="009635BA" w:rsidRPr="00226744" w:rsidRDefault="009635BA" w:rsidP="009635BA">
            <w:pPr>
              <w:jc w:val="right"/>
            </w:pPr>
            <w:r w:rsidRPr="00226744">
              <w:t>9.4%</w:t>
            </w:r>
          </w:p>
        </w:tc>
        <w:tc>
          <w:tcPr>
            <w:tcW w:w="2009" w:type="dxa"/>
            <w:noWrap/>
            <w:hideMark/>
          </w:tcPr>
          <w:p w14:paraId="3139098D" w14:textId="77777777" w:rsidR="009635BA" w:rsidRPr="00226744" w:rsidRDefault="009635BA" w:rsidP="009635BA">
            <w:pPr>
              <w:jc w:val="right"/>
            </w:pPr>
            <w:r w:rsidRPr="00226744">
              <w:t>14.2%</w:t>
            </w:r>
          </w:p>
        </w:tc>
      </w:tr>
      <w:tr w:rsidR="009635BA" w:rsidRPr="00226744" w14:paraId="41994B02" w14:textId="77777777" w:rsidTr="00D576DA">
        <w:trPr>
          <w:trHeight w:val="300"/>
        </w:trPr>
        <w:tc>
          <w:tcPr>
            <w:tcW w:w="1266" w:type="dxa"/>
            <w:noWrap/>
            <w:hideMark/>
          </w:tcPr>
          <w:p w14:paraId="787E49D8" w14:textId="77777777" w:rsidR="009635BA" w:rsidRPr="00226744" w:rsidRDefault="009635BA" w:rsidP="009635BA">
            <w:pPr>
              <w:jc w:val="center"/>
            </w:pPr>
            <w:r w:rsidRPr="00226744">
              <w:lastRenderedPageBreak/>
              <w:t>CCG S</w:t>
            </w:r>
          </w:p>
        </w:tc>
        <w:tc>
          <w:tcPr>
            <w:tcW w:w="1573" w:type="dxa"/>
            <w:noWrap/>
            <w:hideMark/>
          </w:tcPr>
          <w:p w14:paraId="1FE3ECF7" w14:textId="77777777" w:rsidR="009635BA" w:rsidRPr="00226744" w:rsidRDefault="009635BA" w:rsidP="009635BA">
            <w:pPr>
              <w:jc w:val="center"/>
            </w:pPr>
            <w:r w:rsidRPr="00226744">
              <w:t>828</w:t>
            </w:r>
          </w:p>
        </w:tc>
        <w:tc>
          <w:tcPr>
            <w:tcW w:w="1329" w:type="dxa"/>
            <w:noWrap/>
            <w:hideMark/>
          </w:tcPr>
          <w:p w14:paraId="06067F33" w14:textId="77777777" w:rsidR="009635BA" w:rsidRPr="00226744" w:rsidRDefault="009635BA" w:rsidP="009635BA">
            <w:pPr>
              <w:jc w:val="center"/>
            </w:pPr>
            <w:r w:rsidRPr="00226744">
              <w:t>73</w:t>
            </w:r>
          </w:p>
        </w:tc>
        <w:tc>
          <w:tcPr>
            <w:tcW w:w="1454" w:type="dxa"/>
            <w:noWrap/>
            <w:hideMark/>
          </w:tcPr>
          <w:p w14:paraId="424A753C" w14:textId="77777777" w:rsidR="009635BA" w:rsidRPr="00226744" w:rsidRDefault="009635BA" w:rsidP="009635BA">
            <w:pPr>
              <w:jc w:val="center"/>
            </w:pPr>
            <w:r w:rsidRPr="00226744">
              <w:t>8.80%</w:t>
            </w:r>
          </w:p>
        </w:tc>
        <w:tc>
          <w:tcPr>
            <w:tcW w:w="1720" w:type="dxa"/>
            <w:noWrap/>
            <w:hideMark/>
          </w:tcPr>
          <w:p w14:paraId="3D8050FE" w14:textId="77777777" w:rsidR="009635BA" w:rsidRPr="00226744" w:rsidRDefault="009635BA" w:rsidP="009635BA">
            <w:pPr>
              <w:jc w:val="right"/>
            </w:pPr>
            <w:r w:rsidRPr="00226744">
              <w:t>7.1%</w:t>
            </w:r>
          </w:p>
        </w:tc>
        <w:tc>
          <w:tcPr>
            <w:tcW w:w="2009" w:type="dxa"/>
            <w:noWrap/>
            <w:hideMark/>
          </w:tcPr>
          <w:p w14:paraId="7EB00413" w14:textId="77777777" w:rsidR="009635BA" w:rsidRPr="00226744" w:rsidRDefault="009635BA" w:rsidP="009635BA">
            <w:pPr>
              <w:jc w:val="right"/>
            </w:pPr>
            <w:r w:rsidRPr="00226744">
              <w:t>10.9%</w:t>
            </w:r>
          </w:p>
        </w:tc>
      </w:tr>
      <w:tr w:rsidR="009635BA" w:rsidRPr="00226744" w14:paraId="302CABEE" w14:textId="77777777" w:rsidTr="00D576DA">
        <w:trPr>
          <w:trHeight w:val="300"/>
        </w:trPr>
        <w:tc>
          <w:tcPr>
            <w:tcW w:w="1266" w:type="dxa"/>
            <w:noWrap/>
            <w:hideMark/>
          </w:tcPr>
          <w:p w14:paraId="30DF5A2E" w14:textId="77777777" w:rsidR="009635BA" w:rsidRPr="00226744" w:rsidRDefault="009635BA" w:rsidP="009635BA">
            <w:pPr>
              <w:jc w:val="center"/>
            </w:pPr>
            <w:r w:rsidRPr="00226744">
              <w:t>CCG T</w:t>
            </w:r>
          </w:p>
        </w:tc>
        <w:tc>
          <w:tcPr>
            <w:tcW w:w="1573" w:type="dxa"/>
            <w:noWrap/>
            <w:hideMark/>
          </w:tcPr>
          <w:p w14:paraId="03935102" w14:textId="77777777" w:rsidR="009635BA" w:rsidRPr="00226744" w:rsidRDefault="009635BA" w:rsidP="009635BA">
            <w:pPr>
              <w:jc w:val="center"/>
            </w:pPr>
            <w:r w:rsidRPr="00226744">
              <w:t>927</w:t>
            </w:r>
          </w:p>
        </w:tc>
        <w:tc>
          <w:tcPr>
            <w:tcW w:w="1329" w:type="dxa"/>
            <w:noWrap/>
            <w:hideMark/>
          </w:tcPr>
          <w:p w14:paraId="45977957" w14:textId="77777777" w:rsidR="009635BA" w:rsidRPr="00226744" w:rsidRDefault="009635BA" w:rsidP="009635BA">
            <w:pPr>
              <w:jc w:val="center"/>
            </w:pPr>
            <w:r w:rsidRPr="00226744">
              <w:t>66</w:t>
            </w:r>
          </w:p>
        </w:tc>
        <w:tc>
          <w:tcPr>
            <w:tcW w:w="1454" w:type="dxa"/>
            <w:noWrap/>
            <w:hideMark/>
          </w:tcPr>
          <w:p w14:paraId="5F16E09C" w14:textId="77777777" w:rsidR="009635BA" w:rsidRPr="00226744" w:rsidRDefault="009635BA" w:rsidP="009635BA">
            <w:pPr>
              <w:jc w:val="center"/>
            </w:pPr>
            <w:r w:rsidRPr="00226744">
              <w:t>7.10%</w:t>
            </w:r>
          </w:p>
        </w:tc>
        <w:tc>
          <w:tcPr>
            <w:tcW w:w="1720" w:type="dxa"/>
            <w:noWrap/>
            <w:hideMark/>
          </w:tcPr>
          <w:p w14:paraId="0BB3B0FE" w14:textId="77777777" w:rsidR="009635BA" w:rsidRPr="00226744" w:rsidRDefault="009635BA" w:rsidP="009635BA">
            <w:pPr>
              <w:jc w:val="right"/>
            </w:pPr>
            <w:r w:rsidRPr="00226744">
              <w:t>5.6%</w:t>
            </w:r>
          </w:p>
        </w:tc>
        <w:tc>
          <w:tcPr>
            <w:tcW w:w="2009" w:type="dxa"/>
            <w:noWrap/>
            <w:hideMark/>
          </w:tcPr>
          <w:p w14:paraId="0799BE78" w14:textId="77777777" w:rsidR="009635BA" w:rsidRPr="00226744" w:rsidRDefault="009635BA" w:rsidP="009635BA">
            <w:pPr>
              <w:jc w:val="right"/>
            </w:pPr>
            <w:r w:rsidRPr="00226744">
              <w:t>9.0%</w:t>
            </w:r>
          </w:p>
        </w:tc>
      </w:tr>
      <w:tr w:rsidR="009635BA" w:rsidRPr="00226744" w14:paraId="3F032D57" w14:textId="77777777" w:rsidTr="00D576DA">
        <w:trPr>
          <w:trHeight w:val="300"/>
        </w:trPr>
        <w:tc>
          <w:tcPr>
            <w:tcW w:w="1266" w:type="dxa"/>
            <w:noWrap/>
            <w:hideMark/>
          </w:tcPr>
          <w:p w14:paraId="3CCC94FD" w14:textId="77777777" w:rsidR="009635BA" w:rsidRPr="00226744" w:rsidRDefault="009635BA" w:rsidP="009635BA">
            <w:pPr>
              <w:jc w:val="center"/>
              <w:rPr>
                <w:b/>
                <w:bCs/>
              </w:rPr>
            </w:pPr>
            <w:r w:rsidRPr="00226744">
              <w:rPr>
                <w:b/>
                <w:bCs/>
              </w:rPr>
              <w:t>England</w:t>
            </w:r>
          </w:p>
        </w:tc>
        <w:tc>
          <w:tcPr>
            <w:tcW w:w="1573" w:type="dxa"/>
            <w:noWrap/>
            <w:hideMark/>
          </w:tcPr>
          <w:p w14:paraId="0F7C8B59" w14:textId="77777777" w:rsidR="009635BA" w:rsidRPr="00226744" w:rsidRDefault="009635BA" w:rsidP="009635BA">
            <w:pPr>
              <w:jc w:val="center"/>
              <w:rPr>
                <w:b/>
                <w:bCs/>
              </w:rPr>
            </w:pPr>
            <w:r w:rsidRPr="00226744">
              <w:rPr>
                <w:b/>
                <w:bCs/>
              </w:rPr>
              <w:t>111861</w:t>
            </w:r>
          </w:p>
        </w:tc>
        <w:tc>
          <w:tcPr>
            <w:tcW w:w="1329" w:type="dxa"/>
            <w:noWrap/>
            <w:hideMark/>
          </w:tcPr>
          <w:p w14:paraId="37FA9C37" w14:textId="77777777" w:rsidR="009635BA" w:rsidRPr="00226744" w:rsidRDefault="009635BA" w:rsidP="009635BA">
            <w:pPr>
              <w:jc w:val="center"/>
              <w:rPr>
                <w:b/>
                <w:bCs/>
              </w:rPr>
            </w:pPr>
            <w:r w:rsidRPr="00226744">
              <w:rPr>
                <w:b/>
                <w:bCs/>
              </w:rPr>
              <w:t>11823</w:t>
            </w:r>
          </w:p>
        </w:tc>
        <w:tc>
          <w:tcPr>
            <w:tcW w:w="1454" w:type="dxa"/>
            <w:noWrap/>
            <w:hideMark/>
          </w:tcPr>
          <w:p w14:paraId="2447BD61" w14:textId="77777777" w:rsidR="009635BA" w:rsidRPr="00226744" w:rsidRDefault="009635BA" w:rsidP="009635BA">
            <w:pPr>
              <w:jc w:val="center"/>
              <w:rPr>
                <w:b/>
                <w:bCs/>
              </w:rPr>
            </w:pPr>
            <w:r w:rsidRPr="00226744">
              <w:rPr>
                <w:b/>
                <w:bCs/>
              </w:rPr>
              <w:t>10.60%</w:t>
            </w:r>
          </w:p>
        </w:tc>
        <w:tc>
          <w:tcPr>
            <w:tcW w:w="1720" w:type="dxa"/>
            <w:noWrap/>
            <w:hideMark/>
          </w:tcPr>
          <w:p w14:paraId="6F38EC15" w14:textId="77777777" w:rsidR="009635BA" w:rsidRPr="00226744" w:rsidRDefault="009635BA" w:rsidP="009635BA">
            <w:pPr>
              <w:jc w:val="right"/>
              <w:rPr>
                <w:b/>
                <w:bCs/>
              </w:rPr>
            </w:pPr>
            <w:r w:rsidRPr="00226744">
              <w:rPr>
                <w:b/>
                <w:bCs/>
              </w:rPr>
              <w:t>10.40%</w:t>
            </w:r>
          </w:p>
        </w:tc>
        <w:tc>
          <w:tcPr>
            <w:tcW w:w="2009" w:type="dxa"/>
            <w:noWrap/>
            <w:hideMark/>
          </w:tcPr>
          <w:p w14:paraId="75C5C428" w14:textId="77777777" w:rsidR="009635BA" w:rsidRPr="00226744" w:rsidRDefault="009635BA" w:rsidP="009635BA">
            <w:pPr>
              <w:jc w:val="right"/>
              <w:rPr>
                <w:b/>
                <w:bCs/>
              </w:rPr>
            </w:pPr>
            <w:r w:rsidRPr="00226744">
              <w:rPr>
                <w:b/>
                <w:bCs/>
              </w:rPr>
              <w:t>10.80%</w:t>
            </w:r>
          </w:p>
        </w:tc>
      </w:tr>
    </w:tbl>
    <w:p w14:paraId="32D3B873" w14:textId="0D48F4EF" w:rsidR="009635BA" w:rsidRDefault="009635BA" w:rsidP="008F3D71">
      <w:pPr>
        <w:ind w:left="-851"/>
      </w:pPr>
    </w:p>
    <w:p w14:paraId="42E92826" w14:textId="288904DB" w:rsidR="009635BA" w:rsidRDefault="009635BA" w:rsidP="008F3D71">
      <w:pPr>
        <w:ind w:left="-851"/>
      </w:pPr>
    </w:p>
    <w:p w14:paraId="2E45463A" w14:textId="77777777" w:rsidR="009635BA" w:rsidRPr="00226744" w:rsidRDefault="009635BA" w:rsidP="008F3D71">
      <w:pPr>
        <w:ind w:left="-851"/>
      </w:pPr>
    </w:p>
    <w:p w14:paraId="13079575" w14:textId="77777777" w:rsidR="00F3337C" w:rsidRPr="00226744" w:rsidRDefault="00F3337C" w:rsidP="008F3D71">
      <w:pPr>
        <w:ind w:left="-851"/>
      </w:pPr>
    </w:p>
    <w:p w14:paraId="26B6503A" w14:textId="77777777" w:rsidR="00F3337C" w:rsidRPr="00226744" w:rsidRDefault="00F3337C" w:rsidP="008F3D71">
      <w:pPr>
        <w:ind w:left="-851"/>
        <w:sectPr w:rsidR="00F3337C" w:rsidRPr="00226744" w:rsidSect="008F3D71">
          <w:headerReference w:type="even" r:id="rId21"/>
          <w:footerReference w:type="even" r:id="rId22"/>
          <w:headerReference w:type="first" r:id="rId23"/>
          <w:footerReference w:type="first" r:id="rId24"/>
          <w:pgSz w:w="11906" w:h="16838"/>
          <w:pgMar w:top="1440" w:right="1134" w:bottom="1440" w:left="1797" w:header="709" w:footer="709" w:gutter="0"/>
          <w:cols w:space="708"/>
          <w:docGrid w:linePitch="360"/>
        </w:sectPr>
      </w:pPr>
    </w:p>
    <w:p w14:paraId="3B3076DF" w14:textId="77777777" w:rsidR="00F3337C" w:rsidRPr="00226744" w:rsidRDefault="00F3337C" w:rsidP="008F3D71">
      <w:pPr>
        <w:ind w:left="-851"/>
      </w:pPr>
    </w:p>
    <w:p w14:paraId="4D4D1806" w14:textId="77777777" w:rsidR="00F3337C" w:rsidRPr="00226744" w:rsidRDefault="00F3337C" w:rsidP="008F3D71">
      <w:pPr>
        <w:ind w:left="-851"/>
      </w:pPr>
    </w:p>
    <w:p w14:paraId="219F7998" w14:textId="77777777" w:rsidR="00F3337C" w:rsidRPr="00226744" w:rsidRDefault="00F3337C" w:rsidP="008F3D71">
      <w:pPr>
        <w:rPr>
          <w:b/>
        </w:rPr>
      </w:pPr>
      <w:r w:rsidRPr="00226744">
        <w:t>MRG Recommendations, Comments &amp; Updates:</w:t>
      </w:r>
    </w:p>
    <w:p w14:paraId="7E0886C5" w14:textId="77777777" w:rsidR="00F3337C" w:rsidRPr="00226744" w:rsidRDefault="00F3337C" w:rsidP="008F3D71">
      <w:pPr>
        <w:ind w:left="-567"/>
      </w:pPr>
    </w:p>
    <w:p w14:paraId="54070808" w14:textId="6D730A89" w:rsidR="00F3337C" w:rsidRDefault="009635BA" w:rsidP="008F3D71">
      <w:pPr>
        <w:ind w:left="-540"/>
      </w:pPr>
      <w:r w:rsidRPr="00226744">
        <w:t>Summary of discussion</w:t>
      </w:r>
    </w:p>
    <w:p w14:paraId="71681E81" w14:textId="42673B11" w:rsidR="009635BA" w:rsidRDefault="009635BA" w:rsidP="008F3D71">
      <w:pPr>
        <w:ind w:left="-540"/>
        <w:rPr>
          <w:b/>
        </w:rPr>
      </w:pPr>
    </w:p>
    <w:p w14:paraId="162F5A18" w14:textId="77777777" w:rsidR="009635BA" w:rsidRPr="00226744" w:rsidRDefault="009635BA" w:rsidP="009635BA">
      <w:r w:rsidRPr="00226744">
        <w:t>James Sykes introduced the indicator, which is intended to show the proportion of patients over the age of 16 whom, having been discharged from Mental Health inpatient Services, are readmitted within 30 days of discharge in an unplanned fashion.</w:t>
      </w:r>
    </w:p>
    <w:p w14:paraId="31A014D3" w14:textId="77777777" w:rsidR="009635BA" w:rsidRPr="00226744" w:rsidRDefault="009635BA" w:rsidP="009635BA">
      <w:r w:rsidRPr="00226744">
        <w:t>The calculation would be given as a percentage of all those discharged from Mental Health inpatient Services. This would be reported on an individual CCG basis.</w:t>
      </w:r>
      <w:r w:rsidRPr="00226744">
        <w:br/>
      </w:r>
    </w:p>
    <w:p w14:paraId="654BAEC7" w14:textId="77777777" w:rsidR="009635BA" w:rsidRPr="00226744" w:rsidRDefault="009635BA" w:rsidP="009635BA">
      <w:pPr>
        <w:pStyle w:val="ListParagraph"/>
        <w:numPr>
          <w:ilvl w:val="0"/>
          <w:numId w:val="15"/>
        </w:numPr>
        <w:spacing w:after="0" w:line="240" w:lineRule="auto"/>
      </w:pPr>
      <w:r w:rsidRPr="00226744">
        <w:t>Andy Sutherland asked as to whether the developer was satisfied they are handling the 16 – 18 year olds sufficiently given that MHMDS is being used as a source. In addition, clarification was sought on the handling of patients who have multiple re-admissions in the period that is being looked.</w:t>
      </w:r>
    </w:p>
    <w:p w14:paraId="237CF71D" w14:textId="77777777" w:rsidR="009635BA" w:rsidRPr="00226744" w:rsidRDefault="009635BA" w:rsidP="009635BA">
      <w:pPr>
        <w:pStyle w:val="ListParagraph"/>
        <w:numPr>
          <w:ilvl w:val="0"/>
          <w:numId w:val="15"/>
        </w:numPr>
        <w:spacing w:after="0" w:line="240" w:lineRule="auto"/>
      </w:pPr>
      <w:r w:rsidRPr="00226744">
        <w:t>James Sykes confirmed that the boundary of people in MHMDS is 16, and that each discharge is registered separately so is counted each time.</w:t>
      </w:r>
    </w:p>
    <w:p w14:paraId="0C20DFD1" w14:textId="77777777" w:rsidR="009635BA" w:rsidRPr="00226744" w:rsidRDefault="009635BA" w:rsidP="009635BA"/>
    <w:p w14:paraId="643704F4" w14:textId="77777777" w:rsidR="009635BA" w:rsidRPr="00226744" w:rsidRDefault="009635BA" w:rsidP="009635BA">
      <w:pPr>
        <w:pStyle w:val="ListParagraph"/>
        <w:numPr>
          <w:ilvl w:val="0"/>
          <w:numId w:val="15"/>
        </w:numPr>
        <w:spacing w:after="0" w:line="240" w:lineRule="auto"/>
      </w:pPr>
      <w:r w:rsidRPr="00226744">
        <w:t xml:space="preserve">Chris Dew asked, as it is suggested the numbers are too small to standardise, whether the indicator should be produced quarterly.  It might be more useful to produce annually to allow more through-put. </w:t>
      </w:r>
    </w:p>
    <w:p w14:paraId="2DC5EF0A" w14:textId="77777777" w:rsidR="009635BA" w:rsidRPr="00226744" w:rsidRDefault="009635BA" w:rsidP="009635BA">
      <w:pPr>
        <w:pStyle w:val="ListParagraph"/>
        <w:numPr>
          <w:ilvl w:val="0"/>
          <w:numId w:val="15"/>
        </w:numPr>
        <w:spacing w:after="0" w:line="240" w:lineRule="auto"/>
      </w:pPr>
      <w:r w:rsidRPr="00226744">
        <w:t>Alison Roe indicated that consideration was needed in light of the output of guidance on approaches to standardisation resulting from the workshop discussed earlier in the meeting.  Additionally, if the indicator is to be produced quarterly then it would be based on rolling annual data.</w:t>
      </w:r>
    </w:p>
    <w:p w14:paraId="1D7029C7" w14:textId="77777777" w:rsidR="009635BA" w:rsidRPr="00226744" w:rsidRDefault="009635BA" w:rsidP="009635BA"/>
    <w:p w14:paraId="72FF7448" w14:textId="77777777" w:rsidR="009635BA" w:rsidRPr="00226744" w:rsidRDefault="009635BA" w:rsidP="009635BA">
      <w:pPr>
        <w:pStyle w:val="ListParagraph"/>
        <w:numPr>
          <w:ilvl w:val="0"/>
          <w:numId w:val="15"/>
        </w:numPr>
        <w:spacing w:after="0" w:line="240" w:lineRule="auto"/>
      </w:pPr>
      <w:r w:rsidRPr="00226744">
        <w:t>Chris Dew suggested the title should specify that it measures over 16s.</w:t>
      </w:r>
    </w:p>
    <w:p w14:paraId="0D51CCED" w14:textId="6B27FAC7" w:rsidR="009635BA" w:rsidRDefault="009635BA" w:rsidP="009635BA">
      <w:pPr>
        <w:ind w:left="-540"/>
      </w:pPr>
      <w:r w:rsidRPr="00226744">
        <w:t>Alison Whitmarsh sought clarification as to whether general psychiatric hospitals referred to in the denominator was the same as Mental Health inpatient services referred to in the numerator.  This is to be made clear and consistent in the metadata.</w:t>
      </w:r>
    </w:p>
    <w:p w14:paraId="77CC9056" w14:textId="7DCA30BE" w:rsidR="009635BA" w:rsidRDefault="009635BA" w:rsidP="009635BA">
      <w:pPr>
        <w:ind w:left="-540"/>
        <w:rPr>
          <w:b/>
        </w:rPr>
      </w:pPr>
    </w:p>
    <w:p w14:paraId="50BCF2D1" w14:textId="3FE16A6B" w:rsidR="009635BA" w:rsidRDefault="009635BA" w:rsidP="009635BA">
      <w:pPr>
        <w:ind w:left="-540"/>
      </w:pPr>
      <w:r w:rsidRPr="00226744">
        <w:t>Recommendation(s)</w:t>
      </w:r>
    </w:p>
    <w:p w14:paraId="45BC5221" w14:textId="64A78BDC" w:rsidR="009635BA" w:rsidRDefault="009635BA" w:rsidP="009635BA">
      <w:pPr>
        <w:ind w:left="-540"/>
        <w:rPr>
          <w:b/>
        </w:rPr>
      </w:pPr>
    </w:p>
    <w:p w14:paraId="399DB0DF" w14:textId="77777777" w:rsidR="009635BA" w:rsidRPr="00226744" w:rsidRDefault="009635BA" w:rsidP="009635BA">
      <w:pPr>
        <w:spacing w:before="60"/>
      </w:pPr>
      <w:r w:rsidRPr="00226744">
        <w:t>Ref code</w:t>
      </w:r>
    </w:p>
    <w:p w14:paraId="71971DC5" w14:textId="77777777" w:rsidR="009635BA" w:rsidRPr="00226744" w:rsidRDefault="009635BA" w:rsidP="009635BA">
      <w:pPr>
        <w:rPr>
          <w:b/>
        </w:rPr>
      </w:pPr>
      <w:r w:rsidRPr="00226744">
        <w:rPr>
          <w:b/>
        </w:rPr>
        <w:t>IAP00361-01</w:t>
      </w:r>
    </w:p>
    <w:p w14:paraId="0AAD68E4" w14:textId="4F8AA33B" w:rsidR="009635BA" w:rsidRDefault="009635BA" w:rsidP="009635BA">
      <w:pPr>
        <w:ind w:left="-540"/>
      </w:pPr>
      <w:r w:rsidRPr="00226744">
        <w:t>Made: 09/01/14</w:t>
      </w:r>
    </w:p>
    <w:p w14:paraId="14A4E85A" w14:textId="157276FA" w:rsidR="009635BA" w:rsidRDefault="009635BA" w:rsidP="009635BA">
      <w:pPr>
        <w:ind w:left="-540"/>
        <w:rPr>
          <w:b/>
        </w:rPr>
      </w:pPr>
    </w:p>
    <w:p w14:paraId="2AA4E3E2" w14:textId="77777777" w:rsidR="00AC06AF" w:rsidRPr="00226744" w:rsidRDefault="00AC06AF" w:rsidP="00AC06AF">
      <w:r w:rsidRPr="00226744">
        <w:t xml:space="preserve">The title should specify that the indicator measures over 16s.  </w:t>
      </w:r>
    </w:p>
    <w:p w14:paraId="634B03B9" w14:textId="12C70F06" w:rsidR="009635BA" w:rsidRDefault="00AC06AF" w:rsidP="00AC06AF">
      <w:pPr>
        <w:ind w:left="-540"/>
        <w:rPr>
          <w:b/>
        </w:rPr>
      </w:pPr>
      <w:r w:rsidRPr="00226744">
        <w:t xml:space="preserve">Additionally, the metadata should be clear and consistent that general psychiatric hospitals (referred to in the denominator) is the same as Mental Health inpatient services (referred to in the numerator).  </w:t>
      </w:r>
    </w:p>
    <w:p w14:paraId="16CAF138" w14:textId="0294A8B8" w:rsidR="009635BA" w:rsidRDefault="009635BA" w:rsidP="009635BA">
      <w:pPr>
        <w:ind w:left="-540"/>
        <w:rPr>
          <w:b/>
        </w:rPr>
      </w:pPr>
    </w:p>
    <w:p w14:paraId="1C19573D" w14:textId="13348214" w:rsidR="009635BA" w:rsidRDefault="009635BA" w:rsidP="009635BA">
      <w:pPr>
        <w:ind w:left="-540"/>
        <w:rPr>
          <w:b/>
        </w:rPr>
      </w:pPr>
    </w:p>
    <w:p w14:paraId="195D93A1" w14:textId="77777777" w:rsidR="009635BA" w:rsidRPr="00226744" w:rsidRDefault="009635BA" w:rsidP="009635BA">
      <w:pPr>
        <w:spacing w:before="60"/>
      </w:pPr>
      <w:r w:rsidRPr="00226744">
        <w:t>Ref code</w:t>
      </w:r>
    </w:p>
    <w:p w14:paraId="35F556FD" w14:textId="77777777" w:rsidR="009635BA" w:rsidRPr="00226744" w:rsidRDefault="009635BA" w:rsidP="009635BA">
      <w:pPr>
        <w:rPr>
          <w:b/>
        </w:rPr>
      </w:pPr>
      <w:r w:rsidRPr="00226744">
        <w:rPr>
          <w:b/>
        </w:rPr>
        <w:t>IAP003612-02</w:t>
      </w:r>
    </w:p>
    <w:p w14:paraId="606EE53F" w14:textId="7FD11520" w:rsidR="009635BA" w:rsidRDefault="009635BA" w:rsidP="009635BA">
      <w:pPr>
        <w:ind w:left="-540"/>
      </w:pPr>
      <w:r w:rsidRPr="00226744">
        <w:t>Made: 09/01/14</w:t>
      </w:r>
    </w:p>
    <w:p w14:paraId="132479DE" w14:textId="7963FC42" w:rsidR="00AC06AF" w:rsidRDefault="00AC06AF" w:rsidP="009635BA">
      <w:pPr>
        <w:ind w:left="-540"/>
        <w:rPr>
          <w:b/>
        </w:rPr>
      </w:pPr>
    </w:p>
    <w:p w14:paraId="0BD15C2D" w14:textId="79C9E8E9" w:rsidR="00AC06AF" w:rsidRPr="00226744" w:rsidRDefault="00AC06AF" w:rsidP="009635BA">
      <w:pPr>
        <w:ind w:left="-540"/>
        <w:rPr>
          <w:b/>
        </w:rPr>
      </w:pPr>
      <w:r w:rsidRPr="00226744">
        <w:t xml:space="preserve">Further consideration is to be given to the methodology with regards to the output of the guidance on approaches to standardisation workshop that is being arranged following discussions earlier in the meeting (MRG 09/01/14.  </w:t>
      </w:r>
    </w:p>
    <w:p w14:paraId="36FACB2D" w14:textId="6029231E" w:rsidR="00F3337C" w:rsidRDefault="00AC06AF" w:rsidP="008F3D71">
      <w:pPr>
        <w:rPr>
          <w:b/>
        </w:rPr>
      </w:pPr>
      <w:r w:rsidRPr="00226744">
        <w:rPr>
          <w:b/>
        </w:rPr>
        <w:lastRenderedPageBreak/>
        <w:t>Item 5.2:</w:t>
      </w:r>
      <w:r w:rsidRPr="00226744">
        <w:t xml:space="preserve"> </w:t>
      </w:r>
      <w:r w:rsidRPr="00226744">
        <w:rPr>
          <w:b/>
        </w:rPr>
        <w:t>Decision</w:t>
      </w:r>
    </w:p>
    <w:p w14:paraId="25352445" w14:textId="02BD33E7" w:rsidR="00AC06AF" w:rsidRDefault="00AC06AF" w:rsidP="008F3D71">
      <w:pPr>
        <w:rPr>
          <w:b/>
        </w:rPr>
      </w:pPr>
    </w:p>
    <w:p w14:paraId="2F7CC750" w14:textId="60F709DA" w:rsidR="00AC06AF" w:rsidRPr="00226744" w:rsidRDefault="00AC06AF" w:rsidP="008F3D71">
      <w:r w:rsidRPr="00226744">
        <w:t>The indicator is to be re-considered in light of the output of the MRG workshop around approaches to standardisation.</w:t>
      </w:r>
    </w:p>
    <w:p w14:paraId="78387B7F" w14:textId="77777777" w:rsidR="00F3337C" w:rsidRPr="00226744" w:rsidRDefault="00F3337C" w:rsidP="008F3D71">
      <w:pPr>
        <w:rPr>
          <w:b/>
        </w:rPr>
      </w:pPr>
      <w:r w:rsidRPr="00226744">
        <w:rPr>
          <w:b/>
        </w:rPr>
        <w:br w:type="page"/>
      </w:r>
    </w:p>
    <w:p w14:paraId="29E6AE20" w14:textId="77777777" w:rsidR="00F3337C" w:rsidRPr="00226744" w:rsidRDefault="00F3337C" w:rsidP="008F3D71">
      <w:pPr>
        <w:ind w:left="-851"/>
      </w:pPr>
      <w:r w:rsidRPr="00226744">
        <w:lastRenderedPageBreak/>
        <w:t>Revisions:</w:t>
      </w:r>
    </w:p>
    <w:p w14:paraId="11B2C630" w14:textId="77777777" w:rsidR="00F3337C" w:rsidRPr="00226744" w:rsidRDefault="00F3337C" w:rsidP="008F3D71">
      <w:pPr>
        <w:ind w:left="-851"/>
      </w:pPr>
      <w:r w:rsidRPr="00226744">
        <w:t>To be completed where changes to the methodology are made by the applicant during the appraisal [i.e. subsequent to the initial application form]</w:t>
      </w:r>
    </w:p>
    <w:p w14:paraId="1269DAA2" w14:textId="77777777" w:rsidR="00F3337C" w:rsidRPr="00226744" w:rsidRDefault="00F3337C" w:rsidP="008F3D71">
      <w:pPr>
        <w:ind w:left="-851"/>
      </w:pPr>
      <w:r w:rsidRPr="00226744">
        <w:t>A new section is to be added for each new set of revisions to go to MRG.</w:t>
      </w:r>
    </w:p>
    <w:p w14:paraId="01F53F5D" w14:textId="77777777" w:rsidR="00F3337C" w:rsidRPr="00226744" w:rsidRDefault="00F3337C" w:rsidP="008F3D71">
      <w:pPr>
        <w:ind w:left="-851"/>
      </w:pPr>
    </w:p>
    <w:p w14:paraId="7DDD2C0D" w14:textId="45DA04DC" w:rsidR="00F3337C" w:rsidRPr="00226744" w:rsidRDefault="00F3337C" w:rsidP="00D576DA">
      <w:r w:rsidRPr="00226744">
        <w:t xml:space="preserve">Record of Assurance provided by </w:t>
      </w:r>
      <w:r w:rsidRPr="00226744">
        <w:rPr>
          <w:b/>
        </w:rPr>
        <w:t>Indicator Governance Board</w:t>
      </w:r>
    </w:p>
    <w:p w14:paraId="28EFDAC5" w14:textId="77777777" w:rsidR="00F3337C" w:rsidRPr="00226744" w:rsidRDefault="00F3337C" w:rsidP="008F3D71"/>
    <w:p w14:paraId="30A16F99" w14:textId="2FBF912F" w:rsidR="00F3337C" w:rsidRPr="00226744" w:rsidRDefault="00AC06AF" w:rsidP="008F3D71">
      <w:r>
        <w:t>Not completed</w:t>
      </w:r>
    </w:p>
    <w:p w14:paraId="3C430465" w14:textId="77777777" w:rsidR="00F3337C" w:rsidRPr="00226744" w:rsidRDefault="00F3337C" w:rsidP="008F3D71"/>
    <w:p w14:paraId="30EA8A85" w14:textId="77777777" w:rsidR="00F3337C" w:rsidRPr="00226744" w:rsidRDefault="00F3337C" w:rsidP="008F3D71"/>
    <w:p w14:paraId="30D0DF5E" w14:textId="77777777" w:rsidR="00F3337C" w:rsidRPr="00226744" w:rsidRDefault="00F3337C" w:rsidP="008F3D71"/>
    <w:p w14:paraId="5815E4D3" w14:textId="77777777" w:rsidR="00F3337C" w:rsidRPr="00226744" w:rsidRDefault="00F3337C" w:rsidP="008F3D71">
      <w:pPr>
        <w:ind w:left="-851"/>
      </w:pPr>
      <w:r w:rsidRPr="00226744">
        <w:t>IGB – Additional Recommendations:</w:t>
      </w:r>
    </w:p>
    <w:p w14:paraId="5AF85E06" w14:textId="77777777" w:rsidR="00F3337C" w:rsidRPr="00226744" w:rsidRDefault="00F3337C" w:rsidP="008F3D71">
      <w:pPr>
        <w:ind w:left="-851"/>
      </w:pPr>
      <w:r w:rsidRPr="00226744">
        <w:t>[Add new section as necessary]</w:t>
      </w:r>
    </w:p>
    <w:p w14:paraId="23D15E60" w14:textId="77777777" w:rsidR="00F3337C" w:rsidRPr="00226744" w:rsidRDefault="00F3337C" w:rsidP="008F3D71"/>
    <w:p w14:paraId="321E486A" w14:textId="33158AC6" w:rsidR="00F3337C" w:rsidRDefault="00F3337C" w:rsidP="008F3D71">
      <w:pPr>
        <w:ind w:left="-851"/>
      </w:pPr>
      <w:r w:rsidRPr="00226744">
        <w:t>Review:</w:t>
      </w:r>
      <w:r w:rsidR="00AC06AF" w:rsidRPr="00AC06AF">
        <w:rPr>
          <w:b/>
        </w:rPr>
        <w:t xml:space="preserve"> </w:t>
      </w:r>
      <w:r w:rsidR="00AC06AF" w:rsidRPr="00226744">
        <w:rPr>
          <w:b/>
        </w:rPr>
        <w:t>3 years</w:t>
      </w:r>
    </w:p>
    <w:p w14:paraId="2070B60E" w14:textId="1F04FFEB" w:rsidR="00AC06AF" w:rsidRDefault="00AC06AF" w:rsidP="008F3D71">
      <w:pPr>
        <w:ind w:left="-851"/>
      </w:pPr>
    </w:p>
    <w:p w14:paraId="1DDAA321" w14:textId="77777777" w:rsidR="00AC06AF" w:rsidRPr="00226744" w:rsidRDefault="00AC06AF" w:rsidP="008F3D71">
      <w:pPr>
        <w:ind w:left="-851"/>
      </w:pPr>
    </w:p>
    <w:p w14:paraId="63040F58" w14:textId="0B0244F0" w:rsidR="00F3337C" w:rsidRDefault="00F3337C" w:rsidP="008F3D71">
      <w:pPr>
        <w:tabs>
          <w:tab w:val="left" w:pos="2830"/>
        </w:tabs>
        <w:ind w:left="-851"/>
      </w:pPr>
      <w:r w:rsidRPr="00226744">
        <w:t xml:space="preserve">IGB Sign-off: </w:t>
      </w:r>
    </w:p>
    <w:p w14:paraId="711B73CA" w14:textId="45360CF6" w:rsidR="00AC06AF" w:rsidRDefault="00AC06AF" w:rsidP="008F3D71">
      <w:pPr>
        <w:tabs>
          <w:tab w:val="left" w:pos="2830"/>
        </w:tabs>
        <w:ind w:left="-851"/>
      </w:pPr>
    </w:p>
    <w:p w14:paraId="459C0784" w14:textId="7B323A7B" w:rsidR="00AC06AF" w:rsidRDefault="00AC06AF" w:rsidP="008F3D71">
      <w:pPr>
        <w:tabs>
          <w:tab w:val="left" w:pos="2830"/>
        </w:tabs>
        <w:ind w:left="-851"/>
        <w:rPr>
          <w:b/>
        </w:rPr>
      </w:pPr>
      <w:r w:rsidRPr="00226744">
        <w:rPr>
          <w:b/>
        </w:rPr>
        <w:t>Indicator Assurance Process Output</w:t>
      </w:r>
    </w:p>
    <w:p w14:paraId="50FA7379" w14:textId="332CCD4A" w:rsidR="00AC06AF" w:rsidRDefault="00AC06AF" w:rsidP="008F3D71">
      <w:pPr>
        <w:tabs>
          <w:tab w:val="left" w:pos="2830"/>
        </w:tabs>
        <w:ind w:left="-851"/>
        <w:rPr>
          <w:b/>
        </w:rPr>
      </w:pPr>
    </w:p>
    <w:p w14:paraId="58CC4BAD" w14:textId="77777777" w:rsidR="00AC06AF" w:rsidRPr="00226744" w:rsidRDefault="00AC06AF" w:rsidP="008F3D71">
      <w:pPr>
        <w:tabs>
          <w:tab w:val="left" w:pos="2830"/>
        </w:tabs>
        <w:ind w:left="-851"/>
      </w:pPr>
    </w:p>
    <w:p w14:paraId="2DCD7BAF" w14:textId="4289FCCD" w:rsidR="00F3337C" w:rsidRDefault="00AC06AF" w:rsidP="008F3D71">
      <w:pPr>
        <w:rPr>
          <w:b/>
        </w:rPr>
      </w:pPr>
      <w:r>
        <w:rPr>
          <w:i/>
        </w:rPr>
        <w:t>F</w:t>
      </w:r>
      <w:r w:rsidRPr="00226744">
        <w:rPr>
          <w:i/>
        </w:rPr>
        <w:t>inal Appraisal Status</w:t>
      </w:r>
      <w:r w:rsidRPr="00AC06AF">
        <w:rPr>
          <w:b/>
        </w:rPr>
        <w:t xml:space="preserve"> </w:t>
      </w:r>
      <w:r w:rsidRPr="00226744">
        <w:rPr>
          <w:b/>
        </w:rPr>
        <w:t>Assured with Comments</w:t>
      </w:r>
    </w:p>
    <w:p w14:paraId="42B415EB" w14:textId="11B9C339" w:rsidR="00AC06AF" w:rsidRDefault="00AC06AF" w:rsidP="008F3D71">
      <w:pPr>
        <w:rPr>
          <w:b/>
        </w:rPr>
      </w:pPr>
    </w:p>
    <w:p w14:paraId="25ED3C74" w14:textId="77777777" w:rsidR="00AC06AF" w:rsidRPr="00226744" w:rsidRDefault="00AC06AF" w:rsidP="00AC06AF">
      <w:r w:rsidRPr="00226744">
        <w:t>Basis of Sign-off</w:t>
      </w:r>
    </w:p>
    <w:p w14:paraId="5EF8E5F4" w14:textId="6C7A777B" w:rsidR="00AC06AF" w:rsidRPr="00226744" w:rsidRDefault="00AC06AF" w:rsidP="00AC06AF">
      <w:r w:rsidRPr="00226744">
        <w:t>[Detail caveats and limitations ]</w:t>
      </w:r>
      <w:r>
        <w:t xml:space="preserve"> :</w:t>
      </w:r>
      <w:r w:rsidRPr="00AC06AF">
        <w:t xml:space="preserve"> </w:t>
      </w:r>
      <w:r w:rsidRPr="00226744">
        <w:t>The indicator methodology is signed off as assured for inclusion in the indicator library on the basis that the accompanying metadata makes the user aware that the use of the indicator is limited due to small numbers at CCG level.</w:t>
      </w:r>
    </w:p>
    <w:p w14:paraId="0D9ABDBA" w14:textId="314689AB" w:rsidR="00AC06AF" w:rsidRDefault="00AC06AF" w:rsidP="00AC06AF">
      <w:r w:rsidRPr="00226744">
        <w:t>IGB indicated that the indicator should be reviewed after a period of 3 years</w:t>
      </w:r>
    </w:p>
    <w:p w14:paraId="7A1C32D2" w14:textId="26D689FE" w:rsidR="00AC06AF" w:rsidRDefault="00AC06AF" w:rsidP="00AC06AF"/>
    <w:p w14:paraId="0F7897BD" w14:textId="344B7B05" w:rsidR="00AC06AF" w:rsidRPr="00226744" w:rsidRDefault="00AC06AF" w:rsidP="00AC06AF">
      <w:r w:rsidRPr="00226744">
        <w:t>Sign-off Date</w:t>
      </w:r>
      <w:r>
        <w:t xml:space="preserve">:  </w:t>
      </w:r>
      <w:r w:rsidRPr="00226744">
        <w:t>12/11/2014</w:t>
      </w:r>
    </w:p>
    <w:p w14:paraId="1E8315EF" w14:textId="046D3442" w:rsidR="00AC06AF" w:rsidRPr="00226744" w:rsidRDefault="00AC06AF" w:rsidP="00AC06AF"/>
    <w:p w14:paraId="4C698635" w14:textId="77777777" w:rsidR="00F3337C" w:rsidRPr="00226744" w:rsidRDefault="00F3337C" w:rsidP="008F3D71"/>
    <w:p w14:paraId="074E7487" w14:textId="77777777" w:rsidR="00F3337C" w:rsidRPr="00226744" w:rsidRDefault="00F3337C"/>
    <w:p w14:paraId="7574D34B" w14:textId="77777777" w:rsidR="00F3337C" w:rsidRPr="00226744" w:rsidRDefault="00F3337C" w:rsidP="008F3D71"/>
    <w:p w14:paraId="6D9245E7" w14:textId="77777777" w:rsidR="00173180" w:rsidRPr="00226744" w:rsidRDefault="00173180" w:rsidP="00BD69FE">
      <w:pPr>
        <w:rPr>
          <w:b/>
        </w:rPr>
      </w:pPr>
    </w:p>
    <w:sectPr w:rsidR="00173180" w:rsidRPr="002267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28834" w14:textId="77777777" w:rsidR="009635BA" w:rsidRDefault="009635BA" w:rsidP="00F3337C">
      <w:r>
        <w:separator/>
      </w:r>
    </w:p>
  </w:endnote>
  <w:endnote w:type="continuationSeparator" w:id="0">
    <w:p w14:paraId="50774F1F" w14:textId="77777777" w:rsidR="009635BA" w:rsidRDefault="009635BA" w:rsidP="00F3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8403936"/>
      <w:docPartObj>
        <w:docPartGallery w:val="Page Numbers (Bottom of Page)"/>
        <w:docPartUnique/>
      </w:docPartObj>
    </w:sdtPr>
    <w:sdtEndPr>
      <w:rPr>
        <w:noProof/>
      </w:rPr>
    </w:sdtEndPr>
    <w:sdtContent>
      <w:p w14:paraId="0834A104" w14:textId="1C937818" w:rsidR="009635BA" w:rsidRPr="00226744" w:rsidRDefault="009635BA" w:rsidP="008F3D71">
        <w:pPr>
          <w:pStyle w:val="Footer"/>
          <w:tabs>
            <w:tab w:val="left" w:pos="426"/>
          </w:tabs>
          <w:rPr>
            <w:rFonts w:cs="Arial"/>
            <w:sz w:val="18"/>
            <w:szCs w:val="18"/>
          </w:rPr>
        </w:pPr>
        <w:r w:rsidRPr="00226744">
          <w:rPr>
            <w:rFonts w:cs="Arial"/>
            <w:sz w:val="18"/>
            <w:szCs w:val="18"/>
          </w:rPr>
          <w:t>IAP00</w:t>
        </w:r>
        <w:r w:rsidR="002C6D1E">
          <w:rPr>
            <w:rFonts w:cs="Arial"/>
            <w:sz w:val="18"/>
            <w:szCs w:val="18"/>
          </w:rPr>
          <w:t>361</w:t>
        </w:r>
        <w:r w:rsidRPr="00226744">
          <w:rPr>
            <w:rFonts w:cs="Arial"/>
            <w:sz w:val="18"/>
            <w:szCs w:val="18"/>
          </w:rPr>
          <w:t xml:space="preserve"> Supporting documentation</w:t>
        </w:r>
      </w:p>
      <w:p w14:paraId="6611D744" w14:textId="77777777" w:rsidR="009635BA" w:rsidRPr="00226744" w:rsidRDefault="009635BA" w:rsidP="008F3D71">
        <w:pPr>
          <w:pStyle w:val="Footer"/>
          <w:rPr>
            <w:rFonts w:cs="Arial"/>
            <w:sz w:val="16"/>
            <w:szCs w:val="16"/>
          </w:rPr>
        </w:pPr>
        <w:r w:rsidRPr="00226744">
          <w:rPr>
            <w:rFonts w:cs="Arial"/>
            <w:sz w:val="18"/>
            <w:szCs w:val="18"/>
          </w:rPr>
          <w:t>Copyright © 2019 NHS Digital</w:t>
        </w:r>
        <w:r w:rsidRPr="00226744" w:rsidDel="003507B5">
          <w:rPr>
            <w:rFonts w:cs="Arial"/>
            <w:sz w:val="16"/>
            <w:szCs w:val="16"/>
          </w:rPr>
          <w:t xml:space="preserve"> </w:t>
        </w:r>
      </w:p>
      <w:p w14:paraId="5F75CB52" w14:textId="557C2A1D" w:rsidR="009635BA" w:rsidRPr="008F3D71" w:rsidRDefault="009635BA">
        <w:pPr>
          <w:pStyle w:val="Footer"/>
          <w:jc w:val="right"/>
        </w:pPr>
        <w:r w:rsidRPr="008F3D71">
          <w:fldChar w:fldCharType="begin"/>
        </w:r>
        <w:r w:rsidRPr="008F3D71">
          <w:instrText xml:space="preserve"> PAGE   \* MERGEFORMAT </w:instrText>
        </w:r>
        <w:r w:rsidRPr="008F3D71">
          <w:fldChar w:fldCharType="separate"/>
        </w:r>
        <w:r w:rsidRPr="008F3D71">
          <w:rPr>
            <w:noProof/>
          </w:rPr>
          <w:t>2</w:t>
        </w:r>
        <w:r w:rsidRPr="008F3D71">
          <w:rPr>
            <w:noProof/>
          </w:rPr>
          <w:fldChar w:fldCharType="end"/>
        </w:r>
      </w:p>
    </w:sdtContent>
  </w:sdt>
  <w:p w14:paraId="2C0794E7" w14:textId="5A64935A" w:rsidR="009635BA" w:rsidRPr="000C24AF" w:rsidRDefault="009635BA" w:rsidP="008F3D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60465" w14:textId="77777777" w:rsidR="009635BA" w:rsidRDefault="009635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E4744" w14:textId="77777777" w:rsidR="009635BA" w:rsidRDefault="00963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B4750" w14:textId="77777777" w:rsidR="009635BA" w:rsidRDefault="009635BA" w:rsidP="00F3337C">
      <w:r>
        <w:separator/>
      </w:r>
    </w:p>
  </w:footnote>
  <w:footnote w:type="continuationSeparator" w:id="0">
    <w:p w14:paraId="0DB15840" w14:textId="77777777" w:rsidR="009635BA" w:rsidRDefault="009635BA" w:rsidP="00F33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A0C1F" w14:textId="0C083D74" w:rsidR="009635BA" w:rsidRDefault="009635BA" w:rsidP="008F3D71"/>
  <w:p w14:paraId="021FE72B" w14:textId="77777777" w:rsidR="009635BA" w:rsidRDefault="009635BA" w:rsidP="008F3D71"/>
  <w:p w14:paraId="1CF4114C" w14:textId="1F6921C9" w:rsidR="009635BA" w:rsidRPr="008F3D71" w:rsidRDefault="009635BA" w:rsidP="008F3D71">
    <w:pPr>
      <w:rPr>
        <w:b/>
        <w:bCs/>
      </w:rPr>
    </w:pPr>
    <w:r w:rsidRPr="008F3D71">
      <w:rPr>
        <w:b/>
        <w:bCs/>
      </w:rPr>
      <w:t>NICE inherited this indicator and all its supporting documentation from NHS Digital on 1 April 2020</w:t>
    </w:r>
  </w:p>
  <w:p w14:paraId="5A485EB0" w14:textId="77777777" w:rsidR="009635BA" w:rsidRDefault="009635BA" w:rsidP="008F3D71"/>
  <w:p w14:paraId="25655AC2" w14:textId="77777777" w:rsidR="009635BA" w:rsidRDefault="009635BA" w:rsidP="008F3D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4B150" w14:textId="77777777" w:rsidR="009635BA" w:rsidRDefault="009635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BA90" w14:textId="77777777" w:rsidR="009635BA" w:rsidRDefault="00963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556F0"/>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EC65BD"/>
    <w:multiLevelType w:val="hybridMultilevel"/>
    <w:tmpl w:val="89B08E36"/>
    <w:lvl w:ilvl="0" w:tplc="926E2EB0">
      <w:start w:val="1"/>
      <w:numFmt w:val="lowerLetter"/>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11728B"/>
    <w:multiLevelType w:val="hybridMultilevel"/>
    <w:tmpl w:val="04B4EE9E"/>
    <w:lvl w:ilvl="0" w:tplc="620C0278">
      <w:start w:val="14"/>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0A336D3F"/>
    <w:multiLevelType w:val="hybridMultilevel"/>
    <w:tmpl w:val="D304FB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546334"/>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D262DD6"/>
    <w:multiLevelType w:val="hybridMultilevel"/>
    <w:tmpl w:val="373E9412"/>
    <w:lvl w:ilvl="0" w:tplc="5FEC7112">
      <w:start w:val="3"/>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B500DF"/>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1546CAA"/>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6E46B23"/>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4A3367D"/>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7C26FC0"/>
    <w:multiLevelType w:val="hybridMultilevel"/>
    <w:tmpl w:val="D21E6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76AB9"/>
    <w:multiLevelType w:val="hybridMultilevel"/>
    <w:tmpl w:val="0D1C4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9E1D67"/>
    <w:multiLevelType w:val="hybridMultilevel"/>
    <w:tmpl w:val="60F2B16E"/>
    <w:lvl w:ilvl="0" w:tplc="D540AE2C">
      <w:start w:val="1"/>
      <w:numFmt w:val="decimal"/>
      <w:lvlText w:val="%1."/>
      <w:lvlJc w:val="left"/>
      <w:pPr>
        <w:tabs>
          <w:tab w:val="num" w:pos="480"/>
        </w:tabs>
        <w:ind w:left="480" w:hanging="42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14" w15:restartNumberingAfterBreak="0">
    <w:nsid w:val="2AC2049F"/>
    <w:multiLevelType w:val="hybridMultilevel"/>
    <w:tmpl w:val="84F05050"/>
    <w:lvl w:ilvl="0" w:tplc="C7767C56">
      <w:start w:val="3"/>
      <w:numFmt w:val="decimal"/>
      <w:lvlText w:val="%1."/>
      <w:lvlJc w:val="left"/>
      <w:pPr>
        <w:ind w:left="720" w:hanging="360"/>
      </w:pPr>
      <w:rPr>
        <w:rFont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75373C"/>
    <w:multiLevelType w:val="hybridMultilevel"/>
    <w:tmpl w:val="60F2B16E"/>
    <w:lvl w:ilvl="0" w:tplc="D540AE2C">
      <w:start w:val="1"/>
      <w:numFmt w:val="decimal"/>
      <w:lvlText w:val="%1."/>
      <w:lvlJc w:val="left"/>
      <w:pPr>
        <w:tabs>
          <w:tab w:val="num" w:pos="480"/>
        </w:tabs>
        <w:ind w:left="480" w:hanging="42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16" w15:restartNumberingAfterBreak="0">
    <w:nsid w:val="34100E1D"/>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48F14E4"/>
    <w:multiLevelType w:val="hybridMultilevel"/>
    <w:tmpl w:val="21447CA2"/>
    <w:lvl w:ilvl="0" w:tplc="CBAE6A04">
      <w:start w:val="1"/>
      <w:numFmt w:val="decimal"/>
      <w:lvlText w:val="%1."/>
      <w:lvlJc w:val="left"/>
      <w:pPr>
        <w:ind w:left="360" w:hanging="360"/>
      </w:pPr>
      <w:rPr>
        <w:rFonts w:hint="default"/>
        <w:sz w:val="16"/>
        <w:szCs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4F974D3"/>
    <w:multiLevelType w:val="hybridMultilevel"/>
    <w:tmpl w:val="04B044AE"/>
    <w:lvl w:ilvl="0" w:tplc="170ECDB2">
      <w:start w:val="1"/>
      <w:numFmt w:val="decimal"/>
      <w:lvlText w:val="%1."/>
      <w:lvlJc w:val="left"/>
      <w:pPr>
        <w:ind w:left="720" w:hanging="360"/>
      </w:pPr>
      <w:rPr>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817D39"/>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B80334F"/>
    <w:multiLevelType w:val="hybridMultilevel"/>
    <w:tmpl w:val="54E068D4"/>
    <w:lvl w:ilvl="0" w:tplc="B65A2F94">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50474C"/>
    <w:multiLevelType w:val="hybridMultilevel"/>
    <w:tmpl w:val="783C2DF6"/>
    <w:lvl w:ilvl="0" w:tplc="A7D662C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9E32E9"/>
    <w:multiLevelType w:val="hybridMultilevel"/>
    <w:tmpl w:val="5F828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3D6F28"/>
    <w:multiLevelType w:val="hybridMultilevel"/>
    <w:tmpl w:val="D8BAEE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24E23E9E">
      <w:numFmt w:val="bullet"/>
      <w:lvlText w:val="•"/>
      <w:lvlJc w:val="left"/>
      <w:pPr>
        <w:ind w:left="3600" w:hanging="720"/>
      </w:pPr>
      <w:rPr>
        <w:rFonts w:ascii="Arial" w:eastAsia="Times New Roman" w:hAnsi="Arial"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E94873"/>
    <w:multiLevelType w:val="hybridMultilevel"/>
    <w:tmpl w:val="5BAC6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D79253D"/>
    <w:multiLevelType w:val="hybridMultilevel"/>
    <w:tmpl w:val="87206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1E6C75"/>
    <w:multiLevelType w:val="hybridMultilevel"/>
    <w:tmpl w:val="91EC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9B3400"/>
    <w:multiLevelType w:val="hybridMultilevel"/>
    <w:tmpl w:val="1E38C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5C5F7A"/>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515017F"/>
    <w:multiLevelType w:val="multilevel"/>
    <w:tmpl w:val="823223DC"/>
    <w:lvl w:ilvl="0">
      <w:start w:val="1"/>
      <w:numFmt w:val="decimal"/>
      <w:lvlText w:val="Section %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CB61CEF"/>
    <w:multiLevelType w:val="hybridMultilevel"/>
    <w:tmpl w:val="851AC7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8C27AE"/>
    <w:multiLevelType w:val="hybridMultilevel"/>
    <w:tmpl w:val="C76C0B68"/>
    <w:lvl w:ilvl="0" w:tplc="B9F21B4E">
      <w:start w:val="1"/>
      <w:numFmt w:val="decimal"/>
      <w:lvlText w:val="%1."/>
      <w:lvlJc w:val="left"/>
      <w:pPr>
        <w:ind w:left="720" w:hanging="360"/>
      </w:pPr>
      <w:rPr>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DD5A34"/>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4"/>
  </w:num>
  <w:num w:numId="2">
    <w:abstractNumId w:val="0"/>
  </w:num>
  <w:num w:numId="3">
    <w:abstractNumId w:val="21"/>
  </w:num>
  <w:num w:numId="4">
    <w:abstractNumId w:val="29"/>
  </w:num>
  <w:num w:numId="5">
    <w:abstractNumId w:val="26"/>
  </w:num>
  <w:num w:numId="6">
    <w:abstractNumId w:val="27"/>
  </w:num>
  <w:num w:numId="7">
    <w:abstractNumId w:val="17"/>
  </w:num>
  <w:num w:numId="8">
    <w:abstractNumId w:val="3"/>
  </w:num>
  <w:num w:numId="9">
    <w:abstractNumId w:val="31"/>
  </w:num>
  <w:num w:numId="10">
    <w:abstractNumId w:val="18"/>
  </w:num>
  <w:num w:numId="11">
    <w:abstractNumId w:val="14"/>
  </w:num>
  <w:num w:numId="12">
    <w:abstractNumId w:val="30"/>
  </w:num>
  <w:num w:numId="13">
    <w:abstractNumId w:val="4"/>
  </w:num>
  <w:num w:numId="14">
    <w:abstractNumId w:val="15"/>
  </w:num>
  <w:num w:numId="15">
    <w:abstractNumId w:val="22"/>
  </w:num>
  <w:num w:numId="16">
    <w:abstractNumId w:val="25"/>
  </w:num>
  <w:num w:numId="17">
    <w:abstractNumId w:val="13"/>
  </w:num>
  <w:num w:numId="18">
    <w:abstractNumId w:val="5"/>
  </w:num>
  <w:num w:numId="19">
    <w:abstractNumId w:val="2"/>
  </w:num>
  <w:num w:numId="20">
    <w:abstractNumId w:val="6"/>
  </w:num>
  <w:num w:numId="21">
    <w:abstractNumId w:val="20"/>
  </w:num>
  <w:num w:numId="22">
    <w:abstractNumId w:val="12"/>
  </w:num>
  <w:num w:numId="23">
    <w:abstractNumId w:val="10"/>
  </w:num>
  <w:num w:numId="24">
    <w:abstractNumId w:val="8"/>
  </w:num>
  <w:num w:numId="25">
    <w:abstractNumId w:val="16"/>
  </w:num>
  <w:num w:numId="26">
    <w:abstractNumId w:val="1"/>
  </w:num>
  <w:num w:numId="27">
    <w:abstractNumId w:val="28"/>
  </w:num>
  <w:num w:numId="28">
    <w:abstractNumId w:val="7"/>
  </w:num>
  <w:num w:numId="29">
    <w:abstractNumId w:val="9"/>
  </w:num>
  <w:num w:numId="30">
    <w:abstractNumId w:val="32"/>
  </w:num>
  <w:num w:numId="31">
    <w:abstractNumId w:val="19"/>
  </w:num>
  <w:num w:numId="32">
    <w:abstractNumId w:val="11"/>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displayBackgroundShape/>
  <w:proofState w:spelling="clean"/>
  <w:defaultTabStop w:val="720"/>
  <w:characterSpacingControl w:val="doNotCompress"/>
  <w:hdrShapeDefaults>
    <o:shapedefaults v:ext="edit" spidmax="6145">
      <o:colormenu v:ext="edit" fillcolor="none [321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80"/>
    <w:rsid w:val="00004215"/>
    <w:rsid w:val="00004B13"/>
    <w:rsid w:val="00015B83"/>
    <w:rsid w:val="00020DA2"/>
    <w:rsid w:val="0005025D"/>
    <w:rsid w:val="00054305"/>
    <w:rsid w:val="000A20FA"/>
    <w:rsid w:val="000A28DB"/>
    <w:rsid w:val="000A2D78"/>
    <w:rsid w:val="000B185A"/>
    <w:rsid w:val="000C42A0"/>
    <w:rsid w:val="000C6535"/>
    <w:rsid w:val="000C77D2"/>
    <w:rsid w:val="000C7A90"/>
    <w:rsid w:val="000F1843"/>
    <w:rsid w:val="000F3A7E"/>
    <w:rsid w:val="000F3E42"/>
    <w:rsid w:val="001017DB"/>
    <w:rsid w:val="00110F8F"/>
    <w:rsid w:val="00140F94"/>
    <w:rsid w:val="001467EA"/>
    <w:rsid w:val="00165C57"/>
    <w:rsid w:val="00173180"/>
    <w:rsid w:val="001A0153"/>
    <w:rsid w:val="001C0977"/>
    <w:rsid w:val="001C22FD"/>
    <w:rsid w:val="001C2E38"/>
    <w:rsid w:val="001D3BCA"/>
    <w:rsid w:val="001F2E50"/>
    <w:rsid w:val="001F7F3C"/>
    <w:rsid w:val="00226744"/>
    <w:rsid w:val="00230D71"/>
    <w:rsid w:val="002330DA"/>
    <w:rsid w:val="002434FF"/>
    <w:rsid w:val="00297DDB"/>
    <w:rsid w:val="002A48DE"/>
    <w:rsid w:val="002B6306"/>
    <w:rsid w:val="002C57CB"/>
    <w:rsid w:val="002C6D1E"/>
    <w:rsid w:val="002D09CE"/>
    <w:rsid w:val="002D0FDD"/>
    <w:rsid w:val="002D38D9"/>
    <w:rsid w:val="002D39A2"/>
    <w:rsid w:val="002E2BAC"/>
    <w:rsid w:val="002E4519"/>
    <w:rsid w:val="002E5735"/>
    <w:rsid w:val="003042A5"/>
    <w:rsid w:val="003046B9"/>
    <w:rsid w:val="00305A8E"/>
    <w:rsid w:val="00312DB5"/>
    <w:rsid w:val="003245DC"/>
    <w:rsid w:val="00351EF0"/>
    <w:rsid w:val="0037108F"/>
    <w:rsid w:val="0037488A"/>
    <w:rsid w:val="00376806"/>
    <w:rsid w:val="003849F7"/>
    <w:rsid w:val="003918FE"/>
    <w:rsid w:val="00393E21"/>
    <w:rsid w:val="003A3B72"/>
    <w:rsid w:val="003A5F69"/>
    <w:rsid w:val="003B3FDD"/>
    <w:rsid w:val="003B7CF3"/>
    <w:rsid w:val="003D0ABF"/>
    <w:rsid w:val="003D111D"/>
    <w:rsid w:val="003D28F0"/>
    <w:rsid w:val="003E0B60"/>
    <w:rsid w:val="003E7FFC"/>
    <w:rsid w:val="003F0FD7"/>
    <w:rsid w:val="003F1910"/>
    <w:rsid w:val="003F2E96"/>
    <w:rsid w:val="003F587C"/>
    <w:rsid w:val="003F6A84"/>
    <w:rsid w:val="004031AC"/>
    <w:rsid w:val="004152DD"/>
    <w:rsid w:val="00432341"/>
    <w:rsid w:val="00464996"/>
    <w:rsid w:val="004732C8"/>
    <w:rsid w:val="004740DE"/>
    <w:rsid w:val="00474C37"/>
    <w:rsid w:val="00480534"/>
    <w:rsid w:val="004C05C4"/>
    <w:rsid w:val="004C64BB"/>
    <w:rsid w:val="004D79E1"/>
    <w:rsid w:val="004F28DC"/>
    <w:rsid w:val="004F6782"/>
    <w:rsid w:val="005061F5"/>
    <w:rsid w:val="00507AC8"/>
    <w:rsid w:val="00521088"/>
    <w:rsid w:val="005501CA"/>
    <w:rsid w:val="00557D20"/>
    <w:rsid w:val="00561571"/>
    <w:rsid w:val="00570CE0"/>
    <w:rsid w:val="005A48EC"/>
    <w:rsid w:val="005C1D3D"/>
    <w:rsid w:val="005C770F"/>
    <w:rsid w:val="005C7AAF"/>
    <w:rsid w:val="005D711D"/>
    <w:rsid w:val="00606204"/>
    <w:rsid w:val="006106A6"/>
    <w:rsid w:val="00646452"/>
    <w:rsid w:val="006512B5"/>
    <w:rsid w:val="006740AB"/>
    <w:rsid w:val="00697E22"/>
    <w:rsid w:val="006A54FE"/>
    <w:rsid w:val="006C72ED"/>
    <w:rsid w:val="006E0DB3"/>
    <w:rsid w:val="006E198D"/>
    <w:rsid w:val="006F0E9F"/>
    <w:rsid w:val="00724169"/>
    <w:rsid w:val="00724B3F"/>
    <w:rsid w:val="0072522B"/>
    <w:rsid w:val="00726734"/>
    <w:rsid w:val="00763298"/>
    <w:rsid w:val="007701E6"/>
    <w:rsid w:val="00773915"/>
    <w:rsid w:val="00783927"/>
    <w:rsid w:val="007848BC"/>
    <w:rsid w:val="0079546A"/>
    <w:rsid w:val="00797476"/>
    <w:rsid w:val="007A2A71"/>
    <w:rsid w:val="007A2C2A"/>
    <w:rsid w:val="007A597F"/>
    <w:rsid w:val="007B195B"/>
    <w:rsid w:val="007C747D"/>
    <w:rsid w:val="007D537B"/>
    <w:rsid w:val="007D7A25"/>
    <w:rsid w:val="007F656A"/>
    <w:rsid w:val="00801899"/>
    <w:rsid w:val="00801B58"/>
    <w:rsid w:val="00824327"/>
    <w:rsid w:val="00824585"/>
    <w:rsid w:val="0084664C"/>
    <w:rsid w:val="00846F20"/>
    <w:rsid w:val="00847849"/>
    <w:rsid w:val="00855C13"/>
    <w:rsid w:val="0085723A"/>
    <w:rsid w:val="00864BFE"/>
    <w:rsid w:val="00880464"/>
    <w:rsid w:val="008D5219"/>
    <w:rsid w:val="008D6588"/>
    <w:rsid w:val="008D6C40"/>
    <w:rsid w:val="008E1EA0"/>
    <w:rsid w:val="008E7722"/>
    <w:rsid w:val="008F3D71"/>
    <w:rsid w:val="00924901"/>
    <w:rsid w:val="00935F0D"/>
    <w:rsid w:val="00942A47"/>
    <w:rsid w:val="009459A4"/>
    <w:rsid w:val="009565B8"/>
    <w:rsid w:val="009635BA"/>
    <w:rsid w:val="00963A16"/>
    <w:rsid w:val="00971E47"/>
    <w:rsid w:val="009766EF"/>
    <w:rsid w:val="00986328"/>
    <w:rsid w:val="00996C33"/>
    <w:rsid w:val="009D0B94"/>
    <w:rsid w:val="00A057A4"/>
    <w:rsid w:val="00A17307"/>
    <w:rsid w:val="00A2448B"/>
    <w:rsid w:val="00A26D34"/>
    <w:rsid w:val="00A302E0"/>
    <w:rsid w:val="00A579F8"/>
    <w:rsid w:val="00A70178"/>
    <w:rsid w:val="00A8619F"/>
    <w:rsid w:val="00AA3A5A"/>
    <w:rsid w:val="00AA51F8"/>
    <w:rsid w:val="00AB32E6"/>
    <w:rsid w:val="00AC06AF"/>
    <w:rsid w:val="00AC3ED5"/>
    <w:rsid w:val="00AC525E"/>
    <w:rsid w:val="00AC7602"/>
    <w:rsid w:val="00AF353B"/>
    <w:rsid w:val="00AF3C9A"/>
    <w:rsid w:val="00B039AD"/>
    <w:rsid w:val="00B11C5C"/>
    <w:rsid w:val="00B14E3E"/>
    <w:rsid w:val="00B27988"/>
    <w:rsid w:val="00B3149B"/>
    <w:rsid w:val="00B52AA1"/>
    <w:rsid w:val="00B5481B"/>
    <w:rsid w:val="00B67723"/>
    <w:rsid w:val="00B81985"/>
    <w:rsid w:val="00BA4DC8"/>
    <w:rsid w:val="00BA72E6"/>
    <w:rsid w:val="00BC64C6"/>
    <w:rsid w:val="00BD29A3"/>
    <w:rsid w:val="00BD69FE"/>
    <w:rsid w:val="00BF3EC3"/>
    <w:rsid w:val="00C05464"/>
    <w:rsid w:val="00C13F31"/>
    <w:rsid w:val="00C153A3"/>
    <w:rsid w:val="00C226DE"/>
    <w:rsid w:val="00C37434"/>
    <w:rsid w:val="00C405E9"/>
    <w:rsid w:val="00C46946"/>
    <w:rsid w:val="00C524AC"/>
    <w:rsid w:val="00C75020"/>
    <w:rsid w:val="00C7760B"/>
    <w:rsid w:val="00C77CD4"/>
    <w:rsid w:val="00C80DB2"/>
    <w:rsid w:val="00CA213B"/>
    <w:rsid w:val="00CA5527"/>
    <w:rsid w:val="00CA59C3"/>
    <w:rsid w:val="00CC6A13"/>
    <w:rsid w:val="00CD0F59"/>
    <w:rsid w:val="00CD2542"/>
    <w:rsid w:val="00CE42A4"/>
    <w:rsid w:val="00CF1D69"/>
    <w:rsid w:val="00D37E2E"/>
    <w:rsid w:val="00D4385F"/>
    <w:rsid w:val="00D46F89"/>
    <w:rsid w:val="00D52F06"/>
    <w:rsid w:val="00D54B10"/>
    <w:rsid w:val="00D576DA"/>
    <w:rsid w:val="00D65BE5"/>
    <w:rsid w:val="00D94882"/>
    <w:rsid w:val="00DB0FAA"/>
    <w:rsid w:val="00DB6F8A"/>
    <w:rsid w:val="00DC46F5"/>
    <w:rsid w:val="00DD743C"/>
    <w:rsid w:val="00DF2A90"/>
    <w:rsid w:val="00DF478A"/>
    <w:rsid w:val="00DF5A8C"/>
    <w:rsid w:val="00E017D5"/>
    <w:rsid w:val="00E07B91"/>
    <w:rsid w:val="00E10BD9"/>
    <w:rsid w:val="00E47311"/>
    <w:rsid w:val="00E55904"/>
    <w:rsid w:val="00E702E7"/>
    <w:rsid w:val="00E924DE"/>
    <w:rsid w:val="00EC32F3"/>
    <w:rsid w:val="00EF428B"/>
    <w:rsid w:val="00F04C42"/>
    <w:rsid w:val="00F0611B"/>
    <w:rsid w:val="00F1184C"/>
    <w:rsid w:val="00F12B7C"/>
    <w:rsid w:val="00F17911"/>
    <w:rsid w:val="00F3337C"/>
    <w:rsid w:val="00F343E9"/>
    <w:rsid w:val="00F71914"/>
    <w:rsid w:val="00F736AA"/>
    <w:rsid w:val="00F7715B"/>
    <w:rsid w:val="00FA42E6"/>
    <w:rsid w:val="00FA67EF"/>
    <w:rsid w:val="00FB6778"/>
    <w:rsid w:val="00FC4A3D"/>
    <w:rsid w:val="00FC6F40"/>
    <w:rsid w:val="00FE09CF"/>
    <w:rsid w:val="00FE4668"/>
    <w:rsid w:val="00FF6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none [3214]"/>
    </o:shapedefaults>
    <o:shapelayout v:ext="edit">
      <o:idmap v:ext="edit" data="1"/>
    </o:shapelayout>
  </w:shapeDefaults>
  <w:decimalSymbol w:val="."/>
  <w:listSeparator w:val=","/>
  <w14:docId w14:val="18977A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F3337C"/>
    <w:pPr>
      <w:keepNext/>
      <w:spacing w:before="140" w:after="280"/>
      <w:outlineLvl w:val="0"/>
    </w:pPr>
    <w:rPr>
      <w:rFonts w:eastAsia="Times New Roman"/>
      <w:b/>
      <w:bCs/>
      <w:color w:val="4F81BD" w:themeColor="accent1"/>
      <w:spacing w:val="-14"/>
      <w:kern w:val="28"/>
      <w:sz w:val="42"/>
      <w:szCs w:val="32"/>
      <w14:ligatures w14:val="standardContextual"/>
    </w:rPr>
  </w:style>
  <w:style w:type="paragraph" w:styleId="Heading2">
    <w:name w:val="heading 2"/>
    <w:next w:val="Normal"/>
    <w:link w:val="Heading2Char"/>
    <w:autoRedefine/>
    <w:qFormat/>
    <w:rsid w:val="00F3337C"/>
    <w:pPr>
      <w:keepNext/>
      <w:spacing w:before="70" w:after="140"/>
      <w:outlineLvl w:val="1"/>
    </w:pPr>
    <w:rPr>
      <w:rFonts w:eastAsia="MS Mincho" w:cs="Times New Roman"/>
      <w:b/>
      <w:color w:val="4F81BD" w:themeColor="accent1"/>
      <w:spacing w:val="-8"/>
      <w:kern w:val="28"/>
      <w:sz w:val="35"/>
      <w:szCs w:val="28"/>
      <w14:ligatures w14:val="standardContextual"/>
    </w:rPr>
  </w:style>
  <w:style w:type="paragraph" w:styleId="Heading3">
    <w:name w:val="heading 3"/>
    <w:basedOn w:val="Heading2"/>
    <w:next w:val="Normal"/>
    <w:link w:val="Heading3Char"/>
    <w:autoRedefine/>
    <w:qFormat/>
    <w:rsid w:val="00F3337C"/>
    <w:pPr>
      <w:outlineLvl w:val="2"/>
    </w:pPr>
    <w:rPr>
      <w:rFonts w:cs="Arial"/>
      <w:bCs/>
      <w:sz w:val="28"/>
      <w:szCs w:val="26"/>
    </w:rPr>
  </w:style>
  <w:style w:type="paragraph" w:styleId="Heading4">
    <w:name w:val="heading 4"/>
    <w:basedOn w:val="Normal"/>
    <w:next w:val="Normal"/>
    <w:link w:val="Heading4Char"/>
    <w:qFormat/>
    <w:rsid w:val="00F3337C"/>
    <w:pPr>
      <w:keepNext/>
      <w:spacing w:before="70" w:after="70"/>
      <w:textboxTightWrap w:val="lastLineOnly"/>
      <w:outlineLvl w:val="3"/>
    </w:pPr>
    <w:rPr>
      <w:rFonts w:eastAsia="Times New Roman" w:cs="Times New Roman"/>
      <w:b/>
      <w:color w:val="4F81BD"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sid w:val="00C405E9"/>
    <w:rPr>
      <w:color w:val="0000FF" w:themeColor="hyperlink"/>
      <w:u w:val="single"/>
    </w:rPr>
  </w:style>
  <w:style w:type="character" w:styleId="UnresolvedMention">
    <w:name w:val="Unresolved Mention"/>
    <w:basedOn w:val="DefaultParagraphFont"/>
    <w:uiPriority w:val="99"/>
    <w:semiHidden/>
    <w:unhideWhenUsed/>
    <w:rsid w:val="00C405E9"/>
    <w:rPr>
      <w:color w:val="808080"/>
      <w:shd w:val="clear" w:color="auto" w:fill="E6E6E6"/>
    </w:rPr>
  </w:style>
  <w:style w:type="character" w:styleId="FollowedHyperlink">
    <w:name w:val="FollowedHyperlink"/>
    <w:basedOn w:val="DefaultParagraphFont"/>
    <w:uiPriority w:val="99"/>
    <w:semiHidden/>
    <w:unhideWhenUsed/>
    <w:rsid w:val="00724B3F"/>
    <w:rPr>
      <w:color w:val="800080" w:themeColor="followedHyperlink"/>
      <w:u w:val="single"/>
    </w:rPr>
  </w:style>
  <w:style w:type="character" w:styleId="CommentReference">
    <w:name w:val="annotation reference"/>
    <w:basedOn w:val="DefaultParagraphFont"/>
    <w:unhideWhenUsed/>
    <w:rsid w:val="00FA67EF"/>
    <w:rPr>
      <w:sz w:val="16"/>
      <w:szCs w:val="16"/>
    </w:rPr>
  </w:style>
  <w:style w:type="paragraph" w:styleId="CommentText">
    <w:name w:val="annotation text"/>
    <w:basedOn w:val="Normal"/>
    <w:link w:val="CommentTextChar"/>
    <w:unhideWhenUsed/>
    <w:rsid w:val="00FA67EF"/>
    <w:rPr>
      <w:sz w:val="20"/>
      <w:szCs w:val="20"/>
    </w:rPr>
  </w:style>
  <w:style w:type="character" w:customStyle="1" w:styleId="CommentTextChar">
    <w:name w:val="Comment Text Char"/>
    <w:basedOn w:val="DefaultParagraphFont"/>
    <w:link w:val="CommentText"/>
    <w:rsid w:val="00FA67EF"/>
    <w:rPr>
      <w:sz w:val="20"/>
      <w:szCs w:val="20"/>
    </w:rPr>
  </w:style>
  <w:style w:type="paragraph" w:styleId="CommentSubject">
    <w:name w:val="annotation subject"/>
    <w:basedOn w:val="CommentText"/>
    <w:next w:val="CommentText"/>
    <w:link w:val="CommentSubjectChar"/>
    <w:unhideWhenUsed/>
    <w:rsid w:val="00FA67EF"/>
    <w:rPr>
      <w:b/>
      <w:bCs/>
    </w:rPr>
  </w:style>
  <w:style w:type="character" w:customStyle="1" w:styleId="CommentSubjectChar">
    <w:name w:val="Comment Subject Char"/>
    <w:basedOn w:val="CommentTextChar"/>
    <w:link w:val="CommentSubject"/>
    <w:rsid w:val="00FA67EF"/>
    <w:rPr>
      <w:b/>
      <w:bCs/>
      <w:sz w:val="20"/>
      <w:szCs w:val="20"/>
    </w:rPr>
  </w:style>
  <w:style w:type="paragraph" w:styleId="BalloonText">
    <w:name w:val="Balloon Text"/>
    <w:basedOn w:val="Normal"/>
    <w:link w:val="BalloonTextChar"/>
    <w:unhideWhenUsed/>
    <w:rsid w:val="00FA67EF"/>
    <w:rPr>
      <w:rFonts w:ascii="Segoe UI" w:hAnsi="Segoe UI" w:cs="Segoe UI"/>
      <w:sz w:val="18"/>
      <w:szCs w:val="18"/>
    </w:rPr>
  </w:style>
  <w:style w:type="character" w:customStyle="1" w:styleId="BalloonTextChar">
    <w:name w:val="Balloon Text Char"/>
    <w:basedOn w:val="DefaultParagraphFont"/>
    <w:link w:val="BalloonText"/>
    <w:rsid w:val="00FA67EF"/>
    <w:rPr>
      <w:rFonts w:ascii="Segoe UI" w:hAnsi="Segoe UI" w:cs="Segoe UI"/>
      <w:sz w:val="18"/>
      <w:szCs w:val="18"/>
    </w:rPr>
  </w:style>
  <w:style w:type="table" w:styleId="TableGrid">
    <w:name w:val="Table Grid"/>
    <w:basedOn w:val="TableNormal"/>
    <w:rsid w:val="00BD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6329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ListParagraphChar">
    <w:name w:val="List Paragraph Char"/>
    <w:basedOn w:val="DefaultParagraphFont"/>
    <w:link w:val="ListParagraph"/>
    <w:uiPriority w:val="34"/>
    <w:locked/>
    <w:rsid w:val="003046B9"/>
  </w:style>
  <w:style w:type="paragraph" w:styleId="ListParagraph">
    <w:name w:val="List Paragraph"/>
    <w:basedOn w:val="Normal"/>
    <w:link w:val="ListParagraphChar"/>
    <w:uiPriority w:val="34"/>
    <w:qFormat/>
    <w:rsid w:val="003046B9"/>
    <w:pPr>
      <w:spacing w:after="200" w:line="276" w:lineRule="auto"/>
      <w:ind w:left="720"/>
      <w:contextualSpacing/>
    </w:pPr>
  </w:style>
  <w:style w:type="character" w:customStyle="1" w:styleId="Heading1Char">
    <w:name w:val="Heading 1 Char"/>
    <w:basedOn w:val="DefaultParagraphFont"/>
    <w:link w:val="Heading1"/>
    <w:rsid w:val="00F3337C"/>
    <w:rPr>
      <w:rFonts w:eastAsia="Times New Roman"/>
      <w:b/>
      <w:bCs/>
      <w:color w:val="4F81BD" w:themeColor="accent1"/>
      <w:spacing w:val="-14"/>
      <w:kern w:val="28"/>
      <w:sz w:val="42"/>
      <w:szCs w:val="32"/>
      <w14:ligatures w14:val="standardContextual"/>
    </w:rPr>
  </w:style>
  <w:style w:type="character" w:customStyle="1" w:styleId="Heading2Char">
    <w:name w:val="Heading 2 Char"/>
    <w:basedOn w:val="DefaultParagraphFont"/>
    <w:link w:val="Heading2"/>
    <w:rsid w:val="00F3337C"/>
    <w:rPr>
      <w:rFonts w:eastAsia="MS Mincho" w:cs="Times New Roman"/>
      <w:b/>
      <w:color w:val="4F81BD" w:themeColor="accent1"/>
      <w:spacing w:val="-8"/>
      <w:kern w:val="28"/>
      <w:sz w:val="35"/>
      <w:szCs w:val="28"/>
      <w14:ligatures w14:val="standardContextual"/>
    </w:rPr>
  </w:style>
  <w:style w:type="character" w:customStyle="1" w:styleId="Heading3Char">
    <w:name w:val="Heading 3 Char"/>
    <w:basedOn w:val="DefaultParagraphFont"/>
    <w:link w:val="Heading3"/>
    <w:rsid w:val="00F3337C"/>
    <w:rPr>
      <w:rFonts w:eastAsia="MS Mincho"/>
      <w:b/>
      <w:bCs/>
      <w:color w:val="4F81BD" w:themeColor="accent1"/>
      <w:spacing w:val="-8"/>
      <w:kern w:val="28"/>
      <w:sz w:val="28"/>
      <w:szCs w:val="26"/>
      <w14:ligatures w14:val="standardContextual"/>
    </w:rPr>
  </w:style>
  <w:style w:type="character" w:customStyle="1" w:styleId="Heading4Char">
    <w:name w:val="Heading 4 Char"/>
    <w:basedOn w:val="DefaultParagraphFont"/>
    <w:link w:val="Heading4"/>
    <w:rsid w:val="00F3337C"/>
    <w:rPr>
      <w:rFonts w:eastAsia="Times New Roman" w:cs="Times New Roman"/>
      <w:b/>
      <w:color w:val="4F81BD" w:themeColor="accent1"/>
      <w:sz w:val="24"/>
      <w:szCs w:val="20"/>
    </w:rPr>
  </w:style>
  <w:style w:type="paragraph" w:customStyle="1" w:styleId="Bulletlist">
    <w:name w:val="Bullet list"/>
    <w:basedOn w:val="ListParagraph"/>
    <w:link w:val="BulletlistChar"/>
    <w:autoRedefine/>
    <w:qFormat/>
    <w:rsid w:val="00F3337C"/>
    <w:pPr>
      <w:numPr>
        <w:numId w:val="2"/>
      </w:numPr>
      <w:autoSpaceDE w:val="0"/>
      <w:autoSpaceDN w:val="0"/>
      <w:adjustRightInd w:val="0"/>
      <w:spacing w:after="140" w:line="240" w:lineRule="auto"/>
      <w:ind w:left="510" w:hanging="510"/>
      <w:contextualSpacing w:val="0"/>
    </w:pPr>
    <w:rPr>
      <w:rFonts w:eastAsia="Times New Roman" w:cs="FrutigerLTStd-Light"/>
      <w:sz w:val="24"/>
    </w:rPr>
  </w:style>
  <w:style w:type="character" w:customStyle="1" w:styleId="BulletlistChar">
    <w:name w:val="Bullet list Char"/>
    <w:basedOn w:val="DefaultParagraphFont"/>
    <w:link w:val="Bulletlist"/>
    <w:rsid w:val="00F3337C"/>
    <w:rPr>
      <w:rFonts w:eastAsia="Times New Roman" w:cs="FrutigerLTStd-Light"/>
      <w:sz w:val="24"/>
    </w:rPr>
  </w:style>
  <w:style w:type="paragraph" w:customStyle="1" w:styleId="Footnote-hanging">
    <w:name w:val="Footnote - hanging"/>
    <w:basedOn w:val="Bulletlist"/>
    <w:link w:val="Footnote-hangingChar"/>
    <w:qFormat/>
    <w:rsid w:val="00F3337C"/>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sid w:val="00F3337C"/>
    <w:rPr>
      <w:rFonts w:eastAsia="Times New Roman" w:cs="FrutigerLTStd-Light"/>
      <w:sz w:val="18"/>
      <w:szCs w:val="18"/>
    </w:rPr>
  </w:style>
  <w:style w:type="paragraph" w:customStyle="1" w:styleId="Standfirst">
    <w:name w:val="Standfirst"/>
    <w:basedOn w:val="Heading4"/>
    <w:link w:val="StandfirstChar"/>
    <w:autoRedefine/>
    <w:qFormat/>
    <w:rsid w:val="00F3337C"/>
    <w:pPr>
      <w:spacing w:before="0" w:after="140" w:line="420" w:lineRule="atLeast"/>
    </w:pPr>
    <w:rPr>
      <w:color w:val="9BBB59"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character" w:customStyle="1" w:styleId="StandfirstChar">
    <w:name w:val="Standfirst Char"/>
    <w:basedOn w:val="Heading4Char"/>
    <w:link w:val="Standfirst"/>
    <w:rsid w:val="00F3337C"/>
    <w:rPr>
      <w:rFonts w:eastAsia="Times New Roman" w:cs="Times New Roman"/>
      <w:b/>
      <w:color w:val="9BBB59"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paragraph" w:styleId="TOC1">
    <w:name w:val="toc 1"/>
    <w:basedOn w:val="Normal"/>
    <w:next w:val="Normal"/>
    <w:autoRedefine/>
    <w:uiPriority w:val="39"/>
    <w:unhideWhenUsed/>
    <w:qFormat/>
    <w:rsid w:val="00F3337C"/>
    <w:pPr>
      <w:pBdr>
        <w:top w:val="single" w:sz="4" w:space="4" w:color="D6E3BC" w:themeColor="accent3" w:themeTint="66"/>
        <w:bottom w:val="single" w:sz="4" w:space="4" w:color="D6E3BC" w:themeColor="accent3" w:themeTint="66"/>
      </w:pBdr>
      <w:tabs>
        <w:tab w:val="right" w:pos="9854"/>
      </w:tabs>
      <w:spacing w:after="140"/>
      <w:textboxTightWrap w:val="lastLineOnly"/>
    </w:pPr>
    <w:rPr>
      <w:rFonts w:eastAsia="Times New Roman" w:cs="Times New Roman"/>
      <w:b/>
      <w:noProof/>
      <w:color w:val="4F81BD" w:themeColor="accent1"/>
      <w:sz w:val="28"/>
      <w:szCs w:val="24"/>
    </w:rPr>
  </w:style>
  <w:style w:type="paragraph" w:styleId="TOCHeading">
    <w:name w:val="TOC Heading"/>
    <w:basedOn w:val="Heading1"/>
    <w:next w:val="Normal"/>
    <w:uiPriority w:val="39"/>
    <w:unhideWhenUsed/>
    <w:qFormat/>
    <w:rsid w:val="00F3337C"/>
    <w:pPr>
      <w:keepLines/>
      <w:spacing w:before="480" w:after="0" w:line="276" w:lineRule="auto"/>
      <w:outlineLvl w:val="9"/>
    </w:pPr>
    <w:rPr>
      <w:rFonts w:asciiTheme="majorHAnsi" w:eastAsiaTheme="majorEastAsia" w:hAnsiTheme="majorHAnsi" w:cstheme="majorBidi"/>
      <w:kern w:val="0"/>
      <w:sz w:val="28"/>
      <w:szCs w:val="28"/>
      <w:lang w:val="en-US" w:eastAsia="ja-JP"/>
    </w:rPr>
  </w:style>
  <w:style w:type="paragraph" w:customStyle="1" w:styleId="FrontpageTitle">
    <w:name w:val="Frontpage_Title"/>
    <w:basedOn w:val="Normal"/>
    <w:link w:val="FrontpageTitleChar"/>
    <w:autoRedefine/>
    <w:qFormat/>
    <w:rsid w:val="00F3337C"/>
    <w:pPr>
      <w:spacing w:after="140"/>
      <w:textboxTightWrap w:val="lastLineOnly"/>
    </w:pPr>
    <w:rPr>
      <w:rFonts w:eastAsia="Times New Roman" w:cs="Times New Roman"/>
      <w:color w:val="4F81BD" w:themeColor="accent1"/>
      <w:sz w:val="70"/>
      <w:szCs w:val="84"/>
    </w:rPr>
  </w:style>
  <w:style w:type="character" w:customStyle="1" w:styleId="FrontpageTitleChar">
    <w:name w:val="Frontpage_Title Char"/>
    <w:basedOn w:val="DefaultParagraphFont"/>
    <w:link w:val="FrontpageTitle"/>
    <w:rsid w:val="00F3337C"/>
    <w:rPr>
      <w:rFonts w:eastAsia="Times New Roman" w:cs="Times New Roman"/>
      <w:color w:val="4F81BD" w:themeColor="accent1"/>
      <w:sz w:val="70"/>
      <w:szCs w:val="84"/>
    </w:rPr>
  </w:style>
  <w:style w:type="paragraph" w:customStyle="1" w:styleId="Frontpagesubhead">
    <w:name w:val="Frontpage_subhead"/>
    <w:basedOn w:val="Normal"/>
    <w:link w:val="FrontpagesubheadChar"/>
    <w:autoRedefine/>
    <w:qFormat/>
    <w:rsid w:val="00F3337C"/>
    <w:pPr>
      <w:spacing w:after="140"/>
      <w:textboxTightWrap w:val="lastLineOnly"/>
    </w:pPr>
    <w:rPr>
      <w:rFonts w:eastAsia="Times New Roman" w:cs="Times New Roman"/>
      <w:b/>
      <w:noProof/>
      <w:color w:val="4F81BD" w:themeColor="accent1"/>
      <w:sz w:val="35"/>
      <w:szCs w:val="42"/>
      <w:lang w:eastAsia="en-GB"/>
    </w:rPr>
  </w:style>
  <w:style w:type="character" w:customStyle="1" w:styleId="FrontpagesubheadChar">
    <w:name w:val="Frontpage_subhead Char"/>
    <w:basedOn w:val="DefaultParagraphFont"/>
    <w:link w:val="Frontpagesubhead"/>
    <w:rsid w:val="00F3337C"/>
    <w:rPr>
      <w:rFonts w:eastAsia="Times New Roman" w:cs="Times New Roman"/>
      <w:b/>
      <w:noProof/>
      <w:color w:val="4F81BD" w:themeColor="accent1"/>
      <w:sz w:val="35"/>
      <w:szCs w:val="42"/>
      <w:lang w:eastAsia="en-GB"/>
    </w:rPr>
  </w:style>
  <w:style w:type="paragraph" w:customStyle="1" w:styleId="Footnoteseparator">
    <w:name w:val="Footnote_separator"/>
    <w:basedOn w:val="Heading3"/>
    <w:link w:val="FootnoteseparatorChar"/>
    <w:rsid w:val="00F3337C"/>
    <w:rPr>
      <w:noProof/>
      <w:w w:val="200"/>
      <w:sz w:val="16"/>
      <w:szCs w:val="16"/>
    </w:rPr>
  </w:style>
  <w:style w:type="character" w:customStyle="1" w:styleId="FootnoteseparatorChar">
    <w:name w:val="Footnote_separator Char"/>
    <w:basedOn w:val="Heading3Char"/>
    <w:link w:val="Footnoteseparator"/>
    <w:rsid w:val="00F3337C"/>
    <w:rPr>
      <w:rFonts w:eastAsia="MS Mincho"/>
      <w:b/>
      <w:bCs/>
      <w:noProof/>
      <w:color w:val="4F81BD" w:themeColor="accent1"/>
      <w:spacing w:val="-8"/>
      <w:w w:val="200"/>
      <w:kern w:val="28"/>
      <w:sz w:val="16"/>
      <w:szCs w:val="16"/>
      <w14:ligatures w14:val="standardContextual"/>
    </w:rPr>
  </w:style>
  <w:style w:type="paragraph" w:customStyle="1" w:styleId="Numberedlist">
    <w:name w:val="Numbered list"/>
    <w:basedOn w:val="ListParagraph"/>
    <w:link w:val="NumberedlistChar"/>
    <w:qFormat/>
    <w:rsid w:val="00F3337C"/>
    <w:pPr>
      <w:spacing w:after="140" w:line="240" w:lineRule="auto"/>
      <w:ind w:left="510" w:hanging="510"/>
      <w:contextualSpacing w:val="0"/>
      <w:textboxTightWrap w:val="lastLineOnly"/>
    </w:pPr>
    <w:rPr>
      <w:rFonts w:eastAsia="Times New Roman" w:cs="Times New Roman"/>
      <w:sz w:val="24"/>
      <w:szCs w:val="24"/>
    </w:rPr>
  </w:style>
  <w:style w:type="character" w:customStyle="1" w:styleId="NumberedlistChar">
    <w:name w:val="Numbered list Char"/>
    <w:basedOn w:val="DefaultParagraphFont"/>
    <w:link w:val="Numberedlist"/>
    <w:rsid w:val="00F3337C"/>
    <w:rPr>
      <w:rFonts w:eastAsia="Times New Roman" w:cs="Times New Roman"/>
      <w:sz w:val="24"/>
      <w:szCs w:val="24"/>
    </w:rPr>
  </w:style>
  <w:style w:type="paragraph" w:styleId="TOC2">
    <w:name w:val="toc 2"/>
    <w:basedOn w:val="Normal"/>
    <w:next w:val="Normal"/>
    <w:autoRedefine/>
    <w:uiPriority w:val="39"/>
    <w:unhideWhenUsed/>
    <w:qFormat/>
    <w:rsid w:val="00F3337C"/>
    <w:pPr>
      <w:spacing w:after="100"/>
      <w:ind w:left="220"/>
      <w:textboxTightWrap w:val="lastLineOnly"/>
    </w:pPr>
    <w:rPr>
      <w:rFonts w:eastAsia="Times New Roman" w:cs="Times New Roman"/>
      <w:sz w:val="24"/>
      <w:szCs w:val="24"/>
    </w:rPr>
  </w:style>
  <w:style w:type="paragraph" w:styleId="TOC3">
    <w:name w:val="toc 3"/>
    <w:basedOn w:val="Normal"/>
    <w:next w:val="Normal"/>
    <w:autoRedefine/>
    <w:uiPriority w:val="39"/>
    <w:semiHidden/>
    <w:unhideWhenUsed/>
    <w:qFormat/>
    <w:rsid w:val="00F3337C"/>
    <w:pPr>
      <w:spacing w:after="100" w:line="276" w:lineRule="auto"/>
      <w:ind w:left="440"/>
    </w:pPr>
    <w:rPr>
      <w:rFonts w:asciiTheme="minorHAnsi" w:eastAsiaTheme="minorEastAsia" w:hAnsiTheme="minorHAnsi" w:cstheme="minorBidi"/>
      <w:sz w:val="24"/>
      <w:lang w:val="en-US" w:eastAsia="ja-JP"/>
    </w:rPr>
  </w:style>
  <w:style w:type="paragraph" w:styleId="Header">
    <w:name w:val="header"/>
    <w:basedOn w:val="Normal"/>
    <w:link w:val="HeaderChar"/>
    <w:uiPriority w:val="99"/>
    <w:unhideWhenUsed/>
    <w:qFormat/>
    <w:rsid w:val="00F3337C"/>
    <w:pPr>
      <w:pBdr>
        <w:bottom w:val="single" w:sz="6" w:space="4" w:color="9BBB59" w:themeColor="accent3"/>
      </w:pBdr>
      <w:tabs>
        <w:tab w:val="left" w:pos="9639"/>
      </w:tabs>
      <w:textboxTightWrap w:val="lastLineOnly"/>
    </w:pPr>
    <w:rPr>
      <w:rFonts w:eastAsia="Times New Roman" w:cs="Times New Roman"/>
      <w:b/>
      <w:color w:val="9BBB59" w:themeColor="accent3"/>
      <w:sz w:val="20"/>
      <w:szCs w:val="24"/>
    </w:rPr>
  </w:style>
  <w:style w:type="character" w:customStyle="1" w:styleId="HeaderChar">
    <w:name w:val="Header Char"/>
    <w:basedOn w:val="DefaultParagraphFont"/>
    <w:link w:val="Header"/>
    <w:uiPriority w:val="99"/>
    <w:rsid w:val="00F3337C"/>
    <w:rPr>
      <w:rFonts w:eastAsia="Times New Roman" w:cs="Times New Roman"/>
      <w:b/>
      <w:color w:val="9BBB59" w:themeColor="accent3"/>
      <w:sz w:val="20"/>
      <w:szCs w:val="24"/>
    </w:rPr>
  </w:style>
  <w:style w:type="paragraph" w:styleId="Footer">
    <w:name w:val="footer"/>
    <w:basedOn w:val="Normal"/>
    <w:link w:val="FooterChar"/>
    <w:autoRedefine/>
    <w:uiPriority w:val="99"/>
    <w:unhideWhenUsed/>
    <w:qFormat/>
    <w:rsid w:val="00226744"/>
    <w:pPr>
      <w:tabs>
        <w:tab w:val="right" w:pos="9866"/>
      </w:tabs>
      <w:textboxTightWrap w:val="lastLineOnly"/>
    </w:pPr>
    <w:rPr>
      <w:rFonts w:eastAsia="Times New Roman" w:cs="Times New Roman"/>
      <w:sz w:val="17"/>
      <w:szCs w:val="24"/>
    </w:rPr>
  </w:style>
  <w:style w:type="character" w:customStyle="1" w:styleId="FooterChar">
    <w:name w:val="Footer Char"/>
    <w:basedOn w:val="DefaultParagraphFont"/>
    <w:link w:val="Footer"/>
    <w:uiPriority w:val="99"/>
    <w:rsid w:val="00226744"/>
    <w:rPr>
      <w:rFonts w:eastAsia="Times New Roman" w:cs="Times New Roman"/>
      <w:sz w:val="17"/>
      <w:szCs w:val="24"/>
    </w:rPr>
  </w:style>
  <w:style w:type="character" w:styleId="Strong">
    <w:name w:val="Strong"/>
    <w:aliases w:val="Bold"/>
    <w:qFormat/>
    <w:rsid w:val="00F3337C"/>
    <w:rPr>
      <w:rFonts w:asciiTheme="minorHAnsi" w:hAnsiTheme="minorHAnsi"/>
      <w:b/>
      <w:bCs/>
    </w:rPr>
  </w:style>
  <w:style w:type="paragraph" w:styleId="Quote">
    <w:name w:val="Quote"/>
    <w:basedOn w:val="Normal"/>
    <w:next w:val="Normal"/>
    <w:link w:val="QuoteChar"/>
    <w:uiPriority w:val="29"/>
    <w:qFormat/>
    <w:rsid w:val="00F3337C"/>
    <w:pPr>
      <w:spacing w:before="70" w:after="70"/>
      <w:textboxTightWrap w:val="lastLineOnly"/>
    </w:pPr>
    <w:rPr>
      <w:rFonts w:ascii="Goudy Old Style" w:eastAsia="Times New Roman" w:hAnsi="Goudy Old Style" w:cs="Times New Roman"/>
      <w:i/>
      <w:iCs/>
      <w:color w:val="4F81BD" w:themeColor="accent1"/>
      <w:sz w:val="35"/>
      <w:szCs w:val="24"/>
    </w:rPr>
  </w:style>
  <w:style w:type="character" w:customStyle="1" w:styleId="QuoteChar">
    <w:name w:val="Quote Char"/>
    <w:basedOn w:val="DefaultParagraphFont"/>
    <w:link w:val="Quote"/>
    <w:uiPriority w:val="29"/>
    <w:rsid w:val="00F3337C"/>
    <w:rPr>
      <w:rFonts w:ascii="Goudy Old Style" w:eastAsia="Times New Roman" w:hAnsi="Goudy Old Style" w:cs="Times New Roman"/>
      <w:i/>
      <w:iCs/>
      <w:color w:val="4F81BD" w:themeColor="accent1"/>
      <w:sz w:val="35"/>
      <w:szCs w:val="24"/>
    </w:rPr>
  </w:style>
  <w:style w:type="character" w:styleId="FootnoteReference">
    <w:name w:val="footnote reference"/>
    <w:basedOn w:val="DefaultParagraphFont"/>
    <w:uiPriority w:val="99"/>
    <w:semiHidden/>
    <w:unhideWhenUsed/>
    <w:rsid w:val="00F3337C"/>
    <w:rPr>
      <w:vertAlign w:val="superscript"/>
    </w:rPr>
  </w:style>
  <w:style w:type="table" w:customStyle="1" w:styleId="TableGrid1">
    <w:name w:val="Table Grid1"/>
    <w:basedOn w:val="TableNormal"/>
    <w:next w:val="TableGrid"/>
    <w:uiPriority w:val="59"/>
    <w:rsid w:val="00F3337C"/>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3337C"/>
    <w:rPr>
      <w:color w:val="808080"/>
    </w:rPr>
  </w:style>
  <w:style w:type="paragraph" w:customStyle="1" w:styleId="CharCharCharCharCharCharCharCharCharCharChar">
    <w:name w:val="Char Char Char Char Char Char Char Char Char Char Char"/>
    <w:basedOn w:val="Normal"/>
    <w:rsid w:val="00F3337C"/>
    <w:pPr>
      <w:spacing w:after="120" w:line="240" w:lineRule="exact"/>
      <w:jc w:val="both"/>
    </w:pPr>
    <w:rPr>
      <w:rFonts w:ascii="Verdana" w:eastAsia="Times New Roman" w:hAnsi="Verdana" w:cs="Times New Roman"/>
      <w:sz w:val="20"/>
      <w:szCs w:val="20"/>
      <w:lang w:val="en-US"/>
    </w:rPr>
  </w:style>
  <w:style w:type="paragraph" w:customStyle="1" w:styleId="CharCharChar">
    <w:name w:val="Char Char Char"/>
    <w:basedOn w:val="Normal"/>
    <w:rsid w:val="00F3337C"/>
    <w:pPr>
      <w:spacing w:after="120" w:line="240" w:lineRule="exact"/>
      <w:jc w:val="both"/>
    </w:pPr>
    <w:rPr>
      <w:rFonts w:ascii="Verdana" w:eastAsia="Times New Roman" w:hAnsi="Verdana" w:cs="Times New Roman"/>
      <w:sz w:val="20"/>
      <w:szCs w:val="20"/>
      <w:lang w:val="en-US"/>
    </w:rPr>
  </w:style>
  <w:style w:type="paragraph" w:customStyle="1" w:styleId="numbered-paragraph">
    <w:name w:val="numbered-paragraph"/>
    <w:basedOn w:val="Normal"/>
    <w:rsid w:val="00F3337C"/>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540640">
      <w:bodyDiv w:val="1"/>
      <w:marLeft w:val="0"/>
      <w:marRight w:val="0"/>
      <w:marTop w:val="0"/>
      <w:marBottom w:val="0"/>
      <w:divBdr>
        <w:top w:val="none" w:sz="0" w:space="0" w:color="auto"/>
        <w:left w:val="none" w:sz="0" w:space="0" w:color="auto"/>
        <w:bottom w:val="none" w:sz="0" w:space="0" w:color="auto"/>
        <w:right w:val="none" w:sz="0" w:space="0" w:color="auto"/>
      </w:divBdr>
    </w:div>
    <w:div w:id="1064109667">
      <w:bodyDiv w:val="1"/>
      <w:marLeft w:val="0"/>
      <w:marRight w:val="0"/>
      <w:marTop w:val="0"/>
      <w:marBottom w:val="0"/>
      <w:divBdr>
        <w:top w:val="none" w:sz="0" w:space="0" w:color="auto"/>
        <w:left w:val="none" w:sz="0" w:space="0" w:color="auto"/>
        <w:bottom w:val="none" w:sz="0" w:space="0" w:color="auto"/>
        <w:right w:val="none" w:sz="0" w:space="0" w:color="auto"/>
      </w:divBdr>
    </w:div>
    <w:div w:id="1369065131">
      <w:bodyDiv w:val="1"/>
      <w:marLeft w:val="0"/>
      <w:marRight w:val="0"/>
      <w:marTop w:val="0"/>
      <w:marBottom w:val="0"/>
      <w:divBdr>
        <w:top w:val="none" w:sz="0" w:space="0" w:color="auto"/>
        <w:left w:val="none" w:sz="0" w:space="0" w:color="auto"/>
        <w:bottom w:val="none" w:sz="0" w:space="0" w:color="auto"/>
        <w:right w:val="none" w:sz="0" w:space="0" w:color="auto"/>
      </w:divBdr>
    </w:div>
    <w:div w:id="1522938594">
      <w:bodyDiv w:val="1"/>
      <w:marLeft w:val="0"/>
      <w:marRight w:val="0"/>
      <w:marTop w:val="0"/>
      <w:marBottom w:val="0"/>
      <w:divBdr>
        <w:top w:val="none" w:sz="0" w:space="0" w:color="auto"/>
        <w:left w:val="none" w:sz="0" w:space="0" w:color="auto"/>
        <w:bottom w:val="none" w:sz="0" w:space="0" w:color="auto"/>
        <w:right w:val="none" w:sz="0" w:space="0" w:color="auto"/>
      </w:divBdr>
    </w:div>
    <w:div w:id="203209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hscic.gov.uk/mhmds" TargetMode="External"/><Relationship Id="rId18" Type="http://schemas.openxmlformats.org/officeDocument/2006/relationships/hyperlink" Target="mailto:ccgois@hscic.gov.uk"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eader" Target="header1.xml"/><Relationship Id="rId12" Type="http://schemas.openxmlformats.org/officeDocument/2006/relationships/hyperlink" Target="http://www.england.nhs.uk/ccg-ois/" TargetMode="External"/><Relationship Id="rId17" Type="http://schemas.openxmlformats.org/officeDocument/2006/relationships/hyperlink" Target="mailto:enquiries@hscic.gov.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pho.org.uk/resource/item.aspx?RID=48457" TargetMode="External"/><Relationship Id="rId20" Type="http://schemas.openxmlformats.org/officeDocument/2006/relationships/hyperlink" Target="http://www.hscic.gov.uk/media/10994/MHMDS-Appx-3-Data-Quality-Measures/xls/Appendix_3_-_MHMDS_v4.1_Data_Quality_Measures.x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mental-health-strategy-for-england"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hscic.gov.uk/mhmds/spec" TargetMode="External"/><Relationship Id="rId23" Type="http://schemas.openxmlformats.org/officeDocument/2006/relationships/header" Target="header3.xml"/><Relationship Id="rId10" Type="http://schemas.openxmlformats.org/officeDocument/2006/relationships/hyperlink" Target="https://www.gov.uk/government/publications/nhs-mandate-2014-to-2015" TargetMode="External"/><Relationship Id="rId19" Type="http://schemas.openxmlformats.org/officeDocument/2006/relationships/hyperlink" Target="http://www.hscic.gov.uk/media/10994/MHMDS-Appx-3-Data-Quality-Measures/xls/Appendix_3_-_MHMDS_v4.1_Data_Quality_Measures.xls" TargetMode="External"/><Relationship Id="rId4" Type="http://schemas.openxmlformats.org/officeDocument/2006/relationships/webSettings" Target="webSettings.xml"/><Relationship Id="rId9" Type="http://schemas.openxmlformats.org/officeDocument/2006/relationships/hyperlink" Target="mailto:ccgois@hscic.gov.uk" TargetMode="External"/><Relationship Id="rId14" Type="http://schemas.openxmlformats.org/officeDocument/2006/relationships/hyperlink" Target="http://www.hscic.gov.uk/dars" TargetMode="External"/><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41219089064802B33BBBD306689A24"/>
        <w:category>
          <w:name w:val="General"/>
          <w:gallery w:val="placeholder"/>
        </w:category>
        <w:types>
          <w:type w:val="bbPlcHdr"/>
        </w:types>
        <w:behaviors>
          <w:behavior w:val="content"/>
        </w:behaviors>
        <w:guid w:val="{118AF591-4319-4AF5-8474-B963D2592611}"/>
      </w:docPartPr>
      <w:docPartBody>
        <w:p w:rsidR="00D1009F" w:rsidRDefault="00D1009F" w:rsidP="00D1009F">
          <w:pPr>
            <w:pStyle w:val="5741219089064802B33BBBD306689A24"/>
          </w:pPr>
          <w:r w:rsidRPr="00BC4529">
            <w:rPr>
              <w:rStyle w:val="PlaceholderText"/>
            </w:rPr>
            <w:t>Choose an item.</w:t>
          </w:r>
        </w:p>
      </w:docPartBody>
    </w:docPart>
    <w:docPart>
      <w:docPartPr>
        <w:name w:val="405349C2124E41FFA481D86BD8253C75"/>
        <w:category>
          <w:name w:val="General"/>
          <w:gallery w:val="placeholder"/>
        </w:category>
        <w:types>
          <w:type w:val="bbPlcHdr"/>
        </w:types>
        <w:behaviors>
          <w:behavior w:val="content"/>
        </w:behaviors>
        <w:guid w:val="{F9B4B0EB-6EFB-4B05-A2CE-F549D492DD1A}"/>
      </w:docPartPr>
      <w:docPartBody>
        <w:p w:rsidR="00D1009F" w:rsidRDefault="00D1009F" w:rsidP="00D1009F">
          <w:pPr>
            <w:pStyle w:val="405349C2124E41FFA481D86BD8253C75"/>
          </w:pPr>
          <w:r w:rsidRPr="00B71800">
            <w:rPr>
              <w:rStyle w:val="PlaceholderText"/>
            </w:rPr>
            <w:t>Choose an item.</w:t>
          </w:r>
        </w:p>
      </w:docPartBody>
    </w:docPart>
    <w:docPart>
      <w:docPartPr>
        <w:name w:val="46F7165E4415463DA598452F66E7D11C"/>
        <w:category>
          <w:name w:val="General"/>
          <w:gallery w:val="placeholder"/>
        </w:category>
        <w:types>
          <w:type w:val="bbPlcHdr"/>
        </w:types>
        <w:behaviors>
          <w:behavior w:val="content"/>
        </w:behaviors>
        <w:guid w:val="{2A4BC7E8-0461-429F-816C-5EA14C1CAE17}"/>
      </w:docPartPr>
      <w:docPartBody>
        <w:p w:rsidR="00D1009F" w:rsidRDefault="00D1009F" w:rsidP="00D1009F">
          <w:pPr>
            <w:pStyle w:val="46F7165E4415463DA598452F66E7D11C"/>
          </w:pPr>
          <w:r w:rsidRPr="00B71800">
            <w:rPr>
              <w:rStyle w:val="PlaceholderText"/>
            </w:rPr>
            <w:t>Choose an item.</w:t>
          </w:r>
        </w:p>
      </w:docPartBody>
    </w:docPart>
    <w:docPart>
      <w:docPartPr>
        <w:name w:val="73770CAA240E4EA8B62E97727F5902A6"/>
        <w:category>
          <w:name w:val="General"/>
          <w:gallery w:val="placeholder"/>
        </w:category>
        <w:types>
          <w:type w:val="bbPlcHdr"/>
        </w:types>
        <w:behaviors>
          <w:behavior w:val="content"/>
        </w:behaviors>
        <w:guid w:val="{32688E55-E0C0-47DD-A55D-CD9881986C28}"/>
      </w:docPartPr>
      <w:docPartBody>
        <w:p w:rsidR="00D1009F" w:rsidRDefault="00D1009F" w:rsidP="00D1009F">
          <w:pPr>
            <w:pStyle w:val="73770CAA240E4EA8B62E97727F5902A6"/>
          </w:pPr>
          <w:r w:rsidRPr="00B7180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C4D"/>
    <w:rsid w:val="00677C4D"/>
    <w:rsid w:val="00D10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009F"/>
    <w:rPr>
      <w:color w:val="808080"/>
    </w:rPr>
  </w:style>
  <w:style w:type="paragraph" w:customStyle="1" w:styleId="14ECD98E91364B37A6ADCBBAE7D70809">
    <w:name w:val="14ECD98E91364B37A6ADCBBAE7D70809"/>
    <w:rsid w:val="00677C4D"/>
  </w:style>
  <w:style w:type="paragraph" w:customStyle="1" w:styleId="21FC43C1FC46401295AC993010C019E6">
    <w:name w:val="21FC43C1FC46401295AC993010C019E6"/>
    <w:rsid w:val="00677C4D"/>
  </w:style>
  <w:style w:type="paragraph" w:customStyle="1" w:styleId="251FB6CA53554DD8ACFFB701F4976093">
    <w:name w:val="251FB6CA53554DD8ACFFB701F4976093"/>
    <w:rsid w:val="00677C4D"/>
  </w:style>
  <w:style w:type="paragraph" w:customStyle="1" w:styleId="01DB71B24A004F7B800CBA317E9D12BA">
    <w:name w:val="01DB71B24A004F7B800CBA317E9D12BA"/>
    <w:rsid w:val="00677C4D"/>
  </w:style>
  <w:style w:type="paragraph" w:customStyle="1" w:styleId="4112EC654CD4446489D2012562B535CF">
    <w:name w:val="4112EC654CD4446489D2012562B535CF"/>
    <w:rsid w:val="00677C4D"/>
  </w:style>
  <w:style w:type="paragraph" w:customStyle="1" w:styleId="8EC7E113685F4AF8B4448CE9A5E99849">
    <w:name w:val="8EC7E113685F4AF8B4448CE9A5E99849"/>
    <w:rsid w:val="00677C4D"/>
  </w:style>
  <w:style w:type="paragraph" w:customStyle="1" w:styleId="D3F45CB5C29A47F4A305998027E8AA3F">
    <w:name w:val="D3F45CB5C29A47F4A305998027E8AA3F"/>
    <w:rsid w:val="00677C4D"/>
  </w:style>
  <w:style w:type="paragraph" w:customStyle="1" w:styleId="C056DE738FEE4CA5B7AC856C24FFEC5E">
    <w:name w:val="C056DE738FEE4CA5B7AC856C24FFEC5E"/>
    <w:rsid w:val="00677C4D"/>
  </w:style>
  <w:style w:type="paragraph" w:customStyle="1" w:styleId="1A6B883416414005B79AFD2D08EFD60B">
    <w:name w:val="1A6B883416414005B79AFD2D08EFD60B"/>
    <w:rsid w:val="00677C4D"/>
  </w:style>
  <w:style w:type="paragraph" w:customStyle="1" w:styleId="0095703C24E14006BAB02C8CED43C3A5">
    <w:name w:val="0095703C24E14006BAB02C8CED43C3A5"/>
    <w:rsid w:val="00677C4D"/>
  </w:style>
  <w:style w:type="paragraph" w:customStyle="1" w:styleId="9BFEAA724057405DB5CB88EF22743900">
    <w:name w:val="9BFEAA724057405DB5CB88EF22743900"/>
    <w:rsid w:val="00D1009F"/>
  </w:style>
  <w:style w:type="paragraph" w:customStyle="1" w:styleId="5741219089064802B33BBBD306689A24">
    <w:name w:val="5741219089064802B33BBBD306689A24"/>
    <w:rsid w:val="00D1009F"/>
  </w:style>
  <w:style w:type="paragraph" w:customStyle="1" w:styleId="405349C2124E41FFA481D86BD8253C75">
    <w:name w:val="405349C2124E41FFA481D86BD8253C75"/>
    <w:rsid w:val="00D1009F"/>
  </w:style>
  <w:style w:type="paragraph" w:customStyle="1" w:styleId="0C1ED8B508C04A849D7387CFB8DF9FCA">
    <w:name w:val="0C1ED8B508C04A849D7387CFB8DF9FCA"/>
    <w:rsid w:val="00D1009F"/>
  </w:style>
  <w:style w:type="paragraph" w:customStyle="1" w:styleId="B0C1BB34DE3443869344932CB395CE9D">
    <w:name w:val="B0C1BB34DE3443869344932CB395CE9D"/>
    <w:rsid w:val="00D1009F"/>
  </w:style>
  <w:style w:type="paragraph" w:customStyle="1" w:styleId="46F7165E4415463DA598452F66E7D11C">
    <w:name w:val="46F7165E4415463DA598452F66E7D11C"/>
    <w:rsid w:val="00D1009F"/>
  </w:style>
  <w:style w:type="paragraph" w:customStyle="1" w:styleId="73770CAA240E4EA8B62E97727F5902A6">
    <w:name w:val="73770CAA240E4EA8B62E97727F5902A6"/>
    <w:rsid w:val="00D100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62398891</Template>
  <TotalTime>0</TotalTime>
  <Pages>31</Pages>
  <Words>6954</Words>
  <Characters>39644</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2020-03-09T15:04:00Z</dcterms:created>
  <dcterms:modified xsi:type="dcterms:W3CDTF">2020-03-11T14:14:00Z</dcterms:modified>
</cp:coreProperties>
</file>